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1.xml" ContentType="application/vnd.openxmlformats-officedocument.drawingml.chartshapes+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drawings/drawing2.xml" ContentType="application/vnd.openxmlformats-officedocument.drawingml.chartshapes+xml"/>
  <Override PartName="/word/charts/chart26.xml" ContentType="application/vnd.openxmlformats-officedocument.drawingml.chart+xml"/>
  <Override PartName="/word/drawings/drawing3.xml" ContentType="application/vnd.openxmlformats-officedocument.drawingml.chartshapes+xml"/>
  <Override PartName="/word/charts/chart27.xml" ContentType="application/vnd.openxmlformats-officedocument.drawingml.chart+xml"/>
  <Override PartName="/word/drawings/drawing4.xml" ContentType="application/vnd.openxmlformats-officedocument.drawingml.chartshapes+xml"/>
  <Override PartName="/word/charts/chart28.xml" ContentType="application/vnd.openxmlformats-officedocument.drawingml.chart+xml"/>
  <Override PartName="/word/drawings/drawing5.xml" ContentType="application/vnd.openxmlformats-officedocument.drawingml.chartshapes+xml"/>
  <Override PartName="/word/charts/chart29.xml" ContentType="application/vnd.openxmlformats-officedocument.drawingml.chart+xml"/>
  <Override PartName="/word/drawings/drawing6.xml" ContentType="application/vnd.openxmlformats-officedocument.drawingml.chartshapes+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Override PartName="/word/charts/style16.xml" ContentType="application/vnd.ms-office.chartstyle+xml"/>
  <Override PartName="/word/charts/colors16.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D41CE3" w14:textId="65BB0858" w:rsidR="00AF0F35" w:rsidRPr="00650EE4" w:rsidRDefault="00C80A11" w:rsidP="005A284C">
      <w:pPr>
        <w:pStyle w:val="Title"/>
        <w:spacing w:after="120"/>
        <w:jc w:val="center"/>
        <w:rPr>
          <w:rFonts w:ascii="Times New Roman" w:hAnsi="Times New Roman" w:cs="Times New Roman"/>
          <w:color w:val="000000" w:themeColor="text1"/>
          <w:sz w:val="22"/>
          <w:szCs w:val="22"/>
          <w:lang w:val="lt-LT"/>
        </w:rPr>
      </w:pPr>
      <w:bookmarkStart w:id="0" w:name="_Hlk49334051"/>
      <w:bookmarkEnd w:id="0"/>
      <w:r w:rsidRPr="00650EE4">
        <w:rPr>
          <w:rFonts w:ascii="Times New Roman" w:hAnsi="Times New Roman" w:cs="Times New Roman"/>
          <w:noProof/>
          <w:color w:val="000000" w:themeColor="text1"/>
          <w:lang w:val="lt-LT" w:eastAsia="lt-LT"/>
        </w:rPr>
        <mc:AlternateContent>
          <mc:Choice Requires="wps">
            <w:drawing>
              <wp:anchor distT="45720" distB="45720" distL="114300" distR="114300" simplePos="0" relativeHeight="251811840" behindDoc="0" locked="0" layoutInCell="1" allowOverlap="1" wp14:anchorId="62D0D3E4" wp14:editId="26C463BA">
                <wp:simplePos x="0" y="0"/>
                <wp:positionH relativeFrom="column">
                  <wp:posOffset>-151130</wp:posOffset>
                </wp:positionH>
                <wp:positionV relativeFrom="paragraph">
                  <wp:posOffset>1270</wp:posOffset>
                </wp:positionV>
                <wp:extent cx="6166485" cy="262382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6485" cy="2623820"/>
                        </a:xfrm>
                        <a:prstGeom prst="rect">
                          <a:avLst/>
                        </a:prstGeom>
                        <a:noFill/>
                        <a:ln w="9525">
                          <a:noFill/>
                          <a:miter lim="800000"/>
                          <a:headEnd/>
                          <a:tailEnd/>
                        </a:ln>
                      </wps:spPr>
                      <wps:txbx>
                        <w:txbxContent>
                          <w:p w14:paraId="35AA0534" w14:textId="11C00986" w:rsidR="003E0C4E" w:rsidRPr="00706E3E" w:rsidRDefault="003E0C4E" w:rsidP="00D92B70">
                            <w:pPr>
                              <w:jc w:val="center"/>
                              <w:rPr>
                                <w:rFonts w:ascii="Times New Roman" w:eastAsiaTheme="majorEastAsia" w:hAnsi="Times New Roman"/>
                                <w:b/>
                                <w:iCs/>
                                <w:caps/>
                                <w:color w:val="002060"/>
                                <w:spacing w:val="15"/>
                                <w:sz w:val="48"/>
                                <w:szCs w:val="48"/>
                              </w:rPr>
                            </w:pPr>
                            <w:r>
                              <w:rPr>
                                <w:rFonts w:ascii="Times New Roman" w:eastAsiaTheme="majorEastAsia" w:hAnsi="Times New Roman"/>
                                <w:b/>
                                <w:iCs/>
                                <w:caps/>
                                <w:color w:val="002060"/>
                                <w:spacing w:val="15"/>
                                <w:sz w:val="48"/>
                                <w:szCs w:val="48"/>
                              </w:rPr>
                              <w:br/>
                              <w:t>Lietuvos ilgalaikė renovacijos strategija</w:t>
                            </w:r>
                          </w:p>
                          <w:p w14:paraId="31A8977E" w14:textId="5B48C2F4" w:rsidR="003E0C4E" w:rsidRPr="000F4DCB" w:rsidRDefault="003E0C4E" w:rsidP="00D92B70">
                            <w:pPr>
                              <w:jc w:val="center"/>
                              <w:rPr>
                                <w:rFonts w:ascii="Times New Roman" w:eastAsiaTheme="majorEastAsia" w:hAnsi="Times New Roman"/>
                                <w:b/>
                                <w:iCs/>
                                <w:caps/>
                                <w:color w:val="000000" w:themeColor="text1"/>
                                <w:spacing w:val="15"/>
                                <w:sz w:val="40"/>
                                <w:szCs w:val="40"/>
                              </w:rPr>
                            </w:pPr>
                          </w:p>
                          <w:p w14:paraId="116BDF17" w14:textId="77777777" w:rsidR="003E0C4E" w:rsidRPr="000F4DCB" w:rsidRDefault="003E0C4E" w:rsidP="00D92B70">
                            <w:pPr>
                              <w:jc w:val="center"/>
                              <w:rPr>
                                <w:rFonts w:ascii="Times New Roman" w:eastAsiaTheme="majorEastAsia" w:hAnsi="Times New Roman"/>
                                <w:b/>
                                <w:iCs/>
                                <w:caps/>
                                <w:color w:val="000000" w:themeColor="text1"/>
                                <w:spacing w:val="15"/>
                                <w:sz w:val="40"/>
                                <w:szCs w:val="40"/>
                              </w:rPr>
                            </w:pPr>
                          </w:p>
                          <w:p w14:paraId="2BC895B7" w14:textId="65A908FC" w:rsidR="003E0C4E" w:rsidRPr="00A2164A" w:rsidRDefault="003E0C4E" w:rsidP="00D92B70">
                            <w:pPr>
                              <w:jc w:val="center"/>
                              <w:rPr>
                                <w:rFonts w:ascii="Times New Roman" w:eastAsiaTheme="majorEastAsia" w:hAnsi="Times New Roman"/>
                                <w:b/>
                                <w:iCs/>
                                <w:caps/>
                                <w:color w:val="002060"/>
                                <w:spacing w:val="15"/>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9pt;margin-top:.1pt;width:485.55pt;height:206.6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" filled="f" stroked="f">
                <v:textbox>
                  <w:txbxContent>
                    <w:p w14:paraId="35AA0534" w14:textId="11C00986" w:rsidR="003E0C4E" w:rsidRPr="00706E3E" w:rsidRDefault="003E0C4E" w:rsidP="00D92B70">
                      <w:pPr>
                        <w:jc w:val="center"/>
                        <w:rPr>
                          <w:rFonts w:ascii="Times New Roman" w:eastAsiaTheme="majorEastAsia" w:hAnsi="Times New Roman"/>
                          <w:b/>
                          <w:iCs/>
                          <w:caps/>
                          <w:color w:val="002060"/>
                          <w:spacing w:val="15"/>
                          <w:sz w:val="48"/>
                          <w:szCs w:val="48"/>
                        </w:rPr>
                      </w:pPr>
                      <w:r>
                        <w:rPr>
                          <w:rFonts w:ascii="Times New Roman" w:eastAsiaTheme="majorEastAsia" w:hAnsi="Times New Roman"/>
                          <w:b/>
                          <w:iCs/>
                          <w:caps/>
                          <w:color w:val="002060"/>
                          <w:spacing w:val="15"/>
                          <w:sz w:val="48"/>
                          <w:szCs w:val="48"/>
                        </w:rPr>
                        <w:br/>
                        <w:t>Lietuvos ilgalaikė renovacijos strategija</w:t>
                      </w:r>
                    </w:p>
                    <w:p w14:paraId="31A8977E" w14:textId="5B48C2F4" w:rsidR="003E0C4E" w:rsidRPr="000F4DCB" w:rsidRDefault="003E0C4E" w:rsidP="00D92B70">
                      <w:pPr>
                        <w:jc w:val="center"/>
                        <w:rPr>
                          <w:rFonts w:ascii="Times New Roman" w:eastAsiaTheme="majorEastAsia" w:hAnsi="Times New Roman"/>
                          <w:b/>
                          <w:iCs/>
                          <w:caps/>
                          <w:color w:val="000000" w:themeColor="text1"/>
                          <w:spacing w:val="15"/>
                          <w:sz w:val="40"/>
                          <w:szCs w:val="40"/>
                        </w:rPr>
                      </w:pPr>
                    </w:p>
                    <w:p w14:paraId="116BDF17" w14:textId="77777777" w:rsidR="003E0C4E" w:rsidRPr="000F4DCB" w:rsidRDefault="003E0C4E" w:rsidP="00D92B70">
                      <w:pPr>
                        <w:jc w:val="center"/>
                        <w:rPr>
                          <w:rFonts w:ascii="Times New Roman" w:eastAsiaTheme="majorEastAsia" w:hAnsi="Times New Roman"/>
                          <w:b/>
                          <w:iCs/>
                          <w:caps/>
                          <w:color w:val="000000" w:themeColor="text1"/>
                          <w:spacing w:val="15"/>
                          <w:sz w:val="40"/>
                          <w:szCs w:val="40"/>
                        </w:rPr>
                      </w:pPr>
                    </w:p>
                    <w:p w14:paraId="2BC895B7" w14:textId="65A908FC" w:rsidR="003E0C4E" w:rsidRPr="00A2164A" w:rsidRDefault="003E0C4E" w:rsidP="00D92B70">
                      <w:pPr>
                        <w:jc w:val="center"/>
                        <w:rPr>
                          <w:rFonts w:ascii="Times New Roman" w:eastAsiaTheme="majorEastAsia" w:hAnsi="Times New Roman"/>
                          <w:b/>
                          <w:iCs/>
                          <w:caps/>
                          <w:color w:val="002060"/>
                          <w:spacing w:val="15"/>
                          <w:sz w:val="32"/>
                          <w:szCs w:val="32"/>
                        </w:rPr>
                      </w:pPr>
                    </w:p>
                  </w:txbxContent>
                </v:textbox>
                <w10:wrap type="square"/>
              </v:shape>
            </w:pict>
          </mc:Fallback>
        </mc:AlternateContent>
      </w:r>
      <w:r w:rsidR="000F1356" w:rsidRPr="00650EE4">
        <w:rPr>
          <w:rFonts w:ascii="Times New Roman" w:hAnsi="Times New Roman" w:cs="Times New Roman"/>
          <w:noProof/>
          <w:color w:val="000000" w:themeColor="text1"/>
          <w:lang w:val="lt-LT" w:eastAsia="lt-LT"/>
        </w:rPr>
        <mc:AlternateContent>
          <mc:Choice Requires="wps">
            <w:drawing>
              <wp:anchor distT="0" distB="0" distL="114300" distR="114300" simplePos="0" relativeHeight="251657215" behindDoc="0" locked="0" layoutInCell="1" allowOverlap="1" wp14:anchorId="0A4040A4" wp14:editId="0AA389C7">
                <wp:simplePos x="0" y="0"/>
                <wp:positionH relativeFrom="column">
                  <wp:posOffset>-1356360</wp:posOffset>
                </wp:positionH>
                <wp:positionV relativeFrom="paragraph">
                  <wp:posOffset>-1592580</wp:posOffset>
                </wp:positionV>
                <wp:extent cx="7839075" cy="5695702"/>
                <wp:effectExtent l="0" t="0" r="9525" b="635"/>
                <wp:wrapNone/>
                <wp:docPr id="232"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39075" cy="5695702"/>
                        </a:xfrm>
                        <a:prstGeom prst="rect">
                          <a:avLst/>
                        </a:prstGeom>
                        <a:solidFill>
                          <a:schemeClr val="bg1"/>
                        </a:solidFill>
                        <a:ln>
                          <a:noFill/>
                        </a:ln>
                      </wps:spPr>
                      <wps:txbx>
                        <w:txbxContent>
                          <w:p w14:paraId="509F6152" w14:textId="77777777" w:rsidR="003E0C4E" w:rsidRDefault="003E0C4E" w:rsidP="000F1356">
                            <w:pPr>
                              <w:jc w:val="center"/>
                              <w:rPr>
                                <w:rFonts w:ascii="Times New Roman" w:hAnsi="Times New Roman"/>
                                <w:noProof/>
                                <w:lang w:eastAsia="lt-LT"/>
                              </w:rPr>
                            </w:pPr>
                          </w:p>
                          <w:p w14:paraId="0D6572FD" w14:textId="77777777" w:rsidR="003E0C4E" w:rsidRDefault="003E0C4E" w:rsidP="000F1356">
                            <w:pPr>
                              <w:jc w:val="center"/>
                              <w:rPr>
                                <w:rFonts w:ascii="Times New Roman" w:hAnsi="Times New Roman"/>
                                <w:noProof/>
                                <w:lang w:eastAsia="lt-LT"/>
                              </w:rPr>
                            </w:pPr>
                          </w:p>
                          <w:p w14:paraId="07F9127B" w14:textId="77777777" w:rsidR="003E0C4E" w:rsidRDefault="003E0C4E" w:rsidP="000F1356">
                            <w:pPr>
                              <w:jc w:val="center"/>
                              <w:rPr>
                                <w:rFonts w:ascii="Times New Roman" w:hAnsi="Times New Roman"/>
                                <w:noProof/>
                                <w:lang w:eastAsia="lt-LT"/>
                              </w:rPr>
                            </w:pPr>
                          </w:p>
                          <w:p w14:paraId="79469F7E" w14:textId="77777777" w:rsidR="003E0C4E" w:rsidRDefault="003E0C4E" w:rsidP="000F1356">
                            <w:pPr>
                              <w:jc w:val="center"/>
                              <w:rPr>
                                <w:rFonts w:ascii="Times New Roman" w:hAnsi="Times New Roman"/>
                                <w:noProof/>
                                <w:lang w:eastAsia="lt-LT"/>
                              </w:rPr>
                            </w:pPr>
                          </w:p>
                          <w:p w14:paraId="2561A86D" w14:textId="77777777" w:rsidR="003E0C4E" w:rsidRDefault="003E0C4E" w:rsidP="000F1356">
                            <w:pPr>
                              <w:jc w:val="center"/>
                              <w:rPr>
                                <w:rFonts w:ascii="Times New Roman" w:hAnsi="Times New Roman"/>
                                <w:noProof/>
                                <w:lang w:eastAsia="lt-LT"/>
                              </w:rPr>
                            </w:pPr>
                          </w:p>
                          <w:p w14:paraId="2E87169F" w14:textId="77777777" w:rsidR="003E0C4E" w:rsidRDefault="003E0C4E" w:rsidP="000F1356">
                            <w:pPr>
                              <w:jc w:val="center"/>
                              <w:rPr>
                                <w:rFonts w:ascii="Times New Roman" w:hAnsi="Times New Roman"/>
                                <w:noProof/>
                                <w:lang w:eastAsia="lt-LT"/>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rect id="Rectangle 7" o:spid="_x0000_s1027" style="position:absolute;left:0;text-align:left;margin-left:-106.8pt;margin-top:-125.4pt;width:617.25pt;height:448.5pt;z-index:2516572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" fillcolor="white [3212]" stroked="f">
                <v:path arrowok="t"/>
                <v:textbox>
                  <w:txbxContent>
                    <w:p w14:paraId="509F6152" w14:textId="77777777" w:rsidR="003E0C4E" w:rsidRDefault="003E0C4E" w:rsidP="000F1356">
                      <w:pPr>
                        <w:jc w:val="center"/>
                        <w:rPr>
                          <w:rFonts w:ascii="Times New Roman" w:hAnsi="Times New Roman"/>
                          <w:noProof/>
                          <w:lang w:eastAsia="lt-LT"/>
                        </w:rPr>
                      </w:pPr>
                    </w:p>
                    <w:p w14:paraId="0D6572FD" w14:textId="77777777" w:rsidR="003E0C4E" w:rsidRDefault="003E0C4E" w:rsidP="000F1356">
                      <w:pPr>
                        <w:jc w:val="center"/>
                        <w:rPr>
                          <w:rFonts w:ascii="Times New Roman" w:hAnsi="Times New Roman"/>
                          <w:noProof/>
                          <w:lang w:eastAsia="lt-LT"/>
                        </w:rPr>
                      </w:pPr>
                    </w:p>
                    <w:p w14:paraId="07F9127B" w14:textId="77777777" w:rsidR="003E0C4E" w:rsidRDefault="003E0C4E" w:rsidP="000F1356">
                      <w:pPr>
                        <w:jc w:val="center"/>
                        <w:rPr>
                          <w:rFonts w:ascii="Times New Roman" w:hAnsi="Times New Roman"/>
                          <w:noProof/>
                          <w:lang w:eastAsia="lt-LT"/>
                        </w:rPr>
                      </w:pPr>
                    </w:p>
                    <w:p w14:paraId="79469F7E" w14:textId="77777777" w:rsidR="003E0C4E" w:rsidRDefault="003E0C4E" w:rsidP="000F1356">
                      <w:pPr>
                        <w:jc w:val="center"/>
                        <w:rPr>
                          <w:rFonts w:ascii="Times New Roman" w:hAnsi="Times New Roman"/>
                          <w:noProof/>
                          <w:lang w:eastAsia="lt-LT"/>
                        </w:rPr>
                      </w:pPr>
                    </w:p>
                    <w:p w14:paraId="2561A86D" w14:textId="77777777" w:rsidR="003E0C4E" w:rsidRDefault="003E0C4E" w:rsidP="000F1356">
                      <w:pPr>
                        <w:jc w:val="center"/>
                        <w:rPr>
                          <w:rFonts w:ascii="Times New Roman" w:hAnsi="Times New Roman"/>
                          <w:noProof/>
                          <w:lang w:eastAsia="lt-LT"/>
                        </w:rPr>
                      </w:pPr>
                    </w:p>
                    <w:p w14:paraId="2E87169F" w14:textId="77777777" w:rsidR="003E0C4E" w:rsidRDefault="003E0C4E" w:rsidP="000F1356">
                      <w:pPr>
                        <w:jc w:val="center"/>
                        <w:rPr>
                          <w:rFonts w:ascii="Times New Roman" w:hAnsi="Times New Roman"/>
                          <w:noProof/>
                          <w:lang w:eastAsia="lt-LT"/>
                        </w:rPr>
                      </w:pPr>
                    </w:p>
                  </w:txbxContent>
                </v:textbox>
              </v:rect>
            </w:pict>
          </mc:Fallback>
        </mc:AlternateContent>
      </w:r>
      <w:proofErr w:type="spellStart"/>
      <w:r w:rsidR="00F33F2E" w:rsidRPr="00650EE4">
        <w:rPr>
          <w:rFonts w:ascii="Times New Roman" w:hAnsi="Times New Roman" w:cs="Times New Roman"/>
          <w:color w:val="000000" w:themeColor="text1"/>
          <w:sz w:val="22"/>
          <w:szCs w:val="22"/>
          <w:lang w:val="lt-LT"/>
        </w:rPr>
        <w:t>au</w:t>
      </w:r>
      <w:proofErr w:type="spellEnd"/>
    </w:p>
    <w:sdt>
      <w:sdtPr>
        <w:rPr>
          <w:rFonts w:ascii="Times New Roman" w:eastAsiaTheme="minorHAnsi" w:hAnsi="Times New Roman" w:cs="Times New Roman"/>
          <w:b w:val="0"/>
          <w:i w:val="0"/>
          <w:color w:val="000000" w:themeColor="text1"/>
          <w:spacing w:val="0"/>
          <w:kern w:val="0"/>
          <w:sz w:val="20"/>
          <w:szCs w:val="20"/>
          <w:lang w:val="lt-LT"/>
        </w:rPr>
        <w:id w:val="107030470"/>
        <w:docPartObj>
          <w:docPartGallery w:val="Cover Pages"/>
          <w:docPartUnique/>
        </w:docPartObj>
      </w:sdtPr>
      <w:sdtEndPr>
        <w:rPr>
          <w:rFonts w:eastAsia="Arial"/>
          <w:sz w:val="22"/>
          <w:szCs w:val="21"/>
        </w:rPr>
      </w:sdtEndPr>
      <w:sdtContent>
        <w:p w14:paraId="6C16E2D9" w14:textId="3A9AF5E1" w:rsidR="00AF0F35" w:rsidRPr="00650EE4" w:rsidRDefault="00AF0F35" w:rsidP="000F1356">
          <w:pPr>
            <w:pStyle w:val="Title"/>
            <w:spacing w:before="360" w:after="120"/>
            <w:jc w:val="center"/>
            <w:rPr>
              <w:rFonts w:ascii="Times New Roman" w:hAnsi="Times New Roman" w:cs="Times New Roman"/>
              <w:color w:val="000000" w:themeColor="text1"/>
              <w:lang w:val="lt-LT"/>
            </w:rPr>
          </w:pPr>
        </w:p>
        <w:p w14:paraId="45098A0E" w14:textId="14AA6371" w:rsidR="00927BC1" w:rsidRPr="00650EE4" w:rsidRDefault="00927BC1" w:rsidP="00927BC1">
          <w:pPr>
            <w:rPr>
              <w:rFonts w:ascii="Times New Roman" w:hAnsi="Times New Roman"/>
              <w:color w:val="000000" w:themeColor="text1"/>
            </w:rPr>
          </w:pPr>
        </w:p>
        <w:p w14:paraId="5C821E6C" w14:textId="5EA4CC88" w:rsidR="00927BC1" w:rsidRPr="00650EE4" w:rsidRDefault="00927BC1" w:rsidP="00927BC1">
          <w:pPr>
            <w:rPr>
              <w:rFonts w:ascii="Times New Roman" w:hAnsi="Times New Roman"/>
              <w:color w:val="000000" w:themeColor="text1"/>
            </w:rPr>
          </w:pPr>
        </w:p>
        <w:p w14:paraId="06D60FE5" w14:textId="614FE38E" w:rsidR="00AF0F35" w:rsidRPr="00650EE4" w:rsidRDefault="00AF0F35" w:rsidP="00927BC1">
          <w:pPr>
            <w:rPr>
              <w:rFonts w:ascii="Times New Roman" w:hAnsi="Times New Roman"/>
              <w:color w:val="000000" w:themeColor="text1"/>
            </w:rPr>
          </w:pPr>
        </w:p>
        <w:p w14:paraId="5D2C84EE" w14:textId="73290EE9" w:rsidR="00AF0F35" w:rsidRPr="00650EE4" w:rsidRDefault="00AF0F35" w:rsidP="00927BC1">
          <w:pPr>
            <w:rPr>
              <w:rFonts w:ascii="Times New Roman" w:hAnsi="Times New Roman"/>
              <w:color w:val="000000" w:themeColor="text1"/>
            </w:rPr>
          </w:pPr>
        </w:p>
        <w:p w14:paraId="748619FF" w14:textId="0C748A8D" w:rsidR="000F1356" w:rsidRPr="00650EE4" w:rsidRDefault="000F1356" w:rsidP="005A284C">
          <w:pPr>
            <w:pStyle w:val="Subtitle"/>
            <w:spacing w:after="400"/>
            <w:jc w:val="center"/>
            <w:rPr>
              <w:rFonts w:ascii="Times New Roman" w:hAnsi="Times New Roman" w:cs="Times New Roman"/>
              <w:color w:val="000000" w:themeColor="text1"/>
              <w:sz w:val="32"/>
              <w:lang w:val="lt-LT"/>
            </w:rPr>
          </w:pPr>
        </w:p>
        <w:p w14:paraId="57A04073" w14:textId="1461BAE1" w:rsidR="000F1356" w:rsidRPr="00650EE4" w:rsidRDefault="000F1356" w:rsidP="005A284C">
          <w:pPr>
            <w:pStyle w:val="Subtitle"/>
            <w:spacing w:after="400"/>
            <w:jc w:val="center"/>
            <w:rPr>
              <w:rFonts w:ascii="Times New Roman" w:hAnsi="Times New Roman" w:cs="Times New Roman"/>
              <w:color w:val="000000" w:themeColor="text1"/>
              <w:sz w:val="32"/>
              <w:lang w:val="lt-LT"/>
            </w:rPr>
          </w:pPr>
        </w:p>
        <w:p w14:paraId="1B2B6F2E" w14:textId="6C550B54" w:rsidR="00C80A11" w:rsidRPr="00650EE4" w:rsidRDefault="00C80A11" w:rsidP="005A3CDC">
          <w:pPr>
            <w:pStyle w:val="BodyText"/>
            <w:tabs>
              <w:tab w:val="left" w:pos="1065"/>
            </w:tabs>
            <w:spacing w:line="240" w:lineRule="auto"/>
            <w:rPr>
              <w:rFonts w:ascii="Times New Roman" w:hAnsi="Times New Roman"/>
              <w:color w:val="000000" w:themeColor="text1"/>
              <w:lang w:val="lt-LT"/>
            </w:rPr>
          </w:pPr>
        </w:p>
        <w:p w14:paraId="15A08AA2" w14:textId="4AF318BB"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6B089A65" w14:textId="4417F413"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65FB5F95" w14:textId="778EB96F"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396CBD27" w14:textId="1BA15551"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1752B73B" w14:textId="5B4C0BC1"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0F6BC33B" w14:textId="77777777" w:rsidR="00C80A11" w:rsidRPr="00650EE4" w:rsidRDefault="00C80A11" w:rsidP="00BD5EC3">
          <w:pPr>
            <w:pStyle w:val="BodyText"/>
            <w:tabs>
              <w:tab w:val="left" w:pos="1065"/>
            </w:tabs>
            <w:spacing w:line="240" w:lineRule="auto"/>
            <w:ind w:hanging="284"/>
            <w:rPr>
              <w:rFonts w:ascii="Times New Roman" w:hAnsi="Times New Roman"/>
              <w:color w:val="000000" w:themeColor="text1"/>
              <w:lang w:val="lt-LT"/>
            </w:rPr>
          </w:pPr>
        </w:p>
        <w:p w14:paraId="0605A93D" w14:textId="77777777" w:rsidR="00EF4DE9" w:rsidRDefault="00EF4DE9" w:rsidP="00BD5EC3">
          <w:pPr>
            <w:pStyle w:val="BodyText"/>
            <w:tabs>
              <w:tab w:val="left" w:pos="1065"/>
            </w:tabs>
            <w:spacing w:line="240" w:lineRule="auto"/>
            <w:ind w:hanging="284"/>
            <w:rPr>
              <w:rFonts w:ascii="Times New Roman" w:hAnsi="Times New Roman"/>
              <w:color w:val="000000" w:themeColor="text1"/>
              <w:lang w:val="lt-LT"/>
            </w:rPr>
          </w:pPr>
        </w:p>
        <w:p w14:paraId="03186330" w14:textId="77777777" w:rsidR="007B3E5C"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59A1DEE9" w14:textId="77777777" w:rsidR="007B3E5C"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31F16C83" w14:textId="77777777" w:rsidR="007B3E5C" w:rsidRPr="00650EE4" w:rsidRDefault="007B3E5C" w:rsidP="00BD5EC3">
          <w:pPr>
            <w:pStyle w:val="BodyText"/>
            <w:tabs>
              <w:tab w:val="left" w:pos="1065"/>
            </w:tabs>
            <w:spacing w:line="240" w:lineRule="auto"/>
            <w:ind w:hanging="284"/>
            <w:rPr>
              <w:rFonts w:ascii="Times New Roman" w:hAnsi="Times New Roman"/>
              <w:color w:val="000000" w:themeColor="text1"/>
              <w:lang w:val="lt-LT"/>
            </w:rPr>
          </w:pPr>
        </w:p>
        <w:p w14:paraId="26AB98C3" w14:textId="78BB6823" w:rsidR="007245BA" w:rsidRPr="00650EE4" w:rsidRDefault="007245BA" w:rsidP="00BD5EC3">
          <w:pPr>
            <w:pStyle w:val="BodyText"/>
            <w:tabs>
              <w:tab w:val="left" w:pos="1065"/>
            </w:tabs>
            <w:spacing w:line="240" w:lineRule="auto"/>
            <w:ind w:hanging="284"/>
            <w:rPr>
              <w:rFonts w:ascii="Times New Roman" w:hAnsi="Times New Roman"/>
              <w:color w:val="000000" w:themeColor="text1"/>
              <w:lang w:val="lt-LT"/>
            </w:rPr>
          </w:pPr>
        </w:p>
        <w:p w14:paraId="279E59F8" w14:textId="3A18B87C" w:rsidR="007245BA" w:rsidRPr="00650EE4" w:rsidRDefault="007245BA" w:rsidP="00BD5EC3">
          <w:pPr>
            <w:pStyle w:val="BodyText"/>
            <w:tabs>
              <w:tab w:val="left" w:pos="1065"/>
            </w:tabs>
            <w:spacing w:line="240" w:lineRule="auto"/>
            <w:ind w:hanging="284"/>
            <w:rPr>
              <w:rFonts w:ascii="Times New Roman" w:hAnsi="Times New Roman"/>
              <w:color w:val="000000" w:themeColor="text1"/>
              <w:lang w:val="lt-LT"/>
            </w:rPr>
          </w:pPr>
        </w:p>
        <w:tbl>
          <w:tblPr>
            <w:tblStyle w:val="TableGrid"/>
            <w:tblW w:w="5314" w:type="pct"/>
            <w:tblInd w:w="-70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85" w:type="dxa"/>
              <w:bottom w:w="85" w:type="dxa"/>
            </w:tblCellMar>
            <w:tblLook w:val="04A0" w:firstRow="1" w:lastRow="0" w:firstColumn="1" w:lastColumn="0" w:noHBand="0" w:noVBand="1"/>
          </w:tblPr>
          <w:tblGrid>
            <w:gridCol w:w="4643"/>
            <w:gridCol w:w="5227"/>
          </w:tblGrid>
          <w:tr w:rsidR="000F4DCB" w:rsidRPr="00650EE4" w14:paraId="037AAF0C" w14:textId="77777777" w:rsidTr="00643EB0">
            <w:tc>
              <w:tcPr>
                <w:tcW w:w="4535" w:type="dxa"/>
                <w:vAlign w:val="center"/>
              </w:tcPr>
              <w:p w14:paraId="3E008EFB" w14:textId="17998B0B" w:rsidR="007245BA" w:rsidRPr="00650EE4" w:rsidRDefault="007245BA" w:rsidP="00BD5EC3">
                <w:pPr>
                  <w:pStyle w:val="BodyText"/>
                  <w:tabs>
                    <w:tab w:val="left" w:pos="1065"/>
                  </w:tabs>
                  <w:rPr>
                    <w:rFonts w:ascii="Times New Roman" w:hAnsi="Times New Roman"/>
                    <w:color w:val="000000" w:themeColor="text1"/>
                    <w:lang w:val="lt-LT"/>
                  </w:rPr>
                </w:pPr>
              </w:p>
            </w:tc>
            <w:tc>
              <w:tcPr>
                <w:tcW w:w="5106" w:type="dxa"/>
                <w:vAlign w:val="center"/>
              </w:tcPr>
              <w:p w14:paraId="367A0E13" w14:textId="7877E5F5" w:rsidR="007245BA" w:rsidRPr="00650EE4" w:rsidRDefault="007245BA" w:rsidP="00BD5EC3">
                <w:pPr>
                  <w:pStyle w:val="BodyText"/>
                  <w:tabs>
                    <w:tab w:val="left" w:pos="1065"/>
                  </w:tabs>
                  <w:jc w:val="right"/>
                  <w:rPr>
                    <w:rFonts w:ascii="Times New Roman" w:hAnsi="Times New Roman"/>
                    <w:color w:val="000000" w:themeColor="text1"/>
                    <w:lang w:val="lt-LT"/>
                  </w:rPr>
                </w:pPr>
              </w:p>
            </w:tc>
          </w:tr>
        </w:tbl>
        <w:p w14:paraId="7BC8FE10" w14:textId="77777777" w:rsidR="00BD5EC3" w:rsidRPr="00650EE4" w:rsidRDefault="00BD5EC3" w:rsidP="00BD5EC3">
          <w:pPr>
            <w:pStyle w:val="BodyText"/>
            <w:tabs>
              <w:tab w:val="left" w:pos="1065"/>
            </w:tabs>
            <w:spacing w:line="240" w:lineRule="auto"/>
            <w:ind w:hanging="709"/>
            <w:jc w:val="center"/>
            <w:rPr>
              <w:rFonts w:ascii="Times New Roman" w:hAnsi="Times New Roman"/>
              <w:color w:val="000000" w:themeColor="text1"/>
              <w:lang w:val="lt-LT"/>
            </w:rPr>
          </w:pPr>
        </w:p>
        <w:p w14:paraId="16DF6C22" w14:textId="77777777" w:rsidR="000802B5" w:rsidRPr="00650EE4" w:rsidRDefault="000802B5" w:rsidP="00BD5EC3">
          <w:pPr>
            <w:pStyle w:val="BodyText"/>
            <w:tabs>
              <w:tab w:val="left" w:pos="1065"/>
            </w:tabs>
            <w:spacing w:line="240" w:lineRule="auto"/>
            <w:ind w:hanging="709"/>
            <w:jc w:val="center"/>
            <w:rPr>
              <w:rFonts w:ascii="Times New Roman" w:hAnsi="Times New Roman"/>
              <w:color w:val="000000" w:themeColor="text1"/>
              <w:lang w:val="lt-LT"/>
            </w:rPr>
          </w:pPr>
        </w:p>
        <w:p w14:paraId="30B12136" w14:textId="131821CA" w:rsidR="00B85983" w:rsidRPr="00650EE4" w:rsidRDefault="007339AE" w:rsidP="00BD5EC3">
          <w:pPr>
            <w:pStyle w:val="BodyText"/>
            <w:tabs>
              <w:tab w:val="left" w:pos="1065"/>
            </w:tabs>
            <w:spacing w:line="240" w:lineRule="auto"/>
            <w:ind w:hanging="709"/>
            <w:jc w:val="center"/>
            <w:rPr>
              <w:rFonts w:ascii="Times New Roman" w:hAnsi="Times New Roman"/>
              <w:color w:val="000000" w:themeColor="text1"/>
              <w:sz w:val="24"/>
              <w:szCs w:val="24"/>
              <w:lang w:val="lt-LT"/>
            </w:rPr>
            <w:sectPr w:rsidR="00B85983" w:rsidRPr="00650EE4" w:rsidSect="00927BC1">
              <w:headerReference w:type="even" r:id="rId9"/>
              <w:headerReference w:type="default" r:id="rId10"/>
              <w:footerReference w:type="even" r:id="rId11"/>
              <w:footerReference w:type="default" r:id="rId12"/>
              <w:headerReference w:type="first" r:id="rId13"/>
              <w:footerReference w:type="first" r:id="rId14"/>
              <w:pgSz w:w="11906" w:h="16838" w:code="9"/>
              <w:pgMar w:top="2313" w:right="1134" w:bottom="1474" w:left="1701" w:header="567" w:footer="567" w:gutter="0"/>
              <w:cols w:space="708"/>
              <w:titlePg/>
              <w:docGrid w:linePitch="360"/>
            </w:sectPr>
          </w:pPr>
          <w:r>
            <w:rPr>
              <w:rFonts w:ascii="Times New Roman" w:hAnsi="Times New Roman"/>
              <w:color w:val="000000" w:themeColor="text1"/>
              <w:sz w:val="24"/>
              <w:szCs w:val="24"/>
              <w:lang w:val="lt-LT"/>
            </w:rPr>
            <w:t>2021</w:t>
          </w:r>
          <w:r w:rsidR="002E1893" w:rsidRPr="00650EE4">
            <w:rPr>
              <w:rFonts w:ascii="Times New Roman" w:hAnsi="Times New Roman"/>
              <w:color w:val="000000" w:themeColor="text1"/>
              <w:sz w:val="24"/>
              <w:szCs w:val="24"/>
              <w:lang w:val="lt-LT"/>
            </w:rPr>
            <w:t xml:space="preserve"> m.</w:t>
          </w:r>
          <w:r w:rsidR="009424A0" w:rsidRPr="00650EE4">
            <w:rPr>
              <w:rFonts w:ascii="Times New Roman" w:hAnsi="Times New Roman"/>
              <w:color w:val="000000" w:themeColor="text1"/>
              <w:sz w:val="24"/>
              <w:szCs w:val="24"/>
              <w:lang w:val="lt-LT"/>
            </w:rPr>
            <w:t xml:space="preserve"> </w:t>
          </w:r>
        </w:p>
        <w:p w14:paraId="5D0C2D9F" w14:textId="7DDC4F4B" w:rsidR="00DA1E77" w:rsidRPr="00650EE4" w:rsidRDefault="00727312" w:rsidP="00457F9B">
          <w:pPr>
            <w:pStyle w:val="Nenumeruojamosantrastes"/>
            <w:pBdr>
              <w:bottom w:val="single" w:sz="4" w:space="1" w:color="auto"/>
            </w:pBdr>
            <w:outlineLvl w:val="0"/>
            <w:rPr>
              <w:rFonts w:ascii="Times New Roman" w:hAnsi="Times New Roman"/>
              <w:color w:val="002060"/>
              <w:szCs w:val="28"/>
            </w:rPr>
          </w:pPr>
          <w:bookmarkStart w:id="1" w:name="_Toc420911920"/>
          <w:bookmarkStart w:id="2" w:name="_Toc521940871"/>
          <w:bookmarkStart w:id="3" w:name="_Toc59107494"/>
          <w:bookmarkStart w:id="4" w:name="_Hlk46922257"/>
          <w:r w:rsidRPr="00650EE4">
            <w:rPr>
              <w:rFonts w:ascii="Times New Roman" w:hAnsi="Times New Roman"/>
              <w:color w:val="002060"/>
              <w:szCs w:val="28"/>
            </w:rPr>
            <w:lastRenderedPageBreak/>
            <w:t>TURINYS</w:t>
          </w:r>
          <w:bookmarkEnd w:id="1"/>
          <w:bookmarkEnd w:id="2"/>
          <w:bookmarkEnd w:id="3"/>
          <w:r w:rsidR="00643EB0" w:rsidRPr="00650EE4">
            <w:rPr>
              <w:rFonts w:ascii="Times New Roman" w:hAnsi="Times New Roman"/>
              <w:color w:val="002060"/>
              <w:szCs w:val="28"/>
            </w:rPr>
            <w:tab/>
          </w:r>
        </w:p>
        <w:p w14:paraId="0B2A7C99" w14:textId="77777777" w:rsidR="00555E23" w:rsidRDefault="00DA1E77">
          <w:pPr>
            <w:pStyle w:val="TOC1"/>
            <w:tabs>
              <w:tab w:val="right" w:leader="dot" w:pos="10194"/>
            </w:tabs>
            <w:rPr>
              <w:rFonts w:asciiTheme="minorHAnsi" w:eastAsiaTheme="minorEastAsia" w:hAnsiTheme="minorHAnsi" w:cstheme="minorBidi"/>
              <w:noProof/>
              <w:color w:val="auto"/>
              <w:szCs w:val="22"/>
              <w:lang w:val="lt-LT" w:eastAsia="lt-LT"/>
            </w:rPr>
          </w:pPr>
          <w:r w:rsidRPr="002D7C6C">
            <w:rPr>
              <w:rFonts w:ascii="Times New Roman" w:hAnsi="Times New Roman"/>
              <w:color w:val="000000" w:themeColor="text1"/>
              <w:szCs w:val="22"/>
              <w:lang w:val="lt-LT"/>
            </w:rPr>
            <w:fldChar w:fldCharType="begin"/>
          </w:r>
          <w:r w:rsidRPr="002D7C6C">
            <w:rPr>
              <w:rFonts w:ascii="Times New Roman" w:hAnsi="Times New Roman"/>
              <w:color w:val="000000" w:themeColor="text1"/>
              <w:szCs w:val="22"/>
              <w:lang w:val="lt-LT"/>
            </w:rPr>
            <w:instrText xml:space="preserve"> TOC \o "1-3" \h \z \u </w:instrText>
          </w:r>
          <w:r w:rsidRPr="002D7C6C">
            <w:rPr>
              <w:rFonts w:ascii="Times New Roman" w:hAnsi="Times New Roman"/>
              <w:color w:val="000000" w:themeColor="text1"/>
              <w:szCs w:val="22"/>
              <w:lang w:val="lt-LT"/>
            </w:rPr>
            <w:fldChar w:fldCharType="separate"/>
          </w:r>
          <w:hyperlink w:anchor="_Toc59107494" w:history="1">
            <w:r w:rsidR="00555E23" w:rsidRPr="007E3453">
              <w:rPr>
                <w:rStyle w:val="Hyperlink"/>
                <w:rFonts w:ascii="Times New Roman" w:hAnsi="Times New Roman"/>
                <w:noProof/>
              </w:rPr>
              <w:t>TURINYS</w:t>
            </w:r>
            <w:r w:rsidR="00555E23">
              <w:rPr>
                <w:noProof/>
                <w:webHidden/>
              </w:rPr>
              <w:tab/>
            </w:r>
            <w:r w:rsidR="00555E23">
              <w:rPr>
                <w:noProof/>
                <w:webHidden/>
              </w:rPr>
              <w:fldChar w:fldCharType="begin"/>
            </w:r>
            <w:r w:rsidR="00555E23">
              <w:rPr>
                <w:noProof/>
                <w:webHidden/>
              </w:rPr>
              <w:instrText xml:space="preserve"> PAGEREF _Toc59107494 \h </w:instrText>
            </w:r>
            <w:r w:rsidR="00555E23">
              <w:rPr>
                <w:noProof/>
                <w:webHidden/>
              </w:rPr>
            </w:r>
            <w:r w:rsidR="00555E23">
              <w:rPr>
                <w:noProof/>
                <w:webHidden/>
              </w:rPr>
              <w:fldChar w:fldCharType="separate"/>
            </w:r>
            <w:r w:rsidR="00166683">
              <w:rPr>
                <w:noProof/>
                <w:webHidden/>
              </w:rPr>
              <w:t>2</w:t>
            </w:r>
            <w:r w:rsidR="00555E23">
              <w:rPr>
                <w:noProof/>
                <w:webHidden/>
              </w:rPr>
              <w:fldChar w:fldCharType="end"/>
            </w:r>
          </w:hyperlink>
        </w:p>
        <w:p w14:paraId="77FABA04"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495" w:history="1">
            <w:r w:rsidR="00555E23" w:rsidRPr="007E3453">
              <w:rPr>
                <w:rStyle w:val="Hyperlink"/>
                <w:rFonts w:ascii="Times New Roman" w:hAnsi="Times New Roman"/>
                <w:noProof/>
              </w:rPr>
              <w:t>LENTELIŲ SĄRAŠAS</w:t>
            </w:r>
            <w:r w:rsidR="00555E23">
              <w:rPr>
                <w:noProof/>
                <w:webHidden/>
              </w:rPr>
              <w:tab/>
            </w:r>
            <w:r w:rsidR="00555E23">
              <w:rPr>
                <w:noProof/>
                <w:webHidden/>
              </w:rPr>
              <w:fldChar w:fldCharType="begin"/>
            </w:r>
            <w:r w:rsidR="00555E23">
              <w:rPr>
                <w:noProof/>
                <w:webHidden/>
              </w:rPr>
              <w:instrText xml:space="preserve"> PAGEREF _Toc59107495 \h </w:instrText>
            </w:r>
            <w:r w:rsidR="00555E23">
              <w:rPr>
                <w:noProof/>
                <w:webHidden/>
              </w:rPr>
            </w:r>
            <w:r w:rsidR="00555E23">
              <w:rPr>
                <w:noProof/>
                <w:webHidden/>
              </w:rPr>
              <w:fldChar w:fldCharType="separate"/>
            </w:r>
            <w:r>
              <w:rPr>
                <w:noProof/>
                <w:webHidden/>
              </w:rPr>
              <w:t>5</w:t>
            </w:r>
            <w:r w:rsidR="00555E23">
              <w:rPr>
                <w:noProof/>
                <w:webHidden/>
              </w:rPr>
              <w:fldChar w:fldCharType="end"/>
            </w:r>
          </w:hyperlink>
        </w:p>
        <w:p w14:paraId="68BF33BF"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496" w:history="1">
            <w:r w:rsidR="00555E23" w:rsidRPr="007E3453">
              <w:rPr>
                <w:rStyle w:val="Hyperlink"/>
                <w:rFonts w:ascii="Times New Roman" w:hAnsi="Times New Roman"/>
                <w:noProof/>
              </w:rPr>
              <w:t>PAVEIKSLŲ SĄRAŠAS</w:t>
            </w:r>
            <w:r w:rsidR="00555E23">
              <w:rPr>
                <w:noProof/>
                <w:webHidden/>
              </w:rPr>
              <w:tab/>
            </w:r>
            <w:r w:rsidR="00555E23">
              <w:rPr>
                <w:noProof/>
                <w:webHidden/>
              </w:rPr>
              <w:fldChar w:fldCharType="begin"/>
            </w:r>
            <w:r w:rsidR="00555E23">
              <w:rPr>
                <w:noProof/>
                <w:webHidden/>
              </w:rPr>
              <w:instrText xml:space="preserve"> PAGEREF _Toc59107496 \h </w:instrText>
            </w:r>
            <w:r w:rsidR="00555E23">
              <w:rPr>
                <w:noProof/>
                <w:webHidden/>
              </w:rPr>
            </w:r>
            <w:r w:rsidR="00555E23">
              <w:rPr>
                <w:noProof/>
                <w:webHidden/>
              </w:rPr>
              <w:fldChar w:fldCharType="separate"/>
            </w:r>
            <w:r>
              <w:rPr>
                <w:noProof/>
                <w:webHidden/>
              </w:rPr>
              <w:t>7</w:t>
            </w:r>
            <w:r w:rsidR="00555E23">
              <w:rPr>
                <w:noProof/>
                <w:webHidden/>
              </w:rPr>
              <w:fldChar w:fldCharType="end"/>
            </w:r>
          </w:hyperlink>
        </w:p>
        <w:p w14:paraId="0A310FD0"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497" w:history="1">
            <w:r w:rsidR="00555E23" w:rsidRPr="007E3453">
              <w:rPr>
                <w:rStyle w:val="Hyperlink"/>
                <w:rFonts w:ascii="Times New Roman" w:hAnsi="Times New Roman"/>
                <w:noProof/>
              </w:rPr>
              <w:t>SANTRUMPŲ IR SĄVOKŲ SĄRAŠAS</w:t>
            </w:r>
            <w:r w:rsidR="00555E23">
              <w:rPr>
                <w:noProof/>
                <w:webHidden/>
              </w:rPr>
              <w:tab/>
            </w:r>
            <w:r w:rsidR="00555E23">
              <w:rPr>
                <w:noProof/>
                <w:webHidden/>
              </w:rPr>
              <w:fldChar w:fldCharType="begin"/>
            </w:r>
            <w:r w:rsidR="00555E23">
              <w:rPr>
                <w:noProof/>
                <w:webHidden/>
              </w:rPr>
              <w:instrText xml:space="preserve"> PAGEREF _Toc59107497 \h </w:instrText>
            </w:r>
            <w:r w:rsidR="00555E23">
              <w:rPr>
                <w:noProof/>
                <w:webHidden/>
              </w:rPr>
            </w:r>
            <w:r w:rsidR="00555E23">
              <w:rPr>
                <w:noProof/>
                <w:webHidden/>
              </w:rPr>
              <w:fldChar w:fldCharType="separate"/>
            </w:r>
            <w:r>
              <w:rPr>
                <w:noProof/>
                <w:webHidden/>
              </w:rPr>
              <w:t>8</w:t>
            </w:r>
            <w:r w:rsidR="00555E23">
              <w:rPr>
                <w:noProof/>
                <w:webHidden/>
              </w:rPr>
              <w:fldChar w:fldCharType="end"/>
            </w:r>
          </w:hyperlink>
        </w:p>
        <w:p w14:paraId="173867D8"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498" w:history="1">
            <w:r w:rsidR="00555E23" w:rsidRPr="007E3453">
              <w:rPr>
                <w:rStyle w:val="Hyperlink"/>
                <w:rFonts w:ascii="Times New Roman" w:hAnsi="Times New Roman"/>
                <w:noProof/>
              </w:rPr>
              <w:t>SANTRAUKA</w:t>
            </w:r>
            <w:r w:rsidR="00555E23">
              <w:rPr>
                <w:noProof/>
                <w:webHidden/>
              </w:rPr>
              <w:tab/>
            </w:r>
            <w:r w:rsidR="00555E23">
              <w:rPr>
                <w:noProof/>
                <w:webHidden/>
              </w:rPr>
              <w:fldChar w:fldCharType="begin"/>
            </w:r>
            <w:r w:rsidR="00555E23">
              <w:rPr>
                <w:noProof/>
                <w:webHidden/>
              </w:rPr>
              <w:instrText xml:space="preserve"> PAGEREF _Toc59107498 \h </w:instrText>
            </w:r>
            <w:r w:rsidR="00555E23">
              <w:rPr>
                <w:noProof/>
                <w:webHidden/>
              </w:rPr>
            </w:r>
            <w:r w:rsidR="00555E23">
              <w:rPr>
                <w:noProof/>
                <w:webHidden/>
              </w:rPr>
              <w:fldChar w:fldCharType="separate"/>
            </w:r>
            <w:r>
              <w:rPr>
                <w:noProof/>
                <w:webHidden/>
              </w:rPr>
              <w:t>1</w:t>
            </w:r>
            <w:r w:rsidR="00555E23">
              <w:rPr>
                <w:noProof/>
                <w:webHidden/>
              </w:rPr>
              <w:fldChar w:fldCharType="end"/>
            </w:r>
          </w:hyperlink>
        </w:p>
        <w:p w14:paraId="69F495AB"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499" w:history="1">
            <w:r w:rsidR="00555E23" w:rsidRPr="007E3453">
              <w:rPr>
                <w:rStyle w:val="Hyperlink"/>
                <w:rFonts w:ascii="Times New Roman" w:hAnsi="Times New Roman"/>
                <w:noProof/>
              </w:rPr>
              <w:t>ĮŽANGA</w:t>
            </w:r>
            <w:r w:rsidR="00555E23">
              <w:rPr>
                <w:noProof/>
                <w:webHidden/>
              </w:rPr>
              <w:tab/>
            </w:r>
            <w:r w:rsidR="00555E23">
              <w:rPr>
                <w:noProof/>
                <w:webHidden/>
              </w:rPr>
              <w:fldChar w:fldCharType="begin"/>
            </w:r>
            <w:r w:rsidR="00555E23">
              <w:rPr>
                <w:noProof/>
                <w:webHidden/>
              </w:rPr>
              <w:instrText xml:space="preserve"> PAGEREF _Toc59107499 \h </w:instrText>
            </w:r>
            <w:r w:rsidR="00555E23">
              <w:rPr>
                <w:noProof/>
                <w:webHidden/>
              </w:rPr>
            </w:r>
            <w:r w:rsidR="00555E23">
              <w:rPr>
                <w:noProof/>
                <w:webHidden/>
              </w:rPr>
              <w:fldChar w:fldCharType="separate"/>
            </w:r>
            <w:r>
              <w:rPr>
                <w:noProof/>
                <w:webHidden/>
              </w:rPr>
              <w:t>12</w:t>
            </w:r>
            <w:r w:rsidR="00555E23">
              <w:rPr>
                <w:noProof/>
                <w:webHidden/>
              </w:rPr>
              <w:fldChar w:fldCharType="end"/>
            </w:r>
          </w:hyperlink>
        </w:p>
        <w:p w14:paraId="671EB6E8"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00" w:history="1">
            <w:r w:rsidR="00555E23" w:rsidRPr="007E3453">
              <w:rPr>
                <w:rStyle w:val="Hyperlink"/>
                <w:rFonts w:ascii="Times New Roman" w:hAnsi="Times New Roman"/>
                <w:noProof/>
              </w:rPr>
              <w:t>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NACIONALINIO PASTATŲ FONDO APŽVALGA</w:t>
            </w:r>
            <w:r w:rsidR="00555E23">
              <w:rPr>
                <w:noProof/>
                <w:webHidden/>
              </w:rPr>
              <w:tab/>
            </w:r>
            <w:r w:rsidR="00555E23">
              <w:rPr>
                <w:noProof/>
                <w:webHidden/>
              </w:rPr>
              <w:fldChar w:fldCharType="begin"/>
            </w:r>
            <w:r w:rsidR="00555E23">
              <w:rPr>
                <w:noProof/>
                <w:webHidden/>
              </w:rPr>
              <w:instrText xml:space="preserve"> PAGEREF _Toc59107500 \h </w:instrText>
            </w:r>
            <w:r w:rsidR="00555E23">
              <w:rPr>
                <w:noProof/>
                <w:webHidden/>
              </w:rPr>
            </w:r>
            <w:r w:rsidR="00555E23">
              <w:rPr>
                <w:noProof/>
                <w:webHidden/>
              </w:rPr>
              <w:fldChar w:fldCharType="separate"/>
            </w:r>
            <w:r>
              <w:rPr>
                <w:noProof/>
                <w:webHidden/>
              </w:rPr>
              <w:t>13</w:t>
            </w:r>
            <w:r w:rsidR="00555E23">
              <w:rPr>
                <w:noProof/>
                <w:webHidden/>
              </w:rPr>
              <w:fldChar w:fldCharType="end"/>
            </w:r>
          </w:hyperlink>
        </w:p>
        <w:p w14:paraId="205BD0CE"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01" w:history="1">
            <w:r w:rsidR="00555E23" w:rsidRPr="007E3453">
              <w:rPr>
                <w:rStyle w:val="Hyperlink"/>
                <w:rFonts w:ascii="Times New Roman" w:hAnsi="Times New Roman"/>
                <w:noProof/>
                <w:lang w:val="lt-LT"/>
              </w:rPr>
              <w:t>1.1.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fondo struktūra</w:t>
            </w:r>
            <w:r w:rsidR="00555E23">
              <w:rPr>
                <w:noProof/>
                <w:webHidden/>
              </w:rPr>
              <w:tab/>
            </w:r>
            <w:r w:rsidR="00555E23">
              <w:rPr>
                <w:noProof/>
                <w:webHidden/>
              </w:rPr>
              <w:fldChar w:fldCharType="begin"/>
            </w:r>
            <w:r w:rsidR="00555E23">
              <w:rPr>
                <w:noProof/>
                <w:webHidden/>
              </w:rPr>
              <w:instrText xml:space="preserve"> PAGEREF _Toc59107501 \h </w:instrText>
            </w:r>
            <w:r w:rsidR="00555E23">
              <w:rPr>
                <w:noProof/>
                <w:webHidden/>
              </w:rPr>
            </w:r>
            <w:r w:rsidR="00555E23">
              <w:rPr>
                <w:noProof/>
                <w:webHidden/>
              </w:rPr>
              <w:fldChar w:fldCharType="separate"/>
            </w:r>
            <w:r>
              <w:rPr>
                <w:noProof/>
                <w:webHidden/>
              </w:rPr>
              <w:t>13</w:t>
            </w:r>
            <w:r w:rsidR="00555E23">
              <w:rPr>
                <w:noProof/>
                <w:webHidden/>
              </w:rPr>
              <w:fldChar w:fldCharType="end"/>
            </w:r>
          </w:hyperlink>
        </w:p>
        <w:p w14:paraId="7D661F3C"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2" w:history="1">
            <w:r w:rsidR="00555E23" w:rsidRPr="007E3453">
              <w:rPr>
                <w:rStyle w:val="Hyperlink"/>
                <w:rFonts w:ascii="Times New Roman" w:hAnsi="Times New Roman"/>
                <w:noProof/>
                <w:lang w:val="lt-LT"/>
              </w:rPr>
              <w:t>1.1.1.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grupes ir pogrupius</w:t>
            </w:r>
            <w:r w:rsidR="00555E23">
              <w:rPr>
                <w:noProof/>
                <w:webHidden/>
              </w:rPr>
              <w:tab/>
            </w:r>
            <w:r w:rsidR="00555E23">
              <w:rPr>
                <w:noProof/>
                <w:webHidden/>
              </w:rPr>
              <w:fldChar w:fldCharType="begin"/>
            </w:r>
            <w:r w:rsidR="00555E23">
              <w:rPr>
                <w:noProof/>
                <w:webHidden/>
              </w:rPr>
              <w:instrText xml:space="preserve"> PAGEREF _Toc59107502 \h </w:instrText>
            </w:r>
            <w:r w:rsidR="00555E23">
              <w:rPr>
                <w:noProof/>
                <w:webHidden/>
              </w:rPr>
            </w:r>
            <w:r w:rsidR="00555E23">
              <w:rPr>
                <w:noProof/>
                <w:webHidden/>
              </w:rPr>
              <w:fldChar w:fldCharType="separate"/>
            </w:r>
            <w:r>
              <w:rPr>
                <w:noProof/>
                <w:webHidden/>
              </w:rPr>
              <w:t>13</w:t>
            </w:r>
            <w:r w:rsidR="00555E23">
              <w:rPr>
                <w:noProof/>
                <w:webHidden/>
              </w:rPr>
              <w:fldChar w:fldCharType="end"/>
            </w:r>
          </w:hyperlink>
        </w:p>
        <w:p w14:paraId="51C94E09"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3" w:history="1">
            <w:r w:rsidR="00555E23" w:rsidRPr="007E3453">
              <w:rPr>
                <w:rStyle w:val="Hyperlink"/>
                <w:rFonts w:ascii="Times New Roman" w:hAnsi="Times New Roman"/>
                <w:noProof/>
                <w:lang w:val="lt-LT"/>
              </w:rPr>
              <w:t>1.1.2.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paskirtį ir statybos metus</w:t>
            </w:r>
            <w:r w:rsidR="00555E23">
              <w:rPr>
                <w:noProof/>
                <w:webHidden/>
              </w:rPr>
              <w:tab/>
            </w:r>
            <w:r w:rsidR="00555E23">
              <w:rPr>
                <w:noProof/>
                <w:webHidden/>
              </w:rPr>
              <w:fldChar w:fldCharType="begin"/>
            </w:r>
            <w:r w:rsidR="00555E23">
              <w:rPr>
                <w:noProof/>
                <w:webHidden/>
              </w:rPr>
              <w:instrText xml:space="preserve"> PAGEREF _Toc59107503 \h </w:instrText>
            </w:r>
            <w:r w:rsidR="00555E23">
              <w:rPr>
                <w:noProof/>
                <w:webHidden/>
              </w:rPr>
            </w:r>
            <w:r w:rsidR="00555E23">
              <w:rPr>
                <w:noProof/>
                <w:webHidden/>
              </w:rPr>
              <w:fldChar w:fldCharType="separate"/>
            </w:r>
            <w:r>
              <w:rPr>
                <w:noProof/>
                <w:webHidden/>
              </w:rPr>
              <w:t>15</w:t>
            </w:r>
            <w:r w:rsidR="00555E23">
              <w:rPr>
                <w:noProof/>
                <w:webHidden/>
              </w:rPr>
              <w:fldChar w:fldCharType="end"/>
            </w:r>
          </w:hyperlink>
        </w:p>
        <w:p w14:paraId="32C3983F"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4" w:history="1">
            <w:r w:rsidR="00555E23" w:rsidRPr="007E3453">
              <w:rPr>
                <w:rStyle w:val="Hyperlink"/>
                <w:rFonts w:ascii="Times New Roman" w:hAnsi="Times New Roman"/>
                <w:noProof/>
                <w:lang w:val="lt-LT"/>
              </w:rPr>
              <w:t>1.1.3.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nuosavybės tipą</w:t>
            </w:r>
            <w:r w:rsidR="00555E23">
              <w:rPr>
                <w:noProof/>
                <w:webHidden/>
              </w:rPr>
              <w:tab/>
            </w:r>
            <w:r w:rsidR="00555E23">
              <w:rPr>
                <w:noProof/>
                <w:webHidden/>
              </w:rPr>
              <w:fldChar w:fldCharType="begin"/>
            </w:r>
            <w:r w:rsidR="00555E23">
              <w:rPr>
                <w:noProof/>
                <w:webHidden/>
              </w:rPr>
              <w:instrText xml:space="preserve"> PAGEREF _Toc59107504 \h </w:instrText>
            </w:r>
            <w:r w:rsidR="00555E23">
              <w:rPr>
                <w:noProof/>
                <w:webHidden/>
              </w:rPr>
            </w:r>
            <w:r w:rsidR="00555E23">
              <w:rPr>
                <w:noProof/>
                <w:webHidden/>
              </w:rPr>
              <w:fldChar w:fldCharType="separate"/>
            </w:r>
            <w:r>
              <w:rPr>
                <w:noProof/>
                <w:webHidden/>
              </w:rPr>
              <w:t>17</w:t>
            </w:r>
            <w:r w:rsidR="00555E23">
              <w:rPr>
                <w:noProof/>
                <w:webHidden/>
              </w:rPr>
              <w:fldChar w:fldCharType="end"/>
            </w:r>
          </w:hyperlink>
        </w:p>
        <w:p w14:paraId="14B46EB9"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5" w:history="1">
            <w:r w:rsidR="00555E23" w:rsidRPr="007E3453">
              <w:rPr>
                <w:rStyle w:val="Hyperlink"/>
                <w:rFonts w:ascii="Times New Roman" w:hAnsi="Times New Roman"/>
                <w:noProof/>
                <w:lang w:val="lt-LT"/>
              </w:rPr>
              <w:t>1.1.4.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sienų medžiagiškumą</w:t>
            </w:r>
            <w:r w:rsidR="00555E23">
              <w:rPr>
                <w:noProof/>
                <w:webHidden/>
              </w:rPr>
              <w:tab/>
            </w:r>
            <w:r w:rsidR="00555E23">
              <w:rPr>
                <w:noProof/>
                <w:webHidden/>
              </w:rPr>
              <w:fldChar w:fldCharType="begin"/>
            </w:r>
            <w:r w:rsidR="00555E23">
              <w:rPr>
                <w:noProof/>
                <w:webHidden/>
              </w:rPr>
              <w:instrText xml:space="preserve"> PAGEREF _Toc59107505 \h </w:instrText>
            </w:r>
            <w:r w:rsidR="00555E23">
              <w:rPr>
                <w:noProof/>
                <w:webHidden/>
              </w:rPr>
            </w:r>
            <w:r w:rsidR="00555E23">
              <w:rPr>
                <w:noProof/>
                <w:webHidden/>
              </w:rPr>
              <w:fldChar w:fldCharType="separate"/>
            </w:r>
            <w:r>
              <w:rPr>
                <w:noProof/>
                <w:webHidden/>
              </w:rPr>
              <w:t>19</w:t>
            </w:r>
            <w:r w:rsidR="00555E23">
              <w:rPr>
                <w:noProof/>
                <w:webHidden/>
              </w:rPr>
              <w:fldChar w:fldCharType="end"/>
            </w:r>
          </w:hyperlink>
        </w:p>
        <w:p w14:paraId="69086DC5"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6" w:history="1">
            <w:r w:rsidR="00555E23" w:rsidRPr="007E3453">
              <w:rPr>
                <w:rStyle w:val="Hyperlink"/>
                <w:rFonts w:ascii="Times New Roman" w:hAnsi="Times New Roman"/>
                <w:noProof/>
                <w:lang w:val="lt-LT"/>
              </w:rPr>
              <w:t>1.1.5.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šildymo tipą</w:t>
            </w:r>
            <w:r w:rsidR="00555E23">
              <w:rPr>
                <w:noProof/>
                <w:webHidden/>
              </w:rPr>
              <w:tab/>
            </w:r>
            <w:r w:rsidR="00555E23">
              <w:rPr>
                <w:noProof/>
                <w:webHidden/>
              </w:rPr>
              <w:fldChar w:fldCharType="begin"/>
            </w:r>
            <w:r w:rsidR="00555E23">
              <w:rPr>
                <w:noProof/>
                <w:webHidden/>
              </w:rPr>
              <w:instrText xml:space="preserve"> PAGEREF _Toc59107506 \h </w:instrText>
            </w:r>
            <w:r w:rsidR="00555E23">
              <w:rPr>
                <w:noProof/>
                <w:webHidden/>
              </w:rPr>
            </w:r>
            <w:r w:rsidR="00555E23">
              <w:rPr>
                <w:noProof/>
                <w:webHidden/>
              </w:rPr>
              <w:fldChar w:fldCharType="separate"/>
            </w:r>
            <w:r>
              <w:rPr>
                <w:noProof/>
                <w:webHidden/>
              </w:rPr>
              <w:t>21</w:t>
            </w:r>
            <w:r w:rsidR="00555E23">
              <w:rPr>
                <w:noProof/>
                <w:webHidden/>
              </w:rPr>
              <w:fldChar w:fldCharType="end"/>
            </w:r>
          </w:hyperlink>
        </w:p>
        <w:p w14:paraId="0368121C"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7" w:history="1">
            <w:r w:rsidR="00555E23" w:rsidRPr="007E3453">
              <w:rPr>
                <w:rStyle w:val="Hyperlink"/>
                <w:rFonts w:ascii="Times New Roman" w:hAnsi="Times New Roman"/>
                <w:noProof/>
                <w:lang w:val="lt-LT"/>
              </w:rPr>
              <w:t>1.1.6.</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fondas pagal energinio naudingumo klasę</w:t>
            </w:r>
            <w:r w:rsidR="00555E23">
              <w:rPr>
                <w:noProof/>
                <w:webHidden/>
              </w:rPr>
              <w:tab/>
            </w:r>
            <w:r w:rsidR="00555E23">
              <w:rPr>
                <w:noProof/>
                <w:webHidden/>
              </w:rPr>
              <w:fldChar w:fldCharType="begin"/>
            </w:r>
            <w:r w:rsidR="00555E23">
              <w:rPr>
                <w:noProof/>
                <w:webHidden/>
              </w:rPr>
              <w:instrText xml:space="preserve"> PAGEREF _Toc59107507 \h </w:instrText>
            </w:r>
            <w:r w:rsidR="00555E23">
              <w:rPr>
                <w:noProof/>
                <w:webHidden/>
              </w:rPr>
            </w:r>
            <w:r w:rsidR="00555E23">
              <w:rPr>
                <w:noProof/>
                <w:webHidden/>
              </w:rPr>
              <w:fldChar w:fldCharType="separate"/>
            </w:r>
            <w:r>
              <w:rPr>
                <w:noProof/>
                <w:webHidden/>
              </w:rPr>
              <w:t>22</w:t>
            </w:r>
            <w:r w:rsidR="00555E23">
              <w:rPr>
                <w:noProof/>
                <w:webHidden/>
              </w:rPr>
              <w:fldChar w:fldCharType="end"/>
            </w:r>
          </w:hyperlink>
        </w:p>
        <w:p w14:paraId="4A8B7318"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08" w:history="1">
            <w:r w:rsidR="00555E23" w:rsidRPr="007E3453">
              <w:rPr>
                <w:rStyle w:val="Hyperlink"/>
                <w:rFonts w:ascii="Times New Roman" w:hAnsi="Times New Roman"/>
                <w:noProof/>
                <w:lang w:val="lt-LT"/>
              </w:rPr>
              <w:t>1.2.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fondo energijos vartojimas</w:t>
            </w:r>
            <w:r w:rsidR="00555E23">
              <w:rPr>
                <w:noProof/>
                <w:webHidden/>
              </w:rPr>
              <w:tab/>
            </w:r>
            <w:r w:rsidR="00555E23">
              <w:rPr>
                <w:noProof/>
                <w:webHidden/>
              </w:rPr>
              <w:fldChar w:fldCharType="begin"/>
            </w:r>
            <w:r w:rsidR="00555E23">
              <w:rPr>
                <w:noProof/>
                <w:webHidden/>
              </w:rPr>
              <w:instrText xml:space="preserve"> PAGEREF _Toc59107508 \h </w:instrText>
            </w:r>
            <w:r w:rsidR="00555E23">
              <w:rPr>
                <w:noProof/>
                <w:webHidden/>
              </w:rPr>
            </w:r>
            <w:r w:rsidR="00555E23">
              <w:rPr>
                <w:noProof/>
                <w:webHidden/>
              </w:rPr>
              <w:fldChar w:fldCharType="separate"/>
            </w:r>
            <w:r>
              <w:rPr>
                <w:noProof/>
                <w:webHidden/>
              </w:rPr>
              <w:t>24</w:t>
            </w:r>
            <w:r w:rsidR="00555E23">
              <w:rPr>
                <w:noProof/>
                <w:webHidden/>
              </w:rPr>
              <w:fldChar w:fldCharType="end"/>
            </w:r>
          </w:hyperlink>
        </w:p>
        <w:p w14:paraId="62CB3F07"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09" w:history="1">
            <w:r w:rsidR="00555E23" w:rsidRPr="007E3453">
              <w:rPr>
                <w:rStyle w:val="Hyperlink"/>
                <w:rFonts w:ascii="Times New Roman" w:hAnsi="Times New Roman"/>
                <w:noProof/>
                <w:lang w:val="lt-LT"/>
              </w:rPr>
              <w:t>1.2.1.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Klimatinės sąlygos</w:t>
            </w:r>
            <w:r w:rsidR="00555E23">
              <w:rPr>
                <w:noProof/>
                <w:webHidden/>
              </w:rPr>
              <w:tab/>
            </w:r>
            <w:r w:rsidR="00555E23">
              <w:rPr>
                <w:noProof/>
                <w:webHidden/>
              </w:rPr>
              <w:fldChar w:fldCharType="begin"/>
            </w:r>
            <w:r w:rsidR="00555E23">
              <w:rPr>
                <w:noProof/>
                <w:webHidden/>
              </w:rPr>
              <w:instrText xml:space="preserve"> PAGEREF _Toc59107509 \h </w:instrText>
            </w:r>
            <w:r w:rsidR="00555E23">
              <w:rPr>
                <w:noProof/>
                <w:webHidden/>
              </w:rPr>
            </w:r>
            <w:r w:rsidR="00555E23">
              <w:rPr>
                <w:noProof/>
                <w:webHidden/>
              </w:rPr>
              <w:fldChar w:fldCharType="separate"/>
            </w:r>
            <w:r>
              <w:rPr>
                <w:noProof/>
                <w:webHidden/>
              </w:rPr>
              <w:t>25</w:t>
            </w:r>
            <w:r w:rsidR="00555E23">
              <w:rPr>
                <w:noProof/>
                <w:webHidden/>
              </w:rPr>
              <w:fldChar w:fldCharType="end"/>
            </w:r>
          </w:hyperlink>
        </w:p>
        <w:p w14:paraId="2A3DCB2F"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0" w:history="1">
            <w:r w:rsidR="00555E23" w:rsidRPr="007E3453">
              <w:rPr>
                <w:rStyle w:val="Hyperlink"/>
                <w:rFonts w:ascii="Times New Roman" w:hAnsi="Times New Roman"/>
                <w:noProof/>
                <w:lang w:val="lt-LT"/>
              </w:rPr>
              <w:t>1.2.2.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Šiluminės energijos pastato šildymui vartojimas</w:t>
            </w:r>
            <w:r w:rsidR="00555E23">
              <w:rPr>
                <w:noProof/>
                <w:webHidden/>
              </w:rPr>
              <w:tab/>
            </w:r>
            <w:r w:rsidR="00555E23">
              <w:rPr>
                <w:noProof/>
                <w:webHidden/>
              </w:rPr>
              <w:fldChar w:fldCharType="begin"/>
            </w:r>
            <w:r w:rsidR="00555E23">
              <w:rPr>
                <w:noProof/>
                <w:webHidden/>
              </w:rPr>
              <w:instrText xml:space="preserve"> PAGEREF _Toc59107510 \h </w:instrText>
            </w:r>
            <w:r w:rsidR="00555E23">
              <w:rPr>
                <w:noProof/>
                <w:webHidden/>
              </w:rPr>
            </w:r>
            <w:r w:rsidR="00555E23">
              <w:rPr>
                <w:noProof/>
                <w:webHidden/>
              </w:rPr>
              <w:fldChar w:fldCharType="separate"/>
            </w:r>
            <w:r>
              <w:rPr>
                <w:noProof/>
                <w:webHidden/>
              </w:rPr>
              <w:t>26</w:t>
            </w:r>
            <w:r w:rsidR="00555E23">
              <w:rPr>
                <w:noProof/>
                <w:webHidden/>
              </w:rPr>
              <w:fldChar w:fldCharType="end"/>
            </w:r>
          </w:hyperlink>
        </w:p>
        <w:p w14:paraId="1FA8832C"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1" w:history="1">
            <w:r w:rsidR="00555E23" w:rsidRPr="007E3453">
              <w:rPr>
                <w:rStyle w:val="Hyperlink"/>
                <w:rFonts w:ascii="Times New Roman" w:hAnsi="Times New Roman"/>
                <w:noProof/>
                <w:lang w:val="lt-LT"/>
              </w:rPr>
              <w:t>1.2.3.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Šiluminės energijos karštam vandeniui ruošti vartojimas</w:t>
            </w:r>
            <w:r w:rsidR="00555E23">
              <w:rPr>
                <w:noProof/>
                <w:webHidden/>
              </w:rPr>
              <w:tab/>
            </w:r>
            <w:r w:rsidR="00555E23">
              <w:rPr>
                <w:noProof/>
                <w:webHidden/>
              </w:rPr>
              <w:fldChar w:fldCharType="begin"/>
            </w:r>
            <w:r w:rsidR="00555E23">
              <w:rPr>
                <w:noProof/>
                <w:webHidden/>
              </w:rPr>
              <w:instrText xml:space="preserve"> PAGEREF _Toc59107511 \h </w:instrText>
            </w:r>
            <w:r w:rsidR="00555E23">
              <w:rPr>
                <w:noProof/>
                <w:webHidden/>
              </w:rPr>
            </w:r>
            <w:r w:rsidR="00555E23">
              <w:rPr>
                <w:noProof/>
                <w:webHidden/>
              </w:rPr>
              <w:fldChar w:fldCharType="separate"/>
            </w:r>
            <w:r>
              <w:rPr>
                <w:noProof/>
                <w:webHidden/>
              </w:rPr>
              <w:t>27</w:t>
            </w:r>
            <w:r w:rsidR="00555E23">
              <w:rPr>
                <w:noProof/>
                <w:webHidden/>
              </w:rPr>
              <w:fldChar w:fldCharType="end"/>
            </w:r>
          </w:hyperlink>
        </w:p>
        <w:p w14:paraId="1EBCF233"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2" w:history="1">
            <w:r w:rsidR="00555E23" w:rsidRPr="007E3453">
              <w:rPr>
                <w:rStyle w:val="Hyperlink"/>
                <w:rFonts w:ascii="Times New Roman" w:hAnsi="Times New Roman"/>
                <w:noProof/>
                <w:lang w:val="lt-LT"/>
              </w:rPr>
              <w:t>1.2.4.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Elektros energijos vartojimas</w:t>
            </w:r>
            <w:r w:rsidR="00555E23">
              <w:rPr>
                <w:noProof/>
                <w:webHidden/>
              </w:rPr>
              <w:tab/>
            </w:r>
            <w:r w:rsidR="00555E23">
              <w:rPr>
                <w:noProof/>
                <w:webHidden/>
              </w:rPr>
              <w:fldChar w:fldCharType="begin"/>
            </w:r>
            <w:r w:rsidR="00555E23">
              <w:rPr>
                <w:noProof/>
                <w:webHidden/>
              </w:rPr>
              <w:instrText xml:space="preserve"> PAGEREF _Toc59107512 \h </w:instrText>
            </w:r>
            <w:r w:rsidR="00555E23">
              <w:rPr>
                <w:noProof/>
                <w:webHidden/>
              </w:rPr>
            </w:r>
            <w:r w:rsidR="00555E23">
              <w:rPr>
                <w:noProof/>
                <w:webHidden/>
              </w:rPr>
              <w:fldChar w:fldCharType="separate"/>
            </w:r>
            <w:r>
              <w:rPr>
                <w:noProof/>
                <w:webHidden/>
              </w:rPr>
              <w:t>28</w:t>
            </w:r>
            <w:r w:rsidR="00555E23">
              <w:rPr>
                <w:noProof/>
                <w:webHidden/>
              </w:rPr>
              <w:fldChar w:fldCharType="end"/>
            </w:r>
          </w:hyperlink>
        </w:p>
        <w:p w14:paraId="51A43F61"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3" w:history="1">
            <w:r w:rsidR="00555E23" w:rsidRPr="007E3453">
              <w:rPr>
                <w:rStyle w:val="Hyperlink"/>
                <w:rFonts w:ascii="Times New Roman" w:hAnsi="Times New Roman"/>
                <w:noProof/>
                <w:lang w:val="lt-LT"/>
              </w:rPr>
              <w:t>1.2.5.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Pirminės energijos vartojimas</w:t>
            </w:r>
            <w:r w:rsidR="00555E23">
              <w:rPr>
                <w:noProof/>
                <w:webHidden/>
              </w:rPr>
              <w:tab/>
            </w:r>
            <w:r w:rsidR="00555E23">
              <w:rPr>
                <w:noProof/>
                <w:webHidden/>
              </w:rPr>
              <w:fldChar w:fldCharType="begin"/>
            </w:r>
            <w:r w:rsidR="00555E23">
              <w:rPr>
                <w:noProof/>
                <w:webHidden/>
              </w:rPr>
              <w:instrText xml:space="preserve"> PAGEREF _Toc59107513 \h </w:instrText>
            </w:r>
            <w:r w:rsidR="00555E23">
              <w:rPr>
                <w:noProof/>
                <w:webHidden/>
              </w:rPr>
            </w:r>
            <w:r w:rsidR="00555E23">
              <w:rPr>
                <w:noProof/>
                <w:webHidden/>
              </w:rPr>
              <w:fldChar w:fldCharType="separate"/>
            </w:r>
            <w:r>
              <w:rPr>
                <w:noProof/>
                <w:webHidden/>
              </w:rPr>
              <w:t>29</w:t>
            </w:r>
            <w:r w:rsidR="00555E23">
              <w:rPr>
                <w:noProof/>
                <w:webHidden/>
              </w:rPr>
              <w:fldChar w:fldCharType="end"/>
            </w:r>
          </w:hyperlink>
        </w:p>
        <w:p w14:paraId="25205690"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14" w:history="1">
            <w:r w:rsidR="00555E23" w:rsidRPr="007E3453">
              <w:rPr>
                <w:rStyle w:val="Hyperlink"/>
                <w:rFonts w:ascii="Times New Roman" w:hAnsi="Times New Roman"/>
                <w:noProof/>
                <w:lang w:val="lt-LT"/>
              </w:rPr>
              <w:t>1.3.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Pastatų fondo CO</w:t>
            </w:r>
            <w:r w:rsidR="00555E23" w:rsidRPr="007E3453">
              <w:rPr>
                <w:rStyle w:val="Hyperlink"/>
                <w:rFonts w:ascii="Times New Roman" w:hAnsi="Times New Roman"/>
                <w:noProof/>
                <w:vertAlign w:val="subscript"/>
                <w:lang w:val="lt-LT"/>
              </w:rPr>
              <w:t>2</w:t>
            </w:r>
            <w:r w:rsidR="00555E23" w:rsidRPr="007E3453">
              <w:rPr>
                <w:rStyle w:val="Hyperlink"/>
                <w:rFonts w:ascii="Times New Roman" w:hAnsi="Times New Roman"/>
                <w:noProof/>
                <w:lang w:val="lt-LT"/>
              </w:rPr>
              <w:t xml:space="preserve"> emisijos</w:t>
            </w:r>
            <w:r w:rsidR="00555E23">
              <w:rPr>
                <w:noProof/>
                <w:webHidden/>
              </w:rPr>
              <w:tab/>
            </w:r>
            <w:r w:rsidR="00555E23">
              <w:rPr>
                <w:noProof/>
                <w:webHidden/>
              </w:rPr>
              <w:fldChar w:fldCharType="begin"/>
            </w:r>
            <w:r w:rsidR="00555E23">
              <w:rPr>
                <w:noProof/>
                <w:webHidden/>
              </w:rPr>
              <w:instrText xml:space="preserve"> PAGEREF _Toc59107514 \h </w:instrText>
            </w:r>
            <w:r w:rsidR="00555E23">
              <w:rPr>
                <w:noProof/>
                <w:webHidden/>
              </w:rPr>
            </w:r>
            <w:r w:rsidR="00555E23">
              <w:rPr>
                <w:noProof/>
                <w:webHidden/>
              </w:rPr>
              <w:fldChar w:fldCharType="separate"/>
            </w:r>
            <w:r>
              <w:rPr>
                <w:noProof/>
                <w:webHidden/>
              </w:rPr>
              <w:t>32</w:t>
            </w:r>
            <w:r w:rsidR="00555E23">
              <w:rPr>
                <w:noProof/>
                <w:webHidden/>
              </w:rPr>
              <w:fldChar w:fldCharType="end"/>
            </w:r>
          </w:hyperlink>
        </w:p>
        <w:p w14:paraId="64A5A27C"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15" w:history="1">
            <w:r w:rsidR="00555E23" w:rsidRPr="007E3453">
              <w:rPr>
                <w:rStyle w:val="Hyperlink"/>
                <w:rFonts w:ascii="Times New Roman" w:hAnsi="Times New Roman"/>
                <w:noProof/>
                <w:lang w:val="lt-LT"/>
              </w:rPr>
              <w:t>1.4.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Specifiniai pastatų fondo segmentai</w:t>
            </w:r>
            <w:r w:rsidR="00555E23">
              <w:rPr>
                <w:noProof/>
                <w:webHidden/>
              </w:rPr>
              <w:tab/>
            </w:r>
            <w:r w:rsidR="00555E23">
              <w:rPr>
                <w:noProof/>
                <w:webHidden/>
              </w:rPr>
              <w:fldChar w:fldCharType="begin"/>
            </w:r>
            <w:r w:rsidR="00555E23">
              <w:rPr>
                <w:noProof/>
                <w:webHidden/>
              </w:rPr>
              <w:instrText xml:space="preserve"> PAGEREF _Toc59107515 \h </w:instrText>
            </w:r>
            <w:r w:rsidR="00555E23">
              <w:rPr>
                <w:noProof/>
                <w:webHidden/>
              </w:rPr>
            </w:r>
            <w:r w:rsidR="00555E23">
              <w:rPr>
                <w:noProof/>
                <w:webHidden/>
              </w:rPr>
              <w:fldChar w:fldCharType="separate"/>
            </w:r>
            <w:r>
              <w:rPr>
                <w:noProof/>
                <w:webHidden/>
              </w:rPr>
              <w:t>34</w:t>
            </w:r>
            <w:r w:rsidR="00555E23">
              <w:rPr>
                <w:noProof/>
                <w:webHidden/>
              </w:rPr>
              <w:fldChar w:fldCharType="end"/>
            </w:r>
          </w:hyperlink>
        </w:p>
        <w:p w14:paraId="41575686"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6" w:history="1">
            <w:r w:rsidR="00555E23" w:rsidRPr="007E3453">
              <w:rPr>
                <w:rStyle w:val="Hyperlink"/>
                <w:rFonts w:ascii="Times New Roman" w:hAnsi="Times New Roman"/>
                <w:noProof/>
                <w:lang w:val="lt-LT"/>
              </w:rPr>
              <w:t>1.4.1.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Prasčiausio energinio naudingumo pastatai</w:t>
            </w:r>
            <w:r w:rsidR="00555E23">
              <w:rPr>
                <w:noProof/>
                <w:webHidden/>
              </w:rPr>
              <w:tab/>
            </w:r>
            <w:r w:rsidR="00555E23">
              <w:rPr>
                <w:noProof/>
                <w:webHidden/>
              </w:rPr>
              <w:fldChar w:fldCharType="begin"/>
            </w:r>
            <w:r w:rsidR="00555E23">
              <w:rPr>
                <w:noProof/>
                <w:webHidden/>
              </w:rPr>
              <w:instrText xml:space="preserve"> PAGEREF _Toc59107516 \h </w:instrText>
            </w:r>
            <w:r w:rsidR="00555E23">
              <w:rPr>
                <w:noProof/>
                <w:webHidden/>
              </w:rPr>
            </w:r>
            <w:r w:rsidR="00555E23">
              <w:rPr>
                <w:noProof/>
                <w:webHidden/>
              </w:rPr>
              <w:fldChar w:fldCharType="separate"/>
            </w:r>
            <w:r>
              <w:rPr>
                <w:noProof/>
                <w:webHidden/>
              </w:rPr>
              <w:t>34</w:t>
            </w:r>
            <w:r w:rsidR="00555E23">
              <w:rPr>
                <w:noProof/>
                <w:webHidden/>
              </w:rPr>
              <w:fldChar w:fldCharType="end"/>
            </w:r>
          </w:hyperlink>
        </w:p>
        <w:p w14:paraId="4E9F2699"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7" w:history="1">
            <w:r w:rsidR="00555E23" w:rsidRPr="007E3453">
              <w:rPr>
                <w:rStyle w:val="Hyperlink"/>
                <w:rFonts w:ascii="Times New Roman" w:hAnsi="Times New Roman"/>
                <w:noProof/>
                <w:lang w:val="lt-LT"/>
              </w:rPr>
              <w:t>1.4.2.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Apleisti ir nešildomi pastatai</w:t>
            </w:r>
            <w:r w:rsidR="00555E23">
              <w:rPr>
                <w:noProof/>
                <w:webHidden/>
              </w:rPr>
              <w:tab/>
            </w:r>
            <w:r w:rsidR="00555E23">
              <w:rPr>
                <w:noProof/>
                <w:webHidden/>
              </w:rPr>
              <w:fldChar w:fldCharType="begin"/>
            </w:r>
            <w:r w:rsidR="00555E23">
              <w:rPr>
                <w:noProof/>
                <w:webHidden/>
              </w:rPr>
              <w:instrText xml:space="preserve"> PAGEREF _Toc59107517 \h </w:instrText>
            </w:r>
            <w:r w:rsidR="00555E23">
              <w:rPr>
                <w:noProof/>
                <w:webHidden/>
              </w:rPr>
            </w:r>
            <w:r w:rsidR="00555E23">
              <w:rPr>
                <w:noProof/>
                <w:webHidden/>
              </w:rPr>
              <w:fldChar w:fldCharType="separate"/>
            </w:r>
            <w:r>
              <w:rPr>
                <w:noProof/>
                <w:webHidden/>
              </w:rPr>
              <w:t>35</w:t>
            </w:r>
            <w:r w:rsidR="00555E23">
              <w:rPr>
                <w:noProof/>
                <w:webHidden/>
              </w:rPr>
              <w:fldChar w:fldCharType="end"/>
            </w:r>
          </w:hyperlink>
        </w:p>
        <w:p w14:paraId="4A98A634"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8" w:history="1">
            <w:r w:rsidR="00555E23" w:rsidRPr="007E3453">
              <w:rPr>
                <w:rStyle w:val="Hyperlink"/>
                <w:rFonts w:ascii="Times New Roman" w:hAnsi="Times New Roman"/>
                <w:noProof/>
                <w:lang w:val="lt-LT"/>
              </w:rPr>
              <w:t>1.4.3.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Energijos beveik nevartojantys pastatai</w:t>
            </w:r>
            <w:r w:rsidR="00555E23">
              <w:rPr>
                <w:noProof/>
                <w:webHidden/>
              </w:rPr>
              <w:tab/>
            </w:r>
            <w:r w:rsidR="00555E23">
              <w:rPr>
                <w:noProof/>
                <w:webHidden/>
              </w:rPr>
              <w:fldChar w:fldCharType="begin"/>
            </w:r>
            <w:r w:rsidR="00555E23">
              <w:rPr>
                <w:noProof/>
                <w:webHidden/>
              </w:rPr>
              <w:instrText xml:space="preserve"> PAGEREF _Toc59107518 \h </w:instrText>
            </w:r>
            <w:r w:rsidR="00555E23">
              <w:rPr>
                <w:noProof/>
                <w:webHidden/>
              </w:rPr>
            </w:r>
            <w:r w:rsidR="00555E23">
              <w:rPr>
                <w:noProof/>
                <w:webHidden/>
              </w:rPr>
              <w:fldChar w:fldCharType="separate"/>
            </w:r>
            <w:r>
              <w:rPr>
                <w:noProof/>
                <w:webHidden/>
              </w:rPr>
              <w:t>36</w:t>
            </w:r>
            <w:r w:rsidR="00555E23">
              <w:rPr>
                <w:noProof/>
                <w:webHidden/>
              </w:rPr>
              <w:fldChar w:fldCharType="end"/>
            </w:r>
          </w:hyperlink>
        </w:p>
        <w:p w14:paraId="5D2D04F0"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19" w:history="1">
            <w:r w:rsidR="00555E23" w:rsidRPr="007E3453">
              <w:rPr>
                <w:rStyle w:val="Hyperlink"/>
                <w:rFonts w:ascii="Times New Roman" w:hAnsi="Times New Roman"/>
                <w:noProof/>
                <w:lang w:val="lt-LT"/>
              </w:rPr>
              <w:t>1.4.4.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Renovuoti pastatai</w:t>
            </w:r>
            <w:r w:rsidR="00555E23">
              <w:rPr>
                <w:noProof/>
                <w:webHidden/>
              </w:rPr>
              <w:tab/>
            </w:r>
            <w:r w:rsidR="00555E23">
              <w:rPr>
                <w:noProof/>
                <w:webHidden/>
              </w:rPr>
              <w:fldChar w:fldCharType="begin"/>
            </w:r>
            <w:r w:rsidR="00555E23">
              <w:rPr>
                <w:noProof/>
                <w:webHidden/>
              </w:rPr>
              <w:instrText xml:space="preserve"> PAGEREF _Toc59107519 \h </w:instrText>
            </w:r>
            <w:r w:rsidR="00555E23">
              <w:rPr>
                <w:noProof/>
                <w:webHidden/>
              </w:rPr>
            </w:r>
            <w:r w:rsidR="00555E23">
              <w:rPr>
                <w:noProof/>
                <w:webHidden/>
              </w:rPr>
              <w:fldChar w:fldCharType="separate"/>
            </w:r>
            <w:r>
              <w:rPr>
                <w:noProof/>
                <w:webHidden/>
              </w:rPr>
              <w:t>36</w:t>
            </w:r>
            <w:r w:rsidR="00555E23">
              <w:rPr>
                <w:noProof/>
                <w:webHidden/>
              </w:rPr>
              <w:fldChar w:fldCharType="end"/>
            </w:r>
          </w:hyperlink>
        </w:p>
        <w:p w14:paraId="2323422E"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20" w:history="1">
            <w:r w:rsidR="00555E23" w:rsidRPr="007E3453">
              <w:rPr>
                <w:rStyle w:val="Hyperlink"/>
                <w:rFonts w:ascii="Times New Roman" w:hAnsi="Times New Roman"/>
                <w:noProof/>
                <w:lang w:val="lt-LT"/>
              </w:rPr>
              <w:t>1.4.5.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Viešieji pastatai</w:t>
            </w:r>
            <w:r w:rsidR="00555E23">
              <w:rPr>
                <w:noProof/>
                <w:webHidden/>
              </w:rPr>
              <w:tab/>
            </w:r>
            <w:r w:rsidR="00555E23">
              <w:rPr>
                <w:noProof/>
                <w:webHidden/>
              </w:rPr>
              <w:fldChar w:fldCharType="begin"/>
            </w:r>
            <w:r w:rsidR="00555E23">
              <w:rPr>
                <w:noProof/>
                <w:webHidden/>
              </w:rPr>
              <w:instrText xml:space="preserve"> PAGEREF _Toc59107520 \h </w:instrText>
            </w:r>
            <w:r w:rsidR="00555E23">
              <w:rPr>
                <w:noProof/>
                <w:webHidden/>
              </w:rPr>
            </w:r>
            <w:r w:rsidR="00555E23">
              <w:rPr>
                <w:noProof/>
                <w:webHidden/>
              </w:rPr>
              <w:fldChar w:fldCharType="separate"/>
            </w:r>
            <w:r>
              <w:rPr>
                <w:noProof/>
                <w:webHidden/>
              </w:rPr>
              <w:t>38</w:t>
            </w:r>
            <w:r w:rsidR="00555E23">
              <w:rPr>
                <w:noProof/>
                <w:webHidden/>
              </w:rPr>
              <w:fldChar w:fldCharType="end"/>
            </w:r>
          </w:hyperlink>
        </w:p>
        <w:p w14:paraId="1AAEB422"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21" w:history="1">
            <w:r w:rsidR="00555E23" w:rsidRPr="007E3453">
              <w:rPr>
                <w:rStyle w:val="Hyperlink"/>
                <w:rFonts w:ascii="Times New Roman" w:hAnsi="Times New Roman"/>
                <w:noProof/>
                <w:lang w:val="lt-LT"/>
              </w:rPr>
              <w:t>1.5.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Esminiai skyriaus pastebėjimai</w:t>
            </w:r>
            <w:r w:rsidR="00555E23">
              <w:rPr>
                <w:noProof/>
                <w:webHidden/>
              </w:rPr>
              <w:tab/>
            </w:r>
            <w:r w:rsidR="00555E23">
              <w:rPr>
                <w:noProof/>
                <w:webHidden/>
              </w:rPr>
              <w:fldChar w:fldCharType="begin"/>
            </w:r>
            <w:r w:rsidR="00555E23">
              <w:rPr>
                <w:noProof/>
                <w:webHidden/>
              </w:rPr>
              <w:instrText xml:space="preserve"> PAGEREF _Toc59107521 \h </w:instrText>
            </w:r>
            <w:r w:rsidR="00555E23">
              <w:rPr>
                <w:noProof/>
                <w:webHidden/>
              </w:rPr>
            </w:r>
            <w:r w:rsidR="00555E23">
              <w:rPr>
                <w:noProof/>
                <w:webHidden/>
              </w:rPr>
              <w:fldChar w:fldCharType="separate"/>
            </w:r>
            <w:r>
              <w:rPr>
                <w:noProof/>
                <w:webHidden/>
              </w:rPr>
              <w:t>39</w:t>
            </w:r>
            <w:r w:rsidR="00555E23">
              <w:rPr>
                <w:noProof/>
                <w:webHidden/>
              </w:rPr>
              <w:fldChar w:fldCharType="end"/>
            </w:r>
          </w:hyperlink>
        </w:p>
        <w:p w14:paraId="3B413286"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22" w:history="1">
            <w:r w:rsidR="00555E23" w:rsidRPr="007E3453">
              <w:rPr>
                <w:rStyle w:val="Hyperlink"/>
                <w:rFonts w:ascii="Times New Roman" w:hAnsi="Times New Roman"/>
                <w:noProof/>
              </w:rPr>
              <w:t>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EKONOMIŠKAI EFEKTYVIAUSI RENOVACIJOS BŪDAI</w:t>
            </w:r>
            <w:r w:rsidR="00555E23">
              <w:rPr>
                <w:noProof/>
                <w:webHidden/>
              </w:rPr>
              <w:tab/>
            </w:r>
            <w:r w:rsidR="00555E23">
              <w:rPr>
                <w:noProof/>
                <w:webHidden/>
              </w:rPr>
              <w:fldChar w:fldCharType="begin"/>
            </w:r>
            <w:r w:rsidR="00555E23">
              <w:rPr>
                <w:noProof/>
                <w:webHidden/>
              </w:rPr>
              <w:instrText xml:space="preserve"> PAGEREF _Toc59107522 \h </w:instrText>
            </w:r>
            <w:r w:rsidR="00555E23">
              <w:rPr>
                <w:noProof/>
                <w:webHidden/>
              </w:rPr>
            </w:r>
            <w:r w:rsidR="00555E23">
              <w:rPr>
                <w:noProof/>
                <w:webHidden/>
              </w:rPr>
              <w:fldChar w:fldCharType="separate"/>
            </w:r>
            <w:r>
              <w:rPr>
                <w:noProof/>
                <w:webHidden/>
              </w:rPr>
              <w:t>40</w:t>
            </w:r>
            <w:r w:rsidR="00555E23">
              <w:rPr>
                <w:noProof/>
                <w:webHidden/>
              </w:rPr>
              <w:fldChar w:fldCharType="end"/>
            </w:r>
          </w:hyperlink>
        </w:p>
        <w:p w14:paraId="4F3C2508"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23" w:history="1">
            <w:r w:rsidR="00555E23" w:rsidRPr="007E3453">
              <w:rPr>
                <w:rStyle w:val="Hyperlink"/>
                <w:rFonts w:ascii="Times New Roman" w:hAnsi="Times New Roman"/>
                <w:noProof/>
                <w:lang w:val="lt-LT"/>
              </w:rPr>
              <w:t>2.1.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Renovacijos priemonių paketai</w:t>
            </w:r>
            <w:r w:rsidR="00555E23">
              <w:rPr>
                <w:noProof/>
                <w:webHidden/>
              </w:rPr>
              <w:tab/>
            </w:r>
            <w:r w:rsidR="00555E23">
              <w:rPr>
                <w:noProof/>
                <w:webHidden/>
              </w:rPr>
              <w:fldChar w:fldCharType="begin"/>
            </w:r>
            <w:r w:rsidR="00555E23">
              <w:rPr>
                <w:noProof/>
                <w:webHidden/>
              </w:rPr>
              <w:instrText xml:space="preserve"> PAGEREF _Toc59107523 \h </w:instrText>
            </w:r>
            <w:r w:rsidR="00555E23">
              <w:rPr>
                <w:noProof/>
                <w:webHidden/>
              </w:rPr>
            </w:r>
            <w:r w:rsidR="00555E23">
              <w:rPr>
                <w:noProof/>
                <w:webHidden/>
              </w:rPr>
              <w:fldChar w:fldCharType="separate"/>
            </w:r>
            <w:r>
              <w:rPr>
                <w:noProof/>
                <w:webHidden/>
              </w:rPr>
              <w:t>40</w:t>
            </w:r>
            <w:r w:rsidR="00555E23">
              <w:rPr>
                <w:noProof/>
                <w:webHidden/>
              </w:rPr>
              <w:fldChar w:fldCharType="end"/>
            </w:r>
          </w:hyperlink>
        </w:p>
        <w:p w14:paraId="51658264"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24" w:history="1">
            <w:r w:rsidR="00555E23" w:rsidRPr="007E3453">
              <w:rPr>
                <w:rStyle w:val="Hyperlink"/>
                <w:rFonts w:ascii="Times New Roman" w:hAnsi="Times New Roman"/>
                <w:noProof/>
                <w:lang w:val="lt-LT"/>
              </w:rPr>
              <w:t>2.2.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Investicijų poreikio nustatymas</w:t>
            </w:r>
            <w:r w:rsidR="00555E23">
              <w:rPr>
                <w:noProof/>
                <w:webHidden/>
              </w:rPr>
              <w:tab/>
            </w:r>
            <w:r w:rsidR="00555E23">
              <w:rPr>
                <w:noProof/>
                <w:webHidden/>
              </w:rPr>
              <w:fldChar w:fldCharType="begin"/>
            </w:r>
            <w:r w:rsidR="00555E23">
              <w:rPr>
                <w:noProof/>
                <w:webHidden/>
              </w:rPr>
              <w:instrText xml:space="preserve"> PAGEREF _Toc59107524 \h </w:instrText>
            </w:r>
            <w:r w:rsidR="00555E23">
              <w:rPr>
                <w:noProof/>
                <w:webHidden/>
              </w:rPr>
            </w:r>
            <w:r w:rsidR="00555E23">
              <w:rPr>
                <w:noProof/>
                <w:webHidden/>
              </w:rPr>
              <w:fldChar w:fldCharType="separate"/>
            </w:r>
            <w:r>
              <w:rPr>
                <w:noProof/>
                <w:webHidden/>
              </w:rPr>
              <w:t>43</w:t>
            </w:r>
            <w:r w:rsidR="00555E23">
              <w:rPr>
                <w:noProof/>
                <w:webHidden/>
              </w:rPr>
              <w:fldChar w:fldCharType="end"/>
            </w:r>
          </w:hyperlink>
        </w:p>
        <w:p w14:paraId="3E48120A"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25" w:history="1">
            <w:r w:rsidR="00555E23" w:rsidRPr="007E3453">
              <w:rPr>
                <w:rStyle w:val="Hyperlink"/>
                <w:rFonts w:ascii="Times New Roman" w:hAnsi="Times New Roman"/>
                <w:noProof/>
                <w:lang w:val="lt-LT"/>
              </w:rPr>
              <w:t>2.3.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Energijos ir CO</w:t>
            </w:r>
            <w:r w:rsidR="00555E23" w:rsidRPr="007E3453">
              <w:rPr>
                <w:rStyle w:val="Hyperlink"/>
                <w:rFonts w:ascii="Times New Roman" w:hAnsi="Times New Roman"/>
                <w:noProof/>
                <w:vertAlign w:val="subscript"/>
                <w:lang w:val="lt-LT"/>
              </w:rPr>
              <w:t>2</w:t>
            </w:r>
            <w:r w:rsidR="00555E23" w:rsidRPr="007E3453">
              <w:rPr>
                <w:rStyle w:val="Hyperlink"/>
                <w:rFonts w:ascii="Times New Roman" w:hAnsi="Times New Roman"/>
                <w:noProof/>
                <w:lang w:val="lt-LT"/>
              </w:rPr>
              <w:t xml:space="preserve"> sutaupymų nustatymas</w:t>
            </w:r>
            <w:r w:rsidR="00555E23">
              <w:rPr>
                <w:noProof/>
                <w:webHidden/>
              </w:rPr>
              <w:tab/>
            </w:r>
            <w:r w:rsidR="00555E23">
              <w:rPr>
                <w:noProof/>
                <w:webHidden/>
              </w:rPr>
              <w:fldChar w:fldCharType="begin"/>
            </w:r>
            <w:r w:rsidR="00555E23">
              <w:rPr>
                <w:noProof/>
                <w:webHidden/>
              </w:rPr>
              <w:instrText xml:space="preserve"> PAGEREF _Toc59107525 \h </w:instrText>
            </w:r>
            <w:r w:rsidR="00555E23">
              <w:rPr>
                <w:noProof/>
                <w:webHidden/>
              </w:rPr>
            </w:r>
            <w:r w:rsidR="00555E23">
              <w:rPr>
                <w:noProof/>
                <w:webHidden/>
              </w:rPr>
              <w:fldChar w:fldCharType="separate"/>
            </w:r>
            <w:r>
              <w:rPr>
                <w:noProof/>
                <w:webHidden/>
              </w:rPr>
              <w:t>44</w:t>
            </w:r>
            <w:r w:rsidR="00555E23">
              <w:rPr>
                <w:noProof/>
                <w:webHidden/>
              </w:rPr>
              <w:fldChar w:fldCharType="end"/>
            </w:r>
          </w:hyperlink>
        </w:p>
        <w:p w14:paraId="6DE8F00F"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26" w:history="1">
            <w:r w:rsidR="00555E23" w:rsidRPr="007E3453">
              <w:rPr>
                <w:rStyle w:val="Hyperlink"/>
                <w:rFonts w:ascii="Times New Roman" w:hAnsi="Times New Roman"/>
                <w:noProof/>
                <w:lang w:val="lt-LT"/>
              </w:rPr>
              <w:t>2.3.1.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Pirminės energijos sutaupymai</w:t>
            </w:r>
            <w:r w:rsidR="00555E23">
              <w:rPr>
                <w:noProof/>
                <w:webHidden/>
              </w:rPr>
              <w:tab/>
            </w:r>
            <w:r w:rsidR="00555E23">
              <w:rPr>
                <w:noProof/>
                <w:webHidden/>
              </w:rPr>
              <w:fldChar w:fldCharType="begin"/>
            </w:r>
            <w:r w:rsidR="00555E23">
              <w:rPr>
                <w:noProof/>
                <w:webHidden/>
              </w:rPr>
              <w:instrText xml:space="preserve"> PAGEREF _Toc59107526 \h </w:instrText>
            </w:r>
            <w:r w:rsidR="00555E23">
              <w:rPr>
                <w:noProof/>
                <w:webHidden/>
              </w:rPr>
            </w:r>
            <w:r w:rsidR="00555E23">
              <w:rPr>
                <w:noProof/>
                <w:webHidden/>
              </w:rPr>
              <w:fldChar w:fldCharType="separate"/>
            </w:r>
            <w:r>
              <w:rPr>
                <w:noProof/>
                <w:webHidden/>
              </w:rPr>
              <w:t>45</w:t>
            </w:r>
            <w:r w:rsidR="00555E23">
              <w:rPr>
                <w:noProof/>
                <w:webHidden/>
              </w:rPr>
              <w:fldChar w:fldCharType="end"/>
            </w:r>
          </w:hyperlink>
        </w:p>
        <w:p w14:paraId="1C4E54E8"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27" w:history="1">
            <w:r w:rsidR="00555E23" w:rsidRPr="007E3453">
              <w:rPr>
                <w:rStyle w:val="Hyperlink"/>
                <w:rFonts w:ascii="Times New Roman" w:hAnsi="Times New Roman"/>
                <w:noProof/>
                <w:lang w:val="lt-LT"/>
              </w:rPr>
              <w:t>2.3.2.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CO</w:t>
            </w:r>
            <w:r w:rsidR="00555E23" w:rsidRPr="007E3453">
              <w:rPr>
                <w:rStyle w:val="Hyperlink"/>
                <w:rFonts w:ascii="Times New Roman" w:hAnsi="Times New Roman"/>
                <w:noProof/>
                <w:vertAlign w:val="subscript"/>
                <w:lang w:val="lt-LT"/>
              </w:rPr>
              <w:t>2</w:t>
            </w:r>
            <w:r w:rsidR="00555E23" w:rsidRPr="007E3453">
              <w:rPr>
                <w:rStyle w:val="Hyperlink"/>
                <w:rFonts w:ascii="Times New Roman" w:hAnsi="Times New Roman"/>
                <w:noProof/>
                <w:lang w:val="lt-LT"/>
              </w:rPr>
              <w:t xml:space="preserve"> emisijų sutaupymai</w:t>
            </w:r>
            <w:r w:rsidR="00555E23">
              <w:rPr>
                <w:noProof/>
                <w:webHidden/>
              </w:rPr>
              <w:tab/>
            </w:r>
            <w:r w:rsidR="00555E23">
              <w:rPr>
                <w:noProof/>
                <w:webHidden/>
              </w:rPr>
              <w:fldChar w:fldCharType="begin"/>
            </w:r>
            <w:r w:rsidR="00555E23">
              <w:rPr>
                <w:noProof/>
                <w:webHidden/>
              </w:rPr>
              <w:instrText xml:space="preserve"> PAGEREF _Toc59107527 \h </w:instrText>
            </w:r>
            <w:r w:rsidR="00555E23">
              <w:rPr>
                <w:noProof/>
                <w:webHidden/>
              </w:rPr>
            </w:r>
            <w:r w:rsidR="00555E23">
              <w:rPr>
                <w:noProof/>
                <w:webHidden/>
              </w:rPr>
              <w:fldChar w:fldCharType="separate"/>
            </w:r>
            <w:r>
              <w:rPr>
                <w:noProof/>
                <w:webHidden/>
              </w:rPr>
              <w:t>46</w:t>
            </w:r>
            <w:r w:rsidR="00555E23">
              <w:rPr>
                <w:noProof/>
                <w:webHidden/>
              </w:rPr>
              <w:fldChar w:fldCharType="end"/>
            </w:r>
          </w:hyperlink>
        </w:p>
        <w:p w14:paraId="041BF983"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28" w:history="1">
            <w:r w:rsidR="00555E23" w:rsidRPr="007E3453">
              <w:rPr>
                <w:rStyle w:val="Hyperlink"/>
                <w:rFonts w:ascii="Times New Roman" w:hAnsi="Times New Roman"/>
                <w:noProof/>
                <w:lang w:val="lt-LT"/>
              </w:rPr>
              <w:t>2.3.3.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Pirminės energijos kaina (Eur/kWh)</w:t>
            </w:r>
            <w:r w:rsidR="00555E23">
              <w:rPr>
                <w:noProof/>
                <w:webHidden/>
              </w:rPr>
              <w:tab/>
            </w:r>
            <w:r w:rsidR="00555E23">
              <w:rPr>
                <w:noProof/>
                <w:webHidden/>
              </w:rPr>
              <w:fldChar w:fldCharType="begin"/>
            </w:r>
            <w:r w:rsidR="00555E23">
              <w:rPr>
                <w:noProof/>
                <w:webHidden/>
              </w:rPr>
              <w:instrText xml:space="preserve"> PAGEREF _Toc59107528 \h </w:instrText>
            </w:r>
            <w:r w:rsidR="00555E23">
              <w:rPr>
                <w:noProof/>
                <w:webHidden/>
              </w:rPr>
            </w:r>
            <w:r w:rsidR="00555E23">
              <w:rPr>
                <w:noProof/>
                <w:webHidden/>
              </w:rPr>
              <w:fldChar w:fldCharType="separate"/>
            </w:r>
            <w:r>
              <w:rPr>
                <w:noProof/>
                <w:webHidden/>
              </w:rPr>
              <w:t>47</w:t>
            </w:r>
            <w:r w:rsidR="00555E23">
              <w:rPr>
                <w:noProof/>
                <w:webHidden/>
              </w:rPr>
              <w:fldChar w:fldCharType="end"/>
            </w:r>
          </w:hyperlink>
        </w:p>
        <w:p w14:paraId="403FD707"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29" w:history="1">
            <w:r w:rsidR="00555E23" w:rsidRPr="007E3453">
              <w:rPr>
                <w:rStyle w:val="Hyperlink"/>
                <w:rFonts w:ascii="Times New Roman" w:hAnsi="Times New Roman"/>
                <w:noProof/>
                <w:lang w:val="lt-LT"/>
              </w:rPr>
              <w:t>2.3.4.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CO2 emisijų kaina</w:t>
            </w:r>
            <w:r w:rsidR="00555E23">
              <w:rPr>
                <w:noProof/>
                <w:webHidden/>
              </w:rPr>
              <w:tab/>
            </w:r>
            <w:r w:rsidR="00555E23">
              <w:rPr>
                <w:noProof/>
                <w:webHidden/>
              </w:rPr>
              <w:fldChar w:fldCharType="begin"/>
            </w:r>
            <w:r w:rsidR="00555E23">
              <w:rPr>
                <w:noProof/>
                <w:webHidden/>
              </w:rPr>
              <w:instrText xml:space="preserve"> PAGEREF _Toc59107529 \h </w:instrText>
            </w:r>
            <w:r w:rsidR="00555E23">
              <w:rPr>
                <w:noProof/>
                <w:webHidden/>
              </w:rPr>
            </w:r>
            <w:r w:rsidR="00555E23">
              <w:rPr>
                <w:noProof/>
                <w:webHidden/>
              </w:rPr>
              <w:fldChar w:fldCharType="separate"/>
            </w:r>
            <w:r>
              <w:rPr>
                <w:noProof/>
                <w:webHidden/>
              </w:rPr>
              <w:t>47</w:t>
            </w:r>
            <w:r w:rsidR="00555E23">
              <w:rPr>
                <w:noProof/>
                <w:webHidden/>
              </w:rPr>
              <w:fldChar w:fldCharType="end"/>
            </w:r>
          </w:hyperlink>
        </w:p>
        <w:p w14:paraId="6C290979"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0" w:history="1">
            <w:r w:rsidR="00555E23" w:rsidRPr="007E3453">
              <w:rPr>
                <w:rStyle w:val="Hyperlink"/>
                <w:rFonts w:ascii="Times New Roman" w:hAnsi="Times New Roman"/>
                <w:noProof/>
                <w:lang w:val="lt-LT"/>
              </w:rPr>
              <w:t>2.4.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Kitų modeliavimo parametrų nustatymas</w:t>
            </w:r>
            <w:r w:rsidR="00555E23">
              <w:rPr>
                <w:noProof/>
                <w:webHidden/>
              </w:rPr>
              <w:tab/>
            </w:r>
            <w:r w:rsidR="00555E23">
              <w:rPr>
                <w:noProof/>
                <w:webHidden/>
              </w:rPr>
              <w:fldChar w:fldCharType="begin"/>
            </w:r>
            <w:r w:rsidR="00555E23">
              <w:rPr>
                <w:noProof/>
                <w:webHidden/>
              </w:rPr>
              <w:instrText xml:space="preserve"> PAGEREF _Toc59107530 \h </w:instrText>
            </w:r>
            <w:r w:rsidR="00555E23">
              <w:rPr>
                <w:noProof/>
                <w:webHidden/>
              </w:rPr>
            </w:r>
            <w:r w:rsidR="00555E23">
              <w:rPr>
                <w:noProof/>
                <w:webHidden/>
              </w:rPr>
              <w:fldChar w:fldCharType="separate"/>
            </w:r>
            <w:r>
              <w:rPr>
                <w:noProof/>
                <w:webHidden/>
              </w:rPr>
              <w:t>47</w:t>
            </w:r>
            <w:r w:rsidR="00555E23">
              <w:rPr>
                <w:noProof/>
                <w:webHidden/>
              </w:rPr>
              <w:fldChar w:fldCharType="end"/>
            </w:r>
          </w:hyperlink>
        </w:p>
        <w:p w14:paraId="7D5D504E"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1" w:history="1">
            <w:r w:rsidR="00555E23" w:rsidRPr="007E3453">
              <w:rPr>
                <w:rStyle w:val="Hyperlink"/>
                <w:rFonts w:ascii="Times New Roman" w:hAnsi="Times New Roman"/>
                <w:noProof/>
                <w:lang w:val="lt-LT"/>
              </w:rPr>
              <w:t>2.5.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Modeliavimo algoritmas</w:t>
            </w:r>
            <w:r w:rsidR="00555E23">
              <w:rPr>
                <w:noProof/>
                <w:webHidden/>
              </w:rPr>
              <w:tab/>
            </w:r>
            <w:r w:rsidR="00555E23">
              <w:rPr>
                <w:noProof/>
                <w:webHidden/>
              </w:rPr>
              <w:fldChar w:fldCharType="begin"/>
            </w:r>
            <w:r w:rsidR="00555E23">
              <w:rPr>
                <w:noProof/>
                <w:webHidden/>
              </w:rPr>
              <w:instrText xml:space="preserve"> PAGEREF _Toc59107531 \h </w:instrText>
            </w:r>
            <w:r w:rsidR="00555E23">
              <w:rPr>
                <w:noProof/>
                <w:webHidden/>
              </w:rPr>
            </w:r>
            <w:r w:rsidR="00555E23">
              <w:rPr>
                <w:noProof/>
                <w:webHidden/>
              </w:rPr>
              <w:fldChar w:fldCharType="separate"/>
            </w:r>
            <w:r>
              <w:rPr>
                <w:noProof/>
                <w:webHidden/>
              </w:rPr>
              <w:t>48</w:t>
            </w:r>
            <w:r w:rsidR="00555E23">
              <w:rPr>
                <w:noProof/>
                <w:webHidden/>
              </w:rPr>
              <w:fldChar w:fldCharType="end"/>
            </w:r>
          </w:hyperlink>
        </w:p>
        <w:p w14:paraId="7FDEA902"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2" w:history="1">
            <w:r w:rsidR="00555E23" w:rsidRPr="007E3453">
              <w:rPr>
                <w:rStyle w:val="Hyperlink"/>
                <w:rFonts w:ascii="Times New Roman" w:hAnsi="Times New Roman"/>
                <w:noProof/>
                <w:lang w:val="lt-LT"/>
              </w:rPr>
              <w:t>2.6.</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Finansinio efektyvumo vertinimas</w:t>
            </w:r>
            <w:r w:rsidR="00555E23">
              <w:rPr>
                <w:noProof/>
                <w:webHidden/>
              </w:rPr>
              <w:tab/>
            </w:r>
            <w:r w:rsidR="00555E23">
              <w:rPr>
                <w:noProof/>
                <w:webHidden/>
              </w:rPr>
              <w:fldChar w:fldCharType="begin"/>
            </w:r>
            <w:r w:rsidR="00555E23">
              <w:rPr>
                <w:noProof/>
                <w:webHidden/>
              </w:rPr>
              <w:instrText xml:space="preserve"> PAGEREF _Toc59107532 \h </w:instrText>
            </w:r>
            <w:r w:rsidR="00555E23">
              <w:rPr>
                <w:noProof/>
                <w:webHidden/>
              </w:rPr>
            </w:r>
            <w:r w:rsidR="00555E23">
              <w:rPr>
                <w:noProof/>
                <w:webHidden/>
              </w:rPr>
              <w:fldChar w:fldCharType="separate"/>
            </w:r>
            <w:r>
              <w:rPr>
                <w:noProof/>
                <w:webHidden/>
              </w:rPr>
              <w:t>49</w:t>
            </w:r>
            <w:r w:rsidR="00555E23">
              <w:rPr>
                <w:noProof/>
                <w:webHidden/>
              </w:rPr>
              <w:fldChar w:fldCharType="end"/>
            </w:r>
          </w:hyperlink>
        </w:p>
        <w:p w14:paraId="1C06A87E"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3" w:history="1">
            <w:r w:rsidR="00555E23" w:rsidRPr="007E3453">
              <w:rPr>
                <w:rStyle w:val="Hyperlink"/>
                <w:rFonts w:ascii="Times New Roman" w:hAnsi="Times New Roman"/>
                <w:noProof/>
                <w:lang w:val="lt-LT"/>
              </w:rPr>
              <w:t>2.7.</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Ekonominio efektyvumo vertinimas</w:t>
            </w:r>
            <w:r w:rsidR="00555E23">
              <w:rPr>
                <w:noProof/>
                <w:webHidden/>
              </w:rPr>
              <w:tab/>
            </w:r>
            <w:r w:rsidR="00555E23">
              <w:rPr>
                <w:noProof/>
                <w:webHidden/>
              </w:rPr>
              <w:fldChar w:fldCharType="begin"/>
            </w:r>
            <w:r w:rsidR="00555E23">
              <w:rPr>
                <w:noProof/>
                <w:webHidden/>
              </w:rPr>
              <w:instrText xml:space="preserve"> PAGEREF _Toc59107533 \h </w:instrText>
            </w:r>
            <w:r w:rsidR="00555E23">
              <w:rPr>
                <w:noProof/>
                <w:webHidden/>
              </w:rPr>
            </w:r>
            <w:r w:rsidR="00555E23">
              <w:rPr>
                <w:noProof/>
                <w:webHidden/>
              </w:rPr>
              <w:fldChar w:fldCharType="separate"/>
            </w:r>
            <w:r>
              <w:rPr>
                <w:noProof/>
                <w:webHidden/>
              </w:rPr>
              <w:t>50</w:t>
            </w:r>
            <w:r w:rsidR="00555E23">
              <w:rPr>
                <w:noProof/>
                <w:webHidden/>
              </w:rPr>
              <w:fldChar w:fldCharType="end"/>
            </w:r>
          </w:hyperlink>
        </w:p>
        <w:p w14:paraId="467A9981"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4" w:history="1">
            <w:r w:rsidR="00555E23" w:rsidRPr="007E3453">
              <w:rPr>
                <w:rStyle w:val="Hyperlink"/>
                <w:rFonts w:ascii="Times New Roman" w:hAnsi="Times New Roman"/>
                <w:noProof/>
                <w:lang w:val="lt-LT"/>
              </w:rPr>
              <w:t>2.8.</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Techniniai apribojimai</w:t>
            </w:r>
            <w:r w:rsidR="00555E23">
              <w:rPr>
                <w:noProof/>
                <w:webHidden/>
              </w:rPr>
              <w:tab/>
            </w:r>
            <w:r w:rsidR="00555E23">
              <w:rPr>
                <w:noProof/>
                <w:webHidden/>
              </w:rPr>
              <w:fldChar w:fldCharType="begin"/>
            </w:r>
            <w:r w:rsidR="00555E23">
              <w:rPr>
                <w:noProof/>
                <w:webHidden/>
              </w:rPr>
              <w:instrText xml:space="preserve"> PAGEREF _Toc59107534 \h </w:instrText>
            </w:r>
            <w:r w:rsidR="00555E23">
              <w:rPr>
                <w:noProof/>
                <w:webHidden/>
              </w:rPr>
            </w:r>
            <w:r w:rsidR="00555E23">
              <w:rPr>
                <w:noProof/>
                <w:webHidden/>
              </w:rPr>
              <w:fldChar w:fldCharType="separate"/>
            </w:r>
            <w:r>
              <w:rPr>
                <w:noProof/>
                <w:webHidden/>
              </w:rPr>
              <w:t>51</w:t>
            </w:r>
            <w:r w:rsidR="00555E23">
              <w:rPr>
                <w:noProof/>
                <w:webHidden/>
              </w:rPr>
              <w:fldChar w:fldCharType="end"/>
            </w:r>
          </w:hyperlink>
        </w:p>
        <w:p w14:paraId="685FB863"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5" w:history="1">
            <w:r w:rsidR="00555E23" w:rsidRPr="007E3453">
              <w:rPr>
                <w:rStyle w:val="Hyperlink"/>
                <w:rFonts w:ascii="Times New Roman" w:hAnsi="Times New Roman"/>
                <w:noProof/>
                <w:lang w:val="lt-LT"/>
              </w:rPr>
              <w:t>2.9.</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Inicijavimo momentas</w:t>
            </w:r>
            <w:r w:rsidR="00555E23">
              <w:rPr>
                <w:noProof/>
                <w:webHidden/>
              </w:rPr>
              <w:tab/>
            </w:r>
            <w:r w:rsidR="00555E23">
              <w:rPr>
                <w:noProof/>
                <w:webHidden/>
              </w:rPr>
              <w:fldChar w:fldCharType="begin"/>
            </w:r>
            <w:r w:rsidR="00555E23">
              <w:rPr>
                <w:noProof/>
                <w:webHidden/>
              </w:rPr>
              <w:instrText xml:space="preserve"> PAGEREF _Toc59107535 \h </w:instrText>
            </w:r>
            <w:r w:rsidR="00555E23">
              <w:rPr>
                <w:noProof/>
                <w:webHidden/>
              </w:rPr>
            </w:r>
            <w:r w:rsidR="00555E23">
              <w:rPr>
                <w:noProof/>
                <w:webHidden/>
              </w:rPr>
              <w:fldChar w:fldCharType="separate"/>
            </w:r>
            <w:r>
              <w:rPr>
                <w:noProof/>
                <w:webHidden/>
              </w:rPr>
              <w:t>52</w:t>
            </w:r>
            <w:r w:rsidR="00555E23">
              <w:rPr>
                <w:noProof/>
                <w:webHidden/>
              </w:rPr>
              <w:fldChar w:fldCharType="end"/>
            </w:r>
          </w:hyperlink>
        </w:p>
        <w:p w14:paraId="3B319597"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6" w:history="1">
            <w:r w:rsidR="00555E23" w:rsidRPr="007E3453">
              <w:rPr>
                <w:rStyle w:val="Hyperlink"/>
                <w:rFonts w:ascii="Times New Roman" w:hAnsi="Times New Roman"/>
                <w:noProof/>
                <w:lang w:val="lt-LT"/>
              </w:rPr>
              <w:t>2.10.</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Esminiai skyriaus pastebėjimai</w:t>
            </w:r>
            <w:r w:rsidR="00555E23">
              <w:rPr>
                <w:noProof/>
                <w:webHidden/>
              </w:rPr>
              <w:tab/>
            </w:r>
            <w:r w:rsidR="00555E23">
              <w:rPr>
                <w:noProof/>
                <w:webHidden/>
              </w:rPr>
              <w:fldChar w:fldCharType="begin"/>
            </w:r>
            <w:r w:rsidR="00555E23">
              <w:rPr>
                <w:noProof/>
                <w:webHidden/>
              </w:rPr>
              <w:instrText xml:space="preserve"> PAGEREF _Toc59107536 \h </w:instrText>
            </w:r>
            <w:r w:rsidR="00555E23">
              <w:rPr>
                <w:noProof/>
                <w:webHidden/>
              </w:rPr>
            </w:r>
            <w:r w:rsidR="00555E23">
              <w:rPr>
                <w:noProof/>
                <w:webHidden/>
              </w:rPr>
              <w:fldChar w:fldCharType="separate"/>
            </w:r>
            <w:r>
              <w:rPr>
                <w:noProof/>
                <w:webHidden/>
              </w:rPr>
              <w:t>54</w:t>
            </w:r>
            <w:r w:rsidR="00555E23">
              <w:rPr>
                <w:noProof/>
                <w:webHidden/>
              </w:rPr>
              <w:fldChar w:fldCharType="end"/>
            </w:r>
          </w:hyperlink>
        </w:p>
        <w:p w14:paraId="7844A3B5"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37" w:history="1">
            <w:r w:rsidR="00555E23" w:rsidRPr="007E3453">
              <w:rPr>
                <w:rStyle w:val="Hyperlink"/>
                <w:rFonts w:ascii="Times New Roman" w:hAnsi="Times New Roman"/>
                <w:noProof/>
              </w:rPr>
              <w:t>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TAIKOMOS PASTATŲ RENOVACIJOS POLITIKOS IR PRIEMONIŲ APŽVALGA</w:t>
            </w:r>
            <w:r w:rsidR="00555E23">
              <w:rPr>
                <w:noProof/>
                <w:webHidden/>
              </w:rPr>
              <w:tab/>
            </w:r>
            <w:r w:rsidR="00555E23">
              <w:rPr>
                <w:noProof/>
                <w:webHidden/>
              </w:rPr>
              <w:fldChar w:fldCharType="begin"/>
            </w:r>
            <w:r w:rsidR="00555E23">
              <w:rPr>
                <w:noProof/>
                <w:webHidden/>
              </w:rPr>
              <w:instrText xml:space="preserve"> PAGEREF _Toc59107537 \h </w:instrText>
            </w:r>
            <w:r w:rsidR="00555E23">
              <w:rPr>
                <w:noProof/>
                <w:webHidden/>
              </w:rPr>
            </w:r>
            <w:r w:rsidR="00555E23">
              <w:rPr>
                <w:noProof/>
                <w:webHidden/>
              </w:rPr>
              <w:fldChar w:fldCharType="separate"/>
            </w:r>
            <w:r>
              <w:rPr>
                <w:noProof/>
                <w:webHidden/>
              </w:rPr>
              <w:t>54</w:t>
            </w:r>
            <w:r w:rsidR="00555E23">
              <w:rPr>
                <w:noProof/>
                <w:webHidden/>
              </w:rPr>
              <w:fldChar w:fldCharType="end"/>
            </w:r>
          </w:hyperlink>
        </w:p>
        <w:p w14:paraId="7C495F7F"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8" w:history="1">
            <w:r w:rsidR="00555E23" w:rsidRPr="007E3453">
              <w:rPr>
                <w:rStyle w:val="Hyperlink"/>
                <w:rFonts w:ascii="Times New Roman" w:hAnsi="Times New Roman"/>
                <w:noProof/>
                <w:lang w:val="lt-LT"/>
              </w:rPr>
              <w:t>3.1.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Taikoma politika ir veiksmai, kuriais skatinama ekonomiškai efektyvi esminė pastatų renovacija</w:t>
            </w:r>
            <w:r w:rsidR="00555E23">
              <w:rPr>
                <w:noProof/>
                <w:webHidden/>
              </w:rPr>
              <w:tab/>
            </w:r>
            <w:r w:rsidR="00555E23">
              <w:rPr>
                <w:noProof/>
                <w:webHidden/>
              </w:rPr>
              <w:fldChar w:fldCharType="begin"/>
            </w:r>
            <w:r w:rsidR="00555E23">
              <w:rPr>
                <w:noProof/>
                <w:webHidden/>
              </w:rPr>
              <w:instrText xml:space="preserve"> PAGEREF _Toc59107538 \h </w:instrText>
            </w:r>
            <w:r w:rsidR="00555E23">
              <w:rPr>
                <w:noProof/>
                <w:webHidden/>
              </w:rPr>
            </w:r>
            <w:r w:rsidR="00555E23">
              <w:rPr>
                <w:noProof/>
                <w:webHidden/>
              </w:rPr>
              <w:fldChar w:fldCharType="separate"/>
            </w:r>
            <w:r>
              <w:rPr>
                <w:noProof/>
                <w:webHidden/>
              </w:rPr>
              <w:t>54</w:t>
            </w:r>
            <w:r w:rsidR="00555E23">
              <w:rPr>
                <w:noProof/>
                <w:webHidden/>
              </w:rPr>
              <w:fldChar w:fldCharType="end"/>
            </w:r>
          </w:hyperlink>
        </w:p>
        <w:p w14:paraId="25E17802"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39" w:history="1">
            <w:r w:rsidR="00555E23" w:rsidRPr="007E3453">
              <w:rPr>
                <w:rStyle w:val="Hyperlink"/>
                <w:rFonts w:ascii="Times New Roman" w:hAnsi="Times New Roman"/>
                <w:noProof/>
                <w:lang w:val="lt-LT"/>
              </w:rPr>
              <w:t>3.2.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Taikoma politika ir veiksmai orientuoti į tikslinius renovacijos segmentus</w:t>
            </w:r>
            <w:r w:rsidR="00555E23">
              <w:rPr>
                <w:noProof/>
                <w:webHidden/>
              </w:rPr>
              <w:tab/>
            </w:r>
            <w:r w:rsidR="00555E23">
              <w:rPr>
                <w:noProof/>
                <w:webHidden/>
              </w:rPr>
              <w:fldChar w:fldCharType="begin"/>
            </w:r>
            <w:r w:rsidR="00555E23">
              <w:rPr>
                <w:noProof/>
                <w:webHidden/>
              </w:rPr>
              <w:instrText xml:space="preserve"> PAGEREF _Toc59107539 \h </w:instrText>
            </w:r>
            <w:r w:rsidR="00555E23">
              <w:rPr>
                <w:noProof/>
                <w:webHidden/>
              </w:rPr>
            </w:r>
            <w:r w:rsidR="00555E23">
              <w:rPr>
                <w:noProof/>
                <w:webHidden/>
              </w:rPr>
              <w:fldChar w:fldCharType="separate"/>
            </w:r>
            <w:r>
              <w:rPr>
                <w:noProof/>
                <w:webHidden/>
              </w:rPr>
              <w:t>56</w:t>
            </w:r>
            <w:r w:rsidR="00555E23">
              <w:rPr>
                <w:noProof/>
                <w:webHidden/>
              </w:rPr>
              <w:fldChar w:fldCharType="end"/>
            </w:r>
          </w:hyperlink>
        </w:p>
        <w:p w14:paraId="55C5BBB8"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0" w:history="1">
            <w:r w:rsidR="00555E23" w:rsidRPr="007E3453">
              <w:rPr>
                <w:rStyle w:val="Hyperlink"/>
                <w:rFonts w:ascii="Times New Roman" w:hAnsi="Times New Roman"/>
                <w:noProof/>
                <w:lang w:val="lt-LT"/>
              </w:rPr>
              <w:t>3.2.1.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Prasčiausiai veikiantys pastatų fondo segmentai</w:t>
            </w:r>
            <w:r w:rsidR="00555E23">
              <w:rPr>
                <w:noProof/>
                <w:webHidden/>
              </w:rPr>
              <w:tab/>
            </w:r>
            <w:r w:rsidR="00555E23">
              <w:rPr>
                <w:noProof/>
                <w:webHidden/>
              </w:rPr>
              <w:fldChar w:fldCharType="begin"/>
            </w:r>
            <w:r w:rsidR="00555E23">
              <w:rPr>
                <w:noProof/>
                <w:webHidden/>
              </w:rPr>
              <w:instrText xml:space="preserve"> PAGEREF _Toc59107540 \h </w:instrText>
            </w:r>
            <w:r w:rsidR="00555E23">
              <w:rPr>
                <w:noProof/>
                <w:webHidden/>
              </w:rPr>
            </w:r>
            <w:r w:rsidR="00555E23">
              <w:rPr>
                <w:noProof/>
                <w:webHidden/>
              </w:rPr>
              <w:fldChar w:fldCharType="separate"/>
            </w:r>
            <w:r>
              <w:rPr>
                <w:noProof/>
                <w:webHidden/>
              </w:rPr>
              <w:t>56</w:t>
            </w:r>
            <w:r w:rsidR="00555E23">
              <w:rPr>
                <w:noProof/>
                <w:webHidden/>
              </w:rPr>
              <w:fldChar w:fldCharType="end"/>
            </w:r>
          </w:hyperlink>
        </w:p>
        <w:p w14:paraId="1DBF5744"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1" w:history="1">
            <w:r w:rsidR="00555E23" w:rsidRPr="007E3453">
              <w:rPr>
                <w:rStyle w:val="Hyperlink"/>
                <w:rFonts w:ascii="Times New Roman" w:hAnsi="Times New Roman"/>
                <w:noProof/>
                <w:lang w:val="lt-LT"/>
              </w:rPr>
              <w:t>3.2.2.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Skirtingų paskatų dilemos ir kiti rinkos nepakankamumo atvejai</w:t>
            </w:r>
            <w:r w:rsidR="00555E23">
              <w:rPr>
                <w:noProof/>
                <w:webHidden/>
              </w:rPr>
              <w:tab/>
            </w:r>
            <w:r w:rsidR="00555E23">
              <w:rPr>
                <w:noProof/>
                <w:webHidden/>
              </w:rPr>
              <w:fldChar w:fldCharType="begin"/>
            </w:r>
            <w:r w:rsidR="00555E23">
              <w:rPr>
                <w:noProof/>
                <w:webHidden/>
              </w:rPr>
              <w:instrText xml:space="preserve"> PAGEREF _Toc59107541 \h </w:instrText>
            </w:r>
            <w:r w:rsidR="00555E23">
              <w:rPr>
                <w:noProof/>
                <w:webHidden/>
              </w:rPr>
            </w:r>
            <w:r w:rsidR="00555E23">
              <w:rPr>
                <w:noProof/>
                <w:webHidden/>
              </w:rPr>
              <w:fldChar w:fldCharType="separate"/>
            </w:r>
            <w:r>
              <w:rPr>
                <w:noProof/>
                <w:webHidden/>
              </w:rPr>
              <w:t>57</w:t>
            </w:r>
            <w:r w:rsidR="00555E23">
              <w:rPr>
                <w:noProof/>
                <w:webHidden/>
              </w:rPr>
              <w:fldChar w:fldCharType="end"/>
            </w:r>
          </w:hyperlink>
        </w:p>
        <w:p w14:paraId="508381E0"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2" w:history="1">
            <w:r w:rsidR="00555E23" w:rsidRPr="007E3453">
              <w:rPr>
                <w:rStyle w:val="Hyperlink"/>
                <w:rFonts w:ascii="Times New Roman" w:hAnsi="Times New Roman"/>
                <w:noProof/>
                <w:lang w:val="lt-LT"/>
              </w:rPr>
              <w:t>3.2.3.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Taikoma politika ir veiksmai susiję su energijos nepritekliaus mažinimu</w:t>
            </w:r>
            <w:r w:rsidR="00555E23">
              <w:rPr>
                <w:noProof/>
                <w:webHidden/>
              </w:rPr>
              <w:tab/>
            </w:r>
            <w:r w:rsidR="00555E23">
              <w:rPr>
                <w:noProof/>
                <w:webHidden/>
              </w:rPr>
              <w:fldChar w:fldCharType="begin"/>
            </w:r>
            <w:r w:rsidR="00555E23">
              <w:rPr>
                <w:noProof/>
                <w:webHidden/>
              </w:rPr>
              <w:instrText xml:space="preserve"> PAGEREF _Toc59107542 \h </w:instrText>
            </w:r>
            <w:r w:rsidR="00555E23">
              <w:rPr>
                <w:noProof/>
                <w:webHidden/>
              </w:rPr>
            </w:r>
            <w:r w:rsidR="00555E23">
              <w:rPr>
                <w:noProof/>
                <w:webHidden/>
              </w:rPr>
              <w:fldChar w:fldCharType="separate"/>
            </w:r>
            <w:r>
              <w:rPr>
                <w:noProof/>
                <w:webHidden/>
              </w:rPr>
              <w:t>60</w:t>
            </w:r>
            <w:r w:rsidR="00555E23">
              <w:rPr>
                <w:noProof/>
                <w:webHidden/>
              </w:rPr>
              <w:fldChar w:fldCharType="end"/>
            </w:r>
          </w:hyperlink>
        </w:p>
        <w:p w14:paraId="601A54BA"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43" w:history="1">
            <w:r w:rsidR="00555E23" w:rsidRPr="007E3453">
              <w:rPr>
                <w:rStyle w:val="Hyperlink"/>
                <w:rFonts w:ascii="Times New Roman" w:hAnsi="Times New Roman"/>
                <w:noProof/>
                <w:lang w:val="lt-LT"/>
              </w:rPr>
              <w:t>3.3.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Taikoma politika ir veiksmai orientuoti į viešuosius pastatus</w:t>
            </w:r>
            <w:r w:rsidR="00555E23">
              <w:rPr>
                <w:noProof/>
                <w:webHidden/>
              </w:rPr>
              <w:tab/>
            </w:r>
            <w:r w:rsidR="00555E23">
              <w:rPr>
                <w:noProof/>
                <w:webHidden/>
              </w:rPr>
              <w:fldChar w:fldCharType="begin"/>
            </w:r>
            <w:r w:rsidR="00555E23">
              <w:rPr>
                <w:noProof/>
                <w:webHidden/>
              </w:rPr>
              <w:instrText xml:space="preserve"> PAGEREF _Toc59107543 \h </w:instrText>
            </w:r>
            <w:r w:rsidR="00555E23">
              <w:rPr>
                <w:noProof/>
                <w:webHidden/>
              </w:rPr>
            </w:r>
            <w:r w:rsidR="00555E23">
              <w:rPr>
                <w:noProof/>
                <w:webHidden/>
              </w:rPr>
              <w:fldChar w:fldCharType="separate"/>
            </w:r>
            <w:r>
              <w:rPr>
                <w:noProof/>
                <w:webHidden/>
              </w:rPr>
              <w:t>64</w:t>
            </w:r>
            <w:r w:rsidR="00555E23">
              <w:rPr>
                <w:noProof/>
                <w:webHidden/>
              </w:rPr>
              <w:fldChar w:fldCharType="end"/>
            </w:r>
          </w:hyperlink>
        </w:p>
        <w:p w14:paraId="6D31420D"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44" w:history="1">
            <w:r w:rsidR="00555E23" w:rsidRPr="007E3453">
              <w:rPr>
                <w:rStyle w:val="Hyperlink"/>
                <w:rFonts w:ascii="Times New Roman" w:hAnsi="Times New Roman"/>
                <w:noProof/>
                <w:lang w:val="lt-LT"/>
              </w:rPr>
              <w:t>3.4.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Nacionalinės iniciatyvos, kuriomis skatinamos išmaniosios technologijos ir pažangus pastatų valdymas</w:t>
            </w:r>
            <w:r w:rsidR="00555E23">
              <w:rPr>
                <w:noProof/>
                <w:webHidden/>
              </w:rPr>
              <w:tab/>
            </w:r>
            <w:r w:rsidR="00555E23">
              <w:rPr>
                <w:noProof/>
                <w:webHidden/>
              </w:rPr>
              <w:fldChar w:fldCharType="begin"/>
            </w:r>
            <w:r w:rsidR="00555E23">
              <w:rPr>
                <w:noProof/>
                <w:webHidden/>
              </w:rPr>
              <w:instrText xml:space="preserve"> PAGEREF _Toc59107544 \h </w:instrText>
            </w:r>
            <w:r w:rsidR="00555E23">
              <w:rPr>
                <w:noProof/>
                <w:webHidden/>
              </w:rPr>
            </w:r>
            <w:r w:rsidR="00555E23">
              <w:rPr>
                <w:noProof/>
                <w:webHidden/>
              </w:rPr>
              <w:fldChar w:fldCharType="separate"/>
            </w:r>
            <w:r>
              <w:rPr>
                <w:noProof/>
                <w:webHidden/>
              </w:rPr>
              <w:t>64</w:t>
            </w:r>
            <w:r w:rsidR="00555E23">
              <w:rPr>
                <w:noProof/>
                <w:webHidden/>
              </w:rPr>
              <w:fldChar w:fldCharType="end"/>
            </w:r>
          </w:hyperlink>
        </w:p>
        <w:p w14:paraId="15BFEECD"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5" w:history="1">
            <w:r w:rsidR="00555E23" w:rsidRPr="007E3453">
              <w:rPr>
                <w:rStyle w:val="Hyperlink"/>
                <w:rFonts w:ascii="Times New Roman" w:hAnsi="Times New Roman"/>
                <w:noProof/>
                <w:lang w:val="lt-LT"/>
              </w:rPr>
              <w:t>3.4.1.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Iniciatyvos numatytos Nacionalinėje energetikos nepriklausomybės strategijoje</w:t>
            </w:r>
            <w:r w:rsidR="00555E23">
              <w:rPr>
                <w:noProof/>
                <w:webHidden/>
              </w:rPr>
              <w:tab/>
            </w:r>
            <w:r w:rsidR="00555E23">
              <w:rPr>
                <w:noProof/>
                <w:webHidden/>
              </w:rPr>
              <w:fldChar w:fldCharType="begin"/>
            </w:r>
            <w:r w:rsidR="00555E23">
              <w:rPr>
                <w:noProof/>
                <w:webHidden/>
              </w:rPr>
              <w:instrText xml:space="preserve"> PAGEREF _Toc59107545 \h </w:instrText>
            </w:r>
            <w:r w:rsidR="00555E23">
              <w:rPr>
                <w:noProof/>
                <w:webHidden/>
              </w:rPr>
            </w:r>
            <w:r w:rsidR="00555E23">
              <w:rPr>
                <w:noProof/>
                <w:webHidden/>
              </w:rPr>
              <w:fldChar w:fldCharType="separate"/>
            </w:r>
            <w:r>
              <w:rPr>
                <w:noProof/>
                <w:webHidden/>
              </w:rPr>
              <w:t>65</w:t>
            </w:r>
            <w:r w:rsidR="00555E23">
              <w:rPr>
                <w:noProof/>
                <w:webHidden/>
              </w:rPr>
              <w:fldChar w:fldCharType="end"/>
            </w:r>
          </w:hyperlink>
        </w:p>
        <w:p w14:paraId="7F38EE88"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6" w:history="1">
            <w:r w:rsidR="00555E23" w:rsidRPr="007E3453">
              <w:rPr>
                <w:rStyle w:val="Hyperlink"/>
                <w:rFonts w:ascii="Times New Roman" w:hAnsi="Times New Roman"/>
                <w:noProof/>
                <w:lang w:val="lt-LT"/>
              </w:rPr>
              <w:t>3.4.2.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Iniciatyvos numatytos Sumanios specializacijos strategijoje</w:t>
            </w:r>
            <w:r w:rsidR="00555E23">
              <w:rPr>
                <w:noProof/>
                <w:webHidden/>
              </w:rPr>
              <w:tab/>
            </w:r>
            <w:r w:rsidR="00555E23">
              <w:rPr>
                <w:noProof/>
                <w:webHidden/>
              </w:rPr>
              <w:fldChar w:fldCharType="begin"/>
            </w:r>
            <w:r w:rsidR="00555E23">
              <w:rPr>
                <w:noProof/>
                <w:webHidden/>
              </w:rPr>
              <w:instrText xml:space="preserve"> PAGEREF _Toc59107546 \h </w:instrText>
            </w:r>
            <w:r w:rsidR="00555E23">
              <w:rPr>
                <w:noProof/>
                <w:webHidden/>
              </w:rPr>
            </w:r>
            <w:r w:rsidR="00555E23">
              <w:rPr>
                <w:noProof/>
                <w:webHidden/>
              </w:rPr>
              <w:fldChar w:fldCharType="separate"/>
            </w:r>
            <w:r>
              <w:rPr>
                <w:noProof/>
                <w:webHidden/>
              </w:rPr>
              <w:t>65</w:t>
            </w:r>
            <w:r w:rsidR="00555E23">
              <w:rPr>
                <w:noProof/>
                <w:webHidden/>
              </w:rPr>
              <w:fldChar w:fldCharType="end"/>
            </w:r>
          </w:hyperlink>
        </w:p>
        <w:p w14:paraId="4623E339"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7" w:history="1">
            <w:r w:rsidR="00555E23" w:rsidRPr="007E3453">
              <w:rPr>
                <w:rStyle w:val="Hyperlink"/>
                <w:rFonts w:ascii="Times New Roman" w:hAnsi="Times New Roman"/>
                <w:noProof/>
                <w:lang w:val="lt-LT"/>
              </w:rPr>
              <w:t>3.4.3.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 xml:space="preserve">Iniciatyvos numatytos </w:t>
            </w:r>
            <w:r w:rsidR="00555E23" w:rsidRPr="007E3453">
              <w:rPr>
                <w:rStyle w:val="Hyperlink"/>
                <w:rFonts w:ascii="Times New Roman" w:hAnsi="Times New Roman"/>
                <w:noProof/>
              </w:rPr>
              <w:t>2021-2030 m.</w:t>
            </w:r>
            <w:r w:rsidR="00555E23" w:rsidRPr="007E3453">
              <w:rPr>
                <w:rStyle w:val="Hyperlink"/>
                <w:rFonts w:ascii="Times New Roman" w:hAnsi="Times New Roman"/>
                <w:noProof/>
                <w:lang w:val="lt-LT"/>
              </w:rPr>
              <w:t xml:space="preserve"> nacionaliniame pažangos plane</w:t>
            </w:r>
            <w:r w:rsidR="00555E23">
              <w:rPr>
                <w:noProof/>
                <w:webHidden/>
              </w:rPr>
              <w:tab/>
            </w:r>
            <w:r w:rsidR="00555E23">
              <w:rPr>
                <w:noProof/>
                <w:webHidden/>
              </w:rPr>
              <w:fldChar w:fldCharType="begin"/>
            </w:r>
            <w:r w:rsidR="00555E23">
              <w:rPr>
                <w:noProof/>
                <w:webHidden/>
              </w:rPr>
              <w:instrText xml:space="preserve"> PAGEREF _Toc59107547 \h </w:instrText>
            </w:r>
            <w:r w:rsidR="00555E23">
              <w:rPr>
                <w:noProof/>
                <w:webHidden/>
              </w:rPr>
            </w:r>
            <w:r w:rsidR="00555E23">
              <w:rPr>
                <w:noProof/>
                <w:webHidden/>
              </w:rPr>
              <w:fldChar w:fldCharType="separate"/>
            </w:r>
            <w:r>
              <w:rPr>
                <w:noProof/>
                <w:webHidden/>
              </w:rPr>
              <w:t>66</w:t>
            </w:r>
            <w:r w:rsidR="00555E23">
              <w:rPr>
                <w:noProof/>
                <w:webHidden/>
              </w:rPr>
              <w:fldChar w:fldCharType="end"/>
            </w:r>
          </w:hyperlink>
        </w:p>
        <w:p w14:paraId="69D0D94C"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8" w:history="1">
            <w:r w:rsidR="00555E23" w:rsidRPr="007E3453">
              <w:rPr>
                <w:rStyle w:val="Hyperlink"/>
                <w:rFonts w:ascii="Times New Roman" w:hAnsi="Times New Roman"/>
                <w:noProof/>
                <w:lang w:val="lt-LT"/>
              </w:rPr>
              <w:t>3.4.4.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Kitos nacionalinės iniciatyvos</w:t>
            </w:r>
            <w:r w:rsidR="00555E23">
              <w:rPr>
                <w:noProof/>
                <w:webHidden/>
              </w:rPr>
              <w:tab/>
            </w:r>
            <w:r w:rsidR="00555E23">
              <w:rPr>
                <w:noProof/>
                <w:webHidden/>
              </w:rPr>
              <w:fldChar w:fldCharType="begin"/>
            </w:r>
            <w:r w:rsidR="00555E23">
              <w:rPr>
                <w:noProof/>
                <w:webHidden/>
              </w:rPr>
              <w:instrText xml:space="preserve"> PAGEREF _Toc59107548 \h </w:instrText>
            </w:r>
            <w:r w:rsidR="00555E23">
              <w:rPr>
                <w:noProof/>
                <w:webHidden/>
              </w:rPr>
            </w:r>
            <w:r w:rsidR="00555E23">
              <w:rPr>
                <w:noProof/>
                <w:webHidden/>
              </w:rPr>
              <w:fldChar w:fldCharType="separate"/>
            </w:r>
            <w:r>
              <w:rPr>
                <w:noProof/>
                <w:webHidden/>
              </w:rPr>
              <w:t>66</w:t>
            </w:r>
            <w:r w:rsidR="00555E23">
              <w:rPr>
                <w:noProof/>
                <w:webHidden/>
              </w:rPr>
              <w:fldChar w:fldCharType="end"/>
            </w:r>
          </w:hyperlink>
        </w:p>
        <w:p w14:paraId="0C2D1F6A"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49" w:history="1">
            <w:r w:rsidR="00555E23" w:rsidRPr="007E3453">
              <w:rPr>
                <w:rStyle w:val="Hyperlink"/>
                <w:rFonts w:ascii="Times New Roman" w:hAnsi="Times New Roman"/>
                <w:noProof/>
                <w:lang w:val="lt-LT"/>
              </w:rPr>
              <w:t>3.4.5.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Mokslo, technologijų ir inovacijų politika</w:t>
            </w:r>
            <w:r w:rsidR="00555E23">
              <w:rPr>
                <w:noProof/>
                <w:webHidden/>
              </w:rPr>
              <w:tab/>
            </w:r>
            <w:r w:rsidR="00555E23">
              <w:rPr>
                <w:noProof/>
                <w:webHidden/>
              </w:rPr>
              <w:fldChar w:fldCharType="begin"/>
            </w:r>
            <w:r w:rsidR="00555E23">
              <w:rPr>
                <w:noProof/>
                <w:webHidden/>
              </w:rPr>
              <w:instrText xml:space="preserve"> PAGEREF _Toc59107549 \h </w:instrText>
            </w:r>
            <w:r w:rsidR="00555E23">
              <w:rPr>
                <w:noProof/>
                <w:webHidden/>
              </w:rPr>
            </w:r>
            <w:r w:rsidR="00555E23">
              <w:rPr>
                <w:noProof/>
                <w:webHidden/>
              </w:rPr>
              <w:fldChar w:fldCharType="separate"/>
            </w:r>
            <w:r>
              <w:rPr>
                <w:noProof/>
                <w:webHidden/>
              </w:rPr>
              <w:t>67</w:t>
            </w:r>
            <w:r w:rsidR="00555E23">
              <w:rPr>
                <w:noProof/>
                <w:webHidden/>
              </w:rPr>
              <w:fldChar w:fldCharType="end"/>
            </w:r>
          </w:hyperlink>
        </w:p>
        <w:p w14:paraId="3A1AE114"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50" w:history="1">
            <w:r w:rsidR="00555E23" w:rsidRPr="007E3453">
              <w:rPr>
                <w:rStyle w:val="Hyperlink"/>
                <w:rFonts w:ascii="Times New Roman" w:hAnsi="Times New Roman"/>
                <w:noProof/>
                <w:lang w:val="lt-LT"/>
              </w:rPr>
              <w:t>3.5.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Esminiai skyriaus pastebėjimai</w:t>
            </w:r>
            <w:r w:rsidR="00555E23">
              <w:rPr>
                <w:noProof/>
                <w:webHidden/>
              </w:rPr>
              <w:tab/>
            </w:r>
            <w:r w:rsidR="00555E23">
              <w:rPr>
                <w:noProof/>
                <w:webHidden/>
              </w:rPr>
              <w:fldChar w:fldCharType="begin"/>
            </w:r>
            <w:r w:rsidR="00555E23">
              <w:rPr>
                <w:noProof/>
                <w:webHidden/>
              </w:rPr>
              <w:instrText xml:space="preserve"> PAGEREF _Toc59107550 \h </w:instrText>
            </w:r>
            <w:r w:rsidR="00555E23">
              <w:rPr>
                <w:noProof/>
                <w:webHidden/>
              </w:rPr>
            </w:r>
            <w:r w:rsidR="00555E23">
              <w:rPr>
                <w:noProof/>
                <w:webHidden/>
              </w:rPr>
              <w:fldChar w:fldCharType="separate"/>
            </w:r>
            <w:r>
              <w:rPr>
                <w:noProof/>
                <w:webHidden/>
              </w:rPr>
              <w:t>69</w:t>
            </w:r>
            <w:r w:rsidR="00555E23">
              <w:rPr>
                <w:noProof/>
                <w:webHidden/>
              </w:rPr>
              <w:fldChar w:fldCharType="end"/>
            </w:r>
          </w:hyperlink>
        </w:p>
        <w:p w14:paraId="34397F41"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51" w:history="1">
            <w:r w:rsidR="00555E23" w:rsidRPr="007E3453">
              <w:rPr>
                <w:rStyle w:val="Hyperlink"/>
                <w:rFonts w:ascii="Times New Roman" w:hAnsi="Times New Roman"/>
                <w:noProof/>
              </w:rPr>
              <w:t>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RENOVACIJOS BARJERAI</w:t>
            </w:r>
            <w:r w:rsidR="00555E23">
              <w:rPr>
                <w:noProof/>
                <w:webHidden/>
              </w:rPr>
              <w:tab/>
            </w:r>
            <w:r w:rsidR="00555E23">
              <w:rPr>
                <w:noProof/>
                <w:webHidden/>
              </w:rPr>
              <w:fldChar w:fldCharType="begin"/>
            </w:r>
            <w:r w:rsidR="00555E23">
              <w:rPr>
                <w:noProof/>
                <w:webHidden/>
              </w:rPr>
              <w:instrText xml:space="preserve"> PAGEREF _Toc59107551 \h </w:instrText>
            </w:r>
            <w:r w:rsidR="00555E23">
              <w:rPr>
                <w:noProof/>
                <w:webHidden/>
              </w:rPr>
            </w:r>
            <w:r w:rsidR="00555E23">
              <w:rPr>
                <w:noProof/>
                <w:webHidden/>
              </w:rPr>
              <w:fldChar w:fldCharType="separate"/>
            </w:r>
            <w:r>
              <w:rPr>
                <w:noProof/>
                <w:webHidden/>
              </w:rPr>
              <w:t>70</w:t>
            </w:r>
            <w:r w:rsidR="00555E23">
              <w:rPr>
                <w:noProof/>
                <w:webHidden/>
              </w:rPr>
              <w:fldChar w:fldCharType="end"/>
            </w:r>
          </w:hyperlink>
        </w:p>
        <w:p w14:paraId="1CD3A2ED"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2" w:history="1">
            <w:r w:rsidR="00555E23" w:rsidRPr="007E3453">
              <w:rPr>
                <w:rStyle w:val="Hyperlink"/>
                <w:rFonts w:ascii="Times New Roman" w:hAnsi="Times New Roman"/>
                <w:noProof/>
                <w:lang w:val="lt-LT"/>
              </w:rPr>
              <w:t>4.1.1.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Planavimo etapo barjerai</w:t>
            </w:r>
            <w:r w:rsidR="00555E23">
              <w:rPr>
                <w:noProof/>
                <w:webHidden/>
              </w:rPr>
              <w:tab/>
            </w:r>
            <w:r w:rsidR="00555E23">
              <w:rPr>
                <w:noProof/>
                <w:webHidden/>
              </w:rPr>
              <w:fldChar w:fldCharType="begin"/>
            </w:r>
            <w:r w:rsidR="00555E23">
              <w:rPr>
                <w:noProof/>
                <w:webHidden/>
              </w:rPr>
              <w:instrText xml:space="preserve"> PAGEREF _Toc59107552 \h </w:instrText>
            </w:r>
            <w:r w:rsidR="00555E23">
              <w:rPr>
                <w:noProof/>
                <w:webHidden/>
              </w:rPr>
            </w:r>
            <w:r w:rsidR="00555E23">
              <w:rPr>
                <w:noProof/>
                <w:webHidden/>
              </w:rPr>
              <w:fldChar w:fldCharType="separate"/>
            </w:r>
            <w:r>
              <w:rPr>
                <w:noProof/>
                <w:webHidden/>
              </w:rPr>
              <w:t>70</w:t>
            </w:r>
            <w:r w:rsidR="00555E23">
              <w:rPr>
                <w:noProof/>
                <w:webHidden/>
              </w:rPr>
              <w:fldChar w:fldCharType="end"/>
            </w:r>
          </w:hyperlink>
        </w:p>
        <w:p w14:paraId="7E1E2E6B"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3" w:history="1">
            <w:r w:rsidR="00555E23" w:rsidRPr="007E3453">
              <w:rPr>
                <w:rStyle w:val="Hyperlink"/>
                <w:rFonts w:ascii="Times New Roman" w:hAnsi="Times New Roman"/>
                <w:noProof/>
                <w:lang w:val="lt-LT"/>
              </w:rPr>
              <w:t>4.1.2.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Paramos priemonių formavimo barjerai</w:t>
            </w:r>
            <w:r w:rsidR="00555E23">
              <w:rPr>
                <w:noProof/>
                <w:webHidden/>
              </w:rPr>
              <w:tab/>
            </w:r>
            <w:r w:rsidR="00555E23">
              <w:rPr>
                <w:noProof/>
                <w:webHidden/>
              </w:rPr>
              <w:fldChar w:fldCharType="begin"/>
            </w:r>
            <w:r w:rsidR="00555E23">
              <w:rPr>
                <w:noProof/>
                <w:webHidden/>
              </w:rPr>
              <w:instrText xml:space="preserve"> PAGEREF _Toc59107553 \h </w:instrText>
            </w:r>
            <w:r w:rsidR="00555E23">
              <w:rPr>
                <w:noProof/>
                <w:webHidden/>
              </w:rPr>
            </w:r>
            <w:r w:rsidR="00555E23">
              <w:rPr>
                <w:noProof/>
                <w:webHidden/>
              </w:rPr>
              <w:fldChar w:fldCharType="separate"/>
            </w:r>
            <w:r>
              <w:rPr>
                <w:noProof/>
                <w:webHidden/>
              </w:rPr>
              <w:t>71</w:t>
            </w:r>
            <w:r w:rsidR="00555E23">
              <w:rPr>
                <w:noProof/>
                <w:webHidden/>
              </w:rPr>
              <w:fldChar w:fldCharType="end"/>
            </w:r>
          </w:hyperlink>
        </w:p>
        <w:p w14:paraId="66E7B448"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4" w:history="1">
            <w:r w:rsidR="00555E23" w:rsidRPr="007E3453">
              <w:rPr>
                <w:rStyle w:val="Hyperlink"/>
                <w:rFonts w:ascii="Times New Roman" w:hAnsi="Times New Roman"/>
                <w:noProof/>
                <w:lang w:val="lt-LT"/>
              </w:rPr>
              <w:t>4.1.3.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Finansavimo užtikrinimo barjerai</w:t>
            </w:r>
            <w:r w:rsidR="00555E23">
              <w:rPr>
                <w:noProof/>
                <w:webHidden/>
              </w:rPr>
              <w:tab/>
            </w:r>
            <w:r w:rsidR="00555E23">
              <w:rPr>
                <w:noProof/>
                <w:webHidden/>
              </w:rPr>
              <w:fldChar w:fldCharType="begin"/>
            </w:r>
            <w:r w:rsidR="00555E23">
              <w:rPr>
                <w:noProof/>
                <w:webHidden/>
              </w:rPr>
              <w:instrText xml:space="preserve"> PAGEREF _Toc59107554 \h </w:instrText>
            </w:r>
            <w:r w:rsidR="00555E23">
              <w:rPr>
                <w:noProof/>
                <w:webHidden/>
              </w:rPr>
            </w:r>
            <w:r w:rsidR="00555E23">
              <w:rPr>
                <w:noProof/>
                <w:webHidden/>
              </w:rPr>
              <w:fldChar w:fldCharType="separate"/>
            </w:r>
            <w:r>
              <w:rPr>
                <w:noProof/>
                <w:webHidden/>
              </w:rPr>
              <w:t>73</w:t>
            </w:r>
            <w:r w:rsidR="00555E23">
              <w:rPr>
                <w:noProof/>
                <w:webHidden/>
              </w:rPr>
              <w:fldChar w:fldCharType="end"/>
            </w:r>
          </w:hyperlink>
        </w:p>
        <w:p w14:paraId="61FC2045"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5" w:history="1">
            <w:r w:rsidR="00555E23" w:rsidRPr="007E3453">
              <w:rPr>
                <w:rStyle w:val="Hyperlink"/>
                <w:rFonts w:ascii="Times New Roman" w:hAnsi="Times New Roman"/>
                <w:noProof/>
                <w:lang w:val="lt-LT"/>
              </w:rPr>
              <w:t>4.1.4.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Komunikacijos barjerai</w:t>
            </w:r>
            <w:r w:rsidR="00555E23">
              <w:rPr>
                <w:noProof/>
                <w:webHidden/>
              </w:rPr>
              <w:tab/>
            </w:r>
            <w:r w:rsidR="00555E23">
              <w:rPr>
                <w:noProof/>
                <w:webHidden/>
              </w:rPr>
              <w:fldChar w:fldCharType="begin"/>
            </w:r>
            <w:r w:rsidR="00555E23">
              <w:rPr>
                <w:noProof/>
                <w:webHidden/>
              </w:rPr>
              <w:instrText xml:space="preserve"> PAGEREF _Toc59107555 \h </w:instrText>
            </w:r>
            <w:r w:rsidR="00555E23">
              <w:rPr>
                <w:noProof/>
                <w:webHidden/>
              </w:rPr>
            </w:r>
            <w:r w:rsidR="00555E23">
              <w:rPr>
                <w:noProof/>
                <w:webHidden/>
              </w:rPr>
              <w:fldChar w:fldCharType="separate"/>
            </w:r>
            <w:r>
              <w:rPr>
                <w:noProof/>
                <w:webHidden/>
              </w:rPr>
              <w:t>75</w:t>
            </w:r>
            <w:r w:rsidR="00555E23">
              <w:rPr>
                <w:noProof/>
                <w:webHidden/>
              </w:rPr>
              <w:fldChar w:fldCharType="end"/>
            </w:r>
          </w:hyperlink>
        </w:p>
        <w:p w14:paraId="206EE969"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6" w:history="1">
            <w:r w:rsidR="00555E23" w:rsidRPr="007E3453">
              <w:rPr>
                <w:rStyle w:val="Hyperlink"/>
                <w:rFonts w:ascii="Times New Roman" w:hAnsi="Times New Roman"/>
                <w:noProof/>
                <w:lang w:val="lt-LT"/>
              </w:rPr>
              <w:t>4.1.5.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Įgyvendinimo barjerai</w:t>
            </w:r>
            <w:r w:rsidR="00555E23">
              <w:rPr>
                <w:noProof/>
                <w:webHidden/>
              </w:rPr>
              <w:tab/>
            </w:r>
            <w:r w:rsidR="00555E23">
              <w:rPr>
                <w:noProof/>
                <w:webHidden/>
              </w:rPr>
              <w:fldChar w:fldCharType="begin"/>
            </w:r>
            <w:r w:rsidR="00555E23">
              <w:rPr>
                <w:noProof/>
                <w:webHidden/>
              </w:rPr>
              <w:instrText xml:space="preserve"> PAGEREF _Toc59107556 \h </w:instrText>
            </w:r>
            <w:r w:rsidR="00555E23">
              <w:rPr>
                <w:noProof/>
                <w:webHidden/>
              </w:rPr>
            </w:r>
            <w:r w:rsidR="00555E23">
              <w:rPr>
                <w:noProof/>
                <w:webHidden/>
              </w:rPr>
              <w:fldChar w:fldCharType="separate"/>
            </w:r>
            <w:r>
              <w:rPr>
                <w:noProof/>
                <w:webHidden/>
              </w:rPr>
              <w:t>75</w:t>
            </w:r>
            <w:r w:rsidR="00555E23">
              <w:rPr>
                <w:noProof/>
                <w:webHidden/>
              </w:rPr>
              <w:fldChar w:fldCharType="end"/>
            </w:r>
          </w:hyperlink>
        </w:p>
        <w:p w14:paraId="59FD1BAA"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57" w:history="1">
            <w:r w:rsidR="00555E23" w:rsidRPr="007E3453">
              <w:rPr>
                <w:rStyle w:val="Hyperlink"/>
                <w:rFonts w:ascii="Times New Roman" w:hAnsi="Times New Roman"/>
                <w:noProof/>
              </w:rPr>
              <w:t>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RENOVACIJOS STRATEGIJOS TIKSLAI, RODIKLIAI IR NAUDOS</w:t>
            </w:r>
            <w:r w:rsidR="00555E23">
              <w:rPr>
                <w:noProof/>
                <w:webHidden/>
              </w:rPr>
              <w:tab/>
            </w:r>
            <w:r w:rsidR="00555E23">
              <w:rPr>
                <w:noProof/>
                <w:webHidden/>
              </w:rPr>
              <w:fldChar w:fldCharType="begin"/>
            </w:r>
            <w:r w:rsidR="00555E23">
              <w:rPr>
                <w:noProof/>
                <w:webHidden/>
              </w:rPr>
              <w:instrText xml:space="preserve"> PAGEREF _Toc59107557 \h </w:instrText>
            </w:r>
            <w:r w:rsidR="00555E23">
              <w:rPr>
                <w:noProof/>
                <w:webHidden/>
              </w:rPr>
            </w:r>
            <w:r w:rsidR="00555E23">
              <w:rPr>
                <w:noProof/>
                <w:webHidden/>
              </w:rPr>
              <w:fldChar w:fldCharType="separate"/>
            </w:r>
            <w:r>
              <w:rPr>
                <w:noProof/>
                <w:webHidden/>
              </w:rPr>
              <w:t>78</w:t>
            </w:r>
            <w:r w:rsidR="00555E23">
              <w:rPr>
                <w:noProof/>
                <w:webHidden/>
              </w:rPr>
              <w:fldChar w:fldCharType="end"/>
            </w:r>
          </w:hyperlink>
        </w:p>
        <w:p w14:paraId="5E1B1D47"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58" w:history="1">
            <w:r w:rsidR="00555E23" w:rsidRPr="007E3453">
              <w:rPr>
                <w:rStyle w:val="Hyperlink"/>
                <w:rFonts w:ascii="Times New Roman" w:hAnsi="Times New Roman"/>
                <w:noProof/>
                <w:lang w:val="lt-LT"/>
              </w:rPr>
              <w:t>5.1.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Strateginiai tikslai</w:t>
            </w:r>
            <w:r w:rsidR="00555E23">
              <w:rPr>
                <w:noProof/>
                <w:webHidden/>
              </w:rPr>
              <w:tab/>
            </w:r>
            <w:r w:rsidR="00555E23">
              <w:rPr>
                <w:noProof/>
                <w:webHidden/>
              </w:rPr>
              <w:fldChar w:fldCharType="begin"/>
            </w:r>
            <w:r w:rsidR="00555E23">
              <w:rPr>
                <w:noProof/>
                <w:webHidden/>
              </w:rPr>
              <w:instrText xml:space="preserve"> PAGEREF _Toc59107558 \h </w:instrText>
            </w:r>
            <w:r w:rsidR="00555E23">
              <w:rPr>
                <w:noProof/>
                <w:webHidden/>
              </w:rPr>
            </w:r>
            <w:r w:rsidR="00555E23">
              <w:rPr>
                <w:noProof/>
                <w:webHidden/>
              </w:rPr>
              <w:fldChar w:fldCharType="separate"/>
            </w:r>
            <w:r>
              <w:rPr>
                <w:noProof/>
                <w:webHidden/>
              </w:rPr>
              <w:t>79</w:t>
            </w:r>
            <w:r w:rsidR="00555E23">
              <w:rPr>
                <w:noProof/>
                <w:webHidden/>
              </w:rPr>
              <w:fldChar w:fldCharType="end"/>
            </w:r>
          </w:hyperlink>
        </w:p>
        <w:p w14:paraId="513F026F"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59" w:history="1">
            <w:r w:rsidR="00555E23" w:rsidRPr="007E3453">
              <w:rPr>
                <w:rStyle w:val="Hyperlink"/>
                <w:rFonts w:ascii="Times New Roman" w:hAnsi="Times New Roman"/>
                <w:noProof/>
                <w:lang w:val="lt-LT"/>
              </w:rPr>
              <w:t>5.1.1.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Pirminės energijos vartojimo sumažinimas</w:t>
            </w:r>
            <w:r w:rsidR="00555E23">
              <w:rPr>
                <w:noProof/>
                <w:webHidden/>
              </w:rPr>
              <w:tab/>
            </w:r>
            <w:r w:rsidR="00555E23">
              <w:rPr>
                <w:noProof/>
                <w:webHidden/>
              </w:rPr>
              <w:fldChar w:fldCharType="begin"/>
            </w:r>
            <w:r w:rsidR="00555E23">
              <w:rPr>
                <w:noProof/>
                <w:webHidden/>
              </w:rPr>
              <w:instrText xml:space="preserve"> PAGEREF _Toc59107559 \h </w:instrText>
            </w:r>
            <w:r w:rsidR="00555E23">
              <w:rPr>
                <w:noProof/>
                <w:webHidden/>
              </w:rPr>
            </w:r>
            <w:r w:rsidR="00555E23">
              <w:rPr>
                <w:noProof/>
                <w:webHidden/>
              </w:rPr>
              <w:fldChar w:fldCharType="separate"/>
            </w:r>
            <w:r>
              <w:rPr>
                <w:noProof/>
                <w:webHidden/>
              </w:rPr>
              <w:t>80</w:t>
            </w:r>
            <w:r w:rsidR="00555E23">
              <w:rPr>
                <w:noProof/>
                <w:webHidden/>
              </w:rPr>
              <w:fldChar w:fldCharType="end"/>
            </w:r>
          </w:hyperlink>
        </w:p>
        <w:p w14:paraId="794D4DC3"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0" w:history="1">
            <w:r w:rsidR="00555E23" w:rsidRPr="007E3453">
              <w:rPr>
                <w:rStyle w:val="Hyperlink"/>
                <w:rFonts w:ascii="Times New Roman" w:hAnsi="Times New Roman"/>
                <w:noProof/>
                <w:lang w:val="lt-LT"/>
              </w:rPr>
              <w:t>5.1.2.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Pirminės energijos iš iškastinio kuro vartojimo ir CO</w:t>
            </w:r>
            <w:r w:rsidR="00555E23" w:rsidRPr="007E3453">
              <w:rPr>
                <w:rStyle w:val="Hyperlink"/>
                <w:rFonts w:ascii="Times New Roman" w:hAnsi="Times New Roman"/>
                <w:noProof/>
                <w:vertAlign w:val="subscript"/>
                <w:lang w:val="lt-LT"/>
              </w:rPr>
              <w:t>2</w:t>
            </w:r>
            <w:r w:rsidR="00555E23" w:rsidRPr="007E3453">
              <w:rPr>
                <w:rStyle w:val="Hyperlink"/>
                <w:rFonts w:ascii="Times New Roman" w:hAnsi="Times New Roman"/>
                <w:noProof/>
                <w:lang w:val="lt-LT"/>
              </w:rPr>
              <w:t xml:space="preserve"> emisijų sumažinimas</w:t>
            </w:r>
            <w:r w:rsidR="00555E23">
              <w:rPr>
                <w:noProof/>
                <w:webHidden/>
              </w:rPr>
              <w:tab/>
            </w:r>
            <w:r w:rsidR="00555E23">
              <w:rPr>
                <w:noProof/>
                <w:webHidden/>
              </w:rPr>
              <w:fldChar w:fldCharType="begin"/>
            </w:r>
            <w:r w:rsidR="00555E23">
              <w:rPr>
                <w:noProof/>
                <w:webHidden/>
              </w:rPr>
              <w:instrText xml:space="preserve"> PAGEREF _Toc59107560 \h </w:instrText>
            </w:r>
            <w:r w:rsidR="00555E23">
              <w:rPr>
                <w:noProof/>
                <w:webHidden/>
              </w:rPr>
            </w:r>
            <w:r w:rsidR="00555E23">
              <w:rPr>
                <w:noProof/>
                <w:webHidden/>
              </w:rPr>
              <w:fldChar w:fldCharType="separate"/>
            </w:r>
            <w:r>
              <w:rPr>
                <w:noProof/>
                <w:webHidden/>
              </w:rPr>
              <w:t>82</w:t>
            </w:r>
            <w:r w:rsidR="00555E23">
              <w:rPr>
                <w:noProof/>
                <w:webHidden/>
              </w:rPr>
              <w:fldChar w:fldCharType="end"/>
            </w:r>
          </w:hyperlink>
        </w:p>
        <w:p w14:paraId="25AD3232"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61" w:history="1">
            <w:r w:rsidR="00555E23" w:rsidRPr="007E3453">
              <w:rPr>
                <w:rStyle w:val="Hyperlink"/>
                <w:rFonts w:ascii="Times New Roman" w:hAnsi="Times New Roman"/>
                <w:noProof/>
                <w:lang w:val="lt-LT"/>
              </w:rPr>
              <w:t>5.2.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rodikliai</w:t>
            </w:r>
            <w:r w:rsidR="00555E23">
              <w:rPr>
                <w:noProof/>
                <w:webHidden/>
              </w:rPr>
              <w:tab/>
            </w:r>
            <w:r w:rsidR="00555E23">
              <w:rPr>
                <w:noProof/>
                <w:webHidden/>
              </w:rPr>
              <w:fldChar w:fldCharType="begin"/>
            </w:r>
            <w:r w:rsidR="00555E23">
              <w:rPr>
                <w:noProof/>
                <w:webHidden/>
              </w:rPr>
              <w:instrText xml:space="preserve"> PAGEREF _Toc59107561 \h </w:instrText>
            </w:r>
            <w:r w:rsidR="00555E23">
              <w:rPr>
                <w:noProof/>
                <w:webHidden/>
              </w:rPr>
            </w:r>
            <w:r w:rsidR="00555E23">
              <w:rPr>
                <w:noProof/>
                <w:webHidden/>
              </w:rPr>
              <w:fldChar w:fldCharType="separate"/>
            </w:r>
            <w:r>
              <w:rPr>
                <w:noProof/>
                <w:webHidden/>
              </w:rPr>
              <w:t>83</w:t>
            </w:r>
            <w:r w:rsidR="00555E23">
              <w:rPr>
                <w:noProof/>
                <w:webHidden/>
              </w:rPr>
              <w:fldChar w:fldCharType="end"/>
            </w:r>
          </w:hyperlink>
        </w:p>
        <w:p w14:paraId="006B617D"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2" w:history="1">
            <w:r w:rsidR="00555E23" w:rsidRPr="007E3453">
              <w:rPr>
                <w:rStyle w:val="Hyperlink"/>
                <w:rFonts w:ascii="Times New Roman" w:hAnsi="Times New Roman"/>
                <w:noProof/>
                <w:lang w:val="lt-LT"/>
              </w:rPr>
              <w:t>5.2.1.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Daugiabučiai</w:t>
            </w:r>
            <w:r w:rsidR="00555E23">
              <w:rPr>
                <w:noProof/>
                <w:webHidden/>
              </w:rPr>
              <w:tab/>
            </w:r>
            <w:r w:rsidR="00555E23">
              <w:rPr>
                <w:noProof/>
                <w:webHidden/>
              </w:rPr>
              <w:fldChar w:fldCharType="begin"/>
            </w:r>
            <w:r w:rsidR="00555E23">
              <w:rPr>
                <w:noProof/>
                <w:webHidden/>
              </w:rPr>
              <w:instrText xml:space="preserve"> PAGEREF _Toc59107562 \h </w:instrText>
            </w:r>
            <w:r w:rsidR="00555E23">
              <w:rPr>
                <w:noProof/>
                <w:webHidden/>
              </w:rPr>
            </w:r>
            <w:r w:rsidR="00555E23">
              <w:rPr>
                <w:noProof/>
                <w:webHidden/>
              </w:rPr>
              <w:fldChar w:fldCharType="separate"/>
            </w:r>
            <w:r>
              <w:rPr>
                <w:noProof/>
                <w:webHidden/>
              </w:rPr>
              <w:t>85</w:t>
            </w:r>
            <w:r w:rsidR="00555E23">
              <w:rPr>
                <w:noProof/>
                <w:webHidden/>
              </w:rPr>
              <w:fldChar w:fldCharType="end"/>
            </w:r>
          </w:hyperlink>
        </w:p>
        <w:p w14:paraId="3287AA2A"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3" w:history="1">
            <w:r w:rsidR="00555E23" w:rsidRPr="007E3453">
              <w:rPr>
                <w:rStyle w:val="Hyperlink"/>
                <w:rFonts w:ascii="Times New Roman" w:hAnsi="Times New Roman"/>
                <w:noProof/>
                <w:lang w:val="lt-LT"/>
              </w:rPr>
              <w:t>5.2.2.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Individualūs namai</w:t>
            </w:r>
            <w:r w:rsidR="00555E23">
              <w:rPr>
                <w:noProof/>
                <w:webHidden/>
              </w:rPr>
              <w:tab/>
            </w:r>
            <w:r w:rsidR="00555E23">
              <w:rPr>
                <w:noProof/>
                <w:webHidden/>
              </w:rPr>
              <w:fldChar w:fldCharType="begin"/>
            </w:r>
            <w:r w:rsidR="00555E23">
              <w:rPr>
                <w:noProof/>
                <w:webHidden/>
              </w:rPr>
              <w:instrText xml:space="preserve"> PAGEREF _Toc59107563 \h </w:instrText>
            </w:r>
            <w:r w:rsidR="00555E23">
              <w:rPr>
                <w:noProof/>
                <w:webHidden/>
              </w:rPr>
            </w:r>
            <w:r w:rsidR="00555E23">
              <w:rPr>
                <w:noProof/>
                <w:webHidden/>
              </w:rPr>
              <w:fldChar w:fldCharType="separate"/>
            </w:r>
            <w:r>
              <w:rPr>
                <w:noProof/>
                <w:webHidden/>
              </w:rPr>
              <w:t>86</w:t>
            </w:r>
            <w:r w:rsidR="00555E23">
              <w:rPr>
                <w:noProof/>
                <w:webHidden/>
              </w:rPr>
              <w:fldChar w:fldCharType="end"/>
            </w:r>
          </w:hyperlink>
        </w:p>
        <w:p w14:paraId="1997D81D"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4" w:history="1">
            <w:r w:rsidR="00555E23" w:rsidRPr="007E3453">
              <w:rPr>
                <w:rStyle w:val="Hyperlink"/>
                <w:rFonts w:ascii="Times New Roman" w:hAnsi="Times New Roman"/>
                <w:noProof/>
                <w:lang w:val="lt-LT"/>
              </w:rPr>
              <w:t>5.2.3.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Kiti negyvenamieji pastatai</w:t>
            </w:r>
            <w:r w:rsidR="00555E23">
              <w:rPr>
                <w:noProof/>
                <w:webHidden/>
              </w:rPr>
              <w:tab/>
            </w:r>
            <w:r w:rsidR="00555E23">
              <w:rPr>
                <w:noProof/>
                <w:webHidden/>
              </w:rPr>
              <w:fldChar w:fldCharType="begin"/>
            </w:r>
            <w:r w:rsidR="00555E23">
              <w:rPr>
                <w:noProof/>
                <w:webHidden/>
              </w:rPr>
              <w:instrText xml:space="preserve"> PAGEREF _Toc59107564 \h </w:instrText>
            </w:r>
            <w:r w:rsidR="00555E23">
              <w:rPr>
                <w:noProof/>
                <w:webHidden/>
              </w:rPr>
            </w:r>
            <w:r w:rsidR="00555E23">
              <w:rPr>
                <w:noProof/>
                <w:webHidden/>
              </w:rPr>
              <w:fldChar w:fldCharType="separate"/>
            </w:r>
            <w:r>
              <w:rPr>
                <w:noProof/>
                <w:webHidden/>
              </w:rPr>
              <w:t>87</w:t>
            </w:r>
            <w:r w:rsidR="00555E23">
              <w:rPr>
                <w:noProof/>
                <w:webHidden/>
              </w:rPr>
              <w:fldChar w:fldCharType="end"/>
            </w:r>
          </w:hyperlink>
        </w:p>
        <w:p w14:paraId="714AA11E"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5" w:history="1">
            <w:r w:rsidR="00555E23" w:rsidRPr="007E3453">
              <w:rPr>
                <w:rStyle w:val="Hyperlink"/>
                <w:rFonts w:ascii="Times New Roman" w:hAnsi="Times New Roman"/>
                <w:noProof/>
                <w:lang w:val="lt-LT"/>
              </w:rPr>
              <w:t>5.2.4.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Pramonės pastatai</w:t>
            </w:r>
            <w:r w:rsidR="00555E23">
              <w:rPr>
                <w:noProof/>
                <w:webHidden/>
              </w:rPr>
              <w:tab/>
            </w:r>
            <w:r w:rsidR="00555E23">
              <w:rPr>
                <w:noProof/>
                <w:webHidden/>
              </w:rPr>
              <w:fldChar w:fldCharType="begin"/>
            </w:r>
            <w:r w:rsidR="00555E23">
              <w:rPr>
                <w:noProof/>
                <w:webHidden/>
              </w:rPr>
              <w:instrText xml:space="preserve"> PAGEREF _Toc59107565 \h </w:instrText>
            </w:r>
            <w:r w:rsidR="00555E23">
              <w:rPr>
                <w:noProof/>
                <w:webHidden/>
              </w:rPr>
            </w:r>
            <w:r w:rsidR="00555E23">
              <w:rPr>
                <w:noProof/>
                <w:webHidden/>
              </w:rPr>
              <w:fldChar w:fldCharType="separate"/>
            </w:r>
            <w:r>
              <w:rPr>
                <w:noProof/>
                <w:webHidden/>
              </w:rPr>
              <w:t>88</w:t>
            </w:r>
            <w:r w:rsidR="00555E23">
              <w:rPr>
                <w:noProof/>
                <w:webHidden/>
              </w:rPr>
              <w:fldChar w:fldCharType="end"/>
            </w:r>
          </w:hyperlink>
        </w:p>
        <w:p w14:paraId="5713F684"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66" w:history="1">
            <w:r w:rsidR="00555E23" w:rsidRPr="007E3453">
              <w:rPr>
                <w:rStyle w:val="Hyperlink"/>
                <w:rFonts w:ascii="Times New Roman" w:hAnsi="Times New Roman"/>
                <w:noProof/>
                <w:lang w:val="lt-LT"/>
              </w:rPr>
              <w:t>5.3.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tiesioginės ir platesnio masto naudos</w:t>
            </w:r>
            <w:r w:rsidR="00555E23">
              <w:rPr>
                <w:noProof/>
                <w:webHidden/>
              </w:rPr>
              <w:tab/>
            </w:r>
            <w:r w:rsidR="00555E23">
              <w:rPr>
                <w:noProof/>
                <w:webHidden/>
              </w:rPr>
              <w:fldChar w:fldCharType="begin"/>
            </w:r>
            <w:r w:rsidR="00555E23">
              <w:rPr>
                <w:noProof/>
                <w:webHidden/>
              </w:rPr>
              <w:instrText xml:space="preserve"> PAGEREF _Toc59107566 \h </w:instrText>
            </w:r>
            <w:r w:rsidR="00555E23">
              <w:rPr>
                <w:noProof/>
                <w:webHidden/>
              </w:rPr>
            </w:r>
            <w:r w:rsidR="00555E23">
              <w:rPr>
                <w:noProof/>
                <w:webHidden/>
              </w:rPr>
              <w:fldChar w:fldCharType="separate"/>
            </w:r>
            <w:r>
              <w:rPr>
                <w:noProof/>
                <w:webHidden/>
              </w:rPr>
              <w:t>89</w:t>
            </w:r>
            <w:r w:rsidR="00555E23">
              <w:rPr>
                <w:noProof/>
                <w:webHidden/>
              </w:rPr>
              <w:fldChar w:fldCharType="end"/>
            </w:r>
          </w:hyperlink>
        </w:p>
        <w:p w14:paraId="33E51CB7"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7" w:history="1">
            <w:r w:rsidR="00555E23" w:rsidRPr="007E3453">
              <w:rPr>
                <w:rStyle w:val="Hyperlink"/>
                <w:rFonts w:ascii="Times New Roman" w:hAnsi="Times New Roman"/>
                <w:noProof/>
                <w:lang w:val="lt-LT"/>
              </w:rPr>
              <w:t>5.3.1.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Monetizuojamos pastatų renovacijos naudos</w:t>
            </w:r>
            <w:r w:rsidR="00555E23">
              <w:rPr>
                <w:noProof/>
                <w:webHidden/>
              </w:rPr>
              <w:tab/>
            </w:r>
            <w:r w:rsidR="00555E23">
              <w:rPr>
                <w:noProof/>
                <w:webHidden/>
              </w:rPr>
              <w:fldChar w:fldCharType="begin"/>
            </w:r>
            <w:r w:rsidR="00555E23">
              <w:rPr>
                <w:noProof/>
                <w:webHidden/>
              </w:rPr>
              <w:instrText xml:space="preserve"> PAGEREF _Toc59107567 \h </w:instrText>
            </w:r>
            <w:r w:rsidR="00555E23">
              <w:rPr>
                <w:noProof/>
                <w:webHidden/>
              </w:rPr>
            </w:r>
            <w:r w:rsidR="00555E23">
              <w:rPr>
                <w:noProof/>
                <w:webHidden/>
              </w:rPr>
              <w:fldChar w:fldCharType="separate"/>
            </w:r>
            <w:r>
              <w:rPr>
                <w:noProof/>
                <w:webHidden/>
              </w:rPr>
              <w:t>89</w:t>
            </w:r>
            <w:r w:rsidR="00555E23">
              <w:rPr>
                <w:noProof/>
                <w:webHidden/>
              </w:rPr>
              <w:fldChar w:fldCharType="end"/>
            </w:r>
          </w:hyperlink>
        </w:p>
        <w:p w14:paraId="778B6E7F"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68" w:history="1">
            <w:r w:rsidR="00555E23" w:rsidRPr="007E3453">
              <w:rPr>
                <w:rStyle w:val="Hyperlink"/>
                <w:rFonts w:ascii="Times New Roman" w:hAnsi="Times New Roman"/>
                <w:noProof/>
                <w:lang w:val="lt-LT"/>
              </w:rPr>
              <w:t>5.3.2.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Papildomos naudos</w:t>
            </w:r>
            <w:r w:rsidR="00555E23">
              <w:rPr>
                <w:noProof/>
                <w:webHidden/>
              </w:rPr>
              <w:tab/>
            </w:r>
            <w:r w:rsidR="00555E23">
              <w:rPr>
                <w:noProof/>
                <w:webHidden/>
              </w:rPr>
              <w:fldChar w:fldCharType="begin"/>
            </w:r>
            <w:r w:rsidR="00555E23">
              <w:rPr>
                <w:noProof/>
                <w:webHidden/>
              </w:rPr>
              <w:instrText xml:space="preserve"> PAGEREF _Toc59107568 \h </w:instrText>
            </w:r>
            <w:r w:rsidR="00555E23">
              <w:rPr>
                <w:noProof/>
                <w:webHidden/>
              </w:rPr>
            </w:r>
            <w:r w:rsidR="00555E23">
              <w:rPr>
                <w:noProof/>
                <w:webHidden/>
              </w:rPr>
              <w:fldChar w:fldCharType="separate"/>
            </w:r>
            <w:r>
              <w:rPr>
                <w:noProof/>
                <w:webHidden/>
              </w:rPr>
              <w:t>94</w:t>
            </w:r>
            <w:r w:rsidR="00555E23">
              <w:rPr>
                <w:noProof/>
                <w:webHidden/>
              </w:rPr>
              <w:fldChar w:fldCharType="end"/>
            </w:r>
          </w:hyperlink>
        </w:p>
        <w:p w14:paraId="3B1AEC0F"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69" w:history="1">
            <w:r w:rsidR="00555E23" w:rsidRPr="007E3453">
              <w:rPr>
                <w:rStyle w:val="Hyperlink"/>
                <w:rFonts w:ascii="Times New Roman" w:hAnsi="Times New Roman"/>
                <w:noProof/>
                <w:lang w:val="lt-LT"/>
              </w:rPr>
              <w:t>5.4.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Esminiai skyriaus pastebėjimai</w:t>
            </w:r>
            <w:r w:rsidR="00555E23">
              <w:rPr>
                <w:noProof/>
                <w:webHidden/>
              </w:rPr>
              <w:tab/>
            </w:r>
            <w:r w:rsidR="00555E23">
              <w:rPr>
                <w:noProof/>
                <w:webHidden/>
              </w:rPr>
              <w:fldChar w:fldCharType="begin"/>
            </w:r>
            <w:r w:rsidR="00555E23">
              <w:rPr>
                <w:noProof/>
                <w:webHidden/>
              </w:rPr>
              <w:instrText xml:space="preserve"> PAGEREF _Toc59107569 \h </w:instrText>
            </w:r>
            <w:r w:rsidR="00555E23">
              <w:rPr>
                <w:noProof/>
                <w:webHidden/>
              </w:rPr>
            </w:r>
            <w:r w:rsidR="00555E23">
              <w:rPr>
                <w:noProof/>
                <w:webHidden/>
              </w:rPr>
              <w:fldChar w:fldCharType="separate"/>
            </w:r>
            <w:r>
              <w:rPr>
                <w:noProof/>
                <w:webHidden/>
              </w:rPr>
              <w:t>95</w:t>
            </w:r>
            <w:r w:rsidR="00555E23">
              <w:rPr>
                <w:noProof/>
                <w:webHidden/>
              </w:rPr>
              <w:fldChar w:fldCharType="end"/>
            </w:r>
          </w:hyperlink>
        </w:p>
        <w:p w14:paraId="12DEC0E9" w14:textId="77777777" w:rsidR="00555E23" w:rsidRDefault="00166683">
          <w:pPr>
            <w:pStyle w:val="TOC1"/>
            <w:tabs>
              <w:tab w:val="left" w:pos="400"/>
              <w:tab w:val="right" w:leader="dot" w:pos="10194"/>
            </w:tabs>
            <w:rPr>
              <w:rFonts w:asciiTheme="minorHAnsi" w:eastAsiaTheme="minorEastAsia" w:hAnsiTheme="minorHAnsi" w:cstheme="minorBidi"/>
              <w:noProof/>
              <w:color w:val="auto"/>
              <w:szCs w:val="22"/>
              <w:lang w:val="lt-LT" w:eastAsia="lt-LT"/>
            </w:rPr>
          </w:pPr>
          <w:hyperlink w:anchor="_Toc59107570" w:history="1">
            <w:r w:rsidR="00555E23" w:rsidRPr="007E3453">
              <w:rPr>
                <w:rStyle w:val="Hyperlink"/>
                <w:rFonts w:ascii="Times New Roman" w:hAnsi="Times New Roman"/>
                <w:noProof/>
              </w:rPr>
              <w:t>6.</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rPr>
              <w:t>RENOVACIJOS STRATEGIJOS VEIKSMŲ GAIRĖS</w:t>
            </w:r>
            <w:r w:rsidR="00555E23">
              <w:rPr>
                <w:noProof/>
                <w:webHidden/>
              </w:rPr>
              <w:tab/>
            </w:r>
            <w:r w:rsidR="00555E23">
              <w:rPr>
                <w:noProof/>
                <w:webHidden/>
              </w:rPr>
              <w:fldChar w:fldCharType="begin"/>
            </w:r>
            <w:r w:rsidR="00555E23">
              <w:rPr>
                <w:noProof/>
                <w:webHidden/>
              </w:rPr>
              <w:instrText xml:space="preserve"> PAGEREF _Toc59107570 \h </w:instrText>
            </w:r>
            <w:r w:rsidR="00555E23">
              <w:rPr>
                <w:noProof/>
                <w:webHidden/>
              </w:rPr>
            </w:r>
            <w:r w:rsidR="00555E23">
              <w:rPr>
                <w:noProof/>
                <w:webHidden/>
              </w:rPr>
              <w:fldChar w:fldCharType="separate"/>
            </w:r>
            <w:r>
              <w:rPr>
                <w:noProof/>
                <w:webHidden/>
              </w:rPr>
              <w:t>96</w:t>
            </w:r>
            <w:r w:rsidR="00555E23">
              <w:rPr>
                <w:noProof/>
                <w:webHidden/>
              </w:rPr>
              <w:fldChar w:fldCharType="end"/>
            </w:r>
          </w:hyperlink>
        </w:p>
        <w:p w14:paraId="069B6CBC"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71" w:history="1">
            <w:r w:rsidR="00555E23" w:rsidRPr="007E3453">
              <w:rPr>
                <w:rStyle w:val="Hyperlink"/>
                <w:rFonts w:ascii="Times New Roman" w:hAnsi="Times New Roman"/>
                <w:noProof/>
                <w:lang w:val="lt-LT"/>
              </w:rPr>
              <w:t>6.1.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modelis</w:t>
            </w:r>
            <w:r w:rsidR="00555E23">
              <w:rPr>
                <w:noProof/>
                <w:webHidden/>
              </w:rPr>
              <w:tab/>
            </w:r>
            <w:r w:rsidR="00555E23">
              <w:rPr>
                <w:noProof/>
                <w:webHidden/>
              </w:rPr>
              <w:fldChar w:fldCharType="begin"/>
            </w:r>
            <w:r w:rsidR="00555E23">
              <w:rPr>
                <w:noProof/>
                <w:webHidden/>
              </w:rPr>
              <w:instrText xml:space="preserve"> PAGEREF _Toc59107571 \h </w:instrText>
            </w:r>
            <w:r w:rsidR="00555E23">
              <w:rPr>
                <w:noProof/>
                <w:webHidden/>
              </w:rPr>
            </w:r>
            <w:r w:rsidR="00555E23">
              <w:rPr>
                <w:noProof/>
                <w:webHidden/>
              </w:rPr>
              <w:fldChar w:fldCharType="separate"/>
            </w:r>
            <w:r>
              <w:rPr>
                <w:noProof/>
                <w:webHidden/>
              </w:rPr>
              <w:t>98</w:t>
            </w:r>
            <w:r w:rsidR="00555E23">
              <w:rPr>
                <w:noProof/>
                <w:webHidden/>
              </w:rPr>
              <w:fldChar w:fldCharType="end"/>
            </w:r>
          </w:hyperlink>
        </w:p>
        <w:p w14:paraId="13A723B8"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72" w:history="1">
            <w:r w:rsidR="00555E23" w:rsidRPr="007E3453">
              <w:rPr>
                <w:rStyle w:val="Hyperlink"/>
                <w:rFonts w:ascii="Times New Roman" w:hAnsi="Times New Roman"/>
                <w:noProof/>
                <w:lang w:val="lt-LT"/>
              </w:rPr>
              <w:t>6.2.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priemonės</w:t>
            </w:r>
            <w:r w:rsidR="00555E23">
              <w:rPr>
                <w:noProof/>
                <w:webHidden/>
              </w:rPr>
              <w:tab/>
            </w:r>
            <w:r w:rsidR="00555E23">
              <w:rPr>
                <w:noProof/>
                <w:webHidden/>
              </w:rPr>
              <w:fldChar w:fldCharType="begin"/>
            </w:r>
            <w:r w:rsidR="00555E23">
              <w:rPr>
                <w:noProof/>
                <w:webHidden/>
              </w:rPr>
              <w:instrText xml:space="preserve"> PAGEREF _Toc59107572 \h </w:instrText>
            </w:r>
            <w:r w:rsidR="00555E23">
              <w:rPr>
                <w:noProof/>
                <w:webHidden/>
              </w:rPr>
            </w:r>
            <w:r w:rsidR="00555E23">
              <w:rPr>
                <w:noProof/>
                <w:webHidden/>
              </w:rPr>
              <w:fldChar w:fldCharType="separate"/>
            </w:r>
            <w:r>
              <w:rPr>
                <w:noProof/>
                <w:webHidden/>
              </w:rPr>
              <w:t>100</w:t>
            </w:r>
            <w:r w:rsidR="00555E23">
              <w:rPr>
                <w:noProof/>
                <w:webHidden/>
              </w:rPr>
              <w:fldChar w:fldCharType="end"/>
            </w:r>
          </w:hyperlink>
        </w:p>
        <w:p w14:paraId="0E11FEE5"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73" w:history="1">
            <w:r w:rsidR="00555E23" w:rsidRPr="007E3453">
              <w:rPr>
                <w:rStyle w:val="Hyperlink"/>
                <w:rFonts w:ascii="Times New Roman" w:hAnsi="Times New Roman"/>
                <w:noProof/>
                <w:lang w:val="lt-LT"/>
              </w:rPr>
              <w:t>6.2.1.</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Integruotas planavimas</w:t>
            </w:r>
            <w:r w:rsidR="00555E23">
              <w:rPr>
                <w:noProof/>
                <w:webHidden/>
              </w:rPr>
              <w:tab/>
            </w:r>
            <w:r w:rsidR="00555E23">
              <w:rPr>
                <w:noProof/>
                <w:webHidden/>
              </w:rPr>
              <w:fldChar w:fldCharType="begin"/>
            </w:r>
            <w:r w:rsidR="00555E23">
              <w:rPr>
                <w:noProof/>
                <w:webHidden/>
              </w:rPr>
              <w:instrText xml:space="preserve"> PAGEREF _Toc59107573 \h </w:instrText>
            </w:r>
            <w:r w:rsidR="00555E23">
              <w:rPr>
                <w:noProof/>
                <w:webHidden/>
              </w:rPr>
            </w:r>
            <w:r w:rsidR="00555E23">
              <w:rPr>
                <w:noProof/>
                <w:webHidden/>
              </w:rPr>
              <w:fldChar w:fldCharType="separate"/>
            </w:r>
            <w:r>
              <w:rPr>
                <w:noProof/>
                <w:webHidden/>
              </w:rPr>
              <w:t>101</w:t>
            </w:r>
            <w:r w:rsidR="00555E23">
              <w:rPr>
                <w:noProof/>
                <w:webHidden/>
              </w:rPr>
              <w:fldChar w:fldCharType="end"/>
            </w:r>
          </w:hyperlink>
        </w:p>
        <w:p w14:paraId="636C61BE"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74" w:history="1">
            <w:r w:rsidR="00555E23" w:rsidRPr="007E3453">
              <w:rPr>
                <w:rStyle w:val="Hyperlink"/>
                <w:rFonts w:ascii="Times New Roman" w:hAnsi="Times New Roman"/>
                <w:noProof/>
                <w:lang w:val="lt-LT"/>
              </w:rPr>
              <w:t>6.2.2.</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Kompleksinis priemonių paketas</w:t>
            </w:r>
            <w:r w:rsidR="00555E23">
              <w:rPr>
                <w:noProof/>
                <w:webHidden/>
              </w:rPr>
              <w:tab/>
            </w:r>
            <w:r w:rsidR="00555E23">
              <w:rPr>
                <w:noProof/>
                <w:webHidden/>
              </w:rPr>
              <w:fldChar w:fldCharType="begin"/>
            </w:r>
            <w:r w:rsidR="00555E23">
              <w:rPr>
                <w:noProof/>
                <w:webHidden/>
              </w:rPr>
              <w:instrText xml:space="preserve"> PAGEREF _Toc59107574 \h </w:instrText>
            </w:r>
            <w:r w:rsidR="00555E23">
              <w:rPr>
                <w:noProof/>
                <w:webHidden/>
              </w:rPr>
            </w:r>
            <w:r w:rsidR="00555E23">
              <w:rPr>
                <w:noProof/>
                <w:webHidden/>
              </w:rPr>
              <w:fldChar w:fldCharType="separate"/>
            </w:r>
            <w:r>
              <w:rPr>
                <w:noProof/>
                <w:webHidden/>
              </w:rPr>
              <w:t>103</w:t>
            </w:r>
            <w:r w:rsidR="00555E23">
              <w:rPr>
                <w:noProof/>
                <w:webHidden/>
              </w:rPr>
              <w:fldChar w:fldCharType="end"/>
            </w:r>
          </w:hyperlink>
        </w:p>
        <w:p w14:paraId="4FEEABF6"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75" w:history="1">
            <w:r w:rsidR="00555E23" w:rsidRPr="007E3453">
              <w:rPr>
                <w:rStyle w:val="Hyperlink"/>
                <w:rFonts w:ascii="Times New Roman" w:hAnsi="Times New Roman"/>
                <w:noProof/>
                <w:lang w:val="lt-LT"/>
              </w:rPr>
              <w:t>6.2.3.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Pakankamas finansavimas</w:t>
            </w:r>
            <w:r w:rsidR="00555E23">
              <w:rPr>
                <w:noProof/>
                <w:webHidden/>
              </w:rPr>
              <w:tab/>
            </w:r>
            <w:r w:rsidR="00555E23">
              <w:rPr>
                <w:noProof/>
                <w:webHidden/>
              </w:rPr>
              <w:fldChar w:fldCharType="begin"/>
            </w:r>
            <w:r w:rsidR="00555E23">
              <w:rPr>
                <w:noProof/>
                <w:webHidden/>
              </w:rPr>
              <w:instrText xml:space="preserve"> PAGEREF _Toc59107575 \h </w:instrText>
            </w:r>
            <w:r w:rsidR="00555E23">
              <w:rPr>
                <w:noProof/>
                <w:webHidden/>
              </w:rPr>
            </w:r>
            <w:r w:rsidR="00555E23">
              <w:rPr>
                <w:noProof/>
                <w:webHidden/>
              </w:rPr>
              <w:fldChar w:fldCharType="separate"/>
            </w:r>
            <w:r>
              <w:rPr>
                <w:noProof/>
                <w:webHidden/>
              </w:rPr>
              <w:t>108</w:t>
            </w:r>
            <w:r w:rsidR="00555E23">
              <w:rPr>
                <w:noProof/>
                <w:webHidden/>
              </w:rPr>
              <w:fldChar w:fldCharType="end"/>
            </w:r>
          </w:hyperlink>
        </w:p>
        <w:p w14:paraId="1247D277"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76" w:history="1">
            <w:r w:rsidR="00555E23" w:rsidRPr="007E3453">
              <w:rPr>
                <w:rStyle w:val="Hyperlink"/>
                <w:rFonts w:ascii="Times New Roman" w:hAnsi="Times New Roman"/>
                <w:noProof/>
                <w:lang w:val="lt-LT"/>
              </w:rPr>
              <w:t>6.2.4.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Efektyvi komunikacija</w:t>
            </w:r>
            <w:r w:rsidR="00555E23">
              <w:rPr>
                <w:noProof/>
                <w:webHidden/>
              </w:rPr>
              <w:tab/>
            </w:r>
            <w:r w:rsidR="00555E23">
              <w:rPr>
                <w:noProof/>
                <w:webHidden/>
              </w:rPr>
              <w:fldChar w:fldCharType="begin"/>
            </w:r>
            <w:r w:rsidR="00555E23">
              <w:rPr>
                <w:noProof/>
                <w:webHidden/>
              </w:rPr>
              <w:instrText xml:space="preserve"> PAGEREF _Toc59107576 \h </w:instrText>
            </w:r>
            <w:r w:rsidR="00555E23">
              <w:rPr>
                <w:noProof/>
                <w:webHidden/>
              </w:rPr>
            </w:r>
            <w:r w:rsidR="00555E23">
              <w:rPr>
                <w:noProof/>
                <w:webHidden/>
              </w:rPr>
              <w:fldChar w:fldCharType="separate"/>
            </w:r>
            <w:r>
              <w:rPr>
                <w:noProof/>
                <w:webHidden/>
              </w:rPr>
              <w:t>110</w:t>
            </w:r>
            <w:r w:rsidR="00555E23">
              <w:rPr>
                <w:noProof/>
                <w:webHidden/>
              </w:rPr>
              <w:fldChar w:fldCharType="end"/>
            </w:r>
          </w:hyperlink>
        </w:p>
        <w:p w14:paraId="6861C764" w14:textId="77777777" w:rsidR="00555E23" w:rsidRDefault="00166683">
          <w:pPr>
            <w:pStyle w:val="TOC3"/>
            <w:rPr>
              <w:rFonts w:asciiTheme="minorHAnsi" w:eastAsiaTheme="minorEastAsia" w:hAnsiTheme="minorHAnsi" w:cstheme="minorBidi"/>
              <w:noProof/>
              <w:color w:val="auto"/>
              <w:szCs w:val="22"/>
              <w:lang w:val="lt-LT" w:eastAsia="lt-LT"/>
            </w:rPr>
          </w:pPr>
          <w:hyperlink w:anchor="_Toc59107577" w:history="1">
            <w:r w:rsidR="00555E23" w:rsidRPr="007E3453">
              <w:rPr>
                <w:rStyle w:val="Hyperlink"/>
                <w:rFonts w:ascii="Times New Roman" w:hAnsi="Times New Roman"/>
                <w:noProof/>
                <w:lang w:val="lt-LT"/>
              </w:rPr>
              <w:t>6.2.5.</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Patikima įgyvendinimo sistema</w:t>
            </w:r>
            <w:r w:rsidR="00555E23">
              <w:rPr>
                <w:noProof/>
                <w:webHidden/>
              </w:rPr>
              <w:tab/>
            </w:r>
            <w:r w:rsidR="00555E23">
              <w:rPr>
                <w:noProof/>
                <w:webHidden/>
              </w:rPr>
              <w:fldChar w:fldCharType="begin"/>
            </w:r>
            <w:r w:rsidR="00555E23">
              <w:rPr>
                <w:noProof/>
                <w:webHidden/>
              </w:rPr>
              <w:instrText xml:space="preserve"> PAGEREF _Toc59107577 \h </w:instrText>
            </w:r>
            <w:r w:rsidR="00555E23">
              <w:rPr>
                <w:noProof/>
                <w:webHidden/>
              </w:rPr>
            </w:r>
            <w:r w:rsidR="00555E23">
              <w:rPr>
                <w:noProof/>
                <w:webHidden/>
              </w:rPr>
              <w:fldChar w:fldCharType="separate"/>
            </w:r>
            <w:r>
              <w:rPr>
                <w:noProof/>
                <w:webHidden/>
              </w:rPr>
              <w:t>111</w:t>
            </w:r>
            <w:r w:rsidR="00555E23">
              <w:rPr>
                <w:noProof/>
                <w:webHidden/>
              </w:rPr>
              <w:fldChar w:fldCharType="end"/>
            </w:r>
          </w:hyperlink>
        </w:p>
        <w:p w14:paraId="0A2B2EF5"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78" w:history="1">
            <w:r w:rsidR="00555E23" w:rsidRPr="007E3453">
              <w:rPr>
                <w:rStyle w:val="Hyperlink"/>
                <w:rFonts w:ascii="Times New Roman" w:hAnsi="Times New Roman"/>
                <w:noProof/>
                <w:lang w:val="lt-LT"/>
              </w:rPr>
              <w:t>6.3.</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prioritetai</w:t>
            </w:r>
            <w:r w:rsidR="00555E23">
              <w:rPr>
                <w:noProof/>
                <w:webHidden/>
              </w:rPr>
              <w:tab/>
            </w:r>
            <w:r w:rsidR="00555E23">
              <w:rPr>
                <w:noProof/>
                <w:webHidden/>
              </w:rPr>
              <w:fldChar w:fldCharType="begin"/>
            </w:r>
            <w:r w:rsidR="00555E23">
              <w:rPr>
                <w:noProof/>
                <w:webHidden/>
              </w:rPr>
              <w:instrText xml:space="preserve"> PAGEREF _Toc59107578 \h </w:instrText>
            </w:r>
            <w:r w:rsidR="00555E23">
              <w:rPr>
                <w:noProof/>
                <w:webHidden/>
              </w:rPr>
            </w:r>
            <w:r w:rsidR="00555E23">
              <w:rPr>
                <w:noProof/>
                <w:webHidden/>
              </w:rPr>
              <w:fldChar w:fldCharType="separate"/>
            </w:r>
            <w:r>
              <w:rPr>
                <w:noProof/>
                <w:webHidden/>
              </w:rPr>
              <w:t>112</w:t>
            </w:r>
            <w:r w:rsidR="00555E23">
              <w:rPr>
                <w:noProof/>
                <w:webHidden/>
              </w:rPr>
              <w:fldChar w:fldCharType="end"/>
            </w:r>
          </w:hyperlink>
        </w:p>
        <w:p w14:paraId="35B5287F" w14:textId="77777777" w:rsidR="00555E23" w:rsidRDefault="00166683">
          <w:pPr>
            <w:pStyle w:val="TOC2"/>
            <w:tabs>
              <w:tab w:val="left" w:pos="880"/>
              <w:tab w:val="right" w:leader="dot" w:pos="10194"/>
            </w:tabs>
            <w:rPr>
              <w:rFonts w:asciiTheme="minorHAnsi" w:eastAsiaTheme="minorEastAsia" w:hAnsiTheme="minorHAnsi" w:cstheme="minorBidi"/>
              <w:noProof/>
              <w:color w:val="auto"/>
              <w:szCs w:val="22"/>
              <w:lang w:val="lt-LT" w:eastAsia="lt-LT"/>
            </w:rPr>
          </w:pPr>
          <w:hyperlink w:anchor="_Toc59107579" w:history="1">
            <w:r w:rsidR="00555E23" w:rsidRPr="007E3453">
              <w:rPr>
                <w:rStyle w:val="Hyperlink"/>
                <w:rFonts w:ascii="Times New Roman" w:hAnsi="Times New Roman"/>
                <w:noProof/>
                <w:lang w:val="lt-LT"/>
              </w:rPr>
              <w:t>6.4.</w:t>
            </w:r>
            <w:r w:rsidR="00555E23">
              <w:rPr>
                <w:rFonts w:asciiTheme="minorHAnsi" w:eastAsiaTheme="minorEastAsia" w:hAnsiTheme="minorHAnsi" w:cstheme="minorBidi"/>
                <w:noProof/>
                <w:color w:val="auto"/>
                <w:szCs w:val="22"/>
                <w:lang w:val="lt-LT" w:eastAsia="lt-LT"/>
              </w:rPr>
              <w:tab/>
            </w:r>
            <w:r w:rsidR="00555E23" w:rsidRPr="007E3453">
              <w:rPr>
                <w:rStyle w:val="Hyperlink"/>
                <w:rFonts w:ascii="Times New Roman" w:hAnsi="Times New Roman"/>
                <w:noProof/>
                <w:lang w:val="lt-LT"/>
              </w:rPr>
              <w:t>Strategijos įgyvendinimo etapai</w:t>
            </w:r>
            <w:r w:rsidR="00555E23">
              <w:rPr>
                <w:noProof/>
                <w:webHidden/>
              </w:rPr>
              <w:tab/>
            </w:r>
            <w:r w:rsidR="00555E23">
              <w:rPr>
                <w:noProof/>
                <w:webHidden/>
              </w:rPr>
              <w:fldChar w:fldCharType="begin"/>
            </w:r>
            <w:r w:rsidR="00555E23">
              <w:rPr>
                <w:noProof/>
                <w:webHidden/>
              </w:rPr>
              <w:instrText xml:space="preserve"> PAGEREF _Toc59107579 \h </w:instrText>
            </w:r>
            <w:r w:rsidR="00555E23">
              <w:rPr>
                <w:noProof/>
                <w:webHidden/>
              </w:rPr>
            </w:r>
            <w:r w:rsidR="00555E23">
              <w:rPr>
                <w:noProof/>
                <w:webHidden/>
              </w:rPr>
              <w:fldChar w:fldCharType="separate"/>
            </w:r>
            <w:r>
              <w:rPr>
                <w:noProof/>
                <w:webHidden/>
              </w:rPr>
              <w:t>114</w:t>
            </w:r>
            <w:r w:rsidR="00555E23">
              <w:rPr>
                <w:noProof/>
                <w:webHidden/>
              </w:rPr>
              <w:fldChar w:fldCharType="end"/>
            </w:r>
          </w:hyperlink>
        </w:p>
        <w:p w14:paraId="01DF7286"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580" w:history="1">
            <w:r w:rsidR="00555E23" w:rsidRPr="007E3453">
              <w:rPr>
                <w:rStyle w:val="Hyperlink"/>
                <w:rFonts w:ascii="Times New Roman" w:hAnsi="Times New Roman"/>
                <w:noProof/>
              </w:rPr>
              <w:t>1 priedas. Kitų negyvenamųjų pastatų renovacijos tempai</w:t>
            </w:r>
            <w:r w:rsidR="00555E23">
              <w:rPr>
                <w:noProof/>
                <w:webHidden/>
              </w:rPr>
              <w:tab/>
            </w:r>
            <w:r w:rsidR="00555E23">
              <w:rPr>
                <w:noProof/>
                <w:webHidden/>
              </w:rPr>
              <w:fldChar w:fldCharType="begin"/>
            </w:r>
            <w:r w:rsidR="00555E23">
              <w:rPr>
                <w:noProof/>
                <w:webHidden/>
              </w:rPr>
              <w:instrText xml:space="preserve"> PAGEREF _Toc59107580 \h </w:instrText>
            </w:r>
            <w:r w:rsidR="00555E23">
              <w:rPr>
                <w:noProof/>
                <w:webHidden/>
              </w:rPr>
            </w:r>
            <w:r w:rsidR="00555E23">
              <w:rPr>
                <w:noProof/>
                <w:webHidden/>
              </w:rPr>
              <w:fldChar w:fldCharType="separate"/>
            </w:r>
            <w:r>
              <w:rPr>
                <w:noProof/>
                <w:webHidden/>
              </w:rPr>
              <w:t>119</w:t>
            </w:r>
            <w:r w:rsidR="00555E23">
              <w:rPr>
                <w:noProof/>
                <w:webHidden/>
              </w:rPr>
              <w:fldChar w:fldCharType="end"/>
            </w:r>
          </w:hyperlink>
        </w:p>
        <w:p w14:paraId="74391EBF"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581" w:history="1">
            <w:r w:rsidR="00555E23" w:rsidRPr="007E3453">
              <w:rPr>
                <w:rStyle w:val="Hyperlink"/>
                <w:rFonts w:ascii="Times New Roman" w:hAnsi="Times New Roman"/>
                <w:noProof/>
              </w:rPr>
              <w:t>2 priedas. Viešosios nuosavybės kitų negyvenamųjų pastatų renovacijos tempai</w:t>
            </w:r>
            <w:r w:rsidR="00555E23">
              <w:rPr>
                <w:noProof/>
                <w:webHidden/>
              </w:rPr>
              <w:tab/>
            </w:r>
            <w:r w:rsidR="00555E23">
              <w:rPr>
                <w:noProof/>
                <w:webHidden/>
              </w:rPr>
              <w:fldChar w:fldCharType="begin"/>
            </w:r>
            <w:r w:rsidR="00555E23">
              <w:rPr>
                <w:noProof/>
                <w:webHidden/>
              </w:rPr>
              <w:instrText xml:space="preserve"> PAGEREF _Toc59107581 \h </w:instrText>
            </w:r>
            <w:r w:rsidR="00555E23">
              <w:rPr>
                <w:noProof/>
                <w:webHidden/>
              </w:rPr>
            </w:r>
            <w:r w:rsidR="00555E23">
              <w:rPr>
                <w:noProof/>
                <w:webHidden/>
              </w:rPr>
              <w:fldChar w:fldCharType="separate"/>
            </w:r>
            <w:r>
              <w:rPr>
                <w:noProof/>
                <w:webHidden/>
              </w:rPr>
              <w:t>122</w:t>
            </w:r>
            <w:r w:rsidR="00555E23">
              <w:rPr>
                <w:noProof/>
                <w:webHidden/>
              </w:rPr>
              <w:fldChar w:fldCharType="end"/>
            </w:r>
          </w:hyperlink>
        </w:p>
        <w:p w14:paraId="4E5D7BB3" w14:textId="77777777" w:rsidR="00555E23" w:rsidRDefault="00166683">
          <w:pPr>
            <w:pStyle w:val="TOC1"/>
            <w:tabs>
              <w:tab w:val="right" w:leader="dot" w:pos="10194"/>
            </w:tabs>
            <w:rPr>
              <w:rFonts w:asciiTheme="minorHAnsi" w:eastAsiaTheme="minorEastAsia" w:hAnsiTheme="minorHAnsi" w:cstheme="minorBidi"/>
              <w:noProof/>
              <w:color w:val="auto"/>
              <w:szCs w:val="22"/>
              <w:lang w:val="lt-LT" w:eastAsia="lt-LT"/>
            </w:rPr>
          </w:pPr>
          <w:hyperlink w:anchor="_Toc59107582" w:history="1">
            <w:r w:rsidR="00555E23" w:rsidRPr="007E3453">
              <w:rPr>
                <w:rStyle w:val="Hyperlink"/>
                <w:rFonts w:ascii="Times New Roman" w:hAnsi="Times New Roman"/>
                <w:noProof/>
              </w:rPr>
              <w:t>3 priedas. Viešųjų konsultacijų santrauka</w:t>
            </w:r>
            <w:r w:rsidR="00555E23">
              <w:rPr>
                <w:noProof/>
                <w:webHidden/>
              </w:rPr>
              <w:tab/>
            </w:r>
            <w:r w:rsidR="00555E23">
              <w:rPr>
                <w:noProof/>
                <w:webHidden/>
              </w:rPr>
              <w:fldChar w:fldCharType="begin"/>
            </w:r>
            <w:r w:rsidR="00555E23">
              <w:rPr>
                <w:noProof/>
                <w:webHidden/>
              </w:rPr>
              <w:instrText xml:space="preserve"> PAGEREF _Toc59107582 \h </w:instrText>
            </w:r>
            <w:r w:rsidR="00555E23">
              <w:rPr>
                <w:noProof/>
                <w:webHidden/>
              </w:rPr>
            </w:r>
            <w:r w:rsidR="00555E23">
              <w:rPr>
                <w:noProof/>
                <w:webHidden/>
              </w:rPr>
              <w:fldChar w:fldCharType="separate"/>
            </w:r>
            <w:r>
              <w:rPr>
                <w:noProof/>
                <w:webHidden/>
              </w:rPr>
              <w:t>123</w:t>
            </w:r>
            <w:r w:rsidR="00555E23">
              <w:rPr>
                <w:noProof/>
                <w:webHidden/>
              </w:rPr>
              <w:fldChar w:fldCharType="end"/>
            </w:r>
          </w:hyperlink>
        </w:p>
        <w:p w14:paraId="578EE495" w14:textId="3B839222" w:rsidR="004C28AF" w:rsidRPr="00650EE4" w:rsidRDefault="00DA1E77" w:rsidP="002D7C6C">
          <w:pPr>
            <w:pStyle w:val="BodyText"/>
            <w:spacing w:line="240" w:lineRule="auto"/>
            <w:rPr>
              <w:rFonts w:ascii="Times New Roman" w:hAnsi="Times New Roman"/>
              <w:color w:val="000000" w:themeColor="text1"/>
              <w:szCs w:val="22"/>
              <w:lang w:val="lt-LT"/>
            </w:rPr>
          </w:pPr>
          <w:r w:rsidRPr="002D7C6C">
            <w:rPr>
              <w:rFonts w:ascii="Times New Roman" w:hAnsi="Times New Roman"/>
              <w:color w:val="000000" w:themeColor="text1"/>
              <w:szCs w:val="22"/>
              <w:lang w:val="lt-LT"/>
            </w:rPr>
            <w:fldChar w:fldCharType="end"/>
          </w:r>
          <w:bookmarkEnd w:id="4"/>
        </w:p>
        <w:p w14:paraId="7B02274B" w14:textId="7DAD26EB" w:rsidR="00526623" w:rsidRPr="00650EE4" w:rsidRDefault="00526623" w:rsidP="00647722">
          <w:pPr>
            <w:pStyle w:val="Nenumeruojamosantrastes"/>
            <w:pBdr>
              <w:bottom w:val="single" w:sz="4" w:space="1" w:color="auto"/>
            </w:pBdr>
            <w:outlineLvl w:val="0"/>
            <w:rPr>
              <w:rFonts w:ascii="Times New Roman" w:hAnsi="Times New Roman"/>
              <w:color w:val="002060"/>
              <w:sz w:val="24"/>
              <w:szCs w:val="24"/>
            </w:rPr>
          </w:pPr>
          <w:bookmarkStart w:id="5" w:name="_Toc59107495"/>
          <w:r w:rsidRPr="00650EE4">
            <w:rPr>
              <w:rFonts w:ascii="Times New Roman" w:hAnsi="Times New Roman"/>
              <w:color w:val="002060"/>
              <w:sz w:val="24"/>
              <w:szCs w:val="24"/>
            </w:rPr>
            <w:lastRenderedPageBreak/>
            <w:t>LENTELIŲ SĄRAŠAS</w:t>
          </w:r>
          <w:bookmarkEnd w:id="5"/>
        </w:p>
        <w:p w14:paraId="2056E06B" w14:textId="77777777" w:rsidR="00C65CA1" w:rsidRPr="00C65CA1" w:rsidRDefault="00910E7F">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color w:val="000000" w:themeColor="text1"/>
              <w:sz w:val="22"/>
              <w:szCs w:val="22"/>
              <w:lang w:val="lt-LT"/>
            </w:rPr>
            <w:fldChar w:fldCharType="begin"/>
          </w:r>
          <w:r w:rsidRPr="00C65CA1">
            <w:rPr>
              <w:color w:val="000000" w:themeColor="text1"/>
              <w:sz w:val="22"/>
              <w:szCs w:val="22"/>
              <w:lang w:val="lt-LT"/>
            </w:rPr>
            <w:instrText xml:space="preserve"> TOC \c "lentelė" </w:instrText>
          </w:r>
          <w:r w:rsidRPr="00C65CA1">
            <w:rPr>
              <w:color w:val="000000" w:themeColor="text1"/>
              <w:sz w:val="22"/>
              <w:szCs w:val="22"/>
              <w:lang w:val="lt-LT"/>
            </w:rPr>
            <w:fldChar w:fldCharType="separate"/>
          </w:r>
          <w:r w:rsidR="00C65CA1" w:rsidRPr="00C65CA1">
            <w:rPr>
              <w:noProof/>
              <w:sz w:val="22"/>
              <w:szCs w:val="22"/>
            </w:rPr>
            <w:t>1 lentelė. Nacionalinis pastatų fondas pagal pastatų grupes ir pogrupius</w:t>
          </w:r>
          <w:r w:rsidR="00C65CA1" w:rsidRPr="00C65CA1">
            <w:rPr>
              <w:noProof/>
              <w:sz w:val="22"/>
              <w:szCs w:val="22"/>
            </w:rPr>
            <w:tab/>
          </w:r>
          <w:r w:rsidR="00C65CA1" w:rsidRPr="00C65CA1">
            <w:rPr>
              <w:noProof/>
              <w:sz w:val="22"/>
              <w:szCs w:val="22"/>
            </w:rPr>
            <w:fldChar w:fldCharType="begin"/>
          </w:r>
          <w:r w:rsidR="00C65CA1" w:rsidRPr="00C65CA1">
            <w:rPr>
              <w:noProof/>
              <w:sz w:val="22"/>
              <w:szCs w:val="22"/>
            </w:rPr>
            <w:instrText xml:space="preserve"> PAGEREF _Toc59094184 \h </w:instrText>
          </w:r>
          <w:r w:rsidR="00C65CA1" w:rsidRPr="00C65CA1">
            <w:rPr>
              <w:noProof/>
              <w:sz w:val="22"/>
              <w:szCs w:val="22"/>
            </w:rPr>
          </w:r>
          <w:r w:rsidR="00C65CA1" w:rsidRPr="00C65CA1">
            <w:rPr>
              <w:noProof/>
              <w:sz w:val="22"/>
              <w:szCs w:val="22"/>
            </w:rPr>
            <w:fldChar w:fldCharType="separate"/>
          </w:r>
          <w:r w:rsidR="00166683">
            <w:rPr>
              <w:noProof/>
              <w:sz w:val="22"/>
              <w:szCs w:val="22"/>
            </w:rPr>
            <w:t>13</w:t>
          </w:r>
          <w:r w:rsidR="00C65CA1" w:rsidRPr="00C65CA1">
            <w:rPr>
              <w:noProof/>
              <w:sz w:val="22"/>
              <w:szCs w:val="22"/>
            </w:rPr>
            <w:fldChar w:fldCharType="end"/>
          </w:r>
        </w:p>
        <w:p w14:paraId="3FEC3B9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 lentelė. Gyvenamųjų bei negyvenamųjų pastatų grupių ir NTR požymių sąsaja</w:t>
          </w:r>
          <w:r w:rsidRPr="00C65CA1">
            <w:rPr>
              <w:noProof/>
              <w:sz w:val="22"/>
              <w:szCs w:val="22"/>
            </w:rPr>
            <w:tab/>
          </w:r>
          <w:r w:rsidRPr="00C65CA1">
            <w:rPr>
              <w:noProof/>
              <w:sz w:val="22"/>
              <w:szCs w:val="22"/>
            </w:rPr>
            <w:fldChar w:fldCharType="begin"/>
          </w:r>
          <w:r w:rsidRPr="00C65CA1">
            <w:rPr>
              <w:noProof/>
              <w:sz w:val="22"/>
              <w:szCs w:val="22"/>
            </w:rPr>
            <w:instrText xml:space="preserve"> PAGEREF _Toc59094185 \h </w:instrText>
          </w:r>
          <w:r w:rsidRPr="00C65CA1">
            <w:rPr>
              <w:noProof/>
              <w:sz w:val="22"/>
              <w:szCs w:val="22"/>
            </w:rPr>
          </w:r>
          <w:r w:rsidRPr="00C65CA1">
            <w:rPr>
              <w:noProof/>
              <w:sz w:val="22"/>
              <w:szCs w:val="22"/>
            </w:rPr>
            <w:fldChar w:fldCharType="separate"/>
          </w:r>
          <w:r w:rsidR="00166683">
            <w:rPr>
              <w:noProof/>
              <w:sz w:val="22"/>
              <w:szCs w:val="22"/>
            </w:rPr>
            <w:t>14</w:t>
          </w:r>
          <w:r w:rsidRPr="00C65CA1">
            <w:rPr>
              <w:noProof/>
              <w:sz w:val="22"/>
              <w:szCs w:val="22"/>
            </w:rPr>
            <w:fldChar w:fldCharType="end"/>
          </w:r>
        </w:p>
        <w:p w14:paraId="64B6FE13"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 lentelė. Pastatų fondas pagal statybos pabaigos metus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_Toc59094186 \h </w:instrText>
          </w:r>
          <w:r w:rsidRPr="00C65CA1">
            <w:rPr>
              <w:noProof/>
              <w:sz w:val="22"/>
              <w:szCs w:val="22"/>
            </w:rPr>
          </w:r>
          <w:r w:rsidRPr="00C65CA1">
            <w:rPr>
              <w:noProof/>
              <w:sz w:val="22"/>
              <w:szCs w:val="22"/>
            </w:rPr>
            <w:fldChar w:fldCharType="separate"/>
          </w:r>
          <w:r w:rsidR="00166683">
            <w:rPr>
              <w:noProof/>
              <w:sz w:val="22"/>
              <w:szCs w:val="22"/>
            </w:rPr>
            <w:t>15</w:t>
          </w:r>
          <w:r w:rsidRPr="00C65CA1">
            <w:rPr>
              <w:noProof/>
              <w:sz w:val="22"/>
              <w:szCs w:val="22"/>
            </w:rPr>
            <w:fldChar w:fldCharType="end"/>
          </w:r>
        </w:p>
        <w:p w14:paraId="5B3E002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 lentelė. Pastatų fondas pagal statybos pabaigos metus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_Toc59094187 \h </w:instrText>
          </w:r>
          <w:r w:rsidRPr="00C65CA1">
            <w:rPr>
              <w:noProof/>
              <w:sz w:val="22"/>
              <w:szCs w:val="22"/>
            </w:rPr>
          </w:r>
          <w:r w:rsidRPr="00C65CA1">
            <w:rPr>
              <w:noProof/>
              <w:sz w:val="22"/>
              <w:szCs w:val="22"/>
            </w:rPr>
            <w:fldChar w:fldCharType="separate"/>
          </w:r>
          <w:r w:rsidR="00166683">
            <w:rPr>
              <w:noProof/>
              <w:sz w:val="22"/>
              <w:szCs w:val="22"/>
            </w:rPr>
            <w:t>15</w:t>
          </w:r>
          <w:r w:rsidRPr="00C65CA1">
            <w:rPr>
              <w:noProof/>
              <w:sz w:val="22"/>
              <w:szCs w:val="22"/>
            </w:rPr>
            <w:fldChar w:fldCharType="end"/>
          </w:r>
        </w:p>
        <w:p w14:paraId="7498F5E4"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 lentelė. Pastatų fondas pagal nuosavybės tipą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_Toc59094188 \h </w:instrText>
          </w:r>
          <w:r w:rsidRPr="00C65CA1">
            <w:rPr>
              <w:noProof/>
              <w:sz w:val="22"/>
              <w:szCs w:val="22"/>
            </w:rPr>
          </w:r>
          <w:r w:rsidRPr="00C65CA1">
            <w:rPr>
              <w:noProof/>
              <w:sz w:val="22"/>
              <w:szCs w:val="22"/>
            </w:rPr>
            <w:fldChar w:fldCharType="separate"/>
          </w:r>
          <w:r w:rsidR="00166683">
            <w:rPr>
              <w:noProof/>
              <w:sz w:val="22"/>
              <w:szCs w:val="22"/>
            </w:rPr>
            <w:t>17</w:t>
          </w:r>
          <w:r w:rsidRPr="00C65CA1">
            <w:rPr>
              <w:noProof/>
              <w:sz w:val="22"/>
              <w:szCs w:val="22"/>
            </w:rPr>
            <w:fldChar w:fldCharType="end"/>
          </w:r>
        </w:p>
        <w:p w14:paraId="2B1E133B"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 lentelė. Pastatų fondas pagal nuosavybės tipą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_Toc59094189 \h </w:instrText>
          </w:r>
          <w:r w:rsidRPr="00C65CA1">
            <w:rPr>
              <w:noProof/>
              <w:sz w:val="22"/>
              <w:szCs w:val="22"/>
            </w:rPr>
          </w:r>
          <w:r w:rsidRPr="00C65CA1">
            <w:rPr>
              <w:noProof/>
              <w:sz w:val="22"/>
              <w:szCs w:val="22"/>
            </w:rPr>
            <w:fldChar w:fldCharType="separate"/>
          </w:r>
          <w:r w:rsidR="00166683">
            <w:rPr>
              <w:noProof/>
              <w:sz w:val="22"/>
              <w:szCs w:val="22"/>
            </w:rPr>
            <w:t>17</w:t>
          </w:r>
          <w:r w:rsidRPr="00C65CA1">
            <w:rPr>
              <w:noProof/>
              <w:sz w:val="22"/>
              <w:szCs w:val="22"/>
            </w:rPr>
            <w:fldChar w:fldCharType="end"/>
          </w:r>
        </w:p>
        <w:p w14:paraId="3BD48B63"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7 lentelė. Pastatų fondas pagal sienų medžiagiškumą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_Toc59094190 \h </w:instrText>
          </w:r>
          <w:r w:rsidRPr="00C65CA1">
            <w:rPr>
              <w:noProof/>
              <w:sz w:val="22"/>
              <w:szCs w:val="22"/>
            </w:rPr>
          </w:r>
          <w:r w:rsidRPr="00C65CA1">
            <w:rPr>
              <w:noProof/>
              <w:sz w:val="22"/>
              <w:szCs w:val="22"/>
            </w:rPr>
            <w:fldChar w:fldCharType="separate"/>
          </w:r>
          <w:r w:rsidR="00166683">
            <w:rPr>
              <w:noProof/>
              <w:sz w:val="22"/>
              <w:szCs w:val="22"/>
            </w:rPr>
            <w:t>19</w:t>
          </w:r>
          <w:r w:rsidRPr="00C65CA1">
            <w:rPr>
              <w:noProof/>
              <w:sz w:val="22"/>
              <w:szCs w:val="22"/>
            </w:rPr>
            <w:fldChar w:fldCharType="end"/>
          </w:r>
        </w:p>
        <w:p w14:paraId="63F41D5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8 lentelė. Pastatų fondas pagal sienų medžiagiškumą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_Toc59094191 \h </w:instrText>
          </w:r>
          <w:r w:rsidRPr="00C65CA1">
            <w:rPr>
              <w:noProof/>
              <w:sz w:val="22"/>
              <w:szCs w:val="22"/>
            </w:rPr>
          </w:r>
          <w:r w:rsidRPr="00C65CA1">
            <w:rPr>
              <w:noProof/>
              <w:sz w:val="22"/>
              <w:szCs w:val="22"/>
            </w:rPr>
            <w:fldChar w:fldCharType="separate"/>
          </w:r>
          <w:r w:rsidR="00166683">
            <w:rPr>
              <w:noProof/>
              <w:sz w:val="22"/>
              <w:szCs w:val="22"/>
            </w:rPr>
            <w:t>19</w:t>
          </w:r>
          <w:r w:rsidRPr="00C65CA1">
            <w:rPr>
              <w:noProof/>
              <w:sz w:val="22"/>
              <w:szCs w:val="22"/>
            </w:rPr>
            <w:fldChar w:fldCharType="end"/>
          </w:r>
        </w:p>
        <w:p w14:paraId="2716A4A4"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9 lentelė. Pastatų fondas pagal šildymo tipą - prijungta ar neprijungta prie CŠT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_Toc59094192 \h </w:instrText>
          </w:r>
          <w:r w:rsidRPr="00C65CA1">
            <w:rPr>
              <w:noProof/>
              <w:sz w:val="22"/>
              <w:szCs w:val="22"/>
            </w:rPr>
          </w:r>
          <w:r w:rsidRPr="00C65CA1">
            <w:rPr>
              <w:noProof/>
              <w:sz w:val="22"/>
              <w:szCs w:val="22"/>
            </w:rPr>
            <w:fldChar w:fldCharType="separate"/>
          </w:r>
          <w:r w:rsidR="00166683">
            <w:rPr>
              <w:noProof/>
              <w:sz w:val="22"/>
              <w:szCs w:val="22"/>
            </w:rPr>
            <w:t>21</w:t>
          </w:r>
          <w:r w:rsidRPr="00C65CA1">
            <w:rPr>
              <w:noProof/>
              <w:sz w:val="22"/>
              <w:szCs w:val="22"/>
            </w:rPr>
            <w:fldChar w:fldCharType="end"/>
          </w:r>
        </w:p>
        <w:p w14:paraId="2AB7021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10 lentelė. Pastatų fondas pagal šildymo tipą - prijungta ar neprijungta prie CŠT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_Toc59094193 \h </w:instrText>
          </w:r>
          <w:r w:rsidRPr="00C65CA1">
            <w:rPr>
              <w:noProof/>
              <w:sz w:val="22"/>
              <w:szCs w:val="22"/>
            </w:rPr>
          </w:r>
          <w:r w:rsidRPr="00C65CA1">
            <w:rPr>
              <w:noProof/>
              <w:sz w:val="22"/>
              <w:szCs w:val="22"/>
            </w:rPr>
            <w:fldChar w:fldCharType="separate"/>
          </w:r>
          <w:r w:rsidR="00166683">
            <w:rPr>
              <w:noProof/>
              <w:sz w:val="22"/>
              <w:szCs w:val="22"/>
            </w:rPr>
            <w:t>21</w:t>
          </w:r>
          <w:r w:rsidRPr="00C65CA1">
            <w:rPr>
              <w:noProof/>
              <w:sz w:val="22"/>
              <w:szCs w:val="22"/>
            </w:rPr>
            <w:fldChar w:fldCharType="end"/>
          </w:r>
        </w:p>
        <w:p w14:paraId="49D81661"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11 lentelė. Pastatų fondas pagal šildymo tipą – prijungta prie CŠT (vnt. ir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_Toc59094194 \h </w:instrText>
          </w:r>
          <w:r w:rsidRPr="00C65CA1">
            <w:rPr>
              <w:noProof/>
              <w:sz w:val="22"/>
              <w:szCs w:val="22"/>
            </w:rPr>
          </w:r>
          <w:r w:rsidRPr="00C65CA1">
            <w:rPr>
              <w:noProof/>
              <w:sz w:val="22"/>
              <w:szCs w:val="22"/>
            </w:rPr>
            <w:fldChar w:fldCharType="separate"/>
          </w:r>
          <w:r w:rsidR="00166683">
            <w:rPr>
              <w:noProof/>
              <w:sz w:val="22"/>
              <w:szCs w:val="22"/>
            </w:rPr>
            <w:t>21</w:t>
          </w:r>
          <w:r w:rsidRPr="00C65CA1">
            <w:rPr>
              <w:noProof/>
              <w:sz w:val="22"/>
              <w:szCs w:val="22"/>
            </w:rPr>
            <w:fldChar w:fldCharType="end"/>
          </w:r>
        </w:p>
        <w:p w14:paraId="01DF61E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12 lentelė. Pastatai, turintys energinio naudingumo sertifikatą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_Toc59094195 \h </w:instrText>
          </w:r>
          <w:r w:rsidRPr="00C65CA1">
            <w:rPr>
              <w:noProof/>
              <w:sz w:val="22"/>
              <w:szCs w:val="22"/>
            </w:rPr>
          </w:r>
          <w:r w:rsidRPr="00C65CA1">
            <w:rPr>
              <w:noProof/>
              <w:sz w:val="22"/>
              <w:szCs w:val="22"/>
            </w:rPr>
            <w:fldChar w:fldCharType="separate"/>
          </w:r>
          <w:r w:rsidR="00166683">
            <w:rPr>
              <w:noProof/>
              <w:sz w:val="22"/>
              <w:szCs w:val="22"/>
            </w:rPr>
            <w:t>22</w:t>
          </w:r>
          <w:r w:rsidRPr="00C65CA1">
            <w:rPr>
              <w:noProof/>
              <w:sz w:val="22"/>
              <w:szCs w:val="22"/>
            </w:rPr>
            <w:fldChar w:fldCharType="end"/>
          </w:r>
        </w:p>
        <w:p w14:paraId="71BBAC83"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13 lentelė. Energinio naudingumo klasės priskyrimas pagal statybos 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_Toc59094196 \h </w:instrText>
          </w:r>
          <w:r w:rsidRPr="00C65CA1">
            <w:rPr>
              <w:noProof/>
              <w:sz w:val="22"/>
              <w:szCs w:val="22"/>
            </w:rPr>
          </w:r>
          <w:r w:rsidRPr="00C65CA1">
            <w:rPr>
              <w:noProof/>
              <w:sz w:val="22"/>
              <w:szCs w:val="22"/>
            </w:rPr>
            <w:fldChar w:fldCharType="separate"/>
          </w:r>
          <w:r w:rsidR="00166683">
            <w:rPr>
              <w:noProof/>
              <w:sz w:val="22"/>
              <w:szCs w:val="22"/>
            </w:rPr>
            <w:t>23</w:t>
          </w:r>
          <w:r w:rsidRPr="00C65CA1">
            <w:rPr>
              <w:noProof/>
              <w:sz w:val="22"/>
              <w:szCs w:val="22"/>
            </w:rPr>
            <w:fldChar w:fldCharType="end"/>
          </w:r>
        </w:p>
        <w:p w14:paraId="47D61660"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14 lentelė. Pastatų fondas pagal energinio naudingumo klasę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_Toc59094197 \h </w:instrText>
          </w:r>
          <w:r w:rsidRPr="00C65CA1">
            <w:rPr>
              <w:noProof/>
              <w:sz w:val="22"/>
              <w:szCs w:val="22"/>
            </w:rPr>
          </w:r>
          <w:r w:rsidRPr="00C65CA1">
            <w:rPr>
              <w:noProof/>
              <w:sz w:val="22"/>
              <w:szCs w:val="22"/>
            </w:rPr>
            <w:fldChar w:fldCharType="separate"/>
          </w:r>
          <w:r w:rsidR="00166683">
            <w:rPr>
              <w:noProof/>
              <w:sz w:val="22"/>
              <w:szCs w:val="22"/>
            </w:rPr>
            <w:t>23</w:t>
          </w:r>
          <w:r w:rsidRPr="00C65CA1">
            <w:rPr>
              <w:noProof/>
              <w:sz w:val="22"/>
              <w:szCs w:val="22"/>
            </w:rPr>
            <w:fldChar w:fldCharType="end"/>
          </w:r>
        </w:p>
        <w:p w14:paraId="7B254A25"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15 lentelė. Pastatų fondas pagal energinio naudingumo klasę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_Toc59094198 \h </w:instrText>
          </w:r>
          <w:r w:rsidRPr="00C65CA1">
            <w:rPr>
              <w:noProof/>
              <w:sz w:val="22"/>
              <w:szCs w:val="22"/>
            </w:rPr>
          </w:r>
          <w:r w:rsidRPr="00C65CA1">
            <w:rPr>
              <w:noProof/>
              <w:sz w:val="22"/>
              <w:szCs w:val="22"/>
            </w:rPr>
            <w:fldChar w:fldCharType="separate"/>
          </w:r>
          <w:r w:rsidR="00166683">
            <w:rPr>
              <w:noProof/>
              <w:sz w:val="22"/>
              <w:szCs w:val="22"/>
            </w:rPr>
            <w:t>23</w:t>
          </w:r>
          <w:r w:rsidRPr="00C65CA1">
            <w:rPr>
              <w:noProof/>
              <w:sz w:val="22"/>
              <w:szCs w:val="22"/>
            </w:rPr>
            <w:fldChar w:fldCharType="end"/>
          </w:r>
        </w:p>
        <w:p w14:paraId="609A7582"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16 lentelė. Vakarų Lietuvos pastatų fondo dalis</w:t>
          </w:r>
          <w:r w:rsidRPr="00C65CA1">
            <w:rPr>
              <w:noProof/>
              <w:sz w:val="22"/>
              <w:szCs w:val="22"/>
            </w:rPr>
            <w:tab/>
          </w:r>
          <w:r w:rsidRPr="00C65CA1">
            <w:rPr>
              <w:noProof/>
              <w:sz w:val="22"/>
              <w:szCs w:val="22"/>
            </w:rPr>
            <w:fldChar w:fldCharType="begin"/>
          </w:r>
          <w:r w:rsidRPr="00C65CA1">
            <w:rPr>
              <w:noProof/>
              <w:sz w:val="22"/>
              <w:szCs w:val="22"/>
            </w:rPr>
            <w:instrText xml:space="preserve"> PAGEREF _Toc59094199 \h </w:instrText>
          </w:r>
          <w:r w:rsidRPr="00C65CA1">
            <w:rPr>
              <w:noProof/>
              <w:sz w:val="22"/>
              <w:szCs w:val="22"/>
            </w:rPr>
          </w:r>
          <w:r w:rsidRPr="00C65CA1">
            <w:rPr>
              <w:noProof/>
              <w:sz w:val="22"/>
              <w:szCs w:val="22"/>
            </w:rPr>
            <w:fldChar w:fldCharType="separate"/>
          </w:r>
          <w:r w:rsidR="00166683">
            <w:rPr>
              <w:noProof/>
              <w:sz w:val="22"/>
              <w:szCs w:val="22"/>
            </w:rPr>
            <w:t>25</w:t>
          </w:r>
          <w:r w:rsidRPr="00C65CA1">
            <w:rPr>
              <w:noProof/>
              <w:sz w:val="22"/>
              <w:szCs w:val="22"/>
            </w:rPr>
            <w:fldChar w:fldCharType="end"/>
          </w:r>
        </w:p>
        <w:p w14:paraId="209AF70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17 lentelė. Pastatų fondo šiluminės energijos pastato šildymui vartojimas pagal ENK (GWh)</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_Toc59094200 \h </w:instrText>
          </w:r>
          <w:r w:rsidRPr="00C65CA1">
            <w:rPr>
              <w:noProof/>
              <w:sz w:val="22"/>
              <w:szCs w:val="22"/>
            </w:rPr>
          </w:r>
          <w:r w:rsidRPr="00C65CA1">
            <w:rPr>
              <w:noProof/>
              <w:sz w:val="22"/>
              <w:szCs w:val="22"/>
            </w:rPr>
            <w:fldChar w:fldCharType="separate"/>
          </w:r>
          <w:r w:rsidR="00166683">
            <w:rPr>
              <w:noProof/>
              <w:sz w:val="22"/>
              <w:szCs w:val="22"/>
            </w:rPr>
            <w:t>27</w:t>
          </w:r>
          <w:r w:rsidRPr="00C65CA1">
            <w:rPr>
              <w:noProof/>
              <w:sz w:val="22"/>
              <w:szCs w:val="22"/>
            </w:rPr>
            <w:fldChar w:fldCharType="end"/>
          </w:r>
        </w:p>
        <w:p w14:paraId="7403E2F1"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18 lentelė. Pastatų fondo šiluminės energijos vartojimas karštam vandeniui ruošti pagal ENK (GWh)</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_Toc59094201 \h </w:instrText>
          </w:r>
          <w:r w:rsidRPr="00C65CA1">
            <w:rPr>
              <w:noProof/>
              <w:sz w:val="22"/>
              <w:szCs w:val="22"/>
            </w:rPr>
          </w:r>
          <w:r w:rsidRPr="00C65CA1">
            <w:rPr>
              <w:noProof/>
              <w:sz w:val="22"/>
              <w:szCs w:val="22"/>
            </w:rPr>
            <w:fldChar w:fldCharType="separate"/>
          </w:r>
          <w:r w:rsidR="00166683">
            <w:rPr>
              <w:noProof/>
              <w:sz w:val="22"/>
              <w:szCs w:val="22"/>
            </w:rPr>
            <w:t>28</w:t>
          </w:r>
          <w:r w:rsidRPr="00C65CA1">
            <w:rPr>
              <w:noProof/>
              <w:sz w:val="22"/>
              <w:szCs w:val="22"/>
            </w:rPr>
            <w:fldChar w:fldCharType="end"/>
          </w:r>
        </w:p>
        <w:p w14:paraId="54262D1D"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19 lentelė. Pastatų fondo elektros energijos vartojimas pagal ENK (GWh)</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_Toc59094202 \h </w:instrText>
          </w:r>
          <w:r w:rsidRPr="00C65CA1">
            <w:rPr>
              <w:noProof/>
              <w:sz w:val="22"/>
              <w:szCs w:val="22"/>
            </w:rPr>
          </w:r>
          <w:r w:rsidRPr="00C65CA1">
            <w:rPr>
              <w:noProof/>
              <w:sz w:val="22"/>
              <w:szCs w:val="22"/>
            </w:rPr>
            <w:fldChar w:fldCharType="separate"/>
          </w:r>
          <w:r w:rsidR="00166683">
            <w:rPr>
              <w:noProof/>
              <w:sz w:val="22"/>
              <w:szCs w:val="22"/>
            </w:rPr>
            <w:t>29</w:t>
          </w:r>
          <w:r w:rsidRPr="00C65CA1">
            <w:rPr>
              <w:noProof/>
              <w:sz w:val="22"/>
              <w:szCs w:val="22"/>
            </w:rPr>
            <w:fldChar w:fldCharType="end"/>
          </w:r>
        </w:p>
        <w:p w14:paraId="579D8B3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20 lentelė. Pastatų fondo šiluminės energijos gamybos struktūra</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_Toc59094203 \h </w:instrText>
          </w:r>
          <w:r w:rsidRPr="00C65CA1">
            <w:rPr>
              <w:noProof/>
              <w:sz w:val="22"/>
              <w:szCs w:val="22"/>
            </w:rPr>
          </w:r>
          <w:r w:rsidRPr="00C65CA1">
            <w:rPr>
              <w:noProof/>
              <w:sz w:val="22"/>
              <w:szCs w:val="22"/>
            </w:rPr>
            <w:fldChar w:fldCharType="separate"/>
          </w:r>
          <w:r w:rsidR="00166683">
            <w:rPr>
              <w:noProof/>
              <w:sz w:val="22"/>
              <w:szCs w:val="22"/>
            </w:rPr>
            <w:t>30</w:t>
          </w:r>
          <w:r w:rsidRPr="00C65CA1">
            <w:rPr>
              <w:noProof/>
              <w:sz w:val="22"/>
              <w:szCs w:val="22"/>
            </w:rPr>
            <w:fldChar w:fldCharType="end"/>
          </w:r>
        </w:p>
        <w:p w14:paraId="51F2F3CE"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21 lentelė. Energijos gamybai naudojamų energijos šaltinių neatsinaujinančios pirminės energijos, atsinaujinančios pirminės energijos ir CO2 emisijų faktorių vertės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_Toc59094204 \h </w:instrText>
          </w:r>
          <w:r w:rsidRPr="00C65CA1">
            <w:rPr>
              <w:noProof/>
              <w:sz w:val="22"/>
              <w:szCs w:val="22"/>
            </w:rPr>
          </w:r>
          <w:r w:rsidRPr="00C65CA1">
            <w:rPr>
              <w:noProof/>
              <w:sz w:val="22"/>
              <w:szCs w:val="22"/>
            </w:rPr>
            <w:fldChar w:fldCharType="separate"/>
          </w:r>
          <w:r w:rsidR="00166683">
            <w:rPr>
              <w:noProof/>
              <w:sz w:val="22"/>
              <w:szCs w:val="22"/>
            </w:rPr>
            <w:t>30</w:t>
          </w:r>
          <w:r w:rsidRPr="00C65CA1">
            <w:rPr>
              <w:noProof/>
              <w:sz w:val="22"/>
              <w:szCs w:val="22"/>
            </w:rPr>
            <w:fldChar w:fldCharType="end"/>
          </w:r>
        </w:p>
        <w:p w14:paraId="70800777"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22 lentelė. Pastatų fondo pirminės energijos vartojimas pagal ENK (GWh/metus)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_Toc59094205 \h </w:instrText>
          </w:r>
          <w:r w:rsidRPr="00C65CA1">
            <w:rPr>
              <w:noProof/>
              <w:sz w:val="22"/>
              <w:szCs w:val="22"/>
            </w:rPr>
          </w:r>
          <w:r w:rsidRPr="00C65CA1">
            <w:rPr>
              <w:noProof/>
              <w:sz w:val="22"/>
              <w:szCs w:val="22"/>
            </w:rPr>
            <w:fldChar w:fldCharType="separate"/>
          </w:r>
          <w:r w:rsidR="00166683">
            <w:rPr>
              <w:noProof/>
              <w:sz w:val="22"/>
              <w:szCs w:val="22"/>
            </w:rPr>
            <w:t>30</w:t>
          </w:r>
          <w:r w:rsidRPr="00C65CA1">
            <w:rPr>
              <w:noProof/>
              <w:sz w:val="22"/>
              <w:szCs w:val="22"/>
            </w:rPr>
            <w:fldChar w:fldCharType="end"/>
          </w:r>
        </w:p>
        <w:p w14:paraId="7AAB5411"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23 lentelė. Pastatų fondo pirminės energijos vartojimas pagal kuro ir energijos rūšis (GWh/metus)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_Toc59094206 \h </w:instrText>
          </w:r>
          <w:r w:rsidRPr="00C65CA1">
            <w:rPr>
              <w:noProof/>
              <w:sz w:val="22"/>
              <w:szCs w:val="22"/>
            </w:rPr>
          </w:r>
          <w:r w:rsidRPr="00C65CA1">
            <w:rPr>
              <w:noProof/>
              <w:sz w:val="22"/>
              <w:szCs w:val="22"/>
            </w:rPr>
            <w:fldChar w:fldCharType="separate"/>
          </w:r>
          <w:r w:rsidR="00166683">
            <w:rPr>
              <w:noProof/>
              <w:sz w:val="22"/>
              <w:szCs w:val="22"/>
            </w:rPr>
            <w:t>31</w:t>
          </w:r>
          <w:r w:rsidRPr="00C65CA1">
            <w:rPr>
              <w:noProof/>
              <w:sz w:val="22"/>
              <w:szCs w:val="22"/>
            </w:rPr>
            <w:fldChar w:fldCharType="end"/>
          </w:r>
        </w:p>
        <w:p w14:paraId="19C50956"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24 lentelė. Pastatų fondo CO</w:t>
          </w:r>
          <w:r w:rsidRPr="00C65CA1">
            <w:rPr>
              <w:noProof/>
              <w:sz w:val="22"/>
              <w:szCs w:val="22"/>
              <w:vertAlign w:val="subscript"/>
            </w:rPr>
            <w:t>2</w:t>
          </w:r>
          <w:r w:rsidRPr="00C65CA1">
            <w:rPr>
              <w:noProof/>
              <w:sz w:val="22"/>
              <w:szCs w:val="22"/>
            </w:rPr>
            <w:t xml:space="preserve"> emisijos (ktCO</w:t>
          </w:r>
          <w:r w:rsidRPr="00C65CA1">
            <w:rPr>
              <w:noProof/>
              <w:sz w:val="22"/>
              <w:szCs w:val="22"/>
              <w:vertAlign w:val="subscript"/>
            </w:rPr>
            <w:t>2</w:t>
          </w:r>
          <w:r w:rsidRPr="00C65CA1">
            <w:rPr>
              <w:noProof/>
              <w:sz w:val="22"/>
              <w:szCs w:val="22"/>
            </w:rPr>
            <w:t>/metus)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_Toc59094207 \h </w:instrText>
          </w:r>
          <w:r w:rsidRPr="00C65CA1">
            <w:rPr>
              <w:noProof/>
              <w:sz w:val="22"/>
              <w:szCs w:val="22"/>
            </w:rPr>
          </w:r>
          <w:r w:rsidRPr="00C65CA1">
            <w:rPr>
              <w:noProof/>
              <w:sz w:val="22"/>
              <w:szCs w:val="22"/>
            </w:rPr>
            <w:fldChar w:fldCharType="separate"/>
          </w:r>
          <w:r w:rsidR="00166683">
            <w:rPr>
              <w:noProof/>
              <w:sz w:val="22"/>
              <w:szCs w:val="22"/>
            </w:rPr>
            <w:t>33</w:t>
          </w:r>
          <w:r w:rsidRPr="00C65CA1">
            <w:rPr>
              <w:noProof/>
              <w:sz w:val="22"/>
              <w:szCs w:val="22"/>
            </w:rPr>
            <w:fldChar w:fldCharType="end"/>
          </w:r>
        </w:p>
        <w:p w14:paraId="3703F724"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25 lentelė. Pastatų fondas pagal ENK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_Toc59094208 \h </w:instrText>
          </w:r>
          <w:r w:rsidRPr="00C65CA1">
            <w:rPr>
              <w:noProof/>
              <w:sz w:val="22"/>
              <w:szCs w:val="22"/>
            </w:rPr>
          </w:r>
          <w:r w:rsidRPr="00C65CA1">
            <w:rPr>
              <w:noProof/>
              <w:sz w:val="22"/>
              <w:szCs w:val="22"/>
            </w:rPr>
            <w:fldChar w:fldCharType="separate"/>
          </w:r>
          <w:r w:rsidR="00166683">
            <w:rPr>
              <w:noProof/>
              <w:sz w:val="22"/>
              <w:szCs w:val="22"/>
            </w:rPr>
            <w:t>34</w:t>
          </w:r>
          <w:r w:rsidRPr="00C65CA1">
            <w:rPr>
              <w:noProof/>
              <w:sz w:val="22"/>
              <w:szCs w:val="22"/>
            </w:rPr>
            <w:fldChar w:fldCharType="end"/>
          </w:r>
        </w:p>
        <w:p w14:paraId="2E2D042F"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26 lentelė. Pastatų fondo pirminės energijos vartojimas pagal ENK (GWh/metus)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_Toc59094209 \h </w:instrText>
          </w:r>
          <w:r w:rsidRPr="00C65CA1">
            <w:rPr>
              <w:noProof/>
              <w:sz w:val="22"/>
              <w:szCs w:val="22"/>
            </w:rPr>
          </w:r>
          <w:r w:rsidRPr="00C65CA1">
            <w:rPr>
              <w:noProof/>
              <w:sz w:val="22"/>
              <w:szCs w:val="22"/>
            </w:rPr>
            <w:fldChar w:fldCharType="separate"/>
          </w:r>
          <w:r w:rsidR="00166683">
            <w:rPr>
              <w:noProof/>
              <w:sz w:val="22"/>
              <w:szCs w:val="22"/>
            </w:rPr>
            <w:t>34</w:t>
          </w:r>
          <w:r w:rsidRPr="00C65CA1">
            <w:rPr>
              <w:noProof/>
              <w:sz w:val="22"/>
              <w:szCs w:val="22"/>
            </w:rPr>
            <w:fldChar w:fldCharType="end"/>
          </w:r>
        </w:p>
        <w:p w14:paraId="10064C54"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27 lentelė. Pastatų energijos vidutinis vartojimas pagal paskirtį ir ENK (kWh/m</w:t>
          </w:r>
          <w:r w:rsidRPr="00C65CA1">
            <w:rPr>
              <w:noProof/>
              <w:sz w:val="22"/>
              <w:szCs w:val="22"/>
              <w:vertAlign w:val="superscript"/>
            </w:rPr>
            <w:t>2</w:t>
          </w:r>
          <w:r w:rsidRPr="00C65CA1">
            <w:rPr>
              <w:noProof/>
              <w:sz w:val="22"/>
              <w:szCs w:val="22"/>
            </w:rPr>
            <w:t xml:space="preserve"> per 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_Toc59094210 \h </w:instrText>
          </w:r>
          <w:r w:rsidRPr="00C65CA1">
            <w:rPr>
              <w:noProof/>
              <w:sz w:val="22"/>
              <w:szCs w:val="22"/>
            </w:rPr>
          </w:r>
          <w:r w:rsidRPr="00C65CA1">
            <w:rPr>
              <w:noProof/>
              <w:sz w:val="22"/>
              <w:szCs w:val="22"/>
            </w:rPr>
            <w:fldChar w:fldCharType="separate"/>
          </w:r>
          <w:r w:rsidR="00166683">
            <w:rPr>
              <w:noProof/>
              <w:sz w:val="22"/>
              <w:szCs w:val="22"/>
            </w:rPr>
            <w:t>35</w:t>
          </w:r>
          <w:r w:rsidRPr="00C65CA1">
            <w:rPr>
              <w:noProof/>
              <w:sz w:val="22"/>
              <w:szCs w:val="22"/>
            </w:rPr>
            <w:fldChar w:fldCharType="end"/>
          </w:r>
        </w:p>
        <w:p w14:paraId="5CAAF06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28 lentelė. Pastatų fondo koregavimas – nenaudojamų ir (arba) nešildomi pastatai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_Toc59094211 \h </w:instrText>
          </w:r>
          <w:r w:rsidRPr="00C65CA1">
            <w:rPr>
              <w:noProof/>
              <w:sz w:val="22"/>
              <w:szCs w:val="22"/>
            </w:rPr>
          </w:r>
          <w:r w:rsidRPr="00C65CA1">
            <w:rPr>
              <w:noProof/>
              <w:sz w:val="22"/>
              <w:szCs w:val="22"/>
            </w:rPr>
            <w:fldChar w:fldCharType="separate"/>
          </w:r>
          <w:r w:rsidR="00166683">
            <w:rPr>
              <w:noProof/>
              <w:sz w:val="22"/>
              <w:szCs w:val="22"/>
            </w:rPr>
            <w:t>35</w:t>
          </w:r>
          <w:r w:rsidRPr="00C65CA1">
            <w:rPr>
              <w:noProof/>
              <w:sz w:val="22"/>
              <w:szCs w:val="22"/>
            </w:rPr>
            <w:fldChar w:fldCharType="end"/>
          </w:r>
        </w:p>
        <w:p w14:paraId="24D5A0F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29 lentelė. Dalinai renovuoti būstai (energijos suvartojimo tyrimo informacija),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_Toc59094212 \h </w:instrText>
          </w:r>
          <w:r w:rsidRPr="00C65CA1">
            <w:rPr>
              <w:noProof/>
              <w:sz w:val="22"/>
              <w:szCs w:val="22"/>
            </w:rPr>
          </w:r>
          <w:r w:rsidRPr="00C65CA1">
            <w:rPr>
              <w:noProof/>
              <w:sz w:val="22"/>
              <w:szCs w:val="22"/>
            </w:rPr>
            <w:fldChar w:fldCharType="separate"/>
          </w:r>
          <w:r w:rsidR="00166683">
            <w:rPr>
              <w:noProof/>
              <w:sz w:val="22"/>
              <w:szCs w:val="22"/>
            </w:rPr>
            <w:t>38</w:t>
          </w:r>
          <w:r w:rsidRPr="00C65CA1">
            <w:rPr>
              <w:noProof/>
              <w:sz w:val="22"/>
              <w:szCs w:val="22"/>
            </w:rPr>
            <w:fldChar w:fldCharType="end"/>
          </w:r>
        </w:p>
        <w:p w14:paraId="328D261B"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30 lentelė. Viešųjų pastatų skaičius pagal grupes ir energinio naudingumo klasę (vnt.)</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_Toc59094213 \h </w:instrText>
          </w:r>
          <w:r w:rsidRPr="00C65CA1">
            <w:rPr>
              <w:noProof/>
              <w:sz w:val="22"/>
              <w:szCs w:val="22"/>
            </w:rPr>
          </w:r>
          <w:r w:rsidRPr="00C65CA1">
            <w:rPr>
              <w:noProof/>
              <w:sz w:val="22"/>
              <w:szCs w:val="22"/>
            </w:rPr>
            <w:fldChar w:fldCharType="separate"/>
          </w:r>
          <w:r w:rsidR="00166683">
            <w:rPr>
              <w:noProof/>
              <w:sz w:val="22"/>
              <w:szCs w:val="22"/>
            </w:rPr>
            <w:t>38</w:t>
          </w:r>
          <w:r w:rsidRPr="00C65CA1">
            <w:rPr>
              <w:noProof/>
              <w:sz w:val="22"/>
              <w:szCs w:val="22"/>
            </w:rPr>
            <w:fldChar w:fldCharType="end"/>
          </w:r>
        </w:p>
        <w:p w14:paraId="6BFBB5BE"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31 lentelė. Viešųjų pastatų plotas pagal grupes ir energinio naudingumo klasę (tūkst. 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_Toc59094214 \h </w:instrText>
          </w:r>
          <w:r w:rsidRPr="00C65CA1">
            <w:rPr>
              <w:noProof/>
              <w:sz w:val="22"/>
              <w:szCs w:val="22"/>
            </w:rPr>
          </w:r>
          <w:r w:rsidRPr="00C65CA1">
            <w:rPr>
              <w:noProof/>
              <w:sz w:val="22"/>
              <w:szCs w:val="22"/>
            </w:rPr>
            <w:fldChar w:fldCharType="separate"/>
          </w:r>
          <w:r w:rsidR="00166683">
            <w:rPr>
              <w:noProof/>
              <w:sz w:val="22"/>
              <w:szCs w:val="22"/>
            </w:rPr>
            <w:t>38</w:t>
          </w:r>
          <w:r w:rsidRPr="00C65CA1">
            <w:rPr>
              <w:noProof/>
              <w:sz w:val="22"/>
              <w:szCs w:val="22"/>
            </w:rPr>
            <w:fldChar w:fldCharType="end"/>
          </w:r>
        </w:p>
        <w:p w14:paraId="3278355B"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32 lentelė. Viešųjų pastatų pirminės energijos vartojimas pagal grupes ir ENK (GWh/metus)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_Toc59094215 \h </w:instrText>
          </w:r>
          <w:r w:rsidRPr="00C65CA1">
            <w:rPr>
              <w:noProof/>
              <w:sz w:val="22"/>
              <w:szCs w:val="22"/>
            </w:rPr>
          </w:r>
          <w:r w:rsidRPr="00C65CA1">
            <w:rPr>
              <w:noProof/>
              <w:sz w:val="22"/>
              <w:szCs w:val="22"/>
            </w:rPr>
            <w:fldChar w:fldCharType="separate"/>
          </w:r>
          <w:r w:rsidR="00166683">
            <w:rPr>
              <w:noProof/>
              <w:sz w:val="22"/>
              <w:szCs w:val="22"/>
            </w:rPr>
            <w:t>39</w:t>
          </w:r>
          <w:r w:rsidRPr="00C65CA1">
            <w:rPr>
              <w:noProof/>
              <w:sz w:val="22"/>
              <w:szCs w:val="22"/>
            </w:rPr>
            <w:fldChar w:fldCharType="end"/>
          </w:r>
        </w:p>
        <w:p w14:paraId="48A3BD26"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33 lentelė. Renovacijos priemonės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_Toc59094216 \h </w:instrText>
          </w:r>
          <w:r w:rsidRPr="00C65CA1">
            <w:rPr>
              <w:noProof/>
              <w:sz w:val="22"/>
              <w:szCs w:val="22"/>
            </w:rPr>
          </w:r>
          <w:r w:rsidRPr="00C65CA1">
            <w:rPr>
              <w:noProof/>
              <w:sz w:val="22"/>
              <w:szCs w:val="22"/>
            </w:rPr>
            <w:fldChar w:fldCharType="separate"/>
          </w:r>
          <w:r w:rsidR="00166683">
            <w:rPr>
              <w:noProof/>
              <w:sz w:val="22"/>
              <w:szCs w:val="22"/>
            </w:rPr>
            <w:t>40</w:t>
          </w:r>
          <w:r w:rsidRPr="00C65CA1">
            <w:rPr>
              <w:noProof/>
              <w:sz w:val="22"/>
              <w:szCs w:val="22"/>
            </w:rPr>
            <w:fldChar w:fldCharType="end"/>
          </w:r>
        </w:p>
        <w:p w14:paraId="4C9C3385"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34 lentelė. Pirminis renovacijos priemonių paketų sąrašas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_Toc59094217 \h </w:instrText>
          </w:r>
          <w:r w:rsidRPr="00C65CA1">
            <w:rPr>
              <w:noProof/>
              <w:sz w:val="22"/>
              <w:szCs w:val="22"/>
            </w:rPr>
          </w:r>
          <w:r w:rsidRPr="00C65CA1">
            <w:rPr>
              <w:noProof/>
              <w:sz w:val="22"/>
              <w:szCs w:val="22"/>
            </w:rPr>
            <w:fldChar w:fldCharType="separate"/>
          </w:r>
          <w:r w:rsidR="00166683">
            <w:rPr>
              <w:noProof/>
              <w:sz w:val="22"/>
              <w:szCs w:val="22"/>
            </w:rPr>
            <w:t>42</w:t>
          </w:r>
          <w:r w:rsidRPr="00C65CA1">
            <w:rPr>
              <w:noProof/>
              <w:sz w:val="22"/>
              <w:szCs w:val="22"/>
            </w:rPr>
            <w:fldChar w:fldCharType="end"/>
          </w:r>
        </w:p>
        <w:p w14:paraId="1F71518E"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35 lentelė. Renovacijos priemonių paketai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_Toc59094218 \h </w:instrText>
          </w:r>
          <w:r w:rsidRPr="00C65CA1">
            <w:rPr>
              <w:noProof/>
              <w:sz w:val="22"/>
              <w:szCs w:val="22"/>
            </w:rPr>
          </w:r>
          <w:r w:rsidRPr="00C65CA1">
            <w:rPr>
              <w:noProof/>
              <w:sz w:val="22"/>
              <w:szCs w:val="22"/>
            </w:rPr>
            <w:fldChar w:fldCharType="separate"/>
          </w:r>
          <w:r w:rsidR="00166683">
            <w:rPr>
              <w:noProof/>
              <w:sz w:val="22"/>
              <w:szCs w:val="22"/>
            </w:rPr>
            <w:t>43</w:t>
          </w:r>
          <w:r w:rsidRPr="00C65CA1">
            <w:rPr>
              <w:noProof/>
              <w:sz w:val="22"/>
              <w:szCs w:val="22"/>
            </w:rPr>
            <w:fldChar w:fldCharType="end"/>
          </w:r>
        </w:p>
        <w:p w14:paraId="59527F10"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36 lentelė. Renovacijos priemonių investicijos (Eur/m</w:t>
          </w:r>
          <w:r w:rsidRPr="00C65CA1">
            <w:rPr>
              <w:noProof/>
              <w:sz w:val="22"/>
              <w:szCs w:val="22"/>
              <w:vertAlign w:val="super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_Toc59094219 \h </w:instrText>
          </w:r>
          <w:r w:rsidRPr="00C65CA1">
            <w:rPr>
              <w:noProof/>
              <w:sz w:val="22"/>
              <w:szCs w:val="22"/>
            </w:rPr>
          </w:r>
          <w:r w:rsidRPr="00C65CA1">
            <w:rPr>
              <w:noProof/>
              <w:sz w:val="22"/>
              <w:szCs w:val="22"/>
            </w:rPr>
            <w:fldChar w:fldCharType="separate"/>
          </w:r>
          <w:r w:rsidR="00166683">
            <w:rPr>
              <w:noProof/>
              <w:sz w:val="22"/>
              <w:szCs w:val="22"/>
            </w:rPr>
            <w:t>44</w:t>
          </w:r>
          <w:r w:rsidRPr="00C65CA1">
            <w:rPr>
              <w:noProof/>
              <w:sz w:val="22"/>
              <w:szCs w:val="22"/>
            </w:rPr>
            <w:fldChar w:fldCharType="end"/>
          </w:r>
        </w:p>
        <w:p w14:paraId="4CE177C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37 lentelė. Renovacijos priemonių pirminės energijos sutaupymai (kWh/m</w:t>
          </w:r>
          <w:r w:rsidRPr="00C65CA1">
            <w:rPr>
              <w:noProof/>
              <w:sz w:val="22"/>
              <w:szCs w:val="22"/>
              <w:vertAlign w:val="superscript"/>
            </w:rPr>
            <w:t>2</w:t>
          </w:r>
          <w:r w:rsidRPr="00C65CA1">
            <w:rPr>
              <w:noProof/>
              <w:sz w:val="22"/>
              <w:szCs w:val="22"/>
            </w:rPr>
            <w:t>/metus)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_Toc59094220 \h </w:instrText>
          </w:r>
          <w:r w:rsidRPr="00C65CA1">
            <w:rPr>
              <w:noProof/>
              <w:sz w:val="22"/>
              <w:szCs w:val="22"/>
            </w:rPr>
          </w:r>
          <w:r w:rsidRPr="00C65CA1">
            <w:rPr>
              <w:noProof/>
              <w:sz w:val="22"/>
              <w:szCs w:val="22"/>
            </w:rPr>
            <w:fldChar w:fldCharType="separate"/>
          </w:r>
          <w:r w:rsidR="00166683">
            <w:rPr>
              <w:noProof/>
              <w:sz w:val="22"/>
              <w:szCs w:val="22"/>
            </w:rPr>
            <w:t>45</w:t>
          </w:r>
          <w:r w:rsidRPr="00C65CA1">
            <w:rPr>
              <w:noProof/>
              <w:sz w:val="22"/>
              <w:szCs w:val="22"/>
            </w:rPr>
            <w:fldChar w:fldCharType="end"/>
          </w:r>
        </w:p>
        <w:p w14:paraId="00BD0DE0"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38 lentelė. Renovacijos priemonių CO</w:t>
          </w:r>
          <w:r w:rsidRPr="00C65CA1">
            <w:rPr>
              <w:noProof/>
              <w:sz w:val="22"/>
              <w:szCs w:val="22"/>
              <w:vertAlign w:val="subscript"/>
            </w:rPr>
            <w:t>2</w:t>
          </w:r>
          <w:r w:rsidRPr="00C65CA1">
            <w:rPr>
              <w:noProof/>
              <w:sz w:val="22"/>
              <w:szCs w:val="22"/>
            </w:rPr>
            <w:t xml:space="preserve"> emisijų sutaupymai (kgCO</w:t>
          </w:r>
          <w:r w:rsidRPr="00C65CA1">
            <w:rPr>
              <w:noProof/>
              <w:sz w:val="22"/>
              <w:szCs w:val="22"/>
              <w:vertAlign w:val="subscript"/>
            </w:rPr>
            <w:t>2</w:t>
          </w:r>
          <w:r w:rsidRPr="00C65CA1">
            <w:rPr>
              <w:noProof/>
              <w:sz w:val="22"/>
              <w:szCs w:val="22"/>
            </w:rPr>
            <w:t>/m</w:t>
          </w:r>
          <w:r w:rsidRPr="00C65CA1">
            <w:rPr>
              <w:noProof/>
              <w:sz w:val="22"/>
              <w:szCs w:val="22"/>
              <w:vertAlign w:val="superscript"/>
            </w:rPr>
            <w:t>2</w:t>
          </w:r>
          <w:r w:rsidRPr="00C65CA1">
            <w:rPr>
              <w:noProof/>
              <w:sz w:val="22"/>
              <w:szCs w:val="22"/>
            </w:rPr>
            <w:t>/metus)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_Toc59094221 \h </w:instrText>
          </w:r>
          <w:r w:rsidRPr="00C65CA1">
            <w:rPr>
              <w:noProof/>
              <w:sz w:val="22"/>
              <w:szCs w:val="22"/>
            </w:rPr>
          </w:r>
          <w:r w:rsidRPr="00C65CA1">
            <w:rPr>
              <w:noProof/>
              <w:sz w:val="22"/>
              <w:szCs w:val="22"/>
            </w:rPr>
            <w:fldChar w:fldCharType="separate"/>
          </w:r>
          <w:r w:rsidR="00166683">
            <w:rPr>
              <w:noProof/>
              <w:sz w:val="22"/>
              <w:szCs w:val="22"/>
            </w:rPr>
            <w:t>46</w:t>
          </w:r>
          <w:r w:rsidRPr="00C65CA1">
            <w:rPr>
              <w:noProof/>
              <w:sz w:val="22"/>
              <w:szCs w:val="22"/>
            </w:rPr>
            <w:fldChar w:fldCharType="end"/>
          </w:r>
        </w:p>
        <w:p w14:paraId="6FC9F22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39 lentelė. Šiluminės energijos kainos kitimo scenarijai (Eur/MWh)</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_Toc59094222 \h </w:instrText>
          </w:r>
          <w:r w:rsidRPr="00C65CA1">
            <w:rPr>
              <w:noProof/>
              <w:sz w:val="22"/>
              <w:szCs w:val="22"/>
            </w:rPr>
          </w:r>
          <w:r w:rsidRPr="00C65CA1">
            <w:rPr>
              <w:noProof/>
              <w:sz w:val="22"/>
              <w:szCs w:val="22"/>
            </w:rPr>
            <w:fldChar w:fldCharType="separate"/>
          </w:r>
          <w:r w:rsidR="00166683">
            <w:rPr>
              <w:noProof/>
              <w:sz w:val="22"/>
              <w:szCs w:val="22"/>
            </w:rPr>
            <w:t>47</w:t>
          </w:r>
          <w:r w:rsidRPr="00C65CA1">
            <w:rPr>
              <w:noProof/>
              <w:sz w:val="22"/>
              <w:szCs w:val="22"/>
            </w:rPr>
            <w:fldChar w:fldCharType="end"/>
          </w:r>
        </w:p>
        <w:p w14:paraId="315BFA0B"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40 lentelė. Elektros energijos kainos kitimo scenarijai (Eur/MWh)</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_Toc59094223 \h </w:instrText>
          </w:r>
          <w:r w:rsidRPr="00C65CA1">
            <w:rPr>
              <w:noProof/>
              <w:sz w:val="22"/>
              <w:szCs w:val="22"/>
            </w:rPr>
          </w:r>
          <w:r w:rsidRPr="00C65CA1">
            <w:rPr>
              <w:noProof/>
              <w:sz w:val="22"/>
              <w:szCs w:val="22"/>
            </w:rPr>
            <w:fldChar w:fldCharType="separate"/>
          </w:r>
          <w:r w:rsidR="00166683">
            <w:rPr>
              <w:noProof/>
              <w:sz w:val="22"/>
              <w:szCs w:val="22"/>
            </w:rPr>
            <w:t>47</w:t>
          </w:r>
          <w:r w:rsidRPr="00C65CA1">
            <w:rPr>
              <w:noProof/>
              <w:sz w:val="22"/>
              <w:szCs w:val="22"/>
            </w:rPr>
            <w:fldChar w:fldCharType="end"/>
          </w:r>
        </w:p>
        <w:p w14:paraId="309453A2"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41 lentelė. Europos komisijos išmetamo anglies dioksido kainų kitimo scenarijai (tCO</w:t>
          </w:r>
          <w:r w:rsidRPr="00C65CA1">
            <w:rPr>
              <w:noProof/>
              <w:sz w:val="22"/>
              <w:szCs w:val="22"/>
              <w:vertAlign w:val="subscript"/>
            </w:rPr>
            <w:t>2</w:t>
          </w:r>
          <w:r w:rsidRPr="00C65CA1">
            <w:rPr>
              <w:noProof/>
              <w:sz w:val="22"/>
              <w:szCs w:val="22"/>
            </w:rPr>
            <w:t>)</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_Toc59094224 \h </w:instrText>
          </w:r>
          <w:r w:rsidRPr="00C65CA1">
            <w:rPr>
              <w:noProof/>
              <w:sz w:val="22"/>
              <w:szCs w:val="22"/>
            </w:rPr>
          </w:r>
          <w:r w:rsidRPr="00C65CA1">
            <w:rPr>
              <w:noProof/>
              <w:sz w:val="22"/>
              <w:szCs w:val="22"/>
            </w:rPr>
            <w:fldChar w:fldCharType="separate"/>
          </w:r>
          <w:r w:rsidR="00166683">
            <w:rPr>
              <w:noProof/>
              <w:sz w:val="22"/>
              <w:szCs w:val="22"/>
            </w:rPr>
            <w:t>47</w:t>
          </w:r>
          <w:r w:rsidRPr="00C65CA1">
            <w:rPr>
              <w:noProof/>
              <w:sz w:val="22"/>
              <w:szCs w:val="22"/>
            </w:rPr>
            <w:fldChar w:fldCharType="end"/>
          </w:r>
        </w:p>
        <w:p w14:paraId="45594D4F"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42 lentelė. Esamos politikos priemonės, kuriomis skatinama esminė pastatų renovacija</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_Toc59094225 \h </w:instrText>
          </w:r>
          <w:r w:rsidRPr="00C65CA1">
            <w:rPr>
              <w:noProof/>
              <w:sz w:val="22"/>
              <w:szCs w:val="22"/>
            </w:rPr>
          </w:r>
          <w:r w:rsidRPr="00C65CA1">
            <w:rPr>
              <w:noProof/>
              <w:sz w:val="22"/>
              <w:szCs w:val="22"/>
            </w:rPr>
            <w:fldChar w:fldCharType="separate"/>
          </w:r>
          <w:r w:rsidR="00166683">
            <w:rPr>
              <w:noProof/>
              <w:sz w:val="22"/>
              <w:szCs w:val="22"/>
            </w:rPr>
            <w:t>55</w:t>
          </w:r>
          <w:r w:rsidRPr="00C65CA1">
            <w:rPr>
              <w:noProof/>
              <w:sz w:val="22"/>
              <w:szCs w:val="22"/>
            </w:rPr>
            <w:fldChar w:fldCharType="end"/>
          </w:r>
        </w:p>
        <w:p w14:paraId="0DF7B947"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43 lentelė. Skirtingų paskatų dilemų klasifikacija</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_Toc59094226 \h </w:instrText>
          </w:r>
          <w:r w:rsidRPr="00C65CA1">
            <w:rPr>
              <w:noProof/>
              <w:sz w:val="22"/>
              <w:szCs w:val="22"/>
            </w:rPr>
          </w:r>
          <w:r w:rsidRPr="00C65CA1">
            <w:rPr>
              <w:noProof/>
              <w:sz w:val="22"/>
              <w:szCs w:val="22"/>
            </w:rPr>
            <w:fldChar w:fldCharType="separate"/>
          </w:r>
          <w:r w:rsidR="00166683">
            <w:rPr>
              <w:noProof/>
              <w:sz w:val="22"/>
              <w:szCs w:val="22"/>
            </w:rPr>
            <w:t>57</w:t>
          </w:r>
          <w:r w:rsidRPr="00C65CA1">
            <w:rPr>
              <w:noProof/>
              <w:sz w:val="22"/>
              <w:szCs w:val="22"/>
            </w:rPr>
            <w:fldChar w:fldCharType="end"/>
          </w:r>
        </w:p>
        <w:p w14:paraId="738B89A5"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44 lentelė Asmenų, kurie dėl pinigų stokos negali sau leisti pakankamai šildyti būsto, dalis,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_Toc59094227 \h </w:instrText>
          </w:r>
          <w:r w:rsidRPr="00C65CA1">
            <w:rPr>
              <w:noProof/>
              <w:sz w:val="22"/>
              <w:szCs w:val="22"/>
            </w:rPr>
          </w:r>
          <w:r w:rsidRPr="00C65CA1">
            <w:rPr>
              <w:noProof/>
              <w:sz w:val="22"/>
              <w:szCs w:val="22"/>
            </w:rPr>
            <w:fldChar w:fldCharType="separate"/>
          </w:r>
          <w:r w:rsidR="00166683">
            <w:rPr>
              <w:noProof/>
              <w:sz w:val="22"/>
              <w:szCs w:val="22"/>
            </w:rPr>
            <w:t>61</w:t>
          </w:r>
          <w:r w:rsidRPr="00C65CA1">
            <w:rPr>
              <w:noProof/>
              <w:sz w:val="22"/>
              <w:szCs w:val="22"/>
            </w:rPr>
            <w:fldChar w:fldCharType="end"/>
          </w:r>
        </w:p>
        <w:p w14:paraId="4B2C6944"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45 lentelė. Namų ūkių sąnaudų dalis išleidžiama elektros ir šilumos energijai,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_Toc59094228 \h </w:instrText>
          </w:r>
          <w:r w:rsidRPr="00C65CA1">
            <w:rPr>
              <w:noProof/>
              <w:sz w:val="22"/>
              <w:szCs w:val="22"/>
            </w:rPr>
          </w:r>
          <w:r w:rsidRPr="00C65CA1">
            <w:rPr>
              <w:noProof/>
              <w:sz w:val="22"/>
              <w:szCs w:val="22"/>
            </w:rPr>
            <w:fldChar w:fldCharType="separate"/>
          </w:r>
          <w:r w:rsidR="00166683">
            <w:rPr>
              <w:noProof/>
              <w:sz w:val="22"/>
              <w:szCs w:val="22"/>
            </w:rPr>
            <w:t>61</w:t>
          </w:r>
          <w:r w:rsidRPr="00C65CA1">
            <w:rPr>
              <w:noProof/>
              <w:sz w:val="22"/>
              <w:szCs w:val="22"/>
            </w:rPr>
            <w:fldChar w:fldCharType="end"/>
          </w:r>
        </w:p>
        <w:p w14:paraId="01CF25F5"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46 lentelė. Namų ūkių dalis, kurių su namų išlaikymu susijusios sąnaudos viršija 40 proc. disponuojamųjų pajamų,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_Toc59094229 \h </w:instrText>
          </w:r>
          <w:r w:rsidRPr="00C65CA1">
            <w:rPr>
              <w:noProof/>
              <w:sz w:val="22"/>
              <w:szCs w:val="22"/>
            </w:rPr>
          </w:r>
          <w:r w:rsidRPr="00C65CA1">
            <w:rPr>
              <w:noProof/>
              <w:sz w:val="22"/>
              <w:szCs w:val="22"/>
            </w:rPr>
            <w:fldChar w:fldCharType="separate"/>
          </w:r>
          <w:r w:rsidR="00166683">
            <w:rPr>
              <w:noProof/>
              <w:sz w:val="22"/>
              <w:szCs w:val="22"/>
            </w:rPr>
            <w:t>61</w:t>
          </w:r>
          <w:r w:rsidRPr="00C65CA1">
            <w:rPr>
              <w:noProof/>
              <w:sz w:val="22"/>
              <w:szCs w:val="22"/>
            </w:rPr>
            <w:fldChar w:fldCharType="end"/>
          </w:r>
        </w:p>
        <w:p w14:paraId="02EFC9BA"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47 lentelė. Disponuojamų pajamų namų išlaikymo sąnaudų dalis,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_Toc59094230 \h </w:instrText>
          </w:r>
          <w:r w:rsidRPr="00C65CA1">
            <w:rPr>
              <w:noProof/>
              <w:sz w:val="22"/>
              <w:szCs w:val="22"/>
            </w:rPr>
          </w:r>
          <w:r w:rsidRPr="00C65CA1">
            <w:rPr>
              <w:noProof/>
              <w:sz w:val="22"/>
              <w:szCs w:val="22"/>
            </w:rPr>
            <w:fldChar w:fldCharType="separate"/>
          </w:r>
          <w:r w:rsidR="00166683">
            <w:rPr>
              <w:noProof/>
              <w:sz w:val="22"/>
              <w:szCs w:val="22"/>
            </w:rPr>
            <w:t>62</w:t>
          </w:r>
          <w:r w:rsidRPr="00C65CA1">
            <w:rPr>
              <w:noProof/>
              <w:sz w:val="22"/>
              <w:szCs w:val="22"/>
            </w:rPr>
            <w:fldChar w:fldCharType="end"/>
          </w:r>
        </w:p>
        <w:p w14:paraId="441A8E02"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48 lentelė. Namų ūkių dalis, turinčių pradelstų įsiskolinimų už komunalines paslaugas,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_Toc59094231 \h </w:instrText>
          </w:r>
          <w:r w:rsidRPr="00C65CA1">
            <w:rPr>
              <w:noProof/>
              <w:sz w:val="22"/>
              <w:szCs w:val="22"/>
            </w:rPr>
          </w:r>
          <w:r w:rsidRPr="00C65CA1">
            <w:rPr>
              <w:noProof/>
              <w:sz w:val="22"/>
              <w:szCs w:val="22"/>
            </w:rPr>
            <w:fldChar w:fldCharType="separate"/>
          </w:r>
          <w:r w:rsidR="00166683">
            <w:rPr>
              <w:noProof/>
              <w:sz w:val="22"/>
              <w:szCs w:val="22"/>
            </w:rPr>
            <w:t>62</w:t>
          </w:r>
          <w:r w:rsidRPr="00C65CA1">
            <w:rPr>
              <w:noProof/>
              <w:sz w:val="22"/>
              <w:szCs w:val="22"/>
            </w:rPr>
            <w:fldChar w:fldCharType="end"/>
          </w:r>
        </w:p>
        <w:p w14:paraId="49C6BE5C"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49 lentelė. Namų ūkių dalis, kurių gyvenimo sąlygos netinkamos, 2010-2018 m., proc.</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_Toc59094232 \h </w:instrText>
          </w:r>
          <w:r w:rsidRPr="00C65CA1">
            <w:rPr>
              <w:noProof/>
              <w:sz w:val="22"/>
              <w:szCs w:val="22"/>
            </w:rPr>
          </w:r>
          <w:r w:rsidRPr="00C65CA1">
            <w:rPr>
              <w:noProof/>
              <w:sz w:val="22"/>
              <w:szCs w:val="22"/>
            </w:rPr>
            <w:fldChar w:fldCharType="separate"/>
          </w:r>
          <w:r w:rsidR="00166683">
            <w:rPr>
              <w:noProof/>
              <w:sz w:val="22"/>
              <w:szCs w:val="22"/>
            </w:rPr>
            <w:t>63</w:t>
          </w:r>
          <w:r w:rsidRPr="00C65CA1">
            <w:rPr>
              <w:noProof/>
              <w:sz w:val="22"/>
              <w:szCs w:val="22"/>
            </w:rPr>
            <w:fldChar w:fldCharType="end"/>
          </w:r>
        </w:p>
        <w:p w14:paraId="6881A73C"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50 lentelė. Esamos politikos priemonės, kuriomis skatinamas viešųjų pastatų energijos vartojimo efektyvumo didinimas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_Toc59094233 \h </w:instrText>
          </w:r>
          <w:r w:rsidRPr="00C65CA1">
            <w:rPr>
              <w:noProof/>
              <w:sz w:val="22"/>
              <w:szCs w:val="22"/>
            </w:rPr>
          </w:r>
          <w:r w:rsidRPr="00C65CA1">
            <w:rPr>
              <w:noProof/>
              <w:sz w:val="22"/>
              <w:szCs w:val="22"/>
            </w:rPr>
            <w:fldChar w:fldCharType="separate"/>
          </w:r>
          <w:r w:rsidR="00166683">
            <w:rPr>
              <w:noProof/>
              <w:sz w:val="22"/>
              <w:szCs w:val="22"/>
            </w:rPr>
            <w:t>64</w:t>
          </w:r>
          <w:r w:rsidRPr="00C65CA1">
            <w:rPr>
              <w:noProof/>
              <w:sz w:val="22"/>
              <w:szCs w:val="22"/>
            </w:rPr>
            <w:fldChar w:fldCharType="end"/>
          </w:r>
        </w:p>
        <w:p w14:paraId="50F9A481"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51 lentelė. Renovacijos vizija, strateginiai tikslai, uždaviniai ir priemonės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_Toc59094234 \h </w:instrText>
          </w:r>
          <w:r w:rsidRPr="00C65CA1">
            <w:rPr>
              <w:noProof/>
              <w:sz w:val="22"/>
              <w:szCs w:val="22"/>
            </w:rPr>
          </w:r>
          <w:r w:rsidRPr="00C65CA1">
            <w:rPr>
              <w:noProof/>
              <w:sz w:val="22"/>
              <w:szCs w:val="22"/>
            </w:rPr>
            <w:fldChar w:fldCharType="separate"/>
          </w:r>
          <w:r w:rsidR="00166683">
            <w:rPr>
              <w:noProof/>
              <w:sz w:val="22"/>
              <w:szCs w:val="22"/>
            </w:rPr>
            <w:t>79</w:t>
          </w:r>
          <w:r w:rsidRPr="00C65CA1">
            <w:rPr>
              <w:noProof/>
              <w:sz w:val="22"/>
              <w:szCs w:val="22"/>
            </w:rPr>
            <w:fldChar w:fldCharType="end"/>
          </w:r>
        </w:p>
        <w:p w14:paraId="1428BE6F"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lastRenderedPageBreak/>
            <w:t>52 lentelė. Renovacijos strategijos siekiami rodikliai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_Toc59094235 \h </w:instrText>
          </w:r>
          <w:r w:rsidRPr="00C65CA1">
            <w:rPr>
              <w:noProof/>
              <w:sz w:val="22"/>
              <w:szCs w:val="22"/>
            </w:rPr>
          </w:r>
          <w:r w:rsidRPr="00C65CA1">
            <w:rPr>
              <w:noProof/>
              <w:sz w:val="22"/>
              <w:szCs w:val="22"/>
            </w:rPr>
            <w:fldChar w:fldCharType="separate"/>
          </w:r>
          <w:r w:rsidR="00166683">
            <w:rPr>
              <w:noProof/>
              <w:sz w:val="22"/>
              <w:szCs w:val="22"/>
            </w:rPr>
            <w:t>83</w:t>
          </w:r>
          <w:r w:rsidRPr="00C65CA1">
            <w:rPr>
              <w:noProof/>
              <w:sz w:val="22"/>
              <w:szCs w:val="22"/>
            </w:rPr>
            <w:fldChar w:fldCharType="end"/>
          </w:r>
        </w:p>
        <w:p w14:paraId="7A1E6C6E"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53 lentelė. Renovacijos tempai –  renovuojamų pastatų skaičius per 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_Toc59094236 \h </w:instrText>
          </w:r>
          <w:r w:rsidRPr="00C65CA1">
            <w:rPr>
              <w:noProof/>
              <w:sz w:val="22"/>
              <w:szCs w:val="22"/>
            </w:rPr>
          </w:r>
          <w:r w:rsidRPr="00C65CA1">
            <w:rPr>
              <w:noProof/>
              <w:sz w:val="22"/>
              <w:szCs w:val="22"/>
            </w:rPr>
            <w:fldChar w:fldCharType="separate"/>
          </w:r>
          <w:r w:rsidR="00166683">
            <w:rPr>
              <w:noProof/>
              <w:sz w:val="22"/>
              <w:szCs w:val="22"/>
            </w:rPr>
            <w:t>83</w:t>
          </w:r>
          <w:r w:rsidRPr="00C65CA1">
            <w:rPr>
              <w:noProof/>
              <w:sz w:val="22"/>
              <w:szCs w:val="22"/>
            </w:rPr>
            <w:fldChar w:fldCharType="end"/>
          </w:r>
        </w:p>
        <w:p w14:paraId="7C32BC6E"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54 lentelė. Renovacijos tempai –  renovuojamų pastatų plotas per 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_Toc59094237 \h </w:instrText>
          </w:r>
          <w:r w:rsidRPr="00C65CA1">
            <w:rPr>
              <w:noProof/>
              <w:sz w:val="22"/>
              <w:szCs w:val="22"/>
            </w:rPr>
          </w:r>
          <w:r w:rsidRPr="00C65CA1">
            <w:rPr>
              <w:noProof/>
              <w:sz w:val="22"/>
              <w:szCs w:val="22"/>
            </w:rPr>
            <w:fldChar w:fldCharType="separate"/>
          </w:r>
          <w:r w:rsidR="00166683">
            <w:rPr>
              <w:noProof/>
              <w:sz w:val="22"/>
              <w:szCs w:val="22"/>
            </w:rPr>
            <w:t>84</w:t>
          </w:r>
          <w:r w:rsidRPr="00C65CA1">
            <w:rPr>
              <w:noProof/>
              <w:sz w:val="22"/>
              <w:szCs w:val="22"/>
            </w:rPr>
            <w:fldChar w:fldCharType="end"/>
          </w:r>
        </w:p>
        <w:p w14:paraId="4173CD8F"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55 lentelė. Renovacijai įgyvendinti reikalingos investicijos per metus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_Toc59094238 \h </w:instrText>
          </w:r>
          <w:r w:rsidRPr="00C65CA1">
            <w:rPr>
              <w:noProof/>
              <w:sz w:val="22"/>
              <w:szCs w:val="22"/>
            </w:rPr>
          </w:r>
          <w:r w:rsidRPr="00C65CA1">
            <w:rPr>
              <w:noProof/>
              <w:sz w:val="22"/>
              <w:szCs w:val="22"/>
            </w:rPr>
            <w:fldChar w:fldCharType="separate"/>
          </w:r>
          <w:r w:rsidR="00166683">
            <w:rPr>
              <w:noProof/>
              <w:sz w:val="22"/>
              <w:szCs w:val="22"/>
            </w:rPr>
            <w:t>84</w:t>
          </w:r>
          <w:r w:rsidRPr="00C65CA1">
            <w:rPr>
              <w:noProof/>
              <w:sz w:val="22"/>
              <w:szCs w:val="22"/>
            </w:rPr>
            <w:fldChar w:fldCharType="end"/>
          </w:r>
        </w:p>
        <w:p w14:paraId="12A1BBB2"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56 lentelė. Renovacijai įgyvendinti reikalingų subsidijų poreikis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_Toc59094239 \h </w:instrText>
          </w:r>
          <w:r w:rsidRPr="00C65CA1">
            <w:rPr>
              <w:noProof/>
              <w:sz w:val="22"/>
              <w:szCs w:val="22"/>
            </w:rPr>
          </w:r>
          <w:r w:rsidRPr="00C65CA1">
            <w:rPr>
              <w:noProof/>
              <w:sz w:val="22"/>
              <w:szCs w:val="22"/>
            </w:rPr>
            <w:fldChar w:fldCharType="separate"/>
          </w:r>
          <w:r w:rsidR="00166683">
            <w:rPr>
              <w:noProof/>
              <w:sz w:val="22"/>
              <w:szCs w:val="22"/>
            </w:rPr>
            <w:t>84</w:t>
          </w:r>
          <w:r w:rsidRPr="00C65CA1">
            <w:rPr>
              <w:noProof/>
              <w:sz w:val="22"/>
              <w:szCs w:val="22"/>
            </w:rPr>
            <w:fldChar w:fldCharType="end"/>
          </w:r>
        </w:p>
        <w:p w14:paraId="61AA5FD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57 lentelė. Renovacijai įgyvendinti reikalingas finansavimas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_Toc59094240 \h </w:instrText>
          </w:r>
          <w:r w:rsidRPr="00C65CA1">
            <w:rPr>
              <w:noProof/>
              <w:sz w:val="22"/>
              <w:szCs w:val="22"/>
            </w:rPr>
          </w:r>
          <w:r w:rsidRPr="00C65CA1">
            <w:rPr>
              <w:noProof/>
              <w:sz w:val="22"/>
              <w:szCs w:val="22"/>
            </w:rPr>
            <w:fldChar w:fldCharType="separate"/>
          </w:r>
          <w:r w:rsidR="00166683">
            <w:rPr>
              <w:noProof/>
              <w:sz w:val="22"/>
              <w:szCs w:val="22"/>
            </w:rPr>
            <w:t>84</w:t>
          </w:r>
          <w:r w:rsidRPr="00C65CA1">
            <w:rPr>
              <w:noProof/>
              <w:sz w:val="22"/>
              <w:szCs w:val="22"/>
            </w:rPr>
            <w:fldChar w:fldCharType="end"/>
          </w:r>
        </w:p>
        <w:p w14:paraId="602BECE9"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58 lentelė. Daugiabučių paskirties pastatų renovacijos rodikliai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_Toc59094241 \h </w:instrText>
          </w:r>
          <w:r w:rsidRPr="00C65CA1">
            <w:rPr>
              <w:noProof/>
              <w:sz w:val="22"/>
              <w:szCs w:val="22"/>
            </w:rPr>
          </w:r>
          <w:r w:rsidRPr="00C65CA1">
            <w:rPr>
              <w:noProof/>
              <w:sz w:val="22"/>
              <w:szCs w:val="22"/>
            </w:rPr>
            <w:fldChar w:fldCharType="separate"/>
          </w:r>
          <w:r w:rsidR="00166683">
            <w:rPr>
              <w:noProof/>
              <w:sz w:val="22"/>
              <w:szCs w:val="22"/>
            </w:rPr>
            <w:t>85</w:t>
          </w:r>
          <w:r w:rsidRPr="00C65CA1">
            <w:rPr>
              <w:noProof/>
              <w:sz w:val="22"/>
              <w:szCs w:val="22"/>
            </w:rPr>
            <w:fldChar w:fldCharType="end"/>
          </w:r>
        </w:p>
        <w:p w14:paraId="102C81C3"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59 lentelė. Individualių namų renovacijos rodikliai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_Toc59094242 \h </w:instrText>
          </w:r>
          <w:r w:rsidRPr="00C65CA1">
            <w:rPr>
              <w:noProof/>
              <w:sz w:val="22"/>
              <w:szCs w:val="22"/>
            </w:rPr>
          </w:r>
          <w:r w:rsidRPr="00C65CA1">
            <w:rPr>
              <w:noProof/>
              <w:sz w:val="22"/>
              <w:szCs w:val="22"/>
            </w:rPr>
            <w:fldChar w:fldCharType="separate"/>
          </w:r>
          <w:r w:rsidR="00166683">
            <w:rPr>
              <w:noProof/>
              <w:sz w:val="22"/>
              <w:szCs w:val="22"/>
            </w:rPr>
            <w:t>86</w:t>
          </w:r>
          <w:r w:rsidRPr="00C65CA1">
            <w:rPr>
              <w:noProof/>
              <w:sz w:val="22"/>
              <w:szCs w:val="22"/>
            </w:rPr>
            <w:fldChar w:fldCharType="end"/>
          </w:r>
        </w:p>
        <w:p w14:paraId="167AC486"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60 lentelė. Kitos negyvenamosios paskirties renovacijos rodikliai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_Toc59094243 \h </w:instrText>
          </w:r>
          <w:r w:rsidRPr="00C65CA1">
            <w:rPr>
              <w:noProof/>
              <w:sz w:val="22"/>
              <w:szCs w:val="22"/>
            </w:rPr>
          </w:r>
          <w:r w:rsidRPr="00C65CA1">
            <w:rPr>
              <w:noProof/>
              <w:sz w:val="22"/>
              <w:szCs w:val="22"/>
            </w:rPr>
            <w:fldChar w:fldCharType="separate"/>
          </w:r>
          <w:r w:rsidR="00166683">
            <w:rPr>
              <w:noProof/>
              <w:sz w:val="22"/>
              <w:szCs w:val="22"/>
            </w:rPr>
            <w:t>87</w:t>
          </w:r>
          <w:r w:rsidRPr="00C65CA1">
            <w:rPr>
              <w:noProof/>
              <w:sz w:val="22"/>
              <w:szCs w:val="22"/>
            </w:rPr>
            <w:fldChar w:fldCharType="end"/>
          </w:r>
        </w:p>
        <w:p w14:paraId="7ED2025F"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61 lentelė. Pramonės pastatų renovacijos rodikliai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_Toc59094244 \h </w:instrText>
          </w:r>
          <w:r w:rsidRPr="00C65CA1">
            <w:rPr>
              <w:noProof/>
              <w:sz w:val="22"/>
              <w:szCs w:val="22"/>
            </w:rPr>
          </w:r>
          <w:r w:rsidRPr="00C65CA1">
            <w:rPr>
              <w:noProof/>
              <w:sz w:val="22"/>
              <w:szCs w:val="22"/>
            </w:rPr>
            <w:fldChar w:fldCharType="separate"/>
          </w:r>
          <w:r w:rsidR="00166683">
            <w:rPr>
              <w:noProof/>
              <w:sz w:val="22"/>
              <w:szCs w:val="22"/>
            </w:rPr>
            <w:t>88</w:t>
          </w:r>
          <w:r w:rsidRPr="00C65CA1">
            <w:rPr>
              <w:noProof/>
              <w:sz w:val="22"/>
              <w:szCs w:val="22"/>
            </w:rPr>
            <w:fldChar w:fldCharType="end"/>
          </w:r>
        </w:p>
        <w:p w14:paraId="59B1F17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62 lentelė. IRS įgyvendinimo naudos (realia verte)</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_Toc59094245 \h </w:instrText>
          </w:r>
          <w:r w:rsidRPr="00C65CA1">
            <w:rPr>
              <w:noProof/>
              <w:sz w:val="22"/>
              <w:szCs w:val="22"/>
            </w:rPr>
          </w:r>
          <w:r w:rsidRPr="00C65CA1">
            <w:rPr>
              <w:noProof/>
              <w:sz w:val="22"/>
              <w:szCs w:val="22"/>
            </w:rPr>
            <w:fldChar w:fldCharType="separate"/>
          </w:r>
          <w:r w:rsidR="00166683">
            <w:rPr>
              <w:noProof/>
              <w:sz w:val="22"/>
              <w:szCs w:val="22"/>
            </w:rPr>
            <w:t>89</w:t>
          </w:r>
          <w:r w:rsidRPr="00C65CA1">
            <w:rPr>
              <w:noProof/>
              <w:sz w:val="22"/>
              <w:szCs w:val="22"/>
            </w:rPr>
            <w:fldChar w:fldCharType="end"/>
          </w:r>
        </w:p>
        <w:p w14:paraId="1A896548"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63 lentelė. Vidutinė gyvenamojo NT rinkos vertė didžiuosiuose Lietuvos miestuose</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_Toc59094246 \h </w:instrText>
          </w:r>
          <w:r w:rsidRPr="00C65CA1">
            <w:rPr>
              <w:noProof/>
              <w:sz w:val="22"/>
              <w:szCs w:val="22"/>
            </w:rPr>
          </w:r>
          <w:r w:rsidRPr="00C65CA1">
            <w:rPr>
              <w:noProof/>
              <w:sz w:val="22"/>
              <w:szCs w:val="22"/>
            </w:rPr>
            <w:fldChar w:fldCharType="separate"/>
          </w:r>
          <w:r w:rsidR="00166683">
            <w:rPr>
              <w:noProof/>
              <w:sz w:val="22"/>
              <w:szCs w:val="22"/>
            </w:rPr>
            <w:t>92</w:t>
          </w:r>
          <w:r w:rsidRPr="00C65CA1">
            <w:rPr>
              <w:noProof/>
              <w:sz w:val="22"/>
              <w:szCs w:val="22"/>
            </w:rPr>
            <w:fldChar w:fldCharType="end"/>
          </w:r>
        </w:p>
        <w:p w14:paraId="23FF4915"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64 lentelė. Teršalų emisijos faktoriai</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_Toc59094247 \h </w:instrText>
          </w:r>
          <w:r w:rsidRPr="00C65CA1">
            <w:rPr>
              <w:noProof/>
              <w:sz w:val="22"/>
              <w:szCs w:val="22"/>
            </w:rPr>
          </w:r>
          <w:r w:rsidRPr="00C65CA1">
            <w:rPr>
              <w:noProof/>
              <w:sz w:val="22"/>
              <w:szCs w:val="22"/>
            </w:rPr>
            <w:fldChar w:fldCharType="separate"/>
          </w:r>
          <w:r w:rsidR="00166683">
            <w:rPr>
              <w:noProof/>
              <w:sz w:val="22"/>
              <w:szCs w:val="22"/>
            </w:rPr>
            <w:t>93</w:t>
          </w:r>
          <w:r w:rsidRPr="00C65CA1">
            <w:rPr>
              <w:noProof/>
              <w:sz w:val="22"/>
              <w:szCs w:val="22"/>
            </w:rPr>
            <w:fldChar w:fldCharType="end"/>
          </w:r>
        </w:p>
        <w:p w14:paraId="13A380E0"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65 lentelė. Renovacijos proceso šalys ir atsakomybės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_Toc59094248 \h </w:instrText>
          </w:r>
          <w:r w:rsidRPr="00C65CA1">
            <w:rPr>
              <w:noProof/>
              <w:sz w:val="22"/>
              <w:szCs w:val="22"/>
            </w:rPr>
          </w:r>
          <w:r w:rsidRPr="00C65CA1">
            <w:rPr>
              <w:noProof/>
              <w:sz w:val="22"/>
              <w:szCs w:val="22"/>
            </w:rPr>
            <w:fldChar w:fldCharType="separate"/>
          </w:r>
          <w:r w:rsidR="00166683">
            <w:rPr>
              <w:noProof/>
              <w:sz w:val="22"/>
              <w:szCs w:val="22"/>
            </w:rPr>
            <w:t>97</w:t>
          </w:r>
          <w:r w:rsidRPr="00C65CA1">
            <w:rPr>
              <w:noProof/>
              <w:sz w:val="22"/>
              <w:szCs w:val="22"/>
            </w:rPr>
            <w:fldChar w:fldCharType="end"/>
          </w:r>
        </w:p>
        <w:p w14:paraId="0293C77A" w14:textId="77777777" w:rsidR="00C65CA1" w:rsidRPr="00C65CA1" w:rsidRDefault="00C65CA1">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noProof/>
              <w:sz w:val="22"/>
              <w:szCs w:val="22"/>
            </w:rPr>
            <w:t>66 lentelė. Renovacijos strategijos įgyvendinimo priemonių ir veiksmų sąrašas</w:t>
          </w:r>
          <w:r w:rsidRPr="00C65CA1">
            <w:rPr>
              <w:noProof/>
              <w:sz w:val="22"/>
              <w:szCs w:val="22"/>
            </w:rPr>
            <w:tab/>
          </w:r>
          <w:r w:rsidRPr="00C65CA1">
            <w:rPr>
              <w:noProof/>
              <w:sz w:val="22"/>
              <w:szCs w:val="22"/>
            </w:rPr>
            <w:fldChar w:fldCharType="begin"/>
          </w:r>
          <w:r w:rsidRPr="00C65CA1">
            <w:rPr>
              <w:noProof/>
              <w:sz w:val="22"/>
              <w:szCs w:val="22"/>
            </w:rPr>
            <w:instrText xml:space="preserve"> PAGEREF _Toc59094249 \h </w:instrText>
          </w:r>
          <w:r w:rsidRPr="00C65CA1">
            <w:rPr>
              <w:noProof/>
              <w:sz w:val="22"/>
              <w:szCs w:val="22"/>
            </w:rPr>
          </w:r>
          <w:r w:rsidRPr="00C65CA1">
            <w:rPr>
              <w:noProof/>
              <w:sz w:val="22"/>
              <w:szCs w:val="22"/>
            </w:rPr>
            <w:fldChar w:fldCharType="separate"/>
          </w:r>
          <w:r w:rsidR="00166683">
            <w:rPr>
              <w:noProof/>
              <w:sz w:val="22"/>
              <w:szCs w:val="22"/>
            </w:rPr>
            <w:t>100</w:t>
          </w:r>
          <w:r w:rsidRPr="00C65CA1">
            <w:rPr>
              <w:noProof/>
              <w:sz w:val="22"/>
              <w:szCs w:val="22"/>
            </w:rPr>
            <w:fldChar w:fldCharType="end"/>
          </w:r>
        </w:p>
        <w:p w14:paraId="49B565D1" w14:textId="7379C0EE" w:rsidR="00910E7F" w:rsidRPr="00650EE4" w:rsidRDefault="00910E7F" w:rsidP="00F4660E">
          <w:pPr>
            <w:pStyle w:val="BodyText"/>
            <w:spacing w:after="60"/>
            <w:rPr>
              <w:rFonts w:ascii="Times New Roman" w:hAnsi="Times New Roman"/>
              <w:color w:val="000000" w:themeColor="text1"/>
              <w:szCs w:val="22"/>
              <w:lang w:val="lt-LT"/>
            </w:rPr>
          </w:pPr>
          <w:r w:rsidRPr="00C65CA1">
            <w:rPr>
              <w:rFonts w:ascii="Times New Roman" w:hAnsi="Times New Roman"/>
              <w:color w:val="000000" w:themeColor="text1"/>
              <w:szCs w:val="22"/>
              <w:lang w:val="lt-LT"/>
            </w:rPr>
            <w:fldChar w:fldCharType="end"/>
          </w:r>
        </w:p>
        <w:p w14:paraId="32D7768B" w14:textId="0EEB8572" w:rsidR="007C2839" w:rsidRPr="00650EE4" w:rsidRDefault="007C2839" w:rsidP="00910E7F">
          <w:pPr>
            <w:pStyle w:val="BodyText"/>
            <w:rPr>
              <w:rFonts w:ascii="Times New Roman" w:hAnsi="Times New Roman"/>
              <w:color w:val="000000" w:themeColor="text1"/>
              <w:szCs w:val="22"/>
              <w:lang w:val="lt-LT"/>
            </w:rPr>
          </w:pPr>
        </w:p>
        <w:p w14:paraId="7C6B1CCF" w14:textId="77777777" w:rsidR="007C2839" w:rsidRPr="00650EE4" w:rsidRDefault="007C2839" w:rsidP="00910E7F">
          <w:pPr>
            <w:pStyle w:val="BodyText"/>
            <w:rPr>
              <w:rFonts w:ascii="Times New Roman" w:hAnsi="Times New Roman"/>
              <w:color w:val="000000" w:themeColor="text1"/>
              <w:szCs w:val="22"/>
              <w:lang w:val="lt-LT"/>
            </w:rPr>
          </w:pPr>
        </w:p>
        <w:p w14:paraId="6521D9C6" w14:textId="77777777" w:rsidR="00F62C54" w:rsidRPr="00650EE4" w:rsidRDefault="00F62C54">
          <w:pPr>
            <w:spacing w:after="240"/>
            <w:rPr>
              <w:rFonts w:ascii="Times New Roman" w:hAnsi="Times New Roman"/>
              <w:b/>
              <w:bCs/>
              <w:color w:val="000000" w:themeColor="text1"/>
              <w:sz w:val="28"/>
              <w:szCs w:val="28"/>
            </w:rPr>
          </w:pPr>
          <w:r w:rsidRPr="00650EE4">
            <w:rPr>
              <w:rFonts w:ascii="Times New Roman" w:hAnsi="Times New Roman"/>
              <w:b/>
              <w:bCs/>
              <w:color w:val="000000" w:themeColor="text1"/>
              <w:sz w:val="28"/>
              <w:szCs w:val="28"/>
            </w:rPr>
            <w:br w:type="page"/>
          </w:r>
        </w:p>
        <w:p w14:paraId="5AF00440" w14:textId="24218772" w:rsidR="000538E6" w:rsidRPr="00650EE4" w:rsidRDefault="000538E6" w:rsidP="000538E6">
          <w:pPr>
            <w:pStyle w:val="Nenumeruojamosantrastes"/>
            <w:pBdr>
              <w:bottom w:val="single" w:sz="4" w:space="1" w:color="auto"/>
            </w:pBdr>
            <w:outlineLvl w:val="0"/>
            <w:rPr>
              <w:rFonts w:ascii="Times New Roman" w:hAnsi="Times New Roman"/>
              <w:color w:val="002060"/>
              <w:sz w:val="24"/>
              <w:szCs w:val="24"/>
            </w:rPr>
          </w:pPr>
          <w:bookmarkStart w:id="6" w:name="_Toc59107496"/>
          <w:r w:rsidRPr="00650EE4">
            <w:rPr>
              <w:rFonts w:ascii="Times New Roman" w:hAnsi="Times New Roman"/>
              <w:color w:val="002060"/>
              <w:sz w:val="24"/>
              <w:szCs w:val="24"/>
            </w:rPr>
            <w:lastRenderedPageBreak/>
            <w:t>PAVEIKSLŲ SĄRAŠAS</w:t>
          </w:r>
          <w:bookmarkEnd w:id="6"/>
        </w:p>
        <w:p w14:paraId="3FECA531" w14:textId="77777777" w:rsidR="00C65CA1" w:rsidRPr="00C65CA1" w:rsidRDefault="00E85447">
          <w:pPr>
            <w:pStyle w:val="TableofFigures"/>
            <w:tabs>
              <w:tab w:val="right" w:leader="dot" w:pos="10194"/>
            </w:tabs>
            <w:rPr>
              <w:rFonts w:asciiTheme="minorHAnsi" w:eastAsiaTheme="minorEastAsia" w:hAnsiTheme="minorHAnsi" w:cstheme="minorBidi"/>
              <w:noProof/>
              <w:color w:val="auto"/>
              <w:sz w:val="22"/>
              <w:szCs w:val="22"/>
              <w:lang w:val="lt-LT" w:eastAsia="lt-LT"/>
            </w:rPr>
          </w:pPr>
          <w:r w:rsidRPr="00C65CA1">
            <w:rPr>
              <w:color w:val="000000" w:themeColor="text1"/>
              <w:sz w:val="22"/>
              <w:szCs w:val="22"/>
              <w:lang w:val="lt-LT"/>
            </w:rPr>
            <w:fldChar w:fldCharType="begin"/>
          </w:r>
          <w:r w:rsidRPr="00C65CA1">
            <w:rPr>
              <w:color w:val="000000" w:themeColor="text1"/>
              <w:sz w:val="22"/>
              <w:szCs w:val="22"/>
              <w:lang w:val="lt-LT"/>
            </w:rPr>
            <w:instrText xml:space="preserve"> TOC \h \z \c "paveikslas" </w:instrText>
          </w:r>
          <w:r w:rsidRPr="00C65CA1">
            <w:rPr>
              <w:color w:val="000000" w:themeColor="text1"/>
              <w:sz w:val="22"/>
              <w:szCs w:val="22"/>
              <w:lang w:val="lt-LT"/>
            </w:rPr>
            <w:fldChar w:fldCharType="separate"/>
          </w:r>
          <w:hyperlink w:anchor="_Toc59094250" w:history="1">
            <w:r w:rsidR="00C65CA1" w:rsidRPr="00C65CA1">
              <w:rPr>
                <w:rStyle w:val="Hyperlink"/>
                <w:noProof/>
                <w:sz w:val="22"/>
                <w:szCs w:val="22"/>
              </w:rPr>
              <w:t>1 paveikslas. Pastatų fondas pagal pastatų grupes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_Toc59094250 \h </w:instrText>
            </w:r>
            <w:r w:rsidR="00C65CA1" w:rsidRPr="00C65CA1">
              <w:rPr>
                <w:noProof/>
                <w:webHidden/>
                <w:sz w:val="22"/>
                <w:szCs w:val="22"/>
              </w:rPr>
            </w:r>
            <w:r w:rsidR="00C65CA1" w:rsidRPr="00C65CA1">
              <w:rPr>
                <w:noProof/>
                <w:webHidden/>
                <w:sz w:val="22"/>
                <w:szCs w:val="22"/>
              </w:rPr>
              <w:fldChar w:fldCharType="separate"/>
            </w:r>
            <w:r w:rsidR="00166683">
              <w:rPr>
                <w:noProof/>
                <w:webHidden/>
                <w:sz w:val="22"/>
                <w:szCs w:val="22"/>
              </w:rPr>
              <w:t>14</w:t>
            </w:r>
            <w:r w:rsidR="00C65CA1" w:rsidRPr="00C65CA1">
              <w:rPr>
                <w:noProof/>
                <w:webHidden/>
                <w:sz w:val="22"/>
                <w:szCs w:val="22"/>
              </w:rPr>
              <w:fldChar w:fldCharType="end"/>
            </w:r>
          </w:hyperlink>
        </w:p>
        <w:p w14:paraId="748A2EDA"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1" w:history="1">
            <w:r w:rsidR="00C65CA1" w:rsidRPr="00C65CA1">
              <w:rPr>
                <w:rStyle w:val="Hyperlink"/>
                <w:noProof/>
                <w:sz w:val="22"/>
                <w:szCs w:val="22"/>
              </w:rPr>
              <w:t>2 paveikslas. Pastatų fondas pagal statybos pabaigos metus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_Toc59094251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16</w:t>
            </w:r>
            <w:r w:rsidR="00C65CA1" w:rsidRPr="00C65CA1">
              <w:rPr>
                <w:noProof/>
                <w:webHidden/>
                <w:sz w:val="22"/>
                <w:szCs w:val="22"/>
              </w:rPr>
              <w:fldChar w:fldCharType="end"/>
            </w:r>
          </w:hyperlink>
        </w:p>
        <w:p w14:paraId="74344A2B"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2" w:history="1">
            <w:r w:rsidR="00C65CA1" w:rsidRPr="00C65CA1">
              <w:rPr>
                <w:rStyle w:val="Hyperlink"/>
                <w:noProof/>
                <w:sz w:val="22"/>
                <w:szCs w:val="22"/>
              </w:rPr>
              <w:t>3 paveikslas. Pastatų fondas pagal nuosavybės tipą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_Toc59094252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18</w:t>
            </w:r>
            <w:r w:rsidR="00C65CA1" w:rsidRPr="00C65CA1">
              <w:rPr>
                <w:noProof/>
                <w:webHidden/>
                <w:sz w:val="22"/>
                <w:szCs w:val="22"/>
              </w:rPr>
              <w:fldChar w:fldCharType="end"/>
            </w:r>
          </w:hyperlink>
        </w:p>
        <w:p w14:paraId="150E3FE5"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3" w:history="1">
            <w:r w:rsidR="00C65CA1" w:rsidRPr="00C65CA1">
              <w:rPr>
                <w:rStyle w:val="Hyperlink"/>
                <w:noProof/>
                <w:sz w:val="22"/>
                <w:szCs w:val="22"/>
              </w:rPr>
              <w:t>4 paveikslas. Pastatų fondas pagal sienų medžiagiškumą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_Toc59094253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20</w:t>
            </w:r>
            <w:r w:rsidR="00C65CA1" w:rsidRPr="00C65CA1">
              <w:rPr>
                <w:noProof/>
                <w:webHidden/>
                <w:sz w:val="22"/>
                <w:szCs w:val="22"/>
              </w:rPr>
              <w:fldChar w:fldCharType="end"/>
            </w:r>
          </w:hyperlink>
        </w:p>
        <w:p w14:paraId="5EB5F9CC"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4" w:history="1">
            <w:r w:rsidR="00C65CA1" w:rsidRPr="00C65CA1">
              <w:rPr>
                <w:rStyle w:val="Hyperlink"/>
                <w:noProof/>
                <w:sz w:val="22"/>
                <w:szCs w:val="22"/>
              </w:rPr>
              <w:t>5 paveikslas. Pastatų fondas pagal energinio naudingumo klasę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_Toc59094254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24</w:t>
            </w:r>
            <w:r w:rsidR="00C65CA1" w:rsidRPr="00C65CA1">
              <w:rPr>
                <w:noProof/>
                <w:webHidden/>
                <w:sz w:val="22"/>
                <w:szCs w:val="22"/>
              </w:rPr>
              <w:fldChar w:fldCharType="end"/>
            </w:r>
          </w:hyperlink>
        </w:p>
        <w:p w14:paraId="063CFD80"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5" w:history="1">
            <w:r w:rsidR="00C65CA1" w:rsidRPr="00C65CA1">
              <w:rPr>
                <w:rStyle w:val="Hyperlink"/>
                <w:noProof/>
                <w:sz w:val="22"/>
                <w:szCs w:val="22"/>
              </w:rPr>
              <w:t>6 paveikslas. Tipinio daugiabučio pirminės energijos vartojimo palyginimas, kWh/m</w:t>
            </w:r>
            <w:r w:rsidR="00C65CA1" w:rsidRPr="00C65CA1">
              <w:rPr>
                <w:rStyle w:val="Hyperlink"/>
                <w:noProof/>
                <w:sz w:val="22"/>
                <w:szCs w:val="22"/>
                <w:vertAlign w:val="superscript"/>
              </w:rPr>
              <w:t>2</w:t>
            </w:r>
            <w:r w:rsidR="00C65CA1" w:rsidRPr="00C65CA1">
              <w:rPr>
                <w:rStyle w:val="Hyperlink"/>
                <w:noProof/>
                <w:sz w:val="22"/>
                <w:szCs w:val="22"/>
              </w:rPr>
              <w:t>/metus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_Toc59094255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25</w:t>
            </w:r>
            <w:r w:rsidR="00C65CA1" w:rsidRPr="00C65CA1">
              <w:rPr>
                <w:noProof/>
                <w:webHidden/>
                <w:sz w:val="22"/>
                <w:szCs w:val="22"/>
              </w:rPr>
              <w:fldChar w:fldCharType="end"/>
            </w:r>
          </w:hyperlink>
        </w:p>
        <w:p w14:paraId="6CD5CAAC"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6" w:history="1">
            <w:r w:rsidR="00C65CA1" w:rsidRPr="00C65CA1">
              <w:rPr>
                <w:rStyle w:val="Hyperlink"/>
                <w:noProof/>
                <w:sz w:val="22"/>
                <w:szCs w:val="22"/>
              </w:rPr>
              <w:t>7 paveikslas. Šildymo ir vėsinimo dienolaipsnių stebėtos tendencijos EEE šalyse</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_Toc59094256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26</w:t>
            </w:r>
            <w:r w:rsidR="00C65CA1" w:rsidRPr="00C65CA1">
              <w:rPr>
                <w:noProof/>
                <w:webHidden/>
                <w:sz w:val="22"/>
                <w:szCs w:val="22"/>
              </w:rPr>
              <w:fldChar w:fldCharType="end"/>
            </w:r>
          </w:hyperlink>
        </w:p>
        <w:p w14:paraId="60CD2B02"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7" w:history="1">
            <w:r w:rsidR="00C65CA1" w:rsidRPr="00C65CA1">
              <w:rPr>
                <w:rStyle w:val="Hyperlink"/>
                <w:noProof/>
                <w:sz w:val="22"/>
                <w:szCs w:val="22"/>
              </w:rPr>
              <w:t>8 paveikslas. Pastatų fondo šiluminės energijos vartojimas (agreguotas) (GWh/metus)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_Toc59094257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28</w:t>
            </w:r>
            <w:r w:rsidR="00C65CA1" w:rsidRPr="00C65CA1">
              <w:rPr>
                <w:noProof/>
                <w:webHidden/>
                <w:sz w:val="22"/>
                <w:szCs w:val="22"/>
              </w:rPr>
              <w:fldChar w:fldCharType="end"/>
            </w:r>
          </w:hyperlink>
        </w:p>
        <w:p w14:paraId="39F7D59A"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8" w:history="1">
            <w:r w:rsidR="00C65CA1" w:rsidRPr="00C65CA1">
              <w:rPr>
                <w:rStyle w:val="Hyperlink"/>
                <w:noProof/>
                <w:sz w:val="22"/>
                <w:szCs w:val="22"/>
              </w:rPr>
              <w:t>9 paveikslas. Pastatų fondo šiluminės energijos vartojimas (agreguotas) (GWh/metus)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_Toc59094258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29</w:t>
            </w:r>
            <w:r w:rsidR="00C65CA1" w:rsidRPr="00C65CA1">
              <w:rPr>
                <w:noProof/>
                <w:webHidden/>
                <w:sz w:val="22"/>
                <w:szCs w:val="22"/>
              </w:rPr>
              <w:fldChar w:fldCharType="end"/>
            </w:r>
          </w:hyperlink>
        </w:p>
        <w:p w14:paraId="73CA41AB"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59" w:history="1">
            <w:r w:rsidR="00C65CA1" w:rsidRPr="00C65CA1">
              <w:rPr>
                <w:rStyle w:val="Hyperlink"/>
                <w:noProof/>
                <w:sz w:val="22"/>
                <w:szCs w:val="22"/>
              </w:rPr>
              <w:t>10 paveikslas. Pastatų fondo pirminės energijos vartojimas pagal ENK ir grupę (GWh/metus)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_Toc59094259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31</w:t>
            </w:r>
            <w:r w:rsidR="00C65CA1" w:rsidRPr="00C65CA1">
              <w:rPr>
                <w:noProof/>
                <w:webHidden/>
                <w:sz w:val="22"/>
                <w:szCs w:val="22"/>
              </w:rPr>
              <w:fldChar w:fldCharType="end"/>
            </w:r>
          </w:hyperlink>
        </w:p>
        <w:p w14:paraId="31463D53"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0" w:history="1">
            <w:r w:rsidR="00C65CA1" w:rsidRPr="00C65CA1">
              <w:rPr>
                <w:rStyle w:val="Hyperlink"/>
                <w:noProof/>
                <w:sz w:val="22"/>
                <w:szCs w:val="22"/>
              </w:rPr>
              <w:t>11 paveikslas. Pastatų fondo pirminės energijos vartojimas pagal kuro ir energijos rūšis ir pastatų grupes (agreguotas)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_Toc59094260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32</w:t>
            </w:r>
            <w:r w:rsidR="00C65CA1" w:rsidRPr="00C65CA1">
              <w:rPr>
                <w:noProof/>
                <w:webHidden/>
                <w:sz w:val="22"/>
                <w:szCs w:val="22"/>
              </w:rPr>
              <w:fldChar w:fldCharType="end"/>
            </w:r>
          </w:hyperlink>
        </w:p>
        <w:p w14:paraId="6EAB6AE6"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1" w:history="1">
            <w:r w:rsidR="00C65CA1" w:rsidRPr="00C65CA1">
              <w:rPr>
                <w:rStyle w:val="Hyperlink"/>
                <w:noProof/>
                <w:sz w:val="22"/>
                <w:szCs w:val="22"/>
              </w:rPr>
              <w:t>12 paveikslas. Pastatų fondo pirminės energijos vartojimas pagal ENK ir pastatų grupes (agreguotas) (GWh/metus)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_Toc59094261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33</w:t>
            </w:r>
            <w:r w:rsidR="00C65CA1" w:rsidRPr="00C65CA1">
              <w:rPr>
                <w:noProof/>
                <w:webHidden/>
                <w:sz w:val="22"/>
                <w:szCs w:val="22"/>
              </w:rPr>
              <w:fldChar w:fldCharType="end"/>
            </w:r>
          </w:hyperlink>
        </w:p>
        <w:p w14:paraId="4130D9EA"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2" w:history="1">
            <w:r w:rsidR="00C65CA1" w:rsidRPr="00C65CA1">
              <w:rPr>
                <w:rStyle w:val="Hyperlink"/>
                <w:noProof/>
                <w:sz w:val="22"/>
                <w:szCs w:val="22"/>
              </w:rPr>
              <w:t>13 paveikslas. A++ energinio naudingumo klasės pastatų skaičius pagal pastatų paskirtį (vnt.)</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_Toc59094262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36</w:t>
            </w:r>
            <w:r w:rsidR="00C65CA1" w:rsidRPr="00C65CA1">
              <w:rPr>
                <w:noProof/>
                <w:webHidden/>
                <w:sz w:val="22"/>
                <w:szCs w:val="22"/>
              </w:rPr>
              <w:fldChar w:fldCharType="end"/>
            </w:r>
          </w:hyperlink>
        </w:p>
        <w:p w14:paraId="0A24B01E"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3" w:history="1">
            <w:r w:rsidR="00C65CA1" w:rsidRPr="00C65CA1">
              <w:rPr>
                <w:rStyle w:val="Hyperlink"/>
                <w:noProof/>
                <w:sz w:val="22"/>
                <w:szCs w:val="22"/>
              </w:rPr>
              <w:t>14 paveikslas. Lietuvoje renovuotų daugiabučių skaičius 2013-2019 m. (vnt.)</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_Toc59094263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37</w:t>
            </w:r>
            <w:r w:rsidR="00C65CA1" w:rsidRPr="00C65CA1">
              <w:rPr>
                <w:noProof/>
                <w:webHidden/>
                <w:sz w:val="22"/>
                <w:szCs w:val="22"/>
              </w:rPr>
              <w:fldChar w:fldCharType="end"/>
            </w:r>
          </w:hyperlink>
        </w:p>
        <w:p w14:paraId="3C8514AA"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4" w:history="1">
            <w:r w:rsidR="00C65CA1" w:rsidRPr="00C65CA1">
              <w:rPr>
                <w:rStyle w:val="Hyperlink"/>
                <w:noProof/>
                <w:sz w:val="22"/>
                <w:szCs w:val="22"/>
              </w:rPr>
              <w:t>15 paveikslas. Ekonominio modeliavimo rezultatai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_Toc59094264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49</w:t>
            </w:r>
            <w:r w:rsidR="00C65CA1" w:rsidRPr="00C65CA1">
              <w:rPr>
                <w:noProof/>
                <w:webHidden/>
                <w:sz w:val="22"/>
                <w:szCs w:val="22"/>
              </w:rPr>
              <w:fldChar w:fldCharType="end"/>
            </w:r>
          </w:hyperlink>
        </w:p>
        <w:p w14:paraId="58768636"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5" w:history="1">
            <w:r w:rsidR="00C65CA1" w:rsidRPr="00C65CA1">
              <w:rPr>
                <w:rStyle w:val="Hyperlink"/>
                <w:noProof/>
                <w:sz w:val="22"/>
                <w:szCs w:val="22"/>
              </w:rPr>
              <w:t>16 paveikslas. Finansinio efektyvumo modeliavimo rezultatai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_Toc59094265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50</w:t>
            </w:r>
            <w:r w:rsidR="00C65CA1" w:rsidRPr="00C65CA1">
              <w:rPr>
                <w:noProof/>
                <w:webHidden/>
                <w:sz w:val="22"/>
                <w:szCs w:val="22"/>
              </w:rPr>
              <w:fldChar w:fldCharType="end"/>
            </w:r>
          </w:hyperlink>
        </w:p>
        <w:p w14:paraId="5607B842"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6" w:history="1">
            <w:r w:rsidR="00C65CA1" w:rsidRPr="00C65CA1">
              <w:rPr>
                <w:rStyle w:val="Hyperlink"/>
                <w:noProof/>
                <w:sz w:val="22"/>
                <w:szCs w:val="22"/>
              </w:rPr>
              <w:t>17 paveikslas.. Ekonominio efektyvumo modeliavimo rezultatai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_Toc59094266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51</w:t>
            </w:r>
            <w:r w:rsidR="00C65CA1" w:rsidRPr="00C65CA1">
              <w:rPr>
                <w:noProof/>
                <w:webHidden/>
                <w:sz w:val="22"/>
                <w:szCs w:val="22"/>
              </w:rPr>
              <w:fldChar w:fldCharType="end"/>
            </w:r>
          </w:hyperlink>
        </w:p>
        <w:p w14:paraId="0134925F"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7" w:history="1">
            <w:r w:rsidR="00C65CA1" w:rsidRPr="00C65CA1">
              <w:rPr>
                <w:rStyle w:val="Hyperlink"/>
                <w:noProof/>
                <w:sz w:val="22"/>
                <w:szCs w:val="22"/>
              </w:rPr>
              <w:t>18 paveikslas. Energiją taupančių priemonių panaudojimas pastatų atnaujinime</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_Toc59094267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53</w:t>
            </w:r>
            <w:r w:rsidR="00C65CA1" w:rsidRPr="00C65CA1">
              <w:rPr>
                <w:noProof/>
                <w:webHidden/>
                <w:sz w:val="22"/>
                <w:szCs w:val="22"/>
              </w:rPr>
              <w:fldChar w:fldCharType="end"/>
            </w:r>
          </w:hyperlink>
        </w:p>
        <w:p w14:paraId="58E00A8C"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8" w:history="1">
            <w:r w:rsidR="00C65CA1" w:rsidRPr="00C65CA1">
              <w:rPr>
                <w:rStyle w:val="Hyperlink"/>
                <w:noProof/>
                <w:sz w:val="22"/>
                <w:szCs w:val="22"/>
              </w:rPr>
              <w:t>19 paveikslas. Europos žaliojo kurso elementai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_Toc59094268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78</w:t>
            </w:r>
            <w:r w:rsidR="00C65CA1" w:rsidRPr="00C65CA1">
              <w:rPr>
                <w:noProof/>
                <w:webHidden/>
                <w:sz w:val="22"/>
                <w:szCs w:val="22"/>
              </w:rPr>
              <w:fldChar w:fldCharType="end"/>
            </w:r>
          </w:hyperlink>
        </w:p>
        <w:p w14:paraId="26017401"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69" w:history="1">
            <w:r w:rsidR="00C65CA1" w:rsidRPr="00C65CA1">
              <w:rPr>
                <w:rStyle w:val="Hyperlink"/>
                <w:noProof/>
                <w:sz w:val="22"/>
                <w:szCs w:val="22"/>
              </w:rPr>
              <w:t>20 paveikslas. Pastatų fondo transformacijos rodikliai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_Toc59094269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80</w:t>
            </w:r>
            <w:r w:rsidR="00C65CA1" w:rsidRPr="00C65CA1">
              <w:rPr>
                <w:noProof/>
                <w:webHidden/>
                <w:sz w:val="22"/>
                <w:szCs w:val="22"/>
              </w:rPr>
              <w:fldChar w:fldCharType="end"/>
            </w:r>
          </w:hyperlink>
        </w:p>
        <w:p w14:paraId="20CC12D2"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0" w:history="1">
            <w:r w:rsidR="00C65CA1" w:rsidRPr="00C65CA1">
              <w:rPr>
                <w:rStyle w:val="Hyperlink"/>
                <w:noProof/>
                <w:sz w:val="22"/>
                <w:szCs w:val="22"/>
              </w:rPr>
              <w:t>21 paveikslas. Pastatų fondo transformacijos komponentai (pirminės energijos sumažinimas)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_Toc59094270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81</w:t>
            </w:r>
            <w:r w:rsidR="00C65CA1" w:rsidRPr="00C65CA1">
              <w:rPr>
                <w:noProof/>
                <w:webHidden/>
                <w:sz w:val="22"/>
                <w:szCs w:val="22"/>
              </w:rPr>
              <w:fldChar w:fldCharType="end"/>
            </w:r>
          </w:hyperlink>
        </w:p>
        <w:p w14:paraId="4FFACE91"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1" w:history="1">
            <w:r w:rsidR="00C65CA1" w:rsidRPr="00C65CA1">
              <w:rPr>
                <w:rStyle w:val="Hyperlink"/>
                <w:noProof/>
                <w:sz w:val="22"/>
                <w:szCs w:val="22"/>
              </w:rPr>
              <w:t>22 paveikslas. Pastatų fondo transformacijos komponentai (CO2 emisijų sumažinimas)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_Toc59094271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82</w:t>
            </w:r>
            <w:r w:rsidR="00C65CA1" w:rsidRPr="00C65CA1">
              <w:rPr>
                <w:noProof/>
                <w:webHidden/>
                <w:sz w:val="22"/>
                <w:szCs w:val="22"/>
              </w:rPr>
              <w:fldChar w:fldCharType="end"/>
            </w:r>
          </w:hyperlink>
        </w:p>
        <w:p w14:paraId="63D36711"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2" w:history="1">
            <w:r w:rsidR="00C65CA1" w:rsidRPr="00C65CA1">
              <w:rPr>
                <w:rStyle w:val="Hyperlink"/>
                <w:noProof/>
                <w:sz w:val="22"/>
                <w:szCs w:val="22"/>
              </w:rPr>
              <w:t>23 paveikslas. Siekiami daugiabučių pastatų renovacijos tempai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_Toc59094272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85</w:t>
            </w:r>
            <w:r w:rsidR="00C65CA1" w:rsidRPr="00C65CA1">
              <w:rPr>
                <w:noProof/>
                <w:webHidden/>
                <w:sz w:val="22"/>
                <w:szCs w:val="22"/>
              </w:rPr>
              <w:fldChar w:fldCharType="end"/>
            </w:r>
          </w:hyperlink>
        </w:p>
        <w:p w14:paraId="4025E193"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3" w:history="1">
            <w:r w:rsidR="00C65CA1" w:rsidRPr="00C65CA1">
              <w:rPr>
                <w:rStyle w:val="Hyperlink"/>
                <w:noProof/>
                <w:sz w:val="22"/>
                <w:szCs w:val="22"/>
              </w:rPr>
              <w:t>24 paveikslas. Siekiami individuali namų renovacijos tempai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_Toc59094273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86</w:t>
            </w:r>
            <w:r w:rsidR="00C65CA1" w:rsidRPr="00C65CA1">
              <w:rPr>
                <w:noProof/>
                <w:webHidden/>
                <w:sz w:val="22"/>
                <w:szCs w:val="22"/>
              </w:rPr>
              <w:fldChar w:fldCharType="end"/>
            </w:r>
          </w:hyperlink>
        </w:p>
        <w:p w14:paraId="084B9B8C"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4" w:history="1">
            <w:r w:rsidR="00C65CA1" w:rsidRPr="00C65CA1">
              <w:rPr>
                <w:rStyle w:val="Hyperlink"/>
                <w:noProof/>
                <w:sz w:val="22"/>
                <w:szCs w:val="22"/>
              </w:rPr>
              <w:t>25 paveikslas. Siekiami kitų negyvenamųjų pastatų renovacijos tempai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_Toc59094274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87</w:t>
            </w:r>
            <w:r w:rsidR="00C65CA1" w:rsidRPr="00C65CA1">
              <w:rPr>
                <w:noProof/>
                <w:webHidden/>
                <w:sz w:val="22"/>
                <w:szCs w:val="22"/>
              </w:rPr>
              <w:fldChar w:fldCharType="end"/>
            </w:r>
          </w:hyperlink>
        </w:p>
        <w:p w14:paraId="579B06DA"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5" w:history="1">
            <w:r w:rsidR="00C65CA1" w:rsidRPr="00C65CA1">
              <w:rPr>
                <w:rStyle w:val="Hyperlink"/>
                <w:noProof/>
                <w:sz w:val="22"/>
                <w:szCs w:val="22"/>
              </w:rPr>
              <w:t>26 paveikslas. Pramonės pastatų renovacijos tempai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_Toc59094275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88</w:t>
            </w:r>
            <w:r w:rsidR="00C65CA1" w:rsidRPr="00C65CA1">
              <w:rPr>
                <w:noProof/>
                <w:webHidden/>
                <w:sz w:val="22"/>
                <w:szCs w:val="22"/>
              </w:rPr>
              <w:fldChar w:fldCharType="end"/>
            </w:r>
          </w:hyperlink>
        </w:p>
        <w:p w14:paraId="7162AD7D"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6" w:history="1">
            <w:r w:rsidR="00C65CA1" w:rsidRPr="00C65CA1">
              <w:rPr>
                <w:rStyle w:val="Hyperlink"/>
                <w:noProof/>
                <w:sz w:val="22"/>
                <w:szCs w:val="22"/>
              </w:rPr>
              <w:t>27 paveikslas. Būsto kompensavimo išmokos ir gavėjų skaičiaus lygis 2012-2018 m. Lietuvoje</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_Toc59094276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94</w:t>
            </w:r>
            <w:r w:rsidR="00C65CA1" w:rsidRPr="00C65CA1">
              <w:rPr>
                <w:noProof/>
                <w:webHidden/>
                <w:sz w:val="22"/>
                <w:szCs w:val="22"/>
              </w:rPr>
              <w:fldChar w:fldCharType="end"/>
            </w:r>
          </w:hyperlink>
        </w:p>
        <w:p w14:paraId="71A67B82"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7" w:history="1">
            <w:r w:rsidR="00C65CA1" w:rsidRPr="00C65CA1">
              <w:rPr>
                <w:rStyle w:val="Hyperlink"/>
                <w:noProof/>
                <w:sz w:val="22"/>
                <w:szCs w:val="22"/>
              </w:rPr>
              <w:t>28 paveikslas. Siektinas pastatų fondo transformacijos rezultatas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_Toc59094277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97</w:t>
            </w:r>
            <w:r w:rsidR="00C65CA1" w:rsidRPr="00C65CA1">
              <w:rPr>
                <w:noProof/>
                <w:webHidden/>
                <w:sz w:val="22"/>
                <w:szCs w:val="22"/>
              </w:rPr>
              <w:fldChar w:fldCharType="end"/>
            </w:r>
          </w:hyperlink>
        </w:p>
        <w:p w14:paraId="1ADD2809"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8" w:history="1">
            <w:r w:rsidR="00C65CA1" w:rsidRPr="00C65CA1">
              <w:rPr>
                <w:rStyle w:val="Hyperlink"/>
                <w:noProof/>
                <w:sz w:val="22"/>
                <w:szCs w:val="22"/>
              </w:rPr>
              <w:t>29 paveikslas. Renovacijos įgyvendinimo modelis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_Toc59094278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99</w:t>
            </w:r>
            <w:r w:rsidR="00C65CA1" w:rsidRPr="00C65CA1">
              <w:rPr>
                <w:noProof/>
                <w:webHidden/>
                <w:sz w:val="22"/>
                <w:szCs w:val="22"/>
              </w:rPr>
              <w:fldChar w:fldCharType="end"/>
            </w:r>
          </w:hyperlink>
        </w:p>
        <w:p w14:paraId="315593D9"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79" w:history="1">
            <w:r w:rsidR="00C65CA1" w:rsidRPr="00C65CA1">
              <w:rPr>
                <w:rStyle w:val="Hyperlink"/>
                <w:noProof/>
                <w:sz w:val="22"/>
                <w:szCs w:val="22"/>
              </w:rPr>
              <w:t>30 paveikslas. Pirminės energijos vartojimas pagal energinį efektyvumą ir šilumos gamybos šaltinį (GWh/metus)</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_Toc59094279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113</w:t>
            </w:r>
            <w:r w:rsidR="00C65CA1" w:rsidRPr="00C65CA1">
              <w:rPr>
                <w:noProof/>
                <w:webHidden/>
                <w:sz w:val="22"/>
                <w:szCs w:val="22"/>
              </w:rPr>
              <w:fldChar w:fldCharType="end"/>
            </w:r>
          </w:hyperlink>
        </w:p>
        <w:p w14:paraId="3B15B69C" w14:textId="77777777" w:rsidR="00C65CA1" w:rsidRPr="00C65CA1" w:rsidRDefault="00166683">
          <w:pPr>
            <w:pStyle w:val="TableofFigures"/>
            <w:tabs>
              <w:tab w:val="right" w:leader="dot" w:pos="10194"/>
            </w:tabs>
            <w:rPr>
              <w:rFonts w:asciiTheme="minorHAnsi" w:eastAsiaTheme="minorEastAsia" w:hAnsiTheme="minorHAnsi" w:cstheme="minorBidi"/>
              <w:noProof/>
              <w:color w:val="auto"/>
              <w:sz w:val="22"/>
              <w:szCs w:val="22"/>
              <w:lang w:val="lt-LT" w:eastAsia="lt-LT"/>
            </w:rPr>
          </w:pPr>
          <w:hyperlink w:anchor="_Toc59094280" w:history="1">
            <w:r w:rsidR="00C65CA1" w:rsidRPr="00C65CA1">
              <w:rPr>
                <w:rStyle w:val="Hyperlink"/>
                <w:noProof/>
                <w:sz w:val="22"/>
                <w:szCs w:val="22"/>
              </w:rPr>
              <w:t>31 paveikslas. IRS įgyvendinimo etapai</w:t>
            </w:r>
            <w:r w:rsidR="00C65CA1" w:rsidRPr="00C65CA1">
              <w:rPr>
                <w:noProof/>
                <w:webHidden/>
                <w:sz w:val="22"/>
                <w:szCs w:val="22"/>
              </w:rPr>
              <w:tab/>
            </w:r>
            <w:r w:rsidR="00C65CA1" w:rsidRPr="00C65CA1">
              <w:rPr>
                <w:noProof/>
                <w:webHidden/>
                <w:sz w:val="22"/>
                <w:szCs w:val="22"/>
              </w:rPr>
              <w:fldChar w:fldCharType="begin"/>
            </w:r>
            <w:r w:rsidR="00C65CA1" w:rsidRPr="00C65CA1">
              <w:rPr>
                <w:noProof/>
                <w:webHidden/>
                <w:sz w:val="22"/>
                <w:szCs w:val="22"/>
              </w:rPr>
              <w:instrText xml:space="preserve"> PAGEREF _Toc59094280 \h </w:instrText>
            </w:r>
            <w:r w:rsidR="00C65CA1" w:rsidRPr="00C65CA1">
              <w:rPr>
                <w:noProof/>
                <w:webHidden/>
                <w:sz w:val="22"/>
                <w:szCs w:val="22"/>
              </w:rPr>
            </w:r>
            <w:r w:rsidR="00C65CA1" w:rsidRPr="00C65CA1">
              <w:rPr>
                <w:noProof/>
                <w:webHidden/>
                <w:sz w:val="22"/>
                <w:szCs w:val="22"/>
              </w:rPr>
              <w:fldChar w:fldCharType="separate"/>
            </w:r>
            <w:r>
              <w:rPr>
                <w:noProof/>
                <w:webHidden/>
                <w:sz w:val="22"/>
                <w:szCs w:val="22"/>
              </w:rPr>
              <w:t>114</w:t>
            </w:r>
            <w:r w:rsidR="00C65CA1" w:rsidRPr="00C65CA1">
              <w:rPr>
                <w:noProof/>
                <w:webHidden/>
                <w:sz w:val="22"/>
                <w:szCs w:val="22"/>
              </w:rPr>
              <w:fldChar w:fldCharType="end"/>
            </w:r>
          </w:hyperlink>
        </w:p>
        <w:p w14:paraId="6E5DFB05" w14:textId="3E239FC9" w:rsidR="00CD3858" w:rsidRPr="00650EE4" w:rsidRDefault="00E85447" w:rsidP="00E0385F">
          <w:pPr>
            <w:pStyle w:val="BodyText"/>
            <w:spacing w:line="240" w:lineRule="auto"/>
            <w:rPr>
              <w:rFonts w:ascii="Times New Roman" w:hAnsi="Times New Roman"/>
              <w:color w:val="000000" w:themeColor="text1"/>
              <w:szCs w:val="22"/>
              <w:lang w:val="lt-LT"/>
            </w:rPr>
          </w:pPr>
          <w:r w:rsidRPr="00C65CA1">
            <w:rPr>
              <w:rFonts w:ascii="Times New Roman" w:hAnsi="Times New Roman"/>
              <w:color w:val="000000" w:themeColor="text1"/>
              <w:szCs w:val="22"/>
              <w:lang w:val="lt-LT"/>
            </w:rPr>
            <w:fldChar w:fldCharType="end"/>
          </w:r>
        </w:p>
        <w:p w14:paraId="4424B87F" w14:textId="184F012C" w:rsidR="00CD3858" w:rsidRPr="00650EE4" w:rsidRDefault="00CD3858" w:rsidP="009D10F8">
          <w:pPr>
            <w:pStyle w:val="BodyText"/>
            <w:rPr>
              <w:rFonts w:ascii="Times New Roman" w:hAnsi="Times New Roman"/>
              <w:color w:val="000000" w:themeColor="text1"/>
              <w:szCs w:val="22"/>
              <w:lang w:val="lt-LT"/>
            </w:rPr>
          </w:pPr>
        </w:p>
        <w:p w14:paraId="29ECBA38" w14:textId="79B0C9E3" w:rsidR="00CD3858" w:rsidRPr="00650EE4" w:rsidRDefault="00CD3858" w:rsidP="009D10F8">
          <w:pPr>
            <w:pStyle w:val="BodyText"/>
            <w:rPr>
              <w:rFonts w:ascii="Times New Roman" w:hAnsi="Times New Roman"/>
              <w:color w:val="000000" w:themeColor="text1"/>
              <w:szCs w:val="22"/>
              <w:lang w:val="lt-LT"/>
            </w:rPr>
          </w:pPr>
        </w:p>
        <w:p w14:paraId="0E3DF79D" w14:textId="77777777" w:rsidR="00CD3858" w:rsidRPr="00650EE4" w:rsidRDefault="00CD3858" w:rsidP="009D10F8">
          <w:pPr>
            <w:pStyle w:val="BodyText"/>
            <w:rPr>
              <w:rFonts w:ascii="Times New Roman" w:hAnsi="Times New Roman"/>
              <w:color w:val="000000" w:themeColor="text1"/>
              <w:szCs w:val="22"/>
              <w:lang w:val="lt-LT"/>
            </w:rPr>
          </w:pPr>
        </w:p>
        <w:p w14:paraId="1BE2D8C9" w14:textId="4FC6CA62" w:rsidR="00AF0F35" w:rsidRPr="00650EE4" w:rsidRDefault="00166683" w:rsidP="00DA1E77">
          <w:pPr>
            <w:spacing w:after="240"/>
            <w:rPr>
              <w:rFonts w:ascii="Times New Roman" w:hAnsi="Times New Roman"/>
              <w:color w:val="000000" w:themeColor="text1"/>
            </w:rPr>
            <w:sectPr w:rsidR="00AF0F35" w:rsidRPr="00650EE4" w:rsidSect="00A74C24">
              <w:headerReference w:type="first" r:id="rId15"/>
              <w:footerReference w:type="first" r:id="rId16"/>
              <w:pgSz w:w="11906" w:h="16838" w:code="9"/>
              <w:pgMar w:top="851" w:right="851" w:bottom="851" w:left="851" w:header="567" w:footer="567" w:gutter="0"/>
              <w:cols w:space="708"/>
              <w:titlePg/>
              <w:docGrid w:linePitch="360"/>
            </w:sectPr>
          </w:pPr>
        </w:p>
        <w:bookmarkStart w:id="7" w:name="_GoBack" w:displacedByCustomXml="next"/>
        <w:bookmarkEnd w:id="7" w:displacedByCustomXml="next"/>
      </w:sdtContent>
    </w:sdt>
    <w:p w14:paraId="4363C89E" w14:textId="300CBD91" w:rsidR="0097764B" w:rsidRPr="00650EE4" w:rsidRDefault="00AF3316" w:rsidP="00647722">
      <w:pPr>
        <w:pStyle w:val="Nenumeruojamosantrastes"/>
        <w:pBdr>
          <w:bottom w:val="single" w:sz="4" w:space="1" w:color="auto"/>
        </w:pBdr>
        <w:outlineLvl w:val="0"/>
        <w:rPr>
          <w:rFonts w:ascii="Times New Roman" w:hAnsi="Times New Roman"/>
          <w:color w:val="002060"/>
          <w:sz w:val="24"/>
          <w:szCs w:val="24"/>
        </w:rPr>
      </w:pPr>
      <w:bookmarkStart w:id="8" w:name="_Toc59107497"/>
      <w:r w:rsidRPr="00650EE4">
        <w:rPr>
          <w:rFonts w:ascii="Times New Roman" w:hAnsi="Times New Roman"/>
          <w:caps w:val="0"/>
          <w:color w:val="002060"/>
          <w:sz w:val="24"/>
          <w:szCs w:val="24"/>
        </w:rPr>
        <w:lastRenderedPageBreak/>
        <w:t>SANTRUMP</w:t>
      </w:r>
      <w:r w:rsidR="00955EA7" w:rsidRPr="00650EE4">
        <w:rPr>
          <w:rFonts w:ascii="Times New Roman" w:hAnsi="Times New Roman"/>
          <w:caps w:val="0"/>
          <w:color w:val="002060"/>
          <w:sz w:val="24"/>
          <w:szCs w:val="24"/>
        </w:rPr>
        <w:t>Ų</w:t>
      </w:r>
      <w:r w:rsidR="00D83D47" w:rsidRPr="00650EE4">
        <w:rPr>
          <w:rFonts w:ascii="Times New Roman" w:hAnsi="Times New Roman"/>
          <w:caps w:val="0"/>
          <w:color w:val="002060"/>
          <w:sz w:val="24"/>
          <w:szCs w:val="24"/>
        </w:rPr>
        <w:t xml:space="preserve"> IR SĄVOKŲ</w:t>
      </w:r>
      <w:r w:rsidR="00955EA7" w:rsidRPr="00650EE4">
        <w:rPr>
          <w:rFonts w:ascii="Times New Roman" w:hAnsi="Times New Roman"/>
          <w:caps w:val="0"/>
          <w:color w:val="002060"/>
          <w:sz w:val="24"/>
          <w:szCs w:val="24"/>
        </w:rPr>
        <w:t xml:space="preserve"> SĄRAŠAS</w:t>
      </w:r>
      <w:bookmarkEnd w:id="8"/>
    </w:p>
    <w:tbl>
      <w:tblPr>
        <w:tblStyle w:val="LightList-Accent18"/>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0"/>
        <w:gridCol w:w="8030"/>
      </w:tblGrid>
      <w:tr w:rsidR="000F4DCB" w:rsidRPr="00650EE4" w14:paraId="7AB93421" w14:textId="77777777" w:rsidTr="00BD4F8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hideMark/>
          </w:tcPr>
          <w:p w14:paraId="43DABAE3" w14:textId="1AECEFB2" w:rsidR="00D464D7" w:rsidRPr="00650EE4" w:rsidRDefault="00D464D7" w:rsidP="006247D0">
            <w:pPr>
              <w:rPr>
                <w:rFonts w:ascii="Times New Roman" w:eastAsia="Times New Roman" w:hAnsi="Times New Roman"/>
                <w:color w:val="000000" w:themeColor="text1"/>
                <w:szCs w:val="22"/>
                <w:lang w:eastAsia="lt-LT"/>
              </w:rPr>
            </w:pPr>
            <w:r w:rsidRPr="00650EE4">
              <w:rPr>
                <w:rFonts w:ascii="Times New Roman" w:eastAsia="Times New Roman" w:hAnsi="Times New Roman"/>
                <w:color w:val="000000" w:themeColor="text1"/>
                <w:szCs w:val="22"/>
                <w:lang w:eastAsia="lt-LT"/>
              </w:rPr>
              <w:t>Santrumpa</w:t>
            </w:r>
          </w:p>
        </w:tc>
        <w:tc>
          <w:tcPr>
            <w:tcW w:w="8030" w:type="dxa"/>
            <w:shd w:val="clear" w:color="auto" w:fill="auto"/>
            <w:hideMark/>
          </w:tcPr>
          <w:p w14:paraId="3940819D" w14:textId="5F3A4D3B" w:rsidR="00D464D7" w:rsidRPr="00650EE4" w:rsidRDefault="00D464D7" w:rsidP="006247D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color w:val="000000" w:themeColor="text1"/>
                <w:szCs w:val="22"/>
                <w:lang w:eastAsia="lt-LT"/>
              </w:rPr>
              <w:t>Paaiškinimas</w:t>
            </w:r>
          </w:p>
        </w:tc>
      </w:tr>
      <w:tr w:rsidR="00D14D7A" w:rsidRPr="00650EE4" w14:paraId="5B9A8702" w14:textId="77777777" w:rsidTr="00BD4F87">
        <w:trPr>
          <w:cnfStyle w:val="100000000000" w:firstRow="1" w:lastRow="0" w:firstColumn="0" w:lastColumn="0" w:oddVBand="0" w:evenVBand="0" w:oddHBand="0" w:evenHBand="0" w:firstRowFirstColumn="0" w:firstRowLastColumn="0" w:lastRowFirstColumn="0" w:lastRowLastColumn="0"/>
          <w:trHeight w:val="300"/>
          <w:tblHeader/>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301B20A" w14:textId="4AF142BA"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AEID</w:t>
            </w:r>
          </w:p>
        </w:tc>
        <w:tc>
          <w:tcPr>
            <w:tcW w:w="8030" w:type="dxa"/>
            <w:shd w:val="clear" w:color="auto" w:fill="auto"/>
            <w:vAlign w:val="center"/>
          </w:tcPr>
          <w:p w14:paraId="53180592" w14:textId="38B2673D" w:rsidR="00D14D7A" w:rsidRPr="00F6463F" w:rsidRDefault="00D14D7A" w:rsidP="00D14D7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b w:val="0"/>
                <w:bCs w:val="0"/>
                <w:color w:val="000000" w:themeColor="text1"/>
                <w:szCs w:val="22"/>
                <w:lang w:eastAsia="lt-LT"/>
              </w:rPr>
            </w:pPr>
            <w:r w:rsidRPr="00F6463F">
              <w:rPr>
                <w:rFonts w:ascii="Times New Roman" w:eastAsia="Times New Roman" w:hAnsi="Times New Roman"/>
                <w:b w:val="0"/>
                <w:szCs w:val="22"/>
              </w:rPr>
              <w:t>Direktyva 2009/28/EB dėl skatinimo naudoti atsinaujinančių išteklių energiją</w:t>
            </w:r>
          </w:p>
        </w:tc>
      </w:tr>
      <w:tr w:rsidR="00D14D7A" w:rsidRPr="00650EE4" w14:paraId="4701B69E"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E11DCDC" w14:textId="472FA9F1"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BETA</w:t>
            </w:r>
          </w:p>
        </w:tc>
        <w:tc>
          <w:tcPr>
            <w:tcW w:w="8030" w:type="dxa"/>
            <w:tcBorders>
              <w:top w:val="none" w:sz="0" w:space="0" w:color="auto"/>
              <w:bottom w:val="none" w:sz="0" w:space="0" w:color="auto"/>
              <w:right w:val="none" w:sz="0" w:space="0" w:color="auto"/>
            </w:tcBorders>
            <w:shd w:val="clear" w:color="auto" w:fill="auto"/>
            <w:vAlign w:val="center"/>
          </w:tcPr>
          <w:p w14:paraId="7E52BBF6" w14:textId="6BB79A63"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rPr>
            </w:pPr>
            <w:proofErr w:type="spellStart"/>
            <w:r w:rsidRPr="00650EE4">
              <w:rPr>
                <w:rFonts w:ascii="Times New Roman" w:eastAsia="Times New Roman" w:hAnsi="Times New Roman"/>
                <w:szCs w:val="22"/>
              </w:rPr>
              <w:t>VšĮ</w:t>
            </w:r>
            <w:proofErr w:type="spellEnd"/>
            <w:r w:rsidRPr="00650EE4">
              <w:rPr>
                <w:rFonts w:ascii="Times New Roman" w:eastAsia="Times New Roman" w:hAnsi="Times New Roman"/>
                <w:szCs w:val="22"/>
              </w:rPr>
              <w:t xml:space="preserve"> Būsto energijos taupymo agentūra</w:t>
            </w:r>
          </w:p>
        </w:tc>
      </w:tr>
      <w:tr w:rsidR="00D14D7A" w:rsidRPr="00650EE4" w14:paraId="2ABC9023" w14:textId="77777777" w:rsidTr="00BD4F87">
        <w:trPr>
          <w:trHeight w:val="30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EA529AE" w14:textId="17D73919"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BNR arba Bendrųjų nuostatų reglamentas</w:t>
            </w:r>
          </w:p>
        </w:tc>
        <w:tc>
          <w:tcPr>
            <w:tcW w:w="8030" w:type="dxa"/>
            <w:shd w:val="clear" w:color="auto" w:fill="auto"/>
            <w:vAlign w:val="center"/>
          </w:tcPr>
          <w:p w14:paraId="513CF62A" w14:textId="06AAD885"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eastAsia="lt-LT"/>
              </w:rPr>
            </w:pPr>
            <w:r w:rsidRPr="00650EE4">
              <w:rPr>
                <w:rFonts w:ascii="Times New Roman" w:eastAsia="Times New Roman" w:hAnsi="Times New Roman"/>
                <w:szCs w:val="22"/>
              </w:rPr>
              <w:t>Reglamentas 2018/1999 dėl energetikos sąjungos ir klimato politikos veiksmų valdymo</w:t>
            </w:r>
          </w:p>
        </w:tc>
      </w:tr>
      <w:tr w:rsidR="00D14D7A" w:rsidRPr="00650EE4" w14:paraId="2F2E8989"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474416B" w14:textId="533C95C8"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BPIE</w:t>
            </w:r>
          </w:p>
        </w:tc>
        <w:tc>
          <w:tcPr>
            <w:tcW w:w="8030" w:type="dxa"/>
            <w:tcBorders>
              <w:top w:val="none" w:sz="0" w:space="0" w:color="auto"/>
              <w:bottom w:val="none" w:sz="0" w:space="0" w:color="auto"/>
              <w:right w:val="none" w:sz="0" w:space="0" w:color="auto"/>
            </w:tcBorders>
            <w:shd w:val="clear" w:color="auto" w:fill="auto"/>
            <w:vAlign w:val="center"/>
          </w:tcPr>
          <w:p w14:paraId="1AFE772C" w14:textId="28AF44F0" w:rsidR="00D14D7A" w:rsidRPr="00650EE4" w:rsidRDefault="007339AE" w:rsidP="007339A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eastAsia="lt-LT"/>
              </w:rPr>
            </w:pPr>
            <w:r>
              <w:rPr>
                <w:rFonts w:ascii="Times New Roman" w:eastAsia="Times New Roman" w:hAnsi="Times New Roman"/>
                <w:szCs w:val="22"/>
              </w:rPr>
              <w:t>Pastatų veiklos institutas (</w:t>
            </w:r>
            <w:r w:rsidRPr="007339AE">
              <w:rPr>
                <w:rFonts w:ascii="Times New Roman" w:eastAsia="Times New Roman" w:hAnsi="Times New Roman"/>
                <w:i/>
                <w:szCs w:val="22"/>
              </w:rPr>
              <w:t>angl.</w:t>
            </w:r>
            <w:r>
              <w:rPr>
                <w:rFonts w:ascii="Times New Roman" w:eastAsia="Times New Roman" w:hAnsi="Times New Roman"/>
                <w:szCs w:val="22"/>
              </w:rPr>
              <w:t xml:space="preserve"> </w:t>
            </w:r>
            <w:proofErr w:type="spellStart"/>
            <w:r w:rsidR="00D14D7A" w:rsidRPr="007339AE">
              <w:rPr>
                <w:rFonts w:ascii="Times New Roman" w:eastAsia="Times New Roman" w:hAnsi="Times New Roman"/>
                <w:i/>
                <w:szCs w:val="22"/>
              </w:rPr>
              <w:t>Buildings</w:t>
            </w:r>
            <w:proofErr w:type="spellEnd"/>
            <w:r w:rsidR="00D14D7A" w:rsidRPr="007339AE">
              <w:rPr>
                <w:rFonts w:ascii="Times New Roman" w:eastAsia="Times New Roman" w:hAnsi="Times New Roman"/>
                <w:i/>
                <w:szCs w:val="22"/>
              </w:rPr>
              <w:t xml:space="preserve"> </w:t>
            </w:r>
            <w:proofErr w:type="spellStart"/>
            <w:r w:rsidR="00D14D7A" w:rsidRPr="007339AE">
              <w:rPr>
                <w:rFonts w:ascii="Times New Roman" w:eastAsia="Times New Roman" w:hAnsi="Times New Roman"/>
                <w:i/>
                <w:szCs w:val="22"/>
              </w:rPr>
              <w:t>Performance</w:t>
            </w:r>
            <w:proofErr w:type="spellEnd"/>
            <w:r w:rsidR="00D14D7A" w:rsidRPr="007339AE">
              <w:rPr>
                <w:rFonts w:ascii="Times New Roman" w:eastAsia="Times New Roman" w:hAnsi="Times New Roman"/>
                <w:i/>
                <w:szCs w:val="22"/>
              </w:rPr>
              <w:t xml:space="preserve"> Institute </w:t>
            </w:r>
            <w:proofErr w:type="spellStart"/>
            <w:r w:rsidR="00D14D7A" w:rsidRPr="007339AE">
              <w:rPr>
                <w:rFonts w:ascii="Times New Roman" w:eastAsia="Times New Roman" w:hAnsi="Times New Roman"/>
                <w:i/>
                <w:szCs w:val="22"/>
              </w:rPr>
              <w:t>Europe</w:t>
            </w:r>
            <w:proofErr w:type="spellEnd"/>
            <w:r>
              <w:rPr>
                <w:rFonts w:ascii="Times New Roman" w:eastAsia="Times New Roman" w:hAnsi="Times New Roman"/>
                <w:szCs w:val="22"/>
              </w:rPr>
              <w:t>)</w:t>
            </w:r>
            <w:r w:rsidR="00D14D7A" w:rsidRPr="00650EE4">
              <w:rPr>
                <w:rFonts w:ascii="Times New Roman" w:eastAsia="Times New Roman" w:hAnsi="Times New Roman"/>
                <w:szCs w:val="22"/>
              </w:rPr>
              <w:t xml:space="preserve"> </w:t>
            </w:r>
          </w:p>
        </w:tc>
      </w:tr>
      <w:tr w:rsidR="00D14D7A" w:rsidRPr="00650EE4" w14:paraId="73BEB8EB" w14:textId="77777777" w:rsidTr="00BD4F87">
        <w:trPr>
          <w:trHeight w:val="300"/>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79573ECF" w14:textId="48291E5F" w:rsidR="00D14D7A" w:rsidRPr="00650EE4" w:rsidRDefault="00D14D7A" w:rsidP="00D14D7A">
            <w:pPr>
              <w:rPr>
                <w:rFonts w:ascii="Times New Roman" w:eastAsia="Times New Roman" w:hAnsi="Times New Roman"/>
                <w:szCs w:val="22"/>
                <w:lang w:eastAsia="lt-LT"/>
              </w:rPr>
            </w:pPr>
            <w:proofErr w:type="spellStart"/>
            <w:r w:rsidRPr="00650EE4">
              <w:rPr>
                <w:rFonts w:ascii="Times New Roman" w:eastAsia="Times New Roman" w:hAnsi="Times New Roman"/>
                <w:szCs w:val="22"/>
              </w:rPr>
              <w:t>Cost-optimal</w:t>
            </w:r>
            <w:proofErr w:type="spellEnd"/>
            <w:r w:rsidRPr="00650EE4">
              <w:rPr>
                <w:rFonts w:ascii="Times New Roman" w:eastAsia="Times New Roman" w:hAnsi="Times New Roman"/>
                <w:szCs w:val="22"/>
              </w:rPr>
              <w:t xml:space="preserve"> studija</w:t>
            </w:r>
          </w:p>
        </w:tc>
        <w:tc>
          <w:tcPr>
            <w:tcW w:w="8030" w:type="dxa"/>
            <w:shd w:val="clear" w:color="auto" w:fill="auto"/>
            <w:vAlign w:val="center"/>
          </w:tcPr>
          <w:p w14:paraId="23118F99" w14:textId="5E25600E"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eastAsia="lt-LT"/>
              </w:rPr>
            </w:pPr>
            <w:r w:rsidRPr="00650EE4">
              <w:rPr>
                <w:rFonts w:ascii="Times New Roman" w:eastAsia="Times New Roman" w:hAnsi="Times New Roman"/>
                <w:szCs w:val="22"/>
              </w:rPr>
              <w:t>Studija dėl sąnaudų atžvilgiu optimalių minimalių energinio naudingumo reikalavimų lygių, pagal lyginamosios metodikos principus, nurodytus 2012-01-16 Europos komisijos deleguotajame reglamente (ES) Nr. 244/2012, nustatymo pastatams</w:t>
            </w:r>
          </w:p>
        </w:tc>
      </w:tr>
      <w:tr w:rsidR="00D14D7A" w:rsidRPr="00650EE4" w14:paraId="06D108BC" w14:textId="77777777" w:rsidTr="00BD4F8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79500DCE" w14:textId="4EE4702D"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CŠT</w:t>
            </w:r>
          </w:p>
        </w:tc>
        <w:tc>
          <w:tcPr>
            <w:tcW w:w="8030" w:type="dxa"/>
            <w:tcBorders>
              <w:top w:val="none" w:sz="0" w:space="0" w:color="auto"/>
              <w:bottom w:val="none" w:sz="0" w:space="0" w:color="auto"/>
              <w:right w:val="none" w:sz="0" w:space="0" w:color="auto"/>
            </w:tcBorders>
            <w:shd w:val="clear" w:color="auto" w:fill="auto"/>
            <w:vAlign w:val="center"/>
          </w:tcPr>
          <w:p w14:paraId="0F2E85D5" w14:textId="046ECCDA"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rPr>
            </w:pPr>
            <w:r w:rsidRPr="00650EE4">
              <w:rPr>
                <w:rFonts w:ascii="Times New Roman" w:eastAsia="Times New Roman" w:hAnsi="Times New Roman"/>
                <w:szCs w:val="22"/>
              </w:rPr>
              <w:t>Centralizuotos šilumos tiekimas</w:t>
            </w:r>
          </w:p>
        </w:tc>
      </w:tr>
      <w:tr w:rsidR="00D14D7A" w:rsidRPr="00650EE4" w14:paraId="2B9352D3"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27C794C1" w14:textId="315573FC"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EBNP</w:t>
            </w:r>
          </w:p>
        </w:tc>
        <w:tc>
          <w:tcPr>
            <w:tcW w:w="8030" w:type="dxa"/>
            <w:shd w:val="clear" w:color="auto" w:fill="auto"/>
            <w:vAlign w:val="center"/>
          </w:tcPr>
          <w:p w14:paraId="2EA28349" w14:textId="1FAB318D"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Energijos beveik nevartojantis pastatas (-ai)</w:t>
            </w:r>
          </w:p>
        </w:tc>
      </w:tr>
      <w:tr w:rsidR="00D14D7A" w:rsidRPr="00650EE4" w14:paraId="7548C25C"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D187A8B" w14:textId="4F00F959"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EBPO</w:t>
            </w:r>
          </w:p>
        </w:tc>
        <w:tc>
          <w:tcPr>
            <w:tcW w:w="8030" w:type="dxa"/>
            <w:tcBorders>
              <w:top w:val="none" w:sz="0" w:space="0" w:color="auto"/>
              <w:bottom w:val="none" w:sz="0" w:space="0" w:color="auto"/>
              <w:right w:val="none" w:sz="0" w:space="0" w:color="auto"/>
            </w:tcBorders>
            <w:shd w:val="clear" w:color="auto" w:fill="auto"/>
            <w:vAlign w:val="center"/>
          </w:tcPr>
          <w:p w14:paraId="1F21F88B" w14:textId="6006FB5C" w:rsidR="00D14D7A" w:rsidRPr="00650EE4" w:rsidRDefault="00D14D7A" w:rsidP="00D14D7A">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Ekonominio bendradarbiavimo ir plėtros asociacija</w:t>
            </w:r>
          </w:p>
        </w:tc>
      </w:tr>
      <w:tr w:rsidR="00D14D7A" w:rsidRPr="00650EE4" w14:paraId="631D3B0F" w14:textId="77777777" w:rsidTr="00BD4F87">
        <w:trPr>
          <w:trHeight w:val="181"/>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4DDD312F" w14:textId="39B4A688"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EM</w:t>
            </w:r>
          </w:p>
        </w:tc>
        <w:tc>
          <w:tcPr>
            <w:tcW w:w="8030" w:type="dxa"/>
            <w:shd w:val="clear" w:color="auto" w:fill="auto"/>
            <w:vAlign w:val="center"/>
          </w:tcPr>
          <w:p w14:paraId="39B4AB52" w14:textId="68F66E18"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Energetikos ministerija</w:t>
            </w:r>
          </w:p>
        </w:tc>
      </w:tr>
      <w:tr w:rsidR="00A603F1" w:rsidRPr="00650EE4" w14:paraId="78361634" w14:textId="77777777" w:rsidTr="00CD6BF3">
        <w:trPr>
          <w:cnfStyle w:val="000000100000" w:firstRow="0" w:lastRow="0" w:firstColumn="0" w:lastColumn="0" w:oddVBand="0" w:evenVBand="0" w:oddHBand="1" w:evenHBand="0" w:firstRowFirstColumn="0" w:firstRowLastColumn="0" w:lastRowFirstColumn="0" w:lastRowLastColumn="0"/>
          <w:trHeight w:val="181"/>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4F9D14D2" w14:textId="5C9E05A4" w:rsidR="00A603F1" w:rsidRPr="00650EE4" w:rsidRDefault="00A603F1" w:rsidP="00D14D7A">
            <w:pPr>
              <w:rPr>
                <w:rFonts w:ascii="Times New Roman" w:eastAsia="Times New Roman" w:hAnsi="Times New Roman"/>
                <w:szCs w:val="22"/>
              </w:rPr>
            </w:pPr>
            <w:r>
              <w:rPr>
                <w:rFonts w:ascii="Times New Roman" w:eastAsia="Times New Roman" w:hAnsi="Times New Roman"/>
                <w:szCs w:val="22"/>
              </w:rPr>
              <w:t>ENK</w:t>
            </w:r>
          </w:p>
        </w:tc>
        <w:tc>
          <w:tcPr>
            <w:tcW w:w="8030" w:type="dxa"/>
            <w:tcBorders>
              <w:top w:val="none" w:sz="0" w:space="0" w:color="auto"/>
              <w:bottom w:val="none" w:sz="0" w:space="0" w:color="auto"/>
              <w:right w:val="none" w:sz="0" w:space="0" w:color="auto"/>
            </w:tcBorders>
            <w:shd w:val="clear" w:color="auto" w:fill="auto"/>
            <w:vAlign w:val="center"/>
          </w:tcPr>
          <w:p w14:paraId="5834AF4E" w14:textId="7C9B7C55" w:rsidR="00A603F1" w:rsidRPr="00650EE4" w:rsidRDefault="00073199"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lt-LT"/>
              </w:rPr>
            </w:pPr>
            <w:r>
              <w:rPr>
                <w:rFonts w:ascii="Times New Roman" w:eastAsia="Times New Roman" w:hAnsi="Times New Roman"/>
                <w:szCs w:val="22"/>
                <w:lang w:val="lt-LT"/>
              </w:rPr>
              <w:t>Energinio naudingumo klasė</w:t>
            </w:r>
          </w:p>
        </w:tc>
      </w:tr>
      <w:tr w:rsidR="00D14D7A" w:rsidRPr="00650EE4" w14:paraId="4B64AC44"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736F9938" w14:textId="5179C568" w:rsidR="00D14D7A" w:rsidRPr="00650EE4" w:rsidRDefault="00D14D7A" w:rsidP="00D14D7A">
            <w:pPr>
              <w:rPr>
                <w:rFonts w:ascii="Times New Roman" w:hAnsi="Times New Roman"/>
                <w:b w:val="0"/>
                <w:bCs w:val="0"/>
                <w:color w:val="000000" w:themeColor="text1"/>
                <w:szCs w:val="22"/>
              </w:rPr>
            </w:pPr>
            <w:r w:rsidRPr="00650EE4">
              <w:rPr>
                <w:rFonts w:ascii="Times New Roman" w:eastAsia="Times New Roman" w:hAnsi="Times New Roman"/>
                <w:szCs w:val="22"/>
              </w:rPr>
              <w:t>EVED</w:t>
            </w:r>
          </w:p>
        </w:tc>
        <w:tc>
          <w:tcPr>
            <w:tcW w:w="8030" w:type="dxa"/>
            <w:shd w:val="clear" w:color="auto" w:fill="auto"/>
            <w:vAlign w:val="center"/>
          </w:tcPr>
          <w:p w14:paraId="1B55F354" w14:textId="06EE6637" w:rsidR="00D14D7A" w:rsidRPr="00650EE4" w:rsidRDefault="00D14D7A" w:rsidP="00D14D7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olor w:val="000000" w:themeColor="text1"/>
                <w:szCs w:val="22"/>
                <w:lang w:eastAsia="lt-LT"/>
              </w:rPr>
            </w:pPr>
            <w:r w:rsidRPr="00650EE4">
              <w:rPr>
                <w:rFonts w:ascii="Times New Roman" w:eastAsia="Times New Roman" w:hAnsi="Times New Roman"/>
                <w:szCs w:val="22"/>
              </w:rPr>
              <w:t>Direktyva 2012/27/ES dėl energijos vartojimo efektyvumo, kuria iš dalies keičiamos direktyvos 2009/125/EB ir 2010/30/ES bei kuria panaikinamos direktyvos 2004/8/EB ir 2006/32/EB</w:t>
            </w:r>
          </w:p>
        </w:tc>
      </w:tr>
      <w:tr w:rsidR="00D14D7A" w:rsidRPr="00650EE4" w14:paraId="7A468A71"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703182DE" w14:textId="17DF957E"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IRS</w:t>
            </w:r>
          </w:p>
        </w:tc>
        <w:tc>
          <w:tcPr>
            <w:tcW w:w="8030" w:type="dxa"/>
            <w:tcBorders>
              <w:top w:val="none" w:sz="0" w:space="0" w:color="auto"/>
              <w:bottom w:val="none" w:sz="0" w:space="0" w:color="auto"/>
              <w:right w:val="none" w:sz="0" w:space="0" w:color="auto"/>
            </w:tcBorders>
            <w:shd w:val="clear" w:color="auto" w:fill="auto"/>
            <w:vAlign w:val="center"/>
          </w:tcPr>
          <w:p w14:paraId="36767A81" w14:textId="2EEB3E41" w:rsidR="00D14D7A" w:rsidRPr="00650EE4" w:rsidRDefault="00D14D7A" w:rsidP="00EE0EF6">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Ilgalaikė</w:t>
            </w:r>
            <w:r w:rsidR="00F32C43">
              <w:rPr>
                <w:rFonts w:ascii="Times New Roman" w:eastAsia="Times New Roman" w:hAnsi="Times New Roman"/>
                <w:szCs w:val="22"/>
                <w:lang w:val="lt-LT"/>
              </w:rPr>
              <w:t xml:space="preserve"> </w:t>
            </w:r>
            <w:r w:rsidRPr="00650EE4">
              <w:rPr>
                <w:rFonts w:ascii="Times New Roman" w:eastAsia="Times New Roman" w:hAnsi="Times New Roman"/>
                <w:szCs w:val="22"/>
                <w:lang w:val="lt-LT"/>
              </w:rPr>
              <w:t>renovacijos strategija</w:t>
            </w:r>
          </w:p>
        </w:tc>
      </w:tr>
      <w:tr w:rsidR="00D14D7A" w:rsidRPr="00650EE4" w14:paraId="69EA4A13"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6808EC63" w14:textId="151A1A38"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LŠTA</w:t>
            </w:r>
          </w:p>
        </w:tc>
        <w:tc>
          <w:tcPr>
            <w:tcW w:w="8030" w:type="dxa"/>
            <w:shd w:val="clear" w:color="auto" w:fill="auto"/>
            <w:vAlign w:val="center"/>
          </w:tcPr>
          <w:p w14:paraId="39616EF4" w14:textId="4F54E172"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Lietuvos šilumos tiekėjų asociacija</w:t>
            </w:r>
          </w:p>
        </w:tc>
      </w:tr>
      <w:tr w:rsidR="00D14D7A" w:rsidRPr="00650EE4" w14:paraId="35C514F1"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33E2DBD" w14:textId="3A2D9002"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NECP</w:t>
            </w:r>
          </w:p>
        </w:tc>
        <w:tc>
          <w:tcPr>
            <w:tcW w:w="8030" w:type="dxa"/>
            <w:tcBorders>
              <w:top w:val="none" w:sz="0" w:space="0" w:color="auto"/>
              <w:bottom w:val="none" w:sz="0" w:space="0" w:color="auto"/>
              <w:right w:val="none" w:sz="0" w:space="0" w:color="auto"/>
            </w:tcBorders>
            <w:shd w:val="clear" w:color="auto" w:fill="auto"/>
            <w:vAlign w:val="center"/>
          </w:tcPr>
          <w:p w14:paraId="236D5E3D" w14:textId="21CBFF8F"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Nacionalinis energetikos ir klimato srities veiksmų planas 2021-2030 m.</w:t>
            </w:r>
          </w:p>
        </w:tc>
      </w:tr>
      <w:tr w:rsidR="00A603F1" w:rsidRPr="00650EE4" w14:paraId="56829B0D"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34BCD4F6" w14:textId="6B832141" w:rsidR="00A603F1" w:rsidRPr="00650EE4" w:rsidRDefault="00A603F1" w:rsidP="00D14D7A">
            <w:pPr>
              <w:rPr>
                <w:rFonts w:ascii="Times New Roman" w:eastAsia="Times New Roman" w:hAnsi="Times New Roman"/>
                <w:szCs w:val="22"/>
              </w:rPr>
            </w:pPr>
            <w:r>
              <w:rPr>
                <w:rFonts w:ascii="Times New Roman" w:eastAsia="Times New Roman" w:hAnsi="Times New Roman"/>
                <w:szCs w:val="22"/>
              </w:rPr>
              <w:t>NTR</w:t>
            </w:r>
          </w:p>
        </w:tc>
        <w:tc>
          <w:tcPr>
            <w:tcW w:w="8030" w:type="dxa"/>
            <w:shd w:val="clear" w:color="auto" w:fill="auto"/>
            <w:vAlign w:val="center"/>
          </w:tcPr>
          <w:p w14:paraId="4B42A361" w14:textId="671B5EC6" w:rsidR="00A603F1" w:rsidRPr="00650EE4" w:rsidRDefault="00073199"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lt-LT"/>
              </w:rPr>
            </w:pPr>
            <w:r>
              <w:rPr>
                <w:rFonts w:ascii="Times New Roman" w:eastAsia="Times New Roman" w:hAnsi="Times New Roman"/>
                <w:szCs w:val="22"/>
                <w:lang w:val="lt-LT"/>
              </w:rPr>
              <w:t>Nekilnojamojo turto registras</w:t>
            </w:r>
          </w:p>
        </w:tc>
      </w:tr>
      <w:tr w:rsidR="00D14D7A" w:rsidRPr="00650EE4" w14:paraId="7C3BF6D7"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64C11FAA" w14:textId="70527EAD"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Pakeitimo direktyva</w:t>
            </w:r>
          </w:p>
        </w:tc>
        <w:tc>
          <w:tcPr>
            <w:tcW w:w="8030" w:type="dxa"/>
            <w:tcBorders>
              <w:top w:val="none" w:sz="0" w:space="0" w:color="auto"/>
              <w:bottom w:val="none" w:sz="0" w:space="0" w:color="auto"/>
              <w:right w:val="none" w:sz="0" w:space="0" w:color="auto"/>
            </w:tcBorders>
            <w:shd w:val="clear" w:color="auto" w:fill="auto"/>
            <w:vAlign w:val="center"/>
          </w:tcPr>
          <w:p w14:paraId="5FE8ACD9" w14:textId="5991D6EA"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Tarybos direktyva (ES) 2018/844, kuria iš dalies keičiama Direktyva 2010/31/ES dėl pastatų energinio naudingumo ir Direktyva 2012/27/ES dėl energijos vartojimo efektyvumo</w:t>
            </w:r>
          </w:p>
        </w:tc>
      </w:tr>
      <w:tr w:rsidR="00D14D7A" w:rsidRPr="00650EE4" w14:paraId="2A0E6CF1"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23799988" w14:textId="4362A0E3"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Pastatų fondas</w:t>
            </w:r>
          </w:p>
        </w:tc>
        <w:tc>
          <w:tcPr>
            <w:tcW w:w="8030" w:type="dxa"/>
            <w:shd w:val="clear" w:color="auto" w:fill="auto"/>
            <w:vAlign w:val="center"/>
          </w:tcPr>
          <w:p w14:paraId="0B03C0F7" w14:textId="0ADECE47"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Nacionalinio pastatų fondo pastatai vartojantys šilumos energiją</w:t>
            </w:r>
          </w:p>
        </w:tc>
      </w:tr>
      <w:tr w:rsidR="00D14D7A" w:rsidRPr="00650EE4" w14:paraId="6E6F0BDB"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06762FA6" w14:textId="20457B7A"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PEN</w:t>
            </w:r>
          </w:p>
        </w:tc>
        <w:tc>
          <w:tcPr>
            <w:tcW w:w="8030" w:type="dxa"/>
            <w:tcBorders>
              <w:top w:val="none" w:sz="0" w:space="0" w:color="auto"/>
              <w:bottom w:val="none" w:sz="0" w:space="0" w:color="auto"/>
              <w:right w:val="none" w:sz="0" w:space="0" w:color="auto"/>
            </w:tcBorders>
            <w:shd w:val="clear" w:color="auto" w:fill="auto"/>
            <w:vAlign w:val="center"/>
          </w:tcPr>
          <w:p w14:paraId="7F0E9B76" w14:textId="7824AD98"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Pastato energinis naudingumas</w:t>
            </w:r>
          </w:p>
        </w:tc>
      </w:tr>
      <w:tr w:rsidR="00D14D7A" w:rsidRPr="00650EE4" w14:paraId="42CF3106"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3526B27E" w14:textId="41988781"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PEND</w:t>
            </w:r>
          </w:p>
        </w:tc>
        <w:tc>
          <w:tcPr>
            <w:tcW w:w="8030" w:type="dxa"/>
            <w:shd w:val="clear" w:color="auto" w:fill="auto"/>
            <w:vAlign w:val="center"/>
          </w:tcPr>
          <w:p w14:paraId="289A4ED6" w14:textId="0F08C35F"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Direktyva 2010/31/ES dėl pastatų energinio naudingumo ir 2018 m. gegužės 30 d. Europos Parlamento ir Tarybos direktyva (ES) 2018/844, kuria iš dalies keičiama Direktyva 2010/31/ES dėl pastatų energinio naudingumo ir Direktyva 2012/27/ES dėl energijos vartojimo efektyvumo</w:t>
            </w:r>
          </w:p>
        </w:tc>
      </w:tr>
      <w:tr w:rsidR="00D14D7A" w:rsidRPr="00650EE4" w14:paraId="4063AEB3"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1987F62" w14:textId="381C74C3"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RC</w:t>
            </w:r>
          </w:p>
        </w:tc>
        <w:tc>
          <w:tcPr>
            <w:tcW w:w="8030" w:type="dxa"/>
            <w:tcBorders>
              <w:top w:val="none" w:sz="0" w:space="0" w:color="auto"/>
              <w:bottom w:val="none" w:sz="0" w:space="0" w:color="auto"/>
              <w:right w:val="none" w:sz="0" w:space="0" w:color="auto"/>
            </w:tcBorders>
            <w:shd w:val="clear" w:color="auto" w:fill="auto"/>
            <w:vAlign w:val="center"/>
          </w:tcPr>
          <w:p w14:paraId="725BA206" w14:textId="52533730"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Valstybės įmonė „Registrų centras“</w:t>
            </w:r>
          </w:p>
        </w:tc>
      </w:tr>
      <w:tr w:rsidR="00D14D7A" w:rsidRPr="00650EE4" w14:paraId="120FAD62"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15665B42" w14:textId="061B0D2B" w:rsidR="00D14D7A" w:rsidRPr="00650EE4" w:rsidRDefault="00D14D7A" w:rsidP="00D14D7A">
            <w:pPr>
              <w:rPr>
                <w:rFonts w:ascii="Times New Roman" w:eastAsia="Times New Roman" w:hAnsi="Times New Roman"/>
                <w:b w:val="0"/>
                <w:bCs w:val="0"/>
                <w:szCs w:val="22"/>
                <w:lang w:eastAsia="lt-LT"/>
              </w:rPr>
            </w:pPr>
            <w:r w:rsidRPr="00650EE4">
              <w:rPr>
                <w:rFonts w:ascii="Times New Roman" w:eastAsia="Times New Roman" w:hAnsi="Times New Roman"/>
                <w:szCs w:val="22"/>
              </w:rPr>
              <w:t>RPR arba Rekomendacijos</w:t>
            </w:r>
          </w:p>
        </w:tc>
        <w:tc>
          <w:tcPr>
            <w:tcW w:w="8030" w:type="dxa"/>
            <w:shd w:val="clear" w:color="auto" w:fill="auto"/>
            <w:vAlign w:val="center"/>
          </w:tcPr>
          <w:p w14:paraId="12C7B24B" w14:textId="3F9B53C8"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Europos Komisijos 2019 m. gegužės 8 d. rekomendacija (ES) 2019/786 dėl pastatų renovacijos</w:t>
            </w:r>
          </w:p>
        </w:tc>
      </w:tr>
      <w:tr w:rsidR="00D14D7A" w:rsidRPr="00650EE4" w14:paraId="131F078E" w14:textId="77777777" w:rsidTr="00BD4F87">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4B31DFDE" w14:textId="5C4F4EC0" w:rsidR="00D14D7A" w:rsidRPr="00650EE4" w:rsidRDefault="00D14D7A" w:rsidP="00D14D7A">
            <w:pPr>
              <w:rPr>
                <w:rFonts w:ascii="Times New Roman" w:eastAsia="Times New Roman" w:hAnsi="Times New Roman"/>
                <w:b w:val="0"/>
                <w:bCs w:val="0"/>
                <w:color w:val="000000" w:themeColor="text1"/>
                <w:szCs w:val="22"/>
                <w:lang w:eastAsia="lt-LT"/>
              </w:rPr>
            </w:pPr>
            <w:r w:rsidRPr="00650EE4">
              <w:rPr>
                <w:rFonts w:ascii="Times New Roman" w:eastAsia="Times New Roman" w:hAnsi="Times New Roman"/>
                <w:szCs w:val="22"/>
              </w:rPr>
              <w:t>SPSC</w:t>
            </w:r>
          </w:p>
        </w:tc>
        <w:tc>
          <w:tcPr>
            <w:tcW w:w="8030" w:type="dxa"/>
            <w:tcBorders>
              <w:top w:val="none" w:sz="0" w:space="0" w:color="auto"/>
              <w:bottom w:val="none" w:sz="0" w:space="0" w:color="auto"/>
              <w:right w:val="none" w:sz="0" w:space="0" w:color="auto"/>
            </w:tcBorders>
            <w:shd w:val="clear" w:color="auto" w:fill="auto"/>
            <w:vAlign w:val="center"/>
          </w:tcPr>
          <w:p w14:paraId="5366357E" w14:textId="62B5F0FF"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000000" w:themeColor="text1"/>
                <w:szCs w:val="22"/>
                <w:lang w:val="lt-LT"/>
              </w:rPr>
            </w:pPr>
            <w:r w:rsidRPr="00650EE4">
              <w:rPr>
                <w:rFonts w:ascii="Times New Roman" w:eastAsia="Times New Roman" w:hAnsi="Times New Roman"/>
                <w:szCs w:val="22"/>
                <w:lang w:val="lt-LT"/>
              </w:rPr>
              <w:t>Valstybės įmonė „Statybos produkcijos sertifikavimo centras“</w:t>
            </w:r>
          </w:p>
        </w:tc>
      </w:tr>
      <w:tr w:rsidR="00D14D7A" w:rsidRPr="00650EE4" w14:paraId="6231C425" w14:textId="77777777" w:rsidTr="00BD4F87">
        <w:trPr>
          <w:trHeight w:val="54"/>
          <w:jc w:val="center"/>
        </w:trPr>
        <w:tc>
          <w:tcPr>
            <w:cnfStyle w:val="001000000000" w:firstRow="0" w:lastRow="0" w:firstColumn="1" w:lastColumn="0" w:oddVBand="0" w:evenVBand="0" w:oddHBand="0" w:evenHBand="0" w:firstRowFirstColumn="0" w:firstRowLastColumn="0" w:lastRowFirstColumn="0" w:lastRowLastColumn="0"/>
            <w:tcW w:w="2390" w:type="dxa"/>
            <w:shd w:val="clear" w:color="auto" w:fill="auto"/>
            <w:vAlign w:val="center"/>
          </w:tcPr>
          <w:p w14:paraId="47BC35FF" w14:textId="75D8A5AF"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ŠESD</w:t>
            </w:r>
          </w:p>
        </w:tc>
        <w:tc>
          <w:tcPr>
            <w:tcW w:w="8030" w:type="dxa"/>
            <w:shd w:val="clear" w:color="auto" w:fill="auto"/>
            <w:vAlign w:val="center"/>
          </w:tcPr>
          <w:p w14:paraId="1A705320" w14:textId="5F82DDC3" w:rsidR="00D14D7A" w:rsidRPr="00650EE4" w:rsidRDefault="00D14D7A" w:rsidP="00D14D7A">
            <w:pPr>
              <w:pStyle w:val="BodyText"/>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Cs w:val="22"/>
                <w:lang w:val="lt-LT" w:eastAsia="lt-LT"/>
              </w:rPr>
            </w:pPr>
            <w:r w:rsidRPr="00650EE4">
              <w:rPr>
                <w:rFonts w:ascii="Times New Roman" w:eastAsia="Times New Roman" w:hAnsi="Times New Roman"/>
                <w:szCs w:val="22"/>
                <w:lang w:val="lt-LT"/>
              </w:rPr>
              <w:t>Šiltnamio efektą sukeliančios dujos</w:t>
            </w:r>
          </w:p>
        </w:tc>
      </w:tr>
      <w:tr w:rsidR="00D14D7A" w:rsidRPr="00650EE4" w14:paraId="232C1C0B" w14:textId="77777777" w:rsidTr="00CD6BF3">
        <w:trPr>
          <w:cnfStyle w:val="000000100000" w:firstRow="0" w:lastRow="0" w:firstColumn="0" w:lastColumn="0" w:oddVBand="0" w:evenVBand="0" w:oddHBand="1" w:evenHBand="0" w:firstRowFirstColumn="0" w:firstRowLastColumn="0" w:lastRowFirstColumn="0" w:lastRowLastColumn="0"/>
          <w:trHeight w:val="54"/>
          <w:jc w:val="center"/>
        </w:trPr>
        <w:tc>
          <w:tcPr>
            <w:cnfStyle w:val="001000000000" w:firstRow="0" w:lastRow="0" w:firstColumn="1" w:lastColumn="0" w:oddVBand="0" w:evenVBand="0" w:oddHBand="0" w:evenHBand="0" w:firstRowFirstColumn="0" w:firstRowLastColumn="0" w:lastRowFirstColumn="0" w:lastRowLastColumn="0"/>
            <w:tcW w:w="2390" w:type="dxa"/>
            <w:tcBorders>
              <w:top w:val="none" w:sz="0" w:space="0" w:color="auto"/>
              <w:left w:val="none" w:sz="0" w:space="0" w:color="auto"/>
              <w:bottom w:val="none" w:sz="0" w:space="0" w:color="auto"/>
            </w:tcBorders>
            <w:shd w:val="clear" w:color="auto" w:fill="auto"/>
            <w:vAlign w:val="center"/>
          </w:tcPr>
          <w:p w14:paraId="2BBC33F4" w14:textId="75F4141C" w:rsidR="00D14D7A" w:rsidRPr="00650EE4" w:rsidRDefault="00D14D7A" w:rsidP="00D14D7A">
            <w:pPr>
              <w:rPr>
                <w:rFonts w:ascii="Times New Roman" w:eastAsia="Times New Roman" w:hAnsi="Times New Roman"/>
                <w:szCs w:val="22"/>
                <w:lang w:eastAsia="lt-LT"/>
              </w:rPr>
            </w:pPr>
            <w:r w:rsidRPr="00650EE4">
              <w:rPr>
                <w:rFonts w:ascii="Times New Roman" w:eastAsia="Times New Roman" w:hAnsi="Times New Roman"/>
                <w:szCs w:val="22"/>
              </w:rPr>
              <w:t>Žaliasis kursas</w:t>
            </w:r>
          </w:p>
        </w:tc>
        <w:tc>
          <w:tcPr>
            <w:tcW w:w="8030" w:type="dxa"/>
            <w:tcBorders>
              <w:top w:val="none" w:sz="0" w:space="0" w:color="auto"/>
              <w:bottom w:val="none" w:sz="0" w:space="0" w:color="auto"/>
              <w:right w:val="none" w:sz="0" w:space="0" w:color="auto"/>
            </w:tcBorders>
            <w:shd w:val="clear" w:color="auto" w:fill="auto"/>
            <w:vAlign w:val="center"/>
          </w:tcPr>
          <w:p w14:paraId="6E21D66E" w14:textId="38B83800" w:rsidR="00D14D7A" w:rsidRPr="00650EE4" w:rsidRDefault="00D14D7A" w:rsidP="00D14D7A">
            <w:pPr>
              <w:pStyle w:val="BodyText"/>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Cs w:val="22"/>
                <w:lang w:val="lt-LT" w:eastAsia="lt-LT"/>
              </w:rPr>
            </w:pPr>
            <w:r w:rsidRPr="00650EE4">
              <w:rPr>
                <w:rFonts w:ascii="Times New Roman" w:eastAsia="Times New Roman" w:hAnsi="Times New Roman"/>
                <w:szCs w:val="22"/>
                <w:lang w:val="lt-LT"/>
              </w:rPr>
              <w:t>Europos žaliasis kursas – veiksmų gairės, kaip užtikrinti ES ekonomikos tvarumą, kartu klimato ir aplinkos problemas paverčiant galimybėmis visose politikos srityse ir užtikrinant, kad perėjimas būtų teisingas ir įtraukus visiems.</w:t>
            </w:r>
          </w:p>
        </w:tc>
      </w:tr>
    </w:tbl>
    <w:p w14:paraId="16A361FC" w14:textId="77777777" w:rsidR="0097764B" w:rsidRPr="00650EE4" w:rsidRDefault="0097764B" w:rsidP="0097764B">
      <w:pPr>
        <w:pStyle w:val="BodyText"/>
        <w:rPr>
          <w:rFonts w:ascii="Times New Roman" w:hAnsi="Times New Roman"/>
          <w:color w:val="000000" w:themeColor="text1"/>
          <w:lang w:val="lt-LT"/>
        </w:rPr>
      </w:pPr>
    </w:p>
    <w:p w14:paraId="7B2E94B6" w14:textId="78BB5C8E" w:rsidR="00D464D7" w:rsidRPr="00650EE4" w:rsidRDefault="00D464D7" w:rsidP="0097764B">
      <w:pPr>
        <w:pStyle w:val="BodyText"/>
        <w:rPr>
          <w:rFonts w:ascii="Times New Roman" w:hAnsi="Times New Roman"/>
          <w:color w:val="000000" w:themeColor="text1"/>
          <w:lang w:val="lt-LT"/>
        </w:rPr>
      </w:pPr>
    </w:p>
    <w:p w14:paraId="7A1A1BC7" w14:textId="77777777" w:rsidR="00D464D7" w:rsidRPr="00650EE4" w:rsidRDefault="00D464D7" w:rsidP="0097764B">
      <w:pPr>
        <w:pStyle w:val="BodyText"/>
        <w:rPr>
          <w:rFonts w:ascii="Times New Roman" w:hAnsi="Times New Roman"/>
          <w:color w:val="000000" w:themeColor="text1"/>
          <w:lang w:val="lt-LT"/>
        </w:rPr>
      </w:pPr>
    </w:p>
    <w:p w14:paraId="1BEF91FD" w14:textId="77777777" w:rsidR="00D464D7" w:rsidRPr="00650EE4" w:rsidRDefault="00D464D7" w:rsidP="0097764B">
      <w:pPr>
        <w:pStyle w:val="BodyText"/>
        <w:rPr>
          <w:rFonts w:ascii="Times New Roman" w:hAnsi="Times New Roman"/>
          <w:color w:val="000000" w:themeColor="text1"/>
          <w:lang w:val="lt-LT"/>
        </w:rPr>
      </w:pPr>
    </w:p>
    <w:p w14:paraId="6FC5D0A2" w14:textId="56A891D6" w:rsidR="00D464D7" w:rsidRPr="00650EE4" w:rsidRDefault="00D464D7" w:rsidP="0097764B">
      <w:pPr>
        <w:pStyle w:val="BodyText"/>
        <w:rPr>
          <w:rFonts w:ascii="Times New Roman" w:hAnsi="Times New Roman"/>
          <w:color w:val="000000" w:themeColor="text1"/>
          <w:lang w:val="lt-LT"/>
        </w:rPr>
        <w:sectPr w:rsidR="00D464D7" w:rsidRPr="00650EE4" w:rsidSect="005D032A">
          <w:headerReference w:type="default" r:id="rId17"/>
          <w:pgSz w:w="11906" w:h="16838" w:code="9"/>
          <w:pgMar w:top="851" w:right="851" w:bottom="851" w:left="851" w:header="567" w:footer="567" w:gutter="0"/>
          <w:cols w:space="708"/>
          <w:docGrid w:linePitch="360"/>
        </w:sectPr>
      </w:pPr>
    </w:p>
    <w:p w14:paraId="46670393" w14:textId="507B4DA0" w:rsidR="00900B9F" w:rsidRPr="00650EE4" w:rsidRDefault="00900B9F" w:rsidP="00900B9F">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9" w:name="_Toc59107498"/>
      <w:r w:rsidRPr="00650EE4">
        <w:rPr>
          <w:rFonts w:ascii="Times New Roman" w:hAnsi="Times New Roman"/>
          <w:color w:val="002060"/>
          <w:sz w:val="24"/>
          <w:szCs w:val="24"/>
        </w:rPr>
        <w:lastRenderedPageBreak/>
        <w:t>SANTRAUKA</w:t>
      </w:r>
      <w:bookmarkEnd w:id="9"/>
    </w:p>
    <w:p w14:paraId="5B27BE2F" w14:textId="77777777" w:rsidR="003C2EE9" w:rsidRPr="00650EE4" w:rsidRDefault="003C2EE9" w:rsidP="003C2EE9">
      <w:pPr>
        <w:spacing w:after="120"/>
        <w:jc w:val="both"/>
        <w:rPr>
          <w:rFonts w:ascii="Times New Roman" w:hAnsi="Times New Roman"/>
          <w:szCs w:val="22"/>
        </w:rPr>
      </w:pPr>
      <w:r w:rsidRPr="00650EE4">
        <w:rPr>
          <w:rFonts w:ascii="Times New Roman" w:hAnsi="Times New Roman"/>
          <w:szCs w:val="22"/>
        </w:rPr>
        <w:t>Pagal 2018 m. gegužės 30 d. Europos Parlamento ir Tarybos direktyvą (ES) 2018/844 (Pakeitimo direktyva), kuria iš dalies keičiama Direktyva 2010/31/ES dėl pastatų energinio naudingumo (PEND) ir Direktyva 2012/27/ES dėl energijos vartojimo efektyvumo (EVED), Lietuva turi pasirengti Ilgalaikę renovacijos strategiją, kuria būtų remiama nacionalinio pastatų ūkio renovacija, užtikrinant, kad:</w:t>
      </w:r>
    </w:p>
    <w:p w14:paraId="1EB7E9DE" w14:textId="13569D79" w:rsidR="003C2EE9" w:rsidRPr="00650EE4" w:rsidRDefault="0068790A" w:rsidP="00BD4925">
      <w:pPr>
        <w:pStyle w:val="ListParagraph"/>
        <w:numPr>
          <w:ilvl w:val="0"/>
          <w:numId w:val="66"/>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p</w:t>
      </w:r>
      <w:r w:rsidR="003C2EE9" w:rsidRPr="00650EE4">
        <w:rPr>
          <w:rFonts w:ascii="Times New Roman" w:hAnsi="Times New Roman"/>
          <w:szCs w:val="22"/>
          <w:lang w:val="lt-LT"/>
        </w:rPr>
        <w:t>astatų ūkyje energija būtų vartojama ypač efektyviai;</w:t>
      </w:r>
    </w:p>
    <w:p w14:paraId="1093A67E" w14:textId="1B27918D" w:rsidR="003C2EE9" w:rsidRPr="00650EE4" w:rsidRDefault="0068790A" w:rsidP="00BD4925">
      <w:pPr>
        <w:pStyle w:val="ListParagraph"/>
        <w:numPr>
          <w:ilvl w:val="0"/>
          <w:numId w:val="66"/>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p</w:t>
      </w:r>
      <w:r w:rsidR="003C2EE9" w:rsidRPr="00650EE4">
        <w:rPr>
          <w:rFonts w:ascii="Times New Roman" w:hAnsi="Times New Roman"/>
          <w:szCs w:val="22"/>
          <w:lang w:val="lt-LT"/>
        </w:rPr>
        <w:t>ast</w:t>
      </w:r>
      <w:r w:rsidR="00F34B3B">
        <w:rPr>
          <w:rFonts w:ascii="Times New Roman" w:hAnsi="Times New Roman"/>
          <w:szCs w:val="22"/>
          <w:lang w:val="lt-LT"/>
        </w:rPr>
        <w:t>at</w:t>
      </w:r>
      <w:r w:rsidR="003C2EE9" w:rsidRPr="00650EE4">
        <w:rPr>
          <w:rFonts w:ascii="Times New Roman" w:hAnsi="Times New Roman"/>
          <w:szCs w:val="22"/>
          <w:lang w:val="lt-LT"/>
        </w:rPr>
        <w:t>ų ūkis iki 2050 m. taptų nep</w:t>
      </w:r>
      <w:r>
        <w:rPr>
          <w:rFonts w:ascii="Times New Roman" w:hAnsi="Times New Roman"/>
          <w:szCs w:val="22"/>
          <w:lang w:val="lt-LT"/>
        </w:rPr>
        <w:t>riklausomas nuo iškastinio kuro;</w:t>
      </w:r>
      <w:r w:rsidR="003C2EE9" w:rsidRPr="00650EE4">
        <w:rPr>
          <w:rFonts w:ascii="Times New Roman" w:hAnsi="Times New Roman"/>
          <w:szCs w:val="22"/>
          <w:lang w:val="lt-LT"/>
        </w:rPr>
        <w:t xml:space="preserve"> </w:t>
      </w:r>
    </w:p>
    <w:p w14:paraId="0B66F622" w14:textId="088114A9" w:rsidR="003C2EE9" w:rsidRPr="00650EE4" w:rsidRDefault="0068790A" w:rsidP="00BD4925">
      <w:pPr>
        <w:pStyle w:val="ListParagraph"/>
        <w:numPr>
          <w:ilvl w:val="0"/>
          <w:numId w:val="66"/>
        </w:numPr>
        <w:spacing w:after="120"/>
        <w:ind w:left="714" w:hanging="357"/>
        <w:contextualSpacing w:val="0"/>
        <w:jc w:val="both"/>
        <w:rPr>
          <w:rFonts w:ascii="Times New Roman" w:hAnsi="Times New Roman"/>
          <w:szCs w:val="22"/>
          <w:lang w:val="lt-LT"/>
        </w:rPr>
      </w:pPr>
      <w:r>
        <w:rPr>
          <w:rFonts w:ascii="Times New Roman" w:hAnsi="Times New Roman"/>
          <w:szCs w:val="22"/>
          <w:lang w:val="lt-LT"/>
        </w:rPr>
        <w:t>s</w:t>
      </w:r>
      <w:r w:rsidR="003C2EE9" w:rsidRPr="00650EE4">
        <w:rPr>
          <w:rFonts w:ascii="Times New Roman" w:hAnsi="Times New Roman"/>
          <w:szCs w:val="22"/>
          <w:lang w:val="lt-LT"/>
        </w:rPr>
        <w:t>udaromos palankios sąlygos ekonomiškai efektyviam esamų pastatų pertvarkymui į beveik nulinės energijos pastatus.</w:t>
      </w:r>
    </w:p>
    <w:p w14:paraId="74A933C0" w14:textId="3B00BB7A" w:rsidR="003C2EE9" w:rsidRPr="00650EE4" w:rsidRDefault="003C2EE9" w:rsidP="003C2EE9">
      <w:pPr>
        <w:spacing w:before="240" w:after="120"/>
        <w:jc w:val="both"/>
        <w:rPr>
          <w:rFonts w:ascii="Times New Roman" w:hAnsi="Times New Roman"/>
          <w:b/>
          <w:bCs/>
          <w:sz w:val="24"/>
          <w:szCs w:val="24"/>
        </w:rPr>
      </w:pPr>
      <w:r w:rsidRPr="00650EE4">
        <w:rPr>
          <w:rFonts w:ascii="Times New Roman" w:hAnsi="Times New Roman"/>
          <w:b/>
          <w:bCs/>
          <w:sz w:val="24"/>
          <w:szCs w:val="24"/>
        </w:rPr>
        <w:t xml:space="preserve">Nacionalinio pastatų fondo </w:t>
      </w:r>
      <w:r w:rsidR="0061497C">
        <w:rPr>
          <w:rFonts w:ascii="Times New Roman" w:hAnsi="Times New Roman"/>
          <w:b/>
          <w:bCs/>
          <w:sz w:val="24"/>
          <w:szCs w:val="24"/>
        </w:rPr>
        <w:t>apžvalga</w:t>
      </w:r>
    </w:p>
    <w:p w14:paraId="3B363452" w14:textId="2434463F" w:rsidR="003C2EE9" w:rsidRPr="00650EE4" w:rsidRDefault="003C2EE9" w:rsidP="00D30008">
      <w:pPr>
        <w:spacing w:after="24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2019 m. gruodžio 31 d. NTR duomenimis Lietuvoje buvo registruota 2,6 mln. vnt. pastatų, kurių</w:t>
      </w:r>
      <w:r w:rsidR="009A79EA">
        <w:rPr>
          <w:rFonts w:ascii="Times New Roman" w:hAnsi="Times New Roman"/>
          <w:color w:val="000000" w:themeColor="text1"/>
          <w:szCs w:val="22"/>
        </w:rPr>
        <w:t xml:space="preserve"> bendras plotas sudarė 235,3</w:t>
      </w:r>
      <w:r w:rsidRPr="00650EE4">
        <w:rPr>
          <w:rFonts w:ascii="Times New Roman" w:hAnsi="Times New Roman"/>
          <w:color w:val="000000" w:themeColor="text1"/>
          <w:szCs w:val="22"/>
        </w:rPr>
        <w:t xml:space="preserve"> mln. m</w:t>
      </w:r>
      <w:r w:rsidRPr="00650EE4">
        <w:rPr>
          <w:rFonts w:ascii="Times New Roman" w:hAnsi="Times New Roman"/>
          <w:color w:val="000000" w:themeColor="text1"/>
          <w:szCs w:val="22"/>
          <w:vertAlign w:val="superscript"/>
        </w:rPr>
        <w:t>2</w:t>
      </w:r>
      <w:r w:rsidRPr="00650EE4">
        <w:rPr>
          <w:rFonts w:ascii="Times New Roman" w:hAnsi="Times New Roman"/>
          <w:color w:val="000000" w:themeColor="text1"/>
          <w:szCs w:val="22"/>
        </w:rPr>
        <w:t xml:space="preserve">. </w:t>
      </w:r>
      <w:r w:rsidR="00A603F1">
        <w:rPr>
          <w:rFonts w:ascii="Times New Roman" w:hAnsi="Times New Roman"/>
          <w:color w:val="000000" w:themeColor="text1"/>
          <w:szCs w:val="22"/>
        </w:rPr>
        <w:t>Strategijoje</w:t>
      </w:r>
      <w:r w:rsidR="00A603F1"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nagrinėjamas Pastatų fondas, iš kurio eliminuoti IRS kontekste neaktualūs pastatai t.y. pastatai, kuriems netaikomi statybų techninio reglamento reikalavimai, susiję su energiniu naudingumu. Pastatų fondą sudaro 661 tūkst. </w:t>
      </w:r>
      <w:r w:rsidR="00F2396C" w:rsidRPr="00650EE4">
        <w:rPr>
          <w:rFonts w:ascii="Times New Roman" w:hAnsi="Times New Roman"/>
          <w:color w:val="000000" w:themeColor="text1"/>
          <w:szCs w:val="22"/>
        </w:rPr>
        <w:t>vnt.</w:t>
      </w:r>
      <w:r w:rsidRPr="00650EE4">
        <w:rPr>
          <w:rFonts w:ascii="Times New Roman" w:hAnsi="Times New Roman"/>
          <w:color w:val="000000" w:themeColor="text1"/>
          <w:szCs w:val="22"/>
        </w:rPr>
        <w:t xml:space="preserve"> pastatų, kurių bendras plotas 201,7 mln. m</w:t>
      </w:r>
      <w:r w:rsidRPr="00650EE4">
        <w:rPr>
          <w:rFonts w:ascii="Times New Roman" w:hAnsi="Times New Roman"/>
          <w:color w:val="000000" w:themeColor="text1"/>
          <w:szCs w:val="22"/>
          <w:vertAlign w:val="superscript"/>
        </w:rPr>
        <w:t>2</w:t>
      </w:r>
      <w:r w:rsidRPr="00650EE4">
        <w:rPr>
          <w:rFonts w:ascii="Times New Roman" w:hAnsi="Times New Roman"/>
          <w:color w:val="000000" w:themeColor="text1"/>
          <w:szCs w:val="22"/>
        </w:rPr>
        <w:t xml:space="preserve"> (žr. paveikslą žemiau).</w:t>
      </w:r>
    </w:p>
    <w:p w14:paraId="2981F4AC" w14:textId="100D6018" w:rsidR="003C2EE9" w:rsidRPr="00650EE4" w:rsidRDefault="003C2EE9" w:rsidP="00631BA6">
      <w:pPr>
        <w:pStyle w:val="TESlentelspavadinimas"/>
        <w:rPr>
          <w:noProof w:val="0"/>
        </w:rPr>
      </w:pPr>
      <w:r w:rsidRPr="00650EE4">
        <w:rPr>
          <w:noProof w:val="0"/>
        </w:rPr>
        <w:t>Pastatų fondas pagal pastatų grupes ir pogrupius (agreguotas)</w:t>
      </w:r>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5"/>
      </w:tblGrid>
      <w:tr w:rsidR="003C2EE9" w:rsidRPr="00650EE4" w14:paraId="4716C0F2" w14:textId="77777777" w:rsidTr="00F7245E">
        <w:trPr>
          <w:trHeight w:val="3312"/>
        </w:trPr>
        <w:tc>
          <w:tcPr>
            <w:tcW w:w="5000" w:type="pct"/>
          </w:tcPr>
          <w:p w14:paraId="79943DE0" w14:textId="77777777" w:rsidR="003C2EE9" w:rsidRPr="00650EE4" w:rsidRDefault="003C2EE9" w:rsidP="00631BA6">
            <w:pPr>
              <w:pStyle w:val="TESlentelspavadinimas"/>
              <w:rPr>
                <w:noProof w:val="0"/>
              </w:rPr>
            </w:pPr>
            <w:r w:rsidRPr="00650EE4">
              <w:rPr>
                <w:lang w:eastAsia="lt-LT"/>
              </w:rPr>
              <w:drawing>
                <wp:inline distT="0" distB="0" distL="0" distR="0" wp14:anchorId="1D0A4878" wp14:editId="3E660B42">
                  <wp:extent cx="3190875" cy="2072080"/>
                  <wp:effectExtent l="0" t="0" r="9525" b="4445"/>
                  <wp:docPr id="44" name="Chart 4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650EE4">
              <w:rPr>
                <w:lang w:eastAsia="lt-LT"/>
              </w:rPr>
              <w:drawing>
                <wp:inline distT="0" distB="0" distL="0" distR="0" wp14:anchorId="237D1045" wp14:editId="6BCAC102">
                  <wp:extent cx="3200400" cy="2080895"/>
                  <wp:effectExtent l="0" t="0" r="0" b="14605"/>
                  <wp:docPr id="45" name="Chart 4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4EF4E672" w14:textId="77777777" w:rsidR="003C2EE9" w:rsidRPr="00650EE4" w:rsidRDefault="003C2EE9" w:rsidP="003C2EE9">
      <w:pPr>
        <w:spacing w:after="120" w:line="240" w:lineRule="auto"/>
        <w:jc w:val="both"/>
        <w:rPr>
          <w:rFonts w:ascii="Times New Roman" w:eastAsia="Times New Roman" w:hAnsi="Times New Roman"/>
          <w:i/>
          <w:color w:val="000000" w:themeColor="text1"/>
          <w:sz w:val="20"/>
          <w:szCs w:val="22"/>
        </w:rPr>
      </w:pPr>
      <w:r w:rsidRPr="00650EE4">
        <w:rPr>
          <w:rFonts w:ascii="Times New Roman" w:eastAsia="Times New Roman" w:hAnsi="Times New Roman"/>
          <w:i/>
          <w:color w:val="000000" w:themeColor="text1"/>
          <w:sz w:val="20"/>
          <w:szCs w:val="22"/>
        </w:rPr>
        <w:t>Šaltinis: NTR duomenys (2019.12.31)</w:t>
      </w:r>
    </w:p>
    <w:p w14:paraId="243977C9" w14:textId="77777777" w:rsidR="003C2EE9" w:rsidRPr="00650EE4" w:rsidRDefault="003C2EE9" w:rsidP="003C2EE9">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pastatų fondo charakteristikas galima pastebėti, kad:</w:t>
      </w:r>
    </w:p>
    <w:p w14:paraId="4BB521BA" w14:textId="4744E9C4"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3C2EE9" w:rsidRPr="00650EE4">
        <w:rPr>
          <w:rFonts w:ascii="Times New Roman" w:hAnsi="Times New Roman"/>
          <w:color w:val="000000" w:themeColor="text1"/>
          <w:szCs w:val="22"/>
        </w:rPr>
        <w:t>ik 2 proc. pastatų fondo pastatų (7 proc. ploto) sudaro vieša (savivaldybių ir valst</w:t>
      </w:r>
      <w:r w:rsidR="00C937BC">
        <w:rPr>
          <w:rFonts w:ascii="Times New Roman" w:hAnsi="Times New Roman"/>
          <w:color w:val="000000" w:themeColor="text1"/>
          <w:szCs w:val="22"/>
        </w:rPr>
        <w:t>ybės) nuosavybė t.y. tik tokią p</w:t>
      </w:r>
      <w:r w:rsidR="003C2EE9" w:rsidRPr="00650EE4">
        <w:rPr>
          <w:rFonts w:ascii="Times New Roman" w:hAnsi="Times New Roman"/>
          <w:color w:val="000000" w:themeColor="text1"/>
          <w:szCs w:val="22"/>
        </w:rPr>
        <w:t>astatų fondo transformacijos dalį galima patikimai planuoti ir kontroliuoti iš valstybės perspektyvos. Likusi pastatų savininkų dalis turi pati priimti s</w:t>
      </w:r>
      <w:r>
        <w:rPr>
          <w:rFonts w:ascii="Times New Roman" w:hAnsi="Times New Roman"/>
          <w:color w:val="000000" w:themeColor="text1"/>
          <w:szCs w:val="22"/>
        </w:rPr>
        <w:t>prendimą dalyvauti renovacijoje;</w:t>
      </w:r>
    </w:p>
    <w:p w14:paraId="7EDBAFE3" w14:textId="54E505A6"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b</w:t>
      </w:r>
      <w:r w:rsidR="00C937BC">
        <w:rPr>
          <w:rFonts w:ascii="Times New Roman" w:hAnsi="Times New Roman"/>
          <w:color w:val="000000" w:themeColor="text1"/>
          <w:szCs w:val="22"/>
        </w:rPr>
        <w:t>eveik pusę (45 proc.) p</w:t>
      </w:r>
      <w:r w:rsidR="003C2EE9" w:rsidRPr="00650EE4">
        <w:rPr>
          <w:rFonts w:ascii="Times New Roman" w:hAnsi="Times New Roman"/>
          <w:color w:val="000000" w:themeColor="text1"/>
          <w:szCs w:val="22"/>
        </w:rPr>
        <w:t>astatų fondo pagal plotą, sudaro mišri nuosavybė, t.y. kartu tiek vieša, tiek privati, tiek valdomą bendrasavininkių. Šis faktas gali papildomai apsunkinti pastatų savin</w:t>
      </w:r>
      <w:r>
        <w:rPr>
          <w:rFonts w:ascii="Times New Roman" w:hAnsi="Times New Roman"/>
          <w:color w:val="000000" w:themeColor="text1"/>
          <w:szCs w:val="22"/>
        </w:rPr>
        <w:t>inkų sprendimo priėmimo procesą;</w:t>
      </w:r>
    </w:p>
    <w:p w14:paraId="4CF79711" w14:textId="45957E00"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66 proc. p</w:t>
      </w:r>
      <w:r w:rsidR="003C2EE9" w:rsidRPr="00650EE4">
        <w:rPr>
          <w:rFonts w:ascii="Times New Roman" w:hAnsi="Times New Roman"/>
          <w:color w:val="000000" w:themeColor="text1"/>
          <w:szCs w:val="22"/>
        </w:rPr>
        <w:t>astatų fondo ploto sudaro pastatai pastatyti 1961-1992 m. Šio laikotarpio statybos pastatų architektūrinė ir konstrukcinė įvairovė nėra didelė. Tai sudaro prielaidas kartotiniams (standartiniams) renovacij</w:t>
      </w:r>
      <w:r w:rsidR="0030329C" w:rsidRPr="00650EE4">
        <w:rPr>
          <w:rFonts w:ascii="Times New Roman" w:hAnsi="Times New Roman"/>
          <w:color w:val="000000" w:themeColor="text1"/>
          <w:szCs w:val="22"/>
        </w:rPr>
        <w:t>os sprendimams realizuoti</w:t>
      </w:r>
      <w:r>
        <w:rPr>
          <w:rFonts w:ascii="Times New Roman" w:hAnsi="Times New Roman"/>
          <w:color w:val="000000" w:themeColor="text1"/>
          <w:szCs w:val="22"/>
        </w:rPr>
        <w:t>;</w:t>
      </w:r>
    </w:p>
    <w:p w14:paraId="516B4DE7" w14:textId="13DC924D" w:rsidR="003C2EE9" w:rsidRPr="00650EE4" w:rsidRDefault="00294C43"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75 proc. p</w:t>
      </w:r>
      <w:r w:rsidR="003C2EE9" w:rsidRPr="00650EE4">
        <w:rPr>
          <w:rFonts w:ascii="Times New Roman" w:hAnsi="Times New Roman"/>
          <w:color w:val="000000" w:themeColor="text1"/>
          <w:szCs w:val="22"/>
        </w:rPr>
        <w:t>astatų fondo ploto pastatyta iki 1992 m. Atitinkamai IRS įgyvendinimo pabaigoje (2050 m.), absoliuti dauguma esamo pastatų fondo bus senesni nei 60 m. ir siekiant juos toliau eksploatuoti bus privalomas jų atnaujinimas.</w:t>
      </w:r>
    </w:p>
    <w:p w14:paraId="1F55B236" w14:textId="4FEAE833" w:rsidR="003C2EE9" w:rsidRPr="00650EE4" w:rsidRDefault="003C2EE9" w:rsidP="00727C94">
      <w:pPr>
        <w:pStyle w:val="Pagrindinispaprastastekstas"/>
        <w:spacing w:before="120" w:after="120"/>
        <w:rPr>
          <w:rFonts w:ascii="Times New Roman" w:hAnsi="Times New Roman"/>
          <w:color w:val="000000" w:themeColor="text1"/>
          <w:szCs w:val="22"/>
        </w:rPr>
      </w:pPr>
      <w:r w:rsidRPr="00650EE4">
        <w:rPr>
          <w:rFonts w:ascii="Times New Roman" w:hAnsi="Times New Roman"/>
          <w:color w:val="000000" w:themeColor="text1"/>
          <w:szCs w:val="22"/>
        </w:rPr>
        <w:t xml:space="preserve">PEND numato, kad IRS gali būti pateikiamas faktinis (išmatuotas) arba skaičiuotinas (apskaičiuotas) energijos vartojimas. </w:t>
      </w:r>
      <w:r w:rsidR="00A603F1">
        <w:rPr>
          <w:rFonts w:ascii="Times New Roman" w:hAnsi="Times New Roman"/>
          <w:color w:val="000000" w:themeColor="text1"/>
          <w:szCs w:val="22"/>
        </w:rPr>
        <w:t>Strategijoje</w:t>
      </w:r>
      <w:r w:rsidR="00C937BC">
        <w:rPr>
          <w:rFonts w:ascii="Times New Roman" w:hAnsi="Times New Roman"/>
          <w:color w:val="000000" w:themeColor="text1"/>
          <w:szCs w:val="22"/>
        </w:rPr>
        <w:t xml:space="preserve"> buvo vertinamas skaičiuotinas p</w:t>
      </w:r>
      <w:r w:rsidRPr="00650EE4">
        <w:rPr>
          <w:rFonts w:ascii="Times New Roman" w:hAnsi="Times New Roman"/>
          <w:color w:val="000000" w:themeColor="text1"/>
          <w:szCs w:val="22"/>
        </w:rPr>
        <w:t>astatų fondo energijos vartojimas.</w:t>
      </w:r>
    </w:p>
    <w:p w14:paraId="35A2838E" w14:textId="0AE0C301" w:rsidR="003C2EE9" w:rsidRPr="00650EE4" w:rsidRDefault="003C2EE9" w:rsidP="00727C9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Skaičiuotino šiluminės ir elektros energijos vartojimo pagrindas – duomenys apie pastatų šildomą plotą, energinio naudingumo klasę</w:t>
      </w:r>
      <w:r w:rsidR="00754CBF" w:rsidRPr="00650EE4">
        <w:rPr>
          <w:rFonts w:ascii="Times New Roman" w:hAnsi="Times New Roman"/>
          <w:color w:val="000000" w:themeColor="text1"/>
          <w:szCs w:val="22"/>
        </w:rPr>
        <w:t xml:space="preserve"> ir energijos gamybos</w:t>
      </w:r>
      <w:r w:rsidRPr="00650EE4">
        <w:rPr>
          <w:rFonts w:ascii="Times New Roman" w:hAnsi="Times New Roman"/>
          <w:color w:val="000000" w:themeColor="text1"/>
          <w:szCs w:val="22"/>
        </w:rPr>
        <w:t xml:space="preserve"> šaltinį. </w:t>
      </w:r>
      <w:r w:rsidR="00A603F1">
        <w:rPr>
          <w:rFonts w:ascii="Times New Roman" w:hAnsi="Times New Roman"/>
          <w:color w:val="000000" w:themeColor="text1"/>
          <w:szCs w:val="22"/>
        </w:rPr>
        <w:t>E</w:t>
      </w:r>
      <w:r w:rsidRPr="00650EE4">
        <w:rPr>
          <w:rFonts w:ascii="Times New Roman" w:hAnsi="Times New Roman"/>
          <w:color w:val="000000" w:themeColor="text1"/>
          <w:szCs w:val="22"/>
        </w:rPr>
        <w:t xml:space="preserve">nerginio naudingumo sertifikatą Lietuvoje turi 17 proc. pastatų. </w:t>
      </w:r>
    </w:p>
    <w:p w14:paraId="369DB26E" w14:textId="6197B59F" w:rsidR="003C2EE9" w:rsidRPr="00650EE4" w:rsidRDefault="0005593B" w:rsidP="00727C9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Pastatų fondo energijos vartojimas buvo apskaičiuotas priskiriant </w:t>
      </w:r>
      <w:r w:rsidR="00A603F1">
        <w:rPr>
          <w:rFonts w:ascii="Times New Roman" w:hAnsi="Times New Roman"/>
          <w:color w:val="000000" w:themeColor="text1"/>
          <w:szCs w:val="22"/>
        </w:rPr>
        <w:t>e</w:t>
      </w:r>
      <w:r w:rsidR="003C2EE9" w:rsidRPr="00650EE4">
        <w:rPr>
          <w:rFonts w:ascii="Times New Roman" w:hAnsi="Times New Roman"/>
          <w:color w:val="000000" w:themeColor="text1"/>
          <w:szCs w:val="22"/>
        </w:rPr>
        <w:t>nerginio naudingumo klasės</w:t>
      </w:r>
      <w:r w:rsidRPr="00650EE4">
        <w:rPr>
          <w:rFonts w:ascii="Times New Roman" w:hAnsi="Times New Roman"/>
          <w:color w:val="000000" w:themeColor="text1"/>
          <w:szCs w:val="22"/>
        </w:rPr>
        <w:t xml:space="preserve"> požymį visiems pastatams, atsižvelgiant į jų statybos me</w:t>
      </w:r>
      <w:r w:rsidR="005B4EA3" w:rsidRPr="00650EE4">
        <w:rPr>
          <w:rFonts w:ascii="Times New Roman" w:hAnsi="Times New Roman"/>
          <w:color w:val="000000" w:themeColor="text1"/>
          <w:szCs w:val="22"/>
        </w:rPr>
        <w:t xml:space="preserve">tus ir koreguojant pagal </w:t>
      </w:r>
      <w:r w:rsidR="0035489E" w:rsidRPr="00650EE4">
        <w:rPr>
          <w:rFonts w:ascii="Times New Roman" w:hAnsi="Times New Roman"/>
          <w:color w:val="000000" w:themeColor="text1"/>
          <w:szCs w:val="22"/>
        </w:rPr>
        <w:t xml:space="preserve">kitus viešai skelbiamus duomenis (pvz. </w:t>
      </w:r>
      <w:r w:rsidR="0035489E" w:rsidRPr="00650EE4">
        <w:rPr>
          <w:rFonts w:ascii="Times New Roman" w:hAnsi="Times New Roman"/>
          <w:color w:val="000000" w:themeColor="text1"/>
          <w:szCs w:val="22"/>
        </w:rPr>
        <w:lastRenderedPageBreak/>
        <w:t>savarankiškai įgyvendintas energinio efektyvumo priemones)</w:t>
      </w:r>
      <w:r w:rsidR="003C2EE9" w:rsidRPr="00650EE4">
        <w:rPr>
          <w:rFonts w:ascii="Times New Roman" w:hAnsi="Times New Roman"/>
          <w:color w:val="000000" w:themeColor="text1"/>
          <w:szCs w:val="22"/>
        </w:rPr>
        <w:t xml:space="preserve">. Pastatų energijos gamybos struktūra apskaičiuota </w:t>
      </w:r>
      <w:r w:rsidR="0035489E" w:rsidRPr="00650EE4">
        <w:rPr>
          <w:rFonts w:ascii="Times New Roman" w:hAnsi="Times New Roman"/>
          <w:color w:val="000000" w:themeColor="text1"/>
          <w:szCs w:val="22"/>
        </w:rPr>
        <w:t>atsižvelgiant į</w:t>
      </w:r>
      <w:r w:rsidR="003C2EE9" w:rsidRPr="00650EE4">
        <w:rPr>
          <w:rFonts w:ascii="Times New Roman" w:hAnsi="Times New Roman"/>
          <w:color w:val="000000" w:themeColor="text1"/>
          <w:szCs w:val="22"/>
        </w:rPr>
        <w:t xml:space="preserve"> Statistikos departamento </w:t>
      </w:r>
      <w:r w:rsidR="00A603F1">
        <w:rPr>
          <w:rFonts w:ascii="Times New Roman" w:hAnsi="Times New Roman"/>
          <w:color w:val="000000" w:themeColor="text1"/>
          <w:szCs w:val="22"/>
        </w:rPr>
        <w:t>m</w:t>
      </w:r>
      <w:r w:rsidR="003C2EE9" w:rsidRPr="00650EE4">
        <w:rPr>
          <w:rFonts w:ascii="Times New Roman" w:hAnsi="Times New Roman"/>
          <w:color w:val="000000" w:themeColor="text1"/>
          <w:szCs w:val="22"/>
        </w:rPr>
        <w:t>etinio energijos ir kuro balanso duom</w:t>
      </w:r>
      <w:r w:rsidR="0035489E" w:rsidRPr="00650EE4">
        <w:rPr>
          <w:rFonts w:ascii="Times New Roman" w:hAnsi="Times New Roman"/>
          <w:color w:val="000000" w:themeColor="text1"/>
          <w:szCs w:val="22"/>
        </w:rPr>
        <w:t>en</w:t>
      </w:r>
      <w:r w:rsidR="003C2EE9" w:rsidRPr="00650EE4">
        <w:rPr>
          <w:rFonts w:ascii="Times New Roman" w:hAnsi="Times New Roman"/>
          <w:color w:val="000000" w:themeColor="text1"/>
          <w:szCs w:val="22"/>
        </w:rPr>
        <w:t>is</w:t>
      </w:r>
      <w:r w:rsidR="00A603F1">
        <w:rPr>
          <w:rFonts w:ascii="Times New Roman" w:hAnsi="Times New Roman"/>
          <w:color w:val="000000" w:themeColor="text1"/>
          <w:szCs w:val="22"/>
        </w:rPr>
        <w:t>:</w:t>
      </w:r>
    </w:p>
    <w:p w14:paraId="6D24BC33" w14:textId="44BAA431" w:rsidR="003C2EE9" w:rsidRPr="00650EE4" w:rsidRDefault="00C937BC" w:rsidP="003C2EE9">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3C2EE9" w:rsidRPr="00650EE4">
        <w:rPr>
          <w:rFonts w:ascii="Times New Roman" w:hAnsi="Times New Roman"/>
          <w:color w:val="000000" w:themeColor="text1"/>
          <w:szCs w:val="22"/>
        </w:rPr>
        <w:t xml:space="preserve">astatų fondas per metus vartoja </w:t>
      </w:r>
      <w:r w:rsidR="001E6F43" w:rsidRPr="00650EE4">
        <w:rPr>
          <w:rFonts w:ascii="Times New Roman" w:hAnsi="Times New Roman"/>
          <w:color w:val="000000" w:themeColor="text1"/>
          <w:szCs w:val="22"/>
        </w:rPr>
        <w:t>~</w:t>
      </w:r>
      <w:r w:rsidR="003C2EE9" w:rsidRPr="00650EE4">
        <w:rPr>
          <w:rFonts w:ascii="Times New Roman" w:hAnsi="Times New Roman"/>
          <w:color w:val="000000" w:themeColor="text1"/>
          <w:szCs w:val="22"/>
        </w:rPr>
        <w:t xml:space="preserve">40,8 </w:t>
      </w:r>
      <w:proofErr w:type="spellStart"/>
      <w:r w:rsidR="003C2EE9" w:rsidRPr="00650EE4">
        <w:rPr>
          <w:rFonts w:ascii="Times New Roman" w:hAnsi="Times New Roman"/>
          <w:color w:val="000000" w:themeColor="text1"/>
          <w:szCs w:val="22"/>
        </w:rPr>
        <w:t>TWh</w:t>
      </w:r>
      <w:proofErr w:type="spellEnd"/>
      <w:r w:rsidR="003C2EE9" w:rsidRPr="00650EE4">
        <w:rPr>
          <w:rFonts w:ascii="Times New Roman" w:hAnsi="Times New Roman"/>
          <w:color w:val="000000" w:themeColor="text1"/>
          <w:szCs w:val="22"/>
        </w:rPr>
        <w:t xml:space="preserve"> pirminės energijos ir į aplinką išmeta </w:t>
      </w:r>
      <w:r w:rsidR="001E6F43" w:rsidRPr="00650EE4">
        <w:rPr>
          <w:rFonts w:ascii="Times New Roman" w:hAnsi="Times New Roman"/>
          <w:color w:val="000000" w:themeColor="text1"/>
          <w:szCs w:val="22"/>
        </w:rPr>
        <w:t>~</w:t>
      </w:r>
      <w:r w:rsidR="003C2EE9" w:rsidRPr="00650EE4">
        <w:rPr>
          <w:rFonts w:ascii="Times New Roman" w:hAnsi="Times New Roman"/>
          <w:color w:val="000000" w:themeColor="text1"/>
          <w:szCs w:val="22"/>
        </w:rPr>
        <w:t>5,3 MtCO</w:t>
      </w:r>
      <w:r w:rsidR="003C2EE9" w:rsidRPr="00650EE4">
        <w:rPr>
          <w:rFonts w:ascii="Times New Roman" w:hAnsi="Times New Roman"/>
          <w:color w:val="000000" w:themeColor="text1"/>
          <w:szCs w:val="22"/>
          <w:vertAlign w:val="subscript"/>
        </w:rPr>
        <w:t>2</w:t>
      </w:r>
      <w:r>
        <w:rPr>
          <w:rFonts w:ascii="Times New Roman" w:hAnsi="Times New Roman"/>
          <w:color w:val="000000" w:themeColor="text1"/>
          <w:szCs w:val="22"/>
        </w:rPr>
        <w:t xml:space="preserve"> emisijų;</w:t>
      </w:r>
    </w:p>
    <w:p w14:paraId="3554ED82" w14:textId="6001A081" w:rsidR="003C2EE9" w:rsidRPr="00650EE4" w:rsidRDefault="00C937BC" w:rsidP="003C2EE9">
      <w:pPr>
        <w:pStyle w:val="Pagrindinispaprastastekstas"/>
        <w:numPr>
          <w:ilvl w:val="0"/>
          <w:numId w:val="10"/>
        </w:numPr>
        <w:spacing w:after="60"/>
        <w:rPr>
          <w:rFonts w:ascii="Times New Roman" w:hAnsi="Times New Roman"/>
          <w:color w:val="000000" w:themeColor="text1"/>
          <w:szCs w:val="22"/>
        </w:rPr>
      </w:pPr>
      <w:r>
        <w:rPr>
          <w:rFonts w:ascii="Times New Roman" w:hAnsi="Times New Roman"/>
          <w:color w:val="000000" w:themeColor="text1"/>
          <w:szCs w:val="22"/>
        </w:rPr>
        <w:t>2/3 (63 proc.) visos p</w:t>
      </w:r>
      <w:r w:rsidR="003C2EE9" w:rsidRPr="00650EE4">
        <w:rPr>
          <w:rFonts w:ascii="Times New Roman" w:hAnsi="Times New Roman"/>
          <w:color w:val="000000" w:themeColor="text1"/>
          <w:szCs w:val="22"/>
        </w:rPr>
        <w:t>astatų fondo pirminės energijos vartoja gyvenamieji pa</w:t>
      </w:r>
      <w:r w:rsidR="001E6F43" w:rsidRPr="00650EE4">
        <w:rPr>
          <w:rFonts w:ascii="Times New Roman" w:hAnsi="Times New Roman"/>
          <w:color w:val="000000" w:themeColor="text1"/>
          <w:szCs w:val="22"/>
        </w:rPr>
        <w:t xml:space="preserve">statai, </w:t>
      </w:r>
      <w:r w:rsidR="003C2EE9" w:rsidRPr="00650EE4">
        <w:rPr>
          <w:rFonts w:ascii="Times New Roman" w:hAnsi="Times New Roman"/>
          <w:color w:val="000000" w:themeColor="text1"/>
          <w:szCs w:val="22"/>
        </w:rPr>
        <w:t xml:space="preserve">34 proc. </w:t>
      </w:r>
      <w:r w:rsidR="001E6F43" w:rsidRPr="00650EE4">
        <w:rPr>
          <w:rFonts w:ascii="Times New Roman" w:hAnsi="Times New Roman"/>
          <w:color w:val="000000" w:themeColor="text1"/>
          <w:szCs w:val="22"/>
        </w:rPr>
        <w:t xml:space="preserve">- </w:t>
      </w:r>
      <w:r w:rsidR="003C2EE9" w:rsidRPr="00650EE4">
        <w:rPr>
          <w:rFonts w:ascii="Times New Roman" w:hAnsi="Times New Roman"/>
          <w:color w:val="000000" w:themeColor="text1"/>
          <w:szCs w:val="22"/>
        </w:rPr>
        <w:t xml:space="preserve">individualūs gyvenamieji </w:t>
      </w:r>
      <w:r>
        <w:rPr>
          <w:rFonts w:ascii="Times New Roman" w:hAnsi="Times New Roman"/>
          <w:color w:val="000000" w:themeColor="text1"/>
          <w:szCs w:val="22"/>
        </w:rPr>
        <w:t>namai, 29  proc. – daugiabučiai;</w:t>
      </w:r>
    </w:p>
    <w:p w14:paraId="27F0D567" w14:textId="209E44E3" w:rsidR="003C2EE9" w:rsidRPr="00650EE4" w:rsidRDefault="00C937BC" w:rsidP="007653CF">
      <w:pPr>
        <w:pStyle w:val="Pagrindinispaprastastekstas"/>
        <w:numPr>
          <w:ilvl w:val="0"/>
          <w:numId w:val="10"/>
        </w:numPr>
        <w:rPr>
          <w:rFonts w:ascii="Times New Roman" w:hAnsi="Times New Roman"/>
          <w:color w:val="000000" w:themeColor="text1"/>
          <w:szCs w:val="22"/>
        </w:rPr>
      </w:pPr>
      <w:r>
        <w:rPr>
          <w:rFonts w:ascii="Times New Roman" w:hAnsi="Times New Roman"/>
          <w:color w:val="000000" w:themeColor="text1"/>
          <w:szCs w:val="22"/>
        </w:rPr>
        <w:t>4/5 (78 proc.) visos p</w:t>
      </w:r>
      <w:r w:rsidR="003C2EE9" w:rsidRPr="00650EE4">
        <w:rPr>
          <w:rFonts w:ascii="Times New Roman" w:hAnsi="Times New Roman"/>
          <w:color w:val="000000" w:themeColor="text1"/>
          <w:szCs w:val="22"/>
        </w:rPr>
        <w:t>astatų fondo pirminės energijos vartoja žemesnės nei C energinio naudingumo klasės pastatai.</w:t>
      </w:r>
    </w:p>
    <w:p w14:paraId="3763E780" w14:textId="77777777" w:rsidR="003C2EE9" w:rsidRPr="00650EE4" w:rsidRDefault="003C2EE9" w:rsidP="005575A4">
      <w:pPr>
        <w:spacing w:before="240" w:after="120"/>
        <w:jc w:val="both"/>
        <w:rPr>
          <w:rFonts w:ascii="Times New Roman" w:hAnsi="Times New Roman"/>
          <w:b/>
          <w:bCs/>
          <w:sz w:val="24"/>
          <w:szCs w:val="24"/>
        </w:rPr>
      </w:pPr>
      <w:r w:rsidRPr="00650EE4">
        <w:rPr>
          <w:rFonts w:ascii="Times New Roman" w:hAnsi="Times New Roman"/>
          <w:b/>
          <w:bCs/>
          <w:sz w:val="24"/>
          <w:szCs w:val="24"/>
        </w:rPr>
        <w:t>Ekonomiškai efektyviausių renovacijos būdų nustatymas</w:t>
      </w:r>
    </w:p>
    <w:p w14:paraId="0EB4E927" w14:textId="1EBEA0B4" w:rsidR="003C2EE9" w:rsidRPr="00650EE4" w:rsidRDefault="003C2EE9" w:rsidP="003C2EE9">
      <w:pPr>
        <w:pStyle w:val="Text"/>
        <w:spacing w:after="120" w:line="240" w:lineRule="auto"/>
        <w:ind w:left="0" w:right="0"/>
        <w:rPr>
          <w:rFonts w:ascii="Times New Roman" w:hAnsi="Times New Roman" w:cs="Times New Roman"/>
          <w:bCs/>
          <w:noProof w:val="0"/>
          <w:color w:val="000000" w:themeColor="text1"/>
          <w:sz w:val="22"/>
        </w:rPr>
      </w:pPr>
      <w:r w:rsidRPr="00650EE4">
        <w:rPr>
          <w:rFonts w:ascii="Times New Roman" w:hAnsi="Times New Roman" w:cs="Times New Roman"/>
          <w:bCs/>
          <w:noProof w:val="0"/>
          <w:color w:val="000000" w:themeColor="text1"/>
          <w:sz w:val="22"/>
        </w:rPr>
        <w:t xml:space="preserve">PEND 2a straipsnio 1 dalies b punkte nustatyta, kad „į kiekvieną IRS įtraukiama nustatyti ekonomiškai efektyvūs renovacijos būdai pagal pastato tipą ir klimato zoną, atsižvelgiant į galimus aktualius inicijavimo momentus, kai taikytina, per pastato gyvavimo ciklą“. </w:t>
      </w:r>
    </w:p>
    <w:p w14:paraId="4D6133DD" w14:textId="1227D39D" w:rsidR="003C2EE9" w:rsidRPr="00650EE4" w:rsidRDefault="003C2EE9" w:rsidP="003C2EE9">
      <w:pPr>
        <w:pStyle w:val="Text"/>
        <w:spacing w:after="120" w:line="240" w:lineRule="auto"/>
        <w:ind w:left="0" w:right="0"/>
        <w:rPr>
          <w:rFonts w:ascii="Times New Roman" w:hAnsi="Times New Roman" w:cs="Times New Roman"/>
          <w:bCs/>
          <w:noProof w:val="0"/>
          <w:color w:val="000000" w:themeColor="text1"/>
          <w:sz w:val="22"/>
        </w:rPr>
      </w:pPr>
      <w:r w:rsidRPr="00650EE4">
        <w:rPr>
          <w:rFonts w:ascii="Times New Roman" w:hAnsi="Times New Roman" w:cs="Times New Roman"/>
          <w:bCs/>
          <w:noProof w:val="0"/>
          <w:color w:val="000000" w:themeColor="text1"/>
          <w:sz w:val="22"/>
        </w:rPr>
        <w:t>Siekiant nustatyti ekonomiškai efektyviausius renovacijos būdus, buvo suformuotas renovacijos būdų (priemonių) sąrašas, įvertintos priemonėms įgyvendinti reikalingos investicijos ir priemonių sukuriamos ekonominės naudos. Priemonės su geriausiu investicijų ir teikiamų naudų santykiu (vienas investuotas euras, kuria didžiausią ekonominę naudą) vertinamos kaip ekonomiškai efektyviausios.</w:t>
      </w:r>
    </w:p>
    <w:p w14:paraId="250F960E" w14:textId="1CEDE6AF" w:rsidR="003C2EE9" w:rsidRPr="00650EE4" w:rsidRDefault="003C2EE9" w:rsidP="003C2EE9">
      <w:pPr>
        <w:spacing w:after="120" w:line="240" w:lineRule="auto"/>
        <w:jc w:val="both"/>
        <w:rPr>
          <w:rFonts w:ascii="Times New Roman" w:hAnsi="Times New Roman"/>
          <w:color w:val="000000" w:themeColor="text1"/>
          <w:szCs w:val="22"/>
        </w:rPr>
      </w:pPr>
      <w:r w:rsidRPr="00650EE4">
        <w:rPr>
          <w:rFonts w:ascii="Times New Roman" w:hAnsi="Times New Roman"/>
          <w:color w:val="002060"/>
          <w:sz w:val="24"/>
          <w:szCs w:val="24"/>
        </w:rPr>
        <w:t>E</w:t>
      </w:r>
      <w:r w:rsidRPr="00650EE4">
        <w:rPr>
          <w:rFonts w:ascii="Times New Roman" w:hAnsi="Times New Roman"/>
          <w:color w:val="000000" w:themeColor="text1"/>
          <w:szCs w:val="22"/>
        </w:rPr>
        <w:t xml:space="preserve">fektyviausių renovacijos priemonių vertinimas vyko ne pavienių priemonių, o priemonių paketų lygmeniu, tokiu būdu siekiant maksimaliai išnaudoti kompleksinės renovacijos teikiamų naudų potencialią, tuo pačiu išlaikant kompleksinį požiūrį į pastatą kaip </w:t>
      </w:r>
      <w:proofErr w:type="spellStart"/>
      <w:r w:rsidRPr="00650EE4">
        <w:rPr>
          <w:rFonts w:ascii="Times New Roman" w:hAnsi="Times New Roman"/>
          <w:color w:val="000000" w:themeColor="text1"/>
          <w:szCs w:val="22"/>
        </w:rPr>
        <w:t>inžineriškai</w:t>
      </w:r>
      <w:proofErr w:type="spellEnd"/>
      <w:r w:rsidRPr="00650EE4">
        <w:rPr>
          <w:rFonts w:ascii="Times New Roman" w:hAnsi="Times New Roman"/>
          <w:color w:val="000000" w:themeColor="text1"/>
          <w:szCs w:val="22"/>
        </w:rPr>
        <w:t xml:space="preserve"> vientisą darinį ir atsižvelgiant į sukauptą Lietuvos ir kitų ES šalių patirtį. Renovacijos priemonių paketai suformuoti taip, kad kiekvienas paketas apimtų renovacijos priemonių komplektą, reikalingą konkrečios energinio naudingumo klasės pasiekimui, pradedant C ir baigiant A++ energinio naudingumo klase. Papildomai, siekiant įvertinti dalinės renovacijos efektyvumą, suformuoti 4 dalinės renovacijos </w:t>
      </w:r>
      <w:r w:rsidR="00931FE4" w:rsidRPr="00650EE4">
        <w:rPr>
          <w:rFonts w:ascii="Times New Roman" w:hAnsi="Times New Roman"/>
          <w:color w:val="000000" w:themeColor="text1"/>
          <w:szCs w:val="22"/>
        </w:rPr>
        <w:t xml:space="preserve">priemonių </w:t>
      </w:r>
      <w:r w:rsidRPr="00650EE4">
        <w:rPr>
          <w:rFonts w:ascii="Times New Roman" w:hAnsi="Times New Roman"/>
          <w:color w:val="000000" w:themeColor="text1"/>
          <w:szCs w:val="22"/>
        </w:rPr>
        <w:t xml:space="preserve">paketai. </w:t>
      </w:r>
    </w:p>
    <w:p w14:paraId="61FC58B9" w14:textId="00B23270" w:rsidR="003C2EE9" w:rsidRPr="00650EE4" w:rsidRDefault="00931FE4" w:rsidP="00397C25">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Vertinant renovacijos</w:t>
      </w:r>
      <w:r w:rsidR="00397C25" w:rsidRPr="00650EE4">
        <w:rPr>
          <w:rFonts w:ascii="Times New Roman" w:hAnsi="Times New Roman"/>
          <w:color w:val="000000" w:themeColor="text1"/>
          <w:szCs w:val="22"/>
          <w:lang w:val="lt-LT"/>
        </w:rPr>
        <w:t xml:space="preserve"> priemonių</w:t>
      </w:r>
      <w:r w:rsidRPr="00650EE4">
        <w:rPr>
          <w:rFonts w:ascii="Times New Roman" w:hAnsi="Times New Roman"/>
          <w:color w:val="000000" w:themeColor="text1"/>
          <w:szCs w:val="22"/>
          <w:lang w:val="lt-LT"/>
        </w:rPr>
        <w:t xml:space="preserve"> paketų </w:t>
      </w:r>
      <w:r w:rsidR="00397C25" w:rsidRPr="00650EE4">
        <w:rPr>
          <w:rFonts w:ascii="Times New Roman" w:hAnsi="Times New Roman"/>
          <w:color w:val="000000" w:themeColor="text1"/>
          <w:szCs w:val="22"/>
          <w:lang w:val="lt-LT"/>
        </w:rPr>
        <w:t>s</w:t>
      </w:r>
      <w:r w:rsidR="00595752" w:rsidRPr="00650EE4">
        <w:rPr>
          <w:rFonts w:ascii="Times New Roman" w:hAnsi="Times New Roman"/>
          <w:color w:val="000000" w:themeColor="text1"/>
          <w:szCs w:val="22"/>
          <w:lang w:val="lt-LT"/>
        </w:rPr>
        <w:t>ukuriam</w:t>
      </w:r>
      <w:r w:rsidR="00397C25" w:rsidRPr="00650EE4">
        <w:rPr>
          <w:rFonts w:ascii="Times New Roman" w:hAnsi="Times New Roman"/>
          <w:color w:val="000000" w:themeColor="text1"/>
          <w:szCs w:val="22"/>
          <w:lang w:val="lt-LT"/>
        </w:rPr>
        <w:t>as ekonomines</w:t>
      </w:r>
      <w:r w:rsidR="004B7775" w:rsidRPr="00650EE4">
        <w:rPr>
          <w:rFonts w:ascii="Times New Roman" w:hAnsi="Times New Roman"/>
          <w:color w:val="000000" w:themeColor="text1"/>
          <w:szCs w:val="22"/>
          <w:lang w:val="lt-LT"/>
        </w:rPr>
        <w:t xml:space="preserve"> nauda</w:t>
      </w:r>
      <w:r w:rsidR="00397C25" w:rsidRPr="00650EE4">
        <w:rPr>
          <w:rFonts w:ascii="Times New Roman" w:hAnsi="Times New Roman"/>
          <w:color w:val="000000" w:themeColor="text1"/>
          <w:szCs w:val="22"/>
          <w:lang w:val="lt-LT"/>
        </w:rPr>
        <w:t>s vertintos tik to</w:t>
      </w:r>
      <w:r w:rsidR="000809AA" w:rsidRPr="00650EE4">
        <w:rPr>
          <w:rFonts w:ascii="Times New Roman" w:hAnsi="Times New Roman"/>
          <w:color w:val="000000" w:themeColor="text1"/>
          <w:szCs w:val="22"/>
          <w:lang w:val="lt-LT"/>
        </w:rPr>
        <w:t>s ekonominės naudos, kurių vertė</w:t>
      </w:r>
      <w:r w:rsidR="003C2EE9" w:rsidRPr="00650EE4">
        <w:rPr>
          <w:rFonts w:ascii="Times New Roman" w:hAnsi="Times New Roman"/>
          <w:color w:val="000000" w:themeColor="text1"/>
          <w:szCs w:val="22"/>
          <w:lang w:val="lt-LT"/>
        </w:rPr>
        <w:t xml:space="preserve"> gali būti patikimai </w:t>
      </w:r>
      <w:r w:rsidR="000809AA" w:rsidRPr="00650EE4">
        <w:rPr>
          <w:rFonts w:ascii="Times New Roman" w:hAnsi="Times New Roman"/>
          <w:color w:val="000000" w:themeColor="text1"/>
          <w:szCs w:val="22"/>
          <w:lang w:val="lt-LT"/>
        </w:rPr>
        <w:t>apskaičiuota</w:t>
      </w:r>
      <w:r w:rsidR="003C2EE9" w:rsidRPr="00650EE4">
        <w:rPr>
          <w:rFonts w:ascii="Times New Roman" w:hAnsi="Times New Roman"/>
          <w:color w:val="000000" w:themeColor="text1"/>
          <w:szCs w:val="22"/>
          <w:lang w:val="lt-LT"/>
        </w:rPr>
        <w:t xml:space="preserve"> ir turi</w:t>
      </w:r>
      <w:r w:rsidR="003C2EE9" w:rsidRPr="00650EE4">
        <w:rPr>
          <w:rFonts w:ascii="Times New Roman" w:hAnsi="Times New Roman"/>
          <w:bCs/>
          <w:color w:val="000000" w:themeColor="text1"/>
          <w:szCs w:val="22"/>
          <w:lang w:val="lt-LT"/>
        </w:rPr>
        <w:t xml:space="preserve"> didžiausią potencialą konvertuotis į realų pinigų srautą</w:t>
      </w:r>
      <w:r w:rsidR="000809AA" w:rsidRPr="00650EE4">
        <w:rPr>
          <w:rFonts w:ascii="Times New Roman" w:hAnsi="Times New Roman"/>
          <w:color w:val="000000" w:themeColor="text1"/>
          <w:szCs w:val="22"/>
          <w:lang w:val="lt-LT"/>
        </w:rPr>
        <w:t>:</w:t>
      </w:r>
    </w:p>
    <w:p w14:paraId="63639545" w14:textId="6F8708FA" w:rsidR="003C2EE9" w:rsidRPr="00650EE4" w:rsidRDefault="00C937BC" w:rsidP="0054351D">
      <w:pPr>
        <w:pStyle w:val="BodyText"/>
        <w:numPr>
          <w:ilvl w:val="0"/>
          <w:numId w:val="10"/>
        </w:numPr>
        <w:spacing w:after="60" w:line="240" w:lineRule="auto"/>
        <w:jc w:val="both"/>
        <w:rPr>
          <w:rFonts w:ascii="Times New Roman" w:hAnsi="Times New Roman"/>
          <w:color w:val="000000" w:themeColor="text1"/>
          <w:szCs w:val="22"/>
          <w:lang w:val="lt-LT"/>
        </w:rPr>
      </w:pPr>
      <w:r>
        <w:rPr>
          <w:rFonts w:ascii="Times New Roman" w:hAnsi="Times New Roman"/>
          <w:bCs/>
          <w:color w:val="000000" w:themeColor="text1"/>
          <w:szCs w:val="22"/>
          <w:lang w:val="lt-LT"/>
        </w:rPr>
        <w:t>s</w:t>
      </w:r>
      <w:r w:rsidR="000809AA" w:rsidRPr="00650EE4">
        <w:rPr>
          <w:rFonts w:ascii="Times New Roman" w:hAnsi="Times New Roman"/>
          <w:bCs/>
          <w:color w:val="000000" w:themeColor="text1"/>
          <w:szCs w:val="22"/>
          <w:lang w:val="lt-LT"/>
        </w:rPr>
        <w:t>utaupytos energijos vertė</w:t>
      </w:r>
      <w:r w:rsidR="0054351D" w:rsidRPr="00650EE4">
        <w:rPr>
          <w:rFonts w:ascii="Times New Roman" w:hAnsi="Times New Roman"/>
          <w:b/>
          <w:bCs/>
          <w:color w:val="000000" w:themeColor="text1"/>
          <w:szCs w:val="22"/>
          <w:lang w:val="lt-LT"/>
        </w:rPr>
        <w:t xml:space="preserve"> </w:t>
      </w:r>
      <w:r w:rsidR="006A3264" w:rsidRPr="00650EE4">
        <w:rPr>
          <w:rFonts w:ascii="Times New Roman" w:hAnsi="Times New Roman"/>
          <w:b/>
          <w:bCs/>
          <w:color w:val="000000" w:themeColor="text1"/>
          <w:szCs w:val="22"/>
          <w:lang w:val="lt-LT"/>
        </w:rPr>
        <w:t xml:space="preserve">– </w:t>
      </w:r>
      <w:r w:rsidR="003C2EE9" w:rsidRPr="00650EE4">
        <w:rPr>
          <w:rFonts w:ascii="Times New Roman" w:hAnsi="Times New Roman"/>
          <w:color w:val="000000" w:themeColor="text1"/>
          <w:szCs w:val="22"/>
          <w:lang w:val="lt-LT"/>
        </w:rPr>
        <w:t>suminio per 30 metų sutaupyto energijos kiekio ir kai</w:t>
      </w:r>
      <w:r>
        <w:rPr>
          <w:rFonts w:ascii="Times New Roman" w:hAnsi="Times New Roman"/>
          <w:color w:val="000000" w:themeColor="text1"/>
          <w:szCs w:val="22"/>
          <w:lang w:val="lt-LT"/>
        </w:rPr>
        <w:t>nos sandaugos diskontuota vertė;</w:t>
      </w:r>
      <w:r w:rsidR="003C2EE9" w:rsidRPr="00650EE4">
        <w:rPr>
          <w:rFonts w:ascii="Times New Roman" w:hAnsi="Times New Roman"/>
          <w:color w:val="000000" w:themeColor="text1"/>
          <w:szCs w:val="22"/>
          <w:lang w:val="lt-LT"/>
        </w:rPr>
        <w:t xml:space="preserve"> </w:t>
      </w:r>
    </w:p>
    <w:p w14:paraId="7E6266BB" w14:textId="7ACE2BF1" w:rsidR="003C2EE9" w:rsidRPr="00650EE4" w:rsidRDefault="00C937BC" w:rsidP="0054351D">
      <w:pPr>
        <w:pStyle w:val="BodyText"/>
        <w:numPr>
          <w:ilvl w:val="0"/>
          <w:numId w:val="10"/>
        </w:numPr>
        <w:spacing w:after="60" w:line="240" w:lineRule="auto"/>
        <w:jc w:val="both"/>
        <w:rPr>
          <w:rFonts w:ascii="Times New Roman" w:hAnsi="Times New Roman"/>
          <w:b/>
          <w:bCs/>
          <w:color w:val="000000" w:themeColor="text1"/>
          <w:szCs w:val="22"/>
          <w:lang w:val="lt-LT"/>
        </w:rPr>
      </w:pPr>
      <w:r>
        <w:rPr>
          <w:rFonts w:ascii="Times New Roman" w:hAnsi="Times New Roman"/>
          <w:bCs/>
          <w:color w:val="000000" w:themeColor="text1"/>
          <w:szCs w:val="22"/>
          <w:lang w:val="lt-LT"/>
        </w:rPr>
        <w:t>s</w:t>
      </w:r>
      <w:r w:rsidR="003C2EE9" w:rsidRPr="00650EE4">
        <w:rPr>
          <w:rFonts w:ascii="Times New Roman" w:hAnsi="Times New Roman"/>
          <w:bCs/>
          <w:color w:val="000000" w:themeColor="text1"/>
          <w:szCs w:val="22"/>
          <w:lang w:val="lt-LT"/>
        </w:rPr>
        <w:t>umažintų CO</w:t>
      </w:r>
      <w:r w:rsidR="003C2EE9" w:rsidRPr="00650EE4">
        <w:rPr>
          <w:rFonts w:ascii="Times New Roman" w:hAnsi="Times New Roman"/>
          <w:bCs/>
          <w:color w:val="000000" w:themeColor="text1"/>
          <w:szCs w:val="22"/>
          <w:vertAlign w:val="subscript"/>
          <w:lang w:val="lt-LT"/>
        </w:rPr>
        <w:t>2</w:t>
      </w:r>
      <w:r w:rsidR="003C2EE9" w:rsidRPr="00650EE4">
        <w:rPr>
          <w:rFonts w:ascii="Times New Roman" w:hAnsi="Times New Roman"/>
          <w:bCs/>
          <w:color w:val="000000" w:themeColor="text1"/>
          <w:szCs w:val="22"/>
          <w:lang w:val="lt-LT"/>
        </w:rPr>
        <w:t xml:space="preserve"> </w:t>
      </w:r>
      <w:r w:rsidR="000809AA" w:rsidRPr="00650EE4">
        <w:rPr>
          <w:rFonts w:ascii="Times New Roman" w:hAnsi="Times New Roman"/>
          <w:bCs/>
          <w:color w:val="000000" w:themeColor="text1"/>
          <w:szCs w:val="22"/>
          <w:lang w:val="lt-LT"/>
        </w:rPr>
        <w:t>išmetimų vertė</w:t>
      </w:r>
      <w:r w:rsidR="0054351D" w:rsidRPr="00650EE4">
        <w:rPr>
          <w:rFonts w:ascii="Times New Roman" w:hAnsi="Times New Roman"/>
          <w:bCs/>
          <w:color w:val="000000" w:themeColor="text1"/>
          <w:szCs w:val="22"/>
          <w:lang w:val="lt-LT"/>
        </w:rPr>
        <w:t xml:space="preserve"> </w:t>
      </w:r>
      <w:r w:rsidR="006A3264" w:rsidRPr="00650EE4">
        <w:rPr>
          <w:rFonts w:ascii="Times New Roman" w:hAnsi="Times New Roman"/>
          <w:bCs/>
          <w:color w:val="000000" w:themeColor="text1"/>
          <w:szCs w:val="22"/>
          <w:lang w:val="lt-LT"/>
        </w:rPr>
        <w:t xml:space="preserve">– </w:t>
      </w:r>
      <w:r w:rsidR="003C2EE9" w:rsidRPr="00650EE4">
        <w:rPr>
          <w:rFonts w:ascii="Times New Roman" w:hAnsi="Times New Roman"/>
          <w:color w:val="000000" w:themeColor="text1"/>
          <w:szCs w:val="22"/>
          <w:lang w:val="lt-LT"/>
        </w:rPr>
        <w:t>suminio per 30 metų sutaupyto CO</w:t>
      </w:r>
      <w:r w:rsidR="003C2EE9" w:rsidRPr="00650EE4">
        <w:rPr>
          <w:rFonts w:ascii="Times New Roman" w:hAnsi="Times New Roman"/>
          <w:color w:val="000000" w:themeColor="text1"/>
          <w:szCs w:val="22"/>
          <w:vertAlign w:val="subscript"/>
          <w:lang w:val="lt-LT"/>
        </w:rPr>
        <w:t>2</w:t>
      </w:r>
      <w:r w:rsidR="003C2EE9" w:rsidRPr="00650EE4">
        <w:rPr>
          <w:rFonts w:ascii="Times New Roman" w:hAnsi="Times New Roman"/>
          <w:color w:val="000000" w:themeColor="text1"/>
          <w:szCs w:val="22"/>
          <w:lang w:val="lt-LT"/>
        </w:rPr>
        <w:t xml:space="preserve"> emisijų kiekio ir kai</w:t>
      </w:r>
      <w:r>
        <w:rPr>
          <w:rFonts w:ascii="Times New Roman" w:hAnsi="Times New Roman"/>
          <w:color w:val="000000" w:themeColor="text1"/>
          <w:szCs w:val="22"/>
          <w:lang w:val="lt-LT"/>
        </w:rPr>
        <w:t>nos sandaugos diskontuota vertė;</w:t>
      </w:r>
    </w:p>
    <w:p w14:paraId="200C1F01" w14:textId="4EE7C07F" w:rsidR="003C2EE9" w:rsidRPr="00650EE4" w:rsidRDefault="003C2EE9" w:rsidP="003C2EE9">
      <w:pPr>
        <w:pStyle w:val="Pagrindinispaprastastekstas"/>
        <w:numPr>
          <w:ilvl w:val="0"/>
          <w:numId w:val="10"/>
        </w:numPr>
        <w:spacing w:after="120"/>
        <w:rPr>
          <w:rFonts w:ascii="Times New Roman" w:hAnsi="Times New Roman"/>
          <w:color w:val="000000" w:themeColor="text1"/>
          <w:szCs w:val="22"/>
        </w:rPr>
      </w:pPr>
      <w:r w:rsidRPr="00650EE4">
        <w:rPr>
          <w:rFonts w:ascii="Times New Roman" w:hAnsi="Times New Roman"/>
          <w:bCs/>
          <w:color w:val="000000" w:themeColor="text1"/>
          <w:szCs w:val="22"/>
        </w:rPr>
        <w:t>B</w:t>
      </w:r>
      <w:r w:rsidR="000809AA" w:rsidRPr="00650EE4">
        <w:rPr>
          <w:rFonts w:ascii="Times New Roman" w:hAnsi="Times New Roman"/>
          <w:bCs/>
          <w:color w:val="000000" w:themeColor="text1"/>
          <w:szCs w:val="22"/>
        </w:rPr>
        <w:t>VP padidėjimas</w:t>
      </w:r>
      <w:r w:rsidR="0054351D" w:rsidRPr="00650EE4">
        <w:rPr>
          <w:rFonts w:ascii="Times New Roman" w:hAnsi="Times New Roman"/>
          <w:bCs/>
          <w:color w:val="000000" w:themeColor="text1"/>
          <w:szCs w:val="22"/>
        </w:rPr>
        <w:t xml:space="preserve"> </w:t>
      </w:r>
      <w:r w:rsidR="006A3264" w:rsidRPr="00650EE4">
        <w:rPr>
          <w:rFonts w:ascii="Times New Roman" w:hAnsi="Times New Roman"/>
          <w:bCs/>
          <w:color w:val="000000" w:themeColor="text1"/>
          <w:szCs w:val="22"/>
        </w:rPr>
        <w:t xml:space="preserve">– </w:t>
      </w:r>
      <w:r w:rsidR="00DC66E9" w:rsidRPr="00650EE4">
        <w:rPr>
          <w:rFonts w:ascii="Times New Roman" w:hAnsi="Times New Roman"/>
          <w:bCs/>
          <w:color w:val="000000" w:themeColor="text1"/>
          <w:szCs w:val="22"/>
        </w:rPr>
        <w:t>prognozuojama</w:t>
      </w:r>
      <w:r w:rsidR="00DC66E9" w:rsidRPr="00650EE4">
        <w:rPr>
          <w:rFonts w:ascii="Times New Roman" w:hAnsi="Times New Roman"/>
          <w:color w:val="000000" w:themeColor="text1"/>
          <w:szCs w:val="22"/>
        </w:rPr>
        <w:t xml:space="preserve"> investicijų į renovacijos priemones įtaka šalies</w:t>
      </w:r>
      <w:r w:rsidRPr="00650EE4">
        <w:rPr>
          <w:rFonts w:ascii="Times New Roman" w:hAnsi="Times New Roman"/>
          <w:color w:val="000000" w:themeColor="text1"/>
          <w:szCs w:val="22"/>
        </w:rPr>
        <w:t xml:space="preserve"> BVP</w:t>
      </w:r>
      <w:r w:rsidR="00DC66E9" w:rsidRPr="00650EE4">
        <w:rPr>
          <w:rFonts w:ascii="Times New Roman" w:hAnsi="Times New Roman"/>
          <w:color w:val="000000" w:themeColor="text1"/>
          <w:szCs w:val="22"/>
        </w:rPr>
        <w:t xml:space="preserve"> dydžiui</w:t>
      </w:r>
      <w:r w:rsidRPr="00650EE4">
        <w:rPr>
          <w:rFonts w:ascii="Times New Roman" w:hAnsi="Times New Roman"/>
          <w:bCs/>
          <w:color w:val="000000" w:themeColor="text1"/>
          <w:szCs w:val="22"/>
        </w:rPr>
        <w:t>.</w:t>
      </w:r>
    </w:p>
    <w:p w14:paraId="013765B0" w14:textId="575D199E" w:rsidR="003C2EE9" w:rsidRPr="00650EE4" w:rsidRDefault="00BD40A2" w:rsidP="005F4C9D">
      <w:pPr>
        <w:spacing w:after="120"/>
        <w:jc w:val="both"/>
        <w:rPr>
          <w:rFonts w:ascii="Times New Roman" w:hAnsi="Times New Roman"/>
          <w:iCs/>
        </w:rPr>
      </w:pPr>
      <w:r w:rsidRPr="00650EE4">
        <w:rPr>
          <w:rFonts w:ascii="Times New Roman" w:hAnsi="Times New Roman"/>
          <w:color w:val="000000" w:themeColor="text1"/>
          <w:szCs w:val="22"/>
        </w:rPr>
        <w:t>E</w:t>
      </w:r>
      <w:r w:rsidR="003C2EE9" w:rsidRPr="00650EE4">
        <w:rPr>
          <w:rFonts w:ascii="Times New Roman" w:hAnsi="Times New Roman"/>
          <w:color w:val="000000" w:themeColor="text1"/>
          <w:szCs w:val="22"/>
        </w:rPr>
        <w:t>konomiškai efektyviausio renova</w:t>
      </w:r>
      <w:r w:rsidRPr="00650EE4">
        <w:rPr>
          <w:rFonts w:ascii="Times New Roman" w:hAnsi="Times New Roman"/>
          <w:color w:val="000000" w:themeColor="text1"/>
          <w:szCs w:val="22"/>
        </w:rPr>
        <w:t>cijos būdo nustatymo rezultatai atskleidžia</w:t>
      </w:r>
      <w:r w:rsidR="002E1F97" w:rsidRPr="00650EE4">
        <w:rPr>
          <w:rFonts w:ascii="Times New Roman" w:hAnsi="Times New Roman"/>
          <w:color w:val="000000" w:themeColor="text1"/>
          <w:szCs w:val="22"/>
        </w:rPr>
        <w:t xml:space="preserve">, kad </w:t>
      </w:r>
      <w:r w:rsidR="003C2EE9" w:rsidRPr="00650EE4">
        <w:rPr>
          <w:rFonts w:ascii="Times New Roman" w:hAnsi="Times New Roman"/>
          <w:szCs w:val="22"/>
        </w:rPr>
        <w:t>d</w:t>
      </w:r>
      <w:r w:rsidR="003C2EE9" w:rsidRPr="00650EE4">
        <w:rPr>
          <w:rFonts w:ascii="Times New Roman" w:hAnsi="Times New Roman"/>
          <w:color w:val="000000" w:themeColor="text1"/>
          <w:szCs w:val="22"/>
        </w:rPr>
        <w:t>idžiausia ekonominė grąža (skirtumas tarp eko</w:t>
      </w:r>
      <w:r w:rsidR="00C937BC">
        <w:rPr>
          <w:rFonts w:ascii="Times New Roman" w:hAnsi="Times New Roman"/>
          <w:color w:val="000000" w:themeColor="text1"/>
          <w:szCs w:val="22"/>
        </w:rPr>
        <w:t>nominės naudos ir investicijų) p</w:t>
      </w:r>
      <w:r w:rsidR="003C2EE9" w:rsidRPr="00650EE4">
        <w:rPr>
          <w:rFonts w:ascii="Times New Roman" w:hAnsi="Times New Roman"/>
          <w:color w:val="000000" w:themeColor="text1"/>
          <w:szCs w:val="22"/>
        </w:rPr>
        <w:t>astatų fondo lygmeniu yra 45 – 55 proc. energijos sutaupymų zonoje. Toki</w:t>
      </w:r>
      <w:r w:rsidR="00C937BC">
        <w:rPr>
          <w:rFonts w:ascii="Times New Roman" w:hAnsi="Times New Roman"/>
          <w:color w:val="000000" w:themeColor="text1"/>
          <w:szCs w:val="22"/>
        </w:rPr>
        <w:t>e sutaupymai būtų pasiekti jei p</w:t>
      </w:r>
      <w:r w:rsidR="003C2EE9" w:rsidRPr="00650EE4">
        <w:rPr>
          <w:rFonts w:ascii="Times New Roman" w:hAnsi="Times New Roman"/>
          <w:color w:val="000000" w:themeColor="text1"/>
          <w:szCs w:val="22"/>
        </w:rPr>
        <w:t xml:space="preserve">astatų fondas būtų transformuotas </w:t>
      </w:r>
      <w:r w:rsidR="00C00322" w:rsidRPr="00650EE4">
        <w:rPr>
          <w:rFonts w:ascii="Times New Roman" w:hAnsi="Times New Roman"/>
          <w:color w:val="000000" w:themeColor="text1"/>
          <w:szCs w:val="22"/>
        </w:rPr>
        <w:t>ik</w:t>
      </w:r>
      <w:r w:rsidR="00A85EE9" w:rsidRPr="00650EE4">
        <w:rPr>
          <w:rFonts w:ascii="Times New Roman" w:hAnsi="Times New Roman"/>
          <w:color w:val="000000" w:themeColor="text1"/>
          <w:szCs w:val="22"/>
        </w:rPr>
        <w:t>i</w:t>
      </w:r>
      <w:r w:rsidR="00C00322" w:rsidRPr="00650EE4">
        <w:rPr>
          <w:rFonts w:ascii="Times New Roman" w:hAnsi="Times New Roman"/>
          <w:color w:val="000000" w:themeColor="text1"/>
          <w:szCs w:val="22"/>
        </w:rPr>
        <w:t xml:space="preserve"> A arba </w:t>
      </w:r>
      <w:r w:rsidR="003C2EE9" w:rsidRPr="00650EE4">
        <w:rPr>
          <w:rFonts w:ascii="Times New Roman" w:hAnsi="Times New Roman"/>
          <w:szCs w:val="22"/>
        </w:rPr>
        <w:t xml:space="preserve">B energinio naudingumo klasės (pritaikant AEI priemones). Atitinkamai vertinama, kad </w:t>
      </w:r>
      <w:r w:rsidR="00A85EE9" w:rsidRPr="00650EE4">
        <w:rPr>
          <w:rFonts w:ascii="Times New Roman" w:hAnsi="Times New Roman"/>
          <w:szCs w:val="22"/>
        </w:rPr>
        <w:t xml:space="preserve">tai yra </w:t>
      </w:r>
      <w:r w:rsidR="003C2EE9" w:rsidRPr="00650EE4">
        <w:rPr>
          <w:rFonts w:ascii="Times New Roman" w:hAnsi="Times New Roman"/>
          <w:color w:val="000000" w:themeColor="text1"/>
          <w:szCs w:val="22"/>
        </w:rPr>
        <w:t>ekonomiškai efektyvus b</w:t>
      </w:r>
      <w:r w:rsidR="00A85EE9" w:rsidRPr="00650EE4">
        <w:rPr>
          <w:rFonts w:ascii="Times New Roman" w:hAnsi="Times New Roman"/>
          <w:color w:val="000000" w:themeColor="text1"/>
          <w:szCs w:val="22"/>
        </w:rPr>
        <w:t xml:space="preserve">ūdas transformuoti </w:t>
      </w:r>
      <w:r w:rsidR="00C937BC">
        <w:rPr>
          <w:rFonts w:ascii="Times New Roman" w:hAnsi="Times New Roman"/>
          <w:color w:val="000000" w:themeColor="text1"/>
          <w:szCs w:val="22"/>
        </w:rPr>
        <w:t>p</w:t>
      </w:r>
      <w:r w:rsidR="00A85EE9" w:rsidRPr="00650EE4">
        <w:rPr>
          <w:rFonts w:ascii="Times New Roman" w:hAnsi="Times New Roman"/>
          <w:color w:val="000000" w:themeColor="text1"/>
          <w:szCs w:val="22"/>
        </w:rPr>
        <w:t>astatų fondą</w:t>
      </w:r>
      <w:r w:rsidR="000E40ED" w:rsidRPr="00650EE4">
        <w:rPr>
          <w:rFonts w:ascii="Times New Roman" w:hAnsi="Times New Roman"/>
          <w:color w:val="000000" w:themeColor="text1"/>
          <w:szCs w:val="22"/>
        </w:rPr>
        <w:t xml:space="preserve">. </w:t>
      </w:r>
    </w:p>
    <w:p w14:paraId="6F0EE621" w14:textId="65BF44F7" w:rsidR="00C61B49" w:rsidRPr="00650EE4" w:rsidRDefault="00C61B49" w:rsidP="000A6FD7">
      <w:pPr>
        <w:spacing w:before="240" w:after="120"/>
        <w:jc w:val="both"/>
        <w:rPr>
          <w:rFonts w:ascii="Times New Roman" w:hAnsi="Times New Roman"/>
          <w:b/>
          <w:bCs/>
          <w:sz w:val="24"/>
          <w:szCs w:val="24"/>
        </w:rPr>
      </w:pPr>
      <w:r w:rsidRPr="00650EE4">
        <w:rPr>
          <w:rFonts w:ascii="Times New Roman" w:hAnsi="Times New Roman"/>
          <w:b/>
          <w:bCs/>
          <w:sz w:val="24"/>
          <w:szCs w:val="24"/>
        </w:rPr>
        <w:t xml:space="preserve">Renovacijos </w:t>
      </w:r>
      <w:r w:rsidR="007A4F1F">
        <w:rPr>
          <w:rFonts w:ascii="Times New Roman" w:hAnsi="Times New Roman"/>
          <w:b/>
          <w:bCs/>
          <w:sz w:val="24"/>
          <w:szCs w:val="24"/>
        </w:rPr>
        <w:t xml:space="preserve">strategijos </w:t>
      </w:r>
      <w:r w:rsidRPr="00650EE4">
        <w:rPr>
          <w:rFonts w:ascii="Times New Roman" w:hAnsi="Times New Roman"/>
          <w:b/>
          <w:bCs/>
          <w:sz w:val="24"/>
          <w:szCs w:val="24"/>
        </w:rPr>
        <w:t>įgyvendinimo rodikliai</w:t>
      </w:r>
    </w:p>
    <w:p w14:paraId="72BDEE85" w14:textId="18B81336" w:rsidR="003D33B3" w:rsidRPr="00650EE4" w:rsidRDefault="003D33B3" w:rsidP="003A2A1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Lietuvos ilgalaikės pastatų renovacijos </w:t>
      </w:r>
      <w:r w:rsidR="00C937BC">
        <w:rPr>
          <w:rFonts w:ascii="Times New Roman" w:hAnsi="Times New Roman"/>
          <w:color w:val="000000" w:themeColor="text1"/>
          <w:szCs w:val="22"/>
        </w:rPr>
        <w:t>vizija yra transformuoti esamą p</w:t>
      </w:r>
      <w:r w:rsidRPr="00650EE4">
        <w:rPr>
          <w:rFonts w:ascii="Times New Roman" w:hAnsi="Times New Roman"/>
          <w:color w:val="000000" w:themeColor="text1"/>
          <w:szCs w:val="22"/>
        </w:rPr>
        <w:t>astatų fondą taip, kad 2050 metais jis būtų:</w:t>
      </w:r>
    </w:p>
    <w:p w14:paraId="7B7468DC" w14:textId="04EEE1A4" w:rsidR="003D33B3" w:rsidRPr="00650EE4" w:rsidRDefault="00C937BC" w:rsidP="00157B41">
      <w:pPr>
        <w:pStyle w:val="ListParagraph"/>
        <w:numPr>
          <w:ilvl w:val="0"/>
          <w:numId w:val="15"/>
        </w:numPr>
        <w:spacing w:after="6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003D33B3" w:rsidRPr="00650EE4">
        <w:rPr>
          <w:rFonts w:ascii="Times New Roman" w:hAnsi="Times New Roman"/>
          <w:color w:val="000000" w:themeColor="text1"/>
          <w:szCs w:val="22"/>
          <w:lang w:val="lt-LT"/>
        </w:rPr>
        <w:t xml:space="preserve">fektyviai vartojantis energiją (su sąlygomis pertvarkymui į </w:t>
      </w:r>
      <w:r w:rsidR="003D33B3" w:rsidRPr="00650EE4">
        <w:rPr>
          <w:rFonts w:ascii="Times New Roman" w:hAnsi="Times New Roman"/>
          <w:bCs/>
          <w:color w:val="000000" w:themeColor="text1"/>
          <w:szCs w:val="22"/>
          <w:lang w:val="lt-LT"/>
        </w:rPr>
        <w:t>beveik nulinės energijos pastatus);</w:t>
      </w:r>
    </w:p>
    <w:p w14:paraId="3BE7CC90" w14:textId="580788D1" w:rsidR="003D33B3" w:rsidRPr="00650EE4" w:rsidRDefault="00C937BC" w:rsidP="003A2A10">
      <w:pPr>
        <w:pStyle w:val="ListParagraph"/>
        <w:numPr>
          <w:ilvl w:val="0"/>
          <w:numId w:val="15"/>
        </w:numPr>
        <w:spacing w:after="12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3D33B3" w:rsidRPr="00650EE4">
        <w:rPr>
          <w:rFonts w:ascii="Times New Roman" w:hAnsi="Times New Roman"/>
          <w:color w:val="000000" w:themeColor="text1"/>
          <w:szCs w:val="22"/>
          <w:lang w:val="lt-LT"/>
        </w:rPr>
        <w:t xml:space="preserve">epriklausomas nuo iškastinio kuro.  </w:t>
      </w:r>
    </w:p>
    <w:p w14:paraId="554C692C" w14:textId="4D23062F" w:rsidR="003D33B3" w:rsidRPr="00650EE4" w:rsidRDefault="003D33B3" w:rsidP="00157B41">
      <w:pPr>
        <w:spacing w:before="120"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Siekiant</w:t>
      </w:r>
      <w:r w:rsidR="006B35D4" w:rsidRPr="00650EE4">
        <w:rPr>
          <w:rFonts w:ascii="Times New Roman" w:hAnsi="Times New Roman"/>
          <w:color w:val="000000" w:themeColor="text1"/>
          <w:szCs w:val="22"/>
        </w:rPr>
        <w:t xml:space="preserve"> vizijos </w:t>
      </w:r>
      <w:r w:rsidRPr="00650EE4">
        <w:rPr>
          <w:rFonts w:ascii="Times New Roman" w:hAnsi="Times New Roman"/>
          <w:color w:val="000000" w:themeColor="text1"/>
          <w:szCs w:val="22"/>
        </w:rPr>
        <w:t>įgyvendinimo suformuoti šie strateginiai tikslai:</w:t>
      </w:r>
    </w:p>
    <w:p w14:paraId="6F6B9685" w14:textId="181B8893" w:rsidR="003D33B3" w:rsidRPr="00650EE4" w:rsidRDefault="00C937BC" w:rsidP="00BD4925">
      <w:pPr>
        <w:pStyle w:val="ListParagraph"/>
        <w:numPr>
          <w:ilvl w:val="0"/>
          <w:numId w:val="67"/>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3D33B3" w:rsidRPr="00650EE4">
        <w:rPr>
          <w:rFonts w:ascii="Times New Roman" w:hAnsi="Times New Roman"/>
          <w:color w:val="000000" w:themeColor="text1"/>
          <w:szCs w:val="22"/>
          <w:lang w:val="lt-LT"/>
        </w:rPr>
        <w:t>irminės energijos vartojimo sumažinimas (didina</w:t>
      </w:r>
      <w:r>
        <w:rPr>
          <w:rFonts w:ascii="Times New Roman" w:hAnsi="Times New Roman"/>
          <w:color w:val="000000" w:themeColor="text1"/>
          <w:szCs w:val="22"/>
          <w:lang w:val="lt-LT"/>
        </w:rPr>
        <w:t>nt pastatų energinį efektyvumą);</w:t>
      </w:r>
    </w:p>
    <w:p w14:paraId="0D7A6ED8" w14:textId="2E28D508" w:rsidR="003D33B3" w:rsidRPr="00650EE4" w:rsidRDefault="00C937BC" w:rsidP="00BD4925">
      <w:pPr>
        <w:pStyle w:val="ListParagraph"/>
        <w:numPr>
          <w:ilvl w:val="0"/>
          <w:numId w:val="67"/>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3D33B3" w:rsidRPr="00650EE4">
        <w:rPr>
          <w:rFonts w:ascii="Times New Roman" w:hAnsi="Times New Roman"/>
          <w:color w:val="000000" w:themeColor="text1"/>
          <w:szCs w:val="22"/>
          <w:lang w:val="lt-LT"/>
        </w:rPr>
        <w:t xml:space="preserve">irminės energijos iš iškastinio kuro vartojimo </w:t>
      </w:r>
      <w:r w:rsidR="00F34B3B">
        <w:rPr>
          <w:rFonts w:ascii="Times New Roman" w:hAnsi="Times New Roman"/>
          <w:color w:val="000000" w:themeColor="text1"/>
          <w:szCs w:val="22"/>
          <w:lang w:val="lt-LT"/>
        </w:rPr>
        <w:t>atsisakymas</w:t>
      </w:r>
      <w:r w:rsidR="003D33B3" w:rsidRPr="00650EE4">
        <w:rPr>
          <w:rFonts w:ascii="Times New Roman" w:hAnsi="Times New Roman"/>
          <w:color w:val="000000" w:themeColor="text1"/>
          <w:szCs w:val="22"/>
          <w:lang w:val="lt-LT"/>
        </w:rPr>
        <w:t xml:space="preserve"> (keičia</w:t>
      </w:r>
      <w:r>
        <w:rPr>
          <w:rFonts w:ascii="Times New Roman" w:hAnsi="Times New Roman"/>
          <w:color w:val="000000" w:themeColor="text1"/>
          <w:szCs w:val="22"/>
          <w:lang w:val="lt-LT"/>
        </w:rPr>
        <w:t>nt energijos gamybos šaltinius);</w:t>
      </w:r>
    </w:p>
    <w:p w14:paraId="2CFB1821" w14:textId="10A27167" w:rsidR="003D33B3" w:rsidRPr="00650EE4" w:rsidRDefault="00F34B3B" w:rsidP="00BD4925">
      <w:pPr>
        <w:pStyle w:val="ListParagraph"/>
        <w:numPr>
          <w:ilvl w:val="0"/>
          <w:numId w:val="67"/>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Nulinių </w:t>
      </w:r>
      <w:r w:rsidR="003D33B3" w:rsidRPr="00650EE4">
        <w:rPr>
          <w:rFonts w:ascii="Times New Roman" w:hAnsi="Times New Roman"/>
          <w:color w:val="000000" w:themeColor="text1"/>
          <w:szCs w:val="22"/>
          <w:lang w:val="lt-LT"/>
        </w:rPr>
        <w:t>CO</w:t>
      </w:r>
      <w:r w:rsidR="003D33B3" w:rsidRPr="00F34B3B">
        <w:rPr>
          <w:rFonts w:ascii="Times New Roman" w:hAnsi="Times New Roman"/>
          <w:color w:val="000000" w:themeColor="text1"/>
          <w:szCs w:val="22"/>
          <w:vertAlign w:val="subscript"/>
          <w:lang w:val="lt-LT"/>
        </w:rPr>
        <w:t>2</w:t>
      </w:r>
      <w:r w:rsidR="003D33B3" w:rsidRPr="00650EE4">
        <w:rPr>
          <w:rFonts w:ascii="Times New Roman" w:hAnsi="Times New Roman"/>
          <w:color w:val="000000" w:themeColor="text1"/>
          <w:szCs w:val="22"/>
          <w:lang w:val="lt-LT"/>
        </w:rPr>
        <w:t xml:space="preserve"> emisijų </w:t>
      </w:r>
      <w:r>
        <w:rPr>
          <w:rFonts w:ascii="Times New Roman" w:hAnsi="Times New Roman"/>
          <w:color w:val="000000" w:themeColor="text1"/>
          <w:szCs w:val="22"/>
          <w:lang w:val="lt-LT"/>
        </w:rPr>
        <w:t>pasiekimas</w:t>
      </w:r>
      <w:r w:rsidR="003D33B3" w:rsidRPr="00650EE4">
        <w:rPr>
          <w:rFonts w:ascii="Times New Roman" w:hAnsi="Times New Roman"/>
          <w:color w:val="000000" w:themeColor="text1"/>
          <w:szCs w:val="22"/>
          <w:lang w:val="lt-LT"/>
        </w:rPr>
        <w:t>.</w:t>
      </w:r>
    </w:p>
    <w:p w14:paraId="51F151D2" w14:textId="09E1FFE2" w:rsidR="002251AB" w:rsidRPr="00650EE4" w:rsidRDefault="002251AB" w:rsidP="003A2A1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Įgyvendinant šiuos strateginius tikslus planuojama iki 2050 metų pasiekti šiuos rodiklius (lyginant su 2020 m.):</w:t>
      </w:r>
    </w:p>
    <w:p w14:paraId="31DCCF50" w14:textId="45C7783C" w:rsidR="002251AB" w:rsidRPr="00650EE4"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sumažinti metinį p</w:t>
      </w:r>
      <w:r w:rsidR="002251AB" w:rsidRPr="00650EE4">
        <w:rPr>
          <w:rFonts w:ascii="Times New Roman" w:hAnsi="Times New Roman"/>
          <w:color w:val="000000" w:themeColor="text1"/>
          <w:szCs w:val="22"/>
          <w:lang w:val="lt-LT"/>
        </w:rPr>
        <w:t>astatų fondo pirminės energijos var</w:t>
      </w:r>
      <w:r>
        <w:rPr>
          <w:rFonts w:ascii="Times New Roman" w:hAnsi="Times New Roman"/>
          <w:color w:val="000000" w:themeColor="text1"/>
          <w:szCs w:val="22"/>
          <w:lang w:val="lt-LT"/>
        </w:rPr>
        <w:t xml:space="preserve">tojimą iki </w:t>
      </w:r>
      <w:r w:rsidR="00F34B3B">
        <w:rPr>
          <w:rFonts w:ascii="Times New Roman" w:hAnsi="Times New Roman"/>
          <w:color w:val="000000" w:themeColor="text1"/>
          <w:szCs w:val="22"/>
        </w:rPr>
        <w:t>16,2</w:t>
      </w:r>
      <w:r w:rsidR="00F34B3B">
        <w:rPr>
          <w:rFonts w:ascii="Times New Roman" w:hAnsi="Times New Roman"/>
          <w:color w:val="000000" w:themeColor="text1"/>
          <w:szCs w:val="22"/>
          <w:lang w:val="lt-LT"/>
        </w:rPr>
        <w:t xml:space="preserve"> </w:t>
      </w:r>
      <w:proofErr w:type="spellStart"/>
      <w:r w:rsidR="00F34B3B">
        <w:rPr>
          <w:rFonts w:ascii="Times New Roman" w:hAnsi="Times New Roman"/>
          <w:color w:val="000000" w:themeColor="text1"/>
          <w:szCs w:val="22"/>
          <w:lang w:val="lt-LT"/>
        </w:rPr>
        <w:t>TWh</w:t>
      </w:r>
      <w:proofErr w:type="spellEnd"/>
      <w:r w:rsidR="00F34B3B">
        <w:rPr>
          <w:rFonts w:ascii="Times New Roman" w:hAnsi="Times New Roman"/>
          <w:color w:val="000000" w:themeColor="text1"/>
          <w:szCs w:val="22"/>
          <w:lang w:val="lt-LT"/>
        </w:rPr>
        <w:t xml:space="preserve"> (~6</w:t>
      </w:r>
      <w:r>
        <w:rPr>
          <w:rFonts w:ascii="Times New Roman" w:hAnsi="Times New Roman"/>
          <w:color w:val="000000" w:themeColor="text1"/>
          <w:szCs w:val="22"/>
          <w:lang w:val="lt-LT"/>
        </w:rPr>
        <w:t>0 proc.);</w:t>
      </w:r>
    </w:p>
    <w:p w14:paraId="7F0A0AB9" w14:textId="6685D6EA" w:rsidR="002251AB" w:rsidRPr="00650EE4"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sumažinti metinį p</w:t>
      </w:r>
      <w:r w:rsidR="002251AB" w:rsidRPr="00650EE4">
        <w:rPr>
          <w:rFonts w:ascii="Times New Roman" w:hAnsi="Times New Roman"/>
          <w:color w:val="000000" w:themeColor="text1"/>
          <w:szCs w:val="22"/>
          <w:lang w:val="lt-LT"/>
        </w:rPr>
        <w:t>astatų fondo pirminės energijos iš iškastinio kuro va</w:t>
      </w:r>
      <w:r>
        <w:rPr>
          <w:rFonts w:ascii="Times New Roman" w:hAnsi="Times New Roman"/>
          <w:color w:val="000000" w:themeColor="text1"/>
          <w:szCs w:val="22"/>
          <w:lang w:val="lt-LT"/>
        </w:rPr>
        <w:t xml:space="preserve">rtojimą iki </w:t>
      </w:r>
      <w:r w:rsidR="00F34B3B">
        <w:rPr>
          <w:rFonts w:ascii="Times New Roman" w:hAnsi="Times New Roman"/>
          <w:color w:val="000000" w:themeColor="text1"/>
          <w:szCs w:val="22"/>
          <w:lang w:val="lt-LT"/>
        </w:rPr>
        <w:t xml:space="preserve">0 </w:t>
      </w:r>
      <w:proofErr w:type="spellStart"/>
      <w:r w:rsidR="00F34B3B">
        <w:rPr>
          <w:rFonts w:ascii="Times New Roman" w:hAnsi="Times New Roman"/>
          <w:color w:val="000000" w:themeColor="text1"/>
          <w:szCs w:val="22"/>
          <w:lang w:val="lt-LT"/>
        </w:rPr>
        <w:t>TWh</w:t>
      </w:r>
      <w:proofErr w:type="spellEnd"/>
      <w:r w:rsidR="00F34B3B">
        <w:rPr>
          <w:rFonts w:ascii="Times New Roman" w:hAnsi="Times New Roman"/>
          <w:color w:val="000000" w:themeColor="text1"/>
          <w:szCs w:val="22"/>
          <w:lang w:val="lt-LT"/>
        </w:rPr>
        <w:t xml:space="preserve"> (100</w:t>
      </w:r>
      <w:r>
        <w:rPr>
          <w:rFonts w:ascii="Times New Roman" w:hAnsi="Times New Roman"/>
          <w:color w:val="000000" w:themeColor="text1"/>
          <w:szCs w:val="22"/>
          <w:lang w:val="lt-LT"/>
        </w:rPr>
        <w:t xml:space="preserve"> proc.);</w:t>
      </w:r>
    </w:p>
    <w:p w14:paraId="3F4A532B" w14:textId="5765FEA1" w:rsidR="002251AB" w:rsidRPr="00650EE4" w:rsidRDefault="00C937BC" w:rsidP="00BD4925">
      <w:pPr>
        <w:pStyle w:val="ListParagraph"/>
        <w:numPr>
          <w:ilvl w:val="0"/>
          <w:numId w:val="68"/>
        </w:numPr>
        <w:spacing w:after="6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sumažinti metinį p</w:t>
      </w:r>
      <w:r w:rsidR="002251AB" w:rsidRPr="00650EE4">
        <w:rPr>
          <w:rFonts w:ascii="Times New Roman" w:hAnsi="Times New Roman"/>
          <w:color w:val="000000" w:themeColor="text1"/>
          <w:szCs w:val="22"/>
          <w:lang w:val="lt-LT"/>
        </w:rPr>
        <w:t>astatų</w:t>
      </w:r>
      <w:r w:rsidR="00CA2B30">
        <w:rPr>
          <w:rFonts w:ascii="Times New Roman" w:hAnsi="Times New Roman"/>
          <w:color w:val="000000" w:themeColor="text1"/>
          <w:szCs w:val="22"/>
          <w:lang w:val="lt-LT"/>
        </w:rPr>
        <w:t xml:space="preserve"> fondo CO</w:t>
      </w:r>
      <w:r w:rsidR="00CA2B30" w:rsidRPr="00F34B3B">
        <w:rPr>
          <w:rFonts w:ascii="Times New Roman" w:hAnsi="Times New Roman"/>
          <w:color w:val="000000" w:themeColor="text1"/>
          <w:szCs w:val="22"/>
          <w:vertAlign w:val="subscript"/>
          <w:lang w:val="lt-LT"/>
        </w:rPr>
        <w:t>2</w:t>
      </w:r>
      <w:r w:rsidR="00F34B3B">
        <w:rPr>
          <w:rFonts w:ascii="Times New Roman" w:hAnsi="Times New Roman"/>
          <w:color w:val="000000" w:themeColor="text1"/>
          <w:szCs w:val="22"/>
          <w:lang w:val="lt-LT"/>
        </w:rPr>
        <w:t xml:space="preserve"> emisijų kiekį iki 0</w:t>
      </w:r>
      <w:r w:rsidR="002251AB" w:rsidRPr="00650EE4">
        <w:rPr>
          <w:rFonts w:ascii="Times New Roman" w:hAnsi="Times New Roman"/>
          <w:color w:val="000000" w:themeColor="text1"/>
          <w:szCs w:val="22"/>
          <w:lang w:val="lt-LT"/>
        </w:rPr>
        <w:t xml:space="preserve"> mtCO</w:t>
      </w:r>
      <w:r w:rsidR="002251AB" w:rsidRPr="00F34B3B">
        <w:rPr>
          <w:rFonts w:ascii="Times New Roman" w:hAnsi="Times New Roman"/>
          <w:color w:val="000000" w:themeColor="text1"/>
          <w:szCs w:val="22"/>
          <w:vertAlign w:val="subscript"/>
          <w:lang w:val="lt-LT"/>
        </w:rPr>
        <w:t>2</w:t>
      </w:r>
      <w:r w:rsidR="00F34B3B">
        <w:rPr>
          <w:rFonts w:ascii="Times New Roman" w:hAnsi="Times New Roman"/>
          <w:color w:val="000000" w:themeColor="text1"/>
          <w:szCs w:val="22"/>
          <w:lang w:val="lt-LT"/>
        </w:rPr>
        <w:t xml:space="preserve"> (100 </w:t>
      </w:r>
      <w:r w:rsidR="002251AB" w:rsidRPr="00650EE4">
        <w:rPr>
          <w:rFonts w:ascii="Times New Roman" w:hAnsi="Times New Roman"/>
          <w:color w:val="000000" w:themeColor="text1"/>
          <w:szCs w:val="22"/>
          <w:lang w:val="lt-LT"/>
        </w:rPr>
        <w:t>proc.).</w:t>
      </w:r>
    </w:p>
    <w:p w14:paraId="4ACB3736" w14:textId="0BB25045" w:rsidR="002251AB" w:rsidRPr="00650EE4" w:rsidRDefault="00C937BC" w:rsidP="003A2A10">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Svarbu pastebėti, kad p</w:t>
      </w:r>
      <w:r w:rsidR="002251AB" w:rsidRPr="00650EE4">
        <w:rPr>
          <w:rFonts w:ascii="Times New Roman" w:hAnsi="Times New Roman"/>
          <w:color w:val="000000" w:themeColor="text1"/>
          <w:szCs w:val="22"/>
        </w:rPr>
        <w:t>astatų fondas, kaip energijos vartotojas yra neatskiriama energetikos sektoriaus dal</w:t>
      </w:r>
      <w:r>
        <w:rPr>
          <w:rFonts w:ascii="Times New Roman" w:hAnsi="Times New Roman"/>
          <w:color w:val="000000" w:themeColor="text1"/>
          <w:szCs w:val="22"/>
        </w:rPr>
        <w:t>is. Aukščiau aprašyti siektini p</w:t>
      </w:r>
      <w:r w:rsidR="002251AB" w:rsidRPr="00650EE4">
        <w:rPr>
          <w:rFonts w:ascii="Times New Roman" w:hAnsi="Times New Roman"/>
          <w:color w:val="000000" w:themeColor="text1"/>
          <w:szCs w:val="22"/>
        </w:rPr>
        <w:t>astatų fondo transformacijos rodikliai nustatyti darant prielaidą, kad energetikos sektorius lygiagrečiai transformuosis, siekdamas atliepti besike</w:t>
      </w:r>
      <w:r>
        <w:rPr>
          <w:rFonts w:ascii="Times New Roman" w:hAnsi="Times New Roman"/>
          <w:color w:val="000000" w:themeColor="text1"/>
          <w:szCs w:val="22"/>
        </w:rPr>
        <w:t>ičiančius vartotojų (p</w:t>
      </w:r>
      <w:r w:rsidR="002251AB" w:rsidRPr="00650EE4">
        <w:rPr>
          <w:rFonts w:ascii="Times New Roman" w:hAnsi="Times New Roman"/>
          <w:color w:val="000000" w:themeColor="text1"/>
          <w:szCs w:val="22"/>
        </w:rPr>
        <w:t xml:space="preserve">astatų fondo) poreikius. </w:t>
      </w:r>
    </w:p>
    <w:p w14:paraId="5A9FF408" w14:textId="77C378E7" w:rsidR="002251AB" w:rsidRPr="00650EE4" w:rsidRDefault="002251AB" w:rsidP="003A2A1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Paveiksle žemiau patei</w:t>
      </w:r>
      <w:r w:rsidR="00C937BC">
        <w:rPr>
          <w:rFonts w:ascii="Times New Roman" w:hAnsi="Times New Roman"/>
          <w:color w:val="000000" w:themeColor="text1"/>
          <w:szCs w:val="22"/>
        </w:rPr>
        <w:t>kiami duomenys iliustruojantys p</w:t>
      </w:r>
      <w:r w:rsidRPr="00650EE4">
        <w:rPr>
          <w:rFonts w:ascii="Times New Roman" w:hAnsi="Times New Roman"/>
          <w:color w:val="000000" w:themeColor="text1"/>
          <w:szCs w:val="22"/>
        </w:rPr>
        <w:t>astatų fondo transformacijos priklausomybę nuo energetikos sektoriaus transformacijos:</w:t>
      </w:r>
    </w:p>
    <w:p w14:paraId="3EDCC73C" w14:textId="77777777" w:rsidR="00F34B3B" w:rsidRDefault="00C937BC" w:rsidP="00BD4925">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2251AB" w:rsidRPr="00650EE4">
        <w:rPr>
          <w:rFonts w:ascii="Times New Roman" w:hAnsi="Times New Roman"/>
          <w:color w:val="000000" w:themeColor="text1"/>
          <w:szCs w:val="22"/>
          <w:lang w:val="lt-LT"/>
        </w:rPr>
        <w:t>tulpelyje „2050“ patiekiamos rodiklių reikšmės, kurios galė</w:t>
      </w:r>
      <w:r>
        <w:rPr>
          <w:rFonts w:ascii="Times New Roman" w:hAnsi="Times New Roman"/>
          <w:color w:val="000000" w:themeColor="text1"/>
          <w:szCs w:val="22"/>
          <w:lang w:val="lt-LT"/>
        </w:rPr>
        <w:t>tų būti pasiektos atliktus tik p</w:t>
      </w:r>
      <w:r w:rsidR="002251AB" w:rsidRPr="00650EE4">
        <w:rPr>
          <w:rFonts w:ascii="Times New Roman" w:hAnsi="Times New Roman"/>
          <w:color w:val="000000" w:themeColor="text1"/>
          <w:szCs w:val="22"/>
          <w:lang w:val="lt-LT"/>
        </w:rPr>
        <w:t>astatų fondo transformaciją t.y. nustatyta apimtimi įgyvendinus renovacijos priemones didinančias pastatų energetinį naudingumą ir pakeitus</w:t>
      </w:r>
      <w:r w:rsidR="00F34B3B">
        <w:rPr>
          <w:rFonts w:ascii="Times New Roman" w:hAnsi="Times New Roman"/>
          <w:color w:val="000000" w:themeColor="text1"/>
          <w:szCs w:val="22"/>
          <w:lang w:val="lt-LT"/>
        </w:rPr>
        <w:t xml:space="preserve"> ne AEI naudojančius</w:t>
      </w:r>
      <w:r w:rsidR="002251AB" w:rsidRPr="00650EE4">
        <w:rPr>
          <w:rFonts w:ascii="Times New Roman" w:hAnsi="Times New Roman"/>
          <w:color w:val="000000" w:themeColor="text1"/>
          <w:szCs w:val="22"/>
          <w:lang w:val="lt-LT"/>
        </w:rPr>
        <w:t xml:space="preserve"> </w:t>
      </w:r>
      <w:r w:rsidR="00F34B3B">
        <w:rPr>
          <w:rFonts w:ascii="Times New Roman" w:hAnsi="Times New Roman"/>
          <w:color w:val="000000" w:themeColor="text1"/>
          <w:szCs w:val="22"/>
          <w:lang w:val="lt-LT"/>
        </w:rPr>
        <w:t>individualius gamybos šaltinius</w:t>
      </w:r>
      <w:r w:rsidR="002251AB" w:rsidRPr="00650EE4">
        <w:rPr>
          <w:rFonts w:ascii="Times New Roman" w:hAnsi="Times New Roman"/>
          <w:color w:val="000000" w:themeColor="text1"/>
          <w:szCs w:val="22"/>
          <w:lang w:val="lt-LT"/>
        </w:rPr>
        <w:t xml:space="preserve"> </w:t>
      </w:r>
      <w:r w:rsidR="00F34B3B">
        <w:rPr>
          <w:rFonts w:ascii="Times New Roman" w:hAnsi="Times New Roman"/>
          <w:color w:val="000000" w:themeColor="text1"/>
          <w:szCs w:val="22"/>
          <w:lang w:val="lt-LT"/>
        </w:rPr>
        <w:t>į AEI;</w:t>
      </w:r>
    </w:p>
    <w:p w14:paraId="19A45A6B" w14:textId="78152279" w:rsidR="002251AB" w:rsidRPr="00650EE4" w:rsidRDefault="00F34B3B" w:rsidP="00F34B3B">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F34B3B">
        <w:rPr>
          <w:rFonts w:ascii="Times New Roman" w:hAnsi="Times New Roman"/>
          <w:color w:val="000000" w:themeColor="text1"/>
          <w:szCs w:val="22"/>
          <w:lang w:val="lt-LT"/>
        </w:rPr>
        <w:t>tulpelyje „2050 +“ pateikiamos IRS nustatytos siektinos rodiklių reikšmės, kurios galėtų būti pasiektos atliktus tiek Pastatų fondo (energijos vartojimo), tiek energetikos sektoriaus (energijos gamybos) transformaciją</w:t>
      </w:r>
      <w:r w:rsidR="002251AB" w:rsidRPr="00650EE4">
        <w:rPr>
          <w:rFonts w:ascii="Times New Roman" w:hAnsi="Times New Roman"/>
          <w:color w:val="000000" w:themeColor="text1"/>
          <w:szCs w:val="22"/>
          <w:lang w:val="lt-LT"/>
        </w:rPr>
        <w:t xml:space="preserve"> </w:t>
      </w:r>
    </w:p>
    <w:p w14:paraId="512D6907" w14:textId="56F25FED" w:rsidR="002251AB" w:rsidRDefault="002251AB" w:rsidP="00631BA6">
      <w:pPr>
        <w:pStyle w:val="TESlentelspavadinimas"/>
        <w:rPr>
          <w:noProof w:val="0"/>
        </w:rPr>
      </w:pPr>
      <w:r w:rsidRPr="00650EE4">
        <w:rPr>
          <w:noProof w:val="0"/>
        </w:rPr>
        <w:t>Pastatų fondo transformacijos rodikliai</w:t>
      </w:r>
    </w:p>
    <w:p w14:paraId="5DD86AD9" w14:textId="7A67373D" w:rsidR="00F34B3B" w:rsidRPr="00650EE4" w:rsidRDefault="00F34B3B" w:rsidP="00631BA6">
      <w:pPr>
        <w:pStyle w:val="TESlentelspavadinimas"/>
        <w:rPr>
          <w:noProof w:val="0"/>
        </w:rPr>
      </w:pPr>
      <w:r>
        <w:rPr>
          <w:lang w:eastAsia="lt-LT"/>
        </w:rPr>
        <w:drawing>
          <wp:inline distT="0" distB="0" distL="0" distR="0" wp14:anchorId="2BE41FED" wp14:editId="38539AD2">
            <wp:extent cx="6480810" cy="15119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80810" cy="1511935"/>
                    </a:xfrm>
                    <a:prstGeom prst="rect">
                      <a:avLst/>
                    </a:prstGeom>
                    <a:noFill/>
                  </pic:spPr>
                </pic:pic>
              </a:graphicData>
            </a:graphic>
          </wp:inline>
        </w:drawing>
      </w:r>
    </w:p>
    <w:p w14:paraId="18D78785" w14:textId="14268219" w:rsidR="002251AB" w:rsidRPr="00650EE4" w:rsidRDefault="002251AB" w:rsidP="00B1525D">
      <w:pPr>
        <w:spacing w:after="120"/>
        <w:jc w:val="both"/>
        <w:rPr>
          <w:rFonts w:ascii="Times New Roman" w:hAnsi="Times New Roman"/>
          <w:i/>
          <w:iCs/>
          <w:color w:val="auto"/>
          <w:sz w:val="20"/>
          <w:szCs w:val="20"/>
        </w:rPr>
      </w:pPr>
      <w:r w:rsidRPr="00650EE4">
        <w:rPr>
          <w:rFonts w:ascii="Times New Roman" w:hAnsi="Times New Roman"/>
          <w:i/>
          <w:iCs/>
          <w:color w:val="auto"/>
          <w:sz w:val="20"/>
          <w:szCs w:val="20"/>
        </w:rPr>
        <w:t>Šaltinis: Studijos</w:t>
      </w:r>
      <w:r w:rsidR="004C5495">
        <w:rPr>
          <w:rFonts w:ascii="Times New Roman" w:hAnsi="Times New Roman"/>
          <w:i/>
          <w:iCs/>
          <w:color w:val="auto"/>
          <w:sz w:val="20"/>
          <w:szCs w:val="20"/>
        </w:rPr>
        <w:t xml:space="preserve"> Lietuvos ilgalaikei renovacijos strategijai parengti</w:t>
      </w:r>
      <w:r w:rsidRPr="00650EE4">
        <w:rPr>
          <w:rFonts w:ascii="Times New Roman" w:hAnsi="Times New Roman"/>
          <w:i/>
          <w:iCs/>
          <w:color w:val="auto"/>
          <w:sz w:val="20"/>
          <w:szCs w:val="20"/>
        </w:rPr>
        <w:t xml:space="preserve"> autoriai</w:t>
      </w:r>
    </w:p>
    <w:p w14:paraId="59F71501" w14:textId="69A7D6C3" w:rsidR="00905EBE" w:rsidRPr="00650EE4" w:rsidRDefault="00905EBE" w:rsidP="00B1525D">
      <w:pPr>
        <w:spacing w:after="120"/>
        <w:jc w:val="both"/>
        <w:rPr>
          <w:rFonts w:ascii="Times New Roman" w:hAnsi="Times New Roman"/>
          <w:color w:val="000000" w:themeColor="text1"/>
          <w:szCs w:val="22"/>
        </w:rPr>
      </w:pPr>
      <w:r w:rsidRPr="00650EE4">
        <w:rPr>
          <w:rFonts w:ascii="Times New Roman" w:hAnsi="Times New Roman"/>
          <w:bCs/>
          <w:color w:val="000000" w:themeColor="text1"/>
        </w:rPr>
        <w:t xml:space="preserve">IRS įgyvendinimo rodikliai ir orientaciniai 2030 m., 2040 m. ir 2050 m. tarpiniai tikslai pateikiami lentelėje žemiau. </w:t>
      </w:r>
    </w:p>
    <w:p w14:paraId="14E69E39" w14:textId="14E88E8F" w:rsidR="00905EBE" w:rsidRDefault="00905EBE" w:rsidP="00631BA6">
      <w:pPr>
        <w:pStyle w:val="TESlentelspavadinimas"/>
        <w:rPr>
          <w:noProof w:val="0"/>
        </w:rPr>
      </w:pPr>
      <w:r w:rsidRPr="00650EE4">
        <w:rPr>
          <w:noProof w:val="0"/>
        </w:rPr>
        <w:t xml:space="preserve">Renovacijos strategijos siekiami rodikliai </w:t>
      </w:r>
    </w:p>
    <w:tbl>
      <w:tblPr>
        <w:tblW w:w="10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926"/>
        <w:gridCol w:w="960"/>
        <w:gridCol w:w="960"/>
        <w:gridCol w:w="960"/>
        <w:gridCol w:w="960"/>
      </w:tblGrid>
      <w:tr w:rsidR="00F34B3B" w:rsidRPr="00650EE4" w14:paraId="13ED7968"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65D8CA51" w14:textId="77777777" w:rsidR="00F34B3B" w:rsidRPr="00F21702" w:rsidRDefault="00F34B3B" w:rsidP="00F34B3B">
            <w:pPr>
              <w:spacing w:line="240" w:lineRule="auto"/>
              <w:rPr>
                <w:rFonts w:ascii="Times New Roman" w:eastAsia="Times New Roman" w:hAnsi="Times New Roman"/>
                <w:b/>
                <w:sz w:val="20"/>
                <w:szCs w:val="20"/>
                <w:lang w:eastAsia="lt-LT"/>
              </w:rPr>
            </w:pPr>
            <w:r w:rsidRPr="00F21702">
              <w:rPr>
                <w:rFonts w:ascii="Times New Roman" w:eastAsia="Times New Roman" w:hAnsi="Times New Roman"/>
                <w:b/>
                <w:sz w:val="20"/>
                <w:szCs w:val="20"/>
                <w:lang w:eastAsia="lt-LT"/>
              </w:rPr>
              <w:t>Rodiklis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8D66AE1" w14:textId="77777777" w:rsidR="00F34B3B" w:rsidRPr="000A28D9" w:rsidRDefault="00F34B3B" w:rsidP="00F34B3B">
            <w:pPr>
              <w:spacing w:line="240" w:lineRule="auto"/>
              <w:ind w:right="-62"/>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Mato vnt.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CF1154"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2020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6D8AA50"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10AC75B"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58ED77C" w14:textId="77777777" w:rsidR="00F34B3B" w:rsidRPr="000A28D9" w:rsidRDefault="00F34B3B" w:rsidP="00F34B3B">
            <w:pPr>
              <w:spacing w:line="240" w:lineRule="auto"/>
              <w:jc w:val="center"/>
              <w:rPr>
                <w:rFonts w:ascii="Times New Roman" w:eastAsia="Times New Roman" w:hAnsi="Times New Roman"/>
                <w:b/>
                <w:sz w:val="20"/>
                <w:szCs w:val="20"/>
                <w:lang w:eastAsia="lt-LT"/>
              </w:rPr>
            </w:pPr>
            <w:r w:rsidRPr="000A28D9">
              <w:rPr>
                <w:rFonts w:ascii="Times New Roman" w:eastAsia="Times New Roman" w:hAnsi="Times New Roman"/>
                <w:b/>
                <w:sz w:val="20"/>
                <w:szCs w:val="20"/>
                <w:lang w:eastAsia="lt-LT"/>
              </w:rPr>
              <w:t>2050</w:t>
            </w:r>
          </w:p>
        </w:tc>
      </w:tr>
      <w:tr w:rsidR="00F34B3B" w:rsidRPr="00E77B50" w14:paraId="1500EEF2"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573797"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 Metinis pirminės energijos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4FC6728"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20E586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40.827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B6320D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34.759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4EFD0B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25.888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F27CD6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16.162</w:t>
            </w:r>
          </w:p>
        </w:tc>
      </w:tr>
      <w:tr w:rsidR="00F34B3B" w:rsidRPr="00E77B50" w14:paraId="57972F3C"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FDB88A9"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R2. Metinis pirminės energijos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0416B7EE"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69AD49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CDA885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6AE13A7"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F34CC8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w:t>
            </w:r>
          </w:p>
        </w:tc>
      </w:tr>
      <w:tr w:rsidR="00F34B3B" w:rsidRPr="00E77B50" w14:paraId="5C28D1CA"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5DFBE2B1"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R3. Metinis pirminės energijos (ne AEI)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3348E99"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4F457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26.407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27F34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19.865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AD45A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10.369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3562DD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27</w:t>
            </w:r>
          </w:p>
        </w:tc>
      </w:tr>
      <w:tr w:rsidR="00F34B3B" w:rsidRPr="00E77B50" w14:paraId="1B2DF270"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25051FEE"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R4. Metinis pirminės energijos (ne AEI) energijos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0A6B65E"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AF03E0"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334660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C3B7A4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0CEDE2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r>
      <w:tr w:rsidR="00F34B3B" w:rsidRPr="00E77B50" w14:paraId="1FA5B7E9"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4CBA6BDC"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R5. CO2 emisijos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6C8AC9B"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ktCO2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B9271B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5.287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C21C7F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4.003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701D91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2.108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CF28A0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22</w:t>
            </w:r>
          </w:p>
        </w:tc>
      </w:tr>
      <w:tr w:rsidR="00F34B3B" w:rsidRPr="00E77B50" w14:paraId="2A61A41C"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338D342C"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R6. CO2 emisijos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B173D3F"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5957BB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B90A67"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FD0FE3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FB553E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r>
      <w:tr w:rsidR="00F34B3B" w:rsidRPr="00E77B50" w14:paraId="540FFC79"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7EE1870E"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R7. Neefektyvių (≤D klasės)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D072FD4" w14:textId="006A1437" w:rsidR="00F34B3B" w:rsidRPr="00E77B50" w:rsidRDefault="000B393D" w:rsidP="00F34B3B">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00F34B3B" w:rsidRPr="00E77B50">
              <w:rPr>
                <w:rFonts w:ascii="Times New Roman" w:eastAsia="Times New Roman" w:hAnsi="Times New Roman"/>
                <w:sz w:val="20"/>
                <w:szCs w:val="20"/>
                <w:lang w:eastAsia="lt-LT"/>
              </w:rPr>
              <w:t>m</w:t>
            </w:r>
            <w:r w:rsidR="00F34B3B" w:rsidRPr="000B393D">
              <w:rPr>
                <w:rFonts w:ascii="Times New Roman" w:eastAsia="Times New Roman" w:hAnsi="Times New Roman"/>
                <w:sz w:val="20"/>
                <w:szCs w:val="20"/>
                <w:vertAlign w:val="superscript"/>
                <w:lang w:eastAsia="lt-LT"/>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7C2A8B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108.924</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1CF400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85.887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6D76A2A"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54.043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110942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19.981</w:t>
            </w:r>
          </w:p>
        </w:tc>
      </w:tr>
      <w:tr w:rsidR="00F34B3B" w:rsidRPr="00E77B50" w14:paraId="1162D84D"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4558E2B"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R8. Neefektyvių (≤D klasės) pastatų vartojimas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613BC3C9" w14:textId="77777777" w:rsidR="00F34B3B" w:rsidRPr="00E77B50" w:rsidRDefault="00F34B3B" w:rsidP="00F34B3B">
            <w:pPr>
              <w:spacing w:line="240" w:lineRule="auto"/>
              <w:ind w:right="-62"/>
              <w:rPr>
                <w:rFonts w:ascii="Times New Roman" w:eastAsia="Times New Roman" w:hAnsi="Times New Roman"/>
                <w:sz w:val="20"/>
                <w:szCs w:val="20"/>
                <w:lang w:eastAsia="lt-LT"/>
              </w:rPr>
            </w:pPr>
            <w:proofErr w:type="spellStart"/>
            <w:r w:rsidRPr="00E77B50">
              <w:rPr>
                <w:rFonts w:ascii="Times New Roman" w:eastAsia="Times New Roman" w:hAnsi="Times New Roman"/>
                <w:sz w:val="20"/>
                <w:szCs w:val="20"/>
                <w:lang w:eastAsia="lt-LT"/>
              </w:rPr>
              <w:t>GWh</w:t>
            </w:r>
            <w:proofErr w:type="spellEnd"/>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CD2F0C0"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31.601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36AE3D2"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24.208</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6B2C29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14.306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52E0B3E9"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3.717</w:t>
            </w:r>
          </w:p>
        </w:tc>
      </w:tr>
      <w:tr w:rsidR="00F34B3B" w:rsidRPr="00E77B50" w14:paraId="014EA46F"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10AF9B"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R9. Neefektyvių (≤D klasės) pastatų vartojimas (lyginant su 2020)</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32D9889"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741A7B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CCB2F0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9D817C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21601C4"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12%</w:t>
            </w:r>
          </w:p>
        </w:tc>
      </w:tr>
      <w:tr w:rsidR="00F34B3B" w:rsidRPr="00E77B50" w14:paraId="40124A00"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4106DCD6"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R10. Renovuotų pastatų skaičius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3F52E585"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vnt.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A3BF435"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9148DB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99.281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48E687F"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255.421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64BAC00"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436.008</w:t>
            </w:r>
          </w:p>
        </w:tc>
      </w:tr>
      <w:tr w:rsidR="00F34B3B" w:rsidRPr="00E77B50" w14:paraId="4AC1D731"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18ADBF37"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R11. Renovuotų pastatų dalis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5C8D52F5"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4B460C3"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6F0F7E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656405D4"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494081D6"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74%</w:t>
            </w:r>
          </w:p>
        </w:tc>
      </w:tr>
      <w:tr w:rsidR="00F34B3B" w:rsidRPr="00E77B50" w14:paraId="209E9EED"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9695496"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R12. Renovuotų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28DEB38B" w14:textId="2E4D4E4A" w:rsidR="00F34B3B" w:rsidRPr="00E77B50" w:rsidRDefault="000B393D" w:rsidP="00F34B3B">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00F34B3B" w:rsidRPr="00E77B50">
              <w:rPr>
                <w:rFonts w:ascii="Times New Roman" w:eastAsia="Times New Roman" w:hAnsi="Times New Roman"/>
                <w:sz w:val="20"/>
                <w:szCs w:val="20"/>
                <w:lang w:eastAsia="lt-LT"/>
              </w:rPr>
              <w:t>m</w:t>
            </w:r>
            <w:r w:rsidR="00F34B3B" w:rsidRPr="000B393D">
              <w:rPr>
                <w:rFonts w:ascii="Times New Roman" w:eastAsia="Times New Roman" w:hAnsi="Times New Roman"/>
                <w:sz w:val="20"/>
                <w:szCs w:val="20"/>
                <w:vertAlign w:val="superscript"/>
                <w:lang w:eastAsia="lt-LT"/>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29AA60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01E1104D"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27.819</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23B09B5"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67.233</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DF023E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109.534</w:t>
            </w:r>
          </w:p>
        </w:tc>
      </w:tr>
      <w:tr w:rsidR="00F34B3B" w:rsidRPr="00E77B50" w14:paraId="323E3A23" w14:textId="77777777" w:rsidTr="000B393D">
        <w:tc>
          <w:tcPr>
            <w:tcW w:w="5495" w:type="dxa"/>
            <w:tcBorders>
              <w:top w:val="single" w:sz="4" w:space="0" w:color="auto"/>
              <w:left w:val="single" w:sz="4" w:space="0" w:color="auto"/>
              <w:bottom w:val="single" w:sz="4" w:space="0" w:color="auto"/>
              <w:right w:val="single" w:sz="4" w:space="0" w:color="auto"/>
            </w:tcBorders>
            <w:shd w:val="clear" w:color="auto" w:fill="auto"/>
            <w:vAlign w:val="center"/>
          </w:tcPr>
          <w:p w14:paraId="0043B88D" w14:textId="77777777" w:rsidR="00F34B3B" w:rsidRPr="00E77B50" w:rsidRDefault="00F34B3B" w:rsidP="00F34B3B">
            <w:pPr>
              <w:spacing w:line="240" w:lineRule="auto"/>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R13. Renovuotų pastatų plotas</w:t>
            </w:r>
          </w:p>
        </w:tc>
        <w:tc>
          <w:tcPr>
            <w:tcW w:w="926" w:type="dxa"/>
            <w:tcBorders>
              <w:top w:val="single" w:sz="4" w:space="0" w:color="auto"/>
              <w:left w:val="single" w:sz="4" w:space="0" w:color="auto"/>
              <w:bottom w:val="single" w:sz="4" w:space="0" w:color="auto"/>
              <w:right w:val="single" w:sz="4" w:space="0" w:color="auto"/>
            </w:tcBorders>
            <w:shd w:val="clear" w:color="auto" w:fill="auto"/>
            <w:vAlign w:val="center"/>
          </w:tcPr>
          <w:p w14:paraId="410BB384" w14:textId="77777777" w:rsidR="00F34B3B" w:rsidRPr="00E77B50" w:rsidRDefault="00F34B3B" w:rsidP="00F34B3B">
            <w:pPr>
              <w:spacing w:line="240" w:lineRule="auto"/>
              <w:ind w:right="-62"/>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proc.</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78F2B4EE"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1213FEDB"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2424DCB8"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41%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14:paraId="35344B6C" w14:textId="77777777" w:rsidR="00F34B3B" w:rsidRPr="00E77B50" w:rsidRDefault="00F34B3B" w:rsidP="00F34B3B">
            <w:pPr>
              <w:spacing w:line="240" w:lineRule="auto"/>
              <w:jc w:val="center"/>
              <w:rPr>
                <w:rFonts w:ascii="Times New Roman" w:eastAsia="Times New Roman" w:hAnsi="Times New Roman"/>
                <w:sz w:val="20"/>
                <w:szCs w:val="20"/>
                <w:lang w:eastAsia="lt-LT"/>
              </w:rPr>
            </w:pPr>
            <w:r w:rsidRPr="00E77B50">
              <w:rPr>
                <w:rFonts w:ascii="Times New Roman" w:eastAsia="Times New Roman" w:hAnsi="Times New Roman"/>
                <w:sz w:val="20"/>
                <w:szCs w:val="20"/>
                <w:lang w:eastAsia="lt-LT"/>
              </w:rPr>
              <w:t>66%</w:t>
            </w:r>
          </w:p>
        </w:tc>
      </w:tr>
    </w:tbl>
    <w:p w14:paraId="214DFB75" w14:textId="1C4C83C1" w:rsidR="00905EBE" w:rsidRPr="00650EE4" w:rsidRDefault="00905EBE"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1FA71304" w14:textId="77777777" w:rsidR="004B339B" w:rsidRPr="00650EE4" w:rsidRDefault="004B339B" w:rsidP="00631BA6">
      <w:pPr>
        <w:pStyle w:val="TESlentelspavadinimas"/>
        <w:rPr>
          <w:noProof w:val="0"/>
        </w:rPr>
      </w:pPr>
    </w:p>
    <w:p w14:paraId="68B8E3BA" w14:textId="39A9A999" w:rsidR="00C85B01" w:rsidRPr="00650EE4" w:rsidRDefault="00C85B01" w:rsidP="003243BF">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Norint pasiekti pastatų fondo transformacijai reikalingus renovacijos tempus reikalingas „įsibėgėjimo“ periodas per kurį būtų suformuoti paramos priemonių paketai, atlikti reikalingi teisės aktų pakeitimai, statybų bei finansų sektoriai galėtų adaptuoti savo resursus, procesus ir pan.</w:t>
      </w:r>
      <w:r w:rsidR="00F12FB0" w:rsidRPr="00650EE4">
        <w:rPr>
          <w:rFonts w:ascii="Times New Roman" w:hAnsi="Times New Roman"/>
          <w:color w:val="000000" w:themeColor="text1"/>
          <w:szCs w:val="22"/>
        </w:rPr>
        <w:t xml:space="preserve"> </w:t>
      </w:r>
      <w:r w:rsidR="004C5495">
        <w:rPr>
          <w:rFonts w:ascii="Times New Roman" w:hAnsi="Times New Roman"/>
          <w:color w:val="000000" w:themeColor="text1"/>
          <w:szCs w:val="22"/>
        </w:rPr>
        <w:t>l</w:t>
      </w:r>
      <w:r w:rsidR="00F12FB0" w:rsidRPr="00650EE4">
        <w:rPr>
          <w:rFonts w:ascii="Times New Roman" w:hAnsi="Times New Roman"/>
          <w:color w:val="000000" w:themeColor="text1"/>
          <w:szCs w:val="22"/>
        </w:rPr>
        <w:t>entelėje žemiau pateikiamas planuojamo</w:t>
      </w:r>
      <w:r w:rsidR="007F6E29" w:rsidRPr="00650EE4">
        <w:rPr>
          <w:rFonts w:ascii="Times New Roman" w:hAnsi="Times New Roman"/>
          <w:color w:val="000000" w:themeColor="text1"/>
          <w:szCs w:val="22"/>
        </w:rPr>
        <w:t xml:space="preserve"> per metus</w:t>
      </w:r>
      <w:r w:rsidR="00F12FB0" w:rsidRPr="00650EE4">
        <w:rPr>
          <w:rFonts w:ascii="Times New Roman" w:hAnsi="Times New Roman"/>
          <w:color w:val="000000" w:themeColor="text1"/>
          <w:szCs w:val="22"/>
        </w:rPr>
        <w:t xml:space="preserve"> renovuoti pastatų skaičiaus didėjamas atspindi tiek „įsibėgėjimo“ periodą tiek prioritetą</w:t>
      </w:r>
      <w:r w:rsidR="000B393D">
        <w:rPr>
          <w:rFonts w:ascii="Times New Roman" w:hAnsi="Times New Roman"/>
          <w:color w:val="000000" w:themeColor="text1"/>
          <w:szCs w:val="22"/>
        </w:rPr>
        <w:t xml:space="preserve"> skiriamą</w:t>
      </w:r>
      <w:r w:rsidR="00F12FB0" w:rsidRPr="00650EE4">
        <w:rPr>
          <w:rFonts w:ascii="Times New Roman" w:hAnsi="Times New Roman"/>
          <w:color w:val="000000" w:themeColor="text1"/>
          <w:szCs w:val="22"/>
        </w:rPr>
        <w:t xml:space="preserve"> didesnio ploto pastatams (daugiabučiams) IRS įgyvendinimo laikotarp</w:t>
      </w:r>
      <w:r w:rsidR="007F6E29" w:rsidRPr="00650EE4">
        <w:rPr>
          <w:rFonts w:ascii="Times New Roman" w:hAnsi="Times New Roman"/>
          <w:color w:val="000000" w:themeColor="text1"/>
          <w:szCs w:val="22"/>
        </w:rPr>
        <w:t xml:space="preserve">io pradžioje. </w:t>
      </w:r>
    </w:p>
    <w:p w14:paraId="18053F79" w14:textId="2EBC5EB4" w:rsidR="00C85B01" w:rsidRPr="00650EE4" w:rsidRDefault="00C85B01" w:rsidP="00631BA6">
      <w:pPr>
        <w:pStyle w:val="TESlentelspavadinimas"/>
        <w:rPr>
          <w:noProof w:val="0"/>
        </w:rPr>
      </w:pPr>
      <w:r w:rsidRPr="00650EE4">
        <w:rPr>
          <w:noProof w:val="0"/>
        </w:rPr>
        <w:t xml:space="preserve">Renovacijos tempai –  renovuojamų pastatų skaičius per metus </w:t>
      </w:r>
    </w:p>
    <w:tbl>
      <w:tblPr>
        <w:tblW w:w="5000" w:type="pct"/>
        <w:tblLook w:val="04A0" w:firstRow="1" w:lastRow="0" w:firstColumn="1" w:lastColumn="0" w:noHBand="0" w:noVBand="1"/>
      </w:tblPr>
      <w:tblGrid>
        <w:gridCol w:w="3229"/>
        <w:gridCol w:w="1627"/>
        <w:gridCol w:w="1391"/>
        <w:gridCol w:w="1391"/>
        <w:gridCol w:w="1391"/>
        <w:gridCol w:w="1391"/>
      </w:tblGrid>
      <w:tr w:rsidR="000B393D" w:rsidRPr="00650EE4" w14:paraId="5D77C4FB"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B5772" w14:textId="77777777" w:rsidR="000B393D" w:rsidRPr="00650EE4" w:rsidRDefault="000B393D" w:rsidP="003E0C4E">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D466192" w14:textId="77777777" w:rsidR="000B393D" w:rsidRPr="00650EE4" w:rsidRDefault="000B393D" w:rsidP="003E0C4E">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6019D782"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A6D7C47"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54598C5"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4A028366" w14:textId="77777777" w:rsidR="000B393D" w:rsidRPr="00650EE4" w:rsidRDefault="000B393D" w:rsidP="003E0C4E">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2041-2050</w:t>
            </w:r>
          </w:p>
        </w:tc>
      </w:tr>
      <w:tr w:rsidR="000B393D" w:rsidRPr="006534C2" w14:paraId="7BB010CF"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CCC4B9"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8A3CA7F"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E9C2316"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760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6FAB845"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1.086</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B7BE82A"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1.083</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4B865678"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934</w:t>
            </w:r>
          </w:p>
        </w:tc>
      </w:tr>
      <w:tr w:rsidR="000B393D" w:rsidRPr="006534C2" w14:paraId="5922A51C"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81BF86"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089D47EE"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4DD3D8B"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6.500</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68ECD4C"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8.485</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2F66A13F"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12.702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F44B00D"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14.935</w:t>
            </w:r>
          </w:p>
        </w:tc>
      </w:tr>
      <w:tr w:rsidR="000B393D" w:rsidRPr="006534C2" w14:paraId="73CFA84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24FA77"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lastRenderedPageBreak/>
              <w:t>Pramonės</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22A97229"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98D5AF2"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308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EE6DDC4"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428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19D6789B"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682</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3DD81F6"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816</w:t>
            </w:r>
          </w:p>
        </w:tc>
      </w:tr>
      <w:tr w:rsidR="000B393D" w:rsidRPr="006534C2" w14:paraId="0602043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77E445"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127CE630" w14:textId="77777777" w:rsidR="000B393D" w:rsidRPr="006534C2" w:rsidRDefault="000B393D" w:rsidP="003E0C4E">
            <w:pPr>
              <w:spacing w:line="240" w:lineRule="auto"/>
              <w:rPr>
                <w:rFonts w:ascii="Times New Roman" w:eastAsia="Times New Roman" w:hAnsi="Times New Roman"/>
                <w:sz w:val="20"/>
                <w:szCs w:val="20"/>
              </w:rPr>
            </w:pPr>
            <w:r w:rsidRPr="006534C2">
              <w:rPr>
                <w:rFonts w:ascii="Times New Roman" w:eastAsia="Times New Roman" w:hAnsi="Times New Roman"/>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C977EFA"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518</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3AEF235C"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719</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32C5D30"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1.147</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57FFA8F8" w14:textId="77777777" w:rsidR="000B393D" w:rsidRPr="006534C2" w:rsidRDefault="000B393D" w:rsidP="003E0C4E">
            <w:pPr>
              <w:spacing w:line="240" w:lineRule="auto"/>
              <w:jc w:val="right"/>
              <w:rPr>
                <w:rFonts w:ascii="Times New Roman" w:eastAsia="Times New Roman" w:hAnsi="Times New Roman"/>
                <w:sz w:val="20"/>
                <w:szCs w:val="20"/>
              </w:rPr>
            </w:pPr>
            <w:r w:rsidRPr="006534C2">
              <w:rPr>
                <w:rFonts w:ascii="Times New Roman" w:eastAsia="Times New Roman" w:hAnsi="Times New Roman"/>
                <w:sz w:val="20"/>
                <w:szCs w:val="20"/>
              </w:rPr>
              <w:t>1.373</w:t>
            </w:r>
          </w:p>
        </w:tc>
      </w:tr>
      <w:tr w:rsidR="000B393D" w:rsidRPr="006534C2" w14:paraId="22500FA9" w14:textId="77777777" w:rsidTr="003E0C4E">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8A5D3" w14:textId="77777777" w:rsidR="000B393D" w:rsidRPr="006534C2" w:rsidRDefault="000B393D" w:rsidP="003E0C4E">
            <w:pPr>
              <w:spacing w:line="240" w:lineRule="auto"/>
              <w:rPr>
                <w:rFonts w:ascii="Times New Roman" w:eastAsia="Times New Roman" w:hAnsi="Times New Roman"/>
                <w:b/>
                <w:bCs/>
                <w:sz w:val="20"/>
                <w:szCs w:val="20"/>
              </w:rPr>
            </w:pPr>
            <w:r w:rsidRPr="006534C2">
              <w:rPr>
                <w:rFonts w:ascii="Times New Roman" w:eastAsia="Times New Roman" w:hAnsi="Times New Roman"/>
                <w:b/>
                <w:bCs/>
                <w:sz w:val="20"/>
                <w:szCs w:val="20"/>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center"/>
            <w:hideMark/>
          </w:tcPr>
          <w:p w14:paraId="47AE3C16" w14:textId="77777777" w:rsidR="000B393D" w:rsidRPr="006534C2" w:rsidRDefault="000B393D" w:rsidP="003E0C4E">
            <w:pPr>
              <w:spacing w:line="240" w:lineRule="auto"/>
              <w:rPr>
                <w:rFonts w:ascii="Times New Roman" w:eastAsia="Times New Roman" w:hAnsi="Times New Roman"/>
                <w:b/>
                <w:bCs/>
                <w:sz w:val="20"/>
                <w:szCs w:val="20"/>
              </w:rPr>
            </w:pPr>
            <w:r w:rsidRPr="006534C2">
              <w:rPr>
                <w:rFonts w:ascii="Times New Roman" w:eastAsia="Times New Roman" w:hAnsi="Times New Roman"/>
                <w:b/>
                <w:bCs/>
                <w:sz w:val="20"/>
                <w:szCs w:val="20"/>
              </w:rPr>
              <w:t>vnt./metus</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243E6D2" w14:textId="77777777" w:rsidR="000B393D" w:rsidRPr="006534C2" w:rsidRDefault="000B393D" w:rsidP="003E0C4E">
            <w:pPr>
              <w:spacing w:line="240" w:lineRule="auto"/>
              <w:jc w:val="right"/>
              <w:rPr>
                <w:rFonts w:ascii="Times New Roman" w:eastAsia="Times New Roman" w:hAnsi="Times New Roman"/>
                <w:b/>
                <w:bCs/>
                <w:sz w:val="20"/>
                <w:szCs w:val="20"/>
              </w:rPr>
            </w:pPr>
            <w:r w:rsidRPr="006534C2">
              <w:rPr>
                <w:rFonts w:ascii="Times New Roman" w:eastAsia="Times New Roman" w:hAnsi="Times New Roman"/>
                <w:b/>
                <w:bCs/>
                <w:sz w:val="20"/>
                <w:szCs w:val="20"/>
              </w:rPr>
              <w:t>8.086</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1FABD11" w14:textId="77777777" w:rsidR="000B393D" w:rsidRPr="006534C2" w:rsidRDefault="000B393D" w:rsidP="003E0C4E">
            <w:pPr>
              <w:spacing w:line="240" w:lineRule="auto"/>
              <w:jc w:val="right"/>
              <w:rPr>
                <w:rFonts w:ascii="Times New Roman" w:eastAsia="Times New Roman" w:hAnsi="Times New Roman"/>
                <w:b/>
                <w:bCs/>
                <w:sz w:val="20"/>
                <w:szCs w:val="20"/>
              </w:rPr>
            </w:pPr>
            <w:r w:rsidRPr="006534C2">
              <w:rPr>
                <w:rFonts w:ascii="Times New Roman" w:eastAsia="Times New Roman" w:hAnsi="Times New Roman"/>
                <w:b/>
                <w:bCs/>
                <w:sz w:val="20"/>
                <w:szCs w:val="20"/>
              </w:rPr>
              <w:t>10.717</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0B33E031" w14:textId="77777777" w:rsidR="000B393D" w:rsidRPr="006534C2" w:rsidRDefault="000B393D" w:rsidP="003E0C4E">
            <w:pPr>
              <w:spacing w:line="240" w:lineRule="auto"/>
              <w:jc w:val="right"/>
              <w:rPr>
                <w:rFonts w:ascii="Times New Roman" w:eastAsia="Times New Roman" w:hAnsi="Times New Roman"/>
                <w:b/>
                <w:bCs/>
                <w:sz w:val="20"/>
                <w:szCs w:val="20"/>
              </w:rPr>
            </w:pPr>
            <w:r w:rsidRPr="006534C2">
              <w:rPr>
                <w:rFonts w:ascii="Times New Roman" w:eastAsia="Times New Roman" w:hAnsi="Times New Roman"/>
                <w:b/>
                <w:bCs/>
                <w:sz w:val="20"/>
                <w:szCs w:val="20"/>
              </w:rPr>
              <w:t>15.614</w:t>
            </w:r>
          </w:p>
        </w:tc>
        <w:tc>
          <w:tcPr>
            <w:tcW w:w="1361" w:type="dxa"/>
            <w:tcBorders>
              <w:top w:val="single" w:sz="4" w:space="0" w:color="auto"/>
              <w:left w:val="nil"/>
              <w:bottom w:val="single" w:sz="4" w:space="0" w:color="auto"/>
              <w:right w:val="single" w:sz="4" w:space="0" w:color="auto"/>
            </w:tcBorders>
            <w:shd w:val="clear" w:color="000000" w:fill="FFFFFF"/>
            <w:noWrap/>
            <w:vAlign w:val="center"/>
            <w:hideMark/>
          </w:tcPr>
          <w:p w14:paraId="602C65F3" w14:textId="77777777" w:rsidR="000B393D" w:rsidRPr="006534C2" w:rsidRDefault="000B393D" w:rsidP="003E0C4E">
            <w:pPr>
              <w:spacing w:line="240" w:lineRule="auto"/>
              <w:jc w:val="right"/>
              <w:rPr>
                <w:rFonts w:ascii="Times New Roman" w:eastAsia="Times New Roman" w:hAnsi="Times New Roman"/>
                <w:b/>
                <w:bCs/>
                <w:sz w:val="20"/>
                <w:szCs w:val="20"/>
              </w:rPr>
            </w:pPr>
            <w:r w:rsidRPr="006534C2">
              <w:rPr>
                <w:rFonts w:ascii="Times New Roman" w:eastAsia="Times New Roman" w:hAnsi="Times New Roman"/>
                <w:b/>
                <w:bCs/>
                <w:sz w:val="20"/>
                <w:szCs w:val="20"/>
              </w:rPr>
              <w:t>18.059</w:t>
            </w:r>
          </w:p>
        </w:tc>
      </w:tr>
    </w:tbl>
    <w:p w14:paraId="40F11DAA" w14:textId="51E6540E"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48EFF62B" w14:textId="77777777" w:rsidR="004B339B" w:rsidRPr="00650EE4" w:rsidRDefault="004B339B" w:rsidP="00631BA6">
      <w:pPr>
        <w:pStyle w:val="TESlentelspavadinimas"/>
        <w:rPr>
          <w:noProof w:val="0"/>
        </w:rPr>
      </w:pPr>
    </w:p>
    <w:p w14:paraId="20EB76A7" w14:textId="0DA72314" w:rsidR="00C85B01" w:rsidRPr="00650EE4" w:rsidRDefault="007F6E29" w:rsidP="003243BF">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Numatomas, r</w:t>
      </w:r>
      <w:r w:rsidR="00C85B01" w:rsidRPr="00650EE4">
        <w:rPr>
          <w:rFonts w:ascii="Times New Roman" w:hAnsi="Times New Roman"/>
          <w:color w:val="000000" w:themeColor="text1"/>
          <w:szCs w:val="22"/>
        </w:rPr>
        <w:t>enovacijai  įgyvendinti reikalingų investicijų</w:t>
      </w:r>
      <w:r w:rsidRPr="00650EE4">
        <w:rPr>
          <w:rFonts w:ascii="Times New Roman" w:hAnsi="Times New Roman"/>
          <w:color w:val="000000" w:themeColor="text1"/>
          <w:szCs w:val="22"/>
        </w:rPr>
        <w:t xml:space="preserve"> poreikis pateikiamas lentelėje </w:t>
      </w:r>
      <w:r w:rsidR="00C36BDF" w:rsidRPr="00650EE4">
        <w:rPr>
          <w:rFonts w:ascii="Times New Roman" w:hAnsi="Times New Roman"/>
          <w:color w:val="000000" w:themeColor="text1"/>
          <w:szCs w:val="22"/>
        </w:rPr>
        <w:t>žemiau.</w:t>
      </w:r>
    </w:p>
    <w:p w14:paraId="04339946" w14:textId="6CFBD2C5" w:rsidR="00C85B01" w:rsidRDefault="00C85B01" w:rsidP="00631BA6">
      <w:pPr>
        <w:pStyle w:val="TESlentelspavadinimas"/>
        <w:rPr>
          <w:noProof w:val="0"/>
        </w:rPr>
      </w:pPr>
      <w:r w:rsidRPr="00650EE4">
        <w:rPr>
          <w:noProof w:val="0"/>
        </w:rPr>
        <w:t>Renovacijai įgyvendinti reikalingos investicijos per metus</w:t>
      </w:r>
    </w:p>
    <w:tbl>
      <w:tblPr>
        <w:tblW w:w="5000" w:type="pct"/>
        <w:tblLook w:val="04A0" w:firstRow="1" w:lastRow="0" w:firstColumn="1" w:lastColumn="0" w:noHBand="0" w:noVBand="1"/>
      </w:tblPr>
      <w:tblGrid>
        <w:gridCol w:w="3229"/>
        <w:gridCol w:w="1627"/>
        <w:gridCol w:w="1391"/>
        <w:gridCol w:w="1391"/>
        <w:gridCol w:w="1391"/>
        <w:gridCol w:w="1391"/>
      </w:tblGrid>
      <w:tr w:rsidR="000B393D" w:rsidRPr="00AC6715" w14:paraId="5A67A695"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F10DDF7"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52050FB"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CF7797"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92B9D7E"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945C91C"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4104F2"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2041-2050</w:t>
            </w:r>
          </w:p>
        </w:tc>
      </w:tr>
      <w:tr w:rsidR="000B393D" w:rsidRPr="006534C2" w14:paraId="0204457C"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6E86E8"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C3A57E3"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54A5EA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286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11D250D"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419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623200A"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487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C9101F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492</w:t>
            </w:r>
          </w:p>
        </w:tc>
      </w:tr>
      <w:tr w:rsidR="000B393D" w:rsidRPr="006534C2" w14:paraId="236AD8B2"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8EA4BB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F685326"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04AC02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328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EB99E5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475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1FC15BF"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844</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EDB0566"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1.202</w:t>
            </w:r>
          </w:p>
        </w:tc>
      </w:tr>
      <w:tr w:rsidR="000B393D" w:rsidRPr="006534C2" w14:paraId="733FA71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07F8CF"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2DE0F65E"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A582D7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88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D52CB6"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136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4210CF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2FB718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374</w:t>
            </w:r>
          </w:p>
        </w:tc>
      </w:tr>
      <w:tr w:rsidR="000B393D" w:rsidRPr="006534C2" w14:paraId="46128B97"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BFA86D4"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51372E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62C7D9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166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DB942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CF64C7"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483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59DA2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700</w:t>
            </w:r>
          </w:p>
        </w:tc>
      </w:tr>
      <w:tr w:rsidR="000B393D" w:rsidRPr="006534C2" w14:paraId="44986E4F"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0820B01"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27ECF577"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 xml:space="preserve">mln. </w:t>
            </w:r>
            <w:proofErr w:type="spellStart"/>
            <w:r w:rsidRPr="006534C2">
              <w:rPr>
                <w:rFonts w:ascii="Times New Roman" w:eastAsia="Times New Roman" w:hAnsi="Times New Roman"/>
                <w:b/>
                <w:bCs/>
                <w:sz w:val="20"/>
                <w:szCs w:val="20"/>
                <w:lang w:eastAsia="lt-LT"/>
              </w:rPr>
              <w:t>Eur</w:t>
            </w:r>
            <w:proofErr w:type="spellEnd"/>
            <w:r w:rsidRPr="006534C2">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8919060"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867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5C8AEB"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1.286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04A1D41"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2.071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651362F"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2.767</w:t>
            </w:r>
          </w:p>
        </w:tc>
      </w:tr>
    </w:tbl>
    <w:p w14:paraId="033C3507" w14:textId="67D55B22"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033EABAE" w14:textId="77777777" w:rsidR="004B339B" w:rsidRPr="00650EE4" w:rsidRDefault="004B339B" w:rsidP="00631BA6">
      <w:pPr>
        <w:pStyle w:val="TESlentelspavadinimas"/>
        <w:rPr>
          <w:noProof w:val="0"/>
        </w:rPr>
      </w:pPr>
    </w:p>
    <w:p w14:paraId="716DB7E9" w14:textId="4E43AAE4" w:rsidR="00C85B01" w:rsidRPr="00650EE4" w:rsidRDefault="007F6E29" w:rsidP="001615E0">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Numatomas, renovacijai  įgyvendinti reikalingų subsidijų poreikis pateikiamas lentelėje žemiau</w:t>
      </w:r>
      <w:r w:rsidR="00C85B01" w:rsidRPr="00650EE4">
        <w:rPr>
          <w:rFonts w:ascii="Times New Roman" w:hAnsi="Times New Roman"/>
          <w:color w:val="000000" w:themeColor="text1"/>
          <w:szCs w:val="22"/>
        </w:rPr>
        <w:t xml:space="preserve">. </w:t>
      </w:r>
      <w:r w:rsidR="00112E6B" w:rsidRPr="00650EE4">
        <w:rPr>
          <w:rFonts w:ascii="Times New Roman" w:hAnsi="Times New Roman"/>
          <w:color w:val="000000" w:themeColor="text1"/>
          <w:szCs w:val="22"/>
        </w:rPr>
        <w:t>Subsidijų</w:t>
      </w:r>
      <w:r w:rsidR="00C85B01" w:rsidRPr="00650EE4">
        <w:rPr>
          <w:rFonts w:ascii="Times New Roman" w:hAnsi="Times New Roman"/>
          <w:color w:val="000000" w:themeColor="text1"/>
          <w:szCs w:val="22"/>
        </w:rPr>
        <w:t xml:space="preserve"> poreikis apskaičiuotas remiantis šiuo metu taikomų renovacijos paramos priemonių finansavimo intensyvumu, kai finansuojama 30 proc. investicijų.</w:t>
      </w:r>
      <w:r w:rsidR="00A62BD5" w:rsidRPr="00650EE4">
        <w:rPr>
          <w:rFonts w:ascii="Times New Roman" w:hAnsi="Times New Roman"/>
          <w:color w:val="000000" w:themeColor="text1"/>
          <w:szCs w:val="22"/>
        </w:rPr>
        <w:t xml:space="preserve"> Daugiabučių atveju papildomai įvertinta parama investicinių projektų rengimui ir projekto administravimui („minkštoji dalis“), </w:t>
      </w:r>
      <w:r w:rsidR="009E7A85" w:rsidRPr="00650EE4">
        <w:rPr>
          <w:rFonts w:ascii="Times New Roman" w:hAnsi="Times New Roman"/>
          <w:color w:val="000000" w:themeColor="text1"/>
          <w:szCs w:val="22"/>
        </w:rPr>
        <w:t xml:space="preserve">papildomai </w:t>
      </w:r>
      <w:r w:rsidR="00A62BD5" w:rsidRPr="00650EE4">
        <w:rPr>
          <w:rFonts w:ascii="Times New Roman" w:hAnsi="Times New Roman"/>
          <w:color w:val="000000" w:themeColor="text1"/>
          <w:szCs w:val="22"/>
        </w:rPr>
        <w:t>sudaranti apie 10 proc. investicijų</w:t>
      </w:r>
    </w:p>
    <w:p w14:paraId="2D6962EC" w14:textId="220367E5" w:rsidR="00C85B01" w:rsidRPr="00650EE4" w:rsidRDefault="00C85B01" w:rsidP="00631BA6">
      <w:pPr>
        <w:pStyle w:val="TESlentelspavadinimas"/>
        <w:rPr>
          <w:noProof w:val="0"/>
        </w:rPr>
      </w:pPr>
      <w:r w:rsidRPr="00650EE4">
        <w:rPr>
          <w:noProof w:val="0"/>
        </w:rPr>
        <w:t xml:space="preserve">Renovacijai įgyvendinti reikalingas </w:t>
      </w:r>
      <w:r w:rsidR="009F25C2" w:rsidRPr="00650EE4">
        <w:rPr>
          <w:noProof w:val="0"/>
        </w:rPr>
        <w:t>subsidijų poreikis</w:t>
      </w:r>
      <w:r w:rsidR="00795E68" w:rsidRPr="00650EE4">
        <w:rPr>
          <w:noProof w:val="0"/>
        </w:rPr>
        <w:t xml:space="preserve"> per metus</w:t>
      </w:r>
    </w:p>
    <w:tbl>
      <w:tblPr>
        <w:tblW w:w="5000" w:type="pct"/>
        <w:tblLook w:val="04A0" w:firstRow="1" w:lastRow="0" w:firstColumn="1" w:lastColumn="0" w:noHBand="0" w:noVBand="1"/>
      </w:tblPr>
      <w:tblGrid>
        <w:gridCol w:w="3229"/>
        <w:gridCol w:w="1627"/>
        <w:gridCol w:w="1391"/>
        <w:gridCol w:w="1391"/>
        <w:gridCol w:w="1391"/>
        <w:gridCol w:w="1391"/>
      </w:tblGrid>
      <w:tr w:rsidR="000B393D" w:rsidRPr="00AC6715" w14:paraId="57E604B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32968BC"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6A3DAA7" w14:textId="77777777" w:rsidR="000B393D" w:rsidRPr="00AC6715" w:rsidRDefault="000B393D" w:rsidP="003E0C4E">
            <w:pPr>
              <w:spacing w:line="240" w:lineRule="auto"/>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707F0CB"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6AD5118"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20CEC25"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4CC2CF7" w14:textId="77777777" w:rsidR="000B393D" w:rsidRPr="00AC6715" w:rsidRDefault="000B393D" w:rsidP="003E0C4E">
            <w:pPr>
              <w:spacing w:line="240" w:lineRule="auto"/>
              <w:jc w:val="center"/>
              <w:rPr>
                <w:rFonts w:ascii="Times New Roman" w:eastAsia="Times New Roman" w:hAnsi="Times New Roman"/>
                <w:b/>
                <w:bCs/>
                <w:sz w:val="20"/>
                <w:szCs w:val="20"/>
                <w:lang w:eastAsia="lt-LT"/>
              </w:rPr>
            </w:pPr>
            <w:r w:rsidRPr="00AC6715">
              <w:rPr>
                <w:rFonts w:ascii="Times New Roman" w:eastAsia="Times New Roman" w:hAnsi="Times New Roman"/>
                <w:b/>
                <w:bCs/>
                <w:sz w:val="20"/>
                <w:szCs w:val="20"/>
                <w:lang w:eastAsia="lt-LT"/>
              </w:rPr>
              <w:t>2041-2050</w:t>
            </w:r>
          </w:p>
        </w:tc>
      </w:tr>
      <w:tr w:rsidR="000B393D" w:rsidRPr="006534C2" w14:paraId="074BC81E"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E503D4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574C4B66"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4F56A2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114</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F591A2"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168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8E0FAA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195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FC8374"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197</w:t>
            </w:r>
          </w:p>
        </w:tc>
      </w:tr>
      <w:tr w:rsidR="000B393D" w:rsidRPr="006534C2" w14:paraId="01F16678"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48EB9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58388C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224051B"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98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AE4999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143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EE48228"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253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F621CA3"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360</w:t>
            </w:r>
          </w:p>
        </w:tc>
      </w:tr>
      <w:tr w:rsidR="000B393D" w:rsidRPr="006534C2" w14:paraId="7AD8BAC0"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4F4C77D"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5D95BB3C"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43CDFD0"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E63016F"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41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73AD51D"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70EB8EA"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112</w:t>
            </w:r>
          </w:p>
        </w:tc>
      </w:tr>
      <w:tr w:rsidR="000B393D" w:rsidRPr="006534C2" w14:paraId="43057646"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7815E78"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912120F" w14:textId="77777777" w:rsidR="000B393D" w:rsidRPr="006534C2" w:rsidRDefault="000B393D" w:rsidP="003E0C4E">
            <w:pPr>
              <w:spacing w:line="240" w:lineRule="auto"/>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 xml:space="preserve">mln. </w:t>
            </w:r>
            <w:proofErr w:type="spellStart"/>
            <w:r w:rsidRPr="006534C2">
              <w:rPr>
                <w:rFonts w:ascii="Times New Roman" w:eastAsia="Times New Roman" w:hAnsi="Times New Roman"/>
                <w:sz w:val="20"/>
                <w:szCs w:val="20"/>
                <w:lang w:eastAsia="lt-LT"/>
              </w:rPr>
              <w:t>Eur</w:t>
            </w:r>
            <w:proofErr w:type="spellEnd"/>
            <w:r w:rsidRPr="006534C2">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4BBBF0"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50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575D501"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77</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797A14"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145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34D2EB5" w14:textId="77777777" w:rsidR="000B393D" w:rsidRPr="006534C2" w:rsidRDefault="000B393D" w:rsidP="003E0C4E">
            <w:pPr>
              <w:spacing w:line="240" w:lineRule="auto"/>
              <w:jc w:val="center"/>
              <w:rPr>
                <w:rFonts w:ascii="Times New Roman" w:eastAsia="Times New Roman" w:hAnsi="Times New Roman"/>
                <w:sz w:val="20"/>
                <w:szCs w:val="20"/>
                <w:lang w:eastAsia="lt-LT"/>
              </w:rPr>
            </w:pPr>
            <w:r w:rsidRPr="006534C2">
              <w:rPr>
                <w:rFonts w:ascii="Times New Roman" w:eastAsia="Times New Roman" w:hAnsi="Times New Roman"/>
                <w:sz w:val="20"/>
                <w:szCs w:val="20"/>
                <w:lang w:eastAsia="lt-LT"/>
              </w:rPr>
              <w:t>210</w:t>
            </w:r>
          </w:p>
        </w:tc>
      </w:tr>
      <w:tr w:rsidR="000B393D" w:rsidRPr="006534C2" w14:paraId="4361FAFA" w14:textId="77777777" w:rsidTr="003E0C4E">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3972ED4"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9EC4BDE" w14:textId="77777777" w:rsidR="000B393D" w:rsidRPr="006534C2" w:rsidRDefault="000B393D" w:rsidP="003E0C4E">
            <w:pPr>
              <w:spacing w:line="240" w:lineRule="auto"/>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 xml:space="preserve">mln. </w:t>
            </w:r>
            <w:proofErr w:type="spellStart"/>
            <w:r w:rsidRPr="006534C2">
              <w:rPr>
                <w:rFonts w:ascii="Times New Roman" w:eastAsia="Times New Roman" w:hAnsi="Times New Roman"/>
                <w:b/>
                <w:bCs/>
                <w:sz w:val="20"/>
                <w:szCs w:val="20"/>
                <w:lang w:eastAsia="lt-LT"/>
              </w:rPr>
              <w:t>Eur</w:t>
            </w:r>
            <w:proofErr w:type="spellEnd"/>
            <w:r w:rsidRPr="006534C2">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92736C1"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289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06C38F2"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428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2D1638C"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670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5E4BE36" w14:textId="77777777" w:rsidR="000B393D" w:rsidRPr="006534C2" w:rsidRDefault="000B393D" w:rsidP="003E0C4E">
            <w:pPr>
              <w:spacing w:line="240" w:lineRule="auto"/>
              <w:jc w:val="center"/>
              <w:rPr>
                <w:rFonts w:ascii="Times New Roman" w:eastAsia="Times New Roman" w:hAnsi="Times New Roman"/>
                <w:b/>
                <w:bCs/>
                <w:sz w:val="20"/>
                <w:szCs w:val="20"/>
                <w:lang w:eastAsia="lt-LT"/>
              </w:rPr>
            </w:pPr>
            <w:r w:rsidRPr="006534C2">
              <w:rPr>
                <w:rFonts w:ascii="Times New Roman" w:eastAsia="Times New Roman" w:hAnsi="Times New Roman"/>
                <w:b/>
                <w:bCs/>
                <w:sz w:val="20"/>
                <w:szCs w:val="20"/>
                <w:lang w:eastAsia="lt-LT"/>
              </w:rPr>
              <w:t>879</w:t>
            </w:r>
          </w:p>
        </w:tc>
      </w:tr>
    </w:tbl>
    <w:p w14:paraId="577A52AE" w14:textId="72C6958E" w:rsidR="00C85B01" w:rsidRPr="00650EE4" w:rsidRDefault="00C85B01" w:rsidP="00631BA6">
      <w:pPr>
        <w:pStyle w:val="TESlentelspavadinimas"/>
        <w:rPr>
          <w:noProof w:val="0"/>
        </w:rPr>
      </w:pPr>
      <w:r w:rsidRPr="00650EE4">
        <w:rPr>
          <w:noProof w:val="0"/>
        </w:rPr>
        <w:t>Šaltinis: Studijos</w:t>
      </w:r>
      <w:r w:rsidR="004C5495">
        <w:rPr>
          <w:noProof w:val="0"/>
        </w:rPr>
        <w:t xml:space="preserve"> </w:t>
      </w:r>
      <w:r w:rsidR="004C5495" w:rsidRPr="004C5495">
        <w:rPr>
          <w:noProof w:val="0"/>
        </w:rPr>
        <w:t>Lietuvos ilgalaikei renovacijos strategijai parengti</w:t>
      </w:r>
      <w:r w:rsidRPr="00650EE4">
        <w:rPr>
          <w:noProof w:val="0"/>
        </w:rPr>
        <w:t xml:space="preserve"> autoriai</w:t>
      </w:r>
    </w:p>
    <w:p w14:paraId="7E97EE01" w14:textId="77777777" w:rsidR="009F25C2" w:rsidRPr="00650EE4" w:rsidRDefault="009F25C2" w:rsidP="00425295">
      <w:pPr>
        <w:jc w:val="both"/>
        <w:rPr>
          <w:rFonts w:ascii="Times New Roman" w:hAnsi="Times New Roman"/>
          <w:color w:val="auto"/>
          <w:szCs w:val="22"/>
        </w:rPr>
      </w:pPr>
    </w:p>
    <w:p w14:paraId="78112324" w14:textId="6321A05B" w:rsidR="002B6D0A" w:rsidRPr="00650EE4" w:rsidRDefault="002B6D0A" w:rsidP="00224C19">
      <w:pPr>
        <w:spacing w:after="120"/>
        <w:jc w:val="both"/>
        <w:rPr>
          <w:rFonts w:ascii="Times New Roman" w:hAnsi="Times New Roman"/>
          <w:color w:val="auto"/>
          <w:szCs w:val="22"/>
        </w:rPr>
      </w:pPr>
      <w:r w:rsidRPr="00650EE4">
        <w:rPr>
          <w:rFonts w:ascii="Times New Roman" w:hAnsi="Times New Roman"/>
          <w:color w:val="auto"/>
          <w:szCs w:val="22"/>
        </w:rPr>
        <w:t xml:space="preserve">Sėkmingai </w:t>
      </w:r>
      <w:r w:rsidR="00B8506E" w:rsidRPr="00650EE4">
        <w:rPr>
          <w:rFonts w:ascii="Times New Roman" w:hAnsi="Times New Roman"/>
          <w:color w:val="auto"/>
          <w:szCs w:val="22"/>
        </w:rPr>
        <w:t>įgyvendinus</w:t>
      </w:r>
      <w:r w:rsidR="007A52B6">
        <w:rPr>
          <w:rFonts w:ascii="Times New Roman" w:hAnsi="Times New Roman"/>
          <w:color w:val="auto"/>
          <w:szCs w:val="22"/>
        </w:rPr>
        <w:t xml:space="preserve"> p</w:t>
      </w:r>
      <w:r w:rsidRPr="00650EE4">
        <w:rPr>
          <w:rFonts w:ascii="Times New Roman" w:hAnsi="Times New Roman"/>
          <w:color w:val="auto"/>
          <w:szCs w:val="22"/>
        </w:rPr>
        <w:t>astatų fondo transformaciją</w:t>
      </w:r>
      <w:r w:rsidR="00230A1D" w:rsidRPr="00650EE4">
        <w:rPr>
          <w:rFonts w:ascii="Times New Roman" w:hAnsi="Times New Roman"/>
          <w:color w:val="auto"/>
          <w:szCs w:val="22"/>
        </w:rPr>
        <w:t xml:space="preserve"> būtų realizuotos</w:t>
      </w:r>
      <w:r w:rsidR="00904299" w:rsidRPr="00650EE4">
        <w:rPr>
          <w:rFonts w:ascii="Times New Roman" w:hAnsi="Times New Roman"/>
          <w:color w:val="auto"/>
          <w:szCs w:val="22"/>
        </w:rPr>
        <w:t xml:space="preserve"> ne tik tiesioginės (sutaupytos energijos ir s</w:t>
      </w:r>
      <w:r w:rsidR="00904299" w:rsidRPr="00650EE4">
        <w:rPr>
          <w:rFonts w:ascii="Times New Roman" w:eastAsia="Times New Roman" w:hAnsi="Times New Roman"/>
          <w:szCs w:val="22"/>
          <w:lang w:eastAsia="lt-LT"/>
        </w:rPr>
        <w:t>umažintų CO</w:t>
      </w:r>
      <w:r w:rsidR="00904299" w:rsidRPr="00650EE4">
        <w:rPr>
          <w:rFonts w:ascii="Times New Roman" w:eastAsia="Times New Roman" w:hAnsi="Times New Roman"/>
          <w:szCs w:val="22"/>
          <w:vertAlign w:val="subscript"/>
          <w:lang w:eastAsia="lt-LT"/>
        </w:rPr>
        <w:t>2</w:t>
      </w:r>
      <w:r w:rsidR="00904299" w:rsidRPr="00650EE4">
        <w:rPr>
          <w:rFonts w:ascii="Times New Roman" w:eastAsia="Times New Roman" w:hAnsi="Times New Roman"/>
          <w:szCs w:val="22"/>
          <w:lang w:eastAsia="lt-LT"/>
        </w:rPr>
        <w:t xml:space="preserve"> išmetimų vertė)</w:t>
      </w:r>
      <w:r w:rsidR="00230A1D" w:rsidRPr="00650EE4">
        <w:rPr>
          <w:rFonts w:ascii="Times New Roman" w:hAnsi="Times New Roman"/>
          <w:color w:val="auto"/>
          <w:szCs w:val="22"/>
        </w:rPr>
        <w:t xml:space="preserve"> </w:t>
      </w:r>
      <w:r w:rsidRPr="00650EE4">
        <w:rPr>
          <w:rFonts w:ascii="Times New Roman" w:hAnsi="Times New Roman"/>
          <w:color w:val="auto"/>
          <w:szCs w:val="22"/>
        </w:rPr>
        <w:t xml:space="preserve"> </w:t>
      </w:r>
      <w:r w:rsidR="00904299" w:rsidRPr="00650EE4">
        <w:rPr>
          <w:rFonts w:ascii="Times New Roman" w:hAnsi="Times New Roman"/>
          <w:color w:val="auto"/>
          <w:szCs w:val="22"/>
        </w:rPr>
        <w:t xml:space="preserve">bet ir platesnio masto </w:t>
      </w:r>
      <w:r w:rsidR="00B8506E" w:rsidRPr="00650EE4">
        <w:rPr>
          <w:rFonts w:ascii="Times New Roman" w:hAnsi="Times New Roman"/>
          <w:color w:val="auto"/>
          <w:szCs w:val="22"/>
        </w:rPr>
        <w:t>renovacijos</w:t>
      </w:r>
      <w:r w:rsidR="00904299" w:rsidRPr="00650EE4">
        <w:rPr>
          <w:rFonts w:ascii="Times New Roman" w:hAnsi="Times New Roman"/>
          <w:color w:val="auto"/>
          <w:szCs w:val="22"/>
        </w:rPr>
        <w:t xml:space="preserve"> naudos. </w:t>
      </w:r>
      <w:r w:rsidRPr="00650EE4">
        <w:rPr>
          <w:rFonts w:ascii="Times New Roman" w:hAnsi="Times New Roman"/>
          <w:color w:val="auto"/>
          <w:szCs w:val="22"/>
        </w:rPr>
        <w:t>Lentelėje žemiau pateikiama apskaičiuotų tiesioginių ir platesnio masto naudų suvestinė.</w:t>
      </w:r>
    </w:p>
    <w:p w14:paraId="7401AD37" w14:textId="28999659" w:rsidR="002B6D0A" w:rsidRPr="00650EE4" w:rsidRDefault="002B6D0A" w:rsidP="00631BA6">
      <w:pPr>
        <w:pStyle w:val="TESlentelspavadinimas"/>
        <w:rPr>
          <w:noProof w:val="0"/>
        </w:rPr>
      </w:pPr>
      <w:r w:rsidRPr="00650EE4">
        <w:rPr>
          <w:noProof w:val="0"/>
        </w:rPr>
        <w:t>IRS įgyvendinimo naudos</w:t>
      </w:r>
      <w:r w:rsidR="00904299" w:rsidRPr="00650EE4">
        <w:rPr>
          <w:noProof w:val="0"/>
        </w:rPr>
        <w:t xml:space="preserve"> (realia, nediskontuota </w:t>
      </w:r>
      <w:r w:rsidRPr="00650EE4">
        <w:rPr>
          <w:noProof w:val="0"/>
        </w:rPr>
        <w:t>verte)</w:t>
      </w:r>
    </w:p>
    <w:tbl>
      <w:tblPr>
        <w:tblW w:w="5000" w:type="pct"/>
        <w:tblLook w:val="04A0" w:firstRow="1" w:lastRow="0" w:firstColumn="1" w:lastColumn="0" w:noHBand="0" w:noVBand="1"/>
      </w:tblPr>
      <w:tblGrid>
        <w:gridCol w:w="3884"/>
        <w:gridCol w:w="1136"/>
        <w:gridCol w:w="902"/>
        <w:gridCol w:w="886"/>
        <w:gridCol w:w="886"/>
        <w:gridCol w:w="1286"/>
        <w:gridCol w:w="1440"/>
      </w:tblGrid>
      <w:tr w:rsidR="000B393D" w:rsidRPr="00650EE4" w14:paraId="573B4095" w14:textId="77777777" w:rsidTr="003E0C4E">
        <w:trPr>
          <w:trHeight w:val="194"/>
        </w:trPr>
        <w:tc>
          <w:tcPr>
            <w:tcW w:w="18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435A69" w14:textId="77777777" w:rsidR="000B393D" w:rsidRPr="00650EE4" w:rsidRDefault="000B393D" w:rsidP="003E0C4E">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Rodiklis</w:t>
            </w:r>
          </w:p>
        </w:tc>
        <w:tc>
          <w:tcPr>
            <w:tcW w:w="545" w:type="pct"/>
            <w:tcBorders>
              <w:top w:val="single" w:sz="4" w:space="0" w:color="auto"/>
              <w:left w:val="nil"/>
              <w:bottom w:val="single" w:sz="4" w:space="0" w:color="auto"/>
              <w:right w:val="single" w:sz="4" w:space="0" w:color="auto"/>
            </w:tcBorders>
            <w:shd w:val="clear" w:color="auto" w:fill="auto"/>
            <w:vAlign w:val="center"/>
            <w:hideMark/>
          </w:tcPr>
          <w:p w14:paraId="59F05F96" w14:textId="77777777" w:rsidR="000B393D" w:rsidRPr="00650EE4" w:rsidRDefault="000B393D" w:rsidP="003E0C4E">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758FD77A"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2021-2030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2A4A694B"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3B63366"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c>
          <w:tcPr>
            <w:tcW w:w="617" w:type="pct"/>
            <w:tcBorders>
              <w:top w:val="single" w:sz="4" w:space="0" w:color="auto"/>
              <w:left w:val="nil"/>
              <w:bottom w:val="single" w:sz="4" w:space="0" w:color="auto"/>
              <w:right w:val="single" w:sz="4" w:space="0" w:color="auto"/>
            </w:tcBorders>
            <w:shd w:val="clear" w:color="auto" w:fill="auto"/>
            <w:vAlign w:val="center"/>
            <w:hideMark/>
          </w:tcPr>
          <w:p w14:paraId="7FDE78AA" w14:textId="77777777" w:rsidR="000B393D" w:rsidRPr="00650EE4" w:rsidRDefault="000B393D" w:rsidP="003E0C4E">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2041-2050</w:t>
            </w:r>
          </w:p>
        </w:tc>
        <w:tc>
          <w:tcPr>
            <w:tcW w:w="691" w:type="pct"/>
            <w:tcBorders>
              <w:top w:val="single" w:sz="4" w:space="0" w:color="auto"/>
              <w:left w:val="nil"/>
              <w:bottom w:val="single" w:sz="4" w:space="0" w:color="auto"/>
              <w:right w:val="single" w:sz="4" w:space="0" w:color="auto"/>
            </w:tcBorders>
            <w:shd w:val="clear" w:color="auto" w:fill="auto"/>
            <w:vAlign w:val="center"/>
            <w:hideMark/>
          </w:tcPr>
          <w:p w14:paraId="14C7FCD5" w14:textId="77777777" w:rsidR="000B393D" w:rsidRPr="00650EE4" w:rsidRDefault="000B393D" w:rsidP="003E0C4E">
            <w:pPr>
              <w:spacing w:line="240" w:lineRule="auto"/>
              <w:ind w:left="-109" w:right="-115"/>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per gyvavimo ciklą</w:t>
            </w:r>
          </w:p>
        </w:tc>
      </w:tr>
      <w:tr w:rsidR="000B393D" w:rsidRPr="00533135" w14:paraId="3AC8D18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17297FBB"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Renovuota pastatų</w:t>
            </w:r>
          </w:p>
        </w:tc>
        <w:tc>
          <w:tcPr>
            <w:tcW w:w="545" w:type="pct"/>
            <w:tcBorders>
              <w:top w:val="nil"/>
              <w:left w:val="nil"/>
              <w:bottom w:val="single" w:sz="4" w:space="0" w:color="auto"/>
              <w:right w:val="single" w:sz="4" w:space="0" w:color="auto"/>
            </w:tcBorders>
            <w:shd w:val="clear" w:color="auto" w:fill="auto"/>
            <w:vAlign w:val="center"/>
            <w:hideMark/>
          </w:tcPr>
          <w:p w14:paraId="2E15D61E"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vnt.</w:t>
            </w:r>
          </w:p>
        </w:tc>
        <w:tc>
          <w:tcPr>
            <w:tcW w:w="433" w:type="pct"/>
            <w:tcBorders>
              <w:top w:val="nil"/>
              <w:left w:val="nil"/>
              <w:bottom w:val="single" w:sz="4" w:space="0" w:color="auto"/>
              <w:right w:val="single" w:sz="4" w:space="0" w:color="auto"/>
            </w:tcBorders>
            <w:shd w:val="clear" w:color="auto" w:fill="auto"/>
            <w:vAlign w:val="center"/>
            <w:hideMark/>
          </w:tcPr>
          <w:p w14:paraId="16C404AF"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99.281</w:t>
            </w:r>
          </w:p>
        </w:tc>
        <w:tc>
          <w:tcPr>
            <w:tcW w:w="425" w:type="pct"/>
            <w:tcBorders>
              <w:top w:val="nil"/>
              <w:left w:val="nil"/>
              <w:bottom w:val="single" w:sz="4" w:space="0" w:color="auto"/>
              <w:right w:val="single" w:sz="4" w:space="0" w:color="auto"/>
            </w:tcBorders>
            <w:shd w:val="clear" w:color="auto" w:fill="auto"/>
            <w:vAlign w:val="center"/>
            <w:hideMark/>
          </w:tcPr>
          <w:p w14:paraId="78F4617F"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156.141</w:t>
            </w:r>
          </w:p>
        </w:tc>
        <w:tc>
          <w:tcPr>
            <w:tcW w:w="425" w:type="pct"/>
            <w:tcBorders>
              <w:top w:val="nil"/>
              <w:left w:val="nil"/>
              <w:bottom w:val="single" w:sz="4" w:space="0" w:color="auto"/>
              <w:right w:val="single" w:sz="4" w:space="0" w:color="auto"/>
            </w:tcBorders>
            <w:shd w:val="clear" w:color="auto" w:fill="auto"/>
            <w:vAlign w:val="center"/>
            <w:hideMark/>
          </w:tcPr>
          <w:p w14:paraId="524D409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180.587</w:t>
            </w:r>
          </w:p>
        </w:tc>
        <w:tc>
          <w:tcPr>
            <w:tcW w:w="617" w:type="pct"/>
            <w:tcBorders>
              <w:top w:val="nil"/>
              <w:left w:val="nil"/>
              <w:bottom w:val="single" w:sz="4" w:space="0" w:color="auto"/>
              <w:right w:val="single" w:sz="4" w:space="0" w:color="auto"/>
            </w:tcBorders>
            <w:shd w:val="clear" w:color="auto" w:fill="auto"/>
            <w:vAlign w:val="center"/>
            <w:hideMark/>
          </w:tcPr>
          <w:p w14:paraId="78B4D46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436.008</w:t>
            </w:r>
          </w:p>
        </w:tc>
        <w:tc>
          <w:tcPr>
            <w:tcW w:w="691" w:type="pct"/>
            <w:tcBorders>
              <w:top w:val="nil"/>
              <w:left w:val="nil"/>
              <w:bottom w:val="single" w:sz="4" w:space="0" w:color="auto"/>
              <w:right w:val="single" w:sz="4" w:space="0" w:color="auto"/>
            </w:tcBorders>
            <w:shd w:val="clear" w:color="auto" w:fill="auto"/>
            <w:vAlign w:val="center"/>
            <w:hideMark/>
          </w:tcPr>
          <w:p w14:paraId="4C462A1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436.008</w:t>
            </w:r>
          </w:p>
        </w:tc>
      </w:tr>
      <w:tr w:rsidR="000B393D" w:rsidRPr="00533135" w14:paraId="526D1AF0"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451AEB7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Renovuota pastatų</w:t>
            </w:r>
          </w:p>
        </w:tc>
        <w:tc>
          <w:tcPr>
            <w:tcW w:w="545" w:type="pct"/>
            <w:tcBorders>
              <w:top w:val="nil"/>
              <w:left w:val="nil"/>
              <w:bottom w:val="single" w:sz="4" w:space="0" w:color="auto"/>
              <w:right w:val="single" w:sz="4" w:space="0" w:color="auto"/>
            </w:tcBorders>
            <w:shd w:val="clear" w:color="auto" w:fill="auto"/>
            <w:vAlign w:val="center"/>
            <w:hideMark/>
          </w:tcPr>
          <w:p w14:paraId="34C8937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tūkst. m2</w:t>
            </w:r>
          </w:p>
        </w:tc>
        <w:tc>
          <w:tcPr>
            <w:tcW w:w="433" w:type="pct"/>
            <w:tcBorders>
              <w:top w:val="nil"/>
              <w:left w:val="nil"/>
              <w:bottom w:val="single" w:sz="4" w:space="0" w:color="auto"/>
              <w:right w:val="single" w:sz="4" w:space="0" w:color="auto"/>
            </w:tcBorders>
            <w:shd w:val="clear" w:color="auto" w:fill="auto"/>
            <w:vAlign w:val="center"/>
            <w:hideMark/>
          </w:tcPr>
          <w:p w14:paraId="0DCD340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27.819</w:t>
            </w:r>
          </w:p>
        </w:tc>
        <w:tc>
          <w:tcPr>
            <w:tcW w:w="425" w:type="pct"/>
            <w:tcBorders>
              <w:top w:val="nil"/>
              <w:left w:val="nil"/>
              <w:bottom w:val="single" w:sz="4" w:space="0" w:color="auto"/>
              <w:right w:val="single" w:sz="4" w:space="0" w:color="auto"/>
            </w:tcBorders>
            <w:shd w:val="clear" w:color="auto" w:fill="auto"/>
            <w:vAlign w:val="center"/>
            <w:hideMark/>
          </w:tcPr>
          <w:p w14:paraId="1451286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39.414</w:t>
            </w:r>
          </w:p>
        </w:tc>
        <w:tc>
          <w:tcPr>
            <w:tcW w:w="425" w:type="pct"/>
            <w:tcBorders>
              <w:top w:val="nil"/>
              <w:left w:val="nil"/>
              <w:bottom w:val="single" w:sz="4" w:space="0" w:color="auto"/>
              <w:right w:val="single" w:sz="4" w:space="0" w:color="auto"/>
            </w:tcBorders>
            <w:shd w:val="clear" w:color="auto" w:fill="auto"/>
            <w:vAlign w:val="center"/>
            <w:hideMark/>
          </w:tcPr>
          <w:p w14:paraId="08873AE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42.301</w:t>
            </w:r>
          </w:p>
        </w:tc>
        <w:tc>
          <w:tcPr>
            <w:tcW w:w="617" w:type="pct"/>
            <w:tcBorders>
              <w:top w:val="nil"/>
              <w:left w:val="nil"/>
              <w:bottom w:val="single" w:sz="4" w:space="0" w:color="auto"/>
              <w:right w:val="single" w:sz="4" w:space="0" w:color="auto"/>
            </w:tcBorders>
            <w:shd w:val="clear" w:color="auto" w:fill="auto"/>
            <w:vAlign w:val="center"/>
            <w:hideMark/>
          </w:tcPr>
          <w:p w14:paraId="46EA8635"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109.534</w:t>
            </w:r>
          </w:p>
        </w:tc>
        <w:tc>
          <w:tcPr>
            <w:tcW w:w="691" w:type="pct"/>
            <w:tcBorders>
              <w:top w:val="nil"/>
              <w:left w:val="nil"/>
              <w:bottom w:val="single" w:sz="4" w:space="0" w:color="auto"/>
              <w:right w:val="single" w:sz="4" w:space="0" w:color="auto"/>
            </w:tcBorders>
            <w:shd w:val="clear" w:color="auto" w:fill="auto"/>
            <w:vAlign w:val="center"/>
            <w:hideMark/>
          </w:tcPr>
          <w:p w14:paraId="2E2B692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109.534</w:t>
            </w:r>
          </w:p>
        </w:tc>
      </w:tr>
      <w:tr w:rsidR="000B393D" w:rsidRPr="00533135" w14:paraId="11659423"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3EAF3E02"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Sutaupyta pirminė energija</w:t>
            </w:r>
          </w:p>
        </w:tc>
        <w:tc>
          <w:tcPr>
            <w:tcW w:w="545" w:type="pct"/>
            <w:tcBorders>
              <w:top w:val="nil"/>
              <w:left w:val="nil"/>
              <w:bottom w:val="single" w:sz="4" w:space="0" w:color="auto"/>
              <w:right w:val="single" w:sz="4" w:space="0" w:color="auto"/>
            </w:tcBorders>
            <w:shd w:val="clear" w:color="auto" w:fill="auto"/>
            <w:vAlign w:val="center"/>
            <w:hideMark/>
          </w:tcPr>
          <w:p w14:paraId="63EA9DE1" w14:textId="77777777" w:rsidR="000B393D" w:rsidRPr="00533135" w:rsidRDefault="000B393D" w:rsidP="003E0C4E">
            <w:pPr>
              <w:spacing w:line="240" w:lineRule="auto"/>
              <w:rPr>
                <w:rFonts w:ascii="Times New Roman" w:eastAsia="Times New Roman" w:hAnsi="Times New Roman"/>
                <w:sz w:val="20"/>
                <w:szCs w:val="20"/>
              </w:rPr>
            </w:pPr>
            <w:proofErr w:type="spellStart"/>
            <w:r w:rsidRPr="00533135">
              <w:rPr>
                <w:rFonts w:ascii="Times New Roman" w:eastAsia="Times New Roman" w:hAnsi="Times New Roman"/>
                <w:sz w:val="20"/>
                <w:szCs w:val="20"/>
              </w:rPr>
              <w:t>GWh</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3AB7A1B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30.799</w:t>
            </w:r>
          </w:p>
        </w:tc>
        <w:tc>
          <w:tcPr>
            <w:tcW w:w="425" w:type="pct"/>
            <w:tcBorders>
              <w:top w:val="nil"/>
              <w:left w:val="nil"/>
              <w:bottom w:val="single" w:sz="4" w:space="0" w:color="auto"/>
              <w:right w:val="single" w:sz="4" w:space="0" w:color="auto"/>
            </w:tcBorders>
            <w:shd w:val="clear" w:color="auto" w:fill="auto"/>
            <w:vAlign w:val="center"/>
            <w:hideMark/>
          </w:tcPr>
          <w:p w14:paraId="31C3052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107.394</w:t>
            </w:r>
          </w:p>
        </w:tc>
        <w:tc>
          <w:tcPr>
            <w:tcW w:w="425" w:type="pct"/>
            <w:tcBorders>
              <w:top w:val="nil"/>
              <w:left w:val="nil"/>
              <w:bottom w:val="single" w:sz="4" w:space="0" w:color="auto"/>
              <w:right w:val="single" w:sz="4" w:space="0" w:color="auto"/>
            </w:tcBorders>
            <w:shd w:val="clear" w:color="auto" w:fill="auto"/>
            <w:vAlign w:val="center"/>
            <w:hideMark/>
          </w:tcPr>
          <w:p w14:paraId="21A97AB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202.883</w:t>
            </w:r>
          </w:p>
        </w:tc>
        <w:tc>
          <w:tcPr>
            <w:tcW w:w="617" w:type="pct"/>
            <w:tcBorders>
              <w:top w:val="nil"/>
              <w:left w:val="nil"/>
              <w:bottom w:val="single" w:sz="4" w:space="0" w:color="auto"/>
              <w:right w:val="single" w:sz="4" w:space="0" w:color="auto"/>
            </w:tcBorders>
            <w:shd w:val="clear" w:color="auto" w:fill="auto"/>
            <w:vAlign w:val="center"/>
            <w:hideMark/>
          </w:tcPr>
          <w:p w14:paraId="7DD4A3C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341.076</w:t>
            </w:r>
          </w:p>
        </w:tc>
        <w:tc>
          <w:tcPr>
            <w:tcW w:w="691" w:type="pct"/>
            <w:tcBorders>
              <w:top w:val="nil"/>
              <w:left w:val="nil"/>
              <w:bottom w:val="single" w:sz="4" w:space="0" w:color="auto"/>
              <w:right w:val="single" w:sz="4" w:space="0" w:color="auto"/>
            </w:tcBorders>
            <w:shd w:val="clear" w:color="auto" w:fill="auto"/>
            <w:vAlign w:val="center"/>
            <w:hideMark/>
          </w:tcPr>
          <w:p w14:paraId="619AF99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739.949</w:t>
            </w:r>
          </w:p>
        </w:tc>
      </w:tr>
      <w:tr w:rsidR="000B393D" w:rsidRPr="00533135" w14:paraId="30A0C17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0F0AF60"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Sutaupytos CO2 </w:t>
            </w:r>
            <w:proofErr w:type="spellStart"/>
            <w:r w:rsidRPr="00533135">
              <w:rPr>
                <w:rFonts w:ascii="Times New Roman" w:eastAsia="Times New Roman" w:hAnsi="Times New Roman"/>
                <w:sz w:val="20"/>
                <w:szCs w:val="20"/>
              </w:rPr>
              <w:t>esmisijos</w:t>
            </w:r>
            <w:proofErr w:type="spellEnd"/>
          </w:p>
        </w:tc>
        <w:tc>
          <w:tcPr>
            <w:tcW w:w="545" w:type="pct"/>
            <w:tcBorders>
              <w:top w:val="nil"/>
              <w:left w:val="nil"/>
              <w:bottom w:val="single" w:sz="4" w:space="0" w:color="auto"/>
              <w:right w:val="single" w:sz="4" w:space="0" w:color="auto"/>
            </w:tcBorders>
            <w:shd w:val="clear" w:color="auto" w:fill="auto"/>
            <w:vAlign w:val="center"/>
            <w:hideMark/>
          </w:tcPr>
          <w:p w14:paraId="2C84B33E"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ktCO2</w:t>
            </w:r>
          </w:p>
        </w:tc>
        <w:tc>
          <w:tcPr>
            <w:tcW w:w="433" w:type="pct"/>
            <w:tcBorders>
              <w:top w:val="nil"/>
              <w:left w:val="nil"/>
              <w:bottom w:val="single" w:sz="4" w:space="0" w:color="auto"/>
              <w:right w:val="single" w:sz="4" w:space="0" w:color="auto"/>
            </w:tcBorders>
            <w:shd w:val="clear" w:color="auto" w:fill="auto"/>
            <w:vAlign w:val="center"/>
            <w:hideMark/>
          </w:tcPr>
          <w:p w14:paraId="79DD224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6.504</w:t>
            </w:r>
          </w:p>
        </w:tc>
        <w:tc>
          <w:tcPr>
            <w:tcW w:w="425" w:type="pct"/>
            <w:tcBorders>
              <w:top w:val="nil"/>
              <w:left w:val="nil"/>
              <w:bottom w:val="single" w:sz="4" w:space="0" w:color="auto"/>
              <w:right w:val="single" w:sz="4" w:space="0" w:color="auto"/>
            </w:tcBorders>
            <w:shd w:val="clear" w:color="auto" w:fill="auto"/>
            <w:vAlign w:val="center"/>
            <w:hideMark/>
          </w:tcPr>
          <w:p w14:paraId="33799B9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22.803</w:t>
            </w:r>
          </w:p>
        </w:tc>
        <w:tc>
          <w:tcPr>
            <w:tcW w:w="425" w:type="pct"/>
            <w:tcBorders>
              <w:top w:val="nil"/>
              <w:left w:val="nil"/>
              <w:bottom w:val="single" w:sz="4" w:space="0" w:color="auto"/>
              <w:right w:val="single" w:sz="4" w:space="0" w:color="auto"/>
            </w:tcBorders>
            <w:shd w:val="clear" w:color="auto" w:fill="auto"/>
            <w:vAlign w:val="center"/>
            <w:hideMark/>
          </w:tcPr>
          <w:p w14:paraId="5B53713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43.261</w:t>
            </w:r>
          </w:p>
        </w:tc>
        <w:tc>
          <w:tcPr>
            <w:tcW w:w="617" w:type="pct"/>
            <w:tcBorders>
              <w:top w:val="nil"/>
              <w:left w:val="nil"/>
              <w:bottom w:val="single" w:sz="4" w:space="0" w:color="auto"/>
              <w:right w:val="single" w:sz="4" w:space="0" w:color="auto"/>
            </w:tcBorders>
            <w:shd w:val="clear" w:color="auto" w:fill="auto"/>
            <w:vAlign w:val="center"/>
            <w:hideMark/>
          </w:tcPr>
          <w:p w14:paraId="2B2BE22A"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72.569</w:t>
            </w:r>
          </w:p>
        </w:tc>
        <w:tc>
          <w:tcPr>
            <w:tcW w:w="691" w:type="pct"/>
            <w:tcBorders>
              <w:top w:val="nil"/>
              <w:left w:val="nil"/>
              <w:bottom w:val="single" w:sz="4" w:space="0" w:color="auto"/>
              <w:right w:val="single" w:sz="4" w:space="0" w:color="auto"/>
            </w:tcBorders>
            <w:shd w:val="clear" w:color="auto" w:fill="auto"/>
            <w:vAlign w:val="center"/>
            <w:hideMark/>
          </w:tcPr>
          <w:p w14:paraId="4D90372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157.947</w:t>
            </w:r>
          </w:p>
        </w:tc>
      </w:tr>
      <w:tr w:rsidR="000B393D" w:rsidRPr="00533135" w14:paraId="73D4517D"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222AB418"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Investicijos</w:t>
            </w:r>
          </w:p>
        </w:tc>
        <w:tc>
          <w:tcPr>
            <w:tcW w:w="545" w:type="pct"/>
            <w:tcBorders>
              <w:top w:val="nil"/>
              <w:left w:val="nil"/>
              <w:bottom w:val="single" w:sz="4" w:space="0" w:color="auto"/>
              <w:right w:val="single" w:sz="4" w:space="0" w:color="auto"/>
            </w:tcBorders>
            <w:shd w:val="clear" w:color="auto" w:fill="auto"/>
            <w:vAlign w:val="center"/>
            <w:hideMark/>
          </w:tcPr>
          <w:p w14:paraId="5B4BC998"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0581B40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11.603</w:t>
            </w:r>
          </w:p>
        </w:tc>
        <w:tc>
          <w:tcPr>
            <w:tcW w:w="425" w:type="pct"/>
            <w:tcBorders>
              <w:top w:val="nil"/>
              <w:left w:val="nil"/>
              <w:bottom w:val="single" w:sz="4" w:space="0" w:color="auto"/>
              <w:right w:val="single" w:sz="4" w:space="0" w:color="auto"/>
            </w:tcBorders>
            <w:shd w:val="clear" w:color="auto" w:fill="auto"/>
            <w:vAlign w:val="center"/>
            <w:hideMark/>
          </w:tcPr>
          <w:p w14:paraId="5BE3071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20.714</w:t>
            </w:r>
          </w:p>
        </w:tc>
        <w:tc>
          <w:tcPr>
            <w:tcW w:w="425" w:type="pct"/>
            <w:tcBorders>
              <w:top w:val="nil"/>
              <w:left w:val="nil"/>
              <w:bottom w:val="single" w:sz="4" w:space="0" w:color="auto"/>
              <w:right w:val="single" w:sz="4" w:space="0" w:color="auto"/>
            </w:tcBorders>
            <w:shd w:val="clear" w:color="auto" w:fill="auto"/>
            <w:vAlign w:val="center"/>
            <w:hideMark/>
          </w:tcPr>
          <w:p w14:paraId="2F92F15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27.667</w:t>
            </w:r>
          </w:p>
        </w:tc>
        <w:tc>
          <w:tcPr>
            <w:tcW w:w="617" w:type="pct"/>
            <w:tcBorders>
              <w:top w:val="nil"/>
              <w:left w:val="nil"/>
              <w:bottom w:val="single" w:sz="4" w:space="0" w:color="auto"/>
              <w:right w:val="single" w:sz="4" w:space="0" w:color="auto"/>
            </w:tcBorders>
            <w:shd w:val="clear" w:color="auto" w:fill="auto"/>
            <w:vAlign w:val="center"/>
            <w:hideMark/>
          </w:tcPr>
          <w:p w14:paraId="3340779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59.985</w:t>
            </w:r>
          </w:p>
        </w:tc>
        <w:tc>
          <w:tcPr>
            <w:tcW w:w="691" w:type="pct"/>
            <w:tcBorders>
              <w:top w:val="nil"/>
              <w:left w:val="nil"/>
              <w:bottom w:val="single" w:sz="4" w:space="0" w:color="auto"/>
              <w:right w:val="single" w:sz="4" w:space="0" w:color="auto"/>
            </w:tcBorders>
            <w:shd w:val="clear" w:color="auto" w:fill="auto"/>
            <w:vAlign w:val="center"/>
            <w:hideMark/>
          </w:tcPr>
          <w:p w14:paraId="4B396494"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59.985</w:t>
            </w:r>
          </w:p>
        </w:tc>
      </w:tr>
      <w:tr w:rsidR="000B393D" w:rsidRPr="00533135" w14:paraId="47B51169" w14:textId="77777777" w:rsidTr="003E0C4E">
        <w:trPr>
          <w:trHeight w:val="194"/>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14:paraId="33470C71"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Ekonominės naudos</w:t>
            </w:r>
          </w:p>
        </w:tc>
      </w:tr>
      <w:tr w:rsidR="000B393D" w:rsidRPr="00533135" w14:paraId="124E4496"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869B22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N1. Sutaupytos energijos vertė</w:t>
            </w:r>
          </w:p>
        </w:tc>
        <w:tc>
          <w:tcPr>
            <w:tcW w:w="545" w:type="pct"/>
            <w:tcBorders>
              <w:top w:val="nil"/>
              <w:left w:val="nil"/>
              <w:bottom w:val="single" w:sz="4" w:space="0" w:color="auto"/>
              <w:right w:val="single" w:sz="4" w:space="0" w:color="auto"/>
            </w:tcBorders>
            <w:shd w:val="clear" w:color="auto" w:fill="auto"/>
            <w:vAlign w:val="center"/>
            <w:hideMark/>
          </w:tcPr>
          <w:p w14:paraId="59E34C5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7FF39F5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1.235</w:t>
            </w:r>
          </w:p>
        </w:tc>
        <w:tc>
          <w:tcPr>
            <w:tcW w:w="425" w:type="pct"/>
            <w:tcBorders>
              <w:top w:val="nil"/>
              <w:left w:val="nil"/>
              <w:bottom w:val="single" w:sz="4" w:space="0" w:color="auto"/>
              <w:right w:val="single" w:sz="4" w:space="0" w:color="auto"/>
            </w:tcBorders>
            <w:shd w:val="clear" w:color="auto" w:fill="auto"/>
            <w:vAlign w:val="center"/>
            <w:hideMark/>
          </w:tcPr>
          <w:p w14:paraId="40346CE6"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4.736</w:t>
            </w:r>
          </w:p>
        </w:tc>
        <w:tc>
          <w:tcPr>
            <w:tcW w:w="425" w:type="pct"/>
            <w:tcBorders>
              <w:top w:val="nil"/>
              <w:left w:val="nil"/>
              <w:bottom w:val="single" w:sz="4" w:space="0" w:color="auto"/>
              <w:right w:val="single" w:sz="4" w:space="0" w:color="auto"/>
            </w:tcBorders>
            <w:shd w:val="clear" w:color="auto" w:fill="auto"/>
            <w:vAlign w:val="center"/>
            <w:hideMark/>
          </w:tcPr>
          <w:p w14:paraId="3642987C"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9.390</w:t>
            </w:r>
          </w:p>
        </w:tc>
        <w:tc>
          <w:tcPr>
            <w:tcW w:w="617" w:type="pct"/>
            <w:tcBorders>
              <w:top w:val="nil"/>
              <w:left w:val="nil"/>
              <w:bottom w:val="single" w:sz="4" w:space="0" w:color="auto"/>
              <w:right w:val="single" w:sz="4" w:space="0" w:color="auto"/>
            </w:tcBorders>
            <w:shd w:val="clear" w:color="auto" w:fill="auto"/>
            <w:vAlign w:val="center"/>
            <w:hideMark/>
          </w:tcPr>
          <w:p w14:paraId="33E09A39"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15.360</w:t>
            </w:r>
          </w:p>
        </w:tc>
        <w:tc>
          <w:tcPr>
            <w:tcW w:w="691" w:type="pct"/>
            <w:tcBorders>
              <w:top w:val="nil"/>
              <w:left w:val="nil"/>
              <w:bottom w:val="single" w:sz="4" w:space="0" w:color="auto"/>
              <w:right w:val="single" w:sz="4" w:space="0" w:color="auto"/>
            </w:tcBorders>
            <w:shd w:val="clear" w:color="auto" w:fill="auto"/>
            <w:vAlign w:val="center"/>
            <w:hideMark/>
          </w:tcPr>
          <w:p w14:paraId="4A8959F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33.323</w:t>
            </w:r>
          </w:p>
        </w:tc>
      </w:tr>
      <w:tr w:rsidR="000B393D" w:rsidRPr="00533135" w14:paraId="5D1374E7"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5FA9E3C4"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N2. Sumažintų CO2 išmetimų vertė</w:t>
            </w:r>
          </w:p>
        </w:tc>
        <w:tc>
          <w:tcPr>
            <w:tcW w:w="545" w:type="pct"/>
            <w:tcBorders>
              <w:top w:val="nil"/>
              <w:left w:val="nil"/>
              <w:bottom w:val="single" w:sz="4" w:space="0" w:color="auto"/>
              <w:right w:val="single" w:sz="4" w:space="0" w:color="auto"/>
            </w:tcBorders>
            <w:shd w:val="clear" w:color="auto" w:fill="auto"/>
            <w:vAlign w:val="center"/>
            <w:hideMark/>
          </w:tcPr>
          <w:p w14:paraId="1393B5A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24ACFDF8"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185</w:t>
            </w:r>
          </w:p>
        </w:tc>
        <w:tc>
          <w:tcPr>
            <w:tcW w:w="425" w:type="pct"/>
            <w:tcBorders>
              <w:top w:val="nil"/>
              <w:left w:val="nil"/>
              <w:bottom w:val="single" w:sz="4" w:space="0" w:color="auto"/>
              <w:right w:val="single" w:sz="4" w:space="0" w:color="auto"/>
            </w:tcBorders>
            <w:shd w:val="clear" w:color="auto" w:fill="auto"/>
            <w:vAlign w:val="center"/>
            <w:hideMark/>
          </w:tcPr>
          <w:p w14:paraId="1B97EA5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1.024</w:t>
            </w:r>
          </w:p>
        </w:tc>
        <w:tc>
          <w:tcPr>
            <w:tcW w:w="425" w:type="pct"/>
            <w:tcBorders>
              <w:top w:val="nil"/>
              <w:left w:val="nil"/>
              <w:bottom w:val="single" w:sz="4" w:space="0" w:color="auto"/>
              <w:right w:val="single" w:sz="4" w:space="0" w:color="auto"/>
            </w:tcBorders>
            <w:shd w:val="clear" w:color="auto" w:fill="auto"/>
            <w:vAlign w:val="center"/>
            <w:hideMark/>
          </w:tcPr>
          <w:p w14:paraId="2E04C306"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3.297</w:t>
            </w:r>
          </w:p>
        </w:tc>
        <w:tc>
          <w:tcPr>
            <w:tcW w:w="617" w:type="pct"/>
            <w:tcBorders>
              <w:top w:val="nil"/>
              <w:left w:val="nil"/>
              <w:bottom w:val="single" w:sz="4" w:space="0" w:color="auto"/>
              <w:right w:val="single" w:sz="4" w:space="0" w:color="auto"/>
            </w:tcBorders>
            <w:shd w:val="clear" w:color="auto" w:fill="auto"/>
            <w:vAlign w:val="center"/>
            <w:hideMark/>
          </w:tcPr>
          <w:p w14:paraId="07BA8D5B"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4.506</w:t>
            </w:r>
          </w:p>
        </w:tc>
        <w:tc>
          <w:tcPr>
            <w:tcW w:w="691" w:type="pct"/>
            <w:tcBorders>
              <w:top w:val="nil"/>
              <w:left w:val="nil"/>
              <w:bottom w:val="single" w:sz="4" w:space="0" w:color="auto"/>
              <w:right w:val="single" w:sz="4" w:space="0" w:color="auto"/>
            </w:tcBorders>
            <w:shd w:val="clear" w:color="auto" w:fill="auto"/>
            <w:vAlign w:val="center"/>
            <w:hideMark/>
          </w:tcPr>
          <w:p w14:paraId="1ACD9D2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9.807</w:t>
            </w:r>
          </w:p>
        </w:tc>
      </w:tr>
      <w:tr w:rsidR="000B393D" w:rsidRPr="00533135" w14:paraId="10E38AFD"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4E78AC8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N3. BVP padidėjimas</w:t>
            </w:r>
          </w:p>
        </w:tc>
        <w:tc>
          <w:tcPr>
            <w:tcW w:w="545" w:type="pct"/>
            <w:tcBorders>
              <w:top w:val="nil"/>
              <w:left w:val="nil"/>
              <w:bottom w:val="single" w:sz="4" w:space="0" w:color="auto"/>
              <w:right w:val="single" w:sz="4" w:space="0" w:color="auto"/>
            </w:tcBorders>
            <w:shd w:val="clear" w:color="auto" w:fill="auto"/>
            <w:vAlign w:val="center"/>
            <w:hideMark/>
          </w:tcPr>
          <w:p w14:paraId="0680162F"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7ADFB9B3"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5.801</w:t>
            </w:r>
          </w:p>
        </w:tc>
        <w:tc>
          <w:tcPr>
            <w:tcW w:w="425" w:type="pct"/>
            <w:tcBorders>
              <w:top w:val="nil"/>
              <w:left w:val="nil"/>
              <w:bottom w:val="single" w:sz="4" w:space="0" w:color="auto"/>
              <w:right w:val="single" w:sz="4" w:space="0" w:color="auto"/>
            </w:tcBorders>
            <w:shd w:val="clear" w:color="auto" w:fill="auto"/>
            <w:vAlign w:val="center"/>
            <w:hideMark/>
          </w:tcPr>
          <w:p w14:paraId="73E403CE"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10.357</w:t>
            </w:r>
          </w:p>
        </w:tc>
        <w:tc>
          <w:tcPr>
            <w:tcW w:w="425" w:type="pct"/>
            <w:tcBorders>
              <w:top w:val="nil"/>
              <w:left w:val="nil"/>
              <w:bottom w:val="single" w:sz="4" w:space="0" w:color="auto"/>
              <w:right w:val="single" w:sz="4" w:space="0" w:color="auto"/>
            </w:tcBorders>
            <w:shd w:val="clear" w:color="auto" w:fill="auto"/>
            <w:vAlign w:val="center"/>
            <w:hideMark/>
          </w:tcPr>
          <w:p w14:paraId="0D72F8B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13.834</w:t>
            </w:r>
          </w:p>
        </w:tc>
        <w:tc>
          <w:tcPr>
            <w:tcW w:w="617" w:type="pct"/>
            <w:tcBorders>
              <w:top w:val="nil"/>
              <w:left w:val="nil"/>
              <w:bottom w:val="single" w:sz="4" w:space="0" w:color="auto"/>
              <w:right w:val="single" w:sz="4" w:space="0" w:color="auto"/>
            </w:tcBorders>
            <w:shd w:val="clear" w:color="auto" w:fill="auto"/>
            <w:vAlign w:val="center"/>
            <w:hideMark/>
          </w:tcPr>
          <w:p w14:paraId="0EBD2ABA"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29.992</w:t>
            </w:r>
          </w:p>
        </w:tc>
        <w:tc>
          <w:tcPr>
            <w:tcW w:w="691" w:type="pct"/>
            <w:tcBorders>
              <w:top w:val="nil"/>
              <w:left w:val="nil"/>
              <w:bottom w:val="single" w:sz="4" w:space="0" w:color="auto"/>
              <w:right w:val="single" w:sz="4" w:space="0" w:color="auto"/>
            </w:tcBorders>
            <w:shd w:val="clear" w:color="auto" w:fill="auto"/>
            <w:vAlign w:val="center"/>
            <w:hideMark/>
          </w:tcPr>
          <w:p w14:paraId="0A1CE0AA"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29.992</w:t>
            </w:r>
          </w:p>
        </w:tc>
      </w:tr>
      <w:tr w:rsidR="000B393D" w:rsidRPr="00533135" w14:paraId="0F4A493A"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457CC5A"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N4. Pagerėjusi žmonių sveikata ir darbingumas</w:t>
            </w:r>
          </w:p>
        </w:tc>
        <w:tc>
          <w:tcPr>
            <w:tcW w:w="545" w:type="pct"/>
            <w:tcBorders>
              <w:top w:val="nil"/>
              <w:left w:val="nil"/>
              <w:bottom w:val="single" w:sz="4" w:space="0" w:color="auto"/>
              <w:right w:val="single" w:sz="4" w:space="0" w:color="auto"/>
            </w:tcBorders>
            <w:shd w:val="clear" w:color="auto" w:fill="auto"/>
            <w:vAlign w:val="center"/>
            <w:hideMark/>
          </w:tcPr>
          <w:p w14:paraId="37475444"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467877B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7.221</w:t>
            </w:r>
          </w:p>
        </w:tc>
        <w:tc>
          <w:tcPr>
            <w:tcW w:w="425" w:type="pct"/>
            <w:tcBorders>
              <w:top w:val="nil"/>
              <w:left w:val="nil"/>
              <w:bottom w:val="single" w:sz="4" w:space="0" w:color="auto"/>
              <w:right w:val="single" w:sz="4" w:space="0" w:color="auto"/>
            </w:tcBorders>
            <w:shd w:val="clear" w:color="auto" w:fill="auto"/>
            <w:vAlign w:val="center"/>
            <w:hideMark/>
          </w:tcPr>
          <w:p w14:paraId="1694839D"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16.117</w:t>
            </w:r>
          </w:p>
        </w:tc>
        <w:tc>
          <w:tcPr>
            <w:tcW w:w="425" w:type="pct"/>
            <w:tcBorders>
              <w:top w:val="nil"/>
              <w:left w:val="nil"/>
              <w:bottom w:val="single" w:sz="4" w:space="0" w:color="auto"/>
              <w:right w:val="single" w:sz="4" w:space="0" w:color="auto"/>
            </w:tcBorders>
            <w:shd w:val="clear" w:color="auto" w:fill="auto"/>
            <w:vAlign w:val="center"/>
            <w:hideMark/>
          </w:tcPr>
          <w:p w14:paraId="5A89EE5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26.520</w:t>
            </w:r>
          </w:p>
        </w:tc>
        <w:tc>
          <w:tcPr>
            <w:tcW w:w="617" w:type="pct"/>
            <w:tcBorders>
              <w:top w:val="nil"/>
              <w:left w:val="nil"/>
              <w:bottom w:val="single" w:sz="4" w:space="0" w:color="auto"/>
              <w:right w:val="single" w:sz="4" w:space="0" w:color="auto"/>
            </w:tcBorders>
            <w:shd w:val="clear" w:color="auto" w:fill="auto"/>
            <w:vAlign w:val="center"/>
            <w:hideMark/>
          </w:tcPr>
          <w:p w14:paraId="788A0E78"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49.859</w:t>
            </w:r>
          </w:p>
        </w:tc>
        <w:tc>
          <w:tcPr>
            <w:tcW w:w="691" w:type="pct"/>
            <w:tcBorders>
              <w:top w:val="nil"/>
              <w:left w:val="nil"/>
              <w:bottom w:val="single" w:sz="4" w:space="0" w:color="auto"/>
              <w:right w:val="single" w:sz="4" w:space="0" w:color="auto"/>
            </w:tcBorders>
            <w:shd w:val="clear" w:color="auto" w:fill="auto"/>
            <w:vAlign w:val="center"/>
            <w:hideMark/>
          </w:tcPr>
          <w:p w14:paraId="635A03A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73.123</w:t>
            </w:r>
          </w:p>
        </w:tc>
      </w:tr>
      <w:tr w:rsidR="000B393D" w:rsidRPr="00533135" w14:paraId="3B2B0F61"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2FE7F4B6"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N5. Gyvenamojo būsto vertės padidėjimas</w:t>
            </w:r>
          </w:p>
        </w:tc>
        <w:tc>
          <w:tcPr>
            <w:tcW w:w="545" w:type="pct"/>
            <w:tcBorders>
              <w:top w:val="nil"/>
              <w:left w:val="nil"/>
              <w:bottom w:val="single" w:sz="4" w:space="0" w:color="auto"/>
              <w:right w:val="single" w:sz="4" w:space="0" w:color="auto"/>
            </w:tcBorders>
            <w:shd w:val="clear" w:color="auto" w:fill="auto"/>
            <w:vAlign w:val="center"/>
            <w:hideMark/>
          </w:tcPr>
          <w:p w14:paraId="70A3BE42"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54C6E98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831</w:t>
            </w:r>
          </w:p>
        </w:tc>
        <w:tc>
          <w:tcPr>
            <w:tcW w:w="425" w:type="pct"/>
            <w:tcBorders>
              <w:top w:val="nil"/>
              <w:left w:val="nil"/>
              <w:bottom w:val="single" w:sz="4" w:space="0" w:color="auto"/>
              <w:right w:val="single" w:sz="4" w:space="0" w:color="auto"/>
            </w:tcBorders>
            <w:shd w:val="clear" w:color="auto" w:fill="auto"/>
            <w:vAlign w:val="center"/>
            <w:hideMark/>
          </w:tcPr>
          <w:p w14:paraId="6DF8D98B"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1.615</w:t>
            </w:r>
          </w:p>
        </w:tc>
        <w:tc>
          <w:tcPr>
            <w:tcW w:w="425" w:type="pct"/>
            <w:tcBorders>
              <w:top w:val="nil"/>
              <w:left w:val="nil"/>
              <w:bottom w:val="single" w:sz="4" w:space="0" w:color="auto"/>
              <w:right w:val="single" w:sz="4" w:space="0" w:color="auto"/>
            </w:tcBorders>
            <w:shd w:val="clear" w:color="auto" w:fill="auto"/>
            <w:vAlign w:val="center"/>
            <w:hideMark/>
          </w:tcPr>
          <w:p w14:paraId="7EBEA7F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2.083</w:t>
            </w:r>
          </w:p>
        </w:tc>
        <w:tc>
          <w:tcPr>
            <w:tcW w:w="617" w:type="pct"/>
            <w:tcBorders>
              <w:top w:val="nil"/>
              <w:left w:val="nil"/>
              <w:bottom w:val="single" w:sz="4" w:space="0" w:color="auto"/>
              <w:right w:val="single" w:sz="4" w:space="0" w:color="auto"/>
            </w:tcBorders>
            <w:shd w:val="clear" w:color="auto" w:fill="auto"/>
            <w:vAlign w:val="center"/>
            <w:hideMark/>
          </w:tcPr>
          <w:p w14:paraId="733EECAC"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4.529</w:t>
            </w:r>
          </w:p>
        </w:tc>
        <w:tc>
          <w:tcPr>
            <w:tcW w:w="691" w:type="pct"/>
            <w:tcBorders>
              <w:top w:val="nil"/>
              <w:left w:val="nil"/>
              <w:bottom w:val="single" w:sz="4" w:space="0" w:color="auto"/>
              <w:right w:val="single" w:sz="4" w:space="0" w:color="auto"/>
            </w:tcBorders>
            <w:shd w:val="clear" w:color="auto" w:fill="auto"/>
            <w:vAlign w:val="center"/>
            <w:hideMark/>
          </w:tcPr>
          <w:p w14:paraId="500A6E01"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4.529</w:t>
            </w:r>
          </w:p>
        </w:tc>
      </w:tr>
      <w:tr w:rsidR="000B393D" w:rsidRPr="00533135" w14:paraId="10D4317A"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7DF9CF1B"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N6 Taršos sumažėjimas</w:t>
            </w:r>
          </w:p>
        </w:tc>
        <w:tc>
          <w:tcPr>
            <w:tcW w:w="545" w:type="pct"/>
            <w:tcBorders>
              <w:top w:val="nil"/>
              <w:left w:val="nil"/>
              <w:bottom w:val="single" w:sz="4" w:space="0" w:color="auto"/>
              <w:right w:val="single" w:sz="4" w:space="0" w:color="auto"/>
            </w:tcBorders>
            <w:shd w:val="clear" w:color="auto" w:fill="auto"/>
            <w:vAlign w:val="center"/>
            <w:hideMark/>
          </w:tcPr>
          <w:p w14:paraId="738B3AF6"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3F61EED2"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55</w:t>
            </w:r>
          </w:p>
        </w:tc>
        <w:tc>
          <w:tcPr>
            <w:tcW w:w="425" w:type="pct"/>
            <w:tcBorders>
              <w:top w:val="nil"/>
              <w:left w:val="nil"/>
              <w:bottom w:val="single" w:sz="4" w:space="0" w:color="auto"/>
              <w:right w:val="single" w:sz="4" w:space="0" w:color="auto"/>
            </w:tcBorders>
            <w:shd w:val="clear" w:color="auto" w:fill="auto"/>
            <w:vAlign w:val="center"/>
            <w:hideMark/>
          </w:tcPr>
          <w:p w14:paraId="2B13C71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288</w:t>
            </w:r>
          </w:p>
        </w:tc>
        <w:tc>
          <w:tcPr>
            <w:tcW w:w="425" w:type="pct"/>
            <w:tcBorders>
              <w:top w:val="nil"/>
              <w:left w:val="nil"/>
              <w:bottom w:val="single" w:sz="4" w:space="0" w:color="auto"/>
              <w:right w:val="single" w:sz="4" w:space="0" w:color="auto"/>
            </w:tcBorders>
            <w:shd w:val="clear" w:color="auto" w:fill="auto"/>
            <w:vAlign w:val="center"/>
            <w:hideMark/>
          </w:tcPr>
          <w:p w14:paraId="30C92D7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857</w:t>
            </w:r>
          </w:p>
        </w:tc>
        <w:tc>
          <w:tcPr>
            <w:tcW w:w="617" w:type="pct"/>
            <w:tcBorders>
              <w:top w:val="nil"/>
              <w:left w:val="nil"/>
              <w:bottom w:val="single" w:sz="4" w:space="0" w:color="auto"/>
              <w:right w:val="single" w:sz="4" w:space="0" w:color="auto"/>
            </w:tcBorders>
            <w:shd w:val="clear" w:color="auto" w:fill="auto"/>
            <w:vAlign w:val="center"/>
            <w:hideMark/>
          </w:tcPr>
          <w:p w14:paraId="30E24151"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1.201</w:t>
            </w:r>
          </w:p>
        </w:tc>
        <w:tc>
          <w:tcPr>
            <w:tcW w:w="691" w:type="pct"/>
            <w:tcBorders>
              <w:top w:val="nil"/>
              <w:left w:val="nil"/>
              <w:bottom w:val="single" w:sz="4" w:space="0" w:color="auto"/>
              <w:right w:val="single" w:sz="4" w:space="0" w:color="auto"/>
            </w:tcBorders>
            <w:shd w:val="clear" w:color="auto" w:fill="auto"/>
            <w:vAlign w:val="center"/>
            <w:hideMark/>
          </w:tcPr>
          <w:p w14:paraId="72F08967"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2.606</w:t>
            </w:r>
          </w:p>
        </w:tc>
      </w:tr>
      <w:tr w:rsidR="000B393D" w:rsidRPr="00533135" w14:paraId="6E9FD533"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377ACEF1"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N7. Sumažėjusios išmokos</w:t>
            </w:r>
          </w:p>
        </w:tc>
        <w:tc>
          <w:tcPr>
            <w:tcW w:w="545" w:type="pct"/>
            <w:tcBorders>
              <w:top w:val="nil"/>
              <w:left w:val="nil"/>
              <w:bottom w:val="single" w:sz="4" w:space="0" w:color="auto"/>
              <w:right w:val="single" w:sz="4" w:space="0" w:color="auto"/>
            </w:tcBorders>
            <w:shd w:val="clear" w:color="auto" w:fill="auto"/>
            <w:vAlign w:val="center"/>
            <w:hideMark/>
          </w:tcPr>
          <w:p w14:paraId="7D61C12C" w14:textId="77777777" w:rsidR="000B393D" w:rsidRPr="00533135" w:rsidRDefault="000B393D" w:rsidP="003E0C4E">
            <w:pPr>
              <w:spacing w:line="240" w:lineRule="auto"/>
              <w:rPr>
                <w:rFonts w:ascii="Times New Roman" w:eastAsia="Times New Roman" w:hAnsi="Times New Roman"/>
                <w:sz w:val="20"/>
                <w:szCs w:val="20"/>
              </w:rPr>
            </w:pPr>
            <w:r w:rsidRPr="00533135">
              <w:rPr>
                <w:rFonts w:ascii="Times New Roman" w:eastAsia="Times New Roman" w:hAnsi="Times New Roman"/>
                <w:sz w:val="20"/>
                <w:szCs w:val="20"/>
              </w:rPr>
              <w:t xml:space="preserve">mln. </w:t>
            </w:r>
            <w:proofErr w:type="spellStart"/>
            <w:r w:rsidRPr="00533135">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2A3CBC15"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32</w:t>
            </w:r>
          </w:p>
        </w:tc>
        <w:tc>
          <w:tcPr>
            <w:tcW w:w="425" w:type="pct"/>
            <w:tcBorders>
              <w:top w:val="nil"/>
              <w:left w:val="nil"/>
              <w:bottom w:val="single" w:sz="4" w:space="0" w:color="auto"/>
              <w:right w:val="single" w:sz="4" w:space="0" w:color="auto"/>
            </w:tcBorders>
            <w:shd w:val="clear" w:color="auto" w:fill="auto"/>
            <w:vAlign w:val="center"/>
            <w:hideMark/>
          </w:tcPr>
          <w:p w14:paraId="77083849"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89</w:t>
            </w:r>
          </w:p>
        </w:tc>
        <w:tc>
          <w:tcPr>
            <w:tcW w:w="425" w:type="pct"/>
            <w:tcBorders>
              <w:top w:val="nil"/>
              <w:left w:val="nil"/>
              <w:bottom w:val="single" w:sz="4" w:space="0" w:color="auto"/>
              <w:right w:val="single" w:sz="4" w:space="0" w:color="auto"/>
            </w:tcBorders>
            <w:shd w:val="clear" w:color="auto" w:fill="auto"/>
            <w:vAlign w:val="center"/>
            <w:hideMark/>
          </w:tcPr>
          <w:p w14:paraId="11642D60"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147</w:t>
            </w:r>
          </w:p>
        </w:tc>
        <w:tc>
          <w:tcPr>
            <w:tcW w:w="617" w:type="pct"/>
            <w:tcBorders>
              <w:top w:val="nil"/>
              <w:left w:val="nil"/>
              <w:bottom w:val="single" w:sz="4" w:space="0" w:color="auto"/>
              <w:right w:val="single" w:sz="4" w:space="0" w:color="auto"/>
            </w:tcBorders>
            <w:shd w:val="clear" w:color="auto" w:fill="auto"/>
            <w:vAlign w:val="center"/>
            <w:hideMark/>
          </w:tcPr>
          <w:p w14:paraId="4B2D8215"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268</w:t>
            </w:r>
          </w:p>
        </w:tc>
        <w:tc>
          <w:tcPr>
            <w:tcW w:w="691" w:type="pct"/>
            <w:tcBorders>
              <w:top w:val="nil"/>
              <w:left w:val="nil"/>
              <w:bottom w:val="single" w:sz="4" w:space="0" w:color="auto"/>
              <w:right w:val="single" w:sz="4" w:space="0" w:color="auto"/>
            </w:tcBorders>
            <w:shd w:val="clear" w:color="auto" w:fill="auto"/>
            <w:vAlign w:val="center"/>
            <w:hideMark/>
          </w:tcPr>
          <w:p w14:paraId="2BE4410A" w14:textId="77777777" w:rsidR="000B393D" w:rsidRPr="00533135" w:rsidRDefault="000B393D" w:rsidP="003E0C4E">
            <w:pPr>
              <w:spacing w:line="240" w:lineRule="auto"/>
              <w:jc w:val="right"/>
              <w:rPr>
                <w:rFonts w:ascii="Times New Roman" w:eastAsia="Times New Roman" w:hAnsi="Times New Roman"/>
                <w:sz w:val="20"/>
                <w:szCs w:val="20"/>
              </w:rPr>
            </w:pPr>
            <w:r w:rsidRPr="00533135">
              <w:rPr>
                <w:rFonts w:ascii="Times New Roman" w:eastAsia="Times New Roman" w:hAnsi="Times New Roman"/>
                <w:sz w:val="20"/>
                <w:szCs w:val="20"/>
              </w:rPr>
              <w:t>268</w:t>
            </w:r>
          </w:p>
        </w:tc>
      </w:tr>
      <w:tr w:rsidR="000B393D" w:rsidRPr="00533135" w14:paraId="0E90303C" w14:textId="77777777" w:rsidTr="003E0C4E">
        <w:trPr>
          <w:trHeight w:val="194"/>
        </w:trPr>
        <w:tc>
          <w:tcPr>
            <w:tcW w:w="1864" w:type="pct"/>
            <w:tcBorders>
              <w:top w:val="nil"/>
              <w:left w:val="single" w:sz="4" w:space="0" w:color="auto"/>
              <w:bottom w:val="single" w:sz="4" w:space="0" w:color="auto"/>
              <w:right w:val="single" w:sz="4" w:space="0" w:color="auto"/>
            </w:tcBorders>
            <w:shd w:val="clear" w:color="auto" w:fill="auto"/>
            <w:vAlign w:val="center"/>
            <w:hideMark/>
          </w:tcPr>
          <w:p w14:paraId="04C30B0E"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Ekonominės naudos (iš viso):</w:t>
            </w:r>
          </w:p>
        </w:tc>
        <w:tc>
          <w:tcPr>
            <w:tcW w:w="545" w:type="pct"/>
            <w:tcBorders>
              <w:top w:val="nil"/>
              <w:left w:val="nil"/>
              <w:bottom w:val="single" w:sz="4" w:space="0" w:color="auto"/>
              <w:right w:val="single" w:sz="4" w:space="0" w:color="auto"/>
            </w:tcBorders>
            <w:shd w:val="clear" w:color="auto" w:fill="auto"/>
            <w:vAlign w:val="center"/>
            <w:hideMark/>
          </w:tcPr>
          <w:p w14:paraId="498BBF6C" w14:textId="77777777" w:rsidR="000B393D" w:rsidRPr="00533135" w:rsidRDefault="000B393D" w:rsidP="003E0C4E">
            <w:pPr>
              <w:spacing w:line="240" w:lineRule="auto"/>
              <w:rPr>
                <w:rFonts w:ascii="Times New Roman" w:eastAsia="Times New Roman" w:hAnsi="Times New Roman"/>
                <w:b/>
                <w:bCs/>
                <w:sz w:val="20"/>
                <w:szCs w:val="20"/>
              </w:rPr>
            </w:pPr>
            <w:r w:rsidRPr="00533135">
              <w:rPr>
                <w:rFonts w:ascii="Times New Roman" w:eastAsia="Times New Roman" w:hAnsi="Times New Roman"/>
                <w:b/>
                <w:bCs/>
                <w:sz w:val="20"/>
                <w:szCs w:val="20"/>
              </w:rPr>
              <w:t xml:space="preserve">mln. </w:t>
            </w:r>
            <w:proofErr w:type="spellStart"/>
            <w:r w:rsidRPr="00533135">
              <w:rPr>
                <w:rFonts w:ascii="Times New Roman" w:eastAsia="Times New Roman" w:hAnsi="Times New Roman"/>
                <w:b/>
                <w:bCs/>
                <w:sz w:val="20"/>
                <w:szCs w:val="20"/>
              </w:rPr>
              <w:t>Eur</w:t>
            </w:r>
            <w:proofErr w:type="spellEnd"/>
          </w:p>
        </w:tc>
        <w:tc>
          <w:tcPr>
            <w:tcW w:w="433" w:type="pct"/>
            <w:tcBorders>
              <w:top w:val="nil"/>
              <w:left w:val="nil"/>
              <w:bottom w:val="single" w:sz="4" w:space="0" w:color="auto"/>
              <w:right w:val="single" w:sz="4" w:space="0" w:color="auto"/>
            </w:tcBorders>
            <w:shd w:val="clear" w:color="auto" w:fill="auto"/>
            <w:vAlign w:val="center"/>
            <w:hideMark/>
          </w:tcPr>
          <w:p w14:paraId="113B79F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11.910</w:t>
            </w:r>
          </w:p>
        </w:tc>
        <w:tc>
          <w:tcPr>
            <w:tcW w:w="425" w:type="pct"/>
            <w:tcBorders>
              <w:top w:val="nil"/>
              <w:left w:val="nil"/>
              <w:bottom w:val="single" w:sz="4" w:space="0" w:color="auto"/>
              <w:right w:val="single" w:sz="4" w:space="0" w:color="auto"/>
            </w:tcBorders>
            <w:shd w:val="clear" w:color="auto" w:fill="auto"/>
            <w:vAlign w:val="center"/>
            <w:hideMark/>
          </w:tcPr>
          <w:p w14:paraId="31C1AEA6"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24.842</w:t>
            </w:r>
          </w:p>
        </w:tc>
        <w:tc>
          <w:tcPr>
            <w:tcW w:w="425" w:type="pct"/>
            <w:tcBorders>
              <w:top w:val="nil"/>
              <w:left w:val="nil"/>
              <w:bottom w:val="single" w:sz="4" w:space="0" w:color="auto"/>
              <w:right w:val="single" w:sz="4" w:space="0" w:color="auto"/>
            </w:tcBorders>
            <w:shd w:val="clear" w:color="auto" w:fill="auto"/>
            <w:vAlign w:val="center"/>
            <w:hideMark/>
          </w:tcPr>
          <w:p w14:paraId="6E55F490"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38.600</w:t>
            </w:r>
          </w:p>
        </w:tc>
        <w:tc>
          <w:tcPr>
            <w:tcW w:w="617" w:type="pct"/>
            <w:tcBorders>
              <w:top w:val="nil"/>
              <w:left w:val="nil"/>
              <w:bottom w:val="single" w:sz="4" w:space="0" w:color="auto"/>
              <w:right w:val="single" w:sz="4" w:space="0" w:color="auto"/>
            </w:tcBorders>
            <w:shd w:val="clear" w:color="auto" w:fill="auto"/>
            <w:vAlign w:val="center"/>
            <w:hideMark/>
          </w:tcPr>
          <w:p w14:paraId="7294257B"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75.351</w:t>
            </w:r>
          </w:p>
        </w:tc>
        <w:tc>
          <w:tcPr>
            <w:tcW w:w="691" w:type="pct"/>
            <w:tcBorders>
              <w:top w:val="nil"/>
              <w:left w:val="nil"/>
              <w:bottom w:val="single" w:sz="4" w:space="0" w:color="auto"/>
              <w:right w:val="single" w:sz="4" w:space="0" w:color="auto"/>
            </w:tcBorders>
            <w:shd w:val="clear" w:color="auto" w:fill="auto"/>
            <w:vAlign w:val="center"/>
            <w:hideMark/>
          </w:tcPr>
          <w:p w14:paraId="386ED28D" w14:textId="77777777" w:rsidR="000B393D" w:rsidRPr="00533135" w:rsidRDefault="000B393D" w:rsidP="003E0C4E">
            <w:pPr>
              <w:spacing w:line="240" w:lineRule="auto"/>
              <w:jc w:val="right"/>
              <w:rPr>
                <w:rFonts w:ascii="Times New Roman" w:eastAsia="Times New Roman" w:hAnsi="Times New Roman"/>
                <w:b/>
                <w:bCs/>
                <w:sz w:val="20"/>
                <w:szCs w:val="20"/>
              </w:rPr>
            </w:pPr>
            <w:r w:rsidRPr="00533135">
              <w:rPr>
                <w:rFonts w:ascii="Times New Roman" w:eastAsia="Times New Roman" w:hAnsi="Times New Roman"/>
                <w:b/>
                <w:bCs/>
                <w:sz w:val="20"/>
                <w:szCs w:val="20"/>
              </w:rPr>
              <w:t>100.020</w:t>
            </w:r>
          </w:p>
        </w:tc>
      </w:tr>
    </w:tbl>
    <w:p w14:paraId="7C973909" w14:textId="747EADD7" w:rsidR="002B6D0A" w:rsidRPr="00650EE4" w:rsidRDefault="002B6D0A" w:rsidP="00631BA6">
      <w:pPr>
        <w:pStyle w:val="TESlentelspavadinimas"/>
        <w:rPr>
          <w:noProof w:val="0"/>
        </w:rPr>
      </w:pPr>
      <w:r w:rsidRPr="00650EE4">
        <w:rPr>
          <w:noProof w:val="0"/>
        </w:rPr>
        <w:t xml:space="preserve">Šaltinis: Studijos </w:t>
      </w:r>
      <w:r w:rsidR="004C5495" w:rsidRPr="004C5495">
        <w:rPr>
          <w:noProof w:val="0"/>
        </w:rPr>
        <w:t xml:space="preserve">Lietuvos ilgalaikei renovacijos strategijai parengti </w:t>
      </w:r>
      <w:r w:rsidRPr="00650EE4">
        <w:rPr>
          <w:noProof w:val="0"/>
        </w:rPr>
        <w:t>autoriai</w:t>
      </w:r>
    </w:p>
    <w:p w14:paraId="44D71196" w14:textId="77777777" w:rsidR="002938F5" w:rsidRPr="00650EE4" w:rsidRDefault="002938F5" w:rsidP="002938F5">
      <w:pPr>
        <w:jc w:val="both"/>
        <w:rPr>
          <w:rFonts w:ascii="Times New Roman" w:hAnsi="Times New Roman"/>
          <w:color w:val="000000" w:themeColor="text1"/>
          <w:szCs w:val="22"/>
        </w:rPr>
      </w:pPr>
    </w:p>
    <w:p w14:paraId="13BD2CF9" w14:textId="2D76FCE7" w:rsidR="002B6D0A" w:rsidRDefault="000B393D" w:rsidP="00982203">
      <w:pPr>
        <w:spacing w:after="120"/>
        <w:jc w:val="both"/>
        <w:rPr>
          <w:rFonts w:ascii="Times New Roman" w:hAnsi="Times New Roman"/>
          <w:szCs w:val="22"/>
        </w:rPr>
      </w:pPr>
      <w:r>
        <w:rPr>
          <w:rFonts w:ascii="Times New Roman" w:hAnsi="Times New Roman"/>
          <w:color w:val="000000" w:themeColor="text1"/>
          <w:szCs w:val="22"/>
        </w:rPr>
        <w:t>Vertinant</w:t>
      </w:r>
      <w:r w:rsidR="002B6D0A" w:rsidRPr="00650EE4">
        <w:rPr>
          <w:rFonts w:ascii="Times New Roman" w:hAnsi="Times New Roman"/>
          <w:color w:val="000000" w:themeColor="text1"/>
          <w:szCs w:val="22"/>
        </w:rPr>
        <w:t xml:space="preserve"> aukščiau pateiktus duomenis</w:t>
      </w:r>
      <w:r w:rsidR="00904299" w:rsidRPr="00650EE4">
        <w:rPr>
          <w:rFonts w:ascii="Times New Roman" w:hAnsi="Times New Roman"/>
          <w:color w:val="000000" w:themeColor="text1"/>
          <w:szCs w:val="22"/>
        </w:rPr>
        <w:t xml:space="preserve"> </w:t>
      </w:r>
      <w:r>
        <w:rPr>
          <w:rFonts w:ascii="Times New Roman" w:hAnsi="Times New Roman"/>
          <w:color w:val="000000" w:themeColor="text1"/>
          <w:szCs w:val="22"/>
        </w:rPr>
        <w:t>svarbu</w:t>
      </w:r>
      <w:r w:rsidR="003B0CBE" w:rsidRPr="00650EE4">
        <w:rPr>
          <w:rFonts w:ascii="Times New Roman" w:hAnsi="Times New Roman"/>
          <w:color w:val="000000" w:themeColor="text1"/>
          <w:szCs w:val="22"/>
        </w:rPr>
        <w:t xml:space="preserve"> pastebėti, kad r</w:t>
      </w:r>
      <w:r w:rsidR="002B6D0A" w:rsidRPr="00650EE4">
        <w:rPr>
          <w:rFonts w:ascii="Times New Roman" w:hAnsi="Times New Roman"/>
          <w:szCs w:val="22"/>
        </w:rPr>
        <w:t>e</w:t>
      </w:r>
      <w:r w:rsidR="00BD2F3C" w:rsidRPr="00650EE4">
        <w:rPr>
          <w:rFonts w:ascii="Times New Roman" w:hAnsi="Times New Roman"/>
          <w:szCs w:val="22"/>
        </w:rPr>
        <w:t xml:space="preserve">ikšminga dalis naudų persikelia </w:t>
      </w:r>
      <w:r w:rsidR="002B6D0A" w:rsidRPr="00650EE4">
        <w:rPr>
          <w:rFonts w:ascii="Times New Roman" w:hAnsi="Times New Roman"/>
          <w:szCs w:val="22"/>
        </w:rPr>
        <w:t>į laikotarpį po renovacijos įgyvendinimo (</w:t>
      </w:r>
      <w:r w:rsidR="00BD2F3C" w:rsidRPr="00650EE4">
        <w:rPr>
          <w:rFonts w:ascii="Times New Roman" w:hAnsi="Times New Roman"/>
          <w:szCs w:val="22"/>
        </w:rPr>
        <w:t xml:space="preserve">t.y. </w:t>
      </w:r>
      <w:r w:rsidR="002B6D0A" w:rsidRPr="00650EE4">
        <w:rPr>
          <w:rFonts w:ascii="Times New Roman" w:hAnsi="Times New Roman"/>
          <w:szCs w:val="22"/>
        </w:rPr>
        <w:t>po 2050 m.), pvz., 2050 metais renovuotas pastatas taupys energiją iki 2079 metų.</w:t>
      </w:r>
      <w:r w:rsidR="00904299" w:rsidRPr="00650EE4">
        <w:rPr>
          <w:rFonts w:ascii="Times New Roman" w:hAnsi="Times New Roman"/>
          <w:szCs w:val="22"/>
        </w:rPr>
        <w:t xml:space="preserve"> </w:t>
      </w:r>
      <w:r w:rsidR="002B6D0A" w:rsidRPr="00650EE4">
        <w:rPr>
          <w:rFonts w:ascii="Times New Roman" w:hAnsi="Times New Roman"/>
          <w:szCs w:val="22"/>
        </w:rPr>
        <w:t xml:space="preserve">Tačiau net ir </w:t>
      </w:r>
      <w:r w:rsidR="00BE2209" w:rsidRPr="00650EE4">
        <w:rPr>
          <w:rFonts w:ascii="Times New Roman" w:hAnsi="Times New Roman"/>
          <w:szCs w:val="22"/>
        </w:rPr>
        <w:t>IRS</w:t>
      </w:r>
      <w:r w:rsidR="00F401A9" w:rsidRPr="00650EE4">
        <w:rPr>
          <w:rFonts w:ascii="Times New Roman" w:hAnsi="Times New Roman"/>
          <w:szCs w:val="22"/>
        </w:rPr>
        <w:t xml:space="preserve"> įgyvendinimo</w:t>
      </w:r>
      <w:r w:rsidR="002B6D0A" w:rsidRPr="00650EE4">
        <w:rPr>
          <w:rFonts w:ascii="Times New Roman" w:hAnsi="Times New Roman"/>
          <w:szCs w:val="22"/>
        </w:rPr>
        <w:t xml:space="preserve"> laikotarpiu (2021-2050 m.) </w:t>
      </w:r>
      <w:r w:rsidR="00904299" w:rsidRPr="00650EE4">
        <w:rPr>
          <w:rFonts w:ascii="Times New Roman" w:hAnsi="Times New Roman"/>
          <w:szCs w:val="22"/>
        </w:rPr>
        <w:t>renovacijos</w:t>
      </w:r>
      <w:r w:rsidR="00BE2209" w:rsidRPr="00650EE4">
        <w:rPr>
          <w:rFonts w:ascii="Times New Roman" w:hAnsi="Times New Roman"/>
          <w:szCs w:val="22"/>
        </w:rPr>
        <w:t xml:space="preserve"> naudos </w:t>
      </w:r>
      <w:r w:rsidR="00B664BB" w:rsidRPr="00650EE4">
        <w:rPr>
          <w:rFonts w:ascii="Times New Roman" w:hAnsi="Times New Roman"/>
          <w:szCs w:val="22"/>
        </w:rPr>
        <w:t xml:space="preserve">reikšmingai </w:t>
      </w:r>
      <w:r w:rsidR="00BE2209" w:rsidRPr="00650EE4">
        <w:rPr>
          <w:rFonts w:ascii="Times New Roman" w:hAnsi="Times New Roman"/>
          <w:szCs w:val="22"/>
        </w:rPr>
        <w:t xml:space="preserve">viršija </w:t>
      </w:r>
      <w:r w:rsidR="00B664BB" w:rsidRPr="00650EE4">
        <w:rPr>
          <w:rFonts w:ascii="Times New Roman" w:hAnsi="Times New Roman"/>
          <w:szCs w:val="22"/>
        </w:rPr>
        <w:t xml:space="preserve">įgyvendinimui reikalingas </w:t>
      </w:r>
      <w:r w:rsidR="00BE2209" w:rsidRPr="00650EE4">
        <w:rPr>
          <w:rFonts w:ascii="Times New Roman" w:hAnsi="Times New Roman"/>
          <w:szCs w:val="22"/>
        </w:rPr>
        <w:t>investicijas</w:t>
      </w:r>
      <w:r w:rsidR="002B6D0A" w:rsidRPr="00650EE4">
        <w:rPr>
          <w:rFonts w:ascii="Times New Roman" w:hAnsi="Times New Roman"/>
          <w:szCs w:val="22"/>
        </w:rPr>
        <w:t>.</w:t>
      </w:r>
    </w:p>
    <w:p w14:paraId="48D0FBBD" w14:textId="77777777" w:rsidR="000B393D" w:rsidRPr="00650EE4" w:rsidRDefault="000B393D" w:rsidP="00982203">
      <w:pPr>
        <w:spacing w:after="120"/>
        <w:jc w:val="both"/>
        <w:rPr>
          <w:rFonts w:ascii="Times New Roman" w:hAnsi="Times New Roman"/>
          <w:szCs w:val="22"/>
        </w:rPr>
      </w:pPr>
    </w:p>
    <w:p w14:paraId="1ECA39A7" w14:textId="06899C77" w:rsidR="00F50651" w:rsidRPr="00650EE4" w:rsidRDefault="00F50651" w:rsidP="00982203">
      <w:pPr>
        <w:spacing w:before="240" w:after="120"/>
        <w:jc w:val="both"/>
        <w:rPr>
          <w:rFonts w:ascii="Times New Roman" w:hAnsi="Times New Roman"/>
          <w:b/>
          <w:bCs/>
          <w:sz w:val="24"/>
          <w:szCs w:val="24"/>
        </w:rPr>
      </w:pPr>
      <w:r w:rsidRPr="00650EE4">
        <w:rPr>
          <w:rFonts w:ascii="Times New Roman" w:hAnsi="Times New Roman"/>
          <w:b/>
          <w:bCs/>
          <w:sz w:val="24"/>
          <w:szCs w:val="24"/>
        </w:rPr>
        <w:lastRenderedPageBreak/>
        <w:t>Renovacijos</w:t>
      </w:r>
      <w:r w:rsidR="006F66F3" w:rsidRPr="00650EE4">
        <w:rPr>
          <w:rFonts w:ascii="Times New Roman" w:hAnsi="Times New Roman"/>
          <w:b/>
          <w:bCs/>
          <w:sz w:val="24"/>
          <w:szCs w:val="24"/>
        </w:rPr>
        <w:t xml:space="preserve"> </w:t>
      </w:r>
      <w:r w:rsidR="007A4F1F">
        <w:rPr>
          <w:rFonts w:ascii="Times New Roman" w:hAnsi="Times New Roman"/>
          <w:b/>
          <w:bCs/>
          <w:sz w:val="24"/>
          <w:szCs w:val="24"/>
        </w:rPr>
        <w:t xml:space="preserve">strategijos </w:t>
      </w:r>
      <w:r w:rsidR="006F66F3" w:rsidRPr="00650EE4">
        <w:rPr>
          <w:rFonts w:ascii="Times New Roman" w:hAnsi="Times New Roman"/>
          <w:b/>
          <w:bCs/>
          <w:sz w:val="24"/>
          <w:szCs w:val="24"/>
        </w:rPr>
        <w:t>įgyvendinimo</w:t>
      </w:r>
      <w:r w:rsidRPr="00650EE4">
        <w:rPr>
          <w:rFonts w:ascii="Times New Roman" w:hAnsi="Times New Roman"/>
          <w:b/>
          <w:bCs/>
          <w:sz w:val="24"/>
          <w:szCs w:val="24"/>
        </w:rPr>
        <w:t xml:space="preserve"> </w:t>
      </w:r>
      <w:r w:rsidR="004636A0" w:rsidRPr="00650EE4">
        <w:rPr>
          <w:rFonts w:ascii="Times New Roman" w:hAnsi="Times New Roman"/>
          <w:b/>
          <w:bCs/>
          <w:sz w:val="24"/>
          <w:szCs w:val="24"/>
        </w:rPr>
        <w:t>modelis</w:t>
      </w:r>
      <w:r w:rsidRPr="00650EE4">
        <w:rPr>
          <w:rFonts w:ascii="Times New Roman" w:hAnsi="Times New Roman"/>
          <w:b/>
          <w:bCs/>
          <w:sz w:val="24"/>
          <w:szCs w:val="24"/>
        </w:rPr>
        <w:t xml:space="preserve"> ir veiksmų planas</w:t>
      </w:r>
    </w:p>
    <w:p w14:paraId="6B0C574C" w14:textId="52BCF09E" w:rsidR="00E46172" w:rsidRPr="00650EE4" w:rsidRDefault="00AF48F2" w:rsidP="00F50651">
      <w:pPr>
        <w:spacing w:before="120" w:after="120" w:line="240" w:lineRule="auto"/>
        <w:jc w:val="both"/>
        <w:rPr>
          <w:rFonts w:ascii="Times New Roman" w:hAnsi="Times New Roman"/>
          <w:szCs w:val="24"/>
        </w:rPr>
      </w:pPr>
      <w:r w:rsidRPr="00E60DE6">
        <w:rPr>
          <w:rFonts w:ascii="Times New Roman" w:hAnsi="Times New Roman"/>
          <w:szCs w:val="24"/>
        </w:rPr>
        <w:t>Tam, kad būtų pasiekti aukščiau aprašyti IRS tikslai</w:t>
      </w:r>
      <w:r w:rsidR="00F50651" w:rsidRPr="00E60DE6">
        <w:rPr>
          <w:rFonts w:ascii="Times New Roman" w:hAnsi="Times New Roman"/>
          <w:szCs w:val="24"/>
        </w:rPr>
        <w:t xml:space="preserve">, renovacijoje </w:t>
      </w:r>
      <w:r w:rsidR="00E46172" w:rsidRPr="00E60DE6">
        <w:rPr>
          <w:rFonts w:ascii="Times New Roman" w:hAnsi="Times New Roman"/>
          <w:szCs w:val="24"/>
        </w:rPr>
        <w:t xml:space="preserve">per 30 metų periodą </w:t>
      </w:r>
      <w:r w:rsidR="00F50651" w:rsidRPr="00E60DE6">
        <w:rPr>
          <w:rFonts w:ascii="Times New Roman" w:hAnsi="Times New Roman"/>
          <w:szCs w:val="24"/>
        </w:rPr>
        <w:t xml:space="preserve">turi dalyvauti </w:t>
      </w:r>
      <w:r w:rsidR="000B393D">
        <w:rPr>
          <w:rFonts w:ascii="Times New Roman" w:hAnsi="Times New Roman"/>
          <w:szCs w:val="24"/>
        </w:rPr>
        <w:t xml:space="preserve">daugiau nei </w:t>
      </w:r>
      <w:r w:rsidR="000B393D">
        <w:rPr>
          <w:rFonts w:ascii="Times New Roman" w:hAnsi="Times New Roman"/>
          <w:szCs w:val="24"/>
          <w:lang w:val="en-GB"/>
        </w:rPr>
        <w:t>75</w:t>
      </w:r>
      <w:r w:rsidR="00F50651" w:rsidRPr="00E60DE6">
        <w:rPr>
          <w:rFonts w:ascii="Times New Roman" w:hAnsi="Times New Roman"/>
          <w:szCs w:val="24"/>
        </w:rPr>
        <w:t xml:space="preserve"> proc. </w:t>
      </w:r>
      <w:r w:rsidR="00C937BC" w:rsidRPr="00E60DE6">
        <w:rPr>
          <w:rFonts w:ascii="Times New Roman" w:hAnsi="Times New Roman"/>
          <w:szCs w:val="24"/>
        </w:rPr>
        <w:t>p</w:t>
      </w:r>
      <w:r w:rsidR="00F50651" w:rsidRPr="00E60DE6">
        <w:rPr>
          <w:rFonts w:ascii="Times New Roman" w:hAnsi="Times New Roman"/>
          <w:szCs w:val="24"/>
        </w:rPr>
        <w:t>astatų fondo pastatų.</w:t>
      </w:r>
      <w:r w:rsidR="00F50651" w:rsidRPr="00650EE4">
        <w:rPr>
          <w:rFonts w:ascii="Times New Roman" w:hAnsi="Times New Roman"/>
          <w:szCs w:val="24"/>
        </w:rPr>
        <w:t xml:space="preserve"> Lietuvoje tik 2 </w:t>
      </w:r>
      <w:r w:rsidR="00771B46" w:rsidRPr="00650EE4">
        <w:rPr>
          <w:rFonts w:ascii="Times New Roman" w:hAnsi="Times New Roman"/>
          <w:szCs w:val="24"/>
        </w:rPr>
        <w:t>proc. P</w:t>
      </w:r>
      <w:r w:rsidR="00F50651" w:rsidRPr="00650EE4">
        <w:rPr>
          <w:rFonts w:ascii="Times New Roman" w:hAnsi="Times New Roman"/>
          <w:szCs w:val="24"/>
        </w:rPr>
        <w:t>astatų fondo vienetų nuosavybės yra vieša (valstybės arba savivaldybės nuosavybė), likusi</w:t>
      </w:r>
      <w:r w:rsidR="00E46172" w:rsidRPr="00650EE4">
        <w:rPr>
          <w:rFonts w:ascii="Times New Roman" w:hAnsi="Times New Roman"/>
          <w:szCs w:val="24"/>
        </w:rPr>
        <w:t>ų 98 proc.</w:t>
      </w:r>
      <w:r w:rsidR="00F50651" w:rsidRPr="00650EE4">
        <w:rPr>
          <w:rFonts w:ascii="Times New Roman" w:hAnsi="Times New Roman"/>
          <w:szCs w:val="24"/>
        </w:rPr>
        <w:t xml:space="preserve"> nuosavybė yra privati (t.y. fizinių arba juridinių asmenų). Atitinkamai, siekiant proveržio,</w:t>
      </w:r>
      <w:r w:rsidR="00E46172" w:rsidRPr="00650EE4">
        <w:rPr>
          <w:rFonts w:ascii="Times New Roman" w:hAnsi="Times New Roman"/>
          <w:szCs w:val="24"/>
        </w:rPr>
        <w:t xml:space="preserve"> renovacijos nauda</w:t>
      </w:r>
      <w:r w:rsidR="00F50651" w:rsidRPr="00650EE4">
        <w:rPr>
          <w:rFonts w:ascii="Times New Roman" w:hAnsi="Times New Roman"/>
          <w:szCs w:val="24"/>
        </w:rPr>
        <w:t xml:space="preserve"> reikia įtikinti absoliučią daugumą pastatų savininkų.</w:t>
      </w:r>
    </w:p>
    <w:p w14:paraId="4F128A6B" w14:textId="60FA5B3A" w:rsidR="00F50651" w:rsidRPr="00650EE4" w:rsidRDefault="00CE4833" w:rsidP="00F50651">
      <w:pPr>
        <w:spacing w:before="120" w:after="120" w:line="240" w:lineRule="auto"/>
        <w:jc w:val="both"/>
        <w:rPr>
          <w:rFonts w:ascii="Times New Roman" w:hAnsi="Times New Roman"/>
          <w:szCs w:val="24"/>
        </w:rPr>
      </w:pPr>
      <w:r>
        <w:rPr>
          <w:rFonts w:ascii="Times New Roman" w:hAnsi="Times New Roman"/>
          <w:szCs w:val="24"/>
        </w:rPr>
        <w:t>T</w:t>
      </w:r>
      <w:r w:rsidR="00F50651" w:rsidRPr="00650EE4">
        <w:rPr>
          <w:rFonts w:ascii="Times New Roman" w:hAnsi="Times New Roman"/>
          <w:szCs w:val="24"/>
        </w:rPr>
        <w:t xml:space="preserve">okiam rezultatui pasiekti būtina, kad IRS įgyvendinimo modelis būtų orientuotas į pastato savininką, jo lūkesčius, bei esminių barjerų, trukdančių jo apsisprendimui dalyvauti renovacijoje, panaikinimą. </w:t>
      </w:r>
    </w:p>
    <w:p w14:paraId="3B1B274E" w14:textId="77777777" w:rsidR="00B664BB" w:rsidRPr="00650EE4" w:rsidRDefault="00F77D31" w:rsidP="00F50651">
      <w:pPr>
        <w:spacing w:before="120" w:after="120" w:line="240" w:lineRule="auto"/>
        <w:jc w:val="both"/>
        <w:rPr>
          <w:rFonts w:ascii="Times New Roman" w:hAnsi="Times New Roman"/>
          <w:szCs w:val="24"/>
        </w:rPr>
      </w:pPr>
      <w:r w:rsidRPr="00650EE4">
        <w:rPr>
          <w:rFonts w:ascii="Times New Roman" w:hAnsi="Times New Roman"/>
          <w:color w:val="000000" w:themeColor="text1"/>
          <w:szCs w:val="22"/>
        </w:rPr>
        <w:t>Skirtingos studijos ir tyrimai pateikia skirtingus pastatų savininkų lūkesčius ir tipinius barjerus, kurie trukdo savininkų apsisprendimui dalyvauti renovacijoje. Tačiau, apibendrinant, galima teigti, kad pastato savininkas dalyvaus renovacijoje tada kai tikės, kad renovacijos naudos bus didesnės nei jo investicija.</w:t>
      </w:r>
      <w:r w:rsidRPr="00650EE4">
        <w:rPr>
          <w:rFonts w:ascii="Times New Roman" w:hAnsi="Times New Roman"/>
          <w:szCs w:val="24"/>
        </w:rPr>
        <w:t xml:space="preserve"> </w:t>
      </w:r>
    </w:p>
    <w:p w14:paraId="1555010B" w14:textId="461CAB3C" w:rsidR="00F50651" w:rsidRPr="00650EE4" w:rsidRDefault="00CE4833" w:rsidP="00F50651">
      <w:pPr>
        <w:spacing w:before="120" w:after="120" w:line="240" w:lineRule="auto"/>
        <w:jc w:val="both"/>
        <w:rPr>
          <w:rFonts w:ascii="Times New Roman" w:hAnsi="Times New Roman"/>
          <w:szCs w:val="24"/>
        </w:rPr>
      </w:pPr>
      <w:r>
        <w:rPr>
          <w:rFonts w:ascii="Times New Roman" w:hAnsi="Times New Roman"/>
          <w:szCs w:val="24"/>
        </w:rPr>
        <w:t>T</w:t>
      </w:r>
      <w:r w:rsidR="00F77D31" w:rsidRPr="00650EE4">
        <w:rPr>
          <w:rFonts w:ascii="Times New Roman" w:hAnsi="Times New Roman"/>
          <w:szCs w:val="24"/>
        </w:rPr>
        <w:t>am, kad pastato savininkas patikėtų renovacijos nauda, turi būti išpildytos kelios esminės sąlygos:</w:t>
      </w:r>
    </w:p>
    <w:p w14:paraId="7915B21F" w14:textId="77777777"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Nauda savininkui turi objektyviai egzistuoti</w:t>
      </w:r>
      <w:r w:rsidRPr="00650EE4">
        <w:rPr>
          <w:rFonts w:ascii="Times New Roman" w:hAnsi="Times New Roman"/>
          <w:color w:val="000000" w:themeColor="text1"/>
          <w:szCs w:val="22"/>
        </w:rPr>
        <w:t>.</w:t>
      </w:r>
    </w:p>
    <w:p w14:paraId="505F5921" w14:textId="7B0D64E7"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 xml:space="preserve">Savininkas turi būti </w:t>
      </w:r>
      <w:r w:rsidR="00B8506E" w:rsidRPr="00650EE4">
        <w:rPr>
          <w:rFonts w:ascii="Times New Roman" w:hAnsi="Times New Roman"/>
          <w:b/>
          <w:color w:val="000000" w:themeColor="text1"/>
          <w:szCs w:val="22"/>
        </w:rPr>
        <w:t>informuotas</w:t>
      </w:r>
      <w:r w:rsidR="00AD6E4F" w:rsidRPr="00650EE4">
        <w:rPr>
          <w:rFonts w:ascii="Times New Roman" w:hAnsi="Times New Roman"/>
          <w:b/>
          <w:color w:val="000000" w:themeColor="text1"/>
          <w:szCs w:val="22"/>
        </w:rPr>
        <w:t xml:space="preserve"> </w:t>
      </w:r>
      <w:r w:rsidRPr="00650EE4">
        <w:rPr>
          <w:rFonts w:ascii="Times New Roman" w:hAnsi="Times New Roman"/>
          <w:b/>
          <w:color w:val="000000" w:themeColor="text1"/>
          <w:szCs w:val="22"/>
        </w:rPr>
        <w:t>apie</w:t>
      </w:r>
      <w:r w:rsidR="00AD6E4F" w:rsidRPr="00650EE4">
        <w:rPr>
          <w:rFonts w:ascii="Times New Roman" w:hAnsi="Times New Roman"/>
          <w:b/>
          <w:color w:val="000000" w:themeColor="text1"/>
          <w:szCs w:val="22"/>
        </w:rPr>
        <w:t xml:space="preserve"> egzistuojančias naudas</w:t>
      </w:r>
      <w:r w:rsidR="00CE4833">
        <w:rPr>
          <w:rFonts w:ascii="Times New Roman" w:hAnsi="Times New Roman"/>
          <w:b/>
          <w:color w:val="000000" w:themeColor="text1"/>
          <w:szCs w:val="22"/>
        </w:rPr>
        <w:t xml:space="preserve"> </w:t>
      </w:r>
      <w:r w:rsidRPr="00650EE4">
        <w:rPr>
          <w:rFonts w:ascii="Times New Roman" w:hAnsi="Times New Roman"/>
          <w:color w:val="000000" w:themeColor="text1"/>
          <w:szCs w:val="22"/>
        </w:rPr>
        <w:t xml:space="preserve">– svarbu įvertinti, kad savininko investicija yra finansinė, o renovacijos teikiamos naudos daugialypės (ne tik energijos sutaupymas ir sumažėjusios išlaidos, bet ir būsto vertės padidėjimas, geresnė socialinė aplinka ir pan.), todėl savininkas turi būti informuotas apie visą renovacijos galimybių ir naudų spektrą. </w:t>
      </w:r>
    </w:p>
    <w:p w14:paraId="74EB2937" w14:textId="14A76A04" w:rsidR="00F50651" w:rsidRPr="00650EE4" w:rsidRDefault="00F50651" w:rsidP="00F50651">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b/>
          <w:color w:val="000000" w:themeColor="text1"/>
          <w:szCs w:val="22"/>
        </w:rPr>
        <w:t xml:space="preserve">Turi </w:t>
      </w:r>
      <w:r w:rsidR="00AD6E4F" w:rsidRPr="00650EE4">
        <w:rPr>
          <w:rFonts w:ascii="Times New Roman" w:hAnsi="Times New Roman"/>
          <w:b/>
          <w:color w:val="000000" w:themeColor="text1"/>
          <w:szCs w:val="22"/>
        </w:rPr>
        <w:t>būti parengti</w:t>
      </w:r>
      <w:r w:rsidRPr="00650EE4">
        <w:rPr>
          <w:rFonts w:ascii="Times New Roman" w:hAnsi="Times New Roman"/>
          <w:b/>
          <w:color w:val="000000" w:themeColor="text1"/>
          <w:szCs w:val="22"/>
        </w:rPr>
        <w:t xml:space="preserve"> finansavimo sprendimai</w:t>
      </w:r>
      <w:r w:rsidRPr="00650EE4">
        <w:rPr>
          <w:rFonts w:ascii="Times New Roman" w:hAnsi="Times New Roman"/>
          <w:color w:val="000000" w:themeColor="text1"/>
          <w:szCs w:val="22"/>
        </w:rPr>
        <w:t xml:space="preserve"> - net ir tikintis renovacijos nauda pastato savininkas nedalyvaus renovacijoje, jei neturės tam finansinių galimybių.</w:t>
      </w:r>
    </w:p>
    <w:p w14:paraId="7C992833" w14:textId="77777777" w:rsidR="00F50651" w:rsidRPr="00650EE4" w:rsidRDefault="00F50651" w:rsidP="00AB7311">
      <w:pPr>
        <w:pStyle w:val="Pagrindinispaprastastekstas"/>
        <w:numPr>
          <w:ilvl w:val="0"/>
          <w:numId w:val="10"/>
        </w:numPr>
        <w:spacing w:after="240"/>
        <w:ind w:left="714" w:hanging="357"/>
        <w:rPr>
          <w:rFonts w:ascii="Times New Roman" w:hAnsi="Times New Roman"/>
          <w:color w:val="000000" w:themeColor="text1"/>
          <w:szCs w:val="22"/>
        </w:rPr>
      </w:pPr>
      <w:r w:rsidRPr="00650EE4">
        <w:rPr>
          <w:rFonts w:ascii="Times New Roman" w:hAnsi="Times New Roman"/>
          <w:b/>
          <w:color w:val="000000" w:themeColor="text1"/>
          <w:szCs w:val="22"/>
        </w:rPr>
        <w:t>Turi būti pakankamas užtikrinimas, kad renovacijos naudos bus realizuotos</w:t>
      </w:r>
      <w:r w:rsidRPr="00650EE4">
        <w:rPr>
          <w:rFonts w:ascii="Times New Roman" w:hAnsi="Times New Roman"/>
          <w:color w:val="000000" w:themeColor="text1"/>
          <w:szCs w:val="22"/>
        </w:rPr>
        <w:t xml:space="preserve"> – net ir tikintis renovacijos nauda ir turintis patrauklias finansavimo galimybes pastato savininkas tikėtina nedalyvaus renovacijoje, jei netikės, kad planuojamas rezultatas bus pasiektas.</w:t>
      </w:r>
    </w:p>
    <w:p w14:paraId="00190DDA" w14:textId="00361CA8" w:rsidR="00AB7311" w:rsidRPr="00650EE4" w:rsidRDefault="00AB7311" w:rsidP="00631BA6">
      <w:pPr>
        <w:pStyle w:val="TESlentelspavadinimas"/>
        <w:rPr>
          <w:noProof w:val="0"/>
        </w:rPr>
      </w:pPr>
      <w:r w:rsidRPr="00650EE4">
        <w:rPr>
          <w:noProof w:val="0"/>
        </w:rPr>
        <w:t xml:space="preserve">Renovacijos įgyvendinimo modelis </w:t>
      </w:r>
    </w:p>
    <w:p w14:paraId="3A7C49E1" w14:textId="32EF7489" w:rsidR="001F1ABA" w:rsidRPr="00650EE4" w:rsidRDefault="001F1ABA" w:rsidP="00631BA6">
      <w:pPr>
        <w:pStyle w:val="TESlentelspavadinimas"/>
        <w:rPr>
          <w:noProof w:val="0"/>
        </w:rPr>
      </w:pPr>
      <w:r w:rsidRPr="00650EE4">
        <w:rPr>
          <w:lang w:eastAsia="lt-LT"/>
        </w:rPr>
        <w:drawing>
          <wp:inline distT="0" distB="0" distL="0" distR="0" wp14:anchorId="4F901008" wp14:editId="3487F6AD">
            <wp:extent cx="6390005" cy="3150456"/>
            <wp:effectExtent l="19050" t="19050" r="10795" b="1206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448" cy="3175819"/>
                    </a:xfrm>
                    <a:prstGeom prst="rect">
                      <a:avLst/>
                    </a:prstGeom>
                    <a:noFill/>
                    <a:ln>
                      <a:solidFill>
                        <a:schemeClr val="tx1"/>
                      </a:solidFill>
                    </a:ln>
                  </pic:spPr>
                </pic:pic>
              </a:graphicData>
            </a:graphic>
          </wp:inline>
        </w:drawing>
      </w:r>
    </w:p>
    <w:p w14:paraId="56003C28" w14:textId="3F809C12" w:rsidR="00AB7311" w:rsidRPr="00650EE4" w:rsidRDefault="00AB7311" w:rsidP="00631BA6">
      <w:pPr>
        <w:pStyle w:val="TESlentelspavadinimas"/>
        <w:rPr>
          <w:noProof w:val="0"/>
        </w:rPr>
      </w:pPr>
      <w:r w:rsidRPr="00650EE4">
        <w:rPr>
          <w:noProof w:val="0"/>
        </w:rPr>
        <w:t>Šaltinis: Studijos</w:t>
      </w:r>
      <w:r w:rsidR="00CE4833">
        <w:rPr>
          <w:noProof w:val="0"/>
        </w:rPr>
        <w:t xml:space="preserve"> </w:t>
      </w:r>
      <w:r w:rsidR="00CE4833" w:rsidRPr="00CE4833">
        <w:rPr>
          <w:noProof w:val="0"/>
        </w:rPr>
        <w:t>Lietuvos ilgalaikei renovacijos strategijai parengti</w:t>
      </w:r>
      <w:r w:rsidRPr="00650EE4">
        <w:rPr>
          <w:noProof w:val="0"/>
        </w:rPr>
        <w:t xml:space="preserve"> autoriai</w:t>
      </w:r>
    </w:p>
    <w:p w14:paraId="54638B2E" w14:textId="77777777" w:rsidR="00C232FF" w:rsidRPr="00650EE4" w:rsidRDefault="00C232FF" w:rsidP="00F50651">
      <w:pPr>
        <w:spacing w:after="120"/>
        <w:jc w:val="both"/>
        <w:rPr>
          <w:rFonts w:ascii="Times New Roman" w:hAnsi="Times New Roman"/>
          <w:szCs w:val="24"/>
        </w:rPr>
      </w:pPr>
    </w:p>
    <w:p w14:paraId="73452045" w14:textId="24EA87AC" w:rsidR="00F50651" w:rsidRPr="00650EE4" w:rsidRDefault="00801701" w:rsidP="00F50651">
      <w:pPr>
        <w:spacing w:after="120"/>
        <w:jc w:val="both"/>
        <w:rPr>
          <w:rFonts w:ascii="Times New Roman" w:hAnsi="Times New Roman"/>
          <w:szCs w:val="22"/>
        </w:rPr>
      </w:pPr>
      <w:r w:rsidRPr="00650EE4">
        <w:rPr>
          <w:rFonts w:ascii="Times New Roman" w:hAnsi="Times New Roman"/>
          <w:szCs w:val="24"/>
        </w:rPr>
        <w:t>P</w:t>
      </w:r>
      <w:r w:rsidR="00F50651" w:rsidRPr="00650EE4">
        <w:rPr>
          <w:rFonts w:ascii="Times New Roman" w:hAnsi="Times New Roman"/>
          <w:szCs w:val="24"/>
        </w:rPr>
        <w:t>rincipin</w:t>
      </w:r>
      <w:r w:rsidRPr="00650EE4">
        <w:rPr>
          <w:rFonts w:ascii="Times New Roman" w:hAnsi="Times New Roman"/>
          <w:szCs w:val="24"/>
        </w:rPr>
        <w:t>ės</w:t>
      </w:r>
      <w:r w:rsidR="00F50651" w:rsidRPr="00650EE4">
        <w:rPr>
          <w:rFonts w:ascii="Times New Roman" w:hAnsi="Times New Roman"/>
          <w:szCs w:val="24"/>
        </w:rPr>
        <w:t xml:space="preserve"> </w:t>
      </w:r>
      <w:r w:rsidRPr="00650EE4">
        <w:rPr>
          <w:rFonts w:ascii="Times New Roman" w:hAnsi="Times New Roman"/>
          <w:szCs w:val="24"/>
        </w:rPr>
        <w:t xml:space="preserve">IRS </w:t>
      </w:r>
      <w:r w:rsidR="00F50651" w:rsidRPr="00650EE4">
        <w:rPr>
          <w:rFonts w:ascii="Times New Roman" w:hAnsi="Times New Roman"/>
          <w:szCs w:val="24"/>
        </w:rPr>
        <w:t>įgyvendinim</w:t>
      </w:r>
      <w:r w:rsidR="00B320E2" w:rsidRPr="00650EE4">
        <w:rPr>
          <w:rFonts w:ascii="Times New Roman" w:hAnsi="Times New Roman"/>
          <w:szCs w:val="24"/>
        </w:rPr>
        <w:t xml:space="preserve">o </w:t>
      </w:r>
      <w:r w:rsidR="00F50651" w:rsidRPr="00650EE4">
        <w:rPr>
          <w:rFonts w:ascii="Times New Roman" w:hAnsi="Times New Roman"/>
          <w:szCs w:val="24"/>
        </w:rPr>
        <w:t>priemon</w:t>
      </w:r>
      <w:r w:rsidRPr="00650EE4">
        <w:rPr>
          <w:rFonts w:ascii="Times New Roman" w:hAnsi="Times New Roman"/>
          <w:szCs w:val="24"/>
        </w:rPr>
        <w:t>ės</w:t>
      </w:r>
      <w:r w:rsidR="00F50651" w:rsidRPr="00650EE4">
        <w:rPr>
          <w:rFonts w:ascii="Times New Roman" w:hAnsi="Times New Roman"/>
          <w:szCs w:val="24"/>
        </w:rPr>
        <w:t>:</w:t>
      </w:r>
    </w:p>
    <w:p w14:paraId="3DF3FCE4" w14:textId="110F4341" w:rsidR="00F50651" w:rsidRPr="00650EE4" w:rsidRDefault="0084304C" w:rsidP="00EA18BD">
      <w:pPr>
        <w:spacing w:before="240" w:after="120" w:line="240" w:lineRule="auto"/>
        <w:jc w:val="both"/>
        <w:rPr>
          <w:rFonts w:ascii="Times New Roman" w:hAnsi="Times New Roman"/>
          <w:szCs w:val="24"/>
        </w:rPr>
      </w:pPr>
      <w:r w:rsidRPr="00650EE4">
        <w:rPr>
          <w:rFonts w:ascii="Times New Roman" w:hAnsi="Times New Roman"/>
          <w:b/>
          <w:bCs/>
          <w:szCs w:val="24"/>
        </w:rPr>
        <w:t xml:space="preserve">1. </w:t>
      </w:r>
      <w:r w:rsidR="00F50651" w:rsidRPr="00650EE4">
        <w:rPr>
          <w:rFonts w:ascii="Times New Roman" w:hAnsi="Times New Roman"/>
          <w:b/>
          <w:bCs/>
          <w:szCs w:val="24"/>
        </w:rPr>
        <w:t>Integruotas planavimas</w:t>
      </w:r>
      <w:r w:rsidR="00F50651" w:rsidRPr="00650EE4">
        <w:rPr>
          <w:rFonts w:ascii="Times New Roman" w:hAnsi="Times New Roman"/>
          <w:szCs w:val="24"/>
        </w:rPr>
        <w:t xml:space="preserve">. </w:t>
      </w:r>
      <w:r w:rsidR="005F11AA" w:rsidRPr="00650EE4">
        <w:rPr>
          <w:rFonts w:ascii="Times New Roman" w:hAnsi="Times New Roman"/>
          <w:szCs w:val="24"/>
        </w:rPr>
        <w:t>Renovacijos procesas fragmentuotas, dalyvauja skirtingos suinteresuotos šalys, renovacija daro tiesioginę įtaką susijusiems sektoriams (pvz., energetikos infrastruktūros planavimui, urbanistiniam planavimui, regionų plėtros planavimui, socialinės gerovės užtikrinimui ir pan.), o IRS numatyti tikslai ir siektini rodikliai tiesiogiai priklauso nuo energetikos sektoriaus raidos scenarijų. Atitinkamai, s</w:t>
      </w:r>
      <w:r w:rsidR="00F50651" w:rsidRPr="00650EE4">
        <w:rPr>
          <w:rFonts w:ascii="Times New Roman" w:hAnsi="Times New Roman"/>
          <w:szCs w:val="24"/>
        </w:rPr>
        <w:t>ieki</w:t>
      </w:r>
      <w:r w:rsidR="007A52B6">
        <w:rPr>
          <w:rFonts w:ascii="Times New Roman" w:hAnsi="Times New Roman"/>
          <w:szCs w:val="24"/>
        </w:rPr>
        <w:t>ant įgyvendinti IRS suplanuotą p</w:t>
      </w:r>
      <w:r w:rsidR="00F50651" w:rsidRPr="00650EE4">
        <w:rPr>
          <w:rFonts w:ascii="Times New Roman" w:hAnsi="Times New Roman"/>
          <w:szCs w:val="24"/>
        </w:rPr>
        <w:t>astatų fondo transformaciją būtina atlikti bazinius, vadybinius planavimo etapo sprendimus:</w:t>
      </w:r>
    </w:p>
    <w:p w14:paraId="54397A30" w14:textId="77777777"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Integruoti IRS tikslus ir rodiklius į teisės aktų sistemą.</w:t>
      </w:r>
    </w:p>
    <w:p w14:paraId="3C116897" w14:textId="4EF93399"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lastRenderedPageBreak/>
        <w:t xml:space="preserve">Suformuoti </w:t>
      </w:r>
      <w:proofErr w:type="spellStart"/>
      <w:r w:rsidRPr="00650EE4">
        <w:rPr>
          <w:rFonts w:ascii="Times New Roman" w:hAnsi="Times New Roman"/>
          <w:szCs w:val="22"/>
          <w:lang w:val="lt-LT"/>
        </w:rPr>
        <w:t>tarpinstitucinį</w:t>
      </w:r>
      <w:proofErr w:type="spellEnd"/>
      <w:r w:rsidRPr="00650EE4">
        <w:rPr>
          <w:rFonts w:ascii="Times New Roman" w:hAnsi="Times New Roman"/>
          <w:szCs w:val="22"/>
          <w:lang w:val="lt-LT"/>
        </w:rPr>
        <w:t xml:space="preserve"> komitetą, darbo grupę ar pan. organizacinį struktūrinį vienetą, kuris atliktų IRS projekto valdytojo  funkcijas, t.y. </w:t>
      </w:r>
      <w:r w:rsidR="001B268D" w:rsidRPr="00650EE4">
        <w:rPr>
          <w:rFonts w:ascii="Times New Roman" w:hAnsi="Times New Roman"/>
          <w:szCs w:val="22"/>
          <w:lang w:val="lt-LT"/>
        </w:rPr>
        <w:t xml:space="preserve">apjungtų esminių suinteresuotų šalių kompetencijas ir </w:t>
      </w:r>
      <w:r w:rsidRPr="00650EE4">
        <w:rPr>
          <w:rFonts w:ascii="Times New Roman" w:hAnsi="Times New Roman"/>
          <w:szCs w:val="22"/>
          <w:lang w:val="lt-LT"/>
        </w:rPr>
        <w:t>būtų atsakingas už IRS įgyvend</w:t>
      </w:r>
      <w:r w:rsidR="001B268D" w:rsidRPr="00650EE4">
        <w:rPr>
          <w:rFonts w:ascii="Times New Roman" w:hAnsi="Times New Roman"/>
          <w:szCs w:val="22"/>
          <w:lang w:val="lt-LT"/>
        </w:rPr>
        <w:t>inimo planavimą, koordinavimą bei</w:t>
      </w:r>
      <w:r w:rsidRPr="00650EE4">
        <w:rPr>
          <w:rFonts w:ascii="Times New Roman" w:hAnsi="Times New Roman"/>
          <w:szCs w:val="22"/>
          <w:lang w:val="lt-LT"/>
        </w:rPr>
        <w:t xml:space="preserve"> </w:t>
      </w:r>
      <w:proofErr w:type="spellStart"/>
      <w:r w:rsidRPr="00650EE4">
        <w:rPr>
          <w:rFonts w:ascii="Times New Roman" w:hAnsi="Times New Roman"/>
          <w:szCs w:val="22"/>
          <w:lang w:val="lt-LT"/>
        </w:rPr>
        <w:t>stebėseną</w:t>
      </w:r>
      <w:proofErr w:type="spellEnd"/>
      <w:r w:rsidRPr="00650EE4">
        <w:rPr>
          <w:rFonts w:ascii="Times New Roman" w:hAnsi="Times New Roman"/>
          <w:szCs w:val="22"/>
          <w:lang w:val="lt-LT"/>
        </w:rPr>
        <w:t>.</w:t>
      </w:r>
    </w:p>
    <w:p w14:paraId="02E64AF1" w14:textId="1C8DB82D"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Parengti</w:t>
      </w:r>
      <w:r w:rsidR="001B268D" w:rsidRPr="00650EE4">
        <w:rPr>
          <w:rFonts w:ascii="Times New Roman" w:hAnsi="Times New Roman"/>
          <w:szCs w:val="22"/>
          <w:lang w:val="lt-LT"/>
        </w:rPr>
        <w:t xml:space="preserve"> kompleksinį</w:t>
      </w:r>
      <w:r w:rsidR="005D351E" w:rsidRPr="00650EE4">
        <w:rPr>
          <w:rFonts w:ascii="Times New Roman" w:hAnsi="Times New Roman"/>
          <w:szCs w:val="22"/>
          <w:lang w:val="lt-LT"/>
        </w:rPr>
        <w:t>, į vartot</w:t>
      </w:r>
      <w:r w:rsidR="006360EC" w:rsidRPr="00650EE4">
        <w:rPr>
          <w:rFonts w:ascii="Times New Roman" w:hAnsi="Times New Roman"/>
          <w:szCs w:val="22"/>
          <w:lang w:val="lt-LT"/>
        </w:rPr>
        <w:t>o</w:t>
      </w:r>
      <w:r w:rsidR="005D351E" w:rsidRPr="00650EE4">
        <w:rPr>
          <w:rFonts w:ascii="Times New Roman" w:hAnsi="Times New Roman"/>
          <w:szCs w:val="22"/>
          <w:lang w:val="lt-LT"/>
        </w:rPr>
        <w:t xml:space="preserve">ją orientuotą, </w:t>
      </w:r>
      <w:r w:rsidRPr="00650EE4">
        <w:rPr>
          <w:rFonts w:ascii="Times New Roman" w:hAnsi="Times New Roman"/>
          <w:szCs w:val="22"/>
          <w:lang w:val="lt-LT"/>
        </w:rPr>
        <w:t xml:space="preserve">paramos priemonių paketą. </w:t>
      </w:r>
    </w:p>
    <w:p w14:paraId="57D5AA1C" w14:textId="02122543" w:rsidR="00F50651" w:rsidRPr="00650EE4" w:rsidRDefault="00F50651"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Detalizuoti IRS tikslus ir r</w:t>
      </w:r>
      <w:r w:rsidR="001B268D" w:rsidRPr="00650EE4">
        <w:rPr>
          <w:rFonts w:ascii="Times New Roman" w:hAnsi="Times New Roman"/>
          <w:szCs w:val="22"/>
          <w:lang w:val="lt-LT"/>
        </w:rPr>
        <w:t>odiklius savivaldos lygmeniu, deleguojant</w:t>
      </w:r>
      <w:r w:rsidRPr="00650EE4">
        <w:rPr>
          <w:rFonts w:ascii="Times New Roman" w:hAnsi="Times New Roman"/>
          <w:szCs w:val="22"/>
          <w:lang w:val="lt-LT"/>
        </w:rPr>
        <w:t xml:space="preserve"> savivaldybėms atsakomybę už jų įgyvendinimą</w:t>
      </w:r>
      <w:r w:rsidR="004503FC" w:rsidRPr="00650EE4">
        <w:rPr>
          <w:rFonts w:ascii="Times New Roman" w:hAnsi="Times New Roman"/>
          <w:szCs w:val="22"/>
          <w:lang w:val="lt-LT"/>
        </w:rPr>
        <w:t>, paraleliai suteikiant įgyvendinimui reik</w:t>
      </w:r>
      <w:r w:rsidR="005D39D5" w:rsidRPr="00650EE4">
        <w:rPr>
          <w:rFonts w:ascii="Times New Roman" w:hAnsi="Times New Roman"/>
          <w:szCs w:val="22"/>
          <w:lang w:val="lt-LT"/>
        </w:rPr>
        <w:t>a</w:t>
      </w:r>
      <w:r w:rsidR="004503FC" w:rsidRPr="00650EE4">
        <w:rPr>
          <w:rFonts w:ascii="Times New Roman" w:hAnsi="Times New Roman"/>
          <w:szCs w:val="22"/>
          <w:lang w:val="lt-LT"/>
        </w:rPr>
        <w:t xml:space="preserve">lingą finansavimą ir įrankius. </w:t>
      </w:r>
    </w:p>
    <w:p w14:paraId="3AEBD49C" w14:textId="1E14B29A" w:rsidR="00F50651" w:rsidRPr="00650EE4" w:rsidRDefault="00F50651" w:rsidP="00BD4925">
      <w:pPr>
        <w:pStyle w:val="ListParagraph"/>
        <w:numPr>
          <w:ilvl w:val="0"/>
          <w:numId w:val="45"/>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Įdiegti monitoringo sistemą ir užtikrinti periodinį siektinų rodiklių atnaujinimą</w:t>
      </w:r>
      <w:r w:rsidR="00C44EA0" w:rsidRPr="00650EE4">
        <w:rPr>
          <w:rFonts w:ascii="Times New Roman" w:hAnsi="Times New Roman"/>
          <w:szCs w:val="22"/>
          <w:lang w:val="lt-LT"/>
        </w:rPr>
        <w:t>,</w:t>
      </w:r>
      <w:r w:rsidRPr="00650EE4">
        <w:rPr>
          <w:rFonts w:ascii="Times New Roman" w:hAnsi="Times New Roman"/>
          <w:szCs w:val="22"/>
          <w:lang w:val="lt-LT"/>
        </w:rPr>
        <w:t xml:space="preserve"> atsižvelgiant į įgyvendinimo progresą.</w:t>
      </w:r>
    </w:p>
    <w:p w14:paraId="76B8DE48" w14:textId="39EBADD0" w:rsidR="00784AD9" w:rsidRPr="00650EE4" w:rsidRDefault="0084304C" w:rsidP="008B5B07">
      <w:pPr>
        <w:spacing w:before="240" w:after="120" w:line="240" w:lineRule="auto"/>
        <w:jc w:val="both"/>
        <w:rPr>
          <w:rFonts w:ascii="Times New Roman" w:hAnsi="Times New Roman"/>
          <w:szCs w:val="24"/>
        </w:rPr>
      </w:pPr>
      <w:r w:rsidRPr="00650EE4">
        <w:rPr>
          <w:rFonts w:ascii="Times New Roman" w:hAnsi="Times New Roman"/>
          <w:b/>
          <w:bCs/>
          <w:szCs w:val="24"/>
        </w:rPr>
        <w:t xml:space="preserve">2. </w:t>
      </w:r>
      <w:r w:rsidR="00F50651" w:rsidRPr="00650EE4">
        <w:rPr>
          <w:rFonts w:ascii="Times New Roman" w:hAnsi="Times New Roman"/>
          <w:b/>
          <w:bCs/>
          <w:szCs w:val="24"/>
        </w:rPr>
        <w:t>Ko</w:t>
      </w:r>
      <w:r w:rsidR="00984524" w:rsidRPr="00650EE4">
        <w:rPr>
          <w:rFonts w:ascii="Times New Roman" w:hAnsi="Times New Roman"/>
          <w:b/>
          <w:bCs/>
          <w:szCs w:val="24"/>
        </w:rPr>
        <w:t>m</w:t>
      </w:r>
      <w:r w:rsidR="00F50651" w:rsidRPr="00650EE4">
        <w:rPr>
          <w:rFonts w:ascii="Times New Roman" w:hAnsi="Times New Roman"/>
          <w:b/>
          <w:bCs/>
          <w:szCs w:val="24"/>
        </w:rPr>
        <w:t>pleksinis paramos priemonių paketas</w:t>
      </w:r>
      <w:r w:rsidR="00D50AD9" w:rsidRPr="00650EE4">
        <w:rPr>
          <w:rFonts w:ascii="Times New Roman" w:hAnsi="Times New Roman"/>
          <w:b/>
          <w:bCs/>
          <w:szCs w:val="24"/>
        </w:rPr>
        <w:t>.</w:t>
      </w:r>
      <w:r w:rsidR="00413DF8" w:rsidRPr="00650EE4">
        <w:rPr>
          <w:rFonts w:ascii="Times New Roman" w:hAnsi="Times New Roman"/>
          <w:b/>
          <w:bCs/>
          <w:szCs w:val="24"/>
        </w:rPr>
        <w:t xml:space="preserve"> </w:t>
      </w:r>
      <w:r w:rsidR="00413DF8" w:rsidRPr="00650EE4">
        <w:rPr>
          <w:rFonts w:ascii="Times New Roman" w:hAnsi="Times New Roman"/>
          <w:bCs/>
          <w:szCs w:val="24"/>
        </w:rPr>
        <w:t>P</w:t>
      </w:r>
      <w:r w:rsidR="00413DF8" w:rsidRPr="00650EE4">
        <w:rPr>
          <w:rFonts w:ascii="Times New Roman" w:hAnsi="Times New Roman"/>
          <w:szCs w:val="24"/>
        </w:rPr>
        <w:t>aramos priemonių paketas turi būti orientuotas į vartotoją ir konkrečių IRS</w:t>
      </w:r>
      <w:r w:rsidR="00F111B4" w:rsidRPr="00650EE4">
        <w:rPr>
          <w:rFonts w:ascii="Times New Roman" w:hAnsi="Times New Roman"/>
          <w:szCs w:val="24"/>
        </w:rPr>
        <w:t xml:space="preserve"> tiksl</w:t>
      </w:r>
      <w:r w:rsidR="00413DF8" w:rsidRPr="00650EE4">
        <w:rPr>
          <w:rFonts w:ascii="Times New Roman" w:hAnsi="Times New Roman"/>
          <w:szCs w:val="24"/>
        </w:rPr>
        <w:t>ų įgyvendinimą</w:t>
      </w:r>
      <w:r w:rsidR="00784AD9" w:rsidRPr="00650EE4">
        <w:rPr>
          <w:rFonts w:ascii="Times New Roman" w:hAnsi="Times New Roman"/>
          <w:szCs w:val="24"/>
        </w:rPr>
        <w:t xml:space="preserve">, </w:t>
      </w:r>
      <w:r w:rsidR="00413DF8" w:rsidRPr="00650EE4">
        <w:rPr>
          <w:rFonts w:ascii="Times New Roman" w:hAnsi="Times New Roman"/>
          <w:szCs w:val="24"/>
        </w:rPr>
        <w:t>bei</w:t>
      </w:r>
      <w:r w:rsidR="00F111B4" w:rsidRPr="00650EE4">
        <w:rPr>
          <w:rFonts w:ascii="Times New Roman" w:hAnsi="Times New Roman"/>
          <w:szCs w:val="24"/>
        </w:rPr>
        <w:t xml:space="preserve"> sprendžiantis</w:t>
      </w:r>
      <w:r w:rsidR="00784AD9" w:rsidRPr="00650EE4">
        <w:rPr>
          <w:rFonts w:ascii="Times New Roman" w:hAnsi="Times New Roman"/>
          <w:szCs w:val="24"/>
        </w:rPr>
        <w:t xml:space="preserve"> </w:t>
      </w:r>
      <w:r w:rsidR="007246B9">
        <w:rPr>
          <w:rFonts w:ascii="Times New Roman" w:hAnsi="Times New Roman"/>
          <w:szCs w:val="24"/>
        </w:rPr>
        <w:t>tris</w:t>
      </w:r>
      <w:r w:rsidR="00784AD9" w:rsidRPr="00650EE4">
        <w:rPr>
          <w:rFonts w:ascii="Times New Roman" w:hAnsi="Times New Roman"/>
          <w:szCs w:val="24"/>
        </w:rPr>
        <w:t xml:space="preserve"> </w:t>
      </w:r>
      <w:r w:rsidR="00D450FE" w:rsidRPr="00650EE4">
        <w:rPr>
          <w:rFonts w:ascii="Times New Roman" w:hAnsi="Times New Roman"/>
          <w:szCs w:val="24"/>
        </w:rPr>
        <w:t>esminius uždavinius</w:t>
      </w:r>
      <w:r w:rsidR="00784AD9" w:rsidRPr="00650EE4">
        <w:rPr>
          <w:rFonts w:ascii="Times New Roman" w:hAnsi="Times New Roman"/>
          <w:szCs w:val="24"/>
        </w:rPr>
        <w:t>:</w:t>
      </w:r>
    </w:p>
    <w:p w14:paraId="4FA3065D" w14:textId="02B664A7" w:rsidR="00784AD9" w:rsidRPr="00650EE4" w:rsidRDefault="00D450FE"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Užtikrinti pakankamą </w:t>
      </w:r>
      <w:r w:rsidR="008E6DAF" w:rsidRPr="00650EE4">
        <w:rPr>
          <w:rFonts w:ascii="Times New Roman" w:hAnsi="Times New Roman"/>
          <w:szCs w:val="22"/>
          <w:lang w:val="lt-LT"/>
        </w:rPr>
        <w:t>transformacijos</w:t>
      </w:r>
      <w:r w:rsidRPr="00650EE4">
        <w:rPr>
          <w:rFonts w:ascii="Times New Roman" w:hAnsi="Times New Roman"/>
          <w:szCs w:val="22"/>
          <w:lang w:val="lt-LT"/>
        </w:rPr>
        <w:t xml:space="preserve"> gylį</w:t>
      </w:r>
      <w:r w:rsidR="00700226" w:rsidRPr="00650EE4">
        <w:rPr>
          <w:rFonts w:ascii="Times New Roman" w:hAnsi="Times New Roman"/>
          <w:szCs w:val="22"/>
          <w:lang w:val="lt-LT"/>
        </w:rPr>
        <w:t xml:space="preserve"> ir k</w:t>
      </w:r>
      <w:r w:rsidR="002A12D2" w:rsidRPr="00650EE4">
        <w:rPr>
          <w:rFonts w:ascii="Times New Roman" w:hAnsi="Times New Roman"/>
          <w:szCs w:val="22"/>
          <w:lang w:val="lt-LT"/>
        </w:rPr>
        <w:t xml:space="preserve">ompleksiškumą </w:t>
      </w:r>
      <w:r w:rsidR="00413DF8" w:rsidRPr="00650EE4">
        <w:rPr>
          <w:rFonts w:ascii="Times New Roman" w:hAnsi="Times New Roman"/>
          <w:szCs w:val="24"/>
          <w:lang w:val="lt-LT"/>
        </w:rPr>
        <w:t xml:space="preserve">t.y. siekti gilios, </w:t>
      </w:r>
      <w:r w:rsidR="00413DF8" w:rsidRPr="00650EE4">
        <w:rPr>
          <w:rFonts w:ascii="Times New Roman" w:hAnsi="Times New Roman"/>
          <w:szCs w:val="22"/>
          <w:lang w:val="lt-LT"/>
        </w:rPr>
        <w:t>esminės</w:t>
      </w:r>
      <w:r w:rsidR="007E178E" w:rsidRPr="00650EE4">
        <w:rPr>
          <w:rFonts w:ascii="Times New Roman" w:hAnsi="Times New Roman"/>
          <w:szCs w:val="22"/>
          <w:lang w:val="lt-LT"/>
        </w:rPr>
        <w:t>,</w:t>
      </w:r>
      <w:r w:rsidR="00413DF8" w:rsidRPr="00650EE4">
        <w:rPr>
          <w:rFonts w:ascii="Times New Roman" w:hAnsi="Times New Roman"/>
          <w:szCs w:val="22"/>
          <w:lang w:val="lt-LT"/>
        </w:rPr>
        <w:t xml:space="preserve"> integruotos </w:t>
      </w:r>
      <w:r w:rsidR="002C604A" w:rsidRPr="00650EE4">
        <w:rPr>
          <w:rFonts w:ascii="Times New Roman" w:hAnsi="Times New Roman"/>
          <w:szCs w:val="22"/>
          <w:lang w:val="lt-LT"/>
        </w:rPr>
        <w:t>su susijusia infrastuktūra</w:t>
      </w:r>
      <w:r w:rsidR="00230751" w:rsidRPr="00650EE4">
        <w:rPr>
          <w:rFonts w:ascii="Times New Roman" w:hAnsi="Times New Roman"/>
          <w:szCs w:val="22"/>
          <w:lang w:val="lt-LT"/>
        </w:rPr>
        <w:t xml:space="preserve"> </w:t>
      </w:r>
      <w:r w:rsidR="00700226" w:rsidRPr="00650EE4">
        <w:rPr>
          <w:rFonts w:ascii="Times New Roman" w:hAnsi="Times New Roman"/>
          <w:szCs w:val="22"/>
          <w:lang w:val="lt-LT"/>
        </w:rPr>
        <w:t>(CŠT</w:t>
      </w:r>
      <w:r w:rsidR="006524EE" w:rsidRPr="00650EE4">
        <w:rPr>
          <w:rFonts w:ascii="Times New Roman" w:hAnsi="Times New Roman"/>
          <w:szCs w:val="22"/>
          <w:lang w:val="lt-LT"/>
        </w:rPr>
        <w:t xml:space="preserve"> ir elektros tinklais, gatvėmis, miesto erdvėmis ir pan.</w:t>
      </w:r>
      <w:r w:rsidR="00C937BC">
        <w:rPr>
          <w:rFonts w:ascii="Times New Roman" w:hAnsi="Times New Roman"/>
          <w:szCs w:val="22"/>
          <w:lang w:val="lt-LT"/>
        </w:rPr>
        <w:t>) p</w:t>
      </w:r>
      <w:r w:rsidR="00700226" w:rsidRPr="00650EE4">
        <w:rPr>
          <w:rFonts w:ascii="Times New Roman" w:hAnsi="Times New Roman"/>
          <w:szCs w:val="22"/>
          <w:lang w:val="lt-LT"/>
        </w:rPr>
        <w:t xml:space="preserve">astatų fondo </w:t>
      </w:r>
      <w:r w:rsidR="00B8506E" w:rsidRPr="00650EE4">
        <w:rPr>
          <w:rFonts w:ascii="Times New Roman" w:hAnsi="Times New Roman"/>
          <w:szCs w:val="22"/>
          <w:lang w:val="lt-LT"/>
        </w:rPr>
        <w:t>transformacijos</w:t>
      </w:r>
      <w:r w:rsidR="00700226" w:rsidRPr="00650EE4">
        <w:rPr>
          <w:rFonts w:ascii="Times New Roman" w:hAnsi="Times New Roman"/>
          <w:szCs w:val="22"/>
          <w:lang w:val="lt-LT"/>
        </w:rPr>
        <w:t xml:space="preserve">, </w:t>
      </w:r>
      <w:r w:rsidR="002C604A" w:rsidRPr="00650EE4">
        <w:rPr>
          <w:rFonts w:ascii="Times New Roman" w:hAnsi="Times New Roman"/>
          <w:szCs w:val="22"/>
          <w:lang w:val="lt-LT"/>
        </w:rPr>
        <w:t>tokiu būdu maksimizuojant ne tik energijos sutaupymus bet ir kitas esmines renovacijos naudas</w:t>
      </w:r>
      <w:r w:rsidR="00784AD9" w:rsidRPr="00650EE4">
        <w:rPr>
          <w:rFonts w:ascii="Times New Roman" w:hAnsi="Times New Roman"/>
          <w:szCs w:val="22"/>
          <w:lang w:val="lt-LT"/>
        </w:rPr>
        <w:t>.</w:t>
      </w:r>
    </w:p>
    <w:p w14:paraId="2177D3C4" w14:textId="77777777" w:rsidR="007246B9" w:rsidRDefault="002A12D2"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U</w:t>
      </w:r>
      <w:r w:rsidR="009B74D7" w:rsidRPr="00650EE4">
        <w:rPr>
          <w:rFonts w:ascii="Times New Roman" w:hAnsi="Times New Roman"/>
          <w:szCs w:val="22"/>
          <w:lang w:val="lt-LT"/>
        </w:rPr>
        <w:t>žtikrinti reikiamą</w:t>
      </w:r>
      <w:r w:rsidR="008E6DAF" w:rsidRPr="00650EE4">
        <w:rPr>
          <w:rFonts w:ascii="Times New Roman" w:hAnsi="Times New Roman"/>
          <w:szCs w:val="22"/>
          <w:lang w:val="lt-LT"/>
        </w:rPr>
        <w:t xml:space="preserve"> transformacijos tempą</w:t>
      </w:r>
      <w:r w:rsidR="009B74D7" w:rsidRPr="00650EE4">
        <w:rPr>
          <w:rFonts w:ascii="Times New Roman" w:hAnsi="Times New Roman"/>
          <w:szCs w:val="22"/>
          <w:lang w:val="lt-LT"/>
        </w:rPr>
        <w:t xml:space="preserve"> (apimtis), tuo pat metu neauk</w:t>
      </w:r>
      <w:r w:rsidR="00EA68ED" w:rsidRPr="00650EE4">
        <w:rPr>
          <w:rFonts w:ascii="Times New Roman" w:hAnsi="Times New Roman"/>
          <w:szCs w:val="22"/>
          <w:lang w:val="lt-LT"/>
        </w:rPr>
        <w:t xml:space="preserve">ojant nei </w:t>
      </w:r>
      <w:r w:rsidR="00F9450C" w:rsidRPr="00650EE4">
        <w:rPr>
          <w:rFonts w:ascii="Times New Roman" w:hAnsi="Times New Roman"/>
          <w:szCs w:val="22"/>
          <w:lang w:val="lt-LT"/>
        </w:rPr>
        <w:t xml:space="preserve">renovacijos </w:t>
      </w:r>
      <w:r w:rsidR="00EA68ED" w:rsidRPr="00650EE4">
        <w:rPr>
          <w:rFonts w:ascii="Times New Roman" w:hAnsi="Times New Roman"/>
          <w:szCs w:val="22"/>
          <w:lang w:val="lt-LT"/>
        </w:rPr>
        <w:t>gylio, nei kokybės</w:t>
      </w:r>
      <w:r w:rsidR="004370F5" w:rsidRPr="00650EE4">
        <w:rPr>
          <w:rFonts w:ascii="Times New Roman" w:hAnsi="Times New Roman"/>
          <w:szCs w:val="22"/>
          <w:lang w:val="lt-LT"/>
        </w:rPr>
        <w:t>,</w:t>
      </w:r>
      <w:r w:rsidR="00EA68ED" w:rsidRPr="00650EE4">
        <w:rPr>
          <w:rFonts w:ascii="Times New Roman" w:hAnsi="Times New Roman"/>
          <w:szCs w:val="22"/>
          <w:lang w:val="lt-LT"/>
        </w:rPr>
        <w:t xml:space="preserve"> nei</w:t>
      </w:r>
      <w:r w:rsidR="009B74D7" w:rsidRPr="00650EE4">
        <w:rPr>
          <w:rFonts w:ascii="Times New Roman" w:hAnsi="Times New Roman"/>
          <w:szCs w:val="22"/>
          <w:lang w:val="lt-LT"/>
        </w:rPr>
        <w:t xml:space="preserve"> transformacijos tvarumo.</w:t>
      </w:r>
    </w:p>
    <w:p w14:paraId="04482663" w14:textId="3AA884CE" w:rsidR="00F50651" w:rsidRPr="007246B9" w:rsidRDefault="007246B9" w:rsidP="007246B9">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Užtikrinti iškastinį kurą naudojančių gamybos šaltinių pakeitimą.</w:t>
      </w:r>
      <w:r w:rsidR="009B74D7" w:rsidRPr="007246B9">
        <w:rPr>
          <w:rFonts w:ascii="Times New Roman" w:hAnsi="Times New Roman"/>
          <w:szCs w:val="22"/>
          <w:lang w:val="lt-LT"/>
        </w:rPr>
        <w:t xml:space="preserve"> </w:t>
      </w:r>
    </w:p>
    <w:p w14:paraId="7F45166A" w14:textId="5F3941FB" w:rsidR="00AE728C" w:rsidRPr="00650EE4" w:rsidRDefault="000D5202" w:rsidP="00FC5A03">
      <w:pPr>
        <w:spacing w:after="120" w:line="240" w:lineRule="auto"/>
        <w:jc w:val="both"/>
        <w:rPr>
          <w:rFonts w:ascii="Times New Roman" w:hAnsi="Times New Roman"/>
          <w:szCs w:val="22"/>
        </w:rPr>
      </w:pPr>
      <w:r w:rsidRPr="00650EE4">
        <w:rPr>
          <w:rFonts w:ascii="Times New Roman" w:hAnsi="Times New Roman"/>
          <w:szCs w:val="22"/>
        </w:rPr>
        <w:t>Pagrindiniai r</w:t>
      </w:r>
      <w:r w:rsidR="00FC5A03" w:rsidRPr="00650EE4">
        <w:rPr>
          <w:rFonts w:ascii="Times New Roman" w:hAnsi="Times New Roman"/>
          <w:szCs w:val="22"/>
        </w:rPr>
        <w:t>enovacijos priemonių paketo elementai</w:t>
      </w:r>
      <w:r w:rsidR="00AE728C" w:rsidRPr="00650EE4">
        <w:rPr>
          <w:rFonts w:ascii="Times New Roman" w:hAnsi="Times New Roman"/>
          <w:szCs w:val="22"/>
        </w:rPr>
        <w:t>:</w:t>
      </w:r>
    </w:p>
    <w:p w14:paraId="021F1264" w14:textId="10C27068" w:rsidR="00FB552A" w:rsidRDefault="00322A76"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Iki B/A energinio naudingumo klasės p</w:t>
      </w:r>
      <w:r w:rsidR="002C72E8" w:rsidRPr="00650EE4">
        <w:rPr>
          <w:rFonts w:ascii="Times New Roman" w:hAnsi="Times New Roman"/>
          <w:szCs w:val="22"/>
          <w:lang w:val="lt-LT"/>
        </w:rPr>
        <w:t>adidinti energinio efektyvumo reikalavimai (</w:t>
      </w:r>
      <w:r w:rsidRPr="00650EE4">
        <w:rPr>
          <w:rFonts w:ascii="Times New Roman" w:hAnsi="Times New Roman"/>
          <w:szCs w:val="22"/>
          <w:lang w:val="lt-LT"/>
        </w:rPr>
        <w:t xml:space="preserve">transformacijos </w:t>
      </w:r>
      <w:r w:rsidR="002C72E8" w:rsidRPr="00650EE4">
        <w:rPr>
          <w:rFonts w:ascii="Times New Roman" w:hAnsi="Times New Roman"/>
          <w:szCs w:val="22"/>
          <w:lang w:val="lt-LT"/>
        </w:rPr>
        <w:t>gylis)</w:t>
      </w:r>
      <w:r w:rsidRPr="00650EE4">
        <w:rPr>
          <w:rFonts w:ascii="Times New Roman" w:hAnsi="Times New Roman"/>
          <w:szCs w:val="22"/>
          <w:lang w:val="lt-LT"/>
        </w:rPr>
        <w:t>.</w:t>
      </w:r>
    </w:p>
    <w:p w14:paraId="6DFB9C30" w14:textId="0D2D94AE" w:rsidR="007246B9" w:rsidRPr="007246B9" w:rsidRDefault="007246B9" w:rsidP="007246B9">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BF50C7">
        <w:rPr>
          <w:rFonts w:ascii="Times New Roman" w:hAnsi="Times New Roman"/>
          <w:szCs w:val="22"/>
          <w:lang w:val="lt-LT"/>
        </w:rPr>
        <w:t>Nulinių CO</w:t>
      </w:r>
      <w:r w:rsidRPr="00745ABB">
        <w:rPr>
          <w:rFonts w:ascii="Times New Roman" w:hAnsi="Times New Roman"/>
          <w:szCs w:val="22"/>
          <w:vertAlign w:val="subscript"/>
          <w:lang w:val="lt-LT"/>
        </w:rPr>
        <w:t>2</w:t>
      </w:r>
      <w:r w:rsidRPr="00BF50C7">
        <w:rPr>
          <w:rFonts w:ascii="Times New Roman" w:hAnsi="Times New Roman"/>
          <w:szCs w:val="22"/>
          <w:lang w:val="lt-LT"/>
        </w:rPr>
        <w:t xml:space="preserve"> emisijų siekis </w:t>
      </w:r>
      <w:r>
        <w:rPr>
          <w:rFonts w:ascii="Times New Roman" w:hAnsi="Times New Roman"/>
          <w:szCs w:val="22"/>
          <w:lang w:val="lt-LT"/>
        </w:rPr>
        <w:t>(iškastinį kurą naudojančių gamybos šaltinių atsisakymas).</w:t>
      </w:r>
    </w:p>
    <w:p w14:paraId="7D113588" w14:textId="7BF3A7D8" w:rsidR="00FB552A" w:rsidRPr="00650EE4" w:rsidRDefault="00B8506E"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Prioretizuota</w:t>
      </w:r>
      <w:r w:rsidR="00FC5A03" w:rsidRPr="00650EE4">
        <w:rPr>
          <w:rFonts w:ascii="Times New Roman" w:hAnsi="Times New Roman"/>
          <w:szCs w:val="22"/>
          <w:lang w:val="lt-LT"/>
        </w:rPr>
        <w:t xml:space="preserve"> </w:t>
      </w:r>
      <w:proofErr w:type="spellStart"/>
      <w:r w:rsidR="00FC5A03" w:rsidRPr="00650EE4">
        <w:rPr>
          <w:rFonts w:ascii="Times New Roman" w:hAnsi="Times New Roman"/>
          <w:szCs w:val="22"/>
          <w:lang w:val="lt-LT"/>
        </w:rPr>
        <w:t>kvartalinė</w:t>
      </w:r>
      <w:proofErr w:type="spellEnd"/>
      <w:r w:rsidR="00322A76" w:rsidRPr="00650EE4">
        <w:rPr>
          <w:rFonts w:ascii="Times New Roman" w:hAnsi="Times New Roman"/>
          <w:szCs w:val="22"/>
          <w:lang w:val="lt-LT"/>
        </w:rPr>
        <w:t xml:space="preserve"> renovacija (integracija su susijusia infrastruktūra, </w:t>
      </w:r>
      <w:r w:rsidR="000C5E07" w:rsidRPr="00650EE4">
        <w:rPr>
          <w:rFonts w:ascii="Times New Roman" w:hAnsi="Times New Roman"/>
          <w:szCs w:val="22"/>
          <w:lang w:val="lt-LT"/>
        </w:rPr>
        <w:t>transformacijos tempai</w:t>
      </w:r>
      <w:r w:rsidR="002C72E8" w:rsidRPr="00650EE4">
        <w:rPr>
          <w:rFonts w:ascii="Times New Roman" w:hAnsi="Times New Roman"/>
          <w:szCs w:val="22"/>
          <w:lang w:val="lt-LT"/>
        </w:rPr>
        <w:t>, masto ekonomija)</w:t>
      </w:r>
      <w:r w:rsidR="000C5E07" w:rsidRPr="00650EE4">
        <w:rPr>
          <w:rFonts w:ascii="Times New Roman" w:hAnsi="Times New Roman"/>
          <w:szCs w:val="22"/>
          <w:lang w:val="lt-LT"/>
        </w:rPr>
        <w:t>.</w:t>
      </w:r>
    </w:p>
    <w:p w14:paraId="183F8CE2" w14:textId="62D2B70F" w:rsidR="00FB552A" w:rsidRPr="00650EE4" w:rsidRDefault="00FC5A03"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N</w:t>
      </w:r>
      <w:r w:rsidR="007F3DC8" w:rsidRPr="00650EE4">
        <w:rPr>
          <w:rFonts w:ascii="Times New Roman" w:hAnsi="Times New Roman"/>
          <w:szCs w:val="22"/>
          <w:lang w:val="lt-LT"/>
        </w:rPr>
        <w:t>umatyta</w:t>
      </w:r>
      <w:r w:rsidRPr="00650EE4">
        <w:rPr>
          <w:rFonts w:ascii="Times New Roman" w:hAnsi="Times New Roman"/>
          <w:szCs w:val="22"/>
          <w:lang w:val="lt-LT"/>
        </w:rPr>
        <w:t xml:space="preserve"> d</w:t>
      </w:r>
      <w:r w:rsidR="007F3DC8" w:rsidRPr="00650EE4">
        <w:rPr>
          <w:rFonts w:ascii="Times New Roman" w:hAnsi="Times New Roman"/>
          <w:szCs w:val="22"/>
          <w:lang w:val="lt-LT"/>
        </w:rPr>
        <w:t>alinės renovacijos galimybė</w:t>
      </w:r>
      <w:r w:rsidR="000C5E07" w:rsidRPr="00650EE4">
        <w:rPr>
          <w:rFonts w:ascii="Times New Roman" w:hAnsi="Times New Roman"/>
          <w:szCs w:val="22"/>
          <w:lang w:val="lt-LT"/>
        </w:rPr>
        <w:t xml:space="preserve"> (</w:t>
      </w:r>
      <w:r w:rsidR="002C72E8" w:rsidRPr="00650EE4">
        <w:rPr>
          <w:rFonts w:ascii="Times New Roman" w:hAnsi="Times New Roman"/>
          <w:szCs w:val="22"/>
          <w:lang w:val="lt-LT"/>
        </w:rPr>
        <w:t>lankstumas, orientacija į vartotoją)</w:t>
      </w:r>
      <w:r w:rsidR="000C5E07" w:rsidRPr="00650EE4">
        <w:rPr>
          <w:rFonts w:ascii="Times New Roman" w:hAnsi="Times New Roman"/>
          <w:szCs w:val="22"/>
          <w:lang w:val="lt-LT"/>
        </w:rPr>
        <w:t>.</w:t>
      </w:r>
    </w:p>
    <w:p w14:paraId="590C88DA" w14:textId="558B0306" w:rsidR="00FB552A" w:rsidRPr="00650EE4" w:rsidRDefault="007F3DC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w:t>
      </w:r>
      <w:r w:rsidR="002C72E8" w:rsidRPr="00650EE4">
        <w:rPr>
          <w:rFonts w:ascii="Times New Roman" w:hAnsi="Times New Roman"/>
          <w:szCs w:val="22"/>
          <w:lang w:val="lt-LT"/>
        </w:rPr>
        <w:t>rojektų agregavimas (</w:t>
      </w:r>
      <w:r w:rsidR="000C5E07" w:rsidRPr="00650EE4">
        <w:rPr>
          <w:rFonts w:ascii="Times New Roman" w:hAnsi="Times New Roman"/>
          <w:szCs w:val="22"/>
          <w:lang w:val="lt-LT"/>
        </w:rPr>
        <w:t>transformacijos tempai</w:t>
      </w:r>
      <w:r w:rsidR="002C72E8" w:rsidRPr="00650EE4">
        <w:rPr>
          <w:rFonts w:ascii="Times New Roman" w:hAnsi="Times New Roman"/>
          <w:szCs w:val="22"/>
          <w:lang w:val="lt-LT"/>
        </w:rPr>
        <w:t xml:space="preserve">, </w:t>
      </w:r>
      <w:r w:rsidR="000C5E07" w:rsidRPr="00650EE4">
        <w:rPr>
          <w:rFonts w:ascii="Times New Roman" w:hAnsi="Times New Roman"/>
          <w:szCs w:val="22"/>
          <w:lang w:val="lt-LT"/>
        </w:rPr>
        <w:t xml:space="preserve">masto ekonomija, finansavimo sprendimai). </w:t>
      </w:r>
    </w:p>
    <w:p w14:paraId="50EAE95D" w14:textId="445E976D" w:rsidR="00FB552A" w:rsidRPr="00650EE4" w:rsidRDefault="002C72E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Statybos industr</w:t>
      </w:r>
      <w:r w:rsidR="000C5E07" w:rsidRPr="00650EE4">
        <w:rPr>
          <w:rFonts w:ascii="Times New Roman" w:hAnsi="Times New Roman"/>
          <w:szCs w:val="22"/>
          <w:lang w:val="lt-LT"/>
        </w:rPr>
        <w:t>ializacija, „statyba fabrike“ (transformacijos tempai</w:t>
      </w:r>
      <w:r w:rsidRPr="00650EE4">
        <w:rPr>
          <w:rFonts w:ascii="Times New Roman" w:hAnsi="Times New Roman"/>
          <w:szCs w:val="22"/>
          <w:lang w:val="lt-LT"/>
        </w:rPr>
        <w:t xml:space="preserve">, </w:t>
      </w:r>
      <w:r w:rsidR="000C5E07" w:rsidRPr="00650EE4">
        <w:rPr>
          <w:rFonts w:ascii="Times New Roman" w:hAnsi="Times New Roman"/>
          <w:szCs w:val="22"/>
          <w:lang w:val="lt-LT"/>
        </w:rPr>
        <w:t xml:space="preserve">masto ekonomija, </w:t>
      </w:r>
      <w:r w:rsidRPr="00650EE4">
        <w:rPr>
          <w:rFonts w:ascii="Times New Roman" w:hAnsi="Times New Roman"/>
          <w:szCs w:val="22"/>
          <w:lang w:val="lt-LT"/>
        </w:rPr>
        <w:t>kokybė</w:t>
      </w:r>
      <w:r w:rsidR="000C5E07" w:rsidRPr="00650EE4">
        <w:rPr>
          <w:rFonts w:ascii="Times New Roman" w:hAnsi="Times New Roman"/>
          <w:szCs w:val="22"/>
          <w:lang w:val="lt-LT"/>
        </w:rPr>
        <w:t>s užtikrinimas</w:t>
      </w:r>
      <w:r w:rsidR="008F709D" w:rsidRPr="00650EE4">
        <w:rPr>
          <w:rFonts w:ascii="Times New Roman" w:hAnsi="Times New Roman"/>
          <w:szCs w:val="22"/>
          <w:lang w:val="lt-LT"/>
        </w:rPr>
        <w:t>, išmanios technologijos).</w:t>
      </w:r>
    </w:p>
    <w:p w14:paraId="4298FCFE" w14:textId="1F0604AD" w:rsidR="00AE728C" w:rsidRPr="00650EE4" w:rsidRDefault="00AA1510"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T</w:t>
      </w:r>
      <w:r w:rsidR="008F709D" w:rsidRPr="00650EE4">
        <w:rPr>
          <w:rFonts w:ascii="Times New Roman" w:hAnsi="Times New Roman"/>
          <w:szCs w:val="22"/>
          <w:lang w:val="lt-LT"/>
        </w:rPr>
        <w:t xml:space="preserve">ransformacijos tvarumą </w:t>
      </w:r>
      <w:r w:rsidRPr="00650EE4">
        <w:rPr>
          <w:rFonts w:ascii="Times New Roman" w:hAnsi="Times New Roman"/>
          <w:szCs w:val="22"/>
          <w:lang w:val="lt-LT"/>
        </w:rPr>
        <w:t>užtikrinantys</w:t>
      </w:r>
      <w:r w:rsidR="008F709D" w:rsidRPr="00650EE4">
        <w:rPr>
          <w:rFonts w:ascii="Times New Roman" w:hAnsi="Times New Roman"/>
          <w:szCs w:val="22"/>
          <w:lang w:val="lt-LT"/>
        </w:rPr>
        <w:t xml:space="preserve"> </w:t>
      </w:r>
      <w:r w:rsidR="007E178E" w:rsidRPr="00650EE4">
        <w:rPr>
          <w:rFonts w:ascii="Times New Roman" w:hAnsi="Times New Roman"/>
          <w:szCs w:val="22"/>
          <w:lang w:val="lt-LT"/>
        </w:rPr>
        <w:t>žiedinės ekonomikos principus įgyvendinantys sprendimai</w:t>
      </w:r>
      <w:r w:rsidR="008F709D" w:rsidRPr="00650EE4">
        <w:rPr>
          <w:rFonts w:ascii="Times New Roman" w:hAnsi="Times New Roman"/>
          <w:szCs w:val="22"/>
          <w:lang w:val="lt-LT"/>
        </w:rPr>
        <w:t>.</w:t>
      </w:r>
    </w:p>
    <w:p w14:paraId="3E036068" w14:textId="77777777" w:rsidR="00442C49" w:rsidRPr="00650EE4" w:rsidRDefault="0084304C" w:rsidP="0099482E">
      <w:pPr>
        <w:spacing w:before="240" w:after="120"/>
        <w:jc w:val="both"/>
        <w:rPr>
          <w:rFonts w:ascii="Times New Roman" w:hAnsi="Times New Roman"/>
          <w:szCs w:val="22"/>
        </w:rPr>
      </w:pPr>
      <w:r w:rsidRPr="00650EE4">
        <w:rPr>
          <w:rFonts w:ascii="Times New Roman" w:hAnsi="Times New Roman"/>
          <w:b/>
          <w:bCs/>
          <w:szCs w:val="22"/>
        </w:rPr>
        <w:t xml:space="preserve">3. </w:t>
      </w:r>
      <w:r w:rsidR="00F50651" w:rsidRPr="00650EE4">
        <w:rPr>
          <w:rFonts w:ascii="Times New Roman" w:hAnsi="Times New Roman"/>
          <w:b/>
          <w:bCs/>
          <w:szCs w:val="22"/>
        </w:rPr>
        <w:t>Pakankamas finansavimas</w:t>
      </w:r>
      <w:r w:rsidRPr="00650EE4">
        <w:rPr>
          <w:rFonts w:ascii="Times New Roman" w:hAnsi="Times New Roman"/>
          <w:b/>
          <w:bCs/>
          <w:szCs w:val="22"/>
        </w:rPr>
        <w:t xml:space="preserve">. </w:t>
      </w:r>
      <w:r w:rsidR="004370F5" w:rsidRPr="00650EE4">
        <w:rPr>
          <w:rFonts w:ascii="Times New Roman" w:hAnsi="Times New Roman"/>
          <w:szCs w:val="22"/>
        </w:rPr>
        <w:t>Kartu su paramos priemonėmis</w:t>
      </w:r>
      <w:r w:rsidR="00442C49" w:rsidRPr="00650EE4">
        <w:rPr>
          <w:rFonts w:ascii="Times New Roman" w:hAnsi="Times New Roman"/>
          <w:color w:val="000000" w:themeColor="text1"/>
          <w:szCs w:val="22"/>
        </w:rPr>
        <w:t xml:space="preserve"> turi egzistuoti finansavimo sprendimai visam reikalingam savininko finansiniam srautui per renovacijos laikotarpį</w:t>
      </w:r>
      <w:r w:rsidR="004370F5" w:rsidRPr="00650EE4">
        <w:rPr>
          <w:rFonts w:ascii="Times New Roman" w:hAnsi="Times New Roman"/>
          <w:szCs w:val="22"/>
        </w:rPr>
        <w:t xml:space="preserve">, kad pastatų savininkai galėtų ir norėtų investuoti į renovaciją. </w:t>
      </w:r>
    </w:p>
    <w:p w14:paraId="3EBF60BD" w14:textId="4D3AB25A" w:rsidR="00CD6BF3" w:rsidRPr="00650EE4" w:rsidRDefault="00CD6BF3" w:rsidP="00CD6BF3">
      <w:pPr>
        <w:spacing w:after="120"/>
        <w:jc w:val="both"/>
        <w:rPr>
          <w:rFonts w:ascii="Times New Roman" w:hAnsi="Times New Roman"/>
          <w:szCs w:val="22"/>
        </w:rPr>
      </w:pPr>
      <w:r w:rsidRPr="00650EE4">
        <w:rPr>
          <w:rFonts w:ascii="Times New Roman" w:hAnsi="Times New Roman"/>
          <w:color w:val="000000" w:themeColor="text1"/>
          <w:szCs w:val="22"/>
        </w:rPr>
        <w:t xml:space="preserve">Siekiamas renovacijos proveržis pareikalaus reikšmingai didesnių investicijų. </w:t>
      </w:r>
      <w:r w:rsidRPr="00650EE4">
        <w:rPr>
          <w:rFonts w:ascii="Times New Roman" w:eastAsia="Times New Roman" w:hAnsi="Times New Roman"/>
          <w:szCs w:val="22"/>
          <w:lang w:eastAsia="lt-LT"/>
        </w:rPr>
        <w:t xml:space="preserve">Preliminariais skaičiavimais, siekiant nustatytų IRS tarpinių tikslų, iki </w:t>
      </w:r>
      <w:r>
        <w:rPr>
          <w:rFonts w:ascii="Times New Roman" w:eastAsia="Times New Roman" w:hAnsi="Times New Roman"/>
          <w:szCs w:val="22"/>
          <w:lang w:eastAsia="lt-LT"/>
        </w:rPr>
        <w:t>2030 m</w:t>
      </w:r>
      <w:r w:rsidRPr="00650EE4">
        <w:rPr>
          <w:rFonts w:ascii="Times New Roman" w:eastAsia="Times New Roman" w:hAnsi="Times New Roman"/>
          <w:szCs w:val="22"/>
          <w:lang w:eastAsia="lt-LT"/>
        </w:rPr>
        <w:t xml:space="preserve">. </w:t>
      </w:r>
      <w:r>
        <w:rPr>
          <w:rFonts w:ascii="Times New Roman" w:eastAsia="Times New Roman" w:hAnsi="Times New Roman"/>
          <w:szCs w:val="22"/>
          <w:lang w:eastAsia="lt-LT"/>
        </w:rPr>
        <w:t xml:space="preserve">į pastatų fondo atnaujinimą </w:t>
      </w:r>
      <w:r w:rsidRPr="00650EE4">
        <w:rPr>
          <w:rFonts w:ascii="Times New Roman" w:eastAsia="Times New Roman" w:hAnsi="Times New Roman"/>
          <w:szCs w:val="22"/>
          <w:lang w:eastAsia="lt-LT"/>
        </w:rPr>
        <w:t xml:space="preserve">reikės investuoti vidutiniškai </w:t>
      </w:r>
      <w:r>
        <w:rPr>
          <w:rFonts w:ascii="Times New Roman" w:eastAsia="Times New Roman" w:hAnsi="Times New Roman"/>
          <w:szCs w:val="22"/>
          <w:lang w:eastAsia="lt-LT"/>
        </w:rPr>
        <w:t>po 1,1</w:t>
      </w:r>
      <w:r w:rsidRPr="00650EE4">
        <w:rPr>
          <w:rFonts w:ascii="Times New Roman" w:eastAsia="Times New Roman" w:hAnsi="Times New Roman"/>
          <w:szCs w:val="22"/>
          <w:lang w:eastAsia="lt-LT"/>
        </w:rPr>
        <w:t xml:space="preserve"> ml</w:t>
      </w:r>
      <w:r>
        <w:rPr>
          <w:rFonts w:ascii="Times New Roman" w:eastAsia="Times New Roman" w:hAnsi="Times New Roman"/>
          <w:szCs w:val="22"/>
          <w:lang w:eastAsia="lt-LT"/>
        </w:rPr>
        <w:t>rd</w:t>
      </w:r>
      <w:r w:rsidRPr="00650EE4">
        <w:rPr>
          <w:rFonts w:ascii="Times New Roman" w:eastAsia="Times New Roman" w:hAnsi="Times New Roman"/>
          <w:szCs w:val="22"/>
          <w:lang w:eastAsia="lt-LT"/>
        </w:rPr>
        <w:t xml:space="preserve">. </w:t>
      </w:r>
      <w:proofErr w:type="spellStart"/>
      <w:r w:rsidRPr="00650EE4">
        <w:rPr>
          <w:rFonts w:ascii="Times New Roman" w:eastAsia="Times New Roman" w:hAnsi="Times New Roman"/>
          <w:szCs w:val="22"/>
          <w:lang w:eastAsia="lt-LT"/>
        </w:rPr>
        <w:t>Eur</w:t>
      </w:r>
      <w:proofErr w:type="spellEnd"/>
      <w:r w:rsidRPr="00650EE4">
        <w:rPr>
          <w:rFonts w:ascii="Times New Roman" w:eastAsia="Times New Roman" w:hAnsi="Times New Roman"/>
          <w:szCs w:val="22"/>
          <w:lang w:eastAsia="lt-LT"/>
        </w:rPr>
        <w:t xml:space="preserve"> per metus, vėlesniais laikotarpiais investicijų poreikis augs ik</w:t>
      </w:r>
      <w:r w:rsidR="007246B9">
        <w:rPr>
          <w:rFonts w:ascii="Times New Roman" w:eastAsia="Times New Roman" w:hAnsi="Times New Roman"/>
          <w:szCs w:val="22"/>
          <w:lang w:eastAsia="lt-LT"/>
        </w:rPr>
        <w:t>i 3</w:t>
      </w:r>
      <w:r>
        <w:rPr>
          <w:rFonts w:ascii="Times New Roman" w:eastAsia="Times New Roman" w:hAnsi="Times New Roman"/>
          <w:szCs w:val="22"/>
          <w:lang w:eastAsia="lt-LT"/>
        </w:rPr>
        <w:t xml:space="preserve"> mlrd. </w:t>
      </w:r>
      <w:proofErr w:type="spellStart"/>
      <w:r>
        <w:rPr>
          <w:rFonts w:ascii="Times New Roman" w:eastAsia="Times New Roman" w:hAnsi="Times New Roman"/>
          <w:szCs w:val="22"/>
          <w:lang w:eastAsia="lt-LT"/>
        </w:rPr>
        <w:t>Eur</w:t>
      </w:r>
      <w:proofErr w:type="spellEnd"/>
      <w:r>
        <w:rPr>
          <w:rFonts w:ascii="Times New Roman" w:eastAsia="Times New Roman" w:hAnsi="Times New Roman"/>
          <w:szCs w:val="22"/>
          <w:lang w:eastAsia="lt-LT"/>
        </w:rPr>
        <w:t xml:space="preserve"> </w:t>
      </w:r>
      <w:r w:rsidR="007246B9">
        <w:rPr>
          <w:rFonts w:ascii="Times New Roman" w:eastAsia="Times New Roman" w:hAnsi="Times New Roman"/>
          <w:szCs w:val="22"/>
          <w:lang w:val="en-GB" w:eastAsia="lt-LT"/>
        </w:rPr>
        <w:t xml:space="preserve">2050 </w:t>
      </w:r>
      <w:proofErr w:type="spellStart"/>
      <w:r w:rsidR="007246B9">
        <w:rPr>
          <w:rFonts w:ascii="Times New Roman" w:eastAsia="Times New Roman" w:hAnsi="Times New Roman"/>
          <w:szCs w:val="22"/>
          <w:lang w:val="en-GB" w:eastAsia="lt-LT"/>
        </w:rPr>
        <w:t>metais</w:t>
      </w:r>
      <w:proofErr w:type="spellEnd"/>
      <w:r>
        <w:rPr>
          <w:rFonts w:ascii="Times New Roman" w:eastAsia="Times New Roman" w:hAnsi="Times New Roman"/>
          <w:szCs w:val="22"/>
          <w:lang w:eastAsia="lt-LT"/>
        </w:rPr>
        <w:t>.</w:t>
      </w:r>
    </w:p>
    <w:p w14:paraId="7D67C230" w14:textId="6C186044" w:rsidR="00442C49" w:rsidRPr="00650EE4" w:rsidRDefault="005325FE" w:rsidP="000D5202">
      <w:pPr>
        <w:spacing w:after="120"/>
        <w:jc w:val="both"/>
        <w:rPr>
          <w:rFonts w:ascii="Times New Roman" w:hAnsi="Times New Roman"/>
          <w:szCs w:val="22"/>
        </w:rPr>
      </w:pPr>
      <w:r w:rsidRPr="00650EE4">
        <w:rPr>
          <w:rFonts w:ascii="Times New Roman" w:hAnsi="Times New Roman"/>
          <w:szCs w:val="22"/>
        </w:rPr>
        <w:t>Atitinkamai f</w:t>
      </w:r>
      <w:r w:rsidR="00442C49" w:rsidRPr="00650EE4">
        <w:rPr>
          <w:rFonts w:ascii="Times New Roman" w:hAnsi="Times New Roman"/>
          <w:szCs w:val="22"/>
        </w:rPr>
        <w:t xml:space="preserve">inansavimo užtikrinimas turi spręsti du pagrindinius klausimus: </w:t>
      </w:r>
    </w:p>
    <w:p w14:paraId="3CA3E4A8" w14:textId="50EAABEA" w:rsidR="00442C49" w:rsidRPr="00650EE4" w:rsidRDefault="001358F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1358F8">
        <w:rPr>
          <w:rFonts w:ascii="Times New Roman" w:hAnsi="Times New Roman"/>
          <w:b/>
          <w:szCs w:val="22"/>
          <w:lang w:val="lt-LT"/>
        </w:rPr>
        <w:t>Lėšų valstybės finansuojamai daliai (subsidijoms) užtikrinimas.</w:t>
      </w:r>
      <w:r>
        <w:rPr>
          <w:rFonts w:ascii="Times New Roman" w:hAnsi="Times New Roman"/>
          <w:szCs w:val="22"/>
          <w:lang w:val="lt-LT"/>
        </w:rPr>
        <w:t xml:space="preserve"> </w:t>
      </w:r>
      <w:r w:rsidR="00442C49" w:rsidRPr="00650EE4">
        <w:rPr>
          <w:rFonts w:ascii="Times New Roman" w:hAnsi="Times New Roman"/>
          <w:color w:val="000000" w:themeColor="text1"/>
          <w:szCs w:val="22"/>
          <w:lang w:val="lt-LT"/>
        </w:rPr>
        <w:t xml:space="preserve">Dabartiniai šaltiniai iki 2030 m. taps nepakankami, todėl jau dabar turi būti pradėta naujų šaltinių paieška, </w:t>
      </w:r>
      <w:r w:rsidR="00442C49" w:rsidRPr="00650EE4">
        <w:rPr>
          <w:rFonts w:ascii="Times New Roman" w:eastAsia="Times New Roman" w:hAnsi="Times New Roman"/>
          <w:szCs w:val="22"/>
          <w:lang w:val="lt-LT" w:eastAsia="lt-LT"/>
        </w:rPr>
        <w:t>visų pirma siekiant pasinaudoti Europos sąjungos fondais (pvz., įtraukinat renovaciją į 2021-2027 laikotarpio programas) ir planuojamomis iniciatyvomis (pvz., Europos žaliojo kurso investicijų planu).</w:t>
      </w:r>
    </w:p>
    <w:p w14:paraId="714CA3D5" w14:textId="2AD7A193" w:rsidR="00442C49" w:rsidRDefault="001358F8" w:rsidP="00BD4925">
      <w:pPr>
        <w:numPr>
          <w:ilvl w:val="0"/>
          <w:numId w:val="45"/>
        </w:numPr>
        <w:spacing w:line="240" w:lineRule="auto"/>
        <w:ind w:left="714" w:hanging="357"/>
        <w:jc w:val="both"/>
        <w:rPr>
          <w:rFonts w:ascii="Times New Roman" w:hAnsi="Times New Roman"/>
          <w:szCs w:val="22"/>
        </w:rPr>
      </w:pPr>
      <w:r>
        <w:rPr>
          <w:rFonts w:ascii="Times New Roman" w:eastAsia="Times New Roman" w:hAnsi="Times New Roman"/>
          <w:b/>
          <w:szCs w:val="22"/>
          <w:lang w:eastAsia="lt-LT"/>
        </w:rPr>
        <w:t>Pastatų savininkų</w:t>
      </w:r>
      <w:r w:rsidRPr="00852A79">
        <w:rPr>
          <w:rFonts w:ascii="Times New Roman" w:eastAsia="Times New Roman" w:hAnsi="Times New Roman"/>
          <w:b/>
          <w:szCs w:val="22"/>
          <w:lang w:eastAsia="lt-LT"/>
        </w:rPr>
        <w:t xml:space="preserve"> investicijų f</w:t>
      </w:r>
      <w:r w:rsidRPr="00852A79">
        <w:rPr>
          <w:rFonts w:ascii="Times New Roman" w:hAnsi="Times New Roman"/>
          <w:b/>
          <w:bCs/>
          <w:szCs w:val="22"/>
        </w:rPr>
        <w:t xml:space="preserve">inansavimo </w:t>
      </w:r>
      <w:r>
        <w:rPr>
          <w:rFonts w:ascii="Times New Roman" w:hAnsi="Times New Roman"/>
          <w:b/>
          <w:bCs/>
          <w:szCs w:val="22"/>
        </w:rPr>
        <w:t>sprendimų parengimas</w:t>
      </w:r>
      <w:r>
        <w:rPr>
          <w:rFonts w:ascii="Times New Roman" w:hAnsi="Times New Roman"/>
          <w:szCs w:val="22"/>
        </w:rPr>
        <w:t xml:space="preserve">. Prognozuojamas reikšmingas  savininko investicijų finansavimo poreikio augimas, tikėtina negalės būti patenkintas egzistuojančiais finansavimo sprendimais. </w:t>
      </w:r>
      <w:r>
        <w:rPr>
          <w:rFonts w:ascii="Times New Roman" w:hAnsi="Times New Roman"/>
          <w:color w:val="000000" w:themeColor="text1"/>
          <w:szCs w:val="22"/>
        </w:rPr>
        <w:t>Atitinkamai</w:t>
      </w:r>
      <w:r w:rsidRPr="00D12CB4">
        <w:rPr>
          <w:rFonts w:ascii="Times New Roman" w:hAnsi="Times New Roman"/>
          <w:color w:val="000000" w:themeColor="text1"/>
          <w:szCs w:val="22"/>
        </w:rPr>
        <w:t>, didelę svarbą finansavimo užtikrinimui įgyja gebėjimas sukurti ir pasiūlyti rinkai finansinius instrumentus, turinčius didelį sverto efektą</w:t>
      </w:r>
      <w:r w:rsidRPr="00852A79">
        <w:rPr>
          <w:rFonts w:ascii="Times New Roman" w:hAnsi="Times New Roman"/>
          <w:color w:val="000000" w:themeColor="text1"/>
          <w:szCs w:val="22"/>
          <w:vertAlign w:val="superscript"/>
        </w:rPr>
        <w:footnoteReference w:id="1"/>
      </w:r>
      <w:r w:rsidRPr="00852A79">
        <w:rPr>
          <w:rFonts w:ascii="Times New Roman" w:hAnsi="Times New Roman"/>
          <w:color w:val="000000" w:themeColor="text1"/>
          <w:szCs w:val="22"/>
          <w:vertAlign w:val="superscript"/>
        </w:rPr>
        <w:t xml:space="preserve"> </w:t>
      </w:r>
      <w:r w:rsidRPr="00D12CB4">
        <w:rPr>
          <w:rFonts w:ascii="Times New Roman" w:hAnsi="Times New Roman"/>
          <w:color w:val="000000" w:themeColor="text1"/>
          <w:szCs w:val="22"/>
        </w:rPr>
        <w:t>ir įtraukiančius privačias, pensijų fondų, tarptautinių finansinių institucijų lėšas</w:t>
      </w:r>
      <w:r w:rsidR="009936C8" w:rsidRPr="001358F8">
        <w:rPr>
          <w:rFonts w:ascii="Times New Roman" w:hAnsi="Times New Roman"/>
          <w:szCs w:val="22"/>
        </w:rPr>
        <w:t>.</w:t>
      </w:r>
    </w:p>
    <w:p w14:paraId="2D5E5733" w14:textId="77777777" w:rsidR="001358F8" w:rsidRPr="001358F8" w:rsidRDefault="001358F8" w:rsidP="001358F8">
      <w:pPr>
        <w:spacing w:line="240" w:lineRule="auto"/>
        <w:ind w:left="714"/>
        <w:jc w:val="both"/>
        <w:rPr>
          <w:rFonts w:ascii="Times New Roman" w:hAnsi="Times New Roman"/>
          <w:szCs w:val="22"/>
        </w:rPr>
      </w:pPr>
    </w:p>
    <w:p w14:paraId="314CEFAB" w14:textId="44EE2DF3" w:rsidR="00713AD4" w:rsidRPr="00650EE4" w:rsidRDefault="00721513" w:rsidP="0099482E">
      <w:pPr>
        <w:spacing w:after="120"/>
        <w:jc w:val="both"/>
        <w:rPr>
          <w:rFonts w:ascii="Times New Roman" w:eastAsia="Times New Roman" w:hAnsi="Times New Roman"/>
          <w:szCs w:val="22"/>
          <w:lang w:eastAsia="lt-LT"/>
        </w:rPr>
      </w:pPr>
      <w:r w:rsidRPr="00650EE4">
        <w:rPr>
          <w:rFonts w:ascii="Times New Roman" w:eastAsia="Times New Roman" w:hAnsi="Times New Roman"/>
          <w:szCs w:val="22"/>
          <w:lang w:eastAsia="lt-LT"/>
        </w:rPr>
        <w:lastRenderedPageBreak/>
        <w:t xml:space="preserve">Svarbu pažymėti, kad kitos taikomos renovacijos priemonės, gali turėti reikšmingą poveikį renovacijos poreikio mažinimui (pvz., energijos kainų didėjimas, taršos mokesčiai) ir finansavimo prieinamumo didinimui (pvz., projektų apjungimas). </w:t>
      </w:r>
    </w:p>
    <w:p w14:paraId="487EFCF7" w14:textId="74FEC4F1" w:rsidR="00713AD4" w:rsidRPr="00650EE4" w:rsidRDefault="0084304C" w:rsidP="0099482E">
      <w:pPr>
        <w:spacing w:before="240" w:after="120"/>
        <w:jc w:val="both"/>
        <w:rPr>
          <w:rFonts w:ascii="Times New Roman" w:hAnsi="Times New Roman"/>
          <w:color w:val="000000" w:themeColor="text1"/>
          <w:szCs w:val="22"/>
        </w:rPr>
      </w:pPr>
      <w:r w:rsidRPr="00650EE4">
        <w:rPr>
          <w:rFonts w:ascii="Times New Roman" w:hAnsi="Times New Roman"/>
          <w:b/>
          <w:bCs/>
          <w:szCs w:val="22"/>
        </w:rPr>
        <w:t xml:space="preserve">4. </w:t>
      </w:r>
      <w:r w:rsidR="00F50651" w:rsidRPr="00650EE4">
        <w:rPr>
          <w:rFonts w:ascii="Times New Roman" w:hAnsi="Times New Roman"/>
          <w:b/>
          <w:bCs/>
          <w:szCs w:val="22"/>
        </w:rPr>
        <w:t>Efektyvi komunikacija</w:t>
      </w:r>
      <w:r w:rsidRPr="00650EE4">
        <w:rPr>
          <w:rFonts w:ascii="Times New Roman" w:hAnsi="Times New Roman"/>
          <w:b/>
          <w:bCs/>
          <w:szCs w:val="22"/>
        </w:rPr>
        <w:t xml:space="preserve">. </w:t>
      </w:r>
      <w:r w:rsidR="00677614">
        <w:rPr>
          <w:rFonts w:ascii="Times New Roman" w:hAnsi="Times New Roman"/>
          <w:color w:val="000000" w:themeColor="text1"/>
          <w:szCs w:val="22"/>
        </w:rPr>
        <w:t>E</w:t>
      </w:r>
      <w:r w:rsidR="00B91547" w:rsidRPr="00650EE4">
        <w:rPr>
          <w:rFonts w:ascii="Times New Roman" w:hAnsi="Times New Roman"/>
          <w:color w:val="000000" w:themeColor="text1"/>
          <w:szCs w:val="22"/>
        </w:rPr>
        <w:t>fektyvi</w:t>
      </w:r>
      <w:r w:rsidR="00713AD4" w:rsidRPr="00650EE4">
        <w:rPr>
          <w:rFonts w:ascii="Times New Roman" w:hAnsi="Times New Roman"/>
          <w:color w:val="000000" w:themeColor="text1"/>
          <w:szCs w:val="22"/>
        </w:rPr>
        <w:t xml:space="preserve"> komunikacija</w:t>
      </w:r>
      <w:r w:rsidR="004A0BCB" w:rsidRPr="00650EE4">
        <w:rPr>
          <w:rFonts w:ascii="Times New Roman" w:hAnsi="Times New Roman"/>
          <w:color w:val="000000" w:themeColor="text1"/>
          <w:szCs w:val="22"/>
        </w:rPr>
        <w:t xml:space="preserve"> turėtų informuoti tikslinę auditoriją ne tik apie renovacijos priemonių paketus, sėkmės istorijas ir pan.</w:t>
      </w:r>
      <w:r w:rsidR="00C15E00" w:rsidRPr="00650EE4">
        <w:rPr>
          <w:rFonts w:ascii="Times New Roman" w:hAnsi="Times New Roman"/>
          <w:color w:val="000000" w:themeColor="text1"/>
          <w:szCs w:val="22"/>
        </w:rPr>
        <w:t>,</w:t>
      </w:r>
      <w:r w:rsidR="004A0BCB" w:rsidRPr="00650EE4">
        <w:rPr>
          <w:rFonts w:ascii="Times New Roman" w:hAnsi="Times New Roman"/>
          <w:color w:val="000000" w:themeColor="text1"/>
          <w:szCs w:val="22"/>
        </w:rPr>
        <w:t xml:space="preserve"> tačiau </w:t>
      </w:r>
      <w:r w:rsidR="00713AD4" w:rsidRPr="00650EE4">
        <w:rPr>
          <w:rFonts w:ascii="Times New Roman" w:hAnsi="Times New Roman"/>
          <w:color w:val="000000" w:themeColor="text1"/>
          <w:szCs w:val="22"/>
        </w:rPr>
        <w:t xml:space="preserve">turėtų </w:t>
      </w:r>
      <w:r w:rsidR="004A0BCB" w:rsidRPr="00650EE4">
        <w:rPr>
          <w:rFonts w:ascii="Times New Roman" w:hAnsi="Times New Roman"/>
          <w:color w:val="000000" w:themeColor="text1"/>
          <w:szCs w:val="22"/>
        </w:rPr>
        <w:t xml:space="preserve">akcentuoti ir </w:t>
      </w:r>
      <w:r w:rsidR="00713AD4" w:rsidRPr="00650EE4">
        <w:rPr>
          <w:rFonts w:ascii="Times New Roman" w:hAnsi="Times New Roman"/>
          <w:color w:val="000000" w:themeColor="text1"/>
          <w:szCs w:val="22"/>
        </w:rPr>
        <w:t xml:space="preserve">2 </w:t>
      </w:r>
      <w:r w:rsidR="004A0BCB" w:rsidRPr="00650EE4">
        <w:rPr>
          <w:rFonts w:ascii="Times New Roman" w:hAnsi="Times New Roman"/>
          <w:color w:val="000000" w:themeColor="text1"/>
          <w:szCs w:val="22"/>
        </w:rPr>
        <w:t>papildomas svarbias žinutes</w:t>
      </w:r>
      <w:r w:rsidR="00713AD4" w:rsidRPr="00650EE4">
        <w:rPr>
          <w:rFonts w:ascii="Times New Roman" w:hAnsi="Times New Roman"/>
          <w:color w:val="000000" w:themeColor="text1"/>
          <w:szCs w:val="22"/>
        </w:rPr>
        <w:t>:</w:t>
      </w:r>
    </w:p>
    <w:p w14:paraId="15BB8146" w14:textId="6CD64B3B"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Renovacijos naudos yra daugialypės ir neapsiriboja energijos sutaupymais</w:t>
      </w:r>
      <w:r w:rsidR="00DE46D0" w:rsidRPr="00650EE4">
        <w:rPr>
          <w:rFonts w:ascii="Times New Roman" w:hAnsi="Times New Roman"/>
          <w:szCs w:val="22"/>
          <w:lang w:val="lt-LT"/>
        </w:rPr>
        <w:t>.</w:t>
      </w:r>
    </w:p>
    <w:p w14:paraId="0981C802" w14:textId="470E730E"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Ilgalaikėje perspektyvoje, </w:t>
      </w:r>
      <w:r w:rsidR="00DE46D0" w:rsidRPr="00650EE4">
        <w:rPr>
          <w:rFonts w:ascii="Times New Roman" w:hAnsi="Times New Roman"/>
          <w:szCs w:val="22"/>
          <w:lang w:val="lt-LT"/>
        </w:rPr>
        <w:t xml:space="preserve">energetiškai </w:t>
      </w:r>
      <w:r w:rsidRPr="00650EE4">
        <w:rPr>
          <w:rFonts w:ascii="Times New Roman" w:hAnsi="Times New Roman"/>
          <w:szCs w:val="22"/>
          <w:lang w:val="lt-LT"/>
        </w:rPr>
        <w:t>neef</w:t>
      </w:r>
      <w:r w:rsidR="00DE46D0" w:rsidRPr="00650EE4">
        <w:rPr>
          <w:rFonts w:ascii="Times New Roman" w:hAnsi="Times New Roman"/>
          <w:szCs w:val="22"/>
          <w:lang w:val="lt-LT"/>
        </w:rPr>
        <w:t xml:space="preserve">ektyviems, prastos techninės būklės </w:t>
      </w:r>
      <w:r w:rsidRPr="00650EE4">
        <w:rPr>
          <w:rFonts w:ascii="Times New Roman" w:hAnsi="Times New Roman"/>
          <w:szCs w:val="22"/>
          <w:lang w:val="lt-LT"/>
        </w:rPr>
        <w:t>pastatams nėra pasirinkimo dalyvauti ar nedalyvauti renovacij</w:t>
      </w:r>
      <w:r w:rsidR="00DE46D0" w:rsidRPr="00650EE4">
        <w:rPr>
          <w:rFonts w:ascii="Times New Roman" w:hAnsi="Times New Roman"/>
          <w:szCs w:val="22"/>
          <w:lang w:val="lt-LT"/>
        </w:rPr>
        <w:t>oje.</w:t>
      </w:r>
    </w:p>
    <w:p w14:paraId="7DE1FC5D" w14:textId="749F137C" w:rsidR="00713AD4" w:rsidRPr="00650EE4" w:rsidRDefault="00713AD4" w:rsidP="00DE46D0">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sutaupymas ir sumažėjusios išlaidos,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 energijos kaina yra žema ir rezultate finansinės renovacijos naudos nėra pakankama </w:t>
      </w:r>
      <w:proofErr w:type="spellStart"/>
      <w:r w:rsidRPr="00650EE4">
        <w:rPr>
          <w:rFonts w:ascii="Times New Roman" w:hAnsi="Times New Roman"/>
          <w:color w:val="000000" w:themeColor="text1"/>
          <w:szCs w:val="22"/>
          <w:lang w:val="lt-LT"/>
        </w:rPr>
        <w:t>motyvacinė</w:t>
      </w:r>
      <w:proofErr w:type="spellEnd"/>
      <w:r w:rsidRPr="00650EE4">
        <w:rPr>
          <w:rFonts w:ascii="Times New Roman" w:hAnsi="Times New Roman"/>
          <w:color w:val="000000" w:themeColor="text1"/>
          <w:szCs w:val="22"/>
          <w:lang w:val="lt-LT"/>
        </w:rPr>
        <w:t xml:space="preserve"> priemonė dalyvauti renovacijoje. </w:t>
      </w:r>
    </w:p>
    <w:p w14:paraId="6C05DA9F" w14:textId="2BE60AB9" w:rsidR="00713AD4" w:rsidRPr="00650EE4" w:rsidRDefault="00713AD4" w:rsidP="00DE46D0">
      <w:pPr>
        <w:pStyle w:val="BodyText"/>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Esminiai </w:t>
      </w:r>
      <w:r w:rsidR="00DE46D0" w:rsidRPr="00650EE4">
        <w:rPr>
          <w:rFonts w:ascii="Times New Roman" w:hAnsi="Times New Roman"/>
          <w:color w:val="000000" w:themeColor="text1"/>
          <w:szCs w:val="22"/>
          <w:lang w:val="lt-LT"/>
        </w:rPr>
        <w:t xml:space="preserve">renovacijos </w:t>
      </w:r>
      <w:r w:rsidRPr="00650EE4">
        <w:rPr>
          <w:rFonts w:ascii="Times New Roman" w:hAnsi="Times New Roman"/>
          <w:color w:val="000000" w:themeColor="text1"/>
          <w:szCs w:val="22"/>
          <w:lang w:val="lt-LT"/>
        </w:rPr>
        <w:t>neišvengiamumą sąlygojantys veiksniai:</w:t>
      </w:r>
    </w:p>
    <w:p w14:paraId="37A0F57B" w14:textId="35623AAD"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Prasta didžiosios dalies pastatų techninė būklė (iki 2050 m. dalį pastatų teks renovuoti, </w:t>
      </w:r>
      <w:r w:rsidR="00677614">
        <w:rPr>
          <w:rFonts w:ascii="Times New Roman" w:hAnsi="Times New Roman"/>
          <w:szCs w:val="22"/>
          <w:lang w:val="lt-LT"/>
        </w:rPr>
        <w:t>naudojant nuosavas</w:t>
      </w:r>
      <w:r w:rsidRPr="00650EE4">
        <w:rPr>
          <w:rFonts w:ascii="Times New Roman" w:hAnsi="Times New Roman"/>
          <w:szCs w:val="22"/>
          <w:lang w:val="lt-LT"/>
        </w:rPr>
        <w:t xml:space="preserve"> lėšas, ar pasinaudojant valstybės teikiamomis priemonėmis).</w:t>
      </w:r>
    </w:p>
    <w:p w14:paraId="34F642EE" w14:textId="6CCF5DE9"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Lietuva, kaip ES šalis </w:t>
      </w:r>
      <w:r w:rsidR="00677614">
        <w:rPr>
          <w:rFonts w:ascii="Times New Roman" w:hAnsi="Times New Roman"/>
          <w:szCs w:val="22"/>
          <w:lang w:val="lt-LT"/>
        </w:rPr>
        <w:t>turi</w:t>
      </w:r>
      <w:r w:rsidRPr="00650EE4">
        <w:rPr>
          <w:rFonts w:ascii="Times New Roman" w:hAnsi="Times New Roman"/>
          <w:szCs w:val="22"/>
          <w:lang w:val="lt-LT"/>
        </w:rPr>
        <w:t xml:space="preserve"> vykdyti ES strateginių dokumentų (Reglamentų, Žaliojo kurso ir pan.) nuostatas. ES įpareigojimų vykdymas yra buvimo ES dalis. </w:t>
      </w:r>
    </w:p>
    <w:p w14:paraId="667276BB" w14:textId="77777777"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Atitinkamai, šalia skatinamųjų priemonių motyvuojančių dalyvauti renovacijoje neišvengiamai atsiras ir drausminančios priemonės (taršos mokesčiai, ribojimai </w:t>
      </w:r>
      <w:proofErr w:type="spellStart"/>
      <w:r w:rsidRPr="00650EE4">
        <w:rPr>
          <w:rFonts w:ascii="Times New Roman" w:hAnsi="Times New Roman"/>
          <w:szCs w:val="22"/>
          <w:lang w:val="lt-LT"/>
        </w:rPr>
        <w:t>komercializuoti</w:t>
      </w:r>
      <w:proofErr w:type="spellEnd"/>
      <w:r w:rsidRPr="00650EE4">
        <w:rPr>
          <w:rFonts w:ascii="Times New Roman" w:hAnsi="Times New Roman"/>
          <w:szCs w:val="22"/>
          <w:lang w:val="lt-LT"/>
        </w:rPr>
        <w:t xml:space="preserve"> neefektyvius pastatus ir pan.) skirtos valdyti neatsakingą ir neracionalią pastatų savininkų elgseną. </w:t>
      </w:r>
    </w:p>
    <w:p w14:paraId="5041CEB5" w14:textId="6A52AE3A" w:rsidR="00713AD4" w:rsidRPr="00650EE4" w:rsidRDefault="00677614" w:rsidP="002E67EE">
      <w:pPr>
        <w:pStyle w:val="BodyText"/>
        <w:spacing w:before="120"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713AD4" w:rsidRPr="00650EE4">
        <w:rPr>
          <w:rFonts w:ascii="Times New Roman" w:hAnsi="Times New Roman"/>
          <w:color w:val="000000" w:themeColor="text1"/>
          <w:szCs w:val="22"/>
          <w:lang w:val="lt-LT"/>
        </w:rPr>
        <w:t>omunikacija apie renovacijos neišvengiamumą turėtų būti orientuota į du segmentus:</w:t>
      </w:r>
    </w:p>
    <w:p w14:paraId="07A3C961" w14:textId="17126B0D" w:rsidR="00713AD4"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Pastatų savininkus (motyvuojant juos dalyvauti</w:t>
      </w:r>
      <w:r w:rsidR="00FF5762" w:rsidRPr="00650EE4">
        <w:rPr>
          <w:rFonts w:ascii="Times New Roman" w:hAnsi="Times New Roman"/>
          <w:szCs w:val="22"/>
          <w:lang w:val="lt-LT"/>
        </w:rPr>
        <w:t xml:space="preserve"> renovacijoje</w:t>
      </w:r>
      <w:r w:rsidRPr="00650EE4">
        <w:rPr>
          <w:rFonts w:ascii="Times New Roman" w:hAnsi="Times New Roman"/>
          <w:szCs w:val="22"/>
          <w:lang w:val="lt-LT"/>
        </w:rPr>
        <w:t>)</w:t>
      </w:r>
      <w:r w:rsidR="00DE46D0" w:rsidRPr="00650EE4">
        <w:rPr>
          <w:rFonts w:ascii="Times New Roman" w:hAnsi="Times New Roman"/>
          <w:szCs w:val="22"/>
          <w:lang w:val="lt-LT"/>
        </w:rPr>
        <w:t>.</w:t>
      </w:r>
    </w:p>
    <w:p w14:paraId="69D1C841" w14:textId="7B64F023" w:rsidR="00D50AD9" w:rsidRPr="00650EE4" w:rsidRDefault="00713AD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Statybos, projektavimo, finansavimo ir kitų renovacijoje dalyvaujančių suinteresuotų šalių atstovus (suteikiant užtikrinimą, kad valstybės politika šiuo klausimu yra aiški, įpareigojanti ir ilgalaikė). </w:t>
      </w:r>
    </w:p>
    <w:p w14:paraId="7FA72E83" w14:textId="77777777" w:rsidR="00E55318" w:rsidRPr="00650EE4" w:rsidRDefault="00E55318" w:rsidP="0099482E">
      <w:pPr>
        <w:spacing w:before="240" w:after="120"/>
        <w:jc w:val="both"/>
        <w:rPr>
          <w:rFonts w:ascii="Times New Roman" w:hAnsi="Times New Roman"/>
          <w:color w:val="000000" w:themeColor="text1"/>
          <w:szCs w:val="22"/>
        </w:rPr>
      </w:pPr>
      <w:r w:rsidRPr="00650EE4">
        <w:rPr>
          <w:rFonts w:ascii="Times New Roman" w:hAnsi="Times New Roman"/>
          <w:b/>
          <w:bCs/>
          <w:szCs w:val="22"/>
        </w:rPr>
        <w:t xml:space="preserve">5. Patikima įgyvendinimo sistema. </w:t>
      </w:r>
      <w:r w:rsidRPr="00650EE4">
        <w:rPr>
          <w:rFonts w:ascii="Times New Roman" w:hAnsi="Times New Roman"/>
          <w:color w:val="000000" w:themeColor="text1"/>
          <w:szCs w:val="22"/>
        </w:rPr>
        <w:t>Siekiant tiek pritraukti pastatų savininkus, tiek užtikrinti renovacijos tikslų pasiekimą, būtina patikima ir sklandų procesą užtikrinanti renovacijos įgyvendinimo sistema.</w:t>
      </w:r>
    </w:p>
    <w:p w14:paraId="4BB05A31" w14:textId="77777777" w:rsidR="00E55318" w:rsidRPr="00650EE4" w:rsidRDefault="00E55318" w:rsidP="00E55318">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Net ir tikėdamas renovacijos nauda ir turėdamas patrauklias finansavimo galimybes, pastato savininkas gali nedalyvauti renovacijoje, jei matys administracinius barjerus (tiek planavimo, tiek įgyvendinimo etape), procesas reikalaus reikšmingų laiko investicijų arba kompetencijų, kurių jis neturi.</w:t>
      </w:r>
    </w:p>
    <w:p w14:paraId="4780D45B" w14:textId="00F2C735" w:rsidR="00E55318" w:rsidRPr="00650EE4" w:rsidRDefault="00677614" w:rsidP="00E55318">
      <w:pPr>
        <w:spacing w:after="120"/>
        <w:jc w:val="both"/>
        <w:rPr>
          <w:rFonts w:ascii="Times New Roman" w:hAnsi="Times New Roman"/>
          <w:color w:val="000000" w:themeColor="text1"/>
          <w:szCs w:val="22"/>
        </w:rPr>
      </w:pPr>
      <w:r>
        <w:rPr>
          <w:rFonts w:ascii="Times New Roman" w:hAnsi="Times New Roman"/>
          <w:color w:val="000000" w:themeColor="text1"/>
          <w:szCs w:val="22"/>
        </w:rPr>
        <w:t>S</w:t>
      </w:r>
      <w:r w:rsidR="00E55318" w:rsidRPr="00650EE4">
        <w:rPr>
          <w:rFonts w:ascii="Times New Roman" w:hAnsi="Times New Roman"/>
          <w:color w:val="000000" w:themeColor="text1"/>
          <w:szCs w:val="22"/>
        </w:rPr>
        <w:t>iekiant užtikrinti sklandų procesą ir atsižvelgti į pastatų savininkų poreikius, reikia priartėti prie pastatų savininkų tiek fiziškai, tiek atliepiant jų poreikius:</w:t>
      </w:r>
    </w:p>
    <w:p w14:paraId="345F76A2" w14:textId="77777777" w:rsidR="00E55318"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Užtikrinti „vieno langelio“ principo įgyvendinimą. Geriausias prielaidas įgyvendinti „vieno langelio“ funkcijas turi savivaldybės, kurios turi </w:t>
      </w:r>
      <w:proofErr w:type="spellStart"/>
      <w:r w:rsidRPr="00650EE4">
        <w:rPr>
          <w:rFonts w:ascii="Times New Roman" w:hAnsi="Times New Roman"/>
          <w:szCs w:val="22"/>
          <w:lang w:val="lt-LT"/>
        </w:rPr>
        <w:t>patikimiausius</w:t>
      </w:r>
      <w:proofErr w:type="spellEnd"/>
      <w:r w:rsidRPr="00650EE4">
        <w:rPr>
          <w:rFonts w:ascii="Times New Roman" w:hAnsi="Times New Roman"/>
          <w:szCs w:val="22"/>
          <w:lang w:val="lt-LT"/>
        </w:rPr>
        <w:t xml:space="preserve"> duomenis apie pastatus, o pastatų savininkai nuolat palaiko ryšį su savivaldybe kitais klausimais.</w:t>
      </w:r>
    </w:p>
    <w:p w14:paraId="4D56FAF2" w14:textId="77777777" w:rsidR="00E55318"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Sukurti kompetencijų centrą. Toks centras turėtų centralizuotai kaupti gerąją praktiką, standartizuoti procesus bei teikti </w:t>
      </w:r>
      <w:r w:rsidRPr="00650EE4">
        <w:rPr>
          <w:rFonts w:ascii="Times New Roman" w:hAnsi="Times New Roman"/>
          <w:szCs w:val="22"/>
          <w:lang w:val="lt-LT" w:eastAsia="lt-LT"/>
        </w:rPr>
        <w:t>metodinę ir konsultacinę pagalbą savivaldybėms ir renovacijos administratoriams.</w:t>
      </w:r>
    </w:p>
    <w:p w14:paraId="44281C49" w14:textId="77777777" w:rsidR="00D2113C" w:rsidRPr="00650EE4" w:rsidRDefault="00E55318"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Sukurti techninės priežiūros mechanizmą. Turėtų būti sukurtas išorės kontrolės priemonių taikymo mechanizmas kiekviename renovacijos įgyvendinimo etape. Tokiu būdu būtų didinamas pastatų savininkų pasitikėjimas ir sumažinama renovacijos vėlavimo rizika.</w:t>
      </w:r>
    </w:p>
    <w:p w14:paraId="2BE4F711" w14:textId="77777777" w:rsidR="00E60DE6" w:rsidRPr="007246B9" w:rsidRDefault="00E60DE6" w:rsidP="00E60DE6">
      <w:pPr>
        <w:spacing w:before="360" w:after="120"/>
        <w:jc w:val="both"/>
        <w:rPr>
          <w:rFonts w:ascii="Times New Roman" w:hAnsi="Times New Roman"/>
          <w:b/>
          <w:bCs/>
          <w:sz w:val="24"/>
          <w:szCs w:val="24"/>
        </w:rPr>
      </w:pPr>
      <w:r w:rsidRPr="007246B9">
        <w:rPr>
          <w:rFonts w:ascii="Times New Roman" w:hAnsi="Times New Roman"/>
          <w:b/>
          <w:bCs/>
          <w:sz w:val="24"/>
          <w:szCs w:val="24"/>
        </w:rPr>
        <w:t>Renovacijos strategijos įgyvendinimo prioritetai</w:t>
      </w:r>
    </w:p>
    <w:p w14:paraId="09E71B40" w14:textId="76A33ACA" w:rsidR="00E60DE6" w:rsidRPr="007246B9" w:rsidRDefault="00E60DE6" w:rsidP="00E60DE6">
      <w:pPr>
        <w:jc w:val="both"/>
        <w:rPr>
          <w:rFonts w:ascii="Times New Roman" w:hAnsi="Times New Roman"/>
          <w:color w:val="auto"/>
          <w:szCs w:val="22"/>
        </w:rPr>
      </w:pPr>
      <w:r w:rsidRPr="007246B9">
        <w:rPr>
          <w:rFonts w:ascii="Times New Roman" w:hAnsi="Times New Roman"/>
          <w:color w:val="auto"/>
          <w:szCs w:val="22"/>
        </w:rPr>
        <w:t xml:space="preserve">IRS apims 30 metų laikotarpį ir pareikalaus reikšmingų resursų, todėl siekiant </w:t>
      </w:r>
      <w:proofErr w:type="spellStart"/>
      <w:r w:rsidRPr="007246B9">
        <w:rPr>
          <w:rFonts w:ascii="Times New Roman" w:hAnsi="Times New Roman"/>
          <w:color w:val="auto"/>
          <w:szCs w:val="22"/>
        </w:rPr>
        <w:t>sistemiško</w:t>
      </w:r>
      <w:proofErr w:type="spellEnd"/>
      <w:r w:rsidRPr="007246B9">
        <w:rPr>
          <w:rFonts w:ascii="Times New Roman" w:hAnsi="Times New Roman"/>
          <w:color w:val="auto"/>
          <w:szCs w:val="22"/>
        </w:rPr>
        <w:t>, nuoseklaus ir tvaraus IRS įgyvendinimo svarb</w:t>
      </w:r>
      <w:r w:rsidR="00A0696E" w:rsidRPr="007246B9">
        <w:rPr>
          <w:rFonts w:ascii="Times New Roman" w:hAnsi="Times New Roman"/>
          <w:color w:val="auto"/>
          <w:szCs w:val="22"/>
        </w:rPr>
        <w:t>u identifikuoti prioritetinius p</w:t>
      </w:r>
      <w:r w:rsidRPr="007246B9">
        <w:rPr>
          <w:rFonts w:ascii="Times New Roman" w:hAnsi="Times New Roman"/>
          <w:color w:val="auto"/>
          <w:szCs w:val="22"/>
        </w:rPr>
        <w:t>astatų fondo segmentus, tinkamai suplanuoti jų transformacijai būtinas priemones bei jų įgyvendinimui reikalingus resursus. T</w:t>
      </w:r>
      <w:r w:rsidRPr="007246B9">
        <w:rPr>
          <w:rFonts w:ascii="Times New Roman" w:hAnsi="Times New Roman"/>
          <w:color w:val="000000" w:themeColor="text1"/>
          <w:szCs w:val="22"/>
        </w:rPr>
        <w:t xml:space="preserve">iek strateginiai IRS tikslai, tiek jiems pasiekti naudojamos renovacijos priemonės gali būti skirstomos į  dvi pagrindines grupes: </w:t>
      </w:r>
    </w:p>
    <w:p w14:paraId="020D1216" w14:textId="5056B23B" w:rsidR="00E60DE6" w:rsidRPr="007246B9" w:rsidRDefault="00A0696E" w:rsidP="00E60DE6">
      <w:pPr>
        <w:pStyle w:val="ListParagraph"/>
        <w:numPr>
          <w:ilvl w:val="0"/>
          <w:numId w:val="72"/>
        </w:numPr>
        <w:spacing w:before="120" w:after="6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lastRenderedPageBreak/>
        <w:t>e</w:t>
      </w:r>
      <w:r w:rsidR="00E60DE6" w:rsidRPr="007246B9">
        <w:rPr>
          <w:rFonts w:ascii="Times New Roman" w:hAnsi="Times New Roman"/>
          <w:color w:val="000000" w:themeColor="text1"/>
          <w:szCs w:val="22"/>
          <w:lang w:val="lt-LT"/>
        </w:rPr>
        <w:t>nerginio efektyvumo didinimas;</w:t>
      </w:r>
    </w:p>
    <w:p w14:paraId="4A7B936F" w14:textId="77777777" w:rsidR="00E60DE6" w:rsidRPr="007246B9" w:rsidRDefault="00E60DE6" w:rsidP="00E60DE6">
      <w:pPr>
        <w:pStyle w:val="ListParagraph"/>
        <w:numPr>
          <w:ilvl w:val="0"/>
          <w:numId w:val="72"/>
        </w:numPr>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AEI panaudojimo didinimas (iškastinio kuro mažinimas). </w:t>
      </w:r>
    </w:p>
    <w:p w14:paraId="01D3E112" w14:textId="77777777" w:rsidR="00E60DE6" w:rsidRPr="007246B9" w:rsidRDefault="00E60DE6" w:rsidP="00E60DE6">
      <w:pPr>
        <w:spacing w:line="240" w:lineRule="auto"/>
        <w:jc w:val="both"/>
        <w:rPr>
          <w:rFonts w:ascii="Times New Roman" w:hAnsi="Times New Roman"/>
          <w:color w:val="000000" w:themeColor="text1"/>
          <w:szCs w:val="22"/>
        </w:rPr>
      </w:pPr>
    </w:p>
    <w:p w14:paraId="386E2E8E" w14:textId="342A6E2D" w:rsidR="00E60DE6" w:rsidRPr="007246B9" w:rsidRDefault="00E60DE6" w:rsidP="00E60DE6">
      <w:pPr>
        <w:spacing w:after="120"/>
        <w:jc w:val="both"/>
        <w:rPr>
          <w:rFonts w:ascii="Times New Roman" w:hAnsi="Times New Roman"/>
          <w:color w:val="000000" w:themeColor="text1"/>
          <w:szCs w:val="22"/>
        </w:rPr>
      </w:pPr>
      <w:r w:rsidRPr="007246B9">
        <w:rPr>
          <w:rFonts w:ascii="Times New Roman" w:hAnsi="Times New Roman"/>
          <w:color w:val="000000" w:themeColor="text1"/>
          <w:szCs w:val="22"/>
        </w:rPr>
        <w:t>Siekiant identifikuoti prioritetines pastatų grupes, atitinkamai gali būti suskirstytas ir pastatų fondas</w:t>
      </w:r>
      <w:r w:rsidR="00A0696E" w:rsidRPr="007246B9">
        <w:rPr>
          <w:rFonts w:ascii="Times New Roman" w:hAnsi="Times New Roman"/>
          <w:color w:val="000000" w:themeColor="text1"/>
          <w:szCs w:val="22"/>
        </w:rPr>
        <w:t>. Paveiksle žemiau pateikiamas p</w:t>
      </w:r>
      <w:r w:rsidRPr="007246B9">
        <w:rPr>
          <w:rFonts w:ascii="Times New Roman" w:hAnsi="Times New Roman"/>
          <w:color w:val="000000" w:themeColor="text1"/>
          <w:szCs w:val="22"/>
        </w:rPr>
        <w:t>astatų fondo pirminės energijos vartojimas pagal energinį efektyvumą (nuo blogiausio iki geriausio) ir šiluminės energijos šaltinį (nuo didžiausių iki mažiausių CO</w:t>
      </w:r>
      <w:r w:rsidRPr="007246B9">
        <w:rPr>
          <w:rFonts w:ascii="Times New Roman" w:hAnsi="Times New Roman"/>
          <w:color w:val="000000" w:themeColor="text1"/>
          <w:szCs w:val="22"/>
          <w:vertAlign w:val="subscript"/>
        </w:rPr>
        <w:t>2</w:t>
      </w:r>
      <w:r w:rsidRPr="007246B9">
        <w:rPr>
          <w:rFonts w:ascii="Times New Roman" w:hAnsi="Times New Roman"/>
          <w:color w:val="000000" w:themeColor="text1"/>
          <w:szCs w:val="22"/>
        </w:rPr>
        <w:t xml:space="preserve"> emisijų vienam pagamintos energijos vnt.).</w:t>
      </w:r>
    </w:p>
    <w:p w14:paraId="7E7FC92D" w14:textId="77777777" w:rsidR="00E60DE6" w:rsidRPr="007246B9" w:rsidRDefault="00E60DE6" w:rsidP="00E60DE6">
      <w:pPr>
        <w:spacing w:line="240" w:lineRule="auto"/>
        <w:jc w:val="both"/>
        <w:rPr>
          <w:rFonts w:ascii="Times New Roman" w:hAnsi="Times New Roman"/>
          <w:color w:val="000000" w:themeColor="text1"/>
          <w:szCs w:val="22"/>
        </w:rPr>
      </w:pPr>
      <w:r w:rsidRPr="007246B9">
        <w:rPr>
          <w:noProof/>
          <w:lang w:eastAsia="lt-LT"/>
        </w:rPr>
        <w:drawing>
          <wp:inline distT="0" distB="0" distL="0" distR="0" wp14:anchorId="175EC085" wp14:editId="37673DA7">
            <wp:extent cx="5314950" cy="398621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4950" cy="3986213"/>
                    </a:xfrm>
                    <a:prstGeom prst="rect">
                      <a:avLst/>
                    </a:prstGeom>
                  </pic:spPr>
                </pic:pic>
              </a:graphicData>
            </a:graphic>
          </wp:inline>
        </w:drawing>
      </w:r>
    </w:p>
    <w:p w14:paraId="0755C234" w14:textId="027F3F3E" w:rsidR="00E60DE6" w:rsidRPr="007246B9" w:rsidRDefault="00E60DE6" w:rsidP="00E60DE6">
      <w:pPr>
        <w:pStyle w:val="TESlentelspavadinimas"/>
        <w:rPr>
          <w:noProof w:val="0"/>
        </w:rPr>
      </w:pPr>
      <w:r w:rsidRPr="007246B9">
        <w:rPr>
          <w:noProof w:val="0"/>
        </w:rPr>
        <w:t xml:space="preserve">Šaltinis: </w:t>
      </w:r>
      <w:r w:rsidR="00A0696E" w:rsidRPr="007246B9">
        <w:rPr>
          <w:noProof w:val="0"/>
        </w:rPr>
        <w:t>Studijos Lietuvos ilgalaikei renovacijos strategijai parengti autoriai</w:t>
      </w:r>
    </w:p>
    <w:p w14:paraId="00080C4D" w14:textId="77777777" w:rsidR="00E60DE6" w:rsidRPr="007246B9" w:rsidRDefault="00E60DE6" w:rsidP="00E60DE6">
      <w:pPr>
        <w:spacing w:line="240" w:lineRule="auto"/>
        <w:jc w:val="both"/>
        <w:rPr>
          <w:rFonts w:ascii="Times New Roman" w:hAnsi="Times New Roman"/>
          <w:color w:val="000000" w:themeColor="text1"/>
          <w:szCs w:val="22"/>
        </w:rPr>
      </w:pPr>
    </w:p>
    <w:p w14:paraId="4FCC9D6B"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Apibendrinant paveiksle aukščiau pateiktus duomenis, galima identifikuoti prioritetines pastatų fondo grupes.</w:t>
      </w:r>
    </w:p>
    <w:p w14:paraId="77BFFB98" w14:textId="77777777" w:rsidR="00E60DE6" w:rsidRPr="007246B9" w:rsidRDefault="00E60DE6" w:rsidP="00E60DE6">
      <w:pPr>
        <w:spacing w:line="240" w:lineRule="auto"/>
        <w:jc w:val="both"/>
        <w:rPr>
          <w:rFonts w:ascii="Times New Roman" w:hAnsi="Times New Roman"/>
          <w:color w:val="000000" w:themeColor="text1"/>
          <w:szCs w:val="22"/>
        </w:rPr>
      </w:pPr>
    </w:p>
    <w:p w14:paraId="1B23E903" w14:textId="77777777" w:rsidR="00E60DE6" w:rsidRPr="007246B9" w:rsidRDefault="00E60DE6" w:rsidP="00E60DE6">
      <w:pPr>
        <w:spacing w:after="60"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Aukštas prioritetas:</w:t>
      </w:r>
    </w:p>
    <w:p w14:paraId="4BAED60E"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Žemo energinio efektyvumo (ENK ≤D) pastatai naudojantys iškastinį kurą (9,9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tiek EE tiek AEI priemonės.</w:t>
      </w:r>
    </w:p>
    <w:p w14:paraId="0D56B93F" w14:textId="77777777" w:rsidR="00E60DE6" w:rsidRPr="007246B9" w:rsidRDefault="00E60DE6" w:rsidP="00E60DE6">
      <w:pPr>
        <w:pStyle w:val="ListParagraph"/>
        <w:numPr>
          <w:ilvl w:val="0"/>
          <w:numId w:val="72"/>
        </w:numPr>
        <w:spacing w:before="6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Žemo energinio efektyvumo pastatai, nenaudojantys iškastinio kuro</w:t>
      </w:r>
      <w:r w:rsidRPr="007246B9">
        <w:rPr>
          <w:rStyle w:val="FootnoteReference"/>
          <w:rFonts w:ascii="Times New Roman" w:hAnsi="Times New Roman"/>
          <w:color w:val="000000" w:themeColor="text1"/>
          <w:szCs w:val="22"/>
          <w:lang w:val="lt-LT"/>
        </w:rPr>
        <w:footnoteReference w:id="2"/>
      </w:r>
      <w:r w:rsidRPr="007246B9">
        <w:rPr>
          <w:rFonts w:ascii="Times New Roman" w:hAnsi="Times New Roman"/>
          <w:color w:val="000000" w:themeColor="text1"/>
          <w:szCs w:val="22"/>
          <w:lang w:val="lt-LT"/>
        </w:rPr>
        <w:t xml:space="preserve"> (21,7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EE priemonės.</w:t>
      </w:r>
    </w:p>
    <w:p w14:paraId="530D576A" w14:textId="77777777" w:rsidR="00E60DE6" w:rsidRPr="007246B9" w:rsidRDefault="00E60DE6" w:rsidP="00E60DE6">
      <w:pPr>
        <w:jc w:val="both"/>
        <w:rPr>
          <w:rFonts w:ascii="Times New Roman" w:hAnsi="Times New Roman"/>
          <w:color w:val="000000" w:themeColor="text1"/>
          <w:szCs w:val="22"/>
        </w:rPr>
      </w:pPr>
    </w:p>
    <w:p w14:paraId="41DF59D2" w14:textId="77777777" w:rsidR="00E60DE6" w:rsidRPr="007246B9" w:rsidRDefault="00E60DE6" w:rsidP="00E60DE6">
      <w:pPr>
        <w:spacing w:after="60"/>
        <w:jc w:val="both"/>
        <w:rPr>
          <w:rFonts w:ascii="Times New Roman" w:hAnsi="Times New Roman"/>
          <w:color w:val="000000" w:themeColor="text1"/>
          <w:szCs w:val="22"/>
        </w:rPr>
      </w:pPr>
      <w:r w:rsidRPr="007246B9">
        <w:rPr>
          <w:rFonts w:ascii="Times New Roman" w:hAnsi="Times New Roman"/>
          <w:color w:val="000000" w:themeColor="text1"/>
          <w:szCs w:val="22"/>
        </w:rPr>
        <w:t>Vidutinis prioritetas:</w:t>
      </w:r>
    </w:p>
    <w:p w14:paraId="30859EBD"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Vidutinio energinio efektyvumo (ENK C) pastatai naudojantys iškastinį kurą (1,5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xml:space="preserve">), kuriems taikytinos tiek EE tiek AEI priemonės. </w:t>
      </w:r>
    </w:p>
    <w:p w14:paraId="11277D26"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Vidutinio energinio efektyvumo pastatai (3,9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nenaudojantys iškastinio kuro kuriems taikytinos EE priemonės.</w:t>
      </w:r>
    </w:p>
    <w:p w14:paraId="32F8CF08" w14:textId="77777777" w:rsidR="00E60DE6" w:rsidRPr="007246B9" w:rsidRDefault="00E60DE6" w:rsidP="00E60DE6">
      <w:pPr>
        <w:spacing w:before="120" w:after="60"/>
        <w:jc w:val="both"/>
        <w:rPr>
          <w:rFonts w:ascii="Times New Roman" w:hAnsi="Times New Roman"/>
          <w:color w:val="000000" w:themeColor="text1"/>
          <w:szCs w:val="22"/>
        </w:rPr>
      </w:pPr>
      <w:r w:rsidRPr="007246B9">
        <w:rPr>
          <w:rFonts w:ascii="Times New Roman" w:hAnsi="Times New Roman"/>
          <w:color w:val="000000" w:themeColor="text1"/>
          <w:szCs w:val="22"/>
        </w:rPr>
        <w:t>Žemas prioritetas:</w:t>
      </w:r>
    </w:p>
    <w:p w14:paraId="0E2B308A" w14:textId="77777777" w:rsidR="00E60DE6" w:rsidRPr="007246B9" w:rsidRDefault="00E60DE6" w:rsidP="00E60DE6">
      <w:pPr>
        <w:pStyle w:val="ListParagraph"/>
        <w:numPr>
          <w:ilvl w:val="0"/>
          <w:numId w:val="72"/>
        </w:numPr>
        <w:ind w:left="714" w:hanging="357"/>
        <w:contextualSpacing w:val="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Aukšto energinio efektyvumo (ENK ≥ B) pastatai naudojantys iškastinį kurą (1 </w:t>
      </w:r>
      <w:proofErr w:type="spellStart"/>
      <w:r w:rsidRPr="007246B9">
        <w:rPr>
          <w:rFonts w:ascii="Times New Roman" w:hAnsi="Times New Roman"/>
          <w:color w:val="000000" w:themeColor="text1"/>
          <w:szCs w:val="22"/>
          <w:lang w:val="lt-LT"/>
        </w:rPr>
        <w:t>TWh</w:t>
      </w:r>
      <w:proofErr w:type="spellEnd"/>
      <w:r w:rsidRPr="007246B9">
        <w:rPr>
          <w:rFonts w:ascii="Times New Roman" w:hAnsi="Times New Roman"/>
          <w:color w:val="000000" w:themeColor="text1"/>
          <w:szCs w:val="22"/>
          <w:lang w:val="lt-LT"/>
        </w:rPr>
        <w:t>), kuriems taikytinos AEI priemonės.</w:t>
      </w:r>
    </w:p>
    <w:p w14:paraId="29F1CE50" w14:textId="77777777" w:rsidR="00E60DE6" w:rsidRPr="007246B9" w:rsidRDefault="00E60DE6" w:rsidP="00E60DE6">
      <w:pPr>
        <w:jc w:val="both"/>
        <w:rPr>
          <w:rFonts w:ascii="Times New Roman" w:hAnsi="Times New Roman"/>
          <w:color w:val="000000" w:themeColor="text1"/>
          <w:szCs w:val="22"/>
        </w:rPr>
      </w:pPr>
    </w:p>
    <w:p w14:paraId="161E6ABA" w14:textId="51829A2D" w:rsidR="00E60DE6" w:rsidRPr="007246B9" w:rsidRDefault="00E60DE6" w:rsidP="00E60DE6">
      <w:pPr>
        <w:jc w:val="both"/>
        <w:rPr>
          <w:rFonts w:ascii="Times New Roman" w:hAnsi="Times New Roman"/>
          <w:color w:val="000000" w:themeColor="text1"/>
          <w:szCs w:val="22"/>
        </w:rPr>
      </w:pPr>
      <w:r w:rsidRPr="007246B9">
        <w:rPr>
          <w:rFonts w:ascii="Times New Roman" w:hAnsi="Times New Roman"/>
          <w:color w:val="000000" w:themeColor="text1"/>
          <w:szCs w:val="22"/>
        </w:rPr>
        <w:lastRenderedPageBreak/>
        <w:t xml:space="preserve">Aukščiau identifikuoti prioritetai turėtų atsispindėti rengiamame priemonių pakete, numatant į prioritetinius pastatų fondo segmentus orientuotas paramos priemones, pvz., </w:t>
      </w:r>
      <w:proofErr w:type="spellStart"/>
      <w:r w:rsidRPr="007246B9">
        <w:rPr>
          <w:rFonts w:ascii="Times New Roman" w:hAnsi="Times New Roman"/>
          <w:color w:val="000000" w:themeColor="text1"/>
          <w:szCs w:val="22"/>
        </w:rPr>
        <w:t>kvartalinė</w:t>
      </w:r>
      <w:proofErr w:type="spellEnd"/>
      <w:r w:rsidRPr="007246B9">
        <w:rPr>
          <w:rFonts w:ascii="Times New Roman" w:hAnsi="Times New Roman"/>
          <w:color w:val="000000" w:themeColor="text1"/>
          <w:szCs w:val="22"/>
        </w:rPr>
        <w:t xml:space="preserve"> renovacija žemo energinio efektyvumo daugiabučiams, AEI priemonės iškastinį kurą naudojantiems individualiems gamybos šaltiniams pakeisti ir pan.</w:t>
      </w:r>
      <w:r w:rsidR="007246B9">
        <w:rPr>
          <w:rFonts w:ascii="Times New Roman" w:hAnsi="Times New Roman"/>
          <w:color w:val="000000" w:themeColor="text1"/>
          <w:szCs w:val="22"/>
        </w:rPr>
        <w:t xml:space="preserve"> </w:t>
      </w:r>
      <w:r w:rsidRPr="007246B9">
        <w:rPr>
          <w:rFonts w:ascii="Times New Roman" w:hAnsi="Times New Roman"/>
          <w:color w:val="000000" w:themeColor="text1"/>
          <w:szCs w:val="22"/>
        </w:rPr>
        <w:t>Konkrečių AEI priemonių įgyvendinimas gali būtų vykdomas pasirenkant įvairius AEI šaltinius, pvz., diegiant šilumos siurblius ir/arba fotovoltinių saulės kolektorius, gaminant elektrą iš vėjo ar hidroelektrinių, biokuro, gaminant šilumą iš vandenį šildančių saulės kolektorių, prisijungiant prie CŠT tinklų, perkant ir vartojant energiją iš nutolusių saulės, vėjo ir hidroelektrinių.</w:t>
      </w:r>
    </w:p>
    <w:p w14:paraId="27F12ED3" w14:textId="77777777" w:rsidR="00E60DE6" w:rsidRPr="007246B9" w:rsidRDefault="00E60DE6" w:rsidP="00E60DE6">
      <w:pPr>
        <w:jc w:val="both"/>
        <w:rPr>
          <w:rFonts w:ascii="Times New Roman" w:hAnsi="Times New Roman"/>
          <w:color w:val="000000" w:themeColor="text1"/>
          <w:szCs w:val="22"/>
        </w:rPr>
      </w:pPr>
    </w:p>
    <w:p w14:paraId="6A9E128A" w14:textId="77777777" w:rsidR="00E60DE6" w:rsidRPr="007246B9" w:rsidRDefault="00E60DE6" w:rsidP="00E60DE6">
      <w:pPr>
        <w:jc w:val="both"/>
        <w:rPr>
          <w:rFonts w:ascii="Times New Roman" w:hAnsi="Times New Roman"/>
          <w:color w:val="000000" w:themeColor="text1"/>
          <w:szCs w:val="22"/>
        </w:rPr>
      </w:pPr>
      <w:r w:rsidRPr="007246B9">
        <w:rPr>
          <w:rFonts w:ascii="Times New Roman" w:hAnsi="Times New Roman"/>
          <w:color w:val="000000" w:themeColor="text1"/>
          <w:szCs w:val="22"/>
        </w:rPr>
        <w:t>Vertinama, kad CŠT ir elektros sektoriai IRS įgyvendinimo eigoje kryptingai transformuosis iškastinio kuro atsisakymo kryptimi, todėl jų keitimas alternatyviomis AEI priemonėmis nebūtų ekonomiškai racionalus ir skatinamas. Ši nuostata turėtų būti periodiškai pakartotinai įvertinama (atnaujinant IRS), atsižvelgiant į faktinius numatytos sektorių transformacijos rezultatus.</w:t>
      </w:r>
    </w:p>
    <w:p w14:paraId="4D3A39AF" w14:textId="77777777" w:rsidR="00E60DE6" w:rsidRPr="007246B9" w:rsidRDefault="00E60DE6" w:rsidP="00E60DE6">
      <w:pPr>
        <w:jc w:val="both"/>
        <w:rPr>
          <w:rFonts w:ascii="Times New Roman" w:hAnsi="Times New Roman"/>
          <w:color w:val="000000" w:themeColor="text1"/>
          <w:szCs w:val="22"/>
        </w:rPr>
      </w:pPr>
    </w:p>
    <w:p w14:paraId="4DC3CA96"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Aukščiau aprašyti IRS prioritetai atitinka PEND ir kitų ES strateginių dokumentų nuostatas, numatančias, kad:</w:t>
      </w:r>
    </w:p>
    <w:p w14:paraId="6B3FB86D"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Renovuojant pastatų ūkį pirmenybė teikiama „energijos vartojimo efektyvumui, taikant principą „svarbiausia – energijos vartojimo efektyvumas“ ir apsvarstant AEI naudojimo galimybes“.</w:t>
      </w:r>
    </w:p>
    <w:p w14:paraId="069328EF"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Didelis dėmesys turi būti skiriamas prasčiausio energinio naudingumo pastatams.</w:t>
      </w:r>
    </w:p>
    <w:p w14:paraId="56960B8D" w14:textId="77777777" w:rsidR="00E60DE6" w:rsidRPr="007246B9" w:rsidRDefault="00E60DE6" w:rsidP="00E60DE6">
      <w:pPr>
        <w:pStyle w:val="ListParagraph"/>
        <w:numPr>
          <w:ilvl w:val="0"/>
          <w:numId w:val="72"/>
        </w:numPr>
        <w:spacing w:before="120"/>
        <w:ind w:left="714" w:hanging="357"/>
        <w:contextualSpacing w:val="0"/>
        <w:jc w:val="both"/>
        <w:rPr>
          <w:rFonts w:ascii="Times New Roman" w:hAnsi="Times New Roman"/>
          <w:color w:val="auto"/>
          <w:szCs w:val="22"/>
          <w:lang w:val="lt-LT"/>
        </w:rPr>
      </w:pPr>
      <w:r w:rsidRPr="007246B9">
        <w:rPr>
          <w:rFonts w:ascii="Times New Roman" w:hAnsi="Times New Roman"/>
          <w:color w:val="auto"/>
          <w:szCs w:val="22"/>
          <w:lang w:val="lt-LT"/>
        </w:rPr>
        <w:t>Energijos vartojimo efektyvumui didinti renovuojant pastatus skirtos finansinės priemonės turėtų būti siejamos su tiksliniu arba pasiektu energijos sutaupymu.</w:t>
      </w:r>
    </w:p>
    <w:p w14:paraId="786BEB6C" w14:textId="77777777" w:rsidR="00E60DE6" w:rsidRPr="007246B9" w:rsidRDefault="00E60DE6" w:rsidP="00E60DE6">
      <w:pPr>
        <w:spacing w:before="240" w:after="120"/>
        <w:jc w:val="both"/>
        <w:rPr>
          <w:rFonts w:ascii="Times New Roman" w:hAnsi="Times New Roman"/>
          <w:b/>
          <w:bCs/>
          <w:sz w:val="24"/>
          <w:szCs w:val="24"/>
        </w:rPr>
      </w:pPr>
      <w:r w:rsidRPr="007246B9">
        <w:rPr>
          <w:rFonts w:ascii="Times New Roman" w:hAnsi="Times New Roman"/>
          <w:b/>
          <w:bCs/>
          <w:sz w:val="24"/>
          <w:szCs w:val="24"/>
        </w:rPr>
        <w:t>Renovacijos strategijos įgyvendinimo veiksmų planas</w:t>
      </w:r>
    </w:p>
    <w:p w14:paraId="5F337F13"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IRS įgyvendinimo laikotarpis nuo 2021 iki 2050 m. skiriamas į 2 pagrindinius etapus:</w:t>
      </w:r>
    </w:p>
    <w:p w14:paraId="559EEADF" w14:textId="77777777" w:rsidR="00E60DE6" w:rsidRPr="007246B9" w:rsidRDefault="00E60DE6" w:rsidP="00E60DE6">
      <w:pPr>
        <w:pStyle w:val="ListParagraph"/>
        <w:numPr>
          <w:ilvl w:val="0"/>
          <w:numId w:val="73"/>
        </w:numPr>
        <w:spacing w:before="120" w:after="60" w:line="240" w:lineRule="auto"/>
        <w:ind w:left="714" w:hanging="357"/>
        <w:contextualSpacing w:val="0"/>
        <w:jc w:val="both"/>
        <w:rPr>
          <w:rFonts w:ascii="Times New Roman" w:hAnsi="Times New Roman"/>
          <w:lang w:val="lt-LT"/>
        </w:rPr>
      </w:pPr>
      <w:r w:rsidRPr="007246B9">
        <w:rPr>
          <w:rFonts w:ascii="Times New Roman" w:hAnsi="Times New Roman"/>
          <w:lang w:val="lt-LT"/>
        </w:rPr>
        <w:t>I. Pasirengimo etapas (2021-2022 m.).</w:t>
      </w:r>
    </w:p>
    <w:p w14:paraId="4CA5473A" w14:textId="77777777" w:rsidR="00E60DE6" w:rsidRPr="007246B9" w:rsidRDefault="00E60DE6" w:rsidP="00E60DE6">
      <w:pPr>
        <w:pStyle w:val="ListParagraph"/>
        <w:numPr>
          <w:ilvl w:val="0"/>
          <w:numId w:val="73"/>
        </w:numPr>
        <w:spacing w:before="120" w:line="240" w:lineRule="auto"/>
        <w:ind w:left="714" w:hanging="357"/>
        <w:contextualSpacing w:val="0"/>
        <w:jc w:val="both"/>
        <w:rPr>
          <w:rFonts w:ascii="Times New Roman" w:hAnsi="Times New Roman"/>
          <w:lang w:val="lt-LT"/>
        </w:rPr>
      </w:pPr>
      <w:r w:rsidRPr="007246B9">
        <w:rPr>
          <w:rFonts w:ascii="Times New Roman" w:hAnsi="Times New Roman"/>
          <w:lang w:val="lt-LT"/>
        </w:rPr>
        <w:t>II. Įgyvendinimo etapas (2023-2050 m.).</w:t>
      </w:r>
    </w:p>
    <w:p w14:paraId="7BAA4A38" w14:textId="77777777" w:rsidR="00E60DE6" w:rsidRPr="007246B9" w:rsidRDefault="00E60DE6" w:rsidP="00E60DE6">
      <w:pPr>
        <w:spacing w:line="240" w:lineRule="auto"/>
        <w:jc w:val="both"/>
        <w:rPr>
          <w:rFonts w:ascii="Times New Roman" w:hAnsi="Times New Roman"/>
          <w:color w:val="000000" w:themeColor="text1"/>
          <w:szCs w:val="22"/>
        </w:rPr>
      </w:pPr>
    </w:p>
    <w:p w14:paraId="4EEE317E" w14:textId="77777777" w:rsidR="00E60DE6" w:rsidRPr="007246B9" w:rsidRDefault="00E60DE6" w:rsidP="00E60DE6">
      <w:pPr>
        <w:spacing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t>Paveiksle žemiau pateikiamas pagrindinių IRS įgyvendinimo etapų ir veiksmų plano suvestinė. Svarbu pažymėti, kad IRS įgyvendinimo metu planuojama, kad IRS bus 2 kartus atnaujinta iš esmės (rengiant NECP 2040 ir NECP 2050) ir 3 kartus patikslinta (tikslinant NECP 2030, NECP 2040 ir NECP 2050, jų įgyvendinimo laikotarpio viduryje).</w:t>
      </w:r>
    </w:p>
    <w:p w14:paraId="22ED7EE0" w14:textId="77777777" w:rsidR="00E60DE6" w:rsidRPr="007246B9" w:rsidRDefault="00E60DE6" w:rsidP="00E60DE6">
      <w:pPr>
        <w:spacing w:line="240" w:lineRule="auto"/>
        <w:jc w:val="both"/>
        <w:rPr>
          <w:rFonts w:ascii="Times New Roman" w:hAnsi="Times New Roman"/>
          <w:color w:val="000000" w:themeColor="text1"/>
          <w:szCs w:val="22"/>
        </w:rPr>
      </w:pPr>
    </w:p>
    <w:p w14:paraId="0C291186" w14:textId="77777777" w:rsidR="00E60DE6" w:rsidRPr="007246B9" w:rsidRDefault="00E60DE6" w:rsidP="00E60DE6">
      <w:pPr>
        <w:pStyle w:val="BodyText"/>
        <w:rPr>
          <w:rFonts w:ascii="Times New Roman" w:hAnsi="Times New Roman"/>
          <w:color w:val="000000" w:themeColor="text1"/>
          <w:szCs w:val="22"/>
          <w:lang w:val="lt-LT"/>
        </w:rPr>
      </w:pPr>
      <w:r w:rsidRPr="007246B9">
        <w:rPr>
          <w:noProof/>
          <w:lang w:val="lt-LT" w:eastAsia="lt-LT"/>
        </w:rPr>
        <w:drawing>
          <wp:inline distT="0" distB="0" distL="0" distR="0" wp14:anchorId="5A1F0548" wp14:editId="28C8F3AF">
            <wp:extent cx="6064370" cy="3512390"/>
            <wp:effectExtent l="19050" t="19050" r="12700"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4952" cy="3512727"/>
                    </a:xfrm>
                    <a:prstGeom prst="rect">
                      <a:avLst/>
                    </a:prstGeom>
                    <a:ln w="19050">
                      <a:solidFill>
                        <a:schemeClr val="bg1">
                          <a:lumMod val="75000"/>
                        </a:schemeClr>
                      </a:solidFill>
                    </a:ln>
                  </pic:spPr>
                </pic:pic>
              </a:graphicData>
            </a:graphic>
          </wp:inline>
        </w:drawing>
      </w:r>
    </w:p>
    <w:p w14:paraId="1E91F35C" w14:textId="0689F8C4" w:rsidR="00E60DE6" w:rsidRPr="007246B9" w:rsidRDefault="00E60DE6" w:rsidP="00E60DE6">
      <w:pPr>
        <w:spacing w:line="240" w:lineRule="auto"/>
        <w:jc w:val="both"/>
        <w:rPr>
          <w:rFonts w:ascii="Times New Roman" w:eastAsia="Times New Roman" w:hAnsi="Times New Roman"/>
          <w:i/>
          <w:color w:val="000000" w:themeColor="text1"/>
          <w:sz w:val="20"/>
          <w:szCs w:val="28"/>
        </w:rPr>
      </w:pPr>
      <w:r w:rsidRPr="007246B9">
        <w:rPr>
          <w:rFonts w:ascii="Times New Roman" w:eastAsia="Times New Roman" w:hAnsi="Times New Roman"/>
          <w:i/>
          <w:color w:val="000000" w:themeColor="text1"/>
          <w:sz w:val="20"/>
          <w:szCs w:val="28"/>
        </w:rPr>
        <w:t xml:space="preserve">Šaltinis: </w:t>
      </w:r>
      <w:r w:rsidR="00A0696E" w:rsidRPr="007246B9">
        <w:rPr>
          <w:rFonts w:ascii="Times New Roman" w:eastAsia="Times New Roman" w:hAnsi="Times New Roman"/>
          <w:i/>
          <w:color w:val="000000" w:themeColor="text1"/>
          <w:sz w:val="20"/>
          <w:szCs w:val="28"/>
        </w:rPr>
        <w:t>Studijos Lietuvos ilgalaikei renovacijos strategijai parengti autoriai</w:t>
      </w:r>
    </w:p>
    <w:p w14:paraId="3FDE648A" w14:textId="77777777" w:rsidR="00E60DE6" w:rsidRPr="007246B9" w:rsidRDefault="00E60DE6" w:rsidP="00E60DE6">
      <w:pPr>
        <w:spacing w:after="60" w:line="240" w:lineRule="auto"/>
        <w:jc w:val="both"/>
        <w:rPr>
          <w:rFonts w:ascii="Times New Roman" w:hAnsi="Times New Roman"/>
          <w:color w:val="000000" w:themeColor="text1"/>
          <w:szCs w:val="22"/>
        </w:rPr>
      </w:pPr>
      <w:r w:rsidRPr="007246B9">
        <w:rPr>
          <w:rFonts w:ascii="Times New Roman" w:hAnsi="Times New Roman"/>
          <w:color w:val="000000" w:themeColor="text1"/>
          <w:szCs w:val="22"/>
        </w:rPr>
        <w:lastRenderedPageBreak/>
        <w:t>Žemiau pateikiamas pagrindinių IRS įgyvendinimo etapų aprašymas.</w:t>
      </w:r>
    </w:p>
    <w:p w14:paraId="342C8BB3" w14:textId="77777777" w:rsidR="00E60DE6" w:rsidRPr="007246B9" w:rsidRDefault="00E60DE6" w:rsidP="00E60DE6">
      <w:pPr>
        <w:pStyle w:val="BodyText"/>
        <w:numPr>
          <w:ilvl w:val="0"/>
          <w:numId w:val="69"/>
        </w:numPr>
        <w:spacing w:after="120"/>
        <w:ind w:left="284" w:hanging="284"/>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Darbo grupės sukūrimas </w:t>
      </w:r>
    </w:p>
    <w:p w14:paraId="2BF82679" w14:textId="407B9AEA" w:rsidR="00E60DE6" w:rsidRPr="007246B9" w:rsidRDefault="00E60DE6" w:rsidP="00E60DE6">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Už IRS įgyvendinimą atsakingo organizacinio struktūrinio vieneto, pvz., </w:t>
      </w:r>
      <w:proofErr w:type="spellStart"/>
      <w:r w:rsidRPr="007246B9">
        <w:rPr>
          <w:rFonts w:ascii="Times New Roman" w:hAnsi="Times New Roman"/>
          <w:color w:val="000000" w:themeColor="text1"/>
          <w:szCs w:val="22"/>
          <w:lang w:val="lt-LT"/>
        </w:rPr>
        <w:t>tarpinstitucinės</w:t>
      </w:r>
      <w:proofErr w:type="spellEnd"/>
      <w:r w:rsidRPr="007246B9">
        <w:rPr>
          <w:rFonts w:ascii="Times New Roman" w:hAnsi="Times New Roman"/>
          <w:color w:val="000000" w:themeColor="text1"/>
          <w:szCs w:val="22"/>
          <w:lang w:val="lt-LT"/>
        </w:rPr>
        <w:t xml:space="preserve"> darbo grupės (komiteto), įkūrimas yra pirmas žingsnis siekiant įgyvendinti IRS pagal gerąją praktiką atitinkančius projektinio valdymo principus. Proje</w:t>
      </w:r>
      <w:r w:rsidR="00A0696E" w:rsidRPr="007246B9">
        <w:rPr>
          <w:rFonts w:ascii="Times New Roman" w:hAnsi="Times New Roman"/>
          <w:color w:val="000000" w:themeColor="text1"/>
          <w:szCs w:val="22"/>
          <w:lang w:val="lt-LT"/>
        </w:rPr>
        <w:t>kto valdytojas įgyvendintų IRS p</w:t>
      </w:r>
      <w:r w:rsidRPr="007246B9">
        <w:rPr>
          <w:rFonts w:ascii="Times New Roman" w:hAnsi="Times New Roman"/>
          <w:color w:val="000000" w:themeColor="text1"/>
          <w:szCs w:val="22"/>
          <w:lang w:val="lt-LT"/>
        </w:rPr>
        <w:t>rojekto valdytojo funkcijas t.y., nustatytų įgaliojimų ribose, būtų atsakinga už IRS tikslų nustatymą, peržiūrą ir atnaujinimą, IRS suderinamumą su kitomis energinio efektyvumo ir AEI skatinimo politikos priemonėmis, energetikos sektoriaus planavimu ir pan.</w:t>
      </w:r>
    </w:p>
    <w:p w14:paraId="69E8BEA1" w14:textId="77777777" w:rsidR="00E60DE6" w:rsidRPr="007246B9" w:rsidRDefault="00E60DE6" w:rsidP="00E60DE6">
      <w:pPr>
        <w:pStyle w:val="BodyText"/>
        <w:spacing w:after="120"/>
        <w:rPr>
          <w:rFonts w:ascii="Times New Roman" w:hAnsi="Times New Roman"/>
          <w:color w:val="000000" w:themeColor="text1"/>
          <w:szCs w:val="22"/>
          <w:lang w:val="lt-LT"/>
        </w:rPr>
      </w:pPr>
    </w:p>
    <w:p w14:paraId="20E61C0E" w14:textId="77777777" w:rsidR="00E60DE6" w:rsidRPr="007246B9" w:rsidRDefault="00E60DE6" w:rsidP="00E60DE6">
      <w:pPr>
        <w:pStyle w:val="BodyText"/>
        <w:numPr>
          <w:ilvl w:val="0"/>
          <w:numId w:val="69"/>
        </w:numPr>
        <w:spacing w:after="120"/>
        <w:ind w:left="284" w:hanging="284"/>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IRS integracija į teisės aktų sistemą</w:t>
      </w:r>
    </w:p>
    <w:p w14:paraId="36CEF856" w14:textId="0EED0E9B" w:rsidR="00E60DE6" w:rsidRPr="007246B9" w:rsidRDefault="00E60DE6" w:rsidP="00A0696E">
      <w:pPr>
        <w:pStyle w:val="BodyText"/>
        <w:jc w:val="both"/>
        <w:rPr>
          <w:rFonts w:ascii="Times New Roman" w:hAnsi="Times New Roman"/>
          <w:color w:val="000000" w:themeColor="text1"/>
          <w:szCs w:val="24"/>
          <w:lang w:val="lt-LT"/>
        </w:rPr>
      </w:pPr>
      <w:r w:rsidRPr="007246B9">
        <w:rPr>
          <w:rFonts w:ascii="Times New Roman" w:hAnsi="Times New Roman"/>
          <w:color w:val="000000" w:themeColor="text1"/>
          <w:szCs w:val="24"/>
          <w:lang w:val="lt-LT"/>
        </w:rPr>
        <w:t>IRS įgyvendinimo  procesas yra itin fragmentuotas, su daug susijusių šalių, turinčių skirtingus interesus, veikiančių vadovaujantis skirtingais teisės aktais, savo indėlį į IRS įgyvendinimą finansuojančių skirtingais finansavimo šaltiniais ir pan. Atitinkamai, tam, kad IRS įgyvendinimui nekiltų s</w:t>
      </w:r>
      <w:r w:rsidR="00A0696E" w:rsidRPr="007246B9">
        <w:rPr>
          <w:rFonts w:ascii="Times New Roman" w:hAnsi="Times New Roman"/>
          <w:color w:val="000000" w:themeColor="text1"/>
          <w:szCs w:val="24"/>
          <w:lang w:val="lt-LT"/>
        </w:rPr>
        <w:t>u teisėkūra susijusių kliūčių, p</w:t>
      </w:r>
      <w:r w:rsidRPr="007246B9">
        <w:rPr>
          <w:rFonts w:ascii="Times New Roman" w:hAnsi="Times New Roman"/>
          <w:color w:val="000000" w:themeColor="text1"/>
          <w:szCs w:val="24"/>
          <w:lang w:val="lt-LT"/>
        </w:rPr>
        <w:t>rojekto valdytojas turėtų inicijuoti IRS integraciją į teisės aktų sistemą.</w:t>
      </w:r>
    </w:p>
    <w:p w14:paraId="3D19DE5F" w14:textId="77777777" w:rsidR="00E60DE6" w:rsidRPr="007246B9" w:rsidRDefault="00E60DE6" w:rsidP="00A0696E">
      <w:pPr>
        <w:pStyle w:val="BodyText"/>
        <w:jc w:val="both"/>
        <w:rPr>
          <w:rFonts w:ascii="Times New Roman" w:hAnsi="Times New Roman"/>
          <w:color w:val="000000" w:themeColor="text1"/>
          <w:szCs w:val="22"/>
          <w:lang w:val="lt-LT"/>
        </w:rPr>
      </w:pPr>
    </w:p>
    <w:p w14:paraId="2474C844"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IRS įgyvendinimo plano parengimas </w:t>
      </w:r>
    </w:p>
    <w:p w14:paraId="2F33A5CE"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Vadovaujantis strateginio planavimo praktika ir reikalavimais, ilgalaikiai IRS tikslai ir prioritetai detalizuojami trumpos-vidutinės trukmės planavimo dokumente (pvz., IRS įgyvendinimo plane arba </w:t>
      </w:r>
      <w:proofErr w:type="spellStart"/>
      <w:r w:rsidRPr="007246B9">
        <w:rPr>
          <w:rFonts w:ascii="Times New Roman" w:hAnsi="Times New Roman"/>
          <w:color w:val="000000" w:themeColor="text1"/>
          <w:szCs w:val="22"/>
          <w:lang w:val="lt-LT"/>
        </w:rPr>
        <w:t>tarpinstituciniame</w:t>
      </w:r>
      <w:proofErr w:type="spellEnd"/>
      <w:r w:rsidRPr="007246B9">
        <w:rPr>
          <w:rFonts w:ascii="Times New Roman" w:hAnsi="Times New Roman"/>
          <w:color w:val="000000" w:themeColor="text1"/>
          <w:szCs w:val="22"/>
          <w:lang w:val="lt-LT"/>
        </w:rPr>
        <w:t xml:space="preserve"> IRS įgyvendinimo veiklos plane), apimančiame visas suinteresuotas institucijas ir nustatančiame 2021-2030 m. laikotarpio</w:t>
      </w:r>
      <w:r w:rsidRPr="007246B9">
        <w:rPr>
          <w:rFonts w:ascii="Times New Roman" w:hAnsi="Times New Roman"/>
          <w:color w:val="000000" w:themeColor="text1"/>
          <w:szCs w:val="22"/>
          <w:vertAlign w:val="superscript"/>
          <w:lang w:val="lt-LT"/>
        </w:rPr>
        <w:footnoteReference w:id="3"/>
      </w:r>
      <w:r w:rsidRPr="007246B9">
        <w:rPr>
          <w:rFonts w:ascii="Times New Roman" w:hAnsi="Times New Roman"/>
          <w:color w:val="000000" w:themeColor="text1"/>
          <w:szCs w:val="22"/>
          <w:lang w:val="lt-LT"/>
        </w:rPr>
        <w:t xml:space="preserve"> IRS tikslus,  uždavinius, priemones (žr. 4 etapą) ir asignavimus jiems įgyvendinti. </w:t>
      </w:r>
    </w:p>
    <w:p w14:paraId="6B6CA627"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422F099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Priemonių paketo suformavimas</w:t>
      </w:r>
    </w:p>
    <w:p w14:paraId="21900DEC" w14:textId="77777777" w:rsidR="00E60DE6" w:rsidRPr="007246B9" w:rsidRDefault="00E60DE6" w:rsidP="00A0696E">
      <w:pPr>
        <w:pStyle w:val="BodyText"/>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Suformuojamas IRS tikslus atitinkantis paramos priemonių paketas, kuris pilnai pakeistų esamas paramos priemones nuo 2023 metų ir užtikrintų:</w:t>
      </w:r>
    </w:p>
    <w:p w14:paraId="2E72DA52" w14:textId="77777777" w:rsidR="00E60DE6" w:rsidRPr="007246B9" w:rsidRDefault="00E60DE6" w:rsidP="00A0696E">
      <w:pPr>
        <w:pStyle w:val="BodyText"/>
        <w:numPr>
          <w:ilvl w:val="0"/>
          <w:numId w:val="70"/>
        </w:numPr>
        <w:spacing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tinkamą IRS prioritetų įgyvendinimą;</w:t>
      </w:r>
    </w:p>
    <w:p w14:paraId="072E4F7D" w14:textId="77777777" w:rsidR="00E60DE6" w:rsidRPr="007246B9" w:rsidRDefault="00E60DE6" w:rsidP="00A0696E">
      <w:pPr>
        <w:pStyle w:val="BodyText"/>
        <w:numPr>
          <w:ilvl w:val="0"/>
          <w:numId w:val="70"/>
        </w:numPr>
        <w:spacing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subalansuotų kompleksinių motyvacijos priemonių (tiek skatinimo, tiek nuobaudų) taikymą ir renovacijos tempų ir naudų maksimizavimą;</w:t>
      </w:r>
    </w:p>
    <w:p w14:paraId="16AC1DC5" w14:textId="77777777" w:rsidR="00E60DE6" w:rsidRPr="007246B9" w:rsidRDefault="00E60DE6" w:rsidP="00A0696E">
      <w:pPr>
        <w:pStyle w:val="BodyText"/>
        <w:numPr>
          <w:ilvl w:val="0"/>
          <w:numId w:val="70"/>
        </w:numPr>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finansavimo šaltinių ir mechanizmų pakankamumą ir prieinamumą;</w:t>
      </w:r>
    </w:p>
    <w:p w14:paraId="63FEBA3F" w14:textId="77777777" w:rsidR="00E60DE6" w:rsidRPr="007246B9" w:rsidRDefault="00E60DE6" w:rsidP="00A0696E">
      <w:pPr>
        <w:pStyle w:val="BodyText"/>
        <w:numPr>
          <w:ilvl w:val="0"/>
          <w:numId w:val="70"/>
        </w:numPr>
        <w:spacing w:after="12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minimalių energinio naudingumo (energijos vartojimo) reikalavimų po renovacijos nustatymą;</w:t>
      </w:r>
    </w:p>
    <w:p w14:paraId="3E3BFF1E" w14:textId="77777777" w:rsidR="00E60DE6" w:rsidRPr="007246B9" w:rsidRDefault="00E60DE6" w:rsidP="00A0696E">
      <w:pPr>
        <w:pStyle w:val="BodyText"/>
        <w:jc w:val="both"/>
        <w:rPr>
          <w:rFonts w:ascii="Times New Roman" w:hAnsi="Times New Roman"/>
          <w:color w:val="000000" w:themeColor="text1"/>
          <w:szCs w:val="22"/>
          <w:lang w:val="lt-LT"/>
        </w:rPr>
      </w:pPr>
    </w:p>
    <w:p w14:paraId="1EB701E2"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Įgyvendinimo sistemos suformavimas </w:t>
      </w:r>
    </w:p>
    <w:p w14:paraId="6DD008BA" w14:textId="2BF78560"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Siekiant užtikrinti sklandų renovacijos įgyvendinimo procesą ir sudaryti sąlygas pasiekti ko</w:t>
      </w:r>
      <w:r w:rsidR="00A0696E" w:rsidRPr="007246B9">
        <w:rPr>
          <w:rFonts w:ascii="Times New Roman" w:hAnsi="Times New Roman"/>
          <w:color w:val="000000" w:themeColor="text1"/>
          <w:szCs w:val="22"/>
          <w:lang w:val="lt-LT"/>
        </w:rPr>
        <w:t>kybišką renovacijos rezultatą, p</w:t>
      </w:r>
      <w:r w:rsidRPr="007246B9">
        <w:rPr>
          <w:rFonts w:ascii="Times New Roman" w:hAnsi="Times New Roman"/>
          <w:color w:val="000000" w:themeColor="text1"/>
          <w:szCs w:val="22"/>
          <w:lang w:val="lt-LT"/>
        </w:rPr>
        <w:t xml:space="preserve">rojekto valdytojas turėtų suformuoti IRS įgyvendinimo sistemą. Pagrindinius sistemos elementus turėtų sudaryti kompetencijų centras, kokybės kontrolės mechanizmas ir </w:t>
      </w:r>
      <w:proofErr w:type="spellStart"/>
      <w:r w:rsidRPr="007246B9">
        <w:rPr>
          <w:rFonts w:ascii="Times New Roman" w:hAnsi="Times New Roman"/>
          <w:color w:val="000000" w:themeColor="text1"/>
          <w:szCs w:val="22"/>
          <w:lang w:val="lt-LT"/>
        </w:rPr>
        <w:t>stebėsenos</w:t>
      </w:r>
      <w:proofErr w:type="spellEnd"/>
      <w:r w:rsidRPr="007246B9">
        <w:rPr>
          <w:rFonts w:ascii="Times New Roman" w:hAnsi="Times New Roman"/>
          <w:color w:val="000000" w:themeColor="text1"/>
          <w:szCs w:val="22"/>
          <w:lang w:val="lt-LT"/>
        </w:rPr>
        <w:t xml:space="preserve"> sistema</w:t>
      </w:r>
    </w:p>
    <w:p w14:paraId="60EBA84D"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4BA47EFE"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Komunikacijos plano parengimas </w:t>
      </w:r>
    </w:p>
    <w:p w14:paraId="00A8BB22"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Projekto valdytojas turėtų parengti IRS komunikacijos strategiją, apimančią komunikaciją tiek apie ilgalaikius renovacijos tikslus, tiek apie konkrečias renovacijos priemones. Turėtų būti paskirtas už komunikacijos įgyvendinimą atsakingą institucija. </w:t>
      </w:r>
    </w:p>
    <w:p w14:paraId="641FA732" w14:textId="77777777" w:rsidR="00E60DE6" w:rsidRPr="007246B9" w:rsidRDefault="00E60DE6" w:rsidP="00A0696E">
      <w:pPr>
        <w:pStyle w:val="BodyText"/>
        <w:spacing w:after="120"/>
        <w:jc w:val="both"/>
        <w:rPr>
          <w:rFonts w:ascii="Times New Roman" w:hAnsi="Times New Roman"/>
          <w:color w:val="000000" w:themeColor="text1"/>
          <w:szCs w:val="22"/>
          <w:lang w:val="lt-LT"/>
        </w:rPr>
      </w:pPr>
    </w:p>
    <w:p w14:paraId="2D5E0A93"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Duomenų bazės parengimas </w:t>
      </w:r>
    </w:p>
    <w:p w14:paraId="0BC86D71"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Siekiant spręsti duomenų nepakankamumo problemą, turėtų būti suformuota pastatų fondo duomenų bazė, paskirtas </w:t>
      </w:r>
      <w:r w:rsidRPr="007246B9">
        <w:rPr>
          <w:rFonts w:ascii="Times New Roman" w:hAnsi="Times New Roman"/>
          <w:szCs w:val="22"/>
          <w:lang w:val="lt-LT"/>
        </w:rPr>
        <w:t>ilgalaikis duomenų bazės administratorius ir užtikrintas jos finansavimo šaltinis</w:t>
      </w:r>
      <w:r w:rsidRPr="007246B9">
        <w:rPr>
          <w:rFonts w:ascii="Times New Roman" w:hAnsi="Times New Roman"/>
          <w:color w:val="000000" w:themeColor="text1"/>
          <w:szCs w:val="22"/>
          <w:lang w:val="lt-LT"/>
        </w:rPr>
        <w:t>. Duomenų bazės turėtų būti formuojama šiais etapais:</w:t>
      </w:r>
    </w:p>
    <w:p w14:paraId="231B38D5" w14:textId="77777777" w:rsidR="00E60DE6" w:rsidRPr="007246B9" w:rsidRDefault="00E60DE6" w:rsidP="00A0696E">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Nustatomi reikalavimai duomenų surinkimui savivaldybėse;</w:t>
      </w:r>
    </w:p>
    <w:p w14:paraId="6660005E" w14:textId="77777777" w:rsidR="00E60DE6" w:rsidRPr="007246B9" w:rsidRDefault="00E60DE6" w:rsidP="00A0696E">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Renkami duomenys savivaldybėse (žr. 9 etapą) bei  parengta metodika duomenų apdorojimui ir palyginimui su išoriniais šaltiniais.</w:t>
      </w:r>
    </w:p>
    <w:p w14:paraId="0BFB10CF" w14:textId="77777777" w:rsidR="00E60DE6" w:rsidRPr="007246B9" w:rsidRDefault="00E60DE6" w:rsidP="00E60DE6">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lastRenderedPageBreak/>
        <w:t>Konsoliduojami savivaldybių pateikti duomenys, užpildant duomenų bazę ir (pagal poreikį) atnaujinant IRS rodiklius (žr. 13 etapą).</w:t>
      </w:r>
    </w:p>
    <w:p w14:paraId="39C095F0" w14:textId="77777777" w:rsidR="00E60DE6" w:rsidRPr="007246B9" w:rsidRDefault="00E60DE6" w:rsidP="00E60DE6">
      <w:pPr>
        <w:pStyle w:val="BodyText"/>
        <w:numPr>
          <w:ilvl w:val="0"/>
          <w:numId w:val="75"/>
        </w:numPr>
        <w:spacing w:before="120" w:after="60"/>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Nustatomas duomenų apie atliktą renovaciją rinkimo procesas, kurio metu būtų papildomi esami pastatų fondo duomenys. </w:t>
      </w:r>
    </w:p>
    <w:p w14:paraId="2C44EFA1" w14:textId="77777777" w:rsidR="00E60DE6" w:rsidRPr="007246B9" w:rsidRDefault="00E60DE6" w:rsidP="00A0696E">
      <w:pPr>
        <w:pStyle w:val="BodyText"/>
        <w:jc w:val="both"/>
        <w:rPr>
          <w:rFonts w:ascii="Times New Roman" w:hAnsi="Times New Roman"/>
          <w:color w:val="000000" w:themeColor="text1"/>
          <w:szCs w:val="22"/>
          <w:lang w:val="lt-LT"/>
        </w:rPr>
      </w:pPr>
    </w:p>
    <w:p w14:paraId="6BA9CC5A"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Esamų programų įgyvendinimas</w:t>
      </w:r>
    </w:p>
    <w:p w14:paraId="6C1182DE"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Pasirengimo etapo metu turi būti užtikrinamas esamų paramos programų vykdymas. Suformavus naujų paramos priemonių paketą (žr. 4 etapą) pradedamas IRS įgyvendinimo etapas ir naujų paramos priemonių įgyvendinimas (žr. 12 etapą).</w:t>
      </w:r>
    </w:p>
    <w:p w14:paraId="76D66752" w14:textId="77777777" w:rsidR="00E60DE6" w:rsidRPr="007246B9" w:rsidRDefault="00E60DE6" w:rsidP="00A0696E">
      <w:pPr>
        <w:pStyle w:val="BodyText"/>
        <w:jc w:val="both"/>
        <w:rPr>
          <w:rFonts w:ascii="Times New Roman" w:hAnsi="Times New Roman"/>
          <w:color w:val="000000" w:themeColor="text1"/>
          <w:szCs w:val="22"/>
          <w:lang w:val="lt-LT"/>
        </w:rPr>
      </w:pPr>
    </w:p>
    <w:p w14:paraId="1A46AB8E"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Pastatų fondo inventorizacija</w:t>
      </w:r>
    </w:p>
    <w:p w14:paraId="24301651"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Remdamosi parengtais duomenų surinkimo nurodymais ir reikalaujama duomenų struktūra (žr. 7 etapą), savivaldybės turėtų surinkti faktinę informaciją apie esamą pastatų fondą: naudojamų (šildomų) pastatų skaičių ir plotą, jų energijos gamybos šaltinius ir energijos vartojimą. Surinkta informacija turėtų būti teikiama į centralizuotą duomenų bazę, taip pat naudojama IRS įgyvendinimo planų savivaldybėse (žr. 10 etapą) rengimui.</w:t>
      </w:r>
    </w:p>
    <w:p w14:paraId="63D4EFF3" w14:textId="77777777" w:rsidR="00E60DE6" w:rsidRPr="007246B9" w:rsidRDefault="00E60DE6" w:rsidP="00A0696E">
      <w:pPr>
        <w:jc w:val="both"/>
        <w:rPr>
          <w:rFonts w:ascii="Times New Roman" w:hAnsi="Times New Roman"/>
          <w:b/>
          <w:bCs/>
          <w:color w:val="000000" w:themeColor="text1"/>
          <w:szCs w:val="22"/>
        </w:rPr>
      </w:pPr>
    </w:p>
    <w:p w14:paraId="7B0624E6"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IRS įgyvendinimo planų parengimas</w:t>
      </w:r>
    </w:p>
    <w:p w14:paraId="35C293C6"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Remdamosi IRS nustatytais ilgalaikiais tikslais ir surinkta faktine informacija apie savivaldybių pastatų fondą (žr. 9 etapą), savivaldybės turi parenti savivaldybių IRS įgyvendinimo planus, kurie apimtų planuojamus rodiklius savivaldybės lygmeniu bei integraciją su kitais planavimo dokumentais. </w:t>
      </w:r>
    </w:p>
    <w:p w14:paraId="04ABF551" w14:textId="77777777" w:rsidR="00E60DE6" w:rsidRPr="007246B9" w:rsidRDefault="00E60DE6" w:rsidP="00A0696E">
      <w:pPr>
        <w:pStyle w:val="BodyText"/>
        <w:jc w:val="both"/>
        <w:rPr>
          <w:rFonts w:ascii="Times New Roman" w:hAnsi="Times New Roman"/>
          <w:color w:val="000000" w:themeColor="text1"/>
          <w:szCs w:val="22"/>
          <w:lang w:val="lt-LT"/>
        </w:rPr>
      </w:pPr>
    </w:p>
    <w:p w14:paraId="53EEC47F"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Įgyvendinimo sistemos adaptavimas </w:t>
      </w:r>
    </w:p>
    <w:p w14:paraId="09F50C17"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Savivaldybės turėtų adaptuoti paramos priemones (žr. 4 etapą) ir nacionalinę IRS įgyvendinimo sistemą (žr. 5 etapą) vietos savivaldos lygmeniu, užtikrinant „vieno langelio“ principo įgyvendinimą. </w:t>
      </w:r>
    </w:p>
    <w:p w14:paraId="18DD7A91" w14:textId="77777777" w:rsidR="00E60DE6" w:rsidRPr="007246B9" w:rsidRDefault="00E60DE6" w:rsidP="00A0696E">
      <w:pPr>
        <w:pStyle w:val="BodyText"/>
        <w:jc w:val="both"/>
        <w:rPr>
          <w:rFonts w:ascii="Times New Roman" w:hAnsi="Times New Roman"/>
          <w:color w:val="000000" w:themeColor="text1"/>
          <w:szCs w:val="22"/>
          <w:lang w:val="lt-LT"/>
        </w:rPr>
      </w:pPr>
    </w:p>
    <w:p w14:paraId="03B3C69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Naujo programų paketo įgyvendinimas</w:t>
      </w:r>
    </w:p>
    <w:p w14:paraId="22D69EB8"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Suformavus naujų paramos priemonių paketą (žr. 4 etapą) pradedamas IRS įgyvendinimo etapas ir naujų paramos priemonių įgyvendinimas. </w:t>
      </w:r>
    </w:p>
    <w:p w14:paraId="1E93C918" w14:textId="77777777" w:rsidR="00E60DE6" w:rsidRPr="007246B9" w:rsidRDefault="00E60DE6" w:rsidP="00A0696E">
      <w:pPr>
        <w:pStyle w:val="BodyText"/>
        <w:jc w:val="both"/>
        <w:rPr>
          <w:rFonts w:ascii="Times New Roman" w:hAnsi="Times New Roman"/>
          <w:color w:val="000000" w:themeColor="text1"/>
          <w:szCs w:val="22"/>
          <w:lang w:val="lt-LT"/>
        </w:rPr>
      </w:pPr>
    </w:p>
    <w:p w14:paraId="269665CD"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ir IRS atnaujinimas</w:t>
      </w:r>
    </w:p>
    <w:p w14:paraId="72CC3945"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Įgyvendinant ES direktyvų reikalavimus, IRS yra integruota NECP dalis. Atsižvelgiant į NECP taikomus reikalavimus, IRS turi būti atnaujinta ir pateikta Europos Komisijai kartu su atnaujintu NECP iki 2024 m. birželio mėnesio. </w:t>
      </w:r>
    </w:p>
    <w:p w14:paraId="1FBDF711" w14:textId="77777777" w:rsidR="00E60DE6" w:rsidRPr="007246B9" w:rsidRDefault="00E60DE6" w:rsidP="00A0696E">
      <w:pPr>
        <w:pStyle w:val="BodyText"/>
        <w:jc w:val="both"/>
        <w:rPr>
          <w:rFonts w:ascii="Times New Roman" w:hAnsi="Times New Roman"/>
          <w:color w:val="000000" w:themeColor="text1"/>
          <w:szCs w:val="22"/>
          <w:lang w:val="lt-LT"/>
        </w:rPr>
      </w:pPr>
    </w:p>
    <w:p w14:paraId="55BC0956"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2040 parengimas ir IRS atnaujinimas</w:t>
      </w:r>
    </w:p>
    <w:p w14:paraId="29BF10FE"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Įgyvendinant ES direktyvų reikalavimus, IRS yra integruota NECP dalis. Atsižvelgiant į NECP taikomus reikalavimus, naujo laikotarpio (2031-2040 m.) NECP turėti būti parengtas ir pateiktas Europos Komisijai iki 2029 m. sausio 1 d.</w:t>
      </w:r>
    </w:p>
    <w:p w14:paraId="21FBB791" w14:textId="77777777" w:rsidR="00E60DE6" w:rsidRPr="007246B9" w:rsidRDefault="00E60DE6" w:rsidP="00A0696E">
      <w:pPr>
        <w:pStyle w:val="BodyText"/>
        <w:jc w:val="both"/>
        <w:rPr>
          <w:rFonts w:ascii="Times New Roman" w:hAnsi="Times New Roman"/>
          <w:color w:val="000000" w:themeColor="text1"/>
          <w:szCs w:val="22"/>
          <w:lang w:val="lt-LT"/>
        </w:rPr>
      </w:pPr>
    </w:p>
    <w:p w14:paraId="50BE009A"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Naujų programų įgyvendinimas</w:t>
      </w:r>
    </w:p>
    <w:p w14:paraId="242A065D"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Suformavus naujų paramos priemonių paketą (žr. 14 etapą) tęsiamas IRS įgyvendinimo etapas ir naujų paramos priemonių įgyvendinimas. </w:t>
      </w:r>
    </w:p>
    <w:p w14:paraId="7B42DF45" w14:textId="77777777" w:rsidR="00E60DE6" w:rsidRPr="007246B9" w:rsidRDefault="00E60DE6" w:rsidP="00A0696E">
      <w:pPr>
        <w:pStyle w:val="BodyText"/>
        <w:jc w:val="both"/>
        <w:rPr>
          <w:rFonts w:ascii="Times New Roman" w:hAnsi="Times New Roman"/>
          <w:color w:val="000000" w:themeColor="text1"/>
          <w:szCs w:val="22"/>
          <w:lang w:val="lt-LT"/>
        </w:rPr>
      </w:pPr>
    </w:p>
    <w:p w14:paraId="4F7C50D4"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NECP 2050 parengimas ir IRS atnaujinimas</w:t>
      </w:r>
    </w:p>
    <w:p w14:paraId="6F35AB1B" w14:textId="77777777" w:rsidR="00E60DE6" w:rsidRPr="007246B9" w:rsidRDefault="00E60DE6" w:rsidP="00A0696E">
      <w:pPr>
        <w:pStyle w:val="BodyText"/>
        <w:jc w:val="both"/>
        <w:rPr>
          <w:rFonts w:ascii="Times New Roman" w:hAnsi="Times New Roman"/>
          <w:color w:val="000000" w:themeColor="text1"/>
          <w:szCs w:val="22"/>
          <w:lang w:val="lt-LT"/>
        </w:rPr>
      </w:pPr>
      <w:r w:rsidRPr="007246B9">
        <w:rPr>
          <w:rFonts w:ascii="Times New Roman" w:hAnsi="Times New Roman"/>
          <w:color w:val="000000" w:themeColor="text1"/>
          <w:szCs w:val="22"/>
          <w:lang w:val="lt-LT"/>
        </w:rPr>
        <w:t xml:space="preserve">Įgyvendinant ES direktyvų reikalavimus, IRS yra integruota NECP dalis. Atsižvelgiant į šiuo metu NECP taikomus reikalavimus, naujo laikotarpio (2041-2050 m.) NECP turėtų būti parengtas ir pateiktas Europos Komisijai iki 2039 m. sausio 1 d. </w:t>
      </w:r>
    </w:p>
    <w:p w14:paraId="78F21FB2" w14:textId="77777777" w:rsidR="00E60DE6" w:rsidRPr="007246B9" w:rsidRDefault="00E60DE6" w:rsidP="00A0696E">
      <w:pPr>
        <w:pStyle w:val="BodyText"/>
        <w:jc w:val="both"/>
        <w:rPr>
          <w:rFonts w:ascii="Times New Roman" w:hAnsi="Times New Roman"/>
          <w:color w:val="000000" w:themeColor="text1"/>
          <w:szCs w:val="22"/>
          <w:lang w:val="lt-LT"/>
        </w:rPr>
      </w:pPr>
    </w:p>
    <w:p w14:paraId="7BB6D749" w14:textId="77777777" w:rsidR="00E60DE6" w:rsidRPr="007246B9" w:rsidRDefault="00E60DE6" w:rsidP="00A0696E">
      <w:pPr>
        <w:pStyle w:val="BodyText"/>
        <w:numPr>
          <w:ilvl w:val="0"/>
          <w:numId w:val="69"/>
        </w:numPr>
        <w:spacing w:after="120"/>
        <w:ind w:left="284" w:hanging="284"/>
        <w:jc w:val="both"/>
        <w:rPr>
          <w:rFonts w:ascii="Times New Roman" w:hAnsi="Times New Roman"/>
          <w:b/>
          <w:bCs/>
          <w:color w:val="000000" w:themeColor="text1"/>
          <w:szCs w:val="22"/>
          <w:lang w:val="lt-LT"/>
        </w:rPr>
      </w:pPr>
      <w:r w:rsidRPr="007246B9">
        <w:rPr>
          <w:rFonts w:ascii="Times New Roman" w:hAnsi="Times New Roman"/>
          <w:b/>
          <w:bCs/>
          <w:color w:val="000000" w:themeColor="text1"/>
          <w:szCs w:val="22"/>
          <w:lang w:val="lt-LT"/>
        </w:rPr>
        <w:t xml:space="preserve"> Naujų programų įgyvendinimas</w:t>
      </w:r>
    </w:p>
    <w:p w14:paraId="4369146D" w14:textId="306E13D1" w:rsidR="00427AB3" w:rsidRPr="00650EE4" w:rsidRDefault="00E60DE6" w:rsidP="00A0696E">
      <w:pPr>
        <w:spacing w:after="60" w:line="240" w:lineRule="auto"/>
        <w:jc w:val="both"/>
        <w:rPr>
          <w:rFonts w:ascii="Times New Roman" w:hAnsi="Times New Roman"/>
          <w:szCs w:val="22"/>
        </w:rPr>
      </w:pPr>
      <w:r w:rsidRPr="007246B9">
        <w:rPr>
          <w:rFonts w:ascii="Times New Roman" w:hAnsi="Times New Roman"/>
          <w:color w:val="000000" w:themeColor="text1"/>
          <w:szCs w:val="22"/>
        </w:rPr>
        <w:t>Suformavus naujų paramos priemonių paketą (žr. 16 etapą) tęsiamas IRS įgyvendinimo etapas ir naujų paramos priemonių įgyvendinimas.</w:t>
      </w:r>
      <w:r w:rsidRPr="00650EE4">
        <w:rPr>
          <w:rFonts w:ascii="Times New Roman" w:hAnsi="Times New Roman"/>
          <w:color w:val="000000" w:themeColor="text1"/>
          <w:szCs w:val="22"/>
        </w:rPr>
        <w:t xml:space="preserve"> </w:t>
      </w:r>
      <w:r w:rsidR="00427AB3" w:rsidRPr="00650EE4">
        <w:rPr>
          <w:rFonts w:ascii="Times New Roman" w:hAnsi="Times New Roman"/>
          <w:color w:val="002060"/>
          <w:sz w:val="24"/>
          <w:szCs w:val="24"/>
        </w:rPr>
        <w:br w:type="page"/>
      </w:r>
    </w:p>
    <w:p w14:paraId="6939AC50" w14:textId="7233AC62" w:rsidR="00AA59D4" w:rsidRPr="00650EE4" w:rsidRDefault="008E1F13" w:rsidP="00A3407D">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10" w:name="_Toc59107499"/>
      <w:r w:rsidRPr="00650EE4">
        <w:rPr>
          <w:rFonts w:ascii="Times New Roman" w:hAnsi="Times New Roman"/>
          <w:color w:val="002060"/>
          <w:sz w:val="24"/>
          <w:szCs w:val="24"/>
        </w:rPr>
        <w:lastRenderedPageBreak/>
        <w:t>ĮŽAN</w:t>
      </w:r>
      <w:r w:rsidR="0088407D" w:rsidRPr="00650EE4">
        <w:rPr>
          <w:rFonts w:ascii="Times New Roman" w:hAnsi="Times New Roman"/>
          <w:color w:val="002060"/>
          <w:sz w:val="24"/>
          <w:szCs w:val="24"/>
        </w:rPr>
        <w:t>GA</w:t>
      </w:r>
      <w:bookmarkEnd w:id="10"/>
    </w:p>
    <w:p w14:paraId="27874EE3" w14:textId="0CCDC90A" w:rsidR="00D25BFD" w:rsidRPr="00650EE4" w:rsidRDefault="00D25BFD" w:rsidP="00D25BFD">
      <w:pPr>
        <w:jc w:val="both"/>
        <w:rPr>
          <w:rFonts w:ascii="Times New Roman" w:hAnsi="Times New Roman"/>
          <w:szCs w:val="22"/>
        </w:rPr>
      </w:pPr>
      <w:r w:rsidRPr="00650EE4">
        <w:rPr>
          <w:rFonts w:ascii="Times New Roman" w:hAnsi="Times New Roman"/>
          <w:szCs w:val="22"/>
        </w:rPr>
        <w:t>Pagal 2018 m. gegužės 30 d. Europos Parlamento ir Tarybos direktyvą (ES) 2018/844</w:t>
      </w:r>
      <w:r w:rsidR="00F95855" w:rsidRPr="00650EE4">
        <w:rPr>
          <w:rFonts w:ascii="Times New Roman" w:hAnsi="Times New Roman"/>
          <w:szCs w:val="22"/>
        </w:rPr>
        <w:t xml:space="preserve"> (</w:t>
      </w:r>
      <w:r w:rsidR="00590293" w:rsidRPr="00650EE4">
        <w:rPr>
          <w:rFonts w:ascii="Times New Roman" w:hAnsi="Times New Roman"/>
          <w:szCs w:val="22"/>
        </w:rPr>
        <w:t xml:space="preserve">toliau- </w:t>
      </w:r>
      <w:r w:rsidR="00F95855" w:rsidRPr="00650EE4">
        <w:rPr>
          <w:rFonts w:ascii="Times New Roman" w:hAnsi="Times New Roman"/>
          <w:szCs w:val="22"/>
        </w:rPr>
        <w:t>Pakeitimo direktyva)</w:t>
      </w:r>
      <w:r w:rsidRPr="00650EE4">
        <w:rPr>
          <w:rFonts w:ascii="Times New Roman" w:hAnsi="Times New Roman"/>
          <w:szCs w:val="22"/>
        </w:rPr>
        <w:t>, kuria iš dalies keičiama Direktyva 2010/31/ES dėl pastatų energinio naudingumo</w:t>
      </w:r>
      <w:r w:rsidR="00590293" w:rsidRPr="00650EE4">
        <w:rPr>
          <w:rFonts w:ascii="Times New Roman" w:hAnsi="Times New Roman"/>
          <w:szCs w:val="22"/>
        </w:rPr>
        <w:t xml:space="preserve"> (toliau- PEND)</w:t>
      </w:r>
      <w:r w:rsidRPr="00650EE4">
        <w:rPr>
          <w:rFonts w:ascii="Times New Roman" w:hAnsi="Times New Roman"/>
          <w:szCs w:val="22"/>
        </w:rPr>
        <w:t xml:space="preserve"> ir Direktyva 2012/27/ES dėl energijos vartojimo efektyvumo</w:t>
      </w:r>
      <w:r w:rsidR="00590293" w:rsidRPr="00650EE4">
        <w:rPr>
          <w:rFonts w:ascii="Times New Roman" w:hAnsi="Times New Roman"/>
          <w:szCs w:val="22"/>
        </w:rPr>
        <w:t xml:space="preserve"> (toliau - EVED)</w:t>
      </w:r>
      <w:r w:rsidR="00900B9F" w:rsidRPr="00650EE4">
        <w:rPr>
          <w:rFonts w:ascii="Times New Roman" w:hAnsi="Times New Roman"/>
          <w:szCs w:val="22"/>
        </w:rPr>
        <w:t xml:space="preserve">, Lietuva </w:t>
      </w:r>
      <w:r w:rsidRPr="00650EE4">
        <w:rPr>
          <w:rFonts w:ascii="Times New Roman" w:hAnsi="Times New Roman"/>
          <w:szCs w:val="22"/>
        </w:rPr>
        <w:t>turi pasirengti Ilgalaikę renovacijos strategiją, kuria būtų remiama nacionalinio viešosios paskirties ir privačių gyvenamųjų ir negyvenamųjų pastatų ūkio renovacija, užtikrinant, kad pastatų ūkyje energija būtų vartojama ypač efektyviai ir kad jis iki 2050 m. taptų nepriklausomas nuo iškastinio kuro, sudarant palankesnes sąlygas ekonomiškai efektyviam esamų pastatų pertvarkymui į beveik nulinės energijos pastatus.</w:t>
      </w:r>
    </w:p>
    <w:p w14:paraId="3904846C" w14:textId="77777777" w:rsidR="00D25BFD" w:rsidRPr="00650EE4" w:rsidRDefault="00D25BFD" w:rsidP="00D25BFD">
      <w:pPr>
        <w:jc w:val="both"/>
        <w:rPr>
          <w:rFonts w:ascii="Times New Roman" w:hAnsi="Times New Roman"/>
          <w:szCs w:val="22"/>
        </w:rPr>
      </w:pPr>
    </w:p>
    <w:p w14:paraId="0CEA174F" w14:textId="77777777" w:rsidR="00D25BFD" w:rsidRPr="00650EE4" w:rsidRDefault="00D25BFD" w:rsidP="00D25BFD">
      <w:pPr>
        <w:jc w:val="both"/>
        <w:rPr>
          <w:rFonts w:ascii="Times New Roman" w:hAnsi="Times New Roman"/>
          <w:szCs w:val="22"/>
        </w:rPr>
      </w:pPr>
      <w:r w:rsidRPr="00650EE4">
        <w:rPr>
          <w:rFonts w:ascii="Times New Roman" w:hAnsi="Times New Roman"/>
          <w:szCs w:val="22"/>
        </w:rPr>
        <w:t xml:space="preserve">Pagal 2018 m. gruodžio 11 d. Europos Parlamento ir Tarybos reglamentą (ES) 2018/1999 dėl energetikos sąjungos ir klimato politikos veiksmų valdymo, kuriuo iš dalies keičiami Europos Parlamento ir Tarybos reglamentai (EB) Nr. 663/2009 ir (EB) Nr. 715/2009, Europos Parlamento ir Tarybos direktyvos 94/22/EB, 98/70/EB, 2009/31/EB, 2009/73/EB, 2010/31/ES, 2012/27/ES ir 2013/30/ES, Tarybos direktyvos 2009/119/EB ir (ES) 2015/652 ir panaikinamas Europos Parlamento ir Tarybos reglamentas (ES) Nr. 525/2013 Kiekvienos valstybės narės ilgalaikė renovacijos strategija pateikiama Komisijai kaip valstybės galutinio integruoto nacionalinio energetikos ir klimato srities veiksmų plano, nurodyto Europos Parlamento ir Tarybos reglamento (ES) 2018/1999 3 straipsnyje, dalis. </w:t>
      </w:r>
    </w:p>
    <w:p w14:paraId="0B8CF80F" w14:textId="77777777" w:rsidR="00D25BFD" w:rsidRPr="00650EE4" w:rsidRDefault="00D25BFD" w:rsidP="00D25BFD">
      <w:pPr>
        <w:jc w:val="both"/>
        <w:rPr>
          <w:rFonts w:ascii="Times New Roman" w:hAnsi="Times New Roman"/>
          <w:szCs w:val="22"/>
        </w:rPr>
      </w:pPr>
    </w:p>
    <w:p w14:paraId="027ACE55" w14:textId="7D597F18" w:rsidR="00AA59D4" w:rsidRPr="00650EE4" w:rsidRDefault="00D36BB0" w:rsidP="00D25BFD">
      <w:pPr>
        <w:jc w:val="both"/>
        <w:rPr>
          <w:rFonts w:ascii="Times New Roman" w:hAnsi="Times New Roman"/>
          <w:szCs w:val="22"/>
        </w:rPr>
      </w:pPr>
      <w:r>
        <w:rPr>
          <w:rFonts w:ascii="Times New Roman" w:hAnsi="Times New Roman"/>
          <w:szCs w:val="22"/>
        </w:rPr>
        <w:t>Ilgalaikėje renovacijos strategijoje išdėstomos</w:t>
      </w:r>
      <w:r w:rsidR="00D25BFD" w:rsidRPr="00650EE4">
        <w:rPr>
          <w:rFonts w:ascii="Times New Roman" w:hAnsi="Times New Roman"/>
          <w:szCs w:val="22"/>
        </w:rPr>
        <w:t xml:space="preserve"> veiksmų gaires, kuriose numatomos priemonės ir vidaus mastu nustatyti išmatuojami pažangos rodikliai, atsižvelgiant į ilgalaikį 2050 m. tikslą Europos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w:t>
      </w:r>
      <w:r w:rsidR="00D95FDF" w:rsidRPr="00650EE4">
        <w:rPr>
          <w:rFonts w:ascii="Times New Roman" w:hAnsi="Times New Roman"/>
          <w:szCs w:val="22"/>
        </w:rPr>
        <w:t>T</w:t>
      </w:r>
      <w:r w:rsidR="00D25BFD" w:rsidRPr="00650EE4">
        <w:rPr>
          <w:rFonts w:ascii="Times New Roman" w:hAnsi="Times New Roman"/>
          <w:szCs w:val="22"/>
        </w:rPr>
        <w:t>aip pat</w:t>
      </w:r>
      <w:r w:rsidR="00D95FDF" w:rsidRPr="00650EE4">
        <w:rPr>
          <w:rFonts w:ascii="Times New Roman" w:hAnsi="Times New Roman"/>
          <w:szCs w:val="22"/>
        </w:rPr>
        <w:t>, numat</w:t>
      </w:r>
      <w:r>
        <w:rPr>
          <w:rFonts w:ascii="Times New Roman" w:hAnsi="Times New Roman"/>
          <w:szCs w:val="22"/>
        </w:rPr>
        <w:t>omi</w:t>
      </w:r>
      <w:r w:rsidR="00D95FDF" w:rsidRPr="00650EE4">
        <w:rPr>
          <w:rFonts w:ascii="Times New Roman" w:hAnsi="Times New Roman"/>
          <w:szCs w:val="22"/>
        </w:rPr>
        <w:t xml:space="preserve"> orientacini</w:t>
      </w:r>
      <w:r>
        <w:rPr>
          <w:rFonts w:ascii="Times New Roman" w:hAnsi="Times New Roman"/>
          <w:szCs w:val="22"/>
        </w:rPr>
        <w:t>ai</w:t>
      </w:r>
      <w:r w:rsidR="00D25BFD" w:rsidRPr="00650EE4">
        <w:rPr>
          <w:rFonts w:ascii="Times New Roman" w:hAnsi="Times New Roman"/>
          <w:szCs w:val="22"/>
        </w:rPr>
        <w:t xml:space="preserve"> 2030 </w:t>
      </w:r>
      <w:r w:rsidR="00D95FDF" w:rsidRPr="00650EE4">
        <w:rPr>
          <w:rFonts w:ascii="Times New Roman" w:hAnsi="Times New Roman"/>
          <w:szCs w:val="22"/>
        </w:rPr>
        <w:t>m., 2040 m. ir 2050 m. tarpini</w:t>
      </w:r>
      <w:r>
        <w:rPr>
          <w:rFonts w:ascii="Times New Roman" w:hAnsi="Times New Roman"/>
          <w:szCs w:val="22"/>
        </w:rPr>
        <w:t>ai</w:t>
      </w:r>
      <w:r w:rsidR="00D95FDF" w:rsidRPr="00650EE4">
        <w:rPr>
          <w:rFonts w:ascii="Times New Roman" w:hAnsi="Times New Roman"/>
          <w:szCs w:val="22"/>
        </w:rPr>
        <w:t xml:space="preserve"> tiksl</w:t>
      </w:r>
      <w:r>
        <w:rPr>
          <w:rFonts w:ascii="Times New Roman" w:hAnsi="Times New Roman"/>
          <w:szCs w:val="22"/>
        </w:rPr>
        <w:t>ai</w:t>
      </w:r>
      <w:r w:rsidR="00D95FDF" w:rsidRPr="00650EE4">
        <w:rPr>
          <w:rFonts w:ascii="Times New Roman" w:hAnsi="Times New Roman"/>
          <w:szCs w:val="22"/>
        </w:rPr>
        <w:t xml:space="preserve"> ir </w:t>
      </w:r>
      <w:r w:rsidRPr="00650EE4">
        <w:rPr>
          <w:rFonts w:ascii="Times New Roman" w:hAnsi="Times New Roman"/>
          <w:szCs w:val="22"/>
        </w:rPr>
        <w:t>nurod</w:t>
      </w:r>
      <w:r>
        <w:rPr>
          <w:rFonts w:ascii="Times New Roman" w:hAnsi="Times New Roman"/>
          <w:szCs w:val="22"/>
        </w:rPr>
        <w:t>oma</w:t>
      </w:r>
      <w:r w:rsidR="00D25BFD" w:rsidRPr="00650EE4">
        <w:rPr>
          <w:rFonts w:ascii="Times New Roman" w:hAnsi="Times New Roman"/>
          <w:szCs w:val="22"/>
        </w:rPr>
        <w:t>, kaip jie padeda pasiekti Sąjungos energijos vartojimo efektyvumo tikslus pagal Direktyvą 2012/27/ES.</w:t>
      </w:r>
    </w:p>
    <w:p w14:paraId="2EC8624D" w14:textId="77777777" w:rsidR="00746E46" w:rsidRPr="00650EE4" w:rsidRDefault="00746E46" w:rsidP="00746E46">
      <w:pPr>
        <w:jc w:val="both"/>
        <w:rPr>
          <w:rFonts w:ascii="Times New Roman" w:hAnsi="Times New Roman"/>
          <w:szCs w:val="22"/>
        </w:rPr>
      </w:pPr>
    </w:p>
    <w:p w14:paraId="1D909DB4" w14:textId="77777777" w:rsidR="003A587C" w:rsidRPr="00650EE4" w:rsidRDefault="003A587C" w:rsidP="003A587C">
      <w:pPr>
        <w:spacing w:after="240"/>
        <w:rPr>
          <w:rFonts w:ascii="Times New Roman" w:eastAsia="Times New Roman" w:hAnsi="Times New Roman"/>
          <w:b/>
          <w:bCs/>
          <w:caps/>
          <w:color w:val="auto"/>
          <w:kern w:val="32"/>
          <w:sz w:val="24"/>
          <w:szCs w:val="24"/>
        </w:rPr>
      </w:pPr>
      <w:r w:rsidRPr="00650EE4">
        <w:rPr>
          <w:rFonts w:ascii="Times New Roman" w:hAnsi="Times New Roman"/>
          <w:color w:val="auto"/>
          <w:sz w:val="24"/>
          <w:szCs w:val="24"/>
        </w:rPr>
        <w:br w:type="page"/>
      </w:r>
    </w:p>
    <w:p w14:paraId="4E6DE733" w14:textId="423AF239" w:rsidR="0032704C" w:rsidRPr="00650EE4" w:rsidRDefault="0032704C" w:rsidP="00A16555">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bookmarkStart w:id="11" w:name="_Toc40346673"/>
      <w:bookmarkStart w:id="12" w:name="_Toc59107500"/>
      <w:bookmarkEnd w:id="11"/>
      <w:r w:rsidRPr="00650EE4">
        <w:rPr>
          <w:rFonts w:ascii="Times New Roman" w:hAnsi="Times New Roman"/>
          <w:noProof/>
          <w:color w:val="002060"/>
          <w:sz w:val="24"/>
          <w:szCs w:val="24"/>
        </w:rPr>
        <w:lastRenderedPageBreak/>
        <mc:AlternateContent>
          <mc:Choice Requires="wps">
            <w:drawing>
              <wp:anchor distT="0" distB="0" distL="114300" distR="114300" simplePos="0" relativeHeight="251755520" behindDoc="0" locked="0" layoutInCell="1" allowOverlap="1" wp14:anchorId="477CCA0A" wp14:editId="39DAB16E">
                <wp:simplePos x="0" y="0"/>
                <wp:positionH relativeFrom="column">
                  <wp:posOffset>732790</wp:posOffset>
                </wp:positionH>
                <wp:positionV relativeFrom="paragraph">
                  <wp:posOffset>8831580</wp:posOffset>
                </wp:positionV>
                <wp:extent cx="719455" cy="3168015"/>
                <wp:effectExtent l="0" t="5080" r="0" b="0"/>
                <wp:wrapNone/>
                <wp:docPr id="10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9455" cy="3168015"/>
                        </a:xfrm>
                        <a:prstGeom prst="chevron">
                          <a:avLst>
                            <a:gd name="adj" fmla="val 23772"/>
                          </a:avLst>
                        </a:prstGeom>
                        <a:solidFill>
                          <a:srgbClr val="002776"/>
                        </a:solidFill>
                        <a:ln w="6350" algn="ctr">
                          <a:noFill/>
                          <a:miter lim="800000"/>
                          <a:headEnd/>
                          <a:tailEnd/>
                        </a:ln>
                      </wps:spPr>
                      <wps:txbx>
                        <w:txbxContent>
                          <w:p w14:paraId="02B5080F" w14:textId="77777777" w:rsidR="003E0C4E" w:rsidRDefault="003E0C4E"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energetikos įstatymas</w:t>
                            </w:r>
                          </w:p>
                        </w:txbxContent>
                      </wps:txbx>
                      <wps:bodyPr rot="10800000" vert="eaVert" lIns="36000" tIns="36000" rIns="36000" bIns="36000" anchor="ctr"/>
                    </wps:wsp>
                  </a:graphicData>
                </a:graphic>
                <wp14:sizeRelH relativeFrom="margin">
                  <wp14:pctWidth>0</wp14:pctWidth>
                </wp14:sizeRelH>
                <wp14:sizeRelV relativeFrom="margin">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 o:spid="_x0000_s1028" type="#_x0000_t55" style="position:absolute;left:0;text-align:left;margin-left:57.7pt;margin-top:695.4pt;width:56.65pt;height:249.45pt;rotation:9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" adj="16465" fillcolor="#002776" stroked="f" strokeweight=".5pt">
                <v:textbox style="layout-flow:vertical-ideographic;mso-rotate:180" inset="1mm,1mm,1mm,1mm">
                  <w:txbxContent>
                    <w:p w14:paraId="02B5080F" w14:textId="77777777" w:rsidR="003E0C4E" w:rsidRDefault="003E0C4E"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energetikos įstatymas</w:t>
                      </w:r>
                    </w:p>
                  </w:txbxContent>
                </v:textbox>
              </v:shape>
            </w:pict>
          </mc:Fallback>
        </mc:AlternateContent>
      </w:r>
      <w:r w:rsidRPr="00650EE4">
        <w:rPr>
          <w:rFonts w:ascii="Times New Roman" w:hAnsi="Times New Roman"/>
          <w:noProof/>
          <w:color w:val="002060"/>
          <w:sz w:val="24"/>
          <w:szCs w:val="24"/>
        </w:rPr>
        <mc:AlternateContent>
          <mc:Choice Requires="wps">
            <w:drawing>
              <wp:anchor distT="0" distB="0" distL="114300" distR="114300" simplePos="0" relativeHeight="251756544" behindDoc="0" locked="0" layoutInCell="1" allowOverlap="1" wp14:anchorId="09517B01" wp14:editId="15D59D68">
                <wp:simplePos x="0" y="0"/>
                <wp:positionH relativeFrom="column">
                  <wp:posOffset>723265</wp:posOffset>
                </wp:positionH>
                <wp:positionV relativeFrom="paragraph">
                  <wp:posOffset>9397365</wp:posOffset>
                </wp:positionV>
                <wp:extent cx="719455" cy="3167380"/>
                <wp:effectExtent l="0" t="4762" r="0" b="0"/>
                <wp:wrapNone/>
                <wp:docPr id="10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19455" cy="3167380"/>
                        </a:xfrm>
                        <a:prstGeom prst="chevron">
                          <a:avLst>
                            <a:gd name="adj" fmla="val 23772"/>
                          </a:avLst>
                        </a:prstGeom>
                        <a:solidFill>
                          <a:srgbClr val="002776">
                            <a:alpha val="60000"/>
                          </a:srgbClr>
                        </a:solidFill>
                        <a:ln w="6350" algn="ctr">
                          <a:noFill/>
                          <a:miter lim="800000"/>
                          <a:headEnd/>
                          <a:tailEnd/>
                        </a:ln>
                      </wps:spPr>
                      <wps:txbx>
                        <w:txbxContent>
                          <w:p w14:paraId="672B010B" w14:textId="77777777" w:rsidR="003E0C4E" w:rsidRDefault="003E0C4E"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elektros energetikos įstatymas</w:t>
                            </w:r>
                          </w:p>
                        </w:txbxContent>
                      </wps:txbx>
                      <wps:bodyPr rot="10800000" vert="eaVert" lIns="36000" tIns="36000" rIns="36000" bIns="36000" anchor="ctr"/>
                    </wps:wsp>
                  </a:graphicData>
                </a:graphic>
                <wp14:sizeRelH relativeFrom="margin">
                  <wp14:pctWidth>0</wp14:pctWidth>
                </wp14:sizeRelH>
                <wp14:sizeRelV relativeFrom="margin">
                  <wp14:pctHeight>0</wp14:pctHeight>
                </wp14:sizeRelV>
              </wp:anchor>
            </w:drawing>
          </mc:Choice>
          <mc:Fallback>
            <w:pict>
              <v:shape id="_x0000_s1029" type="#_x0000_t55" style="position:absolute;left:0;text-align:left;margin-left:56.95pt;margin-top:739.95pt;width:56.65pt;height:249.4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" adj="16465" fillcolor="#002776" stroked="f" strokeweight=".5pt">
                <v:fill opacity="39321f"/>
                <v:textbox style="layout-flow:vertical-ideographic;mso-rotate:180" inset="1mm,1mm,1mm,1mm">
                  <w:txbxContent>
                    <w:p w14:paraId="672B010B" w14:textId="77777777" w:rsidR="003E0C4E" w:rsidRDefault="003E0C4E" w:rsidP="0032704C">
                      <w:pPr>
                        <w:pStyle w:val="NormalWeb"/>
                        <w:spacing w:before="0" w:beforeAutospacing="0" w:after="0" w:afterAutospacing="0"/>
                        <w:jc w:val="center"/>
                      </w:pPr>
                      <w:r>
                        <w:rPr>
                          <w:rFonts w:asciiTheme="minorHAnsi" w:eastAsia="MS PGothic" w:hAnsi="Arial" w:cstheme="minorBidi"/>
                          <w:b/>
                          <w:bCs/>
                          <w:color w:val="FFFFFF"/>
                          <w:kern w:val="24"/>
                          <w:lang w:val="lt-LT"/>
                        </w:rPr>
                        <w:t>LR elektros energetikos įstatymas</w:t>
                      </w:r>
                    </w:p>
                  </w:txbxContent>
                </v:textbox>
              </v:shape>
            </w:pict>
          </mc:Fallback>
        </mc:AlternateContent>
      </w:r>
      <w:r w:rsidR="007955A4" w:rsidRPr="00650EE4">
        <w:rPr>
          <w:rFonts w:ascii="Times New Roman" w:hAnsi="Times New Roman"/>
          <w:color w:val="002060"/>
          <w:sz w:val="24"/>
          <w:szCs w:val="24"/>
        </w:rPr>
        <w:t>N</w:t>
      </w:r>
      <w:r w:rsidR="003C3017" w:rsidRPr="00650EE4">
        <w:rPr>
          <w:rFonts w:ascii="Times New Roman" w:hAnsi="Times New Roman"/>
          <w:color w:val="002060"/>
          <w:sz w:val="24"/>
          <w:szCs w:val="24"/>
        </w:rPr>
        <w:t xml:space="preserve">ACIONALINIO PASTATŲ FONDO </w:t>
      </w:r>
      <w:r w:rsidR="00375C2B">
        <w:rPr>
          <w:rFonts w:ascii="Times New Roman" w:hAnsi="Times New Roman"/>
          <w:color w:val="002060"/>
          <w:sz w:val="24"/>
          <w:szCs w:val="24"/>
        </w:rPr>
        <w:t>APŽVALGA</w:t>
      </w:r>
      <w:bookmarkEnd w:id="12"/>
    </w:p>
    <w:p w14:paraId="4DBF02B3" w14:textId="36278119" w:rsidR="00C83F29" w:rsidRPr="00650EE4" w:rsidRDefault="00C36458" w:rsidP="00486902">
      <w:pPr>
        <w:jc w:val="both"/>
        <w:rPr>
          <w:rFonts w:ascii="Times New Roman" w:hAnsi="Times New Roman"/>
          <w:color w:val="000000" w:themeColor="text1"/>
          <w:sz w:val="24"/>
          <w:szCs w:val="24"/>
        </w:rPr>
      </w:pPr>
      <w:r w:rsidRPr="00650EE4">
        <w:rPr>
          <w:rFonts w:ascii="Times New Roman" w:hAnsi="Times New Roman"/>
          <w:noProof/>
          <w:color w:val="000000" w:themeColor="text1"/>
          <w:sz w:val="24"/>
          <w:szCs w:val="24"/>
          <w:lang w:eastAsia="lt-LT"/>
        </w:rPr>
        <mc:AlternateContent>
          <mc:Choice Requires="wps">
            <w:drawing>
              <wp:inline distT="0" distB="0" distL="0" distR="0" wp14:anchorId="5DF67DCF" wp14:editId="3F046D75">
                <wp:extent cx="6488430" cy="2676525"/>
                <wp:effectExtent l="0" t="0" r="7620" b="9525"/>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8430" cy="2676525"/>
                        </a:xfrm>
                        <a:prstGeom prst="rect">
                          <a:avLst/>
                        </a:prstGeom>
                        <a:solidFill>
                          <a:schemeClr val="bg1">
                            <a:lumMod val="85000"/>
                          </a:schemeClr>
                        </a:solidFill>
                        <a:ln>
                          <a:noFill/>
                        </a:ln>
                      </wps:spPr>
                      <wps:txbx>
                        <w:txbxContent>
                          <w:p w14:paraId="2C74E703" w14:textId="074A2FE6"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PEND 2a straipsnio 1 dalies a punkte numatyta, kad į kiekvieną IRS įtraukiama „nacionalinio pastatų ūkio apžvalga, grindžiama atitinkamai statistine atranka ir numatoma renovuotų pastatų dalimi 2020 m.“</w:t>
                            </w:r>
                          </w:p>
                          <w:p w14:paraId="38771DF4" w14:textId="77777777"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Numatomą renovuotų pastatų dalį galima išreikšti įvairiai, pavyzdžiui: a) procentais (%); b) kaip absoliutų skaičių arba c) kaip kiekvienos rūšies pastatų renovuotą plotą m</w:t>
                            </w:r>
                            <w:r w:rsidRPr="00445553">
                              <w:rPr>
                                <w:rFonts w:ascii="Times New Roman" w:hAnsi="Times New Roman" w:cs="Times New Roman"/>
                                <w:bCs/>
                                <w:color w:val="000000" w:themeColor="text1"/>
                                <w:sz w:val="22"/>
                                <w:vertAlign w:val="superscript"/>
                              </w:rPr>
                              <w:t>2</w:t>
                            </w:r>
                            <w:r w:rsidRPr="00445553">
                              <w:rPr>
                                <w:rFonts w:ascii="Times New Roman" w:hAnsi="Times New Roman" w:cs="Times New Roman"/>
                                <w:bCs/>
                                <w:color w:val="000000" w:themeColor="text1"/>
                                <w:sz w:val="22"/>
                              </w:rPr>
                              <w:t xml:space="preserve">. </w:t>
                            </w:r>
                          </w:p>
                          <w:p w14:paraId="21522DAA" w14:textId="12DB6A10"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Siekiant užtikrinti didesnį tikslumą taip pat galima vertinti renovacijos lygį (pvz., „nedidelė“, „vidutinė“ ir „esminė“). Dar vienas galimas rodiklis – pastatų pavertimas EBNP</w:t>
                            </w:r>
                            <w:r w:rsidRPr="00445553">
                              <w:rPr>
                                <w:rFonts w:ascii="Times New Roman" w:hAnsi="Times New Roman" w:cs="Times New Roman"/>
                                <w:bCs/>
                                <w:color w:val="000000" w:themeColor="text1"/>
                                <w:sz w:val="22"/>
                                <w:vertAlign w:val="superscript"/>
                              </w:rPr>
                              <w:t>1</w:t>
                            </w:r>
                            <w:r w:rsidRPr="00445553">
                              <w:rPr>
                                <w:rFonts w:ascii="Times New Roman" w:hAnsi="Times New Roman" w:cs="Times New Roman"/>
                                <w:bCs/>
                                <w:color w:val="000000" w:themeColor="text1"/>
                                <w:sz w:val="22"/>
                              </w:rPr>
                              <w:t>. Apskritai atlikus esminę renovaciją turėtų ne tik padidėti energijos vartojimo efektyvumas, bet ir sumažėti išmetamųjų šiltnamio efektą sukeliančių dujų.</w:t>
                            </w:r>
                          </w:p>
                          <w:p w14:paraId="6FA5C1E0" w14:textId="586A3901"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Numatoma dalis nebus privaloma siektina reikšmė; tai veikiau skaičius, kuriuo realistiškai perteikiama tikėtina iki 2020 m. baigtų renovuoti pastatų dalis. Laikydamosi reikalavimo pateikti orientacinius tarpinius tikslus valstybės narės taip pat gali nurodyti numatomą baigtų renovuoti pastatų dalį iki 2030 m., 2040 m. ir 2050 m.</w:t>
                            </w:r>
                          </w:p>
                          <w:p w14:paraId="67E5672C" w14:textId="65D5CEF3" w:rsidR="003E0C4E" w:rsidRPr="00445553" w:rsidRDefault="003E0C4E" w:rsidP="00F62C54">
                            <w:pPr>
                              <w:pStyle w:val="Text"/>
                              <w:spacing w:after="120" w:line="240" w:lineRule="auto"/>
                              <w:ind w:left="0" w:right="0"/>
                              <w:rPr>
                                <w:rFonts w:ascii="Times New Roman" w:hAnsi="Times New Roman" w:cs="Times New Roman"/>
                                <w:bCs/>
                                <w:i/>
                                <w:iCs/>
                                <w:color w:val="000000" w:themeColor="text1"/>
                                <w:sz w:val="22"/>
                              </w:rPr>
                            </w:pPr>
                            <w:r w:rsidRPr="00445553">
                              <w:rPr>
                                <w:rFonts w:ascii="Times New Roman" w:hAnsi="Times New Roman" w:cs="Times New Roman"/>
                                <w:bCs/>
                                <w:i/>
                                <w:iCs/>
                                <w:color w:val="000000" w:themeColor="text1"/>
                                <w:sz w:val="22"/>
                                <w:vertAlign w:val="superscript"/>
                              </w:rPr>
                              <w:t>1</w:t>
                            </w:r>
                            <w:r w:rsidRPr="00445553">
                              <w:rPr>
                                <w:rFonts w:ascii="Times New Roman" w:hAnsi="Times New Roman" w:cs="Times New Roman"/>
                                <w:bCs/>
                                <w:i/>
                                <w:iCs/>
                                <w:color w:val="000000" w:themeColor="text1"/>
                                <w:sz w:val="22"/>
                              </w:rPr>
                              <w:t xml:space="preserve"> – </w:t>
                            </w:r>
                            <w:r w:rsidRPr="00445553">
                              <w:rPr>
                                <w:rFonts w:ascii="Times New Roman" w:hAnsi="Times New Roman" w:cs="Times New Roman"/>
                                <w:i/>
                                <w:iCs/>
                                <w:sz w:val="22"/>
                              </w:rPr>
                              <w:t>Atsižvelgdamas į sutaupytos pirminės energijos kiekį ES pastatų ūkio stebėsenos centras nustatė šiuos renovacijos lygius: — nedidelė (mažiau nei 30 %), — vidutinė (30–60 %) ir — esminė (daugiau nei 60 %). EBNP renovacija apibrėžiama nenustatant konkrečios pirminės energijos sutaupymo vertės: vadovaujamasi oficialiosiomis nacionalinėmis EBNP renovacijos apibrėžtimis.</w:t>
                            </w:r>
                          </w:p>
                        </w:txbxContent>
                      </wps:txbx>
                      <wps:bodyPr rot="0" vert="horz" wrap="square" lIns="91440" tIns="45720" rIns="91440" bIns="45720" anchor="t" anchorCtr="0" upright="1">
                        <a:noAutofit/>
                      </wps:bodyPr>
                    </wps:wsp>
                  </a:graphicData>
                </a:graphic>
              </wp:inline>
            </w:drawing>
          </mc:Choice>
          <mc:Fallback>
            <w:pict>
              <v:shape id="Text Box 7" o:spid="_x0000_s1030" type="#_x0000_t202" style="width:510.9pt;height:21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" fillcolor="#d8d8d8 [2732]" stroked="f">
                <v:textbox>
                  <w:txbxContent>
                    <w:p w14:paraId="2C74E703" w14:textId="074A2FE6"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PEND 2a straipsnio 1 dalies a punkte numatyta, kad į kiekvieną IRS įtraukiama „nacionalinio pastatų ūkio apžvalga, grindžiama atitinkamai statistine atranka ir numatoma renovuotų pastatų dalimi 2020 m.“</w:t>
                      </w:r>
                    </w:p>
                    <w:p w14:paraId="38771DF4" w14:textId="77777777"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Numatomą renovuotų pastatų dalį galima išreikšti įvairiai, pavyzdžiui: a) procentais (%); b) kaip absoliutų skaičių arba c) kaip kiekvienos rūšies pastatų renovuotą plotą m</w:t>
                      </w:r>
                      <w:r w:rsidRPr="00445553">
                        <w:rPr>
                          <w:rFonts w:ascii="Times New Roman" w:hAnsi="Times New Roman" w:cs="Times New Roman"/>
                          <w:bCs/>
                          <w:color w:val="000000" w:themeColor="text1"/>
                          <w:sz w:val="22"/>
                          <w:vertAlign w:val="superscript"/>
                        </w:rPr>
                        <w:t>2</w:t>
                      </w:r>
                      <w:r w:rsidRPr="00445553">
                        <w:rPr>
                          <w:rFonts w:ascii="Times New Roman" w:hAnsi="Times New Roman" w:cs="Times New Roman"/>
                          <w:bCs/>
                          <w:color w:val="000000" w:themeColor="text1"/>
                          <w:sz w:val="22"/>
                        </w:rPr>
                        <w:t xml:space="preserve">. </w:t>
                      </w:r>
                    </w:p>
                    <w:p w14:paraId="21522DAA" w14:textId="12DB6A10"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Siekiant užtikrinti didesnį tikslumą taip pat galima vertinti renovacijos lygį (pvz., „nedidelė“, „vidutinė“ ir „esminė“). Dar vienas galimas rodiklis – pastatų pavertimas EBNP</w:t>
                      </w:r>
                      <w:r w:rsidRPr="00445553">
                        <w:rPr>
                          <w:rFonts w:ascii="Times New Roman" w:hAnsi="Times New Roman" w:cs="Times New Roman"/>
                          <w:bCs/>
                          <w:color w:val="000000" w:themeColor="text1"/>
                          <w:sz w:val="22"/>
                          <w:vertAlign w:val="superscript"/>
                        </w:rPr>
                        <w:t>1</w:t>
                      </w:r>
                      <w:r w:rsidRPr="00445553">
                        <w:rPr>
                          <w:rFonts w:ascii="Times New Roman" w:hAnsi="Times New Roman" w:cs="Times New Roman"/>
                          <w:bCs/>
                          <w:color w:val="000000" w:themeColor="text1"/>
                          <w:sz w:val="22"/>
                        </w:rPr>
                        <w:t>. Apskritai atlikus esminę renovaciją turėtų ne tik padidėti energijos vartojimo efektyvumas, bet ir sumažėti išmetamųjų šiltnamio efektą sukeliančių dujų.</w:t>
                      </w:r>
                    </w:p>
                    <w:p w14:paraId="6FA5C1E0" w14:textId="586A3901" w:rsidR="003E0C4E" w:rsidRPr="00445553" w:rsidRDefault="003E0C4E" w:rsidP="00F62C54">
                      <w:pPr>
                        <w:pStyle w:val="Text"/>
                        <w:spacing w:after="120" w:line="240" w:lineRule="auto"/>
                        <w:ind w:left="0" w:right="0"/>
                        <w:rPr>
                          <w:rFonts w:ascii="Times New Roman" w:hAnsi="Times New Roman" w:cs="Times New Roman"/>
                          <w:bCs/>
                          <w:color w:val="000000" w:themeColor="text1"/>
                          <w:sz w:val="22"/>
                        </w:rPr>
                      </w:pPr>
                      <w:r w:rsidRPr="00445553">
                        <w:rPr>
                          <w:rFonts w:ascii="Times New Roman" w:hAnsi="Times New Roman" w:cs="Times New Roman"/>
                          <w:bCs/>
                          <w:color w:val="000000" w:themeColor="text1"/>
                          <w:sz w:val="22"/>
                        </w:rPr>
                        <w:t>Numatoma dalis nebus privaloma siektina reikšmė; tai veikiau skaičius, kuriuo realistiškai perteikiama tikėtina iki 2020 m. baigtų renovuoti pastatų dalis. Laikydamosi reikalavimo pateikti orientacinius tarpinius tikslus valstybės narės taip pat gali nurodyti numatomą baigtų renovuoti pastatų dalį iki 2030 m., 2040 m. ir 2050 m.</w:t>
                      </w:r>
                    </w:p>
                    <w:p w14:paraId="67E5672C" w14:textId="65D5CEF3" w:rsidR="003E0C4E" w:rsidRPr="00445553" w:rsidRDefault="003E0C4E" w:rsidP="00F62C54">
                      <w:pPr>
                        <w:pStyle w:val="Text"/>
                        <w:spacing w:after="120" w:line="240" w:lineRule="auto"/>
                        <w:ind w:left="0" w:right="0"/>
                        <w:rPr>
                          <w:rFonts w:ascii="Times New Roman" w:hAnsi="Times New Roman" w:cs="Times New Roman"/>
                          <w:bCs/>
                          <w:i/>
                          <w:iCs/>
                          <w:color w:val="000000" w:themeColor="text1"/>
                          <w:sz w:val="22"/>
                        </w:rPr>
                      </w:pPr>
                      <w:r w:rsidRPr="00445553">
                        <w:rPr>
                          <w:rFonts w:ascii="Times New Roman" w:hAnsi="Times New Roman" w:cs="Times New Roman"/>
                          <w:bCs/>
                          <w:i/>
                          <w:iCs/>
                          <w:color w:val="000000" w:themeColor="text1"/>
                          <w:sz w:val="22"/>
                          <w:vertAlign w:val="superscript"/>
                        </w:rPr>
                        <w:t>1</w:t>
                      </w:r>
                      <w:r w:rsidRPr="00445553">
                        <w:rPr>
                          <w:rFonts w:ascii="Times New Roman" w:hAnsi="Times New Roman" w:cs="Times New Roman"/>
                          <w:bCs/>
                          <w:i/>
                          <w:iCs/>
                          <w:color w:val="000000" w:themeColor="text1"/>
                          <w:sz w:val="22"/>
                        </w:rPr>
                        <w:t xml:space="preserve"> – </w:t>
                      </w:r>
                      <w:r w:rsidRPr="00445553">
                        <w:rPr>
                          <w:rFonts w:ascii="Times New Roman" w:hAnsi="Times New Roman" w:cs="Times New Roman"/>
                          <w:i/>
                          <w:iCs/>
                          <w:sz w:val="22"/>
                        </w:rPr>
                        <w:t>Atsižvelgdamas į sutaupytos pirminės energijos kiekį ES pastatų ūkio stebėsenos centras nustatė šiuos renovacijos lygius: — nedidelė (mažiau nei 30 %), — vidutinė (30–60 %) ir — esminė (daugiau nei 60 %). EBNP renovacija apibrėžiama nenustatant konkrečios pirminės energijos sutaupymo vertės: vadovaujamasi oficialiosiomis nacionalinėmis EBNP renovacijos apibrėžtimis.</w:t>
                      </w:r>
                    </w:p>
                  </w:txbxContent>
                </v:textbox>
                <w10:anchorlock/>
              </v:shape>
            </w:pict>
          </mc:Fallback>
        </mc:AlternateContent>
      </w:r>
    </w:p>
    <w:p w14:paraId="6941527C" w14:textId="77777777" w:rsidR="00A16555" w:rsidRPr="00650EE4" w:rsidRDefault="00A16555" w:rsidP="00865E12">
      <w:pPr>
        <w:spacing w:before="240"/>
        <w:jc w:val="both"/>
        <w:rPr>
          <w:rFonts w:ascii="Times New Roman" w:hAnsi="Times New Roman"/>
          <w:color w:val="000000" w:themeColor="text1"/>
          <w:szCs w:val="22"/>
        </w:rPr>
      </w:pPr>
      <w:r w:rsidRPr="00650EE4">
        <w:rPr>
          <w:rFonts w:ascii="Times New Roman" w:hAnsi="Times New Roman"/>
          <w:color w:val="000000" w:themeColor="text1"/>
          <w:szCs w:val="22"/>
        </w:rPr>
        <w:t>Šiame skyriuje pateikiami atliktos Nacionalinio pastatų fondo apžvalgos rezultatai:</w:t>
      </w:r>
    </w:p>
    <w:p w14:paraId="0A065955" w14:textId="1598E5F7" w:rsidR="00A16555" w:rsidRPr="00650EE4" w:rsidRDefault="00A16555" w:rsidP="00865E12">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w:t>
      </w:r>
      <w:r w:rsidR="00B17CD0" w:rsidRPr="00650EE4">
        <w:rPr>
          <w:rFonts w:ascii="Times New Roman" w:hAnsi="Times New Roman"/>
          <w:color w:val="000000" w:themeColor="text1"/>
          <w:szCs w:val="22"/>
        </w:rPr>
        <w:t>ų fondo struktūra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.1 skyrius).</w:t>
      </w:r>
    </w:p>
    <w:p w14:paraId="309DD624" w14:textId="25BAE789"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Pastatų fondo ene</w:t>
      </w:r>
      <w:r w:rsidR="00B17CD0" w:rsidRPr="00650EE4">
        <w:rPr>
          <w:rFonts w:ascii="Times New Roman" w:hAnsi="Times New Roman"/>
          <w:color w:val="000000" w:themeColor="text1"/>
          <w:szCs w:val="22"/>
        </w:rPr>
        <w:t>rgijos vartojimas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.2 skyrius).</w:t>
      </w:r>
    </w:p>
    <w:p w14:paraId="322CE8C3" w14:textId="0E512C18"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Pastatų fondo CO</w:t>
      </w:r>
      <w:r w:rsidRPr="00650EE4">
        <w:rPr>
          <w:rFonts w:ascii="Times New Roman" w:hAnsi="Times New Roman"/>
          <w:color w:val="000000" w:themeColor="text1"/>
          <w:szCs w:val="22"/>
          <w:vertAlign w:val="subscript"/>
        </w:rPr>
        <w:t>2</w:t>
      </w:r>
      <w:r w:rsidR="00B17CD0" w:rsidRPr="00650EE4">
        <w:rPr>
          <w:rFonts w:ascii="Times New Roman" w:hAnsi="Times New Roman"/>
          <w:color w:val="000000" w:themeColor="text1"/>
          <w:szCs w:val="22"/>
        </w:rPr>
        <w:t xml:space="preserve"> išmetimai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.3. skyrius).</w:t>
      </w:r>
    </w:p>
    <w:p w14:paraId="7FEA57D4" w14:textId="5B154678" w:rsidR="00A16555" w:rsidRPr="00650EE4"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Specifiniai pastatų</w:t>
      </w:r>
      <w:r w:rsidR="00B17CD0" w:rsidRPr="00650EE4">
        <w:rPr>
          <w:rFonts w:ascii="Times New Roman" w:hAnsi="Times New Roman"/>
          <w:color w:val="000000" w:themeColor="text1"/>
          <w:szCs w:val="22"/>
        </w:rPr>
        <w:t xml:space="preserve"> fondo segmentai (</w:t>
      </w:r>
      <w:r w:rsidR="0061497C">
        <w:rPr>
          <w:rFonts w:ascii="Times New Roman" w:hAnsi="Times New Roman"/>
          <w:color w:val="000000" w:themeColor="text1"/>
          <w:szCs w:val="22"/>
        </w:rPr>
        <w:t>1</w:t>
      </w:r>
      <w:r w:rsidR="00B17CD0" w:rsidRPr="00650EE4">
        <w:rPr>
          <w:rFonts w:ascii="Times New Roman" w:hAnsi="Times New Roman"/>
          <w:color w:val="000000" w:themeColor="text1"/>
          <w:szCs w:val="22"/>
        </w:rPr>
        <w:t>.4. skyrius).</w:t>
      </w:r>
    </w:p>
    <w:p w14:paraId="5C385BCC" w14:textId="19E07E0D" w:rsidR="00A16555" w:rsidRDefault="00A16555" w:rsidP="00865E12">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Esminiai skyri</w:t>
      </w:r>
      <w:r w:rsidR="00D95FDF" w:rsidRPr="00650EE4">
        <w:rPr>
          <w:rFonts w:ascii="Times New Roman" w:hAnsi="Times New Roman"/>
          <w:color w:val="000000" w:themeColor="text1"/>
          <w:szCs w:val="22"/>
        </w:rPr>
        <w:t>aus pastebėjimai (</w:t>
      </w:r>
      <w:r w:rsidR="0061497C">
        <w:rPr>
          <w:rFonts w:ascii="Times New Roman" w:hAnsi="Times New Roman"/>
          <w:color w:val="000000" w:themeColor="text1"/>
          <w:szCs w:val="22"/>
        </w:rPr>
        <w:t>1</w:t>
      </w:r>
      <w:r w:rsidR="00D95FDF" w:rsidRPr="00650EE4">
        <w:rPr>
          <w:rFonts w:ascii="Times New Roman" w:hAnsi="Times New Roman"/>
          <w:color w:val="000000" w:themeColor="text1"/>
          <w:szCs w:val="22"/>
        </w:rPr>
        <w:t>.5. skyrius)</w:t>
      </w:r>
      <w:r w:rsidRPr="00650EE4">
        <w:rPr>
          <w:rFonts w:ascii="Times New Roman" w:hAnsi="Times New Roman"/>
          <w:color w:val="000000" w:themeColor="text1"/>
          <w:szCs w:val="22"/>
        </w:rPr>
        <w:t>.</w:t>
      </w:r>
    </w:p>
    <w:p w14:paraId="030A3F45" w14:textId="77777777" w:rsidR="00C15EE3" w:rsidRPr="00C15EE3" w:rsidRDefault="00C15EE3" w:rsidP="00C15EE3">
      <w:pPr>
        <w:pStyle w:val="Pagrindinispaprastastekstas"/>
        <w:spacing w:after="60"/>
        <w:rPr>
          <w:rFonts w:ascii="Times New Roman" w:hAnsi="Times New Roman"/>
          <w:color w:val="000000" w:themeColor="text1"/>
          <w:sz w:val="14"/>
          <w:szCs w:val="22"/>
        </w:rPr>
      </w:pPr>
    </w:p>
    <w:p w14:paraId="78337B2F" w14:textId="4CB7EAD4" w:rsidR="00D464D7" w:rsidRPr="00650EE4" w:rsidRDefault="00CA195A" w:rsidP="00140A43">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3" w:name="_Toc59107501"/>
      <w:bookmarkStart w:id="14" w:name="_Hlk39148345"/>
      <w:r w:rsidRPr="00650EE4">
        <w:rPr>
          <w:rFonts w:ascii="Times New Roman" w:hAnsi="Times New Roman"/>
          <w:color w:val="auto"/>
          <w:sz w:val="24"/>
          <w:szCs w:val="24"/>
          <w:lang w:val="lt-LT"/>
        </w:rPr>
        <w:t>P</w:t>
      </w:r>
      <w:r w:rsidR="006A7BC5" w:rsidRPr="00650EE4">
        <w:rPr>
          <w:rFonts w:ascii="Times New Roman" w:hAnsi="Times New Roman"/>
          <w:color w:val="auto"/>
          <w:sz w:val="24"/>
          <w:szCs w:val="24"/>
          <w:lang w:val="lt-LT"/>
        </w:rPr>
        <w:t>astatų fond</w:t>
      </w:r>
      <w:r w:rsidR="005B3444" w:rsidRPr="00650EE4">
        <w:rPr>
          <w:rFonts w:ascii="Times New Roman" w:hAnsi="Times New Roman"/>
          <w:color w:val="auto"/>
          <w:sz w:val="24"/>
          <w:szCs w:val="24"/>
          <w:lang w:val="lt-LT"/>
        </w:rPr>
        <w:t xml:space="preserve">o </w:t>
      </w:r>
      <w:r w:rsidRPr="00650EE4">
        <w:rPr>
          <w:rFonts w:ascii="Times New Roman" w:hAnsi="Times New Roman"/>
          <w:color w:val="auto"/>
          <w:sz w:val="24"/>
          <w:szCs w:val="24"/>
          <w:lang w:val="lt-LT"/>
        </w:rPr>
        <w:t>struktūra</w:t>
      </w:r>
      <w:bookmarkEnd w:id="13"/>
    </w:p>
    <w:bookmarkEnd w:id="14"/>
    <w:p w14:paraId="523D0901" w14:textId="4AD24A2A" w:rsidR="0005004F" w:rsidRPr="00650EE4" w:rsidRDefault="003F74C6" w:rsidP="004E763B">
      <w:pPr>
        <w:jc w:val="both"/>
        <w:rPr>
          <w:rFonts w:ascii="Times New Roman" w:hAnsi="Times New Roman"/>
          <w:color w:val="000000" w:themeColor="text1"/>
          <w:szCs w:val="22"/>
        </w:rPr>
      </w:pPr>
      <w:r>
        <w:rPr>
          <w:rFonts w:ascii="Times New Roman" w:hAnsi="Times New Roman"/>
          <w:color w:val="000000" w:themeColor="text1"/>
          <w:szCs w:val="22"/>
        </w:rPr>
        <w:t>Šiame skyriuje pateikiama p</w:t>
      </w:r>
      <w:r w:rsidR="0005004F" w:rsidRPr="00650EE4">
        <w:rPr>
          <w:rFonts w:ascii="Times New Roman" w:hAnsi="Times New Roman"/>
          <w:color w:val="000000" w:themeColor="text1"/>
          <w:szCs w:val="22"/>
        </w:rPr>
        <w:t xml:space="preserve">astatų fondo apžvalga, siekiant identifikuoti </w:t>
      </w:r>
      <w:r w:rsidR="00865E12" w:rsidRPr="00650EE4">
        <w:rPr>
          <w:rFonts w:ascii="Times New Roman" w:hAnsi="Times New Roman"/>
          <w:color w:val="000000" w:themeColor="text1"/>
          <w:szCs w:val="22"/>
        </w:rPr>
        <w:t xml:space="preserve">reikšmingiausius </w:t>
      </w:r>
      <w:r w:rsidR="00C15EE3">
        <w:rPr>
          <w:rFonts w:ascii="Times New Roman" w:hAnsi="Times New Roman"/>
          <w:color w:val="000000" w:themeColor="text1"/>
          <w:szCs w:val="22"/>
        </w:rPr>
        <w:t>p</w:t>
      </w:r>
      <w:r w:rsidR="00870FA3" w:rsidRPr="00650EE4">
        <w:rPr>
          <w:rFonts w:ascii="Times New Roman" w:hAnsi="Times New Roman"/>
          <w:color w:val="000000" w:themeColor="text1"/>
          <w:szCs w:val="22"/>
        </w:rPr>
        <w:t xml:space="preserve">astatų fondo </w:t>
      </w:r>
      <w:r w:rsidR="005B7C71" w:rsidRPr="00650EE4">
        <w:rPr>
          <w:rFonts w:ascii="Times New Roman" w:hAnsi="Times New Roman"/>
          <w:color w:val="000000" w:themeColor="text1"/>
          <w:szCs w:val="22"/>
        </w:rPr>
        <w:t>segmentus ir</w:t>
      </w:r>
      <w:r w:rsidR="00865E12" w:rsidRPr="00650EE4">
        <w:rPr>
          <w:rFonts w:ascii="Times New Roman" w:hAnsi="Times New Roman"/>
          <w:color w:val="000000" w:themeColor="text1"/>
          <w:szCs w:val="22"/>
        </w:rPr>
        <w:t xml:space="preserve"> esminius jų požymius IRS kontekste. </w:t>
      </w:r>
    </w:p>
    <w:p w14:paraId="21B8EF50" w14:textId="77777777" w:rsidR="00865E12" w:rsidRPr="004960CA" w:rsidRDefault="00865E12" w:rsidP="004E763B">
      <w:pPr>
        <w:jc w:val="both"/>
        <w:rPr>
          <w:rFonts w:ascii="Times New Roman" w:hAnsi="Times New Roman"/>
          <w:color w:val="000000" w:themeColor="text1"/>
          <w:sz w:val="18"/>
          <w:szCs w:val="22"/>
        </w:rPr>
      </w:pPr>
    </w:p>
    <w:p w14:paraId="021B5331" w14:textId="7461788F" w:rsidR="00B63760" w:rsidRPr="00650EE4" w:rsidRDefault="00AD64BD" w:rsidP="00991029">
      <w:pPr>
        <w:pStyle w:val="Antrastes31"/>
        <w:numPr>
          <w:ilvl w:val="2"/>
          <w:numId w:val="4"/>
        </w:numPr>
        <w:spacing w:before="0" w:after="120"/>
        <w:ind w:left="720" w:hanging="720"/>
        <w:rPr>
          <w:rFonts w:ascii="Times New Roman" w:hAnsi="Times New Roman"/>
          <w:color w:val="000000" w:themeColor="text1"/>
          <w:sz w:val="24"/>
          <w:szCs w:val="24"/>
          <w:lang w:val="lt-LT"/>
        </w:rPr>
      </w:pPr>
      <w:bookmarkStart w:id="15" w:name="_Toc59107502"/>
      <w:r w:rsidRPr="00650EE4">
        <w:rPr>
          <w:rFonts w:ascii="Times New Roman" w:hAnsi="Times New Roman"/>
          <w:color w:val="000000" w:themeColor="text1"/>
          <w:sz w:val="24"/>
          <w:szCs w:val="24"/>
          <w:lang w:val="lt-LT"/>
        </w:rPr>
        <w:t>P</w:t>
      </w:r>
      <w:r w:rsidR="00B63760" w:rsidRPr="00650EE4">
        <w:rPr>
          <w:rFonts w:ascii="Times New Roman" w:hAnsi="Times New Roman"/>
          <w:color w:val="000000" w:themeColor="text1"/>
          <w:sz w:val="24"/>
          <w:szCs w:val="24"/>
          <w:lang w:val="lt-LT"/>
        </w:rPr>
        <w:t>astatų fond</w:t>
      </w:r>
      <w:r w:rsidR="00CA195A" w:rsidRPr="00650EE4">
        <w:rPr>
          <w:rFonts w:ascii="Times New Roman" w:hAnsi="Times New Roman"/>
          <w:color w:val="000000" w:themeColor="text1"/>
          <w:sz w:val="24"/>
          <w:szCs w:val="24"/>
          <w:lang w:val="lt-LT"/>
        </w:rPr>
        <w:t>as pagal grupes ir pogrupius</w:t>
      </w:r>
      <w:bookmarkEnd w:id="15"/>
    </w:p>
    <w:p w14:paraId="581018A5" w14:textId="1CCAE418" w:rsidR="00DF3B2F" w:rsidRPr="00650EE4" w:rsidRDefault="00C0136F" w:rsidP="00C15EE3">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2019 m. gruodžio 31 d. NTR</w:t>
      </w:r>
      <w:r w:rsidR="00730122" w:rsidRPr="00650EE4">
        <w:rPr>
          <w:rFonts w:ascii="Times New Roman" w:hAnsi="Times New Roman"/>
          <w:color w:val="000000" w:themeColor="text1"/>
          <w:szCs w:val="22"/>
        </w:rPr>
        <w:t xml:space="preserve"> duomenimis </w:t>
      </w:r>
      <w:r w:rsidR="00910E7F" w:rsidRPr="00650EE4">
        <w:rPr>
          <w:rFonts w:ascii="Times New Roman" w:hAnsi="Times New Roman"/>
          <w:color w:val="000000" w:themeColor="text1"/>
          <w:szCs w:val="22"/>
        </w:rPr>
        <w:t>L</w:t>
      </w:r>
      <w:r w:rsidRPr="00650EE4">
        <w:rPr>
          <w:rFonts w:ascii="Times New Roman" w:hAnsi="Times New Roman"/>
          <w:color w:val="000000" w:themeColor="text1"/>
          <w:szCs w:val="22"/>
        </w:rPr>
        <w:t>ietuvoje buvo registruota 2,6 mln. vnt.</w:t>
      </w:r>
      <w:r w:rsidR="00910E7F" w:rsidRPr="00650EE4">
        <w:rPr>
          <w:rFonts w:ascii="Times New Roman" w:hAnsi="Times New Roman"/>
          <w:color w:val="000000" w:themeColor="text1"/>
          <w:szCs w:val="22"/>
        </w:rPr>
        <w:t xml:space="preserve"> pastatų</w:t>
      </w:r>
      <w:r w:rsidR="005B3444" w:rsidRPr="00650EE4">
        <w:rPr>
          <w:rFonts w:ascii="Times New Roman" w:hAnsi="Times New Roman"/>
          <w:color w:val="000000" w:themeColor="text1"/>
          <w:szCs w:val="22"/>
        </w:rPr>
        <w:t>, kurių bendras plotas sudarė</w:t>
      </w:r>
      <w:r w:rsidR="00910E7F" w:rsidRPr="00650EE4">
        <w:rPr>
          <w:rFonts w:ascii="Times New Roman" w:hAnsi="Times New Roman"/>
          <w:color w:val="000000" w:themeColor="text1"/>
          <w:szCs w:val="22"/>
        </w:rPr>
        <w:t xml:space="preserve"> </w:t>
      </w:r>
      <w:r w:rsidR="006C6D49" w:rsidRPr="00650EE4">
        <w:rPr>
          <w:rFonts w:ascii="Times New Roman" w:hAnsi="Times New Roman"/>
          <w:color w:val="000000" w:themeColor="text1"/>
          <w:szCs w:val="22"/>
        </w:rPr>
        <w:t>235,</w:t>
      </w:r>
      <w:r w:rsidR="009A79EA">
        <w:rPr>
          <w:rFonts w:ascii="Times New Roman" w:hAnsi="Times New Roman"/>
          <w:color w:val="000000" w:themeColor="text1"/>
          <w:szCs w:val="22"/>
          <w:lang w:val="en-GB"/>
        </w:rPr>
        <w:t>3</w:t>
      </w:r>
      <w:r w:rsidR="00736E30" w:rsidRPr="00650EE4">
        <w:rPr>
          <w:rFonts w:ascii="Times New Roman" w:hAnsi="Times New Roman"/>
          <w:color w:val="000000" w:themeColor="text1"/>
          <w:szCs w:val="22"/>
        </w:rPr>
        <w:t xml:space="preserve"> mln. </w:t>
      </w:r>
      <w:r w:rsidR="00910E7F" w:rsidRPr="00650EE4">
        <w:rPr>
          <w:rFonts w:ascii="Times New Roman" w:hAnsi="Times New Roman"/>
          <w:color w:val="000000" w:themeColor="text1"/>
          <w:szCs w:val="22"/>
        </w:rPr>
        <w:t>m</w:t>
      </w:r>
      <w:r w:rsidR="00910E7F" w:rsidRPr="00650EE4">
        <w:rPr>
          <w:rFonts w:ascii="Times New Roman" w:hAnsi="Times New Roman"/>
          <w:color w:val="000000" w:themeColor="text1"/>
          <w:szCs w:val="22"/>
          <w:vertAlign w:val="superscript"/>
        </w:rPr>
        <w:t>2</w:t>
      </w:r>
      <w:r w:rsidR="005B3444" w:rsidRPr="00650EE4">
        <w:rPr>
          <w:rFonts w:ascii="Times New Roman" w:hAnsi="Times New Roman"/>
          <w:color w:val="000000" w:themeColor="text1"/>
          <w:szCs w:val="22"/>
        </w:rPr>
        <w:t>.</w:t>
      </w:r>
      <w:r w:rsidR="00C15EE3">
        <w:rPr>
          <w:rFonts w:ascii="Times New Roman" w:hAnsi="Times New Roman"/>
          <w:color w:val="000000" w:themeColor="text1"/>
          <w:szCs w:val="22"/>
        </w:rPr>
        <w:t xml:space="preserve"> </w:t>
      </w:r>
      <w:r w:rsidR="00F3653A">
        <w:rPr>
          <w:rFonts w:ascii="Times New Roman" w:hAnsi="Times New Roman"/>
          <w:color w:val="000000" w:themeColor="text1"/>
          <w:szCs w:val="22"/>
        </w:rPr>
        <w:t>D</w:t>
      </w:r>
      <w:r w:rsidR="00075968" w:rsidRPr="00650EE4">
        <w:rPr>
          <w:rFonts w:ascii="Times New Roman" w:hAnsi="Times New Roman"/>
          <w:color w:val="000000" w:themeColor="text1"/>
          <w:szCs w:val="22"/>
        </w:rPr>
        <w:t xml:space="preserve">uomenys </w:t>
      </w:r>
      <w:r w:rsidR="005974E1" w:rsidRPr="00650EE4">
        <w:rPr>
          <w:rFonts w:ascii="Times New Roman" w:hAnsi="Times New Roman"/>
          <w:color w:val="000000" w:themeColor="text1"/>
          <w:szCs w:val="22"/>
        </w:rPr>
        <w:t>su</w:t>
      </w:r>
      <w:r w:rsidR="00075968" w:rsidRPr="00650EE4">
        <w:rPr>
          <w:rFonts w:ascii="Times New Roman" w:hAnsi="Times New Roman"/>
          <w:color w:val="000000" w:themeColor="text1"/>
          <w:szCs w:val="22"/>
        </w:rPr>
        <w:t>grupuo</w:t>
      </w:r>
      <w:r w:rsidR="005974E1" w:rsidRPr="00650EE4">
        <w:rPr>
          <w:rFonts w:ascii="Times New Roman" w:hAnsi="Times New Roman"/>
          <w:color w:val="000000" w:themeColor="text1"/>
          <w:szCs w:val="22"/>
        </w:rPr>
        <w:t>ti</w:t>
      </w:r>
      <w:r w:rsidR="00526AF5" w:rsidRPr="00650EE4">
        <w:rPr>
          <w:rFonts w:ascii="Times New Roman" w:hAnsi="Times New Roman"/>
          <w:color w:val="000000" w:themeColor="text1"/>
          <w:szCs w:val="22"/>
        </w:rPr>
        <w:t xml:space="preserve"> į </w:t>
      </w:r>
      <w:r w:rsidR="007F3C6A" w:rsidRPr="00650EE4">
        <w:rPr>
          <w:rFonts w:ascii="Times New Roman" w:hAnsi="Times New Roman"/>
          <w:color w:val="000000" w:themeColor="text1"/>
          <w:szCs w:val="22"/>
        </w:rPr>
        <w:t>len</w:t>
      </w:r>
      <w:r w:rsidR="00075968" w:rsidRPr="00650EE4">
        <w:rPr>
          <w:rFonts w:ascii="Times New Roman" w:hAnsi="Times New Roman"/>
          <w:color w:val="000000" w:themeColor="text1"/>
          <w:szCs w:val="22"/>
        </w:rPr>
        <w:t>t</w:t>
      </w:r>
      <w:r w:rsidR="007F3C6A" w:rsidRPr="00650EE4">
        <w:rPr>
          <w:rFonts w:ascii="Times New Roman" w:hAnsi="Times New Roman"/>
          <w:color w:val="000000" w:themeColor="text1"/>
          <w:szCs w:val="22"/>
        </w:rPr>
        <w:t>elėje žemiau nurodytas</w:t>
      </w:r>
      <w:r w:rsidR="00DF3B2F" w:rsidRPr="00650EE4">
        <w:rPr>
          <w:rFonts w:ascii="Times New Roman" w:hAnsi="Times New Roman"/>
          <w:color w:val="000000" w:themeColor="text1"/>
          <w:szCs w:val="22"/>
        </w:rPr>
        <w:t xml:space="preserve"> pagrindines </w:t>
      </w:r>
      <w:r w:rsidR="007F3C6A" w:rsidRPr="00650EE4">
        <w:rPr>
          <w:rFonts w:ascii="Times New Roman" w:hAnsi="Times New Roman"/>
          <w:color w:val="000000" w:themeColor="text1"/>
          <w:szCs w:val="22"/>
        </w:rPr>
        <w:t xml:space="preserve">pastatų </w:t>
      </w:r>
      <w:r w:rsidR="00DF3B2F" w:rsidRPr="00650EE4">
        <w:rPr>
          <w:rFonts w:ascii="Times New Roman" w:hAnsi="Times New Roman"/>
          <w:color w:val="000000" w:themeColor="text1"/>
          <w:szCs w:val="22"/>
        </w:rPr>
        <w:t>grupes</w:t>
      </w:r>
      <w:r w:rsidR="00C761DA" w:rsidRPr="00650EE4">
        <w:rPr>
          <w:rFonts w:ascii="Times New Roman" w:hAnsi="Times New Roman"/>
          <w:color w:val="000000" w:themeColor="text1"/>
          <w:szCs w:val="22"/>
        </w:rPr>
        <w:t xml:space="preserve"> ir pogrupius</w:t>
      </w:r>
      <w:r w:rsidR="00DC79E5" w:rsidRPr="00650EE4">
        <w:rPr>
          <w:rFonts w:ascii="Times New Roman" w:hAnsi="Times New Roman"/>
          <w:color w:val="000000" w:themeColor="text1"/>
          <w:szCs w:val="22"/>
        </w:rPr>
        <w:t>.</w:t>
      </w:r>
    </w:p>
    <w:p w14:paraId="6811146E" w14:textId="77777777" w:rsidR="00CF75E4" w:rsidRPr="00650EE4" w:rsidRDefault="00CF75E4" w:rsidP="00295968">
      <w:pPr>
        <w:pStyle w:val="BodyText"/>
        <w:spacing w:line="240" w:lineRule="auto"/>
        <w:jc w:val="both"/>
        <w:rPr>
          <w:rFonts w:ascii="Times New Roman" w:hAnsi="Times New Roman"/>
          <w:color w:val="000000" w:themeColor="text1"/>
          <w:szCs w:val="22"/>
          <w:lang w:val="lt-LT"/>
        </w:rPr>
      </w:pPr>
    </w:p>
    <w:p w14:paraId="13F5C00F" w14:textId="49569B75" w:rsidR="0031098D"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 w:name="_Toc59094184"/>
      <w:r w:rsidR="00F25C65">
        <w:t>1</w:t>
      </w:r>
      <w:r w:rsidRPr="00650EE4">
        <w:rPr>
          <w:noProof w:val="0"/>
        </w:rPr>
        <w:fldChar w:fldCharType="end"/>
      </w:r>
      <w:r w:rsidR="002E70E5" w:rsidRPr="00650EE4">
        <w:rPr>
          <w:noProof w:val="0"/>
        </w:rPr>
        <w:t xml:space="preserve"> lentelė. </w:t>
      </w:r>
      <w:r w:rsidR="00BE64CA" w:rsidRPr="00650EE4">
        <w:rPr>
          <w:noProof w:val="0"/>
        </w:rPr>
        <w:t>Nacionalinis pastatų fondas pagal pastatų grupes ir pogrupius</w:t>
      </w:r>
      <w:bookmarkEnd w:id="16"/>
    </w:p>
    <w:tbl>
      <w:tblPr>
        <w:tblW w:w="5000" w:type="pct"/>
        <w:tblLook w:val="04A0" w:firstRow="1" w:lastRow="0" w:firstColumn="1" w:lastColumn="0" w:noHBand="0" w:noVBand="1"/>
      </w:tblPr>
      <w:tblGrid>
        <w:gridCol w:w="1898"/>
        <w:gridCol w:w="2930"/>
        <w:gridCol w:w="1905"/>
        <w:gridCol w:w="2051"/>
        <w:gridCol w:w="1636"/>
      </w:tblGrid>
      <w:tr w:rsidR="0031098D" w:rsidRPr="00650EE4" w14:paraId="4C142786" w14:textId="77777777" w:rsidTr="00733985">
        <w:tc>
          <w:tcPr>
            <w:tcW w:w="911" w:type="pct"/>
            <w:tcBorders>
              <w:top w:val="single" w:sz="4" w:space="0" w:color="auto"/>
              <w:left w:val="single" w:sz="4" w:space="0" w:color="auto"/>
              <w:bottom w:val="single" w:sz="4" w:space="0" w:color="auto"/>
              <w:right w:val="nil"/>
            </w:tcBorders>
            <w:shd w:val="clear" w:color="000000" w:fill="FFFFFF"/>
            <w:noWrap/>
            <w:vAlign w:val="center"/>
            <w:hideMark/>
          </w:tcPr>
          <w:p w14:paraId="55D5B985"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Pastatų grupė</w:t>
            </w:r>
          </w:p>
        </w:tc>
        <w:tc>
          <w:tcPr>
            <w:tcW w:w="1406" w:type="pct"/>
            <w:tcBorders>
              <w:top w:val="single" w:sz="4" w:space="0" w:color="auto"/>
              <w:left w:val="nil"/>
              <w:bottom w:val="single" w:sz="4" w:space="0" w:color="auto"/>
              <w:right w:val="nil"/>
            </w:tcBorders>
            <w:shd w:val="clear" w:color="000000" w:fill="FFFFFF"/>
            <w:noWrap/>
            <w:vAlign w:val="center"/>
            <w:hideMark/>
          </w:tcPr>
          <w:p w14:paraId="033B02C3"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Pastatų pogrupis</w:t>
            </w:r>
          </w:p>
        </w:tc>
        <w:tc>
          <w:tcPr>
            <w:tcW w:w="914" w:type="pct"/>
            <w:tcBorders>
              <w:top w:val="single" w:sz="4" w:space="0" w:color="auto"/>
              <w:left w:val="nil"/>
              <w:bottom w:val="single" w:sz="4" w:space="0" w:color="auto"/>
              <w:right w:val="nil"/>
            </w:tcBorders>
            <w:shd w:val="clear" w:color="000000" w:fill="FFFFFF"/>
            <w:noWrap/>
            <w:vAlign w:val="center"/>
            <w:hideMark/>
          </w:tcPr>
          <w:p w14:paraId="09E5978F"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Skaičius, vnt.</w:t>
            </w:r>
          </w:p>
        </w:tc>
        <w:tc>
          <w:tcPr>
            <w:tcW w:w="984" w:type="pct"/>
            <w:tcBorders>
              <w:top w:val="single" w:sz="4" w:space="0" w:color="auto"/>
              <w:left w:val="nil"/>
              <w:bottom w:val="single" w:sz="4" w:space="0" w:color="auto"/>
              <w:right w:val="nil"/>
            </w:tcBorders>
            <w:shd w:val="clear" w:color="000000" w:fill="FFFFFF"/>
            <w:noWrap/>
            <w:vAlign w:val="center"/>
            <w:hideMark/>
          </w:tcPr>
          <w:p w14:paraId="47F3FC94" w14:textId="0B914036" w:rsidR="0031098D" w:rsidRPr="00650EE4" w:rsidRDefault="00343C6C"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Bendras p</w:t>
            </w:r>
            <w:r w:rsidR="0031098D" w:rsidRPr="00650EE4">
              <w:rPr>
                <w:rFonts w:ascii="Times New Roman" w:eastAsia="Times New Roman" w:hAnsi="Times New Roman"/>
                <w:b/>
                <w:bCs/>
                <w:sz w:val="20"/>
                <w:szCs w:val="20"/>
              </w:rPr>
              <w:t>lotas, m</w:t>
            </w:r>
            <w:r w:rsidR="0031098D" w:rsidRPr="00650EE4">
              <w:rPr>
                <w:rFonts w:ascii="Times New Roman" w:eastAsia="Times New Roman" w:hAnsi="Times New Roman"/>
                <w:b/>
                <w:bCs/>
                <w:sz w:val="20"/>
                <w:szCs w:val="20"/>
                <w:vertAlign w:val="superscript"/>
              </w:rPr>
              <w:t>2</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762D8A00"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Plotas, proc.</w:t>
            </w:r>
          </w:p>
        </w:tc>
      </w:tr>
      <w:tr w:rsidR="006517C5" w:rsidRPr="00650EE4" w14:paraId="5E26702D" w14:textId="77777777" w:rsidTr="00733985">
        <w:tc>
          <w:tcPr>
            <w:tcW w:w="911" w:type="pct"/>
            <w:vMerge w:val="restart"/>
            <w:tcBorders>
              <w:top w:val="nil"/>
              <w:left w:val="single" w:sz="4" w:space="0" w:color="auto"/>
              <w:right w:val="nil"/>
            </w:tcBorders>
            <w:shd w:val="clear" w:color="000000" w:fill="FFFFFF"/>
            <w:noWrap/>
            <w:hideMark/>
          </w:tcPr>
          <w:p w14:paraId="3280D7D2"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Gyvenamieji</w:t>
            </w:r>
          </w:p>
          <w:p w14:paraId="13E45AA0"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3A755C9B"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3C3D0D88" w14:textId="436E6DCA"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406" w:type="pct"/>
            <w:tcBorders>
              <w:top w:val="nil"/>
              <w:left w:val="nil"/>
              <w:bottom w:val="nil"/>
              <w:right w:val="nil"/>
            </w:tcBorders>
            <w:shd w:val="clear" w:color="000000" w:fill="FFFFFF"/>
            <w:noWrap/>
            <w:vAlign w:val="center"/>
            <w:hideMark/>
          </w:tcPr>
          <w:p w14:paraId="0D3CE9AF" w14:textId="77777777"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Individualūs</w:t>
            </w:r>
          </w:p>
        </w:tc>
        <w:tc>
          <w:tcPr>
            <w:tcW w:w="914" w:type="pct"/>
            <w:tcBorders>
              <w:top w:val="nil"/>
              <w:left w:val="nil"/>
              <w:bottom w:val="nil"/>
              <w:right w:val="nil"/>
            </w:tcBorders>
            <w:shd w:val="clear" w:color="000000" w:fill="FFFFFF"/>
            <w:noWrap/>
            <w:vAlign w:val="center"/>
            <w:hideMark/>
          </w:tcPr>
          <w:p w14:paraId="74DD98CA"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529.492</w:t>
            </w:r>
          </w:p>
        </w:tc>
        <w:tc>
          <w:tcPr>
            <w:tcW w:w="984" w:type="pct"/>
            <w:tcBorders>
              <w:top w:val="nil"/>
              <w:left w:val="nil"/>
              <w:bottom w:val="nil"/>
              <w:right w:val="nil"/>
            </w:tcBorders>
            <w:shd w:val="clear" w:color="000000" w:fill="FFFFFF"/>
            <w:noWrap/>
            <w:vAlign w:val="center"/>
            <w:hideMark/>
          </w:tcPr>
          <w:p w14:paraId="743B82C1"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69.540.001</w:t>
            </w:r>
          </w:p>
        </w:tc>
        <w:tc>
          <w:tcPr>
            <w:tcW w:w="785" w:type="pct"/>
            <w:tcBorders>
              <w:top w:val="nil"/>
              <w:left w:val="nil"/>
              <w:bottom w:val="nil"/>
              <w:right w:val="single" w:sz="4" w:space="0" w:color="auto"/>
            </w:tcBorders>
            <w:shd w:val="clear" w:color="000000" w:fill="FFFFFF"/>
            <w:noWrap/>
            <w:vAlign w:val="center"/>
            <w:hideMark/>
          </w:tcPr>
          <w:p w14:paraId="2A140C3E"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6517C5" w:rsidRPr="00650EE4" w14:paraId="18AFFFF8" w14:textId="77777777" w:rsidTr="00733985">
        <w:tc>
          <w:tcPr>
            <w:tcW w:w="911" w:type="pct"/>
            <w:vMerge/>
            <w:tcBorders>
              <w:left w:val="single" w:sz="4" w:space="0" w:color="auto"/>
              <w:right w:val="nil"/>
            </w:tcBorders>
            <w:shd w:val="clear" w:color="000000" w:fill="FFFFFF"/>
            <w:noWrap/>
            <w:vAlign w:val="center"/>
            <w:hideMark/>
          </w:tcPr>
          <w:p w14:paraId="03AA5D65" w14:textId="3A42DF64"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39CDA683" w14:textId="578FFDE1"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(&lt;1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2179B99F"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24.113</w:t>
            </w:r>
          </w:p>
        </w:tc>
        <w:tc>
          <w:tcPr>
            <w:tcW w:w="984" w:type="pct"/>
            <w:tcBorders>
              <w:top w:val="nil"/>
              <w:left w:val="nil"/>
              <w:bottom w:val="nil"/>
              <w:right w:val="nil"/>
            </w:tcBorders>
            <w:shd w:val="clear" w:color="000000" w:fill="FFFFFF"/>
            <w:noWrap/>
            <w:vAlign w:val="center"/>
            <w:hideMark/>
          </w:tcPr>
          <w:p w14:paraId="55D2CDEB"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9.334.072</w:t>
            </w:r>
          </w:p>
        </w:tc>
        <w:tc>
          <w:tcPr>
            <w:tcW w:w="785" w:type="pct"/>
            <w:tcBorders>
              <w:top w:val="nil"/>
              <w:left w:val="nil"/>
              <w:bottom w:val="nil"/>
              <w:right w:val="single" w:sz="4" w:space="0" w:color="auto"/>
            </w:tcBorders>
            <w:shd w:val="clear" w:color="000000" w:fill="FFFFFF"/>
            <w:noWrap/>
            <w:vAlign w:val="center"/>
            <w:hideMark/>
          </w:tcPr>
          <w:p w14:paraId="1332A350"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517C5" w:rsidRPr="00650EE4" w14:paraId="5CCC4ADB" w14:textId="77777777" w:rsidTr="00733985">
        <w:tc>
          <w:tcPr>
            <w:tcW w:w="911" w:type="pct"/>
            <w:vMerge/>
            <w:tcBorders>
              <w:left w:val="single" w:sz="4" w:space="0" w:color="auto"/>
              <w:right w:val="nil"/>
            </w:tcBorders>
            <w:shd w:val="clear" w:color="000000" w:fill="FFFFFF"/>
            <w:noWrap/>
            <w:vAlign w:val="center"/>
            <w:hideMark/>
          </w:tcPr>
          <w:p w14:paraId="32FB80A5" w14:textId="1BB6CE8C"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75831294" w14:textId="0FD41E02"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(1-5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406CB366"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15.072</w:t>
            </w:r>
          </w:p>
        </w:tc>
        <w:tc>
          <w:tcPr>
            <w:tcW w:w="984" w:type="pct"/>
            <w:tcBorders>
              <w:top w:val="nil"/>
              <w:left w:val="nil"/>
              <w:bottom w:val="nil"/>
              <w:right w:val="nil"/>
            </w:tcBorders>
            <w:shd w:val="clear" w:color="000000" w:fill="FFFFFF"/>
            <w:noWrap/>
            <w:vAlign w:val="center"/>
            <w:hideMark/>
          </w:tcPr>
          <w:p w14:paraId="252B1ECE"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37.805.494</w:t>
            </w:r>
          </w:p>
        </w:tc>
        <w:tc>
          <w:tcPr>
            <w:tcW w:w="785" w:type="pct"/>
            <w:tcBorders>
              <w:top w:val="nil"/>
              <w:left w:val="nil"/>
              <w:bottom w:val="nil"/>
              <w:right w:val="single" w:sz="4" w:space="0" w:color="auto"/>
            </w:tcBorders>
            <w:shd w:val="clear" w:color="000000" w:fill="FFFFFF"/>
            <w:noWrap/>
            <w:vAlign w:val="center"/>
            <w:hideMark/>
          </w:tcPr>
          <w:p w14:paraId="02499B02"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6517C5" w:rsidRPr="00650EE4" w14:paraId="6253C1A5" w14:textId="77777777" w:rsidTr="00733985">
        <w:tc>
          <w:tcPr>
            <w:tcW w:w="911" w:type="pct"/>
            <w:vMerge/>
            <w:tcBorders>
              <w:left w:val="single" w:sz="4" w:space="0" w:color="auto"/>
              <w:bottom w:val="nil"/>
              <w:right w:val="nil"/>
            </w:tcBorders>
            <w:shd w:val="clear" w:color="000000" w:fill="FFFFFF"/>
            <w:noWrap/>
            <w:vAlign w:val="center"/>
            <w:hideMark/>
          </w:tcPr>
          <w:p w14:paraId="24609711" w14:textId="6877850E" w:rsidR="006517C5" w:rsidRPr="00650EE4" w:rsidRDefault="006517C5"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28903A0C" w14:textId="30177AF0" w:rsidR="006517C5" w:rsidRPr="00650EE4" w:rsidRDefault="006517C5"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 (&gt;5 tūkst.</w:t>
            </w:r>
            <w:r w:rsidR="00755CF1" w:rsidRPr="00650EE4">
              <w:rPr>
                <w:rFonts w:ascii="Times New Roman" w:eastAsia="Times New Roman" w:hAnsi="Times New Roman"/>
                <w:sz w:val="20"/>
                <w:szCs w:val="20"/>
              </w:rPr>
              <w:t xml:space="preserve"> </w:t>
            </w:r>
            <w:r w:rsidRPr="00650EE4">
              <w:rPr>
                <w:rFonts w:ascii="Times New Roman" w:eastAsia="Times New Roman" w:hAnsi="Times New Roman"/>
                <w:sz w:val="20"/>
                <w:szCs w:val="20"/>
              </w:rPr>
              <w:t>m</w:t>
            </w:r>
            <w:r w:rsidRPr="00650EE4">
              <w:rPr>
                <w:rFonts w:ascii="Times New Roman" w:eastAsia="Times New Roman" w:hAnsi="Times New Roman"/>
                <w:sz w:val="20"/>
                <w:szCs w:val="20"/>
                <w:vertAlign w:val="superscript"/>
              </w:rPr>
              <w:t>2</w:t>
            </w:r>
            <w:r w:rsidRPr="00650EE4">
              <w:rPr>
                <w:rFonts w:ascii="Times New Roman" w:eastAsia="Times New Roman" w:hAnsi="Times New Roman"/>
                <w:sz w:val="20"/>
                <w:szCs w:val="20"/>
              </w:rPr>
              <w:t>)</w:t>
            </w:r>
          </w:p>
        </w:tc>
        <w:tc>
          <w:tcPr>
            <w:tcW w:w="914" w:type="pct"/>
            <w:tcBorders>
              <w:top w:val="nil"/>
              <w:left w:val="nil"/>
              <w:bottom w:val="nil"/>
              <w:right w:val="nil"/>
            </w:tcBorders>
            <w:shd w:val="clear" w:color="000000" w:fill="FFFFFF"/>
            <w:noWrap/>
            <w:vAlign w:val="center"/>
            <w:hideMark/>
          </w:tcPr>
          <w:p w14:paraId="400FB427"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1.836</w:t>
            </w:r>
          </w:p>
        </w:tc>
        <w:tc>
          <w:tcPr>
            <w:tcW w:w="984" w:type="pct"/>
            <w:tcBorders>
              <w:top w:val="nil"/>
              <w:left w:val="nil"/>
              <w:bottom w:val="nil"/>
              <w:right w:val="nil"/>
            </w:tcBorders>
            <w:shd w:val="clear" w:color="000000" w:fill="FFFFFF"/>
            <w:noWrap/>
            <w:vAlign w:val="center"/>
            <w:hideMark/>
          </w:tcPr>
          <w:p w14:paraId="357F152F"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12.324.006</w:t>
            </w:r>
          </w:p>
        </w:tc>
        <w:tc>
          <w:tcPr>
            <w:tcW w:w="785" w:type="pct"/>
            <w:tcBorders>
              <w:top w:val="nil"/>
              <w:left w:val="nil"/>
              <w:bottom w:val="nil"/>
              <w:right w:val="single" w:sz="4" w:space="0" w:color="auto"/>
            </w:tcBorders>
            <w:shd w:val="clear" w:color="000000" w:fill="FFFFFF"/>
            <w:noWrap/>
            <w:vAlign w:val="center"/>
            <w:hideMark/>
          </w:tcPr>
          <w:p w14:paraId="675C7DD2" w14:textId="77777777" w:rsidR="006517C5" w:rsidRPr="00650EE4" w:rsidRDefault="006517C5"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AD64BD" w:rsidRPr="00650EE4" w14:paraId="263D6BE8" w14:textId="77777777" w:rsidTr="00733985">
        <w:tc>
          <w:tcPr>
            <w:tcW w:w="911" w:type="pct"/>
            <w:vMerge w:val="restart"/>
            <w:tcBorders>
              <w:top w:val="single" w:sz="4" w:space="0" w:color="auto"/>
              <w:left w:val="single" w:sz="4" w:space="0" w:color="auto"/>
              <w:right w:val="nil"/>
            </w:tcBorders>
            <w:shd w:val="clear" w:color="000000" w:fill="FFFFFF"/>
            <w:noWrap/>
            <w:vAlign w:val="center"/>
            <w:hideMark/>
          </w:tcPr>
          <w:p w14:paraId="0AC20634"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Negyvenamieji</w:t>
            </w:r>
          </w:p>
          <w:p w14:paraId="5074AD31"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725026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51D9D57A"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CDF7BAB"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14981A8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2A3D700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11FE7F21"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p w14:paraId="4238C769" w14:textId="6B5FC145"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406" w:type="pct"/>
            <w:tcBorders>
              <w:top w:val="single" w:sz="4" w:space="0" w:color="auto"/>
              <w:left w:val="nil"/>
              <w:bottom w:val="nil"/>
              <w:right w:val="nil"/>
            </w:tcBorders>
            <w:shd w:val="clear" w:color="000000" w:fill="FFFFFF"/>
            <w:noWrap/>
            <w:vAlign w:val="center"/>
            <w:hideMark/>
          </w:tcPr>
          <w:p w14:paraId="1746D34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Pramonės</w:t>
            </w:r>
          </w:p>
        </w:tc>
        <w:tc>
          <w:tcPr>
            <w:tcW w:w="914" w:type="pct"/>
            <w:tcBorders>
              <w:top w:val="single" w:sz="4" w:space="0" w:color="auto"/>
              <w:left w:val="nil"/>
              <w:bottom w:val="nil"/>
              <w:right w:val="nil"/>
            </w:tcBorders>
            <w:shd w:val="clear" w:color="000000" w:fill="FFFFFF"/>
            <w:noWrap/>
            <w:vAlign w:val="center"/>
            <w:hideMark/>
          </w:tcPr>
          <w:p w14:paraId="1323ECE3"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48.775</w:t>
            </w:r>
          </w:p>
        </w:tc>
        <w:tc>
          <w:tcPr>
            <w:tcW w:w="984" w:type="pct"/>
            <w:tcBorders>
              <w:top w:val="single" w:sz="4" w:space="0" w:color="auto"/>
              <w:left w:val="nil"/>
              <w:bottom w:val="nil"/>
              <w:right w:val="nil"/>
            </w:tcBorders>
            <w:shd w:val="clear" w:color="000000" w:fill="FFFFFF"/>
            <w:noWrap/>
            <w:vAlign w:val="center"/>
            <w:hideMark/>
          </w:tcPr>
          <w:p w14:paraId="64438CBD"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35.489.710</w:t>
            </w:r>
          </w:p>
        </w:tc>
        <w:tc>
          <w:tcPr>
            <w:tcW w:w="785" w:type="pct"/>
            <w:tcBorders>
              <w:top w:val="single" w:sz="4" w:space="0" w:color="auto"/>
              <w:left w:val="nil"/>
              <w:bottom w:val="nil"/>
              <w:right w:val="single" w:sz="4" w:space="0" w:color="auto"/>
            </w:tcBorders>
            <w:shd w:val="clear" w:color="000000" w:fill="FFFFFF"/>
            <w:noWrap/>
            <w:vAlign w:val="center"/>
            <w:hideMark/>
          </w:tcPr>
          <w:p w14:paraId="0E7B2B6B"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AD64BD" w:rsidRPr="00650EE4" w14:paraId="64302612" w14:textId="77777777" w:rsidTr="00733985">
        <w:tc>
          <w:tcPr>
            <w:tcW w:w="911" w:type="pct"/>
            <w:vMerge/>
            <w:tcBorders>
              <w:left w:val="single" w:sz="4" w:space="0" w:color="auto"/>
              <w:right w:val="nil"/>
            </w:tcBorders>
            <w:shd w:val="clear" w:color="000000" w:fill="FFFFFF"/>
            <w:noWrap/>
            <w:vAlign w:val="center"/>
            <w:hideMark/>
          </w:tcPr>
          <w:p w14:paraId="1D617A6D" w14:textId="1C33D012"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3FA26497"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Administraciniai</w:t>
            </w:r>
          </w:p>
        </w:tc>
        <w:tc>
          <w:tcPr>
            <w:tcW w:w="914" w:type="pct"/>
            <w:tcBorders>
              <w:top w:val="nil"/>
              <w:left w:val="nil"/>
              <w:bottom w:val="nil"/>
              <w:right w:val="nil"/>
            </w:tcBorders>
            <w:shd w:val="clear" w:color="000000" w:fill="FFFFFF"/>
            <w:noWrap/>
            <w:vAlign w:val="center"/>
            <w:hideMark/>
          </w:tcPr>
          <w:p w14:paraId="53F9C926"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10.377</w:t>
            </w:r>
          </w:p>
        </w:tc>
        <w:tc>
          <w:tcPr>
            <w:tcW w:w="984" w:type="pct"/>
            <w:tcBorders>
              <w:top w:val="nil"/>
              <w:left w:val="nil"/>
              <w:bottom w:val="nil"/>
              <w:right w:val="nil"/>
            </w:tcBorders>
            <w:shd w:val="clear" w:color="000000" w:fill="FFFFFF"/>
            <w:noWrap/>
            <w:vAlign w:val="center"/>
            <w:hideMark/>
          </w:tcPr>
          <w:p w14:paraId="30A69DE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10.096.910</w:t>
            </w:r>
          </w:p>
        </w:tc>
        <w:tc>
          <w:tcPr>
            <w:tcW w:w="785" w:type="pct"/>
            <w:tcBorders>
              <w:top w:val="nil"/>
              <w:left w:val="nil"/>
              <w:bottom w:val="nil"/>
              <w:right w:val="single" w:sz="4" w:space="0" w:color="auto"/>
            </w:tcBorders>
            <w:shd w:val="clear" w:color="000000" w:fill="FFFFFF"/>
            <w:noWrap/>
            <w:vAlign w:val="center"/>
            <w:hideMark/>
          </w:tcPr>
          <w:p w14:paraId="0304A4B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D64BD" w:rsidRPr="00650EE4" w14:paraId="20512828" w14:textId="77777777" w:rsidTr="00733985">
        <w:tc>
          <w:tcPr>
            <w:tcW w:w="911" w:type="pct"/>
            <w:vMerge/>
            <w:tcBorders>
              <w:left w:val="single" w:sz="4" w:space="0" w:color="auto"/>
              <w:right w:val="nil"/>
            </w:tcBorders>
            <w:shd w:val="clear" w:color="000000" w:fill="FFFFFF"/>
            <w:noWrap/>
            <w:vAlign w:val="center"/>
            <w:hideMark/>
          </w:tcPr>
          <w:p w14:paraId="26316AB7" w14:textId="57C05110"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0D7C7B8"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Mokslo</w:t>
            </w:r>
          </w:p>
        </w:tc>
        <w:tc>
          <w:tcPr>
            <w:tcW w:w="914" w:type="pct"/>
            <w:tcBorders>
              <w:top w:val="nil"/>
              <w:left w:val="nil"/>
              <w:bottom w:val="nil"/>
              <w:right w:val="nil"/>
            </w:tcBorders>
            <w:shd w:val="clear" w:color="000000" w:fill="FFFFFF"/>
            <w:noWrap/>
            <w:vAlign w:val="center"/>
            <w:hideMark/>
          </w:tcPr>
          <w:p w14:paraId="0115C48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4.715</w:t>
            </w:r>
          </w:p>
        </w:tc>
        <w:tc>
          <w:tcPr>
            <w:tcW w:w="984" w:type="pct"/>
            <w:tcBorders>
              <w:top w:val="nil"/>
              <w:left w:val="nil"/>
              <w:bottom w:val="nil"/>
              <w:right w:val="nil"/>
            </w:tcBorders>
            <w:shd w:val="clear" w:color="000000" w:fill="FFFFFF"/>
            <w:noWrap/>
            <w:vAlign w:val="center"/>
            <w:hideMark/>
          </w:tcPr>
          <w:p w14:paraId="3B20102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8.503.112</w:t>
            </w:r>
          </w:p>
        </w:tc>
        <w:tc>
          <w:tcPr>
            <w:tcW w:w="785" w:type="pct"/>
            <w:tcBorders>
              <w:top w:val="nil"/>
              <w:left w:val="nil"/>
              <w:bottom w:val="nil"/>
              <w:right w:val="single" w:sz="4" w:space="0" w:color="auto"/>
            </w:tcBorders>
            <w:shd w:val="clear" w:color="000000" w:fill="FFFFFF"/>
            <w:noWrap/>
            <w:vAlign w:val="center"/>
            <w:hideMark/>
          </w:tcPr>
          <w:p w14:paraId="5817B39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D64BD" w:rsidRPr="00650EE4" w14:paraId="3CC65A0D" w14:textId="77777777" w:rsidTr="00733985">
        <w:tc>
          <w:tcPr>
            <w:tcW w:w="911" w:type="pct"/>
            <w:vMerge/>
            <w:tcBorders>
              <w:left w:val="single" w:sz="4" w:space="0" w:color="auto"/>
              <w:right w:val="nil"/>
            </w:tcBorders>
            <w:shd w:val="clear" w:color="000000" w:fill="FFFFFF"/>
            <w:noWrap/>
            <w:vAlign w:val="center"/>
            <w:hideMark/>
          </w:tcPr>
          <w:p w14:paraId="647E55E1" w14:textId="2A1C2750"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DB1804A"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Prekybos</w:t>
            </w:r>
          </w:p>
        </w:tc>
        <w:tc>
          <w:tcPr>
            <w:tcW w:w="914" w:type="pct"/>
            <w:tcBorders>
              <w:top w:val="nil"/>
              <w:left w:val="nil"/>
              <w:bottom w:val="nil"/>
              <w:right w:val="nil"/>
            </w:tcBorders>
            <w:shd w:val="clear" w:color="000000" w:fill="FFFFFF"/>
            <w:noWrap/>
            <w:vAlign w:val="center"/>
            <w:hideMark/>
          </w:tcPr>
          <w:p w14:paraId="7D9371C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8.760</w:t>
            </w:r>
          </w:p>
        </w:tc>
        <w:tc>
          <w:tcPr>
            <w:tcW w:w="984" w:type="pct"/>
            <w:tcBorders>
              <w:top w:val="nil"/>
              <w:left w:val="nil"/>
              <w:bottom w:val="nil"/>
              <w:right w:val="nil"/>
            </w:tcBorders>
            <w:shd w:val="clear" w:color="000000" w:fill="FFFFFF"/>
            <w:noWrap/>
            <w:vAlign w:val="center"/>
            <w:hideMark/>
          </w:tcPr>
          <w:p w14:paraId="1C80791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7.064.489</w:t>
            </w:r>
          </w:p>
        </w:tc>
        <w:tc>
          <w:tcPr>
            <w:tcW w:w="785" w:type="pct"/>
            <w:tcBorders>
              <w:top w:val="nil"/>
              <w:left w:val="nil"/>
              <w:bottom w:val="nil"/>
              <w:right w:val="single" w:sz="4" w:space="0" w:color="auto"/>
            </w:tcBorders>
            <w:shd w:val="clear" w:color="000000" w:fill="FFFFFF"/>
            <w:noWrap/>
            <w:vAlign w:val="center"/>
            <w:hideMark/>
          </w:tcPr>
          <w:p w14:paraId="07B16D9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AD64BD" w:rsidRPr="00650EE4" w14:paraId="020BAF6E" w14:textId="77777777" w:rsidTr="00733985">
        <w:tc>
          <w:tcPr>
            <w:tcW w:w="911" w:type="pct"/>
            <w:vMerge/>
            <w:tcBorders>
              <w:left w:val="single" w:sz="4" w:space="0" w:color="auto"/>
              <w:right w:val="nil"/>
            </w:tcBorders>
            <w:shd w:val="clear" w:color="000000" w:fill="FFFFFF"/>
            <w:noWrap/>
            <w:vAlign w:val="center"/>
            <w:hideMark/>
          </w:tcPr>
          <w:p w14:paraId="20798BE7" w14:textId="08A108FB"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71F8D4F6"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Gydymo</w:t>
            </w:r>
          </w:p>
        </w:tc>
        <w:tc>
          <w:tcPr>
            <w:tcW w:w="914" w:type="pct"/>
            <w:tcBorders>
              <w:top w:val="nil"/>
              <w:left w:val="nil"/>
              <w:bottom w:val="nil"/>
              <w:right w:val="nil"/>
            </w:tcBorders>
            <w:shd w:val="clear" w:color="000000" w:fill="FFFFFF"/>
            <w:noWrap/>
            <w:vAlign w:val="center"/>
            <w:hideMark/>
          </w:tcPr>
          <w:p w14:paraId="720EDC79"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1.839</w:t>
            </w:r>
          </w:p>
        </w:tc>
        <w:tc>
          <w:tcPr>
            <w:tcW w:w="984" w:type="pct"/>
            <w:tcBorders>
              <w:top w:val="nil"/>
              <w:left w:val="nil"/>
              <w:bottom w:val="nil"/>
              <w:right w:val="nil"/>
            </w:tcBorders>
            <w:shd w:val="clear" w:color="000000" w:fill="FFFFFF"/>
            <w:noWrap/>
            <w:vAlign w:val="center"/>
            <w:hideMark/>
          </w:tcPr>
          <w:p w14:paraId="3F2CF895"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2.951.779</w:t>
            </w:r>
          </w:p>
        </w:tc>
        <w:tc>
          <w:tcPr>
            <w:tcW w:w="785" w:type="pct"/>
            <w:tcBorders>
              <w:top w:val="nil"/>
              <w:left w:val="nil"/>
              <w:bottom w:val="nil"/>
              <w:right w:val="single" w:sz="4" w:space="0" w:color="auto"/>
            </w:tcBorders>
            <w:shd w:val="clear" w:color="000000" w:fill="FFFFFF"/>
            <w:noWrap/>
            <w:vAlign w:val="center"/>
            <w:hideMark/>
          </w:tcPr>
          <w:p w14:paraId="3B4931E3"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67A5999B" w14:textId="77777777" w:rsidTr="00733985">
        <w:tc>
          <w:tcPr>
            <w:tcW w:w="911" w:type="pct"/>
            <w:vMerge/>
            <w:tcBorders>
              <w:left w:val="single" w:sz="4" w:space="0" w:color="auto"/>
              <w:right w:val="nil"/>
            </w:tcBorders>
            <w:shd w:val="clear" w:color="000000" w:fill="FFFFFF"/>
            <w:noWrap/>
            <w:vAlign w:val="center"/>
            <w:hideMark/>
          </w:tcPr>
          <w:p w14:paraId="1555B9E6" w14:textId="56757F93"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4C9631C"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Apgyvendinimo</w:t>
            </w:r>
          </w:p>
        </w:tc>
        <w:tc>
          <w:tcPr>
            <w:tcW w:w="914" w:type="pct"/>
            <w:tcBorders>
              <w:top w:val="nil"/>
              <w:left w:val="nil"/>
              <w:bottom w:val="nil"/>
              <w:right w:val="nil"/>
            </w:tcBorders>
            <w:shd w:val="clear" w:color="000000" w:fill="FFFFFF"/>
            <w:noWrap/>
            <w:vAlign w:val="center"/>
            <w:hideMark/>
          </w:tcPr>
          <w:p w14:paraId="0CEBD64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6.900</w:t>
            </w:r>
          </w:p>
        </w:tc>
        <w:tc>
          <w:tcPr>
            <w:tcW w:w="984" w:type="pct"/>
            <w:tcBorders>
              <w:top w:val="nil"/>
              <w:left w:val="nil"/>
              <w:bottom w:val="nil"/>
              <w:right w:val="nil"/>
            </w:tcBorders>
            <w:shd w:val="clear" w:color="000000" w:fill="FFFFFF"/>
            <w:noWrap/>
            <w:vAlign w:val="center"/>
            <w:hideMark/>
          </w:tcPr>
          <w:p w14:paraId="4E8848F8"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2.496.666</w:t>
            </w:r>
          </w:p>
        </w:tc>
        <w:tc>
          <w:tcPr>
            <w:tcW w:w="785" w:type="pct"/>
            <w:tcBorders>
              <w:top w:val="nil"/>
              <w:left w:val="nil"/>
              <w:bottom w:val="nil"/>
              <w:right w:val="single" w:sz="4" w:space="0" w:color="auto"/>
            </w:tcBorders>
            <w:shd w:val="clear" w:color="000000" w:fill="FFFFFF"/>
            <w:noWrap/>
            <w:vAlign w:val="center"/>
            <w:hideMark/>
          </w:tcPr>
          <w:p w14:paraId="5D64308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0DF2BD53" w14:textId="77777777" w:rsidTr="00733985">
        <w:tc>
          <w:tcPr>
            <w:tcW w:w="911" w:type="pct"/>
            <w:vMerge/>
            <w:tcBorders>
              <w:left w:val="single" w:sz="4" w:space="0" w:color="auto"/>
              <w:right w:val="nil"/>
            </w:tcBorders>
            <w:shd w:val="clear" w:color="000000" w:fill="FFFFFF"/>
            <w:noWrap/>
            <w:vAlign w:val="center"/>
            <w:hideMark/>
          </w:tcPr>
          <w:p w14:paraId="5702B9DB" w14:textId="57F724F7"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EA0EBA4"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Kultūros</w:t>
            </w:r>
          </w:p>
        </w:tc>
        <w:tc>
          <w:tcPr>
            <w:tcW w:w="914" w:type="pct"/>
            <w:tcBorders>
              <w:top w:val="nil"/>
              <w:left w:val="nil"/>
              <w:bottom w:val="nil"/>
              <w:right w:val="nil"/>
            </w:tcBorders>
            <w:shd w:val="clear" w:color="000000" w:fill="FFFFFF"/>
            <w:noWrap/>
            <w:vAlign w:val="center"/>
            <w:hideMark/>
          </w:tcPr>
          <w:p w14:paraId="1E7CA754"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2.341</w:t>
            </w:r>
          </w:p>
        </w:tc>
        <w:tc>
          <w:tcPr>
            <w:tcW w:w="984" w:type="pct"/>
            <w:tcBorders>
              <w:top w:val="nil"/>
              <w:left w:val="nil"/>
              <w:bottom w:val="nil"/>
              <w:right w:val="nil"/>
            </w:tcBorders>
            <w:shd w:val="clear" w:color="000000" w:fill="FFFFFF"/>
            <w:noWrap/>
            <w:vAlign w:val="center"/>
            <w:hideMark/>
          </w:tcPr>
          <w:p w14:paraId="2F2C169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2.279.194</w:t>
            </w:r>
          </w:p>
        </w:tc>
        <w:tc>
          <w:tcPr>
            <w:tcW w:w="785" w:type="pct"/>
            <w:tcBorders>
              <w:top w:val="nil"/>
              <w:left w:val="nil"/>
              <w:bottom w:val="nil"/>
              <w:right w:val="single" w:sz="4" w:space="0" w:color="auto"/>
            </w:tcBorders>
            <w:shd w:val="clear" w:color="000000" w:fill="FFFFFF"/>
            <w:noWrap/>
            <w:vAlign w:val="center"/>
            <w:hideMark/>
          </w:tcPr>
          <w:p w14:paraId="496A4C0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40464D98" w14:textId="77777777" w:rsidTr="00733985">
        <w:tc>
          <w:tcPr>
            <w:tcW w:w="911" w:type="pct"/>
            <w:vMerge/>
            <w:tcBorders>
              <w:left w:val="single" w:sz="4" w:space="0" w:color="auto"/>
              <w:right w:val="nil"/>
            </w:tcBorders>
            <w:shd w:val="clear" w:color="000000" w:fill="FFFFFF"/>
            <w:noWrap/>
            <w:vAlign w:val="center"/>
            <w:hideMark/>
          </w:tcPr>
          <w:p w14:paraId="3455CF67" w14:textId="014BC696"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B026960" w14:textId="77777777"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Paslaugų</w:t>
            </w:r>
          </w:p>
        </w:tc>
        <w:tc>
          <w:tcPr>
            <w:tcW w:w="914" w:type="pct"/>
            <w:tcBorders>
              <w:top w:val="nil"/>
              <w:left w:val="nil"/>
              <w:bottom w:val="nil"/>
              <w:right w:val="nil"/>
            </w:tcBorders>
            <w:shd w:val="clear" w:color="000000" w:fill="FFFFFF"/>
            <w:noWrap/>
            <w:vAlign w:val="center"/>
            <w:hideMark/>
          </w:tcPr>
          <w:p w14:paraId="0691623E"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5.059</w:t>
            </w:r>
          </w:p>
        </w:tc>
        <w:tc>
          <w:tcPr>
            <w:tcW w:w="984" w:type="pct"/>
            <w:tcBorders>
              <w:top w:val="nil"/>
              <w:left w:val="nil"/>
              <w:bottom w:val="nil"/>
              <w:right w:val="nil"/>
            </w:tcBorders>
            <w:shd w:val="clear" w:color="000000" w:fill="FFFFFF"/>
            <w:noWrap/>
            <w:vAlign w:val="center"/>
            <w:hideMark/>
          </w:tcPr>
          <w:p w14:paraId="12729A4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2.199.200</w:t>
            </w:r>
          </w:p>
        </w:tc>
        <w:tc>
          <w:tcPr>
            <w:tcW w:w="785" w:type="pct"/>
            <w:tcBorders>
              <w:top w:val="nil"/>
              <w:left w:val="nil"/>
              <w:bottom w:val="nil"/>
              <w:right w:val="single" w:sz="4" w:space="0" w:color="auto"/>
            </w:tcBorders>
            <w:shd w:val="clear" w:color="000000" w:fill="FFFFFF"/>
            <w:noWrap/>
            <w:vAlign w:val="center"/>
            <w:hideMark/>
          </w:tcPr>
          <w:p w14:paraId="519445CB"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AD64BD" w:rsidRPr="00650EE4" w14:paraId="6B3F4A82" w14:textId="77777777" w:rsidTr="00733985">
        <w:tc>
          <w:tcPr>
            <w:tcW w:w="911" w:type="pct"/>
            <w:vMerge/>
            <w:tcBorders>
              <w:left w:val="single" w:sz="4" w:space="0" w:color="auto"/>
              <w:bottom w:val="single" w:sz="4" w:space="0" w:color="auto"/>
              <w:right w:val="nil"/>
            </w:tcBorders>
            <w:shd w:val="clear" w:color="000000" w:fill="FFFFFF"/>
            <w:noWrap/>
            <w:vAlign w:val="center"/>
            <w:hideMark/>
          </w:tcPr>
          <w:p w14:paraId="641B99AE" w14:textId="23398D78" w:rsidR="00AD64BD" w:rsidRPr="00650EE4" w:rsidRDefault="00AD64BD" w:rsidP="00751A07">
            <w:pPr>
              <w:spacing w:line="240" w:lineRule="auto"/>
              <w:rPr>
                <w:rFonts w:ascii="Times New Roman" w:eastAsia="Times New Roman" w:hAnsi="Times New Roman"/>
                <w:sz w:val="20"/>
                <w:szCs w:val="20"/>
              </w:rPr>
            </w:pPr>
          </w:p>
        </w:tc>
        <w:tc>
          <w:tcPr>
            <w:tcW w:w="1406" w:type="pct"/>
            <w:tcBorders>
              <w:top w:val="nil"/>
              <w:left w:val="nil"/>
              <w:bottom w:val="single" w:sz="4" w:space="0" w:color="auto"/>
              <w:right w:val="nil"/>
            </w:tcBorders>
            <w:shd w:val="clear" w:color="000000" w:fill="FFFFFF"/>
            <w:noWrap/>
            <w:vAlign w:val="center"/>
            <w:hideMark/>
          </w:tcPr>
          <w:p w14:paraId="11E3A3C5" w14:textId="5A53A219" w:rsidR="00AD64BD" w:rsidRPr="00650EE4" w:rsidRDefault="00AD64B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14" w:type="pct"/>
            <w:tcBorders>
              <w:top w:val="nil"/>
              <w:left w:val="nil"/>
              <w:bottom w:val="single" w:sz="4" w:space="0" w:color="auto"/>
              <w:right w:val="nil"/>
            </w:tcBorders>
            <w:shd w:val="clear" w:color="000000" w:fill="FFFFFF"/>
            <w:noWrap/>
            <w:vAlign w:val="center"/>
            <w:hideMark/>
          </w:tcPr>
          <w:p w14:paraId="650E8432"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2.004</w:t>
            </w:r>
          </w:p>
        </w:tc>
        <w:tc>
          <w:tcPr>
            <w:tcW w:w="984" w:type="pct"/>
            <w:tcBorders>
              <w:top w:val="nil"/>
              <w:left w:val="nil"/>
              <w:bottom w:val="single" w:sz="4" w:space="0" w:color="auto"/>
              <w:right w:val="nil"/>
            </w:tcBorders>
            <w:shd w:val="clear" w:color="000000" w:fill="FFFFFF"/>
            <w:noWrap/>
            <w:vAlign w:val="center"/>
            <w:hideMark/>
          </w:tcPr>
          <w:p w14:paraId="78F264E0"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1.589.089</w:t>
            </w:r>
          </w:p>
        </w:tc>
        <w:tc>
          <w:tcPr>
            <w:tcW w:w="785" w:type="pct"/>
            <w:tcBorders>
              <w:top w:val="nil"/>
              <w:left w:val="nil"/>
              <w:bottom w:val="single" w:sz="4" w:space="0" w:color="auto"/>
              <w:right w:val="single" w:sz="4" w:space="0" w:color="auto"/>
            </w:tcBorders>
            <w:shd w:val="clear" w:color="000000" w:fill="FFFFFF"/>
            <w:noWrap/>
            <w:vAlign w:val="center"/>
            <w:hideMark/>
          </w:tcPr>
          <w:p w14:paraId="0614E91A" w14:textId="77777777" w:rsidR="00AD64BD" w:rsidRPr="00650EE4" w:rsidRDefault="00AD64B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31098D" w:rsidRPr="00650EE4" w14:paraId="1917ED2F" w14:textId="77777777" w:rsidTr="00733985">
        <w:tc>
          <w:tcPr>
            <w:tcW w:w="911" w:type="pct"/>
            <w:vMerge w:val="restart"/>
            <w:tcBorders>
              <w:top w:val="nil"/>
              <w:left w:val="single" w:sz="4" w:space="0" w:color="auto"/>
              <w:bottom w:val="nil"/>
              <w:right w:val="nil"/>
            </w:tcBorders>
            <w:shd w:val="clear" w:color="000000" w:fill="FFFFFF"/>
            <w:noWrap/>
            <w:hideMark/>
          </w:tcPr>
          <w:p w14:paraId="761A42AD"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 IRS objektas</w:t>
            </w:r>
          </w:p>
        </w:tc>
        <w:tc>
          <w:tcPr>
            <w:tcW w:w="1406" w:type="pct"/>
            <w:tcBorders>
              <w:top w:val="nil"/>
              <w:left w:val="nil"/>
              <w:bottom w:val="nil"/>
              <w:right w:val="nil"/>
            </w:tcBorders>
            <w:shd w:val="clear" w:color="000000" w:fill="FFFFFF"/>
            <w:noWrap/>
            <w:vAlign w:val="center"/>
            <w:hideMark/>
          </w:tcPr>
          <w:p w14:paraId="687CE4F3"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Garažų</w:t>
            </w:r>
          </w:p>
        </w:tc>
        <w:tc>
          <w:tcPr>
            <w:tcW w:w="914" w:type="pct"/>
            <w:tcBorders>
              <w:top w:val="nil"/>
              <w:left w:val="nil"/>
              <w:bottom w:val="nil"/>
              <w:right w:val="nil"/>
            </w:tcBorders>
            <w:shd w:val="clear" w:color="000000" w:fill="FFFFFF"/>
            <w:noWrap/>
            <w:vAlign w:val="center"/>
            <w:hideMark/>
          </w:tcPr>
          <w:p w14:paraId="1A683318"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22.568</w:t>
            </w:r>
          </w:p>
        </w:tc>
        <w:tc>
          <w:tcPr>
            <w:tcW w:w="984" w:type="pct"/>
            <w:tcBorders>
              <w:top w:val="nil"/>
              <w:left w:val="nil"/>
              <w:bottom w:val="nil"/>
              <w:right w:val="nil"/>
            </w:tcBorders>
            <w:shd w:val="clear" w:color="000000" w:fill="FFFFFF"/>
            <w:noWrap/>
            <w:vAlign w:val="center"/>
            <w:hideMark/>
          </w:tcPr>
          <w:p w14:paraId="2A7CDA04"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9.073.844</w:t>
            </w:r>
          </w:p>
        </w:tc>
        <w:tc>
          <w:tcPr>
            <w:tcW w:w="785" w:type="pct"/>
            <w:tcBorders>
              <w:top w:val="nil"/>
              <w:left w:val="nil"/>
              <w:bottom w:val="nil"/>
              <w:right w:val="single" w:sz="4" w:space="0" w:color="auto"/>
            </w:tcBorders>
            <w:shd w:val="clear" w:color="000000" w:fill="FFFFFF"/>
            <w:noWrap/>
            <w:vAlign w:val="center"/>
            <w:hideMark/>
          </w:tcPr>
          <w:p w14:paraId="12C48B12"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31098D" w:rsidRPr="00650EE4" w14:paraId="1C257679" w14:textId="77777777" w:rsidTr="00733985">
        <w:tc>
          <w:tcPr>
            <w:tcW w:w="911" w:type="pct"/>
            <w:vMerge/>
            <w:tcBorders>
              <w:top w:val="nil"/>
              <w:left w:val="single" w:sz="4" w:space="0" w:color="auto"/>
              <w:bottom w:val="nil"/>
              <w:right w:val="nil"/>
            </w:tcBorders>
            <w:vAlign w:val="center"/>
            <w:hideMark/>
          </w:tcPr>
          <w:p w14:paraId="45F2EE07" w14:textId="77777777" w:rsidR="0031098D" w:rsidRPr="00650EE4" w:rsidRDefault="0031098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13A2671A" w14:textId="77777777" w:rsidR="0031098D" w:rsidRPr="00650EE4" w:rsidRDefault="0031098D"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Religinės</w:t>
            </w:r>
          </w:p>
        </w:tc>
        <w:tc>
          <w:tcPr>
            <w:tcW w:w="914" w:type="pct"/>
            <w:tcBorders>
              <w:top w:val="nil"/>
              <w:left w:val="nil"/>
              <w:bottom w:val="nil"/>
              <w:right w:val="nil"/>
            </w:tcBorders>
            <w:shd w:val="clear" w:color="000000" w:fill="FFFFFF"/>
            <w:noWrap/>
            <w:vAlign w:val="center"/>
            <w:hideMark/>
          </w:tcPr>
          <w:p w14:paraId="5859FAC7"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1.764</w:t>
            </w:r>
          </w:p>
        </w:tc>
        <w:tc>
          <w:tcPr>
            <w:tcW w:w="984" w:type="pct"/>
            <w:tcBorders>
              <w:top w:val="nil"/>
              <w:left w:val="nil"/>
              <w:bottom w:val="nil"/>
              <w:right w:val="nil"/>
            </w:tcBorders>
            <w:shd w:val="clear" w:color="000000" w:fill="FFFFFF"/>
            <w:noWrap/>
            <w:vAlign w:val="center"/>
            <w:hideMark/>
          </w:tcPr>
          <w:p w14:paraId="0EF69630"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633.023</w:t>
            </w:r>
          </w:p>
        </w:tc>
        <w:tc>
          <w:tcPr>
            <w:tcW w:w="785" w:type="pct"/>
            <w:tcBorders>
              <w:top w:val="nil"/>
              <w:left w:val="nil"/>
              <w:bottom w:val="nil"/>
              <w:right w:val="single" w:sz="4" w:space="0" w:color="auto"/>
            </w:tcBorders>
            <w:shd w:val="clear" w:color="000000" w:fill="FFFFFF"/>
            <w:noWrap/>
            <w:vAlign w:val="center"/>
            <w:hideMark/>
          </w:tcPr>
          <w:p w14:paraId="24EC6683"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r>
      <w:tr w:rsidR="0031098D" w:rsidRPr="00650EE4" w14:paraId="55CAECE9" w14:textId="77777777" w:rsidTr="00733985">
        <w:tc>
          <w:tcPr>
            <w:tcW w:w="911" w:type="pct"/>
            <w:vMerge/>
            <w:tcBorders>
              <w:top w:val="nil"/>
              <w:left w:val="single" w:sz="4" w:space="0" w:color="auto"/>
              <w:bottom w:val="nil"/>
              <w:right w:val="nil"/>
            </w:tcBorders>
            <w:vAlign w:val="center"/>
            <w:hideMark/>
          </w:tcPr>
          <w:p w14:paraId="643ED35A" w14:textId="77777777" w:rsidR="0031098D" w:rsidRPr="00650EE4" w:rsidRDefault="0031098D" w:rsidP="00751A07">
            <w:pPr>
              <w:spacing w:line="240" w:lineRule="auto"/>
              <w:rPr>
                <w:rFonts w:ascii="Times New Roman" w:eastAsia="Times New Roman" w:hAnsi="Times New Roman"/>
                <w:sz w:val="20"/>
                <w:szCs w:val="20"/>
              </w:rPr>
            </w:pPr>
          </w:p>
        </w:tc>
        <w:tc>
          <w:tcPr>
            <w:tcW w:w="1406" w:type="pct"/>
            <w:tcBorders>
              <w:top w:val="nil"/>
              <w:left w:val="nil"/>
              <w:bottom w:val="nil"/>
              <w:right w:val="nil"/>
            </w:tcBorders>
            <w:shd w:val="clear" w:color="000000" w:fill="FFFFFF"/>
            <w:noWrap/>
            <w:vAlign w:val="center"/>
            <w:hideMark/>
          </w:tcPr>
          <w:p w14:paraId="593F03E7" w14:textId="638CCA31" w:rsidR="0031098D" w:rsidRPr="00650EE4" w:rsidRDefault="00B66F28" w:rsidP="00751A0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Nešildomi, laikini</w:t>
            </w:r>
            <w:r w:rsidR="0031098D" w:rsidRPr="00650EE4">
              <w:rPr>
                <w:rFonts w:ascii="Times New Roman" w:eastAsia="Times New Roman" w:hAnsi="Times New Roman"/>
                <w:sz w:val="20"/>
                <w:szCs w:val="20"/>
              </w:rPr>
              <w:t xml:space="preserve"> ir pan.</w:t>
            </w:r>
          </w:p>
        </w:tc>
        <w:tc>
          <w:tcPr>
            <w:tcW w:w="914" w:type="pct"/>
            <w:tcBorders>
              <w:top w:val="nil"/>
              <w:left w:val="nil"/>
              <w:bottom w:val="nil"/>
              <w:right w:val="nil"/>
            </w:tcBorders>
            <w:shd w:val="clear" w:color="000000" w:fill="FFFFFF"/>
            <w:noWrap/>
            <w:vAlign w:val="center"/>
            <w:hideMark/>
          </w:tcPr>
          <w:p w14:paraId="61859772"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1.893.894</w:t>
            </w:r>
          </w:p>
        </w:tc>
        <w:tc>
          <w:tcPr>
            <w:tcW w:w="984" w:type="pct"/>
            <w:tcBorders>
              <w:top w:val="nil"/>
              <w:left w:val="nil"/>
              <w:bottom w:val="nil"/>
              <w:right w:val="nil"/>
            </w:tcBorders>
            <w:shd w:val="clear" w:color="000000" w:fill="FFFFFF"/>
            <w:noWrap/>
            <w:vAlign w:val="center"/>
            <w:hideMark/>
          </w:tcPr>
          <w:p w14:paraId="5D0FEB25"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23.884.175</w:t>
            </w:r>
          </w:p>
        </w:tc>
        <w:tc>
          <w:tcPr>
            <w:tcW w:w="785" w:type="pct"/>
            <w:tcBorders>
              <w:top w:val="nil"/>
              <w:left w:val="nil"/>
              <w:bottom w:val="nil"/>
              <w:right w:val="single" w:sz="4" w:space="0" w:color="auto"/>
            </w:tcBorders>
            <w:shd w:val="clear" w:color="000000" w:fill="FFFFFF"/>
            <w:noWrap/>
            <w:vAlign w:val="center"/>
            <w:hideMark/>
          </w:tcPr>
          <w:p w14:paraId="46BCD883"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31098D" w:rsidRPr="00650EE4" w14:paraId="3E86E08D" w14:textId="77777777" w:rsidTr="00733985">
        <w:tc>
          <w:tcPr>
            <w:tcW w:w="911" w:type="pct"/>
            <w:tcBorders>
              <w:top w:val="single" w:sz="4" w:space="0" w:color="auto"/>
              <w:left w:val="single" w:sz="4" w:space="0" w:color="auto"/>
              <w:bottom w:val="single" w:sz="4" w:space="0" w:color="auto"/>
              <w:right w:val="nil"/>
            </w:tcBorders>
            <w:shd w:val="clear" w:color="000000" w:fill="FFFFFF"/>
            <w:noWrap/>
            <w:vAlign w:val="center"/>
            <w:hideMark/>
          </w:tcPr>
          <w:p w14:paraId="64EF7FE2"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406" w:type="pct"/>
            <w:tcBorders>
              <w:top w:val="single" w:sz="4" w:space="0" w:color="auto"/>
              <w:left w:val="nil"/>
              <w:bottom w:val="single" w:sz="4" w:space="0" w:color="auto"/>
              <w:right w:val="nil"/>
            </w:tcBorders>
            <w:shd w:val="clear" w:color="000000" w:fill="FFFFFF"/>
            <w:noWrap/>
            <w:vAlign w:val="center"/>
            <w:hideMark/>
          </w:tcPr>
          <w:p w14:paraId="5309E7C1" w14:textId="77777777" w:rsidR="0031098D" w:rsidRPr="00650EE4" w:rsidRDefault="0031098D" w:rsidP="00751A0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 </w:t>
            </w:r>
          </w:p>
        </w:tc>
        <w:tc>
          <w:tcPr>
            <w:tcW w:w="914" w:type="pct"/>
            <w:tcBorders>
              <w:top w:val="single" w:sz="4" w:space="0" w:color="auto"/>
              <w:left w:val="nil"/>
              <w:bottom w:val="single" w:sz="4" w:space="0" w:color="auto"/>
              <w:right w:val="nil"/>
            </w:tcBorders>
            <w:shd w:val="clear" w:color="000000" w:fill="FFFFFF"/>
            <w:noWrap/>
            <w:vAlign w:val="center"/>
            <w:hideMark/>
          </w:tcPr>
          <w:p w14:paraId="3E0CAB1C"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2.579.509</w:t>
            </w:r>
          </w:p>
        </w:tc>
        <w:tc>
          <w:tcPr>
            <w:tcW w:w="984" w:type="pct"/>
            <w:tcBorders>
              <w:top w:val="single" w:sz="4" w:space="0" w:color="auto"/>
              <w:left w:val="nil"/>
              <w:bottom w:val="single" w:sz="4" w:space="0" w:color="auto"/>
              <w:right w:val="nil"/>
            </w:tcBorders>
            <w:shd w:val="clear" w:color="000000" w:fill="FFFFFF"/>
            <w:noWrap/>
            <w:vAlign w:val="center"/>
            <w:hideMark/>
          </w:tcPr>
          <w:p w14:paraId="070D1C67" w14:textId="77777777" w:rsidR="0031098D" w:rsidRPr="00650EE4" w:rsidRDefault="0031098D" w:rsidP="00751A0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235.264.764</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14:paraId="1D075CFC" w14:textId="77777777" w:rsidR="0031098D" w:rsidRPr="00650EE4" w:rsidRDefault="0031098D" w:rsidP="00751A0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bl>
    <w:p w14:paraId="4A219B69" w14:textId="64D36C89" w:rsidR="00A26A7E" w:rsidRPr="00650EE4" w:rsidRDefault="00865E12" w:rsidP="00A26A7E">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A26A7E" w:rsidRPr="00650EE4">
        <w:rPr>
          <w:rFonts w:ascii="Times New Roman" w:eastAsia="Times New Roman" w:hAnsi="Times New Roman"/>
          <w:i/>
          <w:color w:val="000000" w:themeColor="text1"/>
          <w:sz w:val="20"/>
          <w:szCs w:val="20"/>
        </w:rPr>
        <w:t>duomenys (2019.12.31)</w:t>
      </w:r>
    </w:p>
    <w:p w14:paraId="18BE9BF8" w14:textId="62908222" w:rsidR="00DF297A" w:rsidRPr="00650EE4" w:rsidRDefault="00C15EF7" w:rsidP="00A64779">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Lentelėje aukščiau nurodyt</w:t>
      </w:r>
      <w:r w:rsidR="00A66FC9" w:rsidRPr="00650EE4">
        <w:rPr>
          <w:rFonts w:ascii="Times New Roman" w:hAnsi="Times New Roman"/>
          <w:color w:val="000000" w:themeColor="text1"/>
          <w:szCs w:val="22"/>
          <w:lang w:val="lt-LT"/>
        </w:rPr>
        <w:t xml:space="preserve">ų </w:t>
      </w:r>
      <w:r w:rsidR="005B08AE" w:rsidRPr="00650EE4">
        <w:rPr>
          <w:rFonts w:ascii="Times New Roman" w:hAnsi="Times New Roman"/>
          <w:color w:val="000000" w:themeColor="text1"/>
          <w:szCs w:val="22"/>
          <w:lang w:val="lt-LT"/>
        </w:rPr>
        <w:t xml:space="preserve">gyvenamųjų bei negyvenamųjų </w:t>
      </w:r>
      <w:r w:rsidR="00A66FC9" w:rsidRPr="00650EE4">
        <w:rPr>
          <w:rFonts w:ascii="Times New Roman" w:hAnsi="Times New Roman"/>
          <w:color w:val="000000" w:themeColor="text1"/>
          <w:szCs w:val="22"/>
          <w:lang w:val="lt-LT"/>
        </w:rPr>
        <w:t>pastatų grupių</w:t>
      </w:r>
      <w:r w:rsidRPr="00650EE4">
        <w:rPr>
          <w:rFonts w:ascii="Times New Roman" w:hAnsi="Times New Roman"/>
          <w:color w:val="000000" w:themeColor="text1"/>
          <w:szCs w:val="22"/>
          <w:lang w:val="lt-LT"/>
        </w:rPr>
        <w:t xml:space="preserve"> ir </w:t>
      </w:r>
      <w:r w:rsidR="00A64779" w:rsidRPr="00650EE4">
        <w:rPr>
          <w:rFonts w:ascii="Times New Roman" w:hAnsi="Times New Roman"/>
          <w:color w:val="000000" w:themeColor="text1"/>
          <w:szCs w:val="22"/>
          <w:lang w:val="lt-LT"/>
        </w:rPr>
        <w:t xml:space="preserve">NTR požymių sąsaja pateikiama žemiau. </w:t>
      </w:r>
    </w:p>
    <w:p w14:paraId="7A1509A0" w14:textId="77777777" w:rsidR="00A64779" w:rsidRPr="00650EE4" w:rsidRDefault="00A64779" w:rsidP="00A64779">
      <w:pPr>
        <w:pStyle w:val="BodyText"/>
        <w:spacing w:line="240" w:lineRule="auto"/>
        <w:jc w:val="both"/>
        <w:rPr>
          <w:rFonts w:ascii="Times New Roman" w:hAnsi="Times New Roman"/>
          <w:color w:val="000000" w:themeColor="text1"/>
          <w:szCs w:val="22"/>
          <w:lang w:val="lt-LT"/>
        </w:rPr>
      </w:pPr>
    </w:p>
    <w:p w14:paraId="1FC59A42" w14:textId="1E38EB91" w:rsidR="00A64779"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 w:name="_Toc59094185"/>
      <w:r w:rsidR="00F25C65">
        <w:t>2</w:t>
      </w:r>
      <w:r w:rsidRPr="00650EE4">
        <w:rPr>
          <w:noProof w:val="0"/>
        </w:rPr>
        <w:fldChar w:fldCharType="end"/>
      </w:r>
      <w:r w:rsidR="00A64779" w:rsidRPr="00650EE4">
        <w:rPr>
          <w:noProof w:val="0"/>
        </w:rPr>
        <w:t xml:space="preserve"> lentelė. Gyvenamųjų bei negyvenamųjų pastatų grupių ir NTR požymių sąsaja</w:t>
      </w:r>
      <w:bookmarkEnd w:id="17"/>
    </w:p>
    <w:tbl>
      <w:tblPr>
        <w:tblW w:w="5000" w:type="pct"/>
        <w:tblLook w:val="04A0" w:firstRow="1" w:lastRow="0" w:firstColumn="1" w:lastColumn="0" w:noHBand="0" w:noVBand="1"/>
      </w:tblPr>
      <w:tblGrid>
        <w:gridCol w:w="2160"/>
        <w:gridCol w:w="2452"/>
        <w:gridCol w:w="5808"/>
      </w:tblGrid>
      <w:tr w:rsidR="00B66F28" w:rsidRPr="00650EE4" w14:paraId="6D9B6046" w14:textId="77777777" w:rsidTr="00D71809">
        <w:trPr>
          <w:tblHead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bottom"/>
          </w:tcPr>
          <w:p w14:paraId="666F66C0" w14:textId="62668C8A" w:rsidR="00B66F28" w:rsidRPr="00650EE4" w:rsidRDefault="002B1AD9"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Studija (agreguoti)</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127EC504" w14:textId="6F652F0C" w:rsidR="00B66F28" w:rsidRPr="00650EE4" w:rsidRDefault="00B66F28"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Studija</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AC5B41B" w14:textId="7CFD0A3D" w:rsidR="00B66F28" w:rsidRPr="00650EE4" w:rsidRDefault="00B66F28" w:rsidP="00751A07">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NT registras</w:t>
            </w:r>
          </w:p>
        </w:tc>
      </w:tr>
      <w:tr w:rsidR="00B66F28" w:rsidRPr="00650EE4" w14:paraId="2B97F927" w14:textId="77777777" w:rsidTr="00D71809">
        <w:tc>
          <w:tcPr>
            <w:tcW w:w="2122" w:type="dxa"/>
            <w:tcBorders>
              <w:top w:val="nil"/>
              <w:left w:val="single" w:sz="4" w:space="0" w:color="auto"/>
              <w:bottom w:val="single" w:sz="4" w:space="0" w:color="auto"/>
              <w:right w:val="single" w:sz="4" w:space="0" w:color="auto"/>
            </w:tcBorders>
            <w:shd w:val="clear" w:color="000000" w:fill="FFFFFF"/>
            <w:vAlign w:val="bottom"/>
          </w:tcPr>
          <w:p w14:paraId="7CC94FEB"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2409" w:type="dxa"/>
            <w:tcBorders>
              <w:top w:val="nil"/>
              <w:left w:val="single" w:sz="4" w:space="0" w:color="auto"/>
              <w:bottom w:val="single" w:sz="4" w:space="0" w:color="auto"/>
              <w:right w:val="single" w:sz="4" w:space="0" w:color="auto"/>
            </w:tcBorders>
            <w:shd w:val="clear" w:color="000000" w:fill="FFFFFF"/>
            <w:vAlign w:val="bottom"/>
          </w:tcPr>
          <w:p w14:paraId="034362BC" w14:textId="0F56F19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520BD930" w14:textId="2458F1DD"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(vieno ir dviejų butų pastatai)</w:t>
            </w:r>
          </w:p>
        </w:tc>
      </w:tr>
      <w:tr w:rsidR="00B66F28" w:rsidRPr="00650EE4" w14:paraId="3F86568E" w14:textId="77777777" w:rsidTr="00D71809">
        <w:tc>
          <w:tcPr>
            <w:tcW w:w="2122" w:type="dxa"/>
            <w:tcBorders>
              <w:top w:val="single" w:sz="4" w:space="0" w:color="auto"/>
              <w:left w:val="single" w:sz="4" w:space="0" w:color="auto"/>
              <w:bottom w:val="single" w:sz="4" w:space="0" w:color="auto"/>
              <w:right w:val="single" w:sz="4" w:space="0" w:color="auto"/>
            </w:tcBorders>
            <w:shd w:val="clear" w:color="000000" w:fill="FFFFFF"/>
          </w:tcPr>
          <w:p w14:paraId="003E2A88"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79C0D72F" w14:textId="157E4D8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6BF26351" w14:textId="4B2F89A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(trijų ir daugiau butų - daugiabučiai pastatai)</w:t>
            </w:r>
          </w:p>
          <w:p w14:paraId="4CD9184E"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Gyvenamoji (įvairioms socialinėms grupėms)</w:t>
            </w:r>
          </w:p>
        </w:tc>
      </w:tr>
      <w:tr w:rsidR="00B66F28" w:rsidRPr="00650EE4" w14:paraId="209544CE" w14:textId="77777777" w:rsidTr="00D71809">
        <w:tc>
          <w:tcPr>
            <w:tcW w:w="2122" w:type="dxa"/>
            <w:tcBorders>
              <w:top w:val="single" w:sz="4" w:space="0" w:color="auto"/>
              <w:left w:val="single" w:sz="4" w:space="0" w:color="auto"/>
              <w:bottom w:val="single" w:sz="4" w:space="0" w:color="auto"/>
              <w:right w:val="single" w:sz="4" w:space="0" w:color="auto"/>
            </w:tcBorders>
            <w:shd w:val="clear" w:color="000000" w:fill="FFFFFF"/>
          </w:tcPr>
          <w:p w14:paraId="1FB366D8"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4A142FC0" w14:textId="296FEAB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1FABE5A2" w14:textId="074C7ECE"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Gamybos</w:t>
            </w:r>
            <w:r w:rsidR="00E166A1" w:rsidRPr="00650EE4">
              <w:rPr>
                <w:rFonts w:ascii="Times New Roman" w:eastAsia="Times New Roman" w:hAnsi="Times New Roman"/>
                <w:sz w:val="20"/>
                <w:szCs w:val="20"/>
                <w:lang w:eastAsia="lt-LT"/>
              </w:rPr>
              <w:t xml:space="preserve"> ir</w:t>
            </w:r>
            <w:r w:rsidRPr="00650EE4">
              <w:rPr>
                <w:rFonts w:ascii="Times New Roman" w:eastAsia="Times New Roman" w:hAnsi="Times New Roman"/>
                <w:sz w:val="20"/>
                <w:szCs w:val="20"/>
                <w:lang w:eastAsia="lt-LT"/>
              </w:rPr>
              <w:t xml:space="preserve"> pramonės</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Sandėliavimo</w:t>
            </w:r>
          </w:p>
        </w:tc>
      </w:tr>
      <w:tr w:rsidR="00B66F28" w:rsidRPr="00650EE4" w14:paraId="0A87392F" w14:textId="77777777" w:rsidTr="00D71809">
        <w:tc>
          <w:tcPr>
            <w:tcW w:w="2122" w:type="dxa"/>
            <w:vMerge w:val="restart"/>
            <w:tcBorders>
              <w:top w:val="single" w:sz="4" w:space="0" w:color="auto"/>
              <w:left w:val="single" w:sz="4" w:space="0" w:color="auto"/>
              <w:bottom w:val="single" w:sz="4" w:space="0" w:color="auto"/>
              <w:right w:val="single" w:sz="4" w:space="0" w:color="auto"/>
            </w:tcBorders>
            <w:shd w:val="clear" w:color="000000" w:fill="FFFFFF"/>
          </w:tcPr>
          <w:p w14:paraId="197D5B38" w14:textId="1DBFD6E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49878F98" w14:textId="458C1F55"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792138A6" w14:textId="0378BA1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Administracinė</w:t>
            </w:r>
          </w:p>
        </w:tc>
      </w:tr>
      <w:tr w:rsidR="00B66F28" w:rsidRPr="00650EE4" w14:paraId="77CBB7F6"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00A983BD" w14:textId="1C810C41"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435304D3" w14:textId="2B9AEA34"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022F9DF7" w14:textId="709C9D7F"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r>
      <w:tr w:rsidR="00B66F28" w:rsidRPr="00650EE4" w14:paraId="7400440E"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5D5D5CA6" w14:textId="7DA70029"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38D45171" w14:textId="71179D1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61B83CC5" w14:textId="62ECFDDF"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r>
      <w:tr w:rsidR="00B66F28" w:rsidRPr="00650EE4" w14:paraId="1FE54737"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493FBBE8" w14:textId="70A00A24"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2E92F91B" w14:textId="31F1564A"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2D187FA2" w14:textId="4445387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r>
      <w:tr w:rsidR="00B66F28" w:rsidRPr="00650EE4" w14:paraId="0065E47A"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58CCD0B5" w14:textId="09E9560C"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128828E1"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Apgyvendinimo</w:t>
            </w:r>
          </w:p>
          <w:p w14:paraId="48B00FF2" w14:textId="77777777" w:rsidR="00B66F28" w:rsidRPr="00650EE4" w:rsidRDefault="00B66F28" w:rsidP="00751A07">
            <w:pPr>
              <w:spacing w:line="240" w:lineRule="auto"/>
              <w:rPr>
                <w:rFonts w:ascii="Times New Roman" w:eastAsia="Times New Roman" w:hAnsi="Times New Roman"/>
                <w:sz w:val="20"/>
                <w:szCs w:val="20"/>
                <w:lang w:eastAsia="lt-LT"/>
              </w:rPr>
            </w:pP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446F8F96" w14:textId="576B412C"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p w14:paraId="06E4538C" w14:textId="77777777"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r>
      <w:tr w:rsidR="00B66F28" w:rsidRPr="00650EE4" w14:paraId="5EEEEDA0"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5FFABBCA" w14:textId="6E98C6A2"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078F2BE8" w14:textId="0C950AF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31031950" w14:textId="2560A46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r>
      <w:tr w:rsidR="00B66F28" w:rsidRPr="00650EE4" w14:paraId="732030C6"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0F1EEB9E" w14:textId="2A064601"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3D53EC7F" w14:textId="4CD28DA8"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686483C6" w14:textId="298DD123"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Paslaugų</w:t>
            </w:r>
          </w:p>
        </w:tc>
      </w:tr>
      <w:tr w:rsidR="00B66F28" w:rsidRPr="00650EE4" w14:paraId="20115B9C" w14:textId="77777777" w:rsidTr="00D71809">
        <w:tc>
          <w:tcPr>
            <w:tcW w:w="2122" w:type="dxa"/>
            <w:vMerge/>
            <w:tcBorders>
              <w:left w:val="single" w:sz="4" w:space="0" w:color="auto"/>
              <w:bottom w:val="single" w:sz="4" w:space="0" w:color="auto"/>
              <w:right w:val="single" w:sz="4" w:space="0" w:color="auto"/>
            </w:tcBorders>
            <w:shd w:val="clear" w:color="000000" w:fill="FFFFFF"/>
          </w:tcPr>
          <w:p w14:paraId="34FC00B6" w14:textId="6B1A628D"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single" w:sz="4" w:space="0" w:color="auto"/>
              <w:left w:val="single" w:sz="4" w:space="0" w:color="auto"/>
              <w:bottom w:val="single" w:sz="4" w:space="0" w:color="auto"/>
              <w:right w:val="single" w:sz="4" w:space="0" w:color="auto"/>
            </w:tcBorders>
            <w:shd w:val="clear" w:color="000000" w:fill="FFFFFF"/>
          </w:tcPr>
          <w:p w14:paraId="5EE62D2B" w14:textId="44913D6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544617F1" w14:textId="1F78B70D" w:rsidR="00B66F28" w:rsidRPr="00650EE4" w:rsidRDefault="00B66F28" w:rsidP="00E166A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Sporto</w:t>
            </w:r>
            <w:r w:rsidR="00E166A1" w:rsidRPr="00650EE4">
              <w:rPr>
                <w:rFonts w:ascii="Times New Roman" w:eastAsia="Times New Roman" w:hAnsi="Times New Roman"/>
                <w:sz w:val="20"/>
                <w:szCs w:val="20"/>
                <w:lang w:eastAsia="lt-LT"/>
              </w:rPr>
              <w:t xml:space="preserve">, </w:t>
            </w:r>
            <w:r w:rsidRPr="00650EE4">
              <w:rPr>
                <w:rFonts w:ascii="Times New Roman" w:eastAsia="Times New Roman" w:hAnsi="Times New Roman"/>
                <w:sz w:val="20"/>
                <w:szCs w:val="20"/>
                <w:lang w:eastAsia="lt-LT"/>
              </w:rPr>
              <w:t>Specialioji</w:t>
            </w:r>
          </w:p>
        </w:tc>
      </w:tr>
      <w:tr w:rsidR="00B66F28" w:rsidRPr="00650EE4" w14:paraId="2CF8807F" w14:textId="77777777" w:rsidTr="00D71809">
        <w:tc>
          <w:tcPr>
            <w:tcW w:w="2122" w:type="dxa"/>
            <w:vMerge w:val="restart"/>
            <w:tcBorders>
              <w:top w:val="single" w:sz="4" w:space="0" w:color="auto"/>
              <w:left w:val="single" w:sz="4" w:space="0" w:color="auto"/>
              <w:right w:val="single" w:sz="4" w:space="0" w:color="auto"/>
            </w:tcBorders>
            <w:shd w:val="clear" w:color="000000" w:fill="FFFFFF"/>
          </w:tcPr>
          <w:p w14:paraId="54F42818" w14:textId="25C0DF7B"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Ne IRS</w:t>
            </w:r>
          </w:p>
        </w:tc>
        <w:tc>
          <w:tcPr>
            <w:tcW w:w="2409" w:type="dxa"/>
            <w:tcBorders>
              <w:top w:val="single" w:sz="4" w:space="0" w:color="auto"/>
              <w:left w:val="single" w:sz="4" w:space="0" w:color="auto"/>
              <w:bottom w:val="single" w:sz="4" w:space="0" w:color="auto"/>
              <w:right w:val="single" w:sz="4" w:space="0" w:color="auto"/>
            </w:tcBorders>
            <w:shd w:val="clear" w:color="000000" w:fill="FFFFFF"/>
            <w:vAlign w:val="bottom"/>
          </w:tcPr>
          <w:p w14:paraId="53129617" w14:textId="12ED43F4"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Garažų</w:t>
            </w:r>
          </w:p>
        </w:tc>
        <w:tc>
          <w:tcPr>
            <w:tcW w:w="5706" w:type="dxa"/>
            <w:tcBorders>
              <w:top w:val="single" w:sz="4" w:space="0" w:color="auto"/>
              <w:left w:val="single" w:sz="4" w:space="0" w:color="auto"/>
              <w:bottom w:val="single" w:sz="4" w:space="0" w:color="auto"/>
              <w:right w:val="single" w:sz="4" w:space="0" w:color="auto"/>
            </w:tcBorders>
            <w:shd w:val="clear" w:color="000000" w:fill="FFFFFF"/>
            <w:noWrap/>
            <w:hideMark/>
          </w:tcPr>
          <w:p w14:paraId="35B2F1F1" w14:textId="3F5FA390"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Garažų</w:t>
            </w:r>
          </w:p>
        </w:tc>
      </w:tr>
      <w:tr w:rsidR="00B66F28" w:rsidRPr="00650EE4" w14:paraId="0161A703" w14:textId="77777777" w:rsidTr="00D71809">
        <w:tc>
          <w:tcPr>
            <w:tcW w:w="2122" w:type="dxa"/>
            <w:vMerge/>
            <w:tcBorders>
              <w:left w:val="single" w:sz="4" w:space="0" w:color="auto"/>
              <w:right w:val="single" w:sz="4" w:space="0" w:color="auto"/>
            </w:tcBorders>
            <w:shd w:val="clear" w:color="000000" w:fill="FFFFFF"/>
            <w:vAlign w:val="bottom"/>
          </w:tcPr>
          <w:p w14:paraId="546648B9" w14:textId="11283F9D"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3935DF79" w14:textId="3354AF93"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Religinė</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7300D112" w14:textId="0B14D4D6"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Religinės</w:t>
            </w:r>
          </w:p>
        </w:tc>
      </w:tr>
      <w:tr w:rsidR="00B66F28" w:rsidRPr="00650EE4" w14:paraId="7366397A" w14:textId="77777777" w:rsidTr="00D71809">
        <w:tc>
          <w:tcPr>
            <w:tcW w:w="2122" w:type="dxa"/>
            <w:vMerge/>
            <w:tcBorders>
              <w:left w:val="single" w:sz="4" w:space="0" w:color="auto"/>
              <w:bottom w:val="single" w:sz="4" w:space="0" w:color="auto"/>
              <w:right w:val="single" w:sz="4" w:space="0" w:color="auto"/>
            </w:tcBorders>
            <w:shd w:val="clear" w:color="000000" w:fill="FFFFFF"/>
            <w:vAlign w:val="bottom"/>
          </w:tcPr>
          <w:p w14:paraId="1A50E127" w14:textId="501D34D0" w:rsidR="00B66F28" w:rsidRPr="00650EE4" w:rsidRDefault="00B66F28" w:rsidP="00751A07">
            <w:pPr>
              <w:spacing w:line="240" w:lineRule="auto"/>
              <w:rPr>
                <w:rFonts w:ascii="Times New Roman" w:eastAsia="Times New Roman" w:hAnsi="Times New Roman"/>
                <w:sz w:val="20"/>
                <w:szCs w:val="20"/>
                <w:lang w:eastAsia="lt-LT"/>
              </w:rPr>
            </w:pPr>
          </w:p>
        </w:tc>
        <w:tc>
          <w:tcPr>
            <w:tcW w:w="2409" w:type="dxa"/>
            <w:tcBorders>
              <w:top w:val="nil"/>
              <w:left w:val="single" w:sz="4" w:space="0" w:color="auto"/>
              <w:bottom w:val="single" w:sz="4" w:space="0" w:color="auto"/>
              <w:right w:val="single" w:sz="4" w:space="0" w:color="auto"/>
            </w:tcBorders>
            <w:shd w:val="clear" w:color="000000" w:fill="FFFFFF"/>
            <w:vAlign w:val="bottom"/>
          </w:tcPr>
          <w:p w14:paraId="1F16BB5F" w14:textId="7C4D0212"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rPr>
              <w:t>Nešildomi, laikini ir pan.</w:t>
            </w:r>
          </w:p>
        </w:tc>
        <w:tc>
          <w:tcPr>
            <w:tcW w:w="5706" w:type="dxa"/>
            <w:tcBorders>
              <w:top w:val="nil"/>
              <w:left w:val="single" w:sz="4" w:space="0" w:color="auto"/>
              <w:bottom w:val="single" w:sz="4" w:space="0" w:color="auto"/>
              <w:right w:val="single" w:sz="4" w:space="0" w:color="auto"/>
            </w:tcBorders>
            <w:shd w:val="clear" w:color="000000" w:fill="FFFFFF"/>
            <w:noWrap/>
            <w:hideMark/>
          </w:tcPr>
          <w:p w14:paraId="2BDA5E73" w14:textId="62CAF49B" w:rsidR="00B66F28" w:rsidRPr="00650EE4" w:rsidRDefault="00B66F28" w:rsidP="00751A07">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Kitos paskirtys (nepaminėtos aukščiau)</w:t>
            </w:r>
          </w:p>
        </w:tc>
      </w:tr>
    </w:tbl>
    <w:p w14:paraId="22798EFB" w14:textId="41224A94" w:rsidR="00C21B70" w:rsidRPr="00650EE4" w:rsidRDefault="00C21B70" w:rsidP="00C21B7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F3653A">
        <w:rPr>
          <w:rFonts w:ascii="Times New Roman" w:eastAsia="Times New Roman" w:hAnsi="Times New Roman"/>
          <w:i/>
          <w:color w:val="000000" w:themeColor="text1"/>
          <w:sz w:val="20"/>
          <w:szCs w:val="20"/>
        </w:rPr>
        <w:t xml:space="preserve"> </w:t>
      </w:r>
      <w:r w:rsidR="00F3653A">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0634E764" w14:textId="77777777" w:rsidR="00A64779" w:rsidRPr="00650EE4" w:rsidRDefault="00A64779" w:rsidP="00A64779">
      <w:pPr>
        <w:pStyle w:val="BodyText"/>
        <w:spacing w:line="240" w:lineRule="auto"/>
        <w:jc w:val="both"/>
        <w:rPr>
          <w:rFonts w:ascii="Times New Roman" w:hAnsi="Times New Roman"/>
          <w:color w:val="000000" w:themeColor="text1"/>
          <w:szCs w:val="22"/>
          <w:lang w:val="lt-LT"/>
        </w:rPr>
      </w:pPr>
    </w:p>
    <w:p w14:paraId="4425A241" w14:textId="3A841138" w:rsidR="002431D8" w:rsidRPr="00650EE4" w:rsidRDefault="0056044B" w:rsidP="00260AF0">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grup</w:t>
      </w:r>
      <w:r w:rsidR="005B08AE" w:rsidRPr="00650EE4">
        <w:rPr>
          <w:rFonts w:ascii="Times New Roman" w:hAnsi="Times New Roman"/>
          <w:color w:val="000000" w:themeColor="text1"/>
          <w:szCs w:val="22"/>
          <w:lang w:val="lt-LT"/>
        </w:rPr>
        <w:t>ei „Ne IRS objektas“ priskirti</w:t>
      </w:r>
      <w:r w:rsidR="00124244" w:rsidRPr="00650EE4">
        <w:rPr>
          <w:rFonts w:ascii="Times New Roman" w:hAnsi="Times New Roman"/>
          <w:color w:val="000000" w:themeColor="text1"/>
          <w:szCs w:val="22"/>
          <w:lang w:val="lt-LT"/>
        </w:rPr>
        <w:t xml:space="preserve"> pastatai, kuriems netaikomi statyb</w:t>
      </w:r>
      <w:r w:rsidR="00F3653A">
        <w:rPr>
          <w:rFonts w:ascii="Times New Roman" w:hAnsi="Times New Roman"/>
          <w:color w:val="000000" w:themeColor="text1"/>
          <w:szCs w:val="22"/>
          <w:lang w:val="lt-LT"/>
        </w:rPr>
        <w:t>os</w:t>
      </w:r>
      <w:r w:rsidR="00124244" w:rsidRPr="00650EE4">
        <w:rPr>
          <w:rFonts w:ascii="Times New Roman" w:hAnsi="Times New Roman"/>
          <w:color w:val="000000" w:themeColor="text1"/>
          <w:szCs w:val="22"/>
          <w:lang w:val="lt-LT"/>
        </w:rPr>
        <w:t xml:space="preserve"> techninio reglamento reikalavimai</w:t>
      </w:r>
      <w:r w:rsidR="00383BA0" w:rsidRPr="00650EE4">
        <w:rPr>
          <w:rStyle w:val="FootnoteReference"/>
          <w:rFonts w:ascii="Times New Roman" w:hAnsi="Times New Roman"/>
          <w:color w:val="000000" w:themeColor="text1"/>
          <w:szCs w:val="22"/>
          <w:lang w:val="lt-LT"/>
        </w:rPr>
        <w:footnoteReference w:id="4"/>
      </w:r>
      <w:r w:rsidR="00383BA0" w:rsidRPr="00650EE4">
        <w:rPr>
          <w:rFonts w:ascii="Times New Roman" w:hAnsi="Times New Roman"/>
          <w:color w:val="000000" w:themeColor="text1"/>
          <w:szCs w:val="22"/>
          <w:lang w:val="lt-LT"/>
        </w:rPr>
        <w:t xml:space="preserve">, </w:t>
      </w:r>
      <w:r w:rsidR="00124244" w:rsidRPr="00650EE4">
        <w:rPr>
          <w:rFonts w:ascii="Times New Roman" w:hAnsi="Times New Roman"/>
          <w:color w:val="000000" w:themeColor="text1"/>
          <w:szCs w:val="22"/>
          <w:lang w:val="lt-LT"/>
        </w:rPr>
        <w:t>susiję su energiniu naudingumu:</w:t>
      </w:r>
    </w:p>
    <w:p w14:paraId="70BA6B04" w14:textId="093F7455" w:rsidR="00987F41" w:rsidRPr="00650EE4" w:rsidRDefault="006075B1" w:rsidP="00AD64BD">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Religinės paskirtie</w:t>
      </w:r>
      <w:r w:rsidR="00124244" w:rsidRPr="00650EE4">
        <w:rPr>
          <w:rFonts w:ascii="Times New Roman" w:hAnsi="Times New Roman"/>
          <w:color w:val="000000" w:themeColor="text1"/>
          <w:szCs w:val="22"/>
        </w:rPr>
        <w:t>s pastatai</w:t>
      </w:r>
      <w:r w:rsidR="003C1A60" w:rsidRPr="00650EE4">
        <w:rPr>
          <w:rFonts w:ascii="Times New Roman" w:hAnsi="Times New Roman"/>
          <w:color w:val="000000" w:themeColor="text1"/>
          <w:szCs w:val="22"/>
        </w:rPr>
        <w:t>: maldos namai ir kitokios religinės veiklos pastatai</w:t>
      </w:r>
      <w:r w:rsidR="00124244" w:rsidRPr="00650EE4">
        <w:rPr>
          <w:rFonts w:ascii="Times New Roman" w:hAnsi="Times New Roman"/>
          <w:color w:val="000000" w:themeColor="text1"/>
          <w:szCs w:val="22"/>
        </w:rPr>
        <w:t xml:space="preserve">. </w:t>
      </w:r>
      <w:r w:rsidR="00B91603" w:rsidRPr="00650EE4">
        <w:rPr>
          <w:rFonts w:ascii="Times New Roman" w:hAnsi="Times New Roman"/>
          <w:color w:val="000000" w:themeColor="text1"/>
          <w:szCs w:val="22"/>
        </w:rPr>
        <w:t>Didžioji dalis (~</w:t>
      </w:r>
      <w:r w:rsidR="00987F41" w:rsidRPr="00650EE4">
        <w:rPr>
          <w:rFonts w:ascii="Times New Roman" w:hAnsi="Times New Roman"/>
          <w:color w:val="000000" w:themeColor="text1"/>
          <w:szCs w:val="22"/>
        </w:rPr>
        <w:t>80%) religinės paskirties pastatų yra pastatyti iki 1940</w:t>
      </w:r>
      <w:r w:rsidR="00193161" w:rsidRPr="00650EE4">
        <w:rPr>
          <w:rFonts w:ascii="Times New Roman" w:hAnsi="Times New Roman"/>
          <w:color w:val="000000" w:themeColor="text1"/>
          <w:szCs w:val="22"/>
        </w:rPr>
        <w:t> </w:t>
      </w:r>
      <w:r w:rsidR="00987F41" w:rsidRPr="00650EE4">
        <w:rPr>
          <w:rFonts w:ascii="Times New Roman" w:hAnsi="Times New Roman"/>
          <w:color w:val="000000" w:themeColor="text1"/>
          <w:szCs w:val="22"/>
        </w:rPr>
        <w:t xml:space="preserve">m. ir patenka </w:t>
      </w:r>
      <w:r w:rsidR="00B91603" w:rsidRPr="00650EE4">
        <w:rPr>
          <w:rFonts w:ascii="Times New Roman" w:hAnsi="Times New Roman"/>
          <w:color w:val="000000" w:themeColor="text1"/>
          <w:szCs w:val="22"/>
        </w:rPr>
        <w:t xml:space="preserve">į </w:t>
      </w:r>
      <w:r w:rsidR="007833AF" w:rsidRPr="00650EE4">
        <w:rPr>
          <w:rFonts w:ascii="Times New Roman" w:hAnsi="Times New Roman"/>
          <w:color w:val="000000" w:themeColor="text1"/>
          <w:szCs w:val="22"/>
        </w:rPr>
        <w:t xml:space="preserve">nekilnojamųjų kultūrinio </w:t>
      </w:r>
      <w:r w:rsidR="00B91603" w:rsidRPr="00650EE4">
        <w:rPr>
          <w:rFonts w:ascii="Times New Roman" w:hAnsi="Times New Roman"/>
          <w:color w:val="000000" w:themeColor="text1"/>
          <w:szCs w:val="22"/>
        </w:rPr>
        <w:t xml:space="preserve">paveldo pastatų sąrašą. </w:t>
      </w:r>
    </w:p>
    <w:p w14:paraId="0409C399" w14:textId="24AEEBB0" w:rsidR="00B91603" w:rsidRPr="00650EE4" w:rsidRDefault="00B91603" w:rsidP="00AD64BD">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Garažų bei Ūkinės ir pan. paskirties pastata</w:t>
      </w:r>
      <w:r w:rsidR="00DF6BBD" w:rsidRPr="00650EE4">
        <w:rPr>
          <w:rFonts w:ascii="Times New Roman" w:hAnsi="Times New Roman"/>
          <w:color w:val="000000" w:themeColor="text1"/>
          <w:szCs w:val="22"/>
        </w:rPr>
        <w:t>i</w:t>
      </w:r>
      <w:r w:rsidR="00025ED9" w:rsidRPr="00650EE4">
        <w:rPr>
          <w:rFonts w:ascii="Times New Roman" w:hAnsi="Times New Roman"/>
          <w:color w:val="000000" w:themeColor="text1"/>
          <w:szCs w:val="22"/>
        </w:rPr>
        <w:t>, priskiriant juos nedaug energijos sunaudojan</w:t>
      </w:r>
      <w:r w:rsidR="007E0D20" w:rsidRPr="00650EE4">
        <w:rPr>
          <w:rFonts w:ascii="Times New Roman" w:hAnsi="Times New Roman"/>
          <w:color w:val="000000" w:themeColor="text1"/>
          <w:szCs w:val="22"/>
        </w:rPr>
        <w:t>tiems</w:t>
      </w:r>
      <w:r w:rsidR="00025ED9" w:rsidRPr="00650EE4">
        <w:rPr>
          <w:rFonts w:ascii="Times New Roman" w:hAnsi="Times New Roman"/>
          <w:color w:val="000000" w:themeColor="text1"/>
          <w:szCs w:val="22"/>
        </w:rPr>
        <w:t xml:space="preserve"> gamybos ir pramonės, sandėliavimo</w:t>
      </w:r>
      <w:r w:rsidR="00124244" w:rsidRPr="00650EE4">
        <w:rPr>
          <w:rFonts w:ascii="Times New Roman" w:hAnsi="Times New Roman"/>
          <w:color w:val="000000" w:themeColor="text1"/>
          <w:szCs w:val="22"/>
        </w:rPr>
        <w:t xml:space="preserve"> </w:t>
      </w:r>
      <w:r w:rsidR="00025ED9" w:rsidRPr="00650EE4">
        <w:rPr>
          <w:rFonts w:ascii="Times New Roman" w:hAnsi="Times New Roman"/>
          <w:color w:val="000000" w:themeColor="text1"/>
          <w:szCs w:val="22"/>
        </w:rPr>
        <w:t>pastat</w:t>
      </w:r>
      <w:r w:rsidR="007E0D20" w:rsidRPr="00650EE4">
        <w:rPr>
          <w:rFonts w:ascii="Times New Roman" w:hAnsi="Times New Roman"/>
          <w:color w:val="000000" w:themeColor="text1"/>
          <w:szCs w:val="22"/>
        </w:rPr>
        <w:t>ams</w:t>
      </w:r>
      <w:r w:rsidR="00025ED9" w:rsidRPr="00650EE4">
        <w:rPr>
          <w:rFonts w:ascii="Times New Roman" w:hAnsi="Times New Roman"/>
          <w:color w:val="000000" w:themeColor="text1"/>
          <w:szCs w:val="22"/>
        </w:rPr>
        <w:t xml:space="preserve"> </w:t>
      </w:r>
      <w:r w:rsidR="007E0D20" w:rsidRPr="00650EE4">
        <w:rPr>
          <w:rFonts w:ascii="Times New Roman" w:hAnsi="Times New Roman"/>
          <w:color w:val="000000" w:themeColor="text1"/>
          <w:szCs w:val="22"/>
        </w:rPr>
        <w:t>ir/arba pastatams, kuriuose šildymo sezono metu palaikoma ne aukštesnė kaip 10° C temperatūra</w:t>
      </w:r>
      <w:r w:rsidR="00B17CD0" w:rsidRPr="00650EE4">
        <w:rPr>
          <w:rFonts w:ascii="Times New Roman" w:hAnsi="Times New Roman"/>
          <w:color w:val="000000" w:themeColor="text1"/>
          <w:szCs w:val="22"/>
        </w:rPr>
        <w:t>.</w:t>
      </w:r>
    </w:p>
    <w:p w14:paraId="7B908049" w14:textId="1FE2D018" w:rsidR="005B7C71" w:rsidRPr="00650EE4" w:rsidRDefault="00193161" w:rsidP="00260AF0">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Pastatai,</w:t>
      </w:r>
      <w:r w:rsidRPr="00650EE4">
        <w:rPr>
          <w:rFonts w:ascii="Times New Roman" w:hAnsi="Times New Roman"/>
          <w:szCs w:val="22"/>
        </w:rPr>
        <w:t xml:space="preserve"> </w:t>
      </w:r>
      <w:r w:rsidRPr="00650EE4">
        <w:rPr>
          <w:rFonts w:ascii="Times New Roman" w:hAnsi="Times New Roman"/>
          <w:color w:val="000000" w:themeColor="text1"/>
          <w:szCs w:val="22"/>
        </w:rPr>
        <w:t>kurių bendrasis plotas ne did</w:t>
      </w:r>
      <w:r w:rsidR="00260AF0" w:rsidRPr="00650EE4">
        <w:rPr>
          <w:rFonts w:ascii="Times New Roman" w:hAnsi="Times New Roman"/>
          <w:color w:val="000000" w:themeColor="text1"/>
          <w:szCs w:val="22"/>
        </w:rPr>
        <w:t>esnis kaip 50 kvadratinių metrų.</w:t>
      </w:r>
    </w:p>
    <w:p w14:paraId="6E2C3249" w14:textId="5489A3B1" w:rsidR="002C66F8" w:rsidRPr="00650EE4" w:rsidRDefault="002C66F8" w:rsidP="00F94B76">
      <w:pPr>
        <w:pStyle w:val="BodyText"/>
        <w:spacing w:line="240" w:lineRule="auto"/>
        <w:jc w:val="both"/>
        <w:rPr>
          <w:rFonts w:ascii="Times New Roman" w:hAnsi="Times New Roman"/>
          <w:color w:val="000000" w:themeColor="text1"/>
          <w:szCs w:val="22"/>
          <w:lang w:val="lt-LT"/>
        </w:rPr>
      </w:pPr>
    </w:p>
    <w:p w14:paraId="0F485C96" w14:textId="6606CF36" w:rsidR="00B55034" w:rsidRPr="00650EE4" w:rsidRDefault="005B7C71" w:rsidP="00B5503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Toliau nagrinėjama </w:t>
      </w:r>
      <w:r w:rsidR="006666D2" w:rsidRPr="00650EE4">
        <w:rPr>
          <w:rFonts w:ascii="Times New Roman" w:hAnsi="Times New Roman"/>
          <w:color w:val="000000" w:themeColor="text1"/>
          <w:szCs w:val="22"/>
        </w:rPr>
        <w:t xml:space="preserve">pastatų fondo </w:t>
      </w:r>
      <w:r w:rsidRPr="00650EE4">
        <w:rPr>
          <w:rFonts w:ascii="Times New Roman" w:hAnsi="Times New Roman"/>
          <w:color w:val="000000" w:themeColor="text1"/>
          <w:szCs w:val="22"/>
        </w:rPr>
        <w:t xml:space="preserve">dalis, eliminavus pastatų grupę „Ne IRS objektas“ </w:t>
      </w:r>
      <w:r w:rsidR="00E679FF" w:rsidRPr="00650EE4">
        <w:rPr>
          <w:rFonts w:ascii="Times New Roman" w:hAnsi="Times New Roman"/>
          <w:color w:val="000000" w:themeColor="text1"/>
          <w:szCs w:val="22"/>
        </w:rPr>
        <w:t xml:space="preserve">(toliau </w:t>
      </w:r>
      <w:r w:rsidR="00B02F57" w:rsidRPr="00650EE4">
        <w:rPr>
          <w:rFonts w:ascii="Times New Roman" w:hAnsi="Times New Roman"/>
          <w:color w:val="000000" w:themeColor="text1"/>
          <w:szCs w:val="22"/>
        </w:rPr>
        <w:t xml:space="preserve">– </w:t>
      </w:r>
      <w:r w:rsidR="007A52B6">
        <w:rPr>
          <w:rFonts w:ascii="Times New Roman" w:hAnsi="Times New Roman"/>
          <w:bCs/>
          <w:color w:val="000000" w:themeColor="text1"/>
          <w:szCs w:val="22"/>
        </w:rPr>
        <w:t>p</w:t>
      </w:r>
      <w:r w:rsidR="00F6475C" w:rsidRPr="00650EE4">
        <w:rPr>
          <w:rFonts w:ascii="Times New Roman" w:hAnsi="Times New Roman"/>
          <w:bCs/>
          <w:color w:val="000000" w:themeColor="text1"/>
          <w:szCs w:val="22"/>
        </w:rPr>
        <w:t>astatų fondas</w:t>
      </w:r>
      <w:r w:rsidR="00E679FF" w:rsidRPr="00650EE4">
        <w:rPr>
          <w:rFonts w:ascii="Times New Roman" w:hAnsi="Times New Roman"/>
          <w:bCs/>
          <w:color w:val="000000" w:themeColor="text1"/>
          <w:szCs w:val="22"/>
        </w:rPr>
        <w:t>)</w:t>
      </w:r>
      <w:r w:rsidR="00756692" w:rsidRPr="00650EE4">
        <w:rPr>
          <w:rFonts w:ascii="Times New Roman" w:hAnsi="Times New Roman"/>
          <w:color w:val="000000" w:themeColor="text1"/>
          <w:szCs w:val="22"/>
        </w:rPr>
        <w:t>.</w:t>
      </w:r>
      <w:r w:rsidR="00E73715" w:rsidRPr="00650EE4">
        <w:rPr>
          <w:rFonts w:ascii="Times New Roman" w:hAnsi="Times New Roman"/>
          <w:color w:val="000000" w:themeColor="text1"/>
          <w:szCs w:val="22"/>
        </w:rPr>
        <w:t xml:space="preserve"> </w:t>
      </w:r>
      <w:r w:rsidR="007A52B6">
        <w:rPr>
          <w:rFonts w:ascii="Times New Roman" w:hAnsi="Times New Roman"/>
          <w:color w:val="000000" w:themeColor="text1"/>
          <w:szCs w:val="22"/>
        </w:rPr>
        <w:t>Agreguoti p</w:t>
      </w:r>
      <w:r w:rsidR="00AD510E" w:rsidRPr="00650EE4">
        <w:rPr>
          <w:rFonts w:ascii="Times New Roman" w:hAnsi="Times New Roman"/>
          <w:color w:val="000000" w:themeColor="text1"/>
          <w:szCs w:val="22"/>
        </w:rPr>
        <w:t>astatų fondo duomenys pagal pastatų grupes ir pogrupius pateikiami paveiksle žemiau.</w:t>
      </w:r>
    </w:p>
    <w:p w14:paraId="232804E2" w14:textId="77777777" w:rsidR="00AD510E" w:rsidRPr="00650EE4" w:rsidRDefault="00AD510E" w:rsidP="00B55034">
      <w:pPr>
        <w:spacing w:line="240" w:lineRule="auto"/>
        <w:jc w:val="both"/>
        <w:rPr>
          <w:rFonts w:ascii="Times New Roman" w:eastAsiaTheme="minorHAnsi" w:hAnsi="Times New Roman"/>
          <w:b/>
          <w:iCs/>
          <w:color w:val="auto"/>
          <w:szCs w:val="22"/>
          <w:lang w:eastAsia="lt-LT"/>
        </w:rPr>
      </w:pPr>
    </w:p>
    <w:bookmarkStart w:id="18" w:name="_Hlk55970008"/>
    <w:p w14:paraId="495CFB5E" w14:textId="711ED8F6" w:rsidR="00E42A30"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9" w:name="_Toc59094250"/>
      <w:r w:rsidR="00F25C65">
        <w:t>1</w:t>
      </w:r>
      <w:r w:rsidRPr="00650EE4">
        <w:rPr>
          <w:noProof w:val="0"/>
        </w:rPr>
        <w:fldChar w:fldCharType="end"/>
      </w:r>
      <w:r w:rsidR="00D4382E" w:rsidRPr="00650EE4">
        <w:rPr>
          <w:noProof w:val="0"/>
        </w:rPr>
        <w:t xml:space="preserve"> </w:t>
      </w:r>
      <w:r w:rsidR="00E42A30" w:rsidRPr="00650EE4">
        <w:rPr>
          <w:noProof w:val="0"/>
        </w:rPr>
        <w:t xml:space="preserve">paveikslas. </w:t>
      </w:r>
      <w:r w:rsidR="002431D8" w:rsidRPr="00650EE4">
        <w:rPr>
          <w:noProof w:val="0"/>
        </w:rPr>
        <w:t>Pastatų fondas pagal pastatų grupes (agreguotas)</w:t>
      </w:r>
      <w:bookmarkEnd w:id="19"/>
    </w:p>
    <w:tbl>
      <w:tblPr>
        <w:tblStyle w:val="TableGrid"/>
        <w:tblW w:w="5132" w:type="pct"/>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5"/>
      </w:tblGrid>
      <w:tr w:rsidR="00FD07AA" w:rsidRPr="00650EE4" w14:paraId="74E69A77" w14:textId="77777777" w:rsidTr="00004F84">
        <w:trPr>
          <w:trHeight w:val="3453"/>
        </w:trPr>
        <w:tc>
          <w:tcPr>
            <w:tcW w:w="5000" w:type="pct"/>
          </w:tcPr>
          <w:bookmarkEnd w:id="18"/>
          <w:p w14:paraId="1DFC58C7" w14:textId="125F6992" w:rsidR="00FD07AA" w:rsidRPr="00650EE4" w:rsidRDefault="004B71A9" w:rsidP="00631BA6">
            <w:pPr>
              <w:pStyle w:val="TESlentelspavadinimas"/>
              <w:rPr>
                <w:noProof w:val="0"/>
              </w:rPr>
            </w:pPr>
            <w:r w:rsidRPr="004B71A9">
              <w:rPr>
                <w:i w:val="0"/>
                <w:lang w:eastAsia="lt-LT"/>
              </w:rPr>
              <w:drawing>
                <wp:inline distT="0" distB="0" distL="0" distR="0" wp14:anchorId="74A36862" wp14:editId="7E09C1AE">
                  <wp:extent cx="3196743" cy="2055571"/>
                  <wp:effectExtent l="0" t="0" r="22860" b="20955"/>
                  <wp:docPr id="2" name="Chart 2">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50EE4">
              <w:rPr>
                <w:lang w:eastAsia="lt-LT"/>
              </w:rPr>
              <w:drawing>
                <wp:inline distT="0" distB="0" distL="0" distR="0" wp14:anchorId="7161B7CA" wp14:editId="7C27608E">
                  <wp:extent cx="3204058" cy="2055571"/>
                  <wp:effectExtent l="0" t="0" r="15875" b="20955"/>
                  <wp:docPr id="10" name="Chart 1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5298B4B" w14:textId="3B52D41F" w:rsidR="006D0A5A" w:rsidRPr="004960CA" w:rsidRDefault="006D0A5A" w:rsidP="006D0A5A">
      <w:pPr>
        <w:spacing w:before="60" w:line="240" w:lineRule="auto"/>
        <w:jc w:val="both"/>
        <w:rPr>
          <w:rFonts w:ascii="Times New Roman" w:eastAsia="Times New Roman" w:hAnsi="Times New Roman"/>
          <w:i/>
          <w:color w:val="000000" w:themeColor="text1"/>
          <w:sz w:val="20"/>
          <w:szCs w:val="22"/>
        </w:rPr>
      </w:pPr>
      <w:r w:rsidRPr="004960CA">
        <w:rPr>
          <w:rFonts w:ascii="Times New Roman" w:eastAsia="Times New Roman" w:hAnsi="Times New Roman"/>
          <w:i/>
          <w:color w:val="000000" w:themeColor="text1"/>
          <w:sz w:val="20"/>
          <w:szCs w:val="22"/>
        </w:rPr>
        <w:t>Šaltinis: NT</w:t>
      </w:r>
      <w:r w:rsidR="004832F6" w:rsidRPr="004960CA">
        <w:rPr>
          <w:rFonts w:ascii="Times New Roman" w:eastAsia="Times New Roman" w:hAnsi="Times New Roman"/>
          <w:i/>
          <w:color w:val="000000" w:themeColor="text1"/>
          <w:sz w:val="20"/>
          <w:szCs w:val="22"/>
        </w:rPr>
        <w:t>R</w:t>
      </w:r>
      <w:r w:rsidRPr="004960CA">
        <w:rPr>
          <w:rFonts w:ascii="Times New Roman" w:eastAsia="Times New Roman" w:hAnsi="Times New Roman"/>
          <w:i/>
          <w:color w:val="000000" w:themeColor="text1"/>
          <w:sz w:val="20"/>
          <w:szCs w:val="22"/>
        </w:rPr>
        <w:t xml:space="preserve"> duomenys (2019.12.31)</w:t>
      </w:r>
    </w:p>
    <w:p w14:paraId="3BDB7C9D" w14:textId="77777777" w:rsidR="008739AA" w:rsidRPr="00650EE4" w:rsidRDefault="008739AA" w:rsidP="00D75BBF">
      <w:pPr>
        <w:spacing w:before="60" w:line="240" w:lineRule="auto"/>
        <w:jc w:val="both"/>
        <w:rPr>
          <w:rFonts w:ascii="Times New Roman" w:eastAsia="Times New Roman" w:hAnsi="Times New Roman"/>
          <w:i/>
          <w:color w:val="000000" w:themeColor="text1"/>
          <w:szCs w:val="22"/>
        </w:rPr>
      </w:pPr>
    </w:p>
    <w:p w14:paraId="4931B97E" w14:textId="69469211" w:rsidR="00166C44" w:rsidRPr="00650EE4" w:rsidRDefault="00166C44" w:rsidP="006B35DC">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E832EA" w:rsidRPr="00650EE4">
        <w:rPr>
          <w:rFonts w:ascii="Times New Roman" w:hAnsi="Times New Roman"/>
          <w:color w:val="000000" w:themeColor="text1"/>
          <w:szCs w:val="22"/>
        </w:rPr>
        <w:t>aukščiau</w:t>
      </w:r>
      <w:r w:rsidRPr="00650EE4">
        <w:rPr>
          <w:rFonts w:ascii="Times New Roman" w:hAnsi="Times New Roman"/>
          <w:color w:val="000000" w:themeColor="text1"/>
          <w:szCs w:val="22"/>
        </w:rPr>
        <w:t xml:space="preserve"> pate</w:t>
      </w:r>
      <w:r w:rsidR="00462F5D" w:rsidRPr="00650EE4">
        <w:rPr>
          <w:rFonts w:ascii="Times New Roman" w:hAnsi="Times New Roman"/>
          <w:color w:val="000000" w:themeColor="text1"/>
          <w:szCs w:val="22"/>
        </w:rPr>
        <w:t>i</w:t>
      </w:r>
      <w:r w:rsidRPr="00650EE4">
        <w:rPr>
          <w:rFonts w:ascii="Times New Roman" w:hAnsi="Times New Roman"/>
          <w:color w:val="000000" w:themeColor="text1"/>
          <w:szCs w:val="22"/>
        </w:rPr>
        <w:t>ktus duomenis galima pastebėti</w:t>
      </w:r>
      <w:r w:rsidR="00F2074A" w:rsidRPr="00650EE4">
        <w:rPr>
          <w:rFonts w:ascii="Times New Roman" w:hAnsi="Times New Roman"/>
          <w:color w:val="000000" w:themeColor="text1"/>
          <w:szCs w:val="22"/>
        </w:rPr>
        <w:t>, kad</w:t>
      </w:r>
      <w:r w:rsidR="00704081" w:rsidRPr="00650EE4">
        <w:rPr>
          <w:rFonts w:ascii="Times New Roman" w:hAnsi="Times New Roman"/>
          <w:color w:val="000000" w:themeColor="text1"/>
          <w:szCs w:val="22"/>
        </w:rPr>
        <w:t>:</w:t>
      </w:r>
    </w:p>
    <w:p w14:paraId="226E1545" w14:textId="781DCC12" w:rsidR="00F83E2F"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lastRenderedPageBreak/>
        <w:t>v</w:t>
      </w:r>
      <w:r w:rsidR="00F83E2F" w:rsidRPr="00650EE4">
        <w:rPr>
          <w:rFonts w:ascii="Times New Roman" w:hAnsi="Times New Roman"/>
          <w:color w:val="000000" w:themeColor="text1"/>
          <w:szCs w:val="22"/>
        </w:rPr>
        <w:t>idutiniai pastatų plotai</w:t>
      </w:r>
      <w:r w:rsidR="00F2074A" w:rsidRPr="00650EE4">
        <w:rPr>
          <w:rFonts w:ascii="Times New Roman" w:hAnsi="Times New Roman"/>
          <w:color w:val="000000" w:themeColor="text1"/>
          <w:szCs w:val="22"/>
        </w:rPr>
        <w:t xml:space="preserve"> </w:t>
      </w:r>
      <w:r w:rsidR="002316A4" w:rsidRPr="00650EE4">
        <w:rPr>
          <w:rFonts w:ascii="Times New Roman" w:hAnsi="Times New Roman"/>
          <w:color w:val="000000" w:themeColor="text1"/>
          <w:szCs w:val="22"/>
        </w:rPr>
        <w:t>reikšmingai skiriasi</w:t>
      </w:r>
      <w:r w:rsidR="00F83E2F" w:rsidRPr="00650EE4">
        <w:rPr>
          <w:rFonts w:ascii="Times New Roman" w:hAnsi="Times New Roman"/>
          <w:color w:val="000000" w:themeColor="text1"/>
          <w:szCs w:val="22"/>
        </w:rPr>
        <w:t>: individualus namas ~130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daugiabutis ~1450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pramonės pastata</w:t>
      </w:r>
      <w:r w:rsidR="001A20D0" w:rsidRPr="00650EE4">
        <w:rPr>
          <w:rFonts w:ascii="Times New Roman" w:hAnsi="Times New Roman"/>
          <w:color w:val="000000" w:themeColor="text1"/>
          <w:szCs w:val="22"/>
        </w:rPr>
        <w:t>s</w:t>
      </w:r>
      <w:r w:rsidR="00F83E2F" w:rsidRPr="00650EE4">
        <w:rPr>
          <w:rFonts w:ascii="Times New Roman" w:hAnsi="Times New Roman"/>
          <w:color w:val="000000" w:themeColor="text1"/>
          <w:szCs w:val="22"/>
        </w:rPr>
        <w:t xml:space="preserve"> ~700 m</w:t>
      </w:r>
      <w:r w:rsidR="00F83E2F" w:rsidRPr="00650EE4">
        <w:rPr>
          <w:rFonts w:ascii="Times New Roman" w:hAnsi="Times New Roman"/>
          <w:color w:val="000000" w:themeColor="text1"/>
          <w:szCs w:val="22"/>
          <w:vertAlign w:val="superscript"/>
        </w:rPr>
        <w:t>2</w:t>
      </w:r>
      <w:r w:rsidR="00F83E2F" w:rsidRPr="00650EE4">
        <w:rPr>
          <w:rFonts w:ascii="Times New Roman" w:hAnsi="Times New Roman"/>
          <w:color w:val="000000" w:themeColor="text1"/>
          <w:szCs w:val="22"/>
        </w:rPr>
        <w:t>, kit</w:t>
      </w:r>
      <w:r w:rsidR="001A20D0" w:rsidRPr="00650EE4">
        <w:rPr>
          <w:rFonts w:ascii="Times New Roman" w:hAnsi="Times New Roman"/>
          <w:color w:val="000000" w:themeColor="text1"/>
          <w:szCs w:val="22"/>
        </w:rPr>
        <w:t>a</w:t>
      </w:r>
      <w:r w:rsidR="00F83E2F" w:rsidRPr="00650EE4">
        <w:rPr>
          <w:rFonts w:ascii="Times New Roman" w:hAnsi="Times New Roman"/>
          <w:color w:val="000000" w:themeColor="text1"/>
          <w:szCs w:val="22"/>
        </w:rPr>
        <w:t xml:space="preserve"> negyvenam</w:t>
      </w:r>
      <w:r w:rsidR="00F7358C" w:rsidRPr="00650EE4">
        <w:rPr>
          <w:rFonts w:ascii="Times New Roman" w:hAnsi="Times New Roman"/>
          <w:color w:val="000000" w:themeColor="text1"/>
          <w:szCs w:val="22"/>
        </w:rPr>
        <w:t>o</w:t>
      </w:r>
      <w:r w:rsidR="00F83E2F" w:rsidRPr="00650EE4">
        <w:rPr>
          <w:rFonts w:ascii="Times New Roman" w:hAnsi="Times New Roman"/>
          <w:color w:val="000000" w:themeColor="text1"/>
          <w:szCs w:val="22"/>
        </w:rPr>
        <w:t>ji</w:t>
      </w:r>
      <w:r w:rsidR="001A20D0" w:rsidRPr="00650EE4">
        <w:rPr>
          <w:rFonts w:ascii="Times New Roman" w:hAnsi="Times New Roman"/>
          <w:color w:val="000000" w:themeColor="text1"/>
          <w:szCs w:val="22"/>
        </w:rPr>
        <w:t xml:space="preserve"> paskirtis</w:t>
      </w:r>
      <w:r w:rsidR="00F83E2F" w:rsidRPr="00650EE4">
        <w:rPr>
          <w:rFonts w:ascii="Times New Roman" w:hAnsi="Times New Roman"/>
          <w:color w:val="000000" w:themeColor="text1"/>
          <w:szCs w:val="22"/>
        </w:rPr>
        <w:t xml:space="preserve"> ~900 m</w:t>
      </w:r>
      <w:r w:rsidR="00F83E2F" w:rsidRPr="00650EE4">
        <w:rPr>
          <w:rFonts w:ascii="Times New Roman" w:hAnsi="Times New Roman"/>
          <w:color w:val="000000" w:themeColor="text1"/>
          <w:szCs w:val="22"/>
          <w:vertAlign w:val="superscript"/>
        </w:rPr>
        <w:t>2</w:t>
      </w:r>
      <w:r>
        <w:rPr>
          <w:rFonts w:ascii="Times New Roman" w:hAnsi="Times New Roman"/>
          <w:color w:val="000000" w:themeColor="text1"/>
          <w:szCs w:val="22"/>
        </w:rPr>
        <w:t>;</w:t>
      </w:r>
      <w:r w:rsidR="00F83E2F" w:rsidRPr="00650EE4">
        <w:rPr>
          <w:rFonts w:ascii="Times New Roman" w:hAnsi="Times New Roman"/>
          <w:color w:val="000000" w:themeColor="text1"/>
          <w:szCs w:val="22"/>
        </w:rPr>
        <w:t xml:space="preserve"> </w:t>
      </w:r>
    </w:p>
    <w:p w14:paraId="7762D931" w14:textId="3FB945CD" w:rsidR="00462F5D"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166C44" w:rsidRPr="00650EE4">
        <w:rPr>
          <w:rFonts w:ascii="Times New Roman" w:hAnsi="Times New Roman"/>
          <w:color w:val="000000" w:themeColor="text1"/>
          <w:szCs w:val="22"/>
        </w:rPr>
        <w:t>yvenam</w:t>
      </w:r>
      <w:r w:rsidR="008469DD" w:rsidRPr="00650EE4">
        <w:rPr>
          <w:rFonts w:ascii="Times New Roman" w:hAnsi="Times New Roman"/>
          <w:color w:val="000000" w:themeColor="text1"/>
          <w:szCs w:val="22"/>
        </w:rPr>
        <w:t>osios paskirties</w:t>
      </w:r>
      <w:r w:rsidR="006B35DC" w:rsidRPr="00650EE4">
        <w:rPr>
          <w:rFonts w:ascii="Times New Roman" w:hAnsi="Times New Roman"/>
          <w:color w:val="000000" w:themeColor="text1"/>
          <w:szCs w:val="22"/>
        </w:rPr>
        <w:t xml:space="preserve"> pastatai</w:t>
      </w:r>
      <w:r w:rsidR="00166C44" w:rsidRPr="00650EE4">
        <w:rPr>
          <w:rFonts w:ascii="Times New Roman" w:hAnsi="Times New Roman"/>
          <w:color w:val="000000" w:themeColor="text1"/>
          <w:szCs w:val="22"/>
        </w:rPr>
        <w:t xml:space="preserve"> sudaro </w:t>
      </w:r>
      <w:r w:rsidR="00B66F28" w:rsidRPr="00650EE4">
        <w:rPr>
          <w:rFonts w:ascii="Times New Roman" w:hAnsi="Times New Roman"/>
          <w:color w:val="000000" w:themeColor="text1"/>
          <w:szCs w:val="22"/>
        </w:rPr>
        <w:t>2/3 (</w:t>
      </w:r>
      <w:r w:rsidR="008469DD" w:rsidRPr="00650EE4">
        <w:rPr>
          <w:rFonts w:ascii="Times New Roman" w:hAnsi="Times New Roman"/>
          <w:color w:val="000000" w:themeColor="text1"/>
          <w:szCs w:val="22"/>
        </w:rPr>
        <w:t>64</w:t>
      </w:r>
      <w:r w:rsidR="006B35DC" w:rsidRPr="00650EE4">
        <w:rPr>
          <w:rFonts w:ascii="Times New Roman" w:hAnsi="Times New Roman"/>
          <w:color w:val="000000" w:themeColor="text1"/>
          <w:szCs w:val="22"/>
        </w:rPr>
        <w:t xml:space="preserve"> proc.</w:t>
      </w:r>
      <w:r w:rsidR="00B66F28" w:rsidRPr="00650EE4">
        <w:rPr>
          <w:rFonts w:ascii="Times New Roman" w:hAnsi="Times New Roman"/>
          <w:color w:val="000000" w:themeColor="text1"/>
          <w:szCs w:val="22"/>
        </w:rPr>
        <w:t>)</w:t>
      </w:r>
      <w:r w:rsidR="006B35DC" w:rsidRPr="00650EE4">
        <w:rPr>
          <w:rFonts w:ascii="Times New Roman" w:hAnsi="Times New Roman"/>
          <w:color w:val="000000" w:themeColor="text1"/>
          <w:szCs w:val="22"/>
        </w:rPr>
        <w:t xml:space="preserve"> viso </w:t>
      </w:r>
      <w:r>
        <w:rPr>
          <w:rFonts w:ascii="Times New Roman" w:hAnsi="Times New Roman"/>
          <w:color w:val="000000" w:themeColor="text1"/>
          <w:szCs w:val="22"/>
        </w:rPr>
        <w:t>p</w:t>
      </w:r>
      <w:r w:rsidR="00A8081F" w:rsidRPr="00650EE4">
        <w:rPr>
          <w:rFonts w:ascii="Times New Roman" w:hAnsi="Times New Roman"/>
          <w:color w:val="000000" w:themeColor="text1"/>
          <w:szCs w:val="22"/>
        </w:rPr>
        <w:t>astatų fondo ploto</w:t>
      </w:r>
      <w:r w:rsidR="00ED3074" w:rsidRPr="00650EE4">
        <w:rPr>
          <w:rFonts w:ascii="Times New Roman" w:hAnsi="Times New Roman"/>
          <w:color w:val="000000" w:themeColor="text1"/>
          <w:szCs w:val="22"/>
        </w:rPr>
        <w:t>. Tai yra</w:t>
      </w:r>
      <w:r w:rsidR="00A8081F" w:rsidRPr="00650EE4">
        <w:rPr>
          <w:rFonts w:ascii="Times New Roman" w:hAnsi="Times New Roman"/>
          <w:color w:val="000000" w:themeColor="text1"/>
          <w:szCs w:val="22"/>
        </w:rPr>
        <w:t xml:space="preserve"> reikšmingiausias pastatų</w:t>
      </w:r>
      <w:r w:rsidR="006B35DC" w:rsidRPr="00650EE4">
        <w:rPr>
          <w:rFonts w:ascii="Times New Roman" w:hAnsi="Times New Roman"/>
          <w:color w:val="000000" w:themeColor="text1"/>
          <w:szCs w:val="22"/>
        </w:rPr>
        <w:t xml:space="preserve"> segmentas</w:t>
      </w:r>
      <w:r>
        <w:rPr>
          <w:rFonts w:ascii="Times New Roman" w:hAnsi="Times New Roman"/>
          <w:color w:val="000000" w:themeColor="text1"/>
          <w:szCs w:val="22"/>
        </w:rPr>
        <w:t xml:space="preserve"> vertinant pagal pastatų plotą;</w:t>
      </w:r>
      <w:r w:rsidR="006B35DC" w:rsidRPr="00650EE4">
        <w:rPr>
          <w:rFonts w:ascii="Times New Roman" w:hAnsi="Times New Roman"/>
          <w:color w:val="000000" w:themeColor="text1"/>
          <w:szCs w:val="22"/>
        </w:rPr>
        <w:t xml:space="preserve"> </w:t>
      </w:r>
    </w:p>
    <w:p w14:paraId="52E23F03" w14:textId="6DBE1CC9" w:rsidR="00A8081F" w:rsidRPr="00650EE4" w:rsidRDefault="004960CA" w:rsidP="001D57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6F46B7" w:rsidRPr="00650EE4">
        <w:rPr>
          <w:rFonts w:ascii="Times New Roman" w:hAnsi="Times New Roman"/>
          <w:color w:val="000000" w:themeColor="text1"/>
          <w:szCs w:val="22"/>
        </w:rPr>
        <w:t>yvenamosios paskirties</w:t>
      </w:r>
      <w:r w:rsidR="00B128E5" w:rsidRPr="00650EE4">
        <w:rPr>
          <w:rFonts w:ascii="Times New Roman" w:hAnsi="Times New Roman"/>
          <w:color w:val="000000" w:themeColor="text1"/>
          <w:szCs w:val="22"/>
        </w:rPr>
        <w:t xml:space="preserve"> segmente</w:t>
      </w:r>
      <w:r w:rsidR="00BD2E66" w:rsidRPr="00650EE4">
        <w:rPr>
          <w:rFonts w:ascii="Times New Roman" w:hAnsi="Times New Roman"/>
          <w:color w:val="000000" w:themeColor="text1"/>
          <w:szCs w:val="22"/>
        </w:rPr>
        <w:t>,</w:t>
      </w:r>
      <w:r w:rsidR="00B128E5" w:rsidRPr="00650EE4">
        <w:rPr>
          <w:rFonts w:ascii="Times New Roman" w:hAnsi="Times New Roman"/>
          <w:color w:val="000000" w:themeColor="text1"/>
          <w:szCs w:val="22"/>
        </w:rPr>
        <w:t xml:space="preserve"> daugiabučiai ir individualūs </w:t>
      </w:r>
      <w:r w:rsidR="00A8081F" w:rsidRPr="00650EE4">
        <w:rPr>
          <w:rFonts w:ascii="Times New Roman" w:hAnsi="Times New Roman"/>
          <w:color w:val="000000" w:themeColor="text1"/>
          <w:szCs w:val="22"/>
        </w:rPr>
        <w:t xml:space="preserve">namai </w:t>
      </w:r>
      <w:r w:rsidR="00D1451D" w:rsidRPr="00650EE4">
        <w:rPr>
          <w:rFonts w:ascii="Times New Roman" w:hAnsi="Times New Roman"/>
          <w:color w:val="000000" w:themeColor="text1"/>
          <w:szCs w:val="22"/>
        </w:rPr>
        <w:t>pasiskir</w:t>
      </w:r>
      <w:r w:rsidR="007C141C" w:rsidRPr="00650EE4">
        <w:rPr>
          <w:rFonts w:ascii="Times New Roman" w:hAnsi="Times New Roman"/>
          <w:color w:val="000000" w:themeColor="text1"/>
          <w:szCs w:val="22"/>
        </w:rPr>
        <w:t>s</w:t>
      </w:r>
      <w:r w:rsidR="00D1451D" w:rsidRPr="00650EE4">
        <w:rPr>
          <w:rFonts w:ascii="Times New Roman" w:hAnsi="Times New Roman"/>
          <w:color w:val="000000" w:themeColor="text1"/>
          <w:szCs w:val="22"/>
        </w:rPr>
        <w:t>tę panašiomis dalimis</w:t>
      </w:r>
      <w:r w:rsidR="00D75652" w:rsidRPr="00650EE4">
        <w:rPr>
          <w:rFonts w:ascii="Times New Roman" w:hAnsi="Times New Roman"/>
          <w:color w:val="000000" w:themeColor="text1"/>
          <w:szCs w:val="22"/>
        </w:rPr>
        <w:t>,</w:t>
      </w:r>
      <w:r w:rsidR="00D1451D" w:rsidRPr="00650EE4">
        <w:rPr>
          <w:rFonts w:ascii="Times New Roman" w:hAnsi="Times New Roman"/>
          <w:color w:val="000000" w:themeColor="text1"/>
          <w:szCs w:val="22"/>
        </w:rPr>
        <w:t xml:space="preserve"> vertinant pagal plotą (29 proc. ir 34 proc. bendro Pastatų fondo ploto). Tačiau, </w:t>
      </w:r>
      <w:r w:rsidR="00D75652" w:rsidRPr="00650EE4">
        <w:rPr>
          <w:rFonts w:ascii="Times New Roman" w:hAnsi="Times New Roman"/>
          <w:color w:val="000000" w:themeColor="text1"/>
          <w:szCs w:val="22"/>
        </w:rPr>
        <w:t xml:space="preserve">vertinant pagal pastatų skaičių, </w:t>
      </w:r>
      <w:r w:rsidR="00D1451D" w:rsidRPr="00650EE4">
        <w:rPr>
          <w:rFonts w:ascii="Times New Roman" w:hAnsi="Times New Roman"/>
          <w:color w:val="000000" w:themeColor="text1"/>
          <w:szCs w:val="22"/>
        </w:rPr>
        <w:t>individualūs pastatai sudaro net 80 proc., o daugiabučiai tik 6 proc.</w:t>
      </w:r>
      <w:r>
        <w:rPr>
          <w:rFonts w:ascii="Times New Roman" w:hAnsi="Times New Roman"/>
          <w:color w:val="000000" w:themeColor="text1"/>
          <w:szCs w:val="22"/>
        </w:rPr>
        <w:t xml:space="preserve"> bendro Pastatų fondo skaičiaus;</w:t>
      </w:r>
      <w:r w:rsidR="00D1451D" w:rsidRPr="00650EE4">
        <w:rPr>
          <w:rFonts w:ascii="Times New Roman" w:hAnsi="Times New Roman"/>
          <w:color w:val="000000" w:themeColor="text1"/>
          <w:szCs w:val="22"/>
        </w:rPr>
        <w:t xml:space="preserve"> </w:t>
      </w:r>
    </w:p>
    <w:p w14:paraId="7D27DD82" w14:textId="47249414" w:rsidR="00085A6E" w:rsidRPr="00650EE4" w:rsidRDefault="004960CA" w:rsidP="00004F84">
      <w:pPr>
        <w:pStyle w:val="Pagrindinispaprastastekstas"/>
        <w:numPr>
          <w:ilvl w:val="0"/>
          <w:numId w:val="10"/>
        </w:numPr>
        <w:spacing w:after="360"/>
        <w:ind w:left="714" w:hanging="357"/>
        <w:rPr>
          <w:rFonts w:ascii="Times New Roman" w:hAnsi="Times New Roman"/>
          <w:b/>
          <w:bCs/>
          <w:color w:val="000000" w:themeColor="text1"/>
          <w:kern w:val="32"/>
          <w:sz w:val="24"/>
        </w:rPr>
      </w:pPr>
      <w:r>
        <w:rPr>
          <w:rFonts w:ascii="Times New Roman" w:hAnsi="Times New Roman"/>
          <w:color w:val="000000" w:themeColor="text1"/>
          <w:szCs w:val="22"/>
        </w:rPr>
        <w:t>a</w:t>
      </w:r>
      <w:r w:rsidR="00A8081F" w:rsidRPr="00650EE4">
        <w:rPr>
          <w:rFonts w:ascii="Times New Roman" w:hAnsi="Times New Roman"/>
          <w:color w:val="000000" w:themeColor="text1"/>
          <w:szCs w:val="22"/>
        </w:rPr>
        <w:t>titinkamai, siekiant masto ekonomijos ir spartesnių renovacijos tempų, daugiabučiai yra prioritetinis IRS segmentas</w:t>
      </w:r>
      <w:r w:rsidR="00F83E2F" w:rsidRPr="00650EE4">
        <w:rPr>
          <w:rFonts w:ascii="Times New Roman" w:hAnsi="Times New Roman"/>
          <w:color w:val="000000" w:themeColor="text1"/>
          <w:szCs w:val="22"/>
        </w:rPr>
        <w:t>,</w:t>
      </w:r>
      <w:r w:rsidR="00A8081F" w:rsidRPr="00650EE4">
        <w:rPr>
          <w:rFonts w:ascii="Times New Roman" w:hAnsi="Times New Roman"/>
          <w:color w:val="000000" w:themeColor="text1"/>
          <w:szCs w:val="22"/>
        </w:rPr>
        <w:t xml:space="preserve"> </w:t>
      </w:r>
      <w:r w:rsidR="006B35DC" w:rsidRPr="00650EE4">
        <w:rPr>
          <w:rFonts w:ascii="Times New Roman" w:hAnsi="Times New Roman"/>
          <w:color w:val="000000" w:themeColor="text1"/>
          <w:szCs w:val="22"/>
        </w:rPr>
        <w:t>s</w:t>
      </w:r>
      <w:r w:rsidR="00A8081F" w:rsidRPr="00650EE4">
        <w:rPr>
          <w:rFonts w:ascii="Times New Roman" w:hAnsi="Times New Roman"/>
          <w:color w:val="000000" w:themeColor="text1"/>
          <w:szCs w:val="22"/>
        </w:rPr>
        <w:t>udarantis</w:t>
      </w:r>
      <w:r w:rsidR="006B35DC" w:rsidRPr="00650EE4">
        <w:rPr>
          <w:rFonts w:ascii="Times New Roman" w:hAnsi="Times New Roman"/>
          <w:color w:val="000000" w:themeColor="text1"/>
          <w:szCs w:val="22"/>
        </w:rPr>
        <w:t xml:space="preserve"> tik 6 proc. </w:t>
      </w:r>
      <w:r w:rsidR="00623C1D" w:rsidRPr="00650EE4">
        <w:rPr>
          <w:rFonts w:ascii="Times New Roman" w:hAnsi="Times New Roman"/>
          <w:color w:val="000000" w:themeColor="text1"/>
          <w:szCs w:val="22"/>
        </w:rPr>
        <w:t xml:space="preserve">Pastatų fondo pagal pastatų skaičių, tačiau net 29 proc. </w:t>
      </w:r>
      <w:r w:rsidR="00FD3539" w:rsidRPr="00650EE4">
        <w:rPr>
          <w:rFonts w:ascii="Times New Roman" w:hAnsi="Times New Roman"/>
          <w:color w:val="000000" w:themeColor="text1"/>
          <w:szCs w:val="22"/>
        </w:rPr>
        <w:t>pagal pastatų plotą</w:t>
      </w:r>
      <w:r w:rsidR="00F83E2F" w:rsidRPr="00650EE4">
        <w:rPr>
          <w:rFonts w:ascii="Times New Roman" w:hAnsi="Times New Roman"/>
          <w:color w:val="000000" w:themeColor="text1"/>
          <w:szCs w:val="22"/>
        </w:rPr>
        <w:t xml:space="preserve">. </w:t>
      </w:r>
    </w:p>
    <w:p w14:paraId="700B1E42" w14:textId="2FDAEFA2" w:rsidR="0077148E" w:rsidRPr="00650EE4" w:rsidRDefault="0077148E" w:rsidP="004832F6">
      <w:pPr>
        <w:pStyle w:val="Antrastes31"/>
        <w:numPr>
          <w:ilvl w:val="2"/>
          <w:numId w:val="4"/>
        </w:numPr>
        <w:spacing w:before="0" w:after="200"/>
        <w:ind w:left="720" w:hanging="720"/>
        <w:rPr>
          <w:rFonts w:ascii="Times New Roman" w:hAnsi="Times New Roman"/>
          <w:color w:val="000000" w:themeColor="text1"/>
          <w:sz w:val="24"/>
          <w:szCs w:val="24"/>
          <w:lang w:val="lt-LT"/>
        </w:rPr>
      </w:pPr>
      <w:bookmarkStart w:id="20" w:name="_Toc59107503"/>
      <w:r w:rsidRPr="00650EE4">
        <w:rPr>
          <w:rFonts w:ascii="Times New Roman" w:hAnsi="Times New Roman"/>
          <w:color w:val="000000" w:themeColor="text1"/>
          <w:sz w:val="24"/>
          <w:szCs w:val="24"/>
          <w:lang w:val="lt-LT"/>
        </w:rPr>
        <w:t xml:space="preserve">Pastatų fondas </w:t>
      </w:r>
      <w:r w:rsidR="00D220F9" w:rsidRPr="00650EE4">
        <w:rPr>
          <w:rFonts w:ascii="Times New Roman" w:hAnsi="Times New Roman"/>
          <w:color w:val="000000" w:themeColor="text1"/>
          <w:sz w:val="24"/>
          <w:szCs w:val="24"/>
          <w:lang w:val="lt-LT"/>
        </w:rPr>
        <w:t xml:space="preserve">pagal </w:t>
      </w:r>
      <w:r w:rsidR="00877BD5" w:rsidRPr="00650EE4">
        <w:rPr>
          <w:rFonts w:ascii="Times New Roman" w:hAnsi="Times New Roman"/>
          <w:color w:val="000000" w:themeColor="text1"/>
          <w:sz w:val="24"/>
          <w:szCs w:val="24"/>
          <w:lang w:val="lt-LT"/>
        </w:rPr>
        <w:t>paskirtį ir statybos metus</w:t>
      </w:r>
      <w:bookmarkEnd w:id="20"/>
    </w:p>
    <w:p w14:paraId="51523370" w14:textId="4F47F7C1" w:rsidR="0077148E" w:rsidRPr="00650EE4" w:rsidRDefault="00E906DA" w:rsidP="0077148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w:t>
      </w:r>
      <w:r w:rsidR="007A5BBF" w:rsidRPr="00650EE4">
        <w:rPr>
          <w:rFonts w:ascii="Times New Roman" w:hAnsi="Times New Roman"/>
          <w:color w:val="000000" w:themeColor="text1"/>
          <w:szCs w:val="22"/>
          <w:lang w:val="lt-LT"/>
        </w:rPr>
        <w:t>ė</w:t>
      </w:r>
      <w:r w:rsidR="0024481B" w:rsidRPr="00650EE4">
        <w:rPr>
          <w:rFonts w:ascii="Times New Roman" w:hAnsi="Times New Roman"/>
          <w:color w:val="000000" w:themeColor="text1"/>
          <w:szCs w:val="22"/>
          <w:lang w:val="lt-LT"/>
        </w:rPr>
        <w:t xml:space="preserve">se </w:t>
      </w:r>
      <w:r w:rsidR="004960CA">
        <w:rPr>
          <w:rFonts w:ascii="Times New Roman" w:hAnsi="Times New Roman"/>
          <w:color w:val="000000" w:themeColor="text1"/>
          <w:szCs w:val="22"/>
          <w:lang w:val="lt-LT"/>
        </w:rPr>
        <w:t>žemiau pateikiamas p</w:t>
      </w:r>
      <w:r w:rsidR="0077148E" w:rsidRPr="00650EE4">
        <w:rPr>
          <w:rFonts w:ascii="Times New Roman" w:hAnsi="Times New Roman"/>
          <w:color w:val="000000" w:themeColor="text1"/>
          <w:szCs w:val="22"/>
          <w:lang w:val="lt-LT"/>
        </w:rPr>
        <w:t>astatų fond</w:t>
      </w:r>
      <w:r w:rsidR="00704081" w:rsidRPr="00650EE4">
        <w:rPr>
          <w:rFonts w:ascii="Times New Roman" w:hAnsi="Times New Roman"/>
          <w:color w:val="000000" w:themeColor="text1"/>
          <w:szCs w:val="22"/>
          <w:lang w:val="lt-LT"/>
        </w:rPr>
        <w:t>a</w:t>
      </w:r>
      <w:r w:rsidR="0077148E" w:rsidRPr="00650EE4">
        <w:rPr>
          <w:rFonts w:ascii="Times New Roman" w:hAnsi="Times New Roman"/>
          <w:color w:val="000000" w:themeColor="text1"/>
          <w:szCs w:val="22"/>
          <w:lang w:val="lt-LT"/>
        </w:rPr>
        <w:t>s pagal statybos</w:t>
      </w:r>
      <w:r w:rsidR="002C3F3C" w:rsidRPr="00650EE4">
        <w:rPr>
          <w:rFonts w:ascii="Times New Roman" w:hAnsi="Times New Roman"/>
          <w:color w:val="000000" w:themeColor="text1"/>
          <w:szCs w:val="22"/>
          <w:lang w:val="lt-LT"/>
        </w:rPr>
        <w:t xml:space="preserve"> pabaigos</w:t>
      </w:r>
      <w:r w:rsidR="0077148E" w:rsidRPr="00650EE4">
        <w:rPr>
          <w:rFonts w:ascii="Times New Roman" w:hAnsi="Times New Roman"/>
          <w:color w:val="000000" w:themeColor="text1"/>
          <w:szCs w:val="22"/>
          <w:lang w:val="lt-LT"/>
        </w:rPr>
        <w:t xml:space="preserve"> </w:t>
      </w:r>
      <w:r w:rsidR="007A5BBF" w:rsidRPr="00650EE4">
        <w:rPr>
          <w:rFonts w:ascii="Times New Roman" w:hAnsi="Times New Roman"/>
          <w:color w:val="000000" w:themeColor="text1"/>
          <w:szCs w:val="22"/>
          <w:lang w:val="lt-LT"/>
        </w:rPr>
        <w:t xml:space="preserve">metus, </w:t>
      </w:r>
      <w:r w:rsidR="00F83E2F" w:rsidRPr="00650EE4">
        <w:rPr>
          <w:rFonts w:ascii="Times New Roman" w:hAnsi="Times New Roman"/>
          <w:color w:val="000000" w:themeColor="text1"/>
          <w:szCs w:val="22"/>
          <w:lang w:val="lt-LT"/>
        </w:rPr>
        <w:t>vienetais</w:t>
      </w:r>
      <w:r w:rsidR="0024481B" w:rsidRPr="00650EE4">
        <w:rPr>
          <w:rFonts w:ascii="Times New Roman" w:hAnsi="Times New Roman"/>
          <w:color w:val="000000" w:themeColor="text1"/>
          <w:szCs w:val="22"/>
          <w:lang w:val="lt-LT"/>
        </w:rPr>
        <w:t xml:space="preserve"> ir tūkst. m</w:t>
      </w:r>
      <w:r w:rsidR="0024481B" w:rsidRPr="00650EE4">
        <w:rPr>
          <w:rFonts w:ascii="Times New Roman" w:hAnsi="Times New Roman"/>
          <w:color w:val="000000" w:themeColor="text1"/>
          <w:szCs w:val="22"/>
          <w:vertAlign w:val="superscript"/>
          <w:lang w:val="lt-LT"/>
        </w:rPr>
        <w:t>2</w:t>
      </w:r>
      <w:r w:rsidR="0024481B" w:rsidRPr="00650EE4">
        <w:rPr>
          <w:rFonts w:ascii="Times New Roman" w:hAnsi="Times New Roman"/>
          <w:color w:val="000000" w:themeColor="text1"/>
          <w:szCs w:val="22"/>
          <w:lang w:val="lt-LT"/>
        </w:rPr>
        <w:t xml:space="preserve">. </w:t>
      </w:r>
      <w:r w:rsidR="0077148E" w:rsidRPr="00650EE4">
        <w:rPr>
          <w:rFonts w:ascii="Times New Roman" w:hAnsi="Times New Roman"/>
          <w:color w:val="000000" w:themeColor="text1"/>
          <w:szCs w:val="22"/>
          <w:lang w:val="lt-LT"/>
        </w:rPr>
        <w:t xml:space="preserve"> </w:t>
      </w:r>
    </w:p>
    <w:p w14:paraId="738A05DE" w14:textId="77777777" w:rsidR="00E906DA" w:rsidRPr="00650EE4" w:rsidRDefault="00E906DA" w:rsidP="0077148E">
      <w:pPr>
        <w:pStyle w:val="BodyText"/>
        <w:jc w:val="both"/>
        <w:rPr>
          <w:rFonts w:ascii="Times New Roman" w:hAnsi="Times New Roman"/>
          <w:color w:val="000000" w:themeColor="text1"/>
          <w:szCs w:val="22"/>
          <w:lang w:val="lt-LT"/>
        </w:rPr>
      </w:pPr>
    </w:p>
    <w:p w14:paraId="503D48A0" w14:textId="4B00A9DA" w:rsidR="00242210"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1" w:name="_Toc59094186"/>
      <w:r w:rsidR="00F25C65">
        <w:t>3</w:t>
      </w:r>
      <w:r w:rsidRPr="00650EE4">
        <w:rPr>
          <w:noProof w:val="0"/>
        </w:rPr>
        <w:fldChar w:fldCharType="end"/>
      </w:r>
      <w:r w:rsidR="00025050" w:rsidRPr="00650EE4">
        <w:rPr>
          <w:noProof w:val="0"/>
        </w:rPr>
        <w:t xml:space="preserve"> lentelė</w:t>
      </w:r>
      <w:r w:rsidR="00242210" w:rsidRPr="00650EE4">
        <w:rPr>
          <w:noProof w:val="0"/>
        </w:rPr>
        <w:t>. Pastatų fonda</w:t>
      </w:r>
      <w:r w:rsidR="00DB17F7" w:rsidRPr="00650EE4">
        <w:rPr>
          <w:noProof w:val="0"/>
        </w:rPr>
        <w:t>s pagal statybos</w:t>
      </w:r>
      <w:r w:rsidR="00E71C69" w:rsidRPr="00650EE4">
        <w:rPr>
          <w:noProof w:val="0"/>
        </w:rPr>
        <w:t xml:space="preserve"> pabaigos</w:t>
      </w:r>
      <w:r w:rsidR="00DB17F7" w:rsidRPr="00650EE4">
        <w:rPr>
          <w:noProof w:val="0"/>
        </w:rPr>
        <w:t xml:space="preserve"> metus (vnt</w:t>
      </w:r>
      <w:r w:rsidR="00567DB2" w:rsidRPr="00650EE4">
        <w:rPr>
          <w:noProof w:val="0"/>
        </w:rPr>
        <w:t>.</w:t>
      </w:r>
      <w:r w:rsidR="00242210" w:rsidRPr="00650EE4">
        <w:rPr>
          <w:noProof w:val="0"/>
        </w:rPr>
        <w:t>)</w:t>
      </w:r>
      <w:bookmarkEnd w:id="21"/>
    </w:p>
    <w:tbl>
      <w:tblPr>
        <w:tblW w:w="5000" w:type="pct"/>
        <w:tblLook w:val="04A0" w:firstRow="1" w:lastRow="0" w:firstColumn="1" w:lastColumn="0" w:noHBand="0" w:noVBand="1"/>
      </w:tblPr>
      <w:tblGrid>
        <w:gridCol w:w="1861"/>
        <w:gridCol w:w="851"/>
        <w:gridCol w:w="866"/>
        <w:gridCol w:w="866"/>
        <w:gridCol w:w="852"/>
        <w:gridCol w:w="852"/>
        <w:gridCol w:w="852"/>
        <w:gridCol w:w="852"/>
        <w:gridCol w:w="852"/>
        <w:gridCol w:w="866"/>
        <w:gridCol w:w="850"/>
      </w:tblGrid>
      <w:tr w:rsidR="006248AC" w:rsidRPr="00650EE4" w14:paraId="3420F370" w14:textId="77777777" w:rsidTr="00307987">
        <w:tc>
          <w:tcPr>
            <w:tcW w:w="893"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5657ED79"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 pogrupis</w:t>
            </w:r>
          </w:p>
        </w:tc>
        <w:tc>
          <w:tcPr>
            <w:tcW w:w="3283" w:type="pct"/>
            <w:gridSpan w:val="8"/>
            <w:tcBorders>
              <w:top w:val="single" w:sz="4" w:space="0" w:color="auto"/>
              <w:left w:val="nil"/>
              <w:bottom w:val="single" w:sz="4" w:space="0" w:color="auto"/>
              <w:right w:val="single" w:sz="4" w:space="0" w:color="auto"/>
            </w:tcBorders>
            <w:shd w:val="clear" w:color="000000" w:fill="FFFFFF"/>
            <w:noWrap/>
            <w:vAlign w:val="center"/>
            <w:hideMark/>
          </w:tcPr>
          <w:p w14:paraId="063E267C"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Statybos metai</w:t>
            </w:r>
          </w:p>
        </w:tc>
        <w:tc>
          <w:tcPr>
            <w:tcW w:w="41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9570943"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9"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B0B1B3E" w14:textId="77777777" w:rsidR="006248AC" w:rsidRPr="00650EE4" w:rsidRDefault="006248AC" w:rsidP="006248AC">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Iš viso, proc.</w:t>
            </w:r>
          </w:p>
        </w:tc>
      </w:tr>
      <w:tr w:rsidR="006248AC" w:rsidRPr="00650EE4" w14:paraId="2BB8ACBD" w14:textId="77777777" w:rsidTr="00307987">
        <w:tc>
          <w:tcPr>
            <w:tcW w:w="893" w:type="pct"/>
            <w:vMerge/>
            <w:tcBorders>
              <w:top w:val="single" w:sz="4" w:space="0" w:color="auto"/>
              <w:left w:val="single" w:sz="4" w:space="0" w:color="auto"/>
              <w:bottom w:val="single" w:sz="4" w:space="0" w:color="000000"/>
              <w:right w:val="single" w:sz="4" w:space="0" w:color="000000"/>
            </w:tcBorders>
            <w:vAlign w:val="center"/>
            <w:hideMark/>
          </w:tcPr>
          <w:p w14:paraId="6F27E853" w14:textId="77777777" w:rsidR="006248AC" w:rsidRPr="00650EE4" w:rsidRDefault="006248AC" w:rsidP="006248AC">
            <w:pPr>
              <w:spacing w:line="240" w:lineRule="auto"/>
              <w:rPr>
                <w:rFonts w:ascii="Times New Roman" w:eastAsia="Times New Roman" w:hAnsi="Times New Roman"/>
                <w:b/>
                <w:bCs/>
                <w:sz w:val="20"/>
                <w:szCs w:val="20"/>
              </w:rPr>
            </w:pPr>
          </w:p>
        </w:tc>
        <w:tc>
          <w:tcPr>
            <w:tcW w:w="409" w:type="pct"/>
            <w:tcBorders>
              <w:top w:val="nil"/>
              <w:left w:val="nil"/>
              <w:bottom w:val="single" w:sz="4" w:space="0" w:color="auto"/>
              <w:right w:val="nil"/>
            </w:tcBorders>
            <w:shd w:val="clear" w:color="000000" w:fill="FFFFFF"/>
            <w:vAlign w:val="center"/>
            <w:hideMark/>
          </w:tcPr>
          <w:p w14:paraId="6908B3C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iki 1900</w:t>
            </w:r>
          </w:p>
        </w:tc>
        <w:tc>
          <w:tcPr>
            <w:tcW w:w="415" w:type="pct"/>
            <w:tcBorders>
              <w:top w:val="nil"/>
              <w:left w:val="nil"/>
              <w:bottom w:val="single" w:sz="4" w:space="0" w:color="auto"/>
              <w:right w:val="nil"/>
            </w:tcBorders>
            <w:shd w:val="clear" w:color="000000" w:fill="FFFFFF"/>
            <w:vAlign w:val="center"/>
            <w:hideMark/>
          </w:tcPr>
          <w:p w14:paraId="0DE5F4C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1901-1960</w:t>
            </w:r>
          </w:p>
        </w:tc>
        <w:tc>
          <w:tcPr>
            <w:tcW w:w="415" w:type="pct"/>
            <w:tcBorders>
              <w:top w:val="nil"/>
              <w:left w:val="nil"/>
              <w:bottom w:val="single" w:sz="4" w:space="0" w:color="auto"/>
              <w:right w:val="nil"/>
            </w:tcBorders>
            <w:shd w:val="clear" w:color="000000" w:fill="FFFFFF"/>
            <w:vAlign w:val="center"/>
            <w:hideMark/>
          </w:tcPr>
          <w:p w14:paraId="49EBFFBC"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1961-1992</w:t>
            </w:r>
          </w:p>
        </w:tc>
        <w:tc>
          <w:tcPr>
            <w:tcW w:w="409" w:type="pct"/>
            <w:tcBorders>
              <w:top w:val="nil"/>
              <w:left w:val="nil"/>
              <w:bottom w:val="single" w:sz="4" w:space="0" w:color="auto"/>
              <w:right w:val="nil"/>
            </w:tcBorders>
            <w:shd w:val="clear" w:color="000000" w:fill="FFFFFF"/>
            <w:vAlign w:val="center"/>
            <w:hideMark/>
          </w:tcPr>
          <w:p w14:paraId="7DBEA4C9"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1993-2005</w:t>
            </w:r>
          </w:p>
        </w:tc>
        <w:tc>
          <w:tcPr>
            <w:tcW w:w="409" w:type="pct"/>
            <w:tcBorders>
              <w:top w:val="nil"/>
              <w:left w:val="nil"/>
              <w:bottom w:val="single" w:sz="4" w:space="0" w:color="auto"/>
              <w:right w:val="nil"/>
            </w:tcBorders>
            <w:shd w:val="clear" w:color="000000" w:fill="FFFFFF"/>
            <w:vAlign w:val="center"/>
            <w:hideMark/>
          </w:tcPr>
          <w:p w14:paraId="15C4BCE4"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2006-2013</w:t>
            </w:r>
          </w:p>
        </w:tc>
        <w:tc>
          <w:tcPr>
            <w:tcW w:w="409" w:type="pct"/>
            <w:tcBorders>
              <w:top w:val="nil"/>
              <w:left w:val="nil"/>
              <w:bottom w:val="single" w:sz="4" w:space="0" w:color="auto"/>
              <w:right w:val="nil"/>
            </w:tcBorders>
            <w:shd w:val="clear" w:color="000000" w:fill="FFFFFF"/>
            <w:vAlign w:val="center"/>
            <w:hideMark/>
          </w:tcPr>
          <w:p w14:paraId="378F32B2"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2014-2016</w:t>
            </w:r>
          </w:p>
        </w:tc>
        <w:tc>
          <w:tcPr>
            <w:tcW w:w="409" w:type="pct"/>
            <w:tcBorders>
              <w:top w:val="nil"/>
              <w:left w:val="nil"/>
              <w:bottom w:val="single" w:sz="4" w:space="0" w:color="auto"/>
              <w:right w:val="nil"/>
            </w:tcBorders>
            <w:shd w:val="clear" w:color="000000" w:fill="FFFFFF"/>
            <w:vAlign w:val="center"/>
            <w:hideMark/>
          </w:tcPr>
          <w:p w14:paraId="0B98B587"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2017-2018</w:t>
            </w:r>
          </w:p>
        </w:tc>
        <w:tc>
          <w:tcPr>
            <w:tcW w:w="409" w:type="pct"/>
            <w:tcBorders>
              <w:top w:val="nil"/>
              <w:left w:val="nil"/>
              <w:bottom w:val="single" w:sz="4" w:space="0" w:color="auto"/>
              <w:right w:val="single" w:sz="4" w:space="0" w:color="auto"/>
            </w:tcBorders>
            <w:shd w:val="clear" w:color="000000" w:fill="FFFFFF"/>
            <w:vAlign w:val="center"/>
            <w:hideMark/>
          </w:tcPr>
          <w:p w14:paraId="7C78ADDE"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2019</w:t>
            </w:r>
          </w:p>
        </w:tc>
        <w:tc>
          <w:tcPr>
            <w:tcW w:w="415" w:type="pct"/>
            <w:vMerge/>
            <w:tcBorders>
              <w:top w:val="single" w:sz="4" w:space="0" w:color="auto"/>
              <w:left w:val="single" w:sz="4" w:space="0" w:color="auto"/>
              <w:bottom w:val="single" w:sz="4" w:space="0" w:color="000000"/>
              <w:right w:val="single" w:sz="4" w:space="0" w:color="auto"/>
            </w:tcBorders>
            <w:vAlign w:val="center"/>
            <w:hideMark/>
          </w:tcPr>
          <w:p w14:paraId="3CB315D5" w14:textId="77777777" w:rsidR="006248AC" w:rsidRPr="00650EE4" w:rsidRDefault="006248AC" w:rsidP="006248AC">
            <w:pPr>
              <w:spacing w:line="240" w:lineRule="auto"/>
              <w:rPr>
                <w:rFonts w:ascii="Times New Roman" w:eastAsia="Times New Roman" w:hAnsi="Times New Roman"/>
                <w:b/>
                <w:bCs/>
                <w:sz w:val="20"/>
                <w:szCs w:val="20"/>
              </w:rPr>
            </w:pPr>
          </w:p>
        </w:tc>
        <w:tc>
          <w:tcPr>
            <w:tcW w:w="409" w:type="pct"/>
            <w:vMerge/>
            <w:tcBorders>
              <w:top w:val="single" w:sz="4" w:space="0" w:color="auto"/>
              <w:left w:val="single" w:sz="4" w:space="0" w:color="auto"/>
              <w:bottom w:val="single" w:sz="4" w:space="0" w:color="000000"/>
              <w:right w:val="single" w:sz="4" w:space="0" w:color="auto"/>
            </w:tcBorders>
            <w:vAlign w:val="center"/>
            <w:hideMark/>
          </w:tcPr>
          <w:p w14:paraId="3D5973B5" w14:textId="77777777" w:rsidR="006248AC" w:rsidRPr="00650EE4" w:rsidRDefault="006248AC" w:rsidP="006248AC">
            <w:pPr>
              <w:spacing w:line="240" w:lineRule="auto"/>
              <w:rPr>
                <w:rFonts w:ascii="Times New Roman" w:eastAsia="Times New Roman" w:hAnsi="Times New Roman"/>
                <w:sz w:val="20"/>
                <w:szCs w:val="20"/>
              </w:rPr>
            </w:pPr>
          </w:p>
        </w:tc>
      </w:tr>
      <w:tr w:rsidR="006248AC" w:rsidRPr="00650EE4" w14:paraId="4CA6671D" w14:textId="77777777" w:rsidTr="00307987">
        <w:tc>
          <w:tcPr>
            <w:tcW w:w="893" w:type="pct"/>
            <w:tcBorders>
              <w:top w:val="nil"/>
              <w:left w:val="single" w:sz="4" w:space="0" w:color="auto"/>
              <w:bottom w:val="single" w:sz="4" w:space="0" w:color="auto"/>
              <w:right w:val="single" w:sz="4" w:space="0" w:color="auto"/>
            </w:tcBorders>
            <w:shd w:val="clear" w:color="000000" w:fill="F2F2F2"/>
            <w:noWrap/>
            <w:vAlign w:val="center"/>
            <w:hideMark/>
          </w:tcPr>
          <w:p w14:paraId="66C79B29" w14:textId="77777777" w:rsidR="006248AC" w:rsidRPr="00650EE4" w:rsidRDefault="006248AC" w:rsidP="006248AC">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409" w:type="pct"/>
            <w:tcBorders>
              <w:top w:val="nil"/>
              <w:left w:val="nil"/>
              <w:bottom w:val="single" w:sz="4" w:space="0" w:color="auto"/>
              <w:right w:val="nil"/>
            </w:tcBorders>
            <w:shd w:val="clear" w:color="000000" w:fill="F2F2F2"/>
            <w:noWrap/>
            <w:vAlign w:val="center"/>
            <w:hideMark/>
          </w:tcPr>
          <w:p w14:paraId="12985F32"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13.417</w:t>
            </w:r>
          </w:p>
        </w:tc>
        <w:tc>
          <w:tcPr>
            <w:tcW w:w="415" w:type="pct"/>
            <w:tcBorders>
              <w:top w:val="nil"/>
              <w:left w:val="nil"/>
              <w:bottom w:val="single" w:sz="4" w:space="0" w:color="auto"/>
              <w:right w:val="nil"/>
            </w:tcBorders>
            <w:shd w:val="clear" w:color="000000" w:fill="F2F2F2"/>
            <w:noWrap/>
            <w:vAlign w:val="center"/>
            <w:hideMark/>
          </w:tcPr>
          <w:p w14:paraId="7A88B8D5"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204.189</w:t>
            </w:r>
          </w:p>
        </w:tc>
        <w:tc>
          <w:tcPr>
            <w:tcW w:w="415" w:type="pct"/>
            <w:tcBorders>
              <w:top w:val="nil"/>
              <w:left w:val="nil"/>
              <w:bottom w:val="single" w:sz="4" w:space="0" w:color="auto"/>
              <w:right w:val="nil"/>
            </w:tcBorders>
            <w:shd w:val="clear" w:color="000000" w:fill="F2F2F2"/>
            <w:noWrap/>
            <w:vAlign w:val="center"/>
            <w:hideMark/>
          </w:tcPr>
          <w:p w14:paraId="6A27C20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239.068</w:t>
            </w:r>
          </w:p>
        </w:tc>
        <w:tc>
          <w:tcPr>
            <w:tcW w:w="409" w:type="pct"/>
            <w:tcBorders>
              <w:top w:val="nil"/>
              <w:left w:val="nil"/>
              <w:bottom w:val="single" w:sz="4" w:space="0" w:color="auto"/>
              <w:right w:val="nil"/>
            </w:tcBorders>
            <w:shd w:val="clear" w:color="000000" w:fill="F2F2F2"/>
            <w:noWrap/>
            <w:vAlign w:val="center"/>
            <w:hideMark/>
          </w:tcPr>
          <w:p w14:paraId="124A9FAB"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28.955</w:t>
            </w:r>
          </w:p>
        </w:tc>
        <w:tc>
          <w:tcPr>
            <w:tcW w:w="409" w:type="pct"/>
            <w:tcBorders>
              <w:top w:val="nil"/>
              <w:left w:val="nil"/>
              <w:bottom w:val="single" w:sz="4" w:space="0" w:color="auto"/>
              <w:right w:val="nil"/>
            </w:tcBorders>
            <w:shd w:val="clear" w:color="000000" w:fill="F2F2F2"/>
            <w:noWrap/>
            <w:vAlign w:val="center"/>
            <w:hideMark/>
          </w:tcPr>
          <w:p w14:paraId="53DC2DE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35.272</w:t>
            </w:r>
          </w:p>
        </w:tc>
        <w:tc>
          <w:tcPr>
            <w:tcW w:w="409" w:type="pct"/>
            <w:tcBorders>
              <w:top w:val="nil"/>
              <w:left w:val="nil"/>
              <w:bottom w:val="single" w:sz="4" w:space="0" w:color="auto"/>
              <w:right w:val="nil"/>
            </w:tcBorders>
            <w:shd w:val="clear" w:color="000000" w:fill="F2F2F2"/>
            <w:noWrap/>
            <w:vAlign w:val="center"/>
            <w:hideMark/>
          </w:tcPr>
          <w:p w14:paraId="40D9B509"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22.001</w:t>
            </w:r>
          </w:p>
        </w:tc>
        <w:tc>
          <w:tcPr>
            <w:tcW w:w="409" w:type="pct"/>
            <w:tcBorders>
              <w:top w:val="nil"/>
              <w:left w:val="nil"/>
              <w:bottom w:val="single" w:sz="4" w:space="0" w:color="auto"/>
              <w:right w:val="nil"/>
            </w:tcBorders>
            <w:shd w:val="clear" w:color="000000" w:fill="F2F2F2"/>
            <w:noWrap/>
            <w:vAlign w:val="center"/>
            <w:hideMark/>
          </w:tcPr>
          <w:p w14:paraId="7B02E3FF"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17.773</w:t>
            </w:r>
          </w:p>
        </w:tc>
        <w:tc>
          <w:tcPr>
            <w:tcW w:w="409" w:type="pct"/>
            <w:tcBorders>
              <w:top w:val="nil"/>
              <w:left w:val="nil"/>
              <w:bottom w:val="single" w:sz="4" w:space="0" w:color="auto"/>
              <w:right w:val="single" w:sz="4" w:space="0" w:color="auto"/>
            </w:tcBorders>
            <w:shd w:val="clear" w:color="000000" w:fill="F2F2F2"/>
            <w:noWrap/>
            <w:vAlign w:val="center"/>
            <w:hideMark/>
          </w:tcPr>
          <w:p w14:paraId="38F1A3A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9.838</w:t>
            </w:r>
          </w:p>
        </w:tc>
        <w:tc>
          <w:tcPr>
            <w:tcW w:w="415" w:type="pct"/>
            <w:tcBorders>
              <w:top w:val="nil"/>
              <w:left w:val="nil"/>
              <w:bottom w:val="single" w:sz="4" w:space="0" w:color="auto"/>
              <w:right w:val="nil"/>
            </w:tcBorders>
            <w:shd w:val="clear" w:color="000000" w:fill="F2F2F2"/>
            <w:noWrap/>
            <w:vAlign w:val="center"/>
            <w:hideMark/>
          </w:tcPr>
          <w:p w14:paraId="291FF47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409" w:type="pct"/>
            <w:tcBorders>
              <w:top w:val="nil"/>
              <w:left w:val="single" w:sz="4" w:space="0" w:color="auto"/>
              <w:bottom w:val="single" w:sz="4" w:space="0" w:color="auto"/>
              <w:right w:val="single" w:sz="4" w:space="0" w:color="auto"/>
            </w:tcBorders>
            <w:shd w:val="clear" w:color="000000" w:fill="F2F2F2"/>
            <w:noWrap/>
            <w:vAlign w:val="center"/>
            <w:hideMark/>
          </w:tcPr>
          <w:p w14:paraId="49F1646C"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6248AC" w:rsidRPr="00650EE4" w14:paraId="1097DAC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26CEA23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09" w:type="pct"/>
            <w:tcBorders>
              <w:top w:val="nil"/>
              <w:left w:val="nil"/>
              <w:bottom w:val="nil"/>
              <w:right w:val="nil"/>
            </w:tcBorders>
            <w:shd w:val="clear" w:color="000000" w:fill="FFFFFF"/>
            <w:noWrap/>
            <w:vAlign w:val="center"/>
            <w:hideMark/>
          </w:tcPr>
          <w:p w14:paraId="603315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11.917</w:t>
            </w:r>
          </w:p>
        </w:tc>
        <w:tc>
          <w:tcPr>
            <w:tcW w:w="415" w:type="pct"/>
            <w:tcBorders>
              <w:top w:val="nil"/>
              <w:left w:val="nil"/>
              <w:bottom w:val="nil"/>
              <w:right w:val="nil"/>
            </w:tcBorders>
            <w:shd w:val="clear" w:color="000000" w:fill="FFFFFF"/>
            <w:noWrap/>
            <w:vAlign w:val="center"/>
            <w:hideMark/>
          </w:tcPr>
          <w:p w14:paraId="22BEE02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191.307</w:t>
            </w:r>
          </w:p>
        </w:tc>
        <w:tc>
          <w:tcPr>
            <w:tcW w:w="415" w:type="pct"/>
            <w:tcBorders>
              <w:top w:val="nil"/>
              <w:left w:val="nil"/>
              <w:bottom w:val="nil"/>
              <w:right w:val="nil"/>
            </w:tcBorders>
            <w:shd w:val="clear" w:color="000000" w:fill="FFFFFF"/>
            <w:noWrap/>
            <w:vAlign w:val="center"/>
            <w:hideMark/>
          </w:tcPr>
          <w:p w14:paraId="0FA9ABA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216.399</w:t>
            </w:r>
          </w:p>
        </w:tc>
        <w:tc>
          <w:tcPr>
            <w:tcW w:w="409" w:type="pct"/>
            <w:tcBorders>
              <w:top w:val="nil"/>
              <w:left w:val="nil"/>
              <w:bottom w:val="nil"/>
              <w:right w:val="nil"/>
            </w:tcBorders>
            <w:shd w:val="clear" w:color="000000" w:fill="FFFFFF"/>
            <w:noWrap/>
            <w:vAlign w:val="center"/>
            <w:hideMark/>
          </w:tcPr>
          <w:p w14:paraId="7B2B19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27.171</w:t>
            </w:r>
          </w:p>
        </w:tc>
        <w:tc>
          <w:tcPr>
            <w:tcW w:w="409" w:type="pct"/>
            <w:tcBorders>
              <w:top w:val="nil"/>
              <w:left w:val="nil"/>
              <w:bottom w:val="nil"/>
              <w:right w:val="nil"/>
            </w:tcBorders>
            <w:shd w:val="clear" w:color="000000" w:fill="FFFFFF"/>
            <w:noWrap/>
            <w:vAlign w:val="center"/>
            <w:hideMark/>
          </w:tcPr>
          <w:p w14:paraId="3F6D23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34.227</w:t>
            </w:r>
          </w:p>
        </w:tc>
        <w:tc>
          <w:tcPr>
            <w:tcW w:w="409" w:type="pct"/>
            <w:tcBorders>
              <w:top w:val="nil"/>
              <w:left w:val="nil"/>
              <w:bottom w:val="nil"/>
              <w:right w:val="nil"/>
            </w:tcBorders>
            <w:shd w:val="clear" w:color="000000" w:fill="FFFFFF"/>
            <w:noWrap/>
            <w:vAlign w:val="center"/>
            <w:hideMark/>
          </w:tcPr>
          <w:p w14:paraId="590330B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21.584</w:t>
            </w:r>
          </w:p>
        </w:tc>
        <w:tc>
          <w:tcPr>
            <w:tcW w:w="409" w:type="pct"/>
            <w:tcBorders>
              <w:top w:val="nil"/>
              <w:left w:val="nil"/>
              <w:bottom w:val="nil"/>
              <w:right w:val="nil"/>
            </w:tcBorders>
            <w:shd w:val="clear" w:color="000000" w:fill="FFFFFF"/>
            <w:noWrap/>
            <w:vAlign w:val="center"/>
            <w:hideMark/>
          </w:tcPr>
          <w:p w14:paraId="6A717E2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17.319</w:t>
            </w:r>
          </w:p>
        </w:tc>
        <w:tc>
          <w:tcPr>
            <w:tcW w:w="409" w:type="pct"/>
            <w:tcBorders>
              <w:top w:val="nil"/>
              <w:left w:val="nil"/>
              <w:bottom w:val="nil"/>
              <w:right w:val="single" w:sz="4" w:space="0" w:color="auto"/>
            </w:tcBorders>
            <w:shd w:val="clear" w:color="000000" w:fill="FFFFFF"/>
            <w:noWrap/>
            <w:vAlign w:val="center"/>
            <w:hideMark/>
          </w:tcPr>
          <w:p w14:paraId="1F01808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9.568</w:t>
            </w:r>
          </w:p>
        </w:tc>
        <w:tc>
          <w:tcPr>
            <w:tcW w:w="415" w:type="pct"/>
            <w:tcBorders>
              <w:top w:val="nil"/>
              <w:left w:val="nil"/>
              <w:bottom w:val="nil"/>
              <w:right w:val="nil"/>
            </w:tcBorders>
            <w:shd w:val="clear" w:color="000000" w:fill="FFFFFF"/>
            <w:noWrap/>
            <w:vAlign w:val="center"/>
            <w:hideMark/>
          </w:tcPr>
          <w:p w14:paraId="17AD67A8"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09" w:type="pct"/>
            <w:tcBorders>
              <w:top w:val="nil"/>
              <w:left w:val="single" w:sz="4" w:space="0" w:color="auto"/>
              <w:bottom w:val="nil"/>
              <w:right w:val="single" w:sz="4" w:space="0" w:color="auto"/>
            </w:tcBorders>
            <w:shd w:val="clear" w:color="000000" w:fill="FFFFFF"/>
            <w:noWrap/>
            <w:vAlign w:val="center"/>
            <w:hideMark/>
          </w:tcPr>
          <w:p w14:paraId="726E67F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6248AC" w:rsidRPr="00650EE4" w14:paraId="72A12B6E"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2CAFFE8C"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09" w:type="pct"/>
            <w:tcBorders>
              <w:top w:val="nil"/>
              <w:left w:val="nil"/>
              <w:bottom w:val="single" w:sz="4" w:space="0" w:color="auto"/>
              <w:right w:val="nil"/>
            </w:tcBorders>
            <w:shd w:val="clear" w:color="000000" w:fill="FFFFFF"/>
            <w:noWrap/>
            <w:vAlign w:val="center"/>
            <w:hideMark/>
          </w:tcPr>
          <w:p w14:paraId="76C511E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1.500</w:t>
            </w:r>
          </w:p>
        </w:tc>
        <w:tc>
          <w:tcPr>
            <w:tcW w:w="415" w:type="pct"/>
            <w:tcBorders>
              <w:top w:val="nil"/>
              <w:left w:val="nil"/>
              <w:bottom w:val="single" w:sz="4" w:space="0" w:color="auto"/>
              <w:right w:val="nil"/>
            </w:tcBorders>
            <w:shd w:val="clear" w:color="000000" w:fill="FFFFFF"/>
            <w:noWrap/>
            <w:vAlign w:val="center"/>
            <w:hideMark/>
          </w:tcPr>
          <w:p w14:paraId="014DC5D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12.882</w:t>
            </w:r>
          </w:p>
        </w:tc>
        <w:tc>
          <w:tcPr>
            <w:tcW w:w="415" w:type="pct"/>
            <w:tcBorders>
              <w:top w:val="nil"/>
              <w:left w:val="nil"/>
              <w:bottom w:val="single" w:sz="4" w:space="0" w:color="auto"/>
              <w:right w:val="nil"/>
            </w:tcBorders>
            <w:shd w:val="clear" w:color="000000" w:fill="FFFFFF"/>
            <w:noWrap/>
            <w:vAlign w:val="center"/>
            <w:hideMark/>
          </w:tcPr>
          <w:p w14:paraId="1FAB454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22.669</w:t>
            </w:r>
          </w:p>
        </w:tc>
        <w:tc>
          <w:tcPr>
            <w:tcW w:w="409" w:type="pct"/>
            <w:tcBorders>
              <w:top w:val="nil"/>
              <w:left w:val="nil"/>
              <w:bottom w:val="single" w:sz="4" w:space="0" w:color="auto"/>
              <w:right w:val="nil"/>
            </w:tcBorders>
            <w:shd w:val="clear" w:color="000000" w:fill="FFFFFF"/>
            <w:noWrap/>
            <w:vAlign w:val="center"/>
            <w:hideMark/>
          </w:tcPr>
          <w:p w14:paraId="088DD14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1.784</w:t>
            </w:r>
          </w:p>
        </w:tc>
        <w:tc>
          <w:tcPr>
            <w:tcW w:w="409" w:type="pct"/>
            <w:tcBorders>
              <w:top w:val="nil"/>
              <w:left w:val="nil"/>
              <w:bottom w:val="single" w:sz="4" w:space="0" w:color="auto"/>
              <w:right w:val="nil"/>
            </w:tcBorders>
            <w:shd w:val="clear" w:color="000000" w:fill="FFFFFF"/>
            <w:noWrap/>
            <w:vAlign w:val="center"/>
            <w:hideMark/>
          </w:tcPr>
          <w:p w14:paraId="43A127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1.045</w:t>
            </w:r>
          </w:p>
        </w:tc>
        <w:tc>
          <w:tcPr>
            <w:tcW w:w="409" w:type="pct"/>
            <w:tcBorders>
              <w:top w:val="nil"/>
              <w:left w:val="nil"/>
              <w:bottom w:val="single" w:sz="4" w:space="0" w:color="auto"/>
              <w:right w:val="nil"/>
            </w:tcBorders>
            <w:shd w:val="clear" w:color="000000" w:fill="FFFFFF"/>
            <w:noWrap/>
            <w:vAlign w:val="center"/>
            <w:hideMark/>
          </w:tcPr>
          <w:p w14:paraId="1864190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417</w:t>
            </w:r>
          </w:p>
        </w:tc>
        <w:tc>
          <w:tcPr>
            <w:tcW w:w="409" w:type="pct"/>
            <w:tcBorders>
              <w:top w:val="nil"/>
              <w:left w:val="nil"/>
              <w:bottom w:val="single" w:sz="4" w:space="0" w:color="auto"/>
              <w:right w:val="nil"/>
            </w:tcBorders>
            <w:shd w:val="clear" w:color="000000" w:fill="FFFFFF"/>
            <w:noWrap/>
            <w:vAlign w:val="center"/>
            <w:hideMark/>
          </w:tcPr>
          <w:p w14:paraId="5320973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454</w:t>
            </w:r>
          </w:p>
        </w:tc>
        <w:tc>
          <w:tcPr>
            <w:tcW w:w="409" w:type="pct"/>
            <w:tcBorders>
              <w:top w:val="nil"/>
              <w:left w:val="nil"/>
              <w:bottom w:val="single" w:sz="4" w:space="0" w:color="auto"/>
              <w:right w:val="single" w:sz="4" w:space="0" w:color="auto"/>
            </w:tcBorders>
            <w:shd w:val="clear" w:color="000000" w:fill="FFFFFF"/>
            <w:noWrap/>
            <w:vAlign w:val="center"/>
            <w:hideMark/>
          </w:tcPr>
          <w:p w14:paraId="24557D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270</w:t>
            </w:r>
          </w:p>
        </w:tc>
        <w:tc>
          <w:tcPr>
            <w:tcW w:w="415" w:type="pct"/>
            <w:tcBorders>
              <w:top w:val="nil"/>
              <w:left w:val="nil"/>
              <w:bottom w:val="nil"/>
              <w:right w:val="nil"/>
            </w:tcBorders>
            <w:shd w:val="clear" w:color="000000" w:fill="FFFFFF"/>
            <w:noWrap/>
            <w:vAlign w:val="center"/>
            <w:hideMark/>
          </w:tcPr>
          <w:p w14:paraId="7EB03F0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09" w:type="pct"/>
            <w:tcBorders>
              <w:top w:val="nil"/>
              <w:left w:val="single" w:sz="4" w:space="0" w:color="auto"/>
              <w:bottom w:val="single" w:sz="4" w:space="0" w:color="auto"/>
              <w:right w:val="single" w:sz="4" w:space="0" w:color="auto"/>
            </w:tcBorders>
            <w:shd w:val="clear" w:color="000000" w:fill="FFFFFF"/>
            <w:noWrap/>
            <w:vAlign w:val="center"/>
            <w:hideMark/>
          </w:tcPr>
          <w:p w14:paraId="4A6DD56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6248AC" w:rsidRPr="00650EE4" w14:paraId="769734F6" w14:textId="77777777" w:rsidTr="00307987">
        <w:tc>
          <w:tcPr>
            <w:tcW w:w="893" w:type="pct"/>
            <w:tcBorders>
              <w:top w:val="nil"/>
              <w:left w:val="single" w:sz="4" w:space="0" w:color="auto"/>
              <w:bottom w:val="single" w:sz="4" w:space="0" w:color="auto"/>
              <w:right w:val="single" w:sz="4" w:space="0" w:color="auto"/>
            </w:tcBorders>
            <w:shd w:val="clear" w:color="000000" w:fill="F2F2F2"/>
            <w:noWrap/>
            <w:vAlign w:val="center"/>
            <w:hideMark/>
          </w:tcPr>
          <w:p w14:paraId="2C0C18B1" w14:textId="77777777" w:rsidR="006248AC" w:rsidRPr="00650EE4" w:rsidRDefault="006248AC" w:rsidP="006248AC">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409" w:type="pct"/>
            <w:tcBorders>
              <w:top w:val="nil"/>
              <w:left w:val="nil"/>
              <w:bottom w:val="single" w:sz="4" w:space="0" w:color="auto"/>
              <w:right w:val="nil"/>
            </w:tcBorders>
            <w:shd w:val="clear" w:color="000000" w:fill="F2F2F2"/>
            <w:noWrap/>
            <w:vAlign w:val="center"/>
            <w:hideMark/>
          </w:tcPr>
          <w:p w14:paraId="671C1058"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1.390</w:t>
            </w:r>
          </w:p>
        </w:tc>
        <w:tc>
          <w:tcPr>
            <w:tcW w:w="415" w:type="pct"/>
            <w:tcBorders>
              <w:top w:val="nil"/>
              <w:left w:val="nil"/>
              <w:bottom w:val="single" w:sz="4" w:space="0" w:color="auto"/>
              <w:right w:val="nil"/>
            </w:tcBorders>
            <w:shd w:val="clear" w:color="000000" w:fill="F2F2F2"/>
            <w:noWrap/>
            <w:vAlign w:val="center"/>
            <w:hideMark/>
          </w:tcPr>
          <w:p w14:paraId="3AABFC33"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13.178</w:t>
            </w:r>
          </w:p>
        </w:tc>
        <w:tc>
          <w:tcPr>
            <w:tcW w:w="415" w:type="pct"/>
            <w:tcBorders>
              <w:top w:val="nil"/>
              <w:left w:val="nil"/>
              <w:bottom w:val="single" w:sz="4" w:space="0" w:color="auto"/>
              <w:right w:val="nil"/>
            </w:tcBorders>
            <w:shd w:val="clear" w:color="000000" w:fill="F2F2F2"/>
            <w:noWrap/>
            <w:vAlign w:val="center"/>
            <w:hideMark/>
          </w:tcPr>
          <w:p w14:paraId="72F71082"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57.783</w:t>
            </w:r>
          </w:p>
        </w:tc>
        <w:tc>
          <w:tcPr>
            <w:tcW w:w="409" w:type="pct"/>
            <w:tcBorders>
              <w:top w:val="nil"/>
              <w:left w:val="nil"/>
              <w:bottom w:val="single" w:sz="4" w:space="0" w:color="auto"/>
              <w:right w:val="nil"/>
            </w:tcBorders>
            <w:shd w:val="clear" w:color="000000" w:fill="F2F2F2"/>
            <w:noWrap/>
            <w:vAlign w:val="center"/>
            <w:hideMark/>
          </w:tcPr>
          <w:p w14:paraId="0B413F38"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8.930</w:t>
            </w:r>
          </w:p>
        </w:tc>
        <w:tc>
          <w:tcPr>
            <w:tcW w:w="409" w:type="pct"/>
            <w:tcBorders>
              <w:top w:val="nil"/>
              <w:left w:val="nil"/>
              <w:bottom w:val="single" w:sz="4" w:space="0" w:color="auto"/>
              <w:right w:val="nil"/>
            </w:tcBorders>
            <w:shd w:val="clear" w:color="000000" w:fill="F2F2F2"/>
            <w:noWrap/>
            <w:vAlign w:val="center"/>
            <w:hideMark/>
          </w:tcPr>
          <w:p w14:paraId="612301B6"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4.897</w:t>
            </w:r>
          </w:p>
        </w:tc>
        <w:tc>
          <w:tcPr>
            <w:tcW w:w="409" w:type="pct"/>
            <w:tcBorders>
              <w:top w:val="nil"/>
              <w:left w:val="nil"/>
              <w:bottom w:val="single" w:sz="4" w:space="0" w:color="auto"/>
              <w:right w:val="nil"/>
            </w:tcBorders>
            <w:shd w:val="clear" w:color="000000" w:fill="F2F2F2"/>
            <w:noWrap/>
            <w:vAlign w:val="center"/>
            <w:hideMark/>
          </w:tcPr>
          <w:p w14:paraId="17059011"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2.329</w:t>
            </w:r>
          </w:p>
        </w:tc>
        <w:tc>
          <w:tcPr>
            <w:tcW w:w="409" w:type="pct"/>
            <w:tcBorders>
              <w:top w:val="nil"/>
              <w:left w:val="nil"/>
              <w:bottom w:val="single" w:sz="4" w:space="0" w:color="auto"/>
              <w:right w:val="nil"/>
            </w:tcBorders>
            <w:shd w:val="clear" w:color="000000" w:fill="F2F2F2"/>
            <w:noWrap/>
            <w:vAlign w:val="center"/>
            <w:hideMark/>
          </w:tcPr>
          <w:p w14:paraId="4B7493B3"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1.603</w:t>
            </w:r>
          </w:p>
        </w:tc>
        <w:tc>
          <w:tcPr>
            <w:tcW w:w="409" w:type="pct"/>
            <w:tcBorders>
              <w:top w:val="nil"/>
              <w:left w:val="nil"/>
              <w:bottom w:val="single" w:sz="4" w:space="0" w:color="auto"/>
              <w:right w:val="nil"/>
            </w:tcBorders>
            <w:shd w:val="clear" w:color="000000" w:fill="F2F2F2"/>
            <w:noWrap/>
            <w:vAlign w:val="center"/>
            <w:hideMark/>
          </w:tcPr>
          <w:p w14:paraId="5253045B"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660</w:t>
            </w:r>
          </w:p>
        </w:tc>
        <w:tc>
          <w:tcPr>
            <w:tcW w:w="415"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DAF817"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409" w:type="pct"/>
            <w:tcBorders>
              <w:top w:val="nil"/>
              <w:left w:val="nil"/>
              <w:bottom w:val="single" w:sz="4" w:space="0" w:color="auto"/>
              <w:right w:val="single" w:sz="4" w:space="0" w:color="auto"/>
            </w:tcBorders>
            <w:shd w:val="clear" w:color="000000" w:fill="F2F2F2"/>
            <w:noWrap/>
            <w:vAlign w:val="center"/>
            <w:hideMark/>
          </w:tcPr>
          <w:p w14:paraId="4C6C6CD0"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6248AC" w:rsidRPr="00650EE4" w14:paraId="09533439"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21D7B38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09" w:type="pct"/>
            <w:tcBorders>
              <w:top w:val="nil"/>
              <w:left w:val="nil"/>
              <w:bottom w:val="nil"/>
              <w:right w:val="nil"/>
            </w:tcBorders>
            <w:shd w:val="clear" w:color="000000" w:fill="FFFFFF"/>
            <w:noWrap/>
            <w:vAlign w:val="center"/>
            <w:hideMark/>
          </w:tcPr>
          <w:p w14:paraId="6B1047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498</w:t>
            </w:r>
          </w:p>
        </w:tc>
        <w:tc>
          <w:tcPr>
            <w:tcW w:w="415" w:type="pct"/>
            <w:tcBorders>
              <w:top w:val="nil"/>
              <w:left w:val="nil"/>
              <w:bottom w:val="nil"/>
              <w:right w:val="nil"/>
            </w:tcBorders>
            <w:shd w:val="clear" w:color="000000" w:fill="FFFFFF"/>
            <w:noWrap/>
            <w:vAlign w:val="center"/>
            <w:hideMark/>
          </w:tcPr>
          <w:p w14:paraId="6AA2F8F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5.907</w:t>
            </w:r>
          </w:p>
        </w:tc>
        <w:tc>
          <w:tcPr>
            <w:tcW w:w="415" w:type="pct"/>
            <w:tcBorders>
              <w:top w:val="nil"/>
              <w:left w:val="nil"/>
              <w:bottom w:val="nil"/>
              <w:right w:val="nil"/>
            </w:tcBorders>
            <w:shd w:val="clear" w:color="000000" w:fill="FFFFFF"/>
            <w:noWrap/>
            <w:vAlign w:val="center"/>
            <w:hideMark/>
          </w:tcPr>
          <w:p w14:paraId="09357DB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34.521</w:t>
            </w:r>
          </w:p>
        </w:tc>
        <w:tc>
          <w:tcPr>
            <w:tcW w:w="409" w:type="pct"/>
            <w:tcBorders>
              <w:top w:val="nil"/>
              <w:left w:val="nil"/>
              <w:bottom w:val="nil"/>
              <w:right w:val="nil"/>
            </w:tcBorders>
            <w:shd w:val="clear" w:color="000000" w:fill="FFFFFF"/>
            <w:noWrap/>
            <w:vAlign w:val="center"/>
            <w:hideMark/>
          </w:tcPr>
          <w:p w14:paraId="642382A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4.101</w:t>
            </w:r>
          </w:p>
        </w:tc>
        <w:tc>
          <w:tcPr>
            <w:tcW w:w="409" w:type="pct"/>
            <w:tcBorders>
              <w:top w:val="nil"/>
              <w:left w:val="nil"/>
              <w:bottom w:val="nil"/>
              <w:right w:val="nil"/>
            </w:tcBorders>
            <w:shd w:val="clear" w:color="000000" w:fill="FFFFFF"/>
            <w:noWrap/>
            <w:vAlign w:val="center"/>
            <w:hideMark/>
          </w:tcPr>
          <w:p w14:paraId="4157557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2.064</w:t>
            </w:r>
          </w:p>
        </w:tc>
        <w:tc>
          <w:tcPr>
            <w:tcW w:w="409" w:type="pct"/>
            <w:tcBorders>
              <w:top w:val="nil"/>
              <w:left w:val="nil"/>
              <w:bottom w:val="nil"/>
              <w:right w:val="nil"/>
            </w:tcBorders>
            <w:shd w:val="clear" w:color="000000" w:fill="FFFFFF"/>
            <w:noWrap/>
            <w:vAlign w:val="center"/>
            <w:hideMark/>
          </w:tcPr>
          <w:p w14:paraId="4E75D30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904</w:t>
            </w:r>
          </w:p>
        </w:tc>
        <w:tc>
          <w:tcPr>
            <w:tcW w:w="409" w:type="pct"/>
            <w:tcBorders>
              <w:top w:val="nil"/>
              <w:left w:val="nil"/>
              <w:bottom w:val="nil"/>
              <w:right w:val="nil"/>
            </w:tcBorders>
            <w:shd w:val="clear" w:color="000000" w:fill="FFFFFF"/>
            <w:noWrap/>
            <w:vAlign w:val="center"/>
            <w:hideMark/>
          </w:tcPr>
          <w:p w14:paraId="192D7A8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612</w:t>
            </w:r>
          </w:p>
        </w:tc>
        <w:tc>
          <w:tcPr>
            <w:tcW w:w="409" w:type="pct"/>
            <w:tcBorders>
              <w:top w:val="nil"/>
              <w:left w:val="nil"/>
              <w:bottom w:val="nil"/>
              <w:right w:val="nil"/>
            </w:tcBorders>
            <w:shd w:val="clear" w:color="000000" w:fill="FFFFFF"/>
            <w:noWrap/>
            <w:vAlign w:val="center"/>
            <w:hideMark/>
          </w:tcPr>
          <w:p w14:paraId="00C15AD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415" w:type="pct"/>
            <w:tcBorders>
              <w:top w:val="nil"/>
              <w:left w:val="single" w:sz="4" w:space="0" w:color="auto"/>
              <w:bottom w:val="nil"/>
              <w:right w:val="single" w:sz="4" w:space="0" w:color="auto"/>
            </w:tcBorders>
            <w:shd w:val="clear" w:color="000000" w:fill="FFFFFF"/>
            <w:noWrap/>
            <w:vAlign w:val="center"/>
            <w:hideMark/>
          </w:tcPr>
          <w:p w14:paraId="14C7AC6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09" w:type="pct"/>
            <w:tcBorders>
              <w:top w:val="nil"/>
              <w:left w:val="nil"/>
              <w:bottom w:val="nil"/>
              <w:right w:val="single" w:sz="4" w:space="0" w:color="auto"/>
            </w:tcBorders>
            <w:shd w:val="clear" w:color="000000" w:fill="FFFFFF"/>
            <w:noWrap/>
            <w:vAlign w:val="center"/>
            <w:hideMark/>
          </w:tcPr>
          <w:p w14:paraId="4B2C9B6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6248AC" w:rsidRPr="00650EE4" w14:paraId="0C103D0E"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5807307E"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09" w:type="pct"/>
            <w:tcBorders>
              <w:top w:val="nil"/>
              <w:left w:val="nil"/>
              <w:bottom w:val="nil"/>
              <w:right w:val="nil"/>
            </w:tcBorders>
            <w:shd w:val="clear" w:color="000000" w:fill="FFFFFF"/>
            <w:noWrap/>
            <w:vAlign w:val="center"/>
            <w:hideMark/>
          </w:tcPr>
          <w:p w14:paraId="26DC3E0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225</w:t>
            </w:r>
          </w:p>
        </w:tc>
        <w:tc>
          <w:tcPr>
            <w:tcW w:w="415" w:type="pct"/>
            <w:tcBorders>
              <w:top w:val="nil"/>
              <w:left w:val="nil"/>
              <w:bottom w:val="nil"/>
              <w:right w:val="nil"/>
            </w:tcBorders>
            <w:shd w:val="clear" w:color="000000" w:fill="FFFFFF"/>
            <w:noWrap/>
            <w:vAlign w:val="center"/>
            <w:hideMark/>
          </w:tcPr>
          <w:p w14:paraId="6A4517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2.122</w:t>
            </w:r>
          </w:p>
        </w:tc>
        <w:tc>
          <w:tcPr>
            <w:tcW w:w="415" w:type="pct"/>
            <w:tcBorders>
              <w:top w:val="nil"/>
              <w:left w:val="nil"/>
              <w:bottom w:val="nil"/>
              <w:right w:val="nil"/>
            </w:tcBorders>
            <w:shd w:val="clear" w:color="000000" w:fill="FFFFFF"/>
            <w:noWrap/>
            <w:vAlign w:val="center"/>
            <w:hideMark/>
          </w:tcPr>
          <w:p w14:paraId="77B2753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6.345</w:t>
            </w:r>
          </w:p>
        </w:tc>
        <w:tc>
          <w:tcPr>
            <w:tcW w:w="409" w:type="pct"/>
            <w:tcBorders>
              <w:top w:val="nil"/>
              <w:left w:val="nil"/>
              <w:bottom w:val="nil"/>
              <w:right w:val="nil"/>
            </w:tcBorders>
            <w:shd w:val="clear" w:color="000000" w:fill="FFFFFF"/>
            <w:noWrap/>
            <w:vAlign w:val="center"/>
            <w:hideMark/>
          </w:tcPr>
          <w:p w14:paraId="1448CF8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955</w:t>
            </w:r>
          </w:p>
        </w:tc>
        <w:tc>
          <w:tcPr>
            <w:tcW w:w="409" w:type="pct"/>
            <w:tcBorders>
              <w:top w:val="nil"/>
              <w:left w:val="nil"/>
              <w:bottom w:val="nil"/>
              <w:right w:val="nil"/>
            </w:tcBorders>
            <w:shd w:val="clear" w:color="000000" w:fill="FFFFFF"/>
            <w:noWrap/>
            <w:vAlign w:val="center"/>
            <w:hideMark/>
          </w:tcPr>
          <w:p w14:paraId="484F09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396</w:t>
            </w:r>
          </w:p>
        </w:tc>
        <w:tc>
          <w:tcPr>
            <w:tcW w:w="409" w:type="pct"/>
            <w:tcBorders>
              <w:top w:val="nil"/>
              <w:left w:val="nil"/>
              <w:bottom w:val="nil"/>
              <w:right w:val="nil"/>
            </w:tcBorders>
            <w:shd w:val="clear" w:color="000000" w:fill="FFFFFF"/>
            <w:noWrap/>
            <w:vAlign w:val="center"/>
            <w:hideMark/>
          </w:tcPr>
          <w:p w14:paraId="1B37AC1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09" w:type="pct"/>
            <w:tcBorders>
              <w:top w:val="nil"/>
              <w:left w:val="nil"/>
              <w:bottom w:val="nil"/>
              <w:right w:val="nil"/>
            </w:tcBorders>
            <w:shd w:val="clear" w:color="000000" w:fill="FFFFFF"/>
            <w:noWrap/>
            <w:vAlign w:val="center"/>
            <w:hideMark/>
          </w:tcPr>
          <w:p w14:paraId="41D1545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09" w:type="pct"/>
            <w:tcBorders>
              <w:top w:val="nil"/>
              <w:left w:val="nil"/>
              <w:bottom w:val="nil"/>
              <w:right w:val="nil"/>
            </w:tcBorders>
            <w:shd w:val="clear" w:color="000000" w:fill="FFFFFF"/>
            <w:noWrap/>
            <w:vAlign w:val="center"/>
            <w:hideMark/>
          </w:tcPr>
          <w:p w14:paraId="169DFF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415" w:type="pct"/>
            <w:tcBorders>
              <w:top w:val="nil"/>
              <w:left w:val="single" w:sz="4" w:space="0" w:color="auto"/>
              <w:bottom w:val="nil"/>
              <w:right w:val="single" w:sz="4" w:space="0" w:color="auto"/>
            </w:tcBorders>
            <w:shd w:val="clear" w:color="000000" w:fill="FFFFFF"/>
            <w:noWrap/>
            <w:vAlign w:val="center"/>
            <w:hideMark/>
          </w:tcPr>
          <w:p w14:paraId="466A2B2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09" w:type="pct"/>
            <w:tcBorders>
              <w:top w:val="nil"/>
              <w:left w:val="nil"/>
              <w:bottom w:val="nil"/>
              <w:right w:val="single" w:sz="4" w:space="0" w:color="auto"/>
            </w:tcBorders>
            <w:shd w:val="clear" w:color="000000" w:fill="FFFFFF"/>
            <w:noWrap/>
            <w:vAlign w:val="center"/>
            <w:hideMark/>
          </w:tcPr>
          <w:p w14:paraId="7206DB1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6248AC" w:rsidRPr="00650EE4" w14:paraId="121A691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6602F60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09" w:type="pct"/>
            <w:tcBorders>
              <w:top w:val="nil"/>
              <w:left w:val="nil"/>
              <w:bottom w:val="nil"/>
              <w:right w:val="nil"/>
            </w:tcBorders>
            <w:shd w:val="clear" w:color="000000" w:fill="FFFFFF"/>
            <w:noWrap/>
            <w:vAlign w:val="center"/>
            <w:hideMark/>
          </w:tcPr>
          <w:p w14:paraId="1AA4A63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415" w:type="pct"/>
            <w:tcBorders>
              <w:top w:val="nil"/>
              <w:left w:val="nil"/>
              <w:bottom w:val="nil"/>
              <w:right w:val="nil"/>
            </w:tcBorders>
            <w:shd w:val="clear" w:color="000000" w:fill="FFFFFF"/>
            <w:noWrap/>
            <w:vAlign w:val="center"/>
            <w:hideMark/>
          </w:tcPr>
          <w:p w14:paraId="398926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1.044</w:t>
            </w:r>
          </w:p>
        </w:tc>
        <w:tc>
          <w:tcPr>
            <w:tcW w:w="415" w:type="pct"/>
            <w:tcBorders>
              <w:top w:val="nil"/>
              <w:left w:val="nil"/>
              <w:bottom w:val="nil"/>
              <w:right w:val="nil"/>
            </w:tcBorders>
            <w:shd w:val="clear" w:color="000000" w:fill="FFFFFF"/>
            <w:noWrap/>
            <w:vAlign w:val="center"/>
            <w:hideMark/>
          </w:tcPr>
          <w:p w14:paraId="5D8E68A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3.287</w:t>
            </w:r>
          </w:p>
        </w:tc>
        <w:tc>
          <w:tcPr>
            <w:tcW w:w="409" w:type="pct"/>
            <w:tcBorders>
              <w:top w:val="nil"/>
              <w:left w:val="nil"/>
              <w:bottom w:val="nil"/>
              <w:right w:val="nil"/>
            </w:tcBorders>
            <w:shd w:val="clear" w:color="000000" w:fill="FFFFFF"/>
            <w:noWrap/>
            <w:vAlign w:val="center"/>
            <w:hideMark/>
          </w:tcPr>
          <w:p w14:paraId="3B50C57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w:t>
            </w:r>
          </w:p>
        </w:tc>
        <w:tc>
          <w:tcPr>
            <w:tcW w:w="409" w:type="pct"/>
            <w:tcBorders>
              <w:top w:val="nil"/>
              <w:left w:val="nil"/>
              <w:bottom w:val="nil"/>
              <w:right w:val="nil"/>
            </w:tcBorders>
            <w:shd w:val="clear" w:color="000000" w:fill="FFFFFF"/>
            <w:noWrap/>
            <w:vAlign w:val="center"/>
            <w:hideMark/>
          </w:tcPr>
          <w:p w14:paraId="24B49C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409" w:type="pct"/>
            <w:tcBorders>
              <w:top w:val="nil"/>
              <w:left w:val="nil"/>
              <w:bottom w:val="nil"/>
              <w:right w:val="nil"/>
            </w:tcBorders>
            <w:shd w:val="clear" w:color="000000" w:fill="FFFFFF"/>
            <w:noWrap/>
            <w:vAlign w:val="center"/>
            <w:hideMark/>
          </w:tcPr>
          <w:p w14:paraId="3FEE84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c>
          <w:tcPr>
            <w:tcW w:w="409" w:type="pct"/>
            <w:tcBorders>
              <w:top w:val="nil"/>
              <w:left w:val="nil"/>
              <w:bottom w:val="nil"/>
              <w:right w:val="nil"/>
            </w:tcBorders>
            <w:shd w:val="clear" w:color="000000" w:fill="FFFFFF"/>
            <w:noWrap/>
            <w:vAlign w:val="center"/>
            <w:hideMark/>
          </w:tcPr>
          <w:p w14:paraId="3C53CF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09" w:type="pct"/>
            <w:tcBorders>
              <w:top w:val="nil"/>
              <w:left w:val="nil"/>
              <w:bottom w:val="nil"/>
              <w:right w:val="nil"/>
            </w:tcBorders>
            <w:shd w:val="clear" w:color="000000" w:fill="FFFFFF"/>
            <w:noWrap/>
            <w:vAlign w:val="center"/>
            <w:hideMark/>
          </w:tcPr>
          <w:p w14:paraId="765616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15" w:type="pct"/>
            <w:tcBorders>
              <w:top w:val="nil"/>
              <w:left w:val="single" w:sz="4" w:space="0" w:color="auto"/>
              <w:bottom w:val="nil"/>
              <w:right w:val="single" w:sz="4" w:space="0" w:color="auto"/>
            </w:tcBorders>
            <w:shd w:val="clear" w:color="000000" w:fill="FFFFFF"/>
            <w:noWrap/>
            <w:vAlign w:val="center"/>
            <w:hideMark/>
          </w:tcPr>
          <w:p w14:paraId="5FB486D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09" w:type="pct"/>
            <w:tcBorders>
              <w:top w:val="nil"/>
              <w:left w:val="nil"/>
              <w:bottom w:val="nil"/>
              <w:right w:val="single" w:sz="4" w:space="0" w:color="auto"/>
            </w:tcBorders>
            <w:shd w:val="clear" w:color="000000" w:fill="FFFFFF"/>
            <w:noWrap/>
            <w:vAlign w:val="center"/>
            <w:hideMark/>
          </w:tcPr>
          <w:p w14:paraId="2BA5C8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6248AC" w:rsidRPr="00650EE4" w14:paraId="6DB31008"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1A3D8EC4"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09" w:type="pct"/>
            <w:tcBorders>
              <w:top w:val="nil"/>
              <w:left w:val="nil"/>
              <w:bottom w:val="nil"/>
              <w:right w:val="nil"/>
            </w:tcBorders>
            <w:shd w:val="clear" w:color="000000" w:fill="FFFFFF"/>
            <w:noWrap/>
            <w:vAlign w:val="center"/>
            <w:hideMark/>
          </w:tcPr>
          <w:p w14:paraId="469AA3A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w:t>
            </w:r>
          </w:p>
        </w:tc>
        <w:tc>
          <w:tcPr>
            <w:tcW w:w="415" w:type="pct"/>
            <w:tcBorders>
              <w:top w:val="nil"/>
              <w:left w:val="nil"/>
              <w:bottom w:val="nil"/>
              <w:right w:val="nil"/>
            </w:tcBorders>
            <w:shd w:val="clear" w:color="000000" w:fill="FFFFFF"/>
            <w:noWrap/>
            <w:vAlign w:val="center"/>
            <w:hideMark/>
          </w:tcPr>
          <w:p w14:paraId="3585558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1.272</w:t>
            </w:r>
          </w:p>
        </w:tc>
        <w:tc>
          <w:tcPr>
            <w:tcW w:w="415" w:type="pct"/>
            <w:tcBorders>
              <w:top w:val="nil"/>
              <w:left w:val="nil"/>
              <w:bottom w:val="nil"/>
              <w:right w:val="nil"/>
            </w:tcBorders>
            <w:shd w:val="clear" w:color="000000" w:fill="FFFFFF"/>
            <w:noWrap/>
            <w:vAlign w:val="center"/>
            <w:hideMark/>
          </w:tcPr>
          <w:p w14:paraId="572FBCD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4.108</w:t>
            </w:r>
          </w:p>
        </w:tc>
        <w:tc>
          <w:tcPr>
            <w:tcW w:w="409" w:type="pct"/>
            <w:tcBorders>
              <w:top w:val="nil"/>
              <w:left w:val="nil"/>
              <w:bottom w:val="nil"/>
              <w:right w:val="nil"/>
            </w:tcBorders>
            <w:shd w:val="clear" w:color="000000" w:fill="FFFFFF"/>
            <w:noWrap/>
            <w:vAlign w:val="center"/>
            <w:hideMark/>
          </w:tcPr>
          <w:p w14:paraId="5D6B796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2.007</w:t>
            </w:r>
          </w:p>
        </w:tc>
        <w:tc>
          <w:tcPr>
            <w:tcW w:w="409" w:type="pct"/>
            <w:tcBorders>
              <w:top w:val="nil"/>
              <w:left w:val="nil"/>
              <w:bottom w:val="nil"/>
              <w:right w:val="nil"/>
            </w:tcBorders>
            <w:shd w:val="clear" w:color="000000" w:fill="FFFFFF"/>
            <w:noWrap/>
            <w:vAlign w:val="center"/>
            <w:hideMark/>
          </w:tcPr>
          <w:p w14:paraId="7F1DA90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650</w:t>
            </w:r>
          </w:p>
        </w:tc>
        <w:tc>
          <w:tcPr>
            <w:tcW w:w="409" w:type="pct"/>
            <w:tcBorders>
              <w:top w:val="nil"/>
              <w:left w:val="nil"/>
              <w:bottom w:val="nil"/>
              <w:right w:val="nil"/>
            </w:tcBorders>
            <w:shd w:val="clear" w:color="000000" w:fill="FFFFFF"/>
            <w:noWrap/>
            <w:vAlign w:val="center"/>
            <w:hideMark/>
          </w:tcPr>
          <w:p w14:paraId="2FEA635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303</w:t>
            </w:r>
          </w:p>
        </w:tc>
        <w:tc>
          <w:tcPr>
            <w:tcW w:w="409" w:type="pct"/>
            <w:tcBorders>
              <w:top w:val="nil"/>
              <w:left w:val="nil"/>
              <w:bottom w:val="nil"/>
              <w:right w:val="nil"/>
            </w:tcBorders>
            <w:shd w:val="clear" w:color="000000" w:fill="FFFFFF"/>
            <w:noWrap/>
            <w:vAlign w:val="center"/>
            <w:hideMark/>
          </w:tcPr>
          <w:p w14:paraId="4DF296F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w:t>
            </w:r>
          </w:p>
        </w:tc>
        <w:tc>
          <w:tcPr>
            <w:tcW w:w="409" w:type="pct"/>
            <w:tcBorders>
              <w:top w:val="nil"/>
              <w:left w:val="nil"/>
              <w:bottom w:val="nil"/>
              <w:right w:val="nil"/>
            </w:tcBorders>
            <w:shd w:val="clear" w:color="000000" w:fill="FFFFFF"/>
            <w:noWrap/>
            <w:vAlign w:val="center"/>
            <w:hideMark/>
          </w:tcPr>
          <w:p w14:paraId="6E9653B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w:t>
            </w:r>
          </w:p>
        </w:tc>
        <w:tc>
          <w:tcPr>
            <w:tcW w:w="415" w:type="pct"/>
            <w:tcBorders>
              <w:top w:val="nil"/>
              <w:left w:val="single" w:sz="4" w:space="0" w:color="auto"/>
              <w:bottom w:val="nil"/>
              <w:right w:val="single" w:sz="4" w:space="0" w:color="auto"/>
            </w:tcBorders>
            <w:shd w:val="clear" w:color="000000" w:fill="FFFFFF"/>
            <w:noWrap/>
            <w:vAlign w:val="center"/>
            <w:hideMark/>
          </w:tcPr>
          <w:p w14:paraId="1815EF4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09" w:type="pct"/>
            <w:tcBorders>
              <w:top w:val="nil"/>
              <w:left w:val="nil"/>
              <w:bottom w:val="nil"/>
              <w:right w:val="single" w:sz="4" w:space="0" w:color="auto"/>
            </w:tcBorders>
            <w:shd w:val="clear" w:color="000000" w:fill="FFFFFF"/>
            <w:noWrap/>
            <w:vAlign w:val="center"/>
            <w:hideMark/>
          </w:tcPr>
          <w:p w14:paraId="1C89CE1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6248AC" w:rsidRPr="00650EE4" w14:paraId="08D44FD2"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097AE30B"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09" w:type="pct"/>
            <w:tcBorders>
              <w:top w:val="nil"/>
              <w:left w:val="nil"/>
              <w:bottom w:val="nil"/>
              <w:right w:val="nil"/>
            </w:tcBorders>
            <w:shd w:val="clear" w:color="000000" w:fill="FFFFFF"/>
            <w:noWrap/>
            <w:vAlign w:val="center"/>
            <w:hideMark/>
          </w:tcPr>
          <w:p w14:paraId="4A64D24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415" w:type="pct"/>
            <w:tcBorders>
              <w:top w:val="nil"/>
              <w:left w:val="nil"/>
              <w:bottom w:val="nil"/>
              <w:right w:val="nil"/>
            </w:tcBorders>
            <w:shd w:val="clear" w:color="000000" w:fill="FFFFFF"/>
            <w:noWrap/>
            <w:vAlign w:val="center"/>
            <w:hideMark/>
          </w:tcPr>
          <w:p w14:paraId="18E380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542</w:t>
            </w:r>
          </w:p>
        </w:tc>
        <w:tc>
          <w:tcPr>
            <w:tcW w:w="415" w:type="pct"/>
            <w:tcBorders>
              <w:top w:val="nil"/>
              <w:left w:val="nil"/>
              <w:bottom w:val="nil"/>
              <w:right w:val="nil"/>
            </w:tcBorders>
            <w:shd w:val="clear" w:color="000000" w:fill="FFFFFF"/>
            <w:noWrap/>
            <w:vAlign w:val="center"/>
            <w:hideMark/>
          </w:tcPr>
          <w:p w14:paraId="6AC67E4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1.023</w:t>
            </w:r>
          </w:p>
        </w:tc>
        <w:tc>
          <w:tcPr>
            <w:tcW w:w="409" w:type="pct"/>
            <w:tcBorders>
              <w:top w:val="nil"/>
              <w:left w:val="nil"/>
              <w:bottom w:val="nil"/>
              <w:right w:val="nil"/>
            </w:tcBorders>
            <w:shd w:val="clear" w:color="000000" w:fill="FFFFFF"/>
            <w:noWrap/>
            <w:vAlign w:val="center"/>
            <w:hideMark/>
          </w:tcPr>
          <w:p w14:paraId="5BE65AD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09" w:type="pct"/>
            <w:tcBorders>
              <w:top w:val="nil"/>
              <w:left w:val="nil"/>
              <w:bottom w:val="nil"/>
              <w:right w:val="nil"/>
            </w:tcBorders>
            <w:shd w:val="clear" w:color="000000" w:fill="FFFFFF"/>
            <w:noWrap/>
            <w:vAlign w:val="center"/>
            <w:hideMark/>
          </w:tcPr>
          <w:p w14:paraId="2F37615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09" w:type="pct"/>
            <w:tcBorders>
              <w:top w:val="nil"/>
              <w:left w:val="nil"/>
              <w:bottom w:val="nil"/>
              <w:right w:val="nil"/>
            </w:tcBorders>
            <w:shd w:val="clear" w:color="000000" w:fill="FFFFFF"/>
            <w:noWrap/>
            <w:vAlign w:val="center"/>
            <w:hideMark/>
          </w:tcPr>
          <w:p w14:paraId="7A9E16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09" w:type="pct"/>
            <w:tcBorders>
              <w:top w:val="nil"/>
              <w:left w:val="nil"/>
              <w:bottom w:val="nil"/>
              <w:right w:val="nil"/>
            </w:tcBorders>
            <w:shd w:val="clear" w:color="000000" w:fill="FFFFFF"/>
            <w:noWrap/>
            <w:vAlign w:val="center"/>
            <w:hideMark/>
          </w:tcPr>
          <w:p w14:paraId="1DDCB7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09" w:type="pct"/>
            <w:tcBorders>
              <w:top w:val="nil"/>
              <w:left w:val="nil"/>
              <w:bottom w:val="nil"/>
              <w:right w:val="nil"/>
            </w:tcBorders>
            <w:shd w:val="clear" w:color="000000" w:fill="FFFFFF"/>
            <w:noWrap/>
            <w:vAlign w:val="center"/>
            <w:hideMark/>
          </w:tcPr>
          <w:p w14:paraId="3782D49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15" w:type="pct"/>
            <w:tcBorders>
              <w:top w:val="nil"/>
              <w:left w:val="single" w:sz="4" w:space="0" w:color="auto"/>
              <w:bottom w:val="nil"/>
              <w:right w:val="single" w:sz="4" w:space="0" w:color="auto"/>
            </w:tcBorders>
            <w:shd w:val="clear" w:color="000000" w:fill="FFFFFF"/>
            <w:noWrap/>
            <w:vAlign w:val="center"/>
            <w:hideMark/>
          </w:tcPr>
          <w:p w14:paraId="3121638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09" w:type="pct"/>
            <w:tcBorders>
              <w:top w:val="nil"/>
              <w:left w:val="nil"/>
              <w:bottom w:val="nil"/>
              <w:right w:val="single" w:sz="4" w:space="0" w:color="auto"/>
            </w:tcBorders>
            <w:shd w:val="clear" w:color="000000" w:fill="FFFFFF"/>
            <w:noWrap/>
            <w:vAlign w:val="center"/>
            <w:hideMark/>
          </w:tcPr>
          <w:p w14:paraId="68F48D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0,28%</w:t>
            </w:r>
          </w:p>
        </w:tc>
      </w:tr>
      <w:tr w:rsidR="006248AC" w:rsidRPr="00650EE4" w14:paraId="419F260C"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5406D6D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409" w:type="pct"/>
            <w:tcBorders>
              <w:top w:val="nil"/>
              <w:left w:val="nil"/>
              <w:bottom w:val="nil"/>
              <w:right w:val="nil"/>
            </w:tcBorders>
            <w:shd w:val="clear" w:color="000000" w:fill="FFFFFF"/>
            <w:noWrap/>
            <w:vAlign w:val="center"/>
            <w:hideMark/>
          </w:tcPr>
          <w:p w14:paraId="256C249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415" w:type="pct"/>
            <w:tcBorders>
              <w:top w:val="nil"/>
              <w:left w:val="nil"/>
              <w:bottom w:val="nil"/>
              <w:right w:val="nil"/>
            </w:tcBorders>
            <w:shd w:val="clear" w:color="000000" w:fill="FFFFFF"/>
            <w:noWrap/>
            <w:vAlign w:val="center"/>
            <w:hideMark/>
          </w:tcPr>
          <w:p w14:paraId="40C4505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458</w:t>
            </w:r>
          </w:p>
        </w:tc>
        <w:tc>
          <w:tcPr>
            <w:tcW w:w="415" w:type="pct"/>
            <w:tcBorders>
              <w:top w:val="nil"/>
              <w:left w:val="nil"/>
              <w:bottom w:val="nil"/>
              <w:right w:val="nil"/>
            </w:tcBorders>
            <w:shd w:val="clear" w:color="000000" w:fill="FFFFFF"/>
            <w:noWrap/>
            <w:vAlign w:val="center"/>
            <w:hideMark/>
          </w:tcPr>
          <w:p w14:paraId="464B7FE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3.462</w:t>
            </w:r>
          </w:p>
        </w:tc>
        <w:tc>
          <w:tcPr>
            <w:tcW w:w="409" w:type="pct"/>
            <w:tcBorders>
              <w:top w:val="nil"/>
              <w:left w:val="nil"/>
              <w:bottom w:val="nil"/>
              <w:right w:val="nil"/>
            </w:tcBorders>
            <w:shd w:val="clear" w:color="000000" w:fill="FFFFFF"/>
            <w:noWrap/>
            <w:vAlign w:val="center"/>
            <w:hideMark/>
          </w:tcPr>
          <w:p w14:paraId="5977DB9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610</w:t>
            </w:r>
          </w:p>
        </w:tc>
        <w:tc>
          <w:tcPr>
            <w:tcW w:w="409" w:type="pct"/>
            <w:tcBorders>
              <w:top w:val="nil"/>
              <w:left w:val="nil"/>
              <w:bottom w:val="nil"/>
              <w:right w:val="nil"/>
            </w:tcBorders>
            <w:shd w:val="clear" w:color="000000" w:fill="FFFFFF"/>
            <w:noWrap/>
            <w:vAlign w:val="center"/>
            <w:hideMark/>
          </w:tcPr>
          <w:p w14:paraId="66306C5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1.076</w:t>
            </w:r>
          </w:p>
        </w:tc>
        <w:tc>
          <w:tcPr>
            <w:tcW w:w="409" w:type="pct"/>
            <w:tcBorders>
              <w:top w:val="nil"/>
              <w:left w:val="nil"/>
              <w:bottom w:val="nil"/>
              <w:right w:val="nil"/>
            </w:tcBorders>
            <w:shd w:val="clear" w:color="000000" w:fill="FFFFFF"/>
            <w:noWrap/>
            <w:vAlign w:val="center"/>
            <w:hideMark/>
          </w:tcPr>
          <w:p w14:paraId="6ABA790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591</w:t>
            </w:r>
          </w:p>
        </w:tc>
        <w:tc>
          <w:tcPr>
            <w:tcW w:w="409" w:type="pct"/>
            <w:tcBorders>
              <w:top w:val="nil"/>
              <w:left w:val="nil"/>
              <w:bottom w:val="nil"/>
              <w:right w:val="nil"/>
            </w:tcBorders>
            <w:shd w:val="clear" w:color="000000" w:fill="FFFFFF"/>
            <w:noWrap/>
            <w:vAlign w:val="center"/>
            <w:hideMark/>
          </w:tcPr>
          <w:p w14:paraId="0EC155A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w:t>
            </w:r>
          </w:p>
        </w:tc>
        <w:tc>
          <w:tcPr>
            <w:tcW w:w="409" w:type="pct"/>
            <w:tcBorders>
              <w:top w:val="nil"/>
              <w:left w:val="nil"/>
              <w:bottom w:val="nil"/>
              <w:right w:val="nil"/>
            </w:tcBorders>
            <w:shd w:val="clear" w:color="000000" w:fill="FFFFFF"/>
            <w:noWrap/>
            <w:vAlign w:val="center"/>
            <w:hideMark/>
          </w:tcPr>
          <w:p w14:paraId="29FF171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247</w:t>
            </w:r>
          </w:p>
        </w:tc>
        <w:tc>
          <w:tcPr>
            <w:tcW w:w="415" w:type="pct"/>
            <w:tcBorders>
              <w:top w:val="nil"/>
              <w:left w:val="single" w:sz="4" w:space="0" w:color="auto"/>
              <w:bottom w:val="nil"/>
              <w:right w:val="single" w:sz="4" w:space="0" w:color="auto"/>
            </w:tcBorders>
            <w:shd w:val="clear" w:color="000000" w:fill="FFFFFF"/>
            <w:noWrap/>
            <w:vAlign w:val="center"/>
            <w:hideMark/>
          </w:tcPr>
          <w:p w14:paraId="3A26CFFC"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09" w:type="pct"/>
            <w:tcBorders>
              <w:top w:val="nil"/>
              <w:left w:val="nil"/>
              <w:bottom w:val="nil"/>
              <w:right w:val="single" w:sz="4" w:space="0" w:color="auto"/>
            </w:tcBorders>
            <w:shd w:val="clear" w:color="000000" w:fill="FFFFFF"/>
            <w:noWrap/>
            <w:vAlign w:val="center"/>
            <w:hideMark/>
          </w:tcPr>
          <w:p w14:paraId="7E05DA9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r>
      <w:tr w:rsidR="006248AC" w:rsidRPr="00650EE4" w14:paraId="6499AFE8"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118382E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409" w:type="pct"/>
            <w:tcBorders>
              <w:top w:val="nil"/>
              <w:left w:val="nil"/>
              <w:bottom w:val="nil"/>
              <w:right w:val="nil"/>
            </w:tcBorders>
            <w:shd w:val="clear" w:color="000000" w:fill="FFFFFF"/>
            <w:noWrap/>
            <w:vAlign w:val="center"/>
            <w:hideMark/>
          </w:tcPr>
          <w:p w14:paraId="7D4100D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w:t>
            </w:r>
          </w:p>
        </w:tc>
        <w:tc>
          <w:tcPr>
            <w:tcW w:w="415" w:type="pct"/>
            <w:tcBorders>
              <w:top w:val="nil"/>
              <w:left w:val="nil"/>
              <w:bottom w:val="nil"/>
              <w:right w:val="nil"/>
            </w:tcBorders>
            <w:shd w:val="clear" w:color="000000" w:fill="FFFFFF"/>
            <w:noWrap/>
            <w:vAlign w:val="center"/>
            <w:hideMark/>
          </w:tcPr>
          <w:p w14:paraId="41CA827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753</w:t>
            </w:r>
          </w:p>
        </w:tc>
        <w:tc>
          <w:tcPr>
            <w:tcW w:w="415" w:type="pct"/>
            <w:tcBorders>
              <w:top w:val="nil"/>
              <w:left w:val="nil"/>
              <w:bottom w:val="nil"/>
              <w:right w:val="nil"/>
            </w:tcBorders>
            <w:shd w:val="clear" w:color="000000" w:fill="FFFFFF"/>
            <w:noWrap/>
            <w:vAlign w:val="center"/>
            <w:hideMark/>
          </w:tcPr>
          <w:p w14:paraId="10FCC06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1.199</w:t>
            </w:r>
          </w:p>
        </w:tc>
        <w:tc>
          <w:tcPr>
            <w:tcW w:w="409" w:type="pct"/>
            <w:tcBorders>
              <w:top w:val="nil"/>
              <w:left w:val="nil"/>
              <w:bottom w:val="nil"/>
              <w:right w:val="nil"/>
            </w:tcBorders>
            <w:shd w:val="clear" w:color="000000" w:fill="FFFFFF"/>
            <w:noWrap/>
            <w:vAlign w:val="center"/>
            <w:hideMark/>
          </w:tcPr>
          <w:p w14:paraId="4B6E75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c>
          <w:tcPr>
            <w:tcW w:w="409" w:type="pct"/>
            <w:tcBorders>
              <w:top w:val="nil"/>
              <w:left w:val="nil"/>
              <w:bottom w:val="nil"/>
              <w:right w:val="nil"/>
            </w:tcBorders>
            <w:shd w:val="clear" w:color="000000" w:fill="FFFFFF"/>
            <w:noWrap/>
            <w:vAlign w:val="center"/>
            <w:hideMark/>
          </w:tcPr>
          <w:p w14:paraId="679F9F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09" w:type="pct"/>
            <w:tcBorders>
              <w:top w:val="nil"/>
              <w:left w:val="nil"/>
              <w:bottom w:val="nil"/>
              <w:right w:val="nil"/>
            </w:tcBorders>
            <w:shd w:val="clear" w:color="000000" w:fill="FFFFFF"/>
            <w:noWrap/>
            <w:vAlign w:val="center"/>
            <w:hideMark/>
          </w:tcPr>
          <w:p w14:paraId="71C13FB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09" w:type="pct"/>
            <w:tcBorders>
              <w:top w:val="nil"/>
              <w:left w:val="nil"/>
              <w:bottom w:val="nil"/>
              <w:right w:val="nil"/>
            </w:tcBorders>
            <w:shd w:val="clear" w:color="000000" w:fill="FFFFFF"/>
            <w:noWrap/>
            <w:vAlign w:val="center"/>
            <w:hideMark/>
          </w:tcPr>
          <w:p w14:paraId="1DB5AE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09" w:type="pct"/>
            <w:tcBorders>
              <w:top w:val="nil"/>
              <w:left w:val="nil"/>
              <w:bottom w:val="nil"/>
              <w:right w:val="nil"/>
            </w:tcBorders>
            <w:shd w:val="clear" w:color="000000" w:fill="FFFFFF"/>
            <w:noWrap/>
            <w:vAlign w:val="center"/>
            <w:hideMark/>
          </w:tcPr>
          <w:p w14:paraId="5E0313D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5" w:type="pct"/>
            <w:tcBorders>
              <w:top w:val="nil"/>
              <w:left w:val="single" w:sz="4" w:space="0" w:color="auto"/>
              <w:bottom w:val="nil"/>
              <w:right w:val="single" w:sz="4" w:space="0" w:color="auto"/>
            </w:tcBorders>
            <w:shd w:val="clear" w:color="000000" w:fill="FFFFFF"/>
            <w:noWrap/>
            <w:vAlign w:val="center"/>
            <w:hideMark/>
          </w:tcPr>
          <w:p w14:paraId="371D86C9"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09" w:type="pct"/>
            <w:tcBorders>
              <w:top w:val="nil"/>
              <w:left w:val="nil"/>
              <w:bottom w:val="nil"/>
              <w:right w:val="single" w:sz="4" w:space="0" w:color="auto"/>
            </w:tcBorders>
            <w:shd w:val="clear" w:color="000000" w:fill="FFFFFF"/>
            <w:noWrap/>
            <w:vAlign w:val="center"/>
            <w:hideMark/>
          </w:tcPr>
          <w:p w14:paraId="02C898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0,35%</w:t>
            </w:r>
          </w:p>
        </w:tc>
      </w:tr>
      <w:tr w:rsidR="006248AC" w:rsidRPr="00650EE4" w14:paraId="28665D1B" w14:textId="77777777" w:rsidTr="00307987">
        <w:tc>
          <w:tcPr>
            <w:tcW w:w="893" w:type="pct"/>
            <w:tcBorders>
              <w:top w:val="nil"/>
              <w:left w:val="single" w:sz="4" w:space="0" w:color="auto"/>
              <w:bottom w:val="nil"/>
              <w:right w:val="single" w:sz="4" w:space="0" w:color="auto"/>
            </w:tcBorders>
            <w:shd w:val="clear" w:color="000000" w:fill="FFFFFF"/>
            <w:noWrap/>
            <w:vAlign w:val="center"/>
            <w:hideMark/>
          </w:tcPr>
          <w:p w14:paraId="76FE382A"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09" w:type="pct"/>
            <w:tcBorders>
              <w:top w:val="nil"/>
              <w:left w:val="nil"/>
              <w:bottom w:val="nil"/>
              <w:right w:val="nil"/>
            </w:tcBorders>
            <w:shd w:val="clear" w:color="000000" w:fill="FFFFFF"/>
            <w:noWrap/>
            <w:vAlign w:val="center"/>
            <w:hideMark/>
          </w:tcPr>
          <w:p w14:paraId="11BD8EC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415" w:type="pct"/>
            <w:tcBorders>
              <w:top w:val="nil"/>
              <w:left w:val="nil"/>
              <w:bottom w:val="nil"/>
              <w:right w:val="nil"/>
            </w:tcBorders>
            <w:shd w:val="clear" w:color="000000" w:fill="FFFFFF"/>
            <w:noWrap/>
            <w:vAlign w:val="center"/>
            <w:hideMark/>
          </w:tcPr>
          <w:p w14:paraId="301B5B4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717</w:t>
            </w:r>
          </w:p>
        </w:tc>
        <w:tc>
          <w:tcPr>
            <w:tcW w:w="415" w:type="pct"/>
            <w:tcBorders>
              <w:top w:val="nil"/>
              <w:left w:val="nil"/>
              <w:bottom w:val="nil"/>
              <w:right w:val="nil"/>
            </w:tcBorders>
            <w:shd w:val="clear" w:color="000000" w:fill="FFFFFF"/>
            <w:noWrap/>
            <w:vAlign w:val="center"/>
            <w:hideMark/>
          </w:tcPr>
          <w:p w14:paraId="248AB89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2.802</w:t>
            </w:r>
          </w:p>
        </w:tc>
        <w:tc>
          <w:tcPr>
            <w:tcW w:w="409" w:type="pct"/>
            <w:tcBorders>
              <w:top w:val="nil"/>
              <w:left w:val="nil"/>
              <w:bottom w:val="nil"/>
              <w:right w:val="nil"/>
            </w:tcBorders>
            <w:shd w:val="clear" w:color="000000" w:fill="FFFFFF"/>
            <w:noWrap/>
            <w:vAlign w:val="center"/>
            <w:hideMark/>
          </w:tcPr>
          <w:p w14:paraId="78D78ED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653</w:t>
            </w:r>
          </w:p>
        </w:tc>
        <w:tc>
          <w:tcPr>
            <w:tcW w:w="409" w:type="pct"/>
            <w:tcBorders>
              <w:top w:val="nil"/>
              <w:left w:val="nil"/>
              <w:bottom w:val="nil"/>
              <w:right w:val="nil"/>
            </w:tcBorders>
            <w:shd w:val="clear" w:color="000000" w:fill="FFFFFF"/>
            <w:noWrap/>
            <w:vAlign w:val="center"/>
            <w:hideMark/>
          </w:tcPr>
          <w:p w14:paraId="008F5A6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409" w:type="pct"/>
            <w:tcBorders>
              <w:top w:val="nil"/>
              <w:left w:val="nil"/>
              <w:bottom w:val="nil"/>
              <w:right w:val="nil"/>
            </w:tcBorders>
            <w:shd w:val="clear" w:color="000000" w:fill="FFFFFF"/>
            <w:noWrap/>
            <w:vAlign w:val="center"/>
            <w:hideMark/>
          </w:tcPr>
          <w:p w14:paraId="168BA67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216</w:t>
            </w:r>
          </w:p>
        </w:tc>
        <w:tc>
          <w:tcPr>
            <w:tcW w:w="409" w:type="pct"/>
            <w:tcBorders>
              <w:top w:val="nil"/>
              <w:left w:val="nil"/>
              <w:bottom w:val="nil"/>
              <w:right w:val="nil"/>
            </w:tcBorders>
            <w:shd w:val="clear" w:color="000000" w:fill="FFFFFF"/>
            <w:noWrap/>
            <w:vAlign w:val="center"/>
            <w:hideMark/>
          </w:tcPr>
          <w:p w14:paraId="067CF70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09" w:type="pct"/>
            <w:tcBorders>
              <w:top w:val="nil"/>
              <w:left w:val="nil"/>
              <w:bottom w:val="nil"/>
              <w:right w:val="nil"/>
            </w:tcBorders>
            <w:shd w:val="clear" w:color="000000" w:fill="FFFFFF"/>
            <w:noWrap/>
            <w:vAlign w:val="center"/>
            <w:hideMark/>
          </w:tcPr>
          <w:p w14:paraId="031E5CF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w:t>
            </w:r>
          </w:p>
        </w:tc>
        <w:tc>
          <w:tcPr>
            <w:tcW w:w="415" w:type="pct"/>
            <w:tcBorders>
              <w:top w:val="nil"/>
              <w:left w:val="single" w:sz="4" w:space="0" w:color="auto"/>
              <w:bottom w:val="nil"/>
              <w:right w:val="single" w:sz="4" w:space="0" w:color="auto"/>
            </w:tcBorders>
            <w:shd w:val="clear" w:color="000000" w:fill="FFFFFF"/>
            <w:noWrap/>
            <w:vAlign w:val="center"/>
            <w:hideMark/>
          </w:tcPr>
          <w:p w14:paraId="3EE14A8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09" w:type="pct"/>
            <w:tcBorders>
              <w:top w:val="nil"/>
              <w:left w:val="nil"/>
              <w:bottom w:val="nil"/>
              <w:right w:val="single" w:sz="4" w:space="0" w:color="auto"/>
            </w:tcBorders>
            <w:shd w:val="clear" w:color="000000" w:fill="FFFFFF"/>
            <w:noWrap/>
            <w:vAlign w:val="center"/>
            <w:hideMark/>
          </w:tcPr>
          <w:p w14:paraId="63F4261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0,77%</w:t>
            </w:r>
          </w:p>
        </w:tc>
      </w:tr>
      <w:tr w:rsidR="006248AC" w:rsidRPr="00650EE4" w14:paraId="3753571A"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7A0EAE5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09" w:type="pct"/>
            <w:tcBorders>
              <w:top w:val="nil"/>
              <w:left w:val="nil"/>
              <w:bottom w:val="nil"/>
              <w:right w:val="nil"/>
            </w:tcBorders>
            <w:shd w:val="clear" w:color="000000" w:fill="FFFFFF"/>
            <w:noWrap/>
            <w:vAlign w:val="center"/>
            <w:hideMark/>
          </w:tcPr>
          <w:p w14:paraId="2043687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w:t>
            </w:r>
          </w:p>
        </w:tc>
        <w:tc>
          <w:tcPr>
            <w:tcW w:w="415" w:type="pct"/>
            <w:tcBorders>
              <w:top w:val="nil"/>
              <w:left w:val="nil"/>
              <w:bottom w:val="nil"/>
              <w:right w:val="nil"/>
            </w:tcBorders>
            <w:shd w:val="clear" w:color="000000" w:fill="FFFFFF"/>
            <w:noWrap/>
            <w:vAlign w:val="center"/>
            <w:hideMark/>
          </w:tcPr>
          <w:p w14:paraId="550C93C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363</w:t>
            </w:r>
          </w:p>
        </w:tc>
        <w:tc>
          <w:tcPr>
            <w:tcW w:w="415" w:type="pct"/>
            <w:tcBorders>
              <w:top w:val="nil"/>
              <w:left w:val="nil"/>
              <w:bottom w:val="nil"/>
              <w:right w:val="nil"/>
            </w:tcBorders>
            <w:shd w:val="clear" w:color="000000" w:fill="FFFFFF"/>
            <w:noWrap/>
            <w:vAlign w:val="center"/>
            <w:hideMark/>
          </w:tcPr>
          <w:p w14:paraId="5E8ED3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1.036</w:t>
            </w:r>
          </w:p>
        </w:tc>
        <w:tc>
          <w:tcPr>
            <w:tcW w:w="409" w:type="pct"/>
            <w:tcBorders>
              <w:top w:val="nil"/>
              <w:left w:val="nil"/>
              <w:bottom w:val="nil"/>
              <w:right w:val="nil"/>
            </w:tcBorders>
            <w:shd w:val="clear" w:color="000000" w:fill="FFFFFF"/>
            <w:noWrap/>
            <w:vAlign w:val="center"/>
            <w:hideMark/>
          </w:tcPr>
          <w:p w14:paraId="285F248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261</w:t>
            </w:r>
          </w:p>
        </w:tc>
        <w:tc>
          <w:tcPr>
            <w:tcW w:w="409" w:type="pct"/>
            <w:tcBorders>
              <w:top w:val="nil"/>
              <w:left w:val="nil"/>
              <w:bottom w:val="nil"/>
              <w:right w:val="nil"/>
            </w:tcBorders>
            <w:shd w:val="clear" w:color="000000" w:fill="FFFFFF"/>
            <w:noWrap/>
            <w:vAlign w:val="center"/>
            <w:hideMark/>
          </w:tcPr>
          <w:p w14:paraId="6509217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163</w:t>
            </w:r>
          </w:p>
        </w:tc>
        <w:tc>
          <w:tcPr>
            <w:tcW w:w="409" w:type="pct"/>
            <w:tcBorders>
              <w:top w:val="nil"/>
              <w:left w:val="nil"/>
              <w:bottom w:val="nil"/>
              <w:right w:val="nil"/>
            </w:tcBorders>
            <w:shd w:val="clear" w:color="000000" w:fill="FFFFFF"/>
            <w:noWrap/>
            <w:vAlign w:val="center"/>
            <w:hideMark/>
          </w:tcPr>
          <w:p w14:paraId="2A55A49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409" w:type="pct"/>
            <w:tcBorders>
              <w:top w:val="nil"/>
              <w:left w:val="nil"/>
              <w:bottom w:val="nil"/>
              <w:right w:val="nil"/>
            </w:tcBorders>
            <w:shd w:val="clear" w:color="000000" w:fill="FFFFFF"/>
            <w:noWrap/>
            <w:vAlign w:val="center"/>
            <w:hideMark/>
          </w:tcPr>
          <w:p w14:paraId="32978D2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409" w:type="pct"/>
            <w:tcBorders>
              <w:top w:val="nil"/>
              <w:left w:val="nil"/>
              <w:bottom w:val="nil"/>
              <w:right w:val="nil"/>
            </w:tcBorders>
            <w:shd w:val="clear" w:color="000000" w:fill="FFFFFF"/>
            <w:noWrap/>
            <w:vAlign w:val="center"/>
            <w:hideMark/>
          </w:tcPr>
          <w:p w14:paraId="7B0E93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415" w:type="pct"/>
            <w:tcBorders>
              <w:top w:val="nil"/>
              <w:left w:val="single" w:sz="4" w:space="0" w:color="auto"/>
              <w:bottom w:val="single" w:sz="4" w:space="0" w:color="auto"/>
              <w:right w:val="single" w:sz="4" w:space="0" w:color="auto"/>
            </w:tcBorders>
            <w:shd w:val="clear" w:color="000000" w:fill="FFFFFF"/>
            <w:noWrap/>
            <w:vAlign w:val="center"/>
            <w:hideMark/>
          </w:tcPr>
          <w:p w14:paraId="794E53AC"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09" w:type="pct"/>
            <w:tcBorders>
              <w:top w:val="nil"/>
              <w:left w:val="nil"/>
              <w:bottom w:val="single" w:sz="4" w:space="0" w:color="auto"/>
              <w:right w:val="single" w:sz="4" w:space="0" w:color="auto"/>
            </w:tcBorders>
            <w:shd w:val="clear" w:color="000000" w:fill="FFFFFF"/>
            <w:noWrap/>
            <w:vAlign w:val="center"/>
            <w:hideMark/>
          </w:tcPr>
          <w:p w14:paraId="4CECE67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0,30%</w:t>
            </w:r>
          </w:p>
        </w:tc>
      </w:tr>
      <w:tr w:rsidR="006248AC" w:rsidRPr="00650EE4" w14:paraId="47624DD3" w14:textId="77777777" w:rsidTr="00307987">
        <w:tc>
          <w:tcPr>
            <w:tcW w:w="893" w:type="pct"/>
            <w:tcBorders>
              <w:top w:val="nil"/>
              <w:left w:val="single" w:sz="4" w:space="0" w:color="auto"/>
              <w:bottom w:val="single" w:sz="4" w:space="0" w:color="auto"/>
              <w:right w:val="single" w:sz="4" w:space="0" w:color="auto"/>
            </w:tcBorders>
            <w:shd w:val="clear" w:color="000000" w:fill="FFFFFF"/>
            <w:noWrap/>
            <w:vAlign w:val="center"/>
            <w:hideMark/>
          </w:tcPr>
          <w:p w14:paraId="1341466E" w14:textId="77777777" w:rsidR="006248AC" w:rsidRPr="00650EE4" w:rsidRDefault="006248AC" w:rsidP="006248AC">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9" w:type="pct"/>
            <w:tcBorders>
              <w:top w:val="single" w:sz="4" w:space="0" w:color="auto"/>
              <w:left w:val="nil"/>
              <w:bottom w:val="nil"/>
              <w:right w:val="nil"/>
            </w:tcBorders>
            <w:shd w:val="clear" w:color="000000" w:fill="FFFFFF"/>
            <w:noWrap/>
            <w:vAlign w:val="center"/>
            <w:hideMark/>
          </w:tcPr>
          <w:p w14:paraId="4A37B67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14.807</w:t>
            </w:r>
          </w:p>
        </w:tc>
        <w:tc>
          <w:tcPr>
            <w:tcW w:w="415" w:type="pct"/>
            <w:tcBorders>
              <w:top w:val="single" w:sz="4" w:space="0" w:color="auto"/>
              <w:left w:val="nil"/>
              <w:bottom w:val="nil"/>
              <w:right w:val="nil"/>
            </w:tcBorders>
            <w:shd w:val="clear" w:color="000000" w:fill="FFFFFF"/>
            <w:noWrap/>
            <w:vAlign w:val="center"/>
            <w:hideMark/>
          </w:tcPr>
          <w:p w14:paraId="565FB82A"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217.367</w:t>
            </w:r>
          </w:p>
        </w:tc>
        <w:tc>
          <w:tcPr>
            <w:tcW w:w="415" w:type="pct"/>
            <w:tcBorders>
              <w:top w:val="single" w:sz="4" w:space="0" w:color="auto"/>
              <w:left w:val="nil"/>
              <w:bottom w:val="nil"/>
              <w:right w:val="nil"/>
            </w:tcBorders>
            <w:shd w:val="clear" w:color="000000" w:fill="FFFFFF"/>
            <w:noWrap/>
            <w:vAlign w:val="center"/>
            <w:hideMark/>
          </w:tcPr>
          <w:p w14:paraId="3129014B"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296.851</w:t>
            </w:r>
          </w:p>
        </w:tc>
        <w:tc>
          <w:tcPr>
            <w:tcW w:w="409" w:type="pct"/>
            <w:tcBorders>
              <w:top w:val="single" w:sz="4" w:space="0" w:color="auto"/>
              <w:left w:val="nil"/>
              <w:bottom w:val="nil"/>
              <w:right w:val="nil"/>
            </w:tcBorders>
            <w:shd w:val="clear" w:color="000000" w:fill="FFFFFF"/>
            <w:noWrap/>
            <w:vAlign w:val="center"/>
            <w:hideMark/>
          </w:tcPr>
          <w:p w14:paraId="0D23728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37.885</w:t>
            </w:r>
          </w:p>
        </w:tc>
        <w:tc>
          <w:tcPr>
            <w:tcW w:w="409" w:type="pct"/>
            <w:tcBorders>
              <w:top w:val="single" w:sz="4" w:space="0" w:color="auto"/>
              <w:left w:val="nil"/>
              <w:bottom w:val="nil"/>
              <w:right w:val="nil"/>
            </w:tcBorders>
            <w:shd w:val="clear" w:color="000000" w:fill="FFFFFF"/>
            <w:noWrap/>
            <w:vAlign w:val="center"/>
            <w:hideMark/>
          </w:tcPr>
          <w:p w14:paraId="23ECE46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40.169</w:t>
            </w:r>
          </w:p>
        </w:tc>
        <w:tc>
          <w:tcPr>
            <w:tcW w:w="409" w:type="pct"/>
            <w:tcBorders>
              <w:top w:val="single" w:sz="4" w:space="0" w:color="auto"/>
              <w:left w:val="nil"/>
              <w:bottom w:val="nil"/>
              <w:right w:val="nil"/>
            </w:tcBorders>
            <w:shd w:val="clear" w:color="000000" w:fill="FFFFFF"/>
            <w:noWrap/>
            <w:vAlign w:val="center"/>
            <w:hideMark/>
          </w:tcPr>
          <w:p w14:paraId="52024071"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24.330</w:t>
            </w:r>
          </w:p>
        </w:tc>
        <w:tc>
          <w:tcPr>
            <w:tcW w:w="409" w:type="pct"/>
            <w:tcBorders>
              <w:top w:val="single" w:sz="4" w:space="0" w:color="auto"/>
              <w:left w:val="nil"/>
              <w:bottom w:val="nil"/>
              <w:right w:val="nil"/>
            </w:tcBorders>
            <w:shd w:val="clear" w:color="000000" w:fill="FFFFFF"/>
            <w:noWrap/>
            <w:vAlign w:val="center"/>
            <w:hideMark/>
          </w:tcPr>
          <w:p w14:paraId="3B6F1BC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19.376</w:t>
            </w:r>
          </w:p>
        </w:tc>
        <w:tc>
          <w:tcPr>
            <w:tcW w:w="409" w:type="pct"/>
            <w:tcBorders>
              <w:top w:val="single" w:sz="4" w:space="0" w:color="auto"/>
              <w:left w:val="nil"/>
              <w:bottom w:val="nil"/>
              <w:right w:val="single" w:sz="4" w:space="0" w:color="auto"/>
            </w:tcBorders>
            <w:shd w:val="clear" w:color="000000" w:fill="FFFFFF"/>
            <w:noWrap/>
            <w:vAlign w:val="center"/>
            <w:hideMark/>
          </w:tcPr>
          <w:p w14:paraId="308943E9"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10.498</w:t>
            </w:r>
          </w:p>
        </w:tc>
        <w:tc>
          <w:tcPr>
            <w:tcW w:w="415" w:type="pct"/>
            <w:tcBorders>
              <w:top w:val="nil"/>
              <w:left w:val="nil"/>
              <w:bottom w:val="single" w:sz="4" w:space="0" w:color="auto"/>
              <w:right w:val="single" w:sz="4" w:space="0" w:color="auto"/>
            </w:tcBorders>
            <w:shd w:val="clear" w:color="000000" w:fill="FFFFFF"/>
            <w:noWrap/>
            <w:vAlign w:val="center"/>
            <w:hideMark/>
          </w:tcPr>
          <w:p w14:paraId="1CFF185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09" w:type="pct"/>
            <w:tcBorders>
              <w:top w:val="nil"/>
              <w:left w:val="nil"/>
              <w:bottom w:val="single" w:sz="4" w:space="0" w:color="auto"/>
              <w:right w:val="single" w:sz="4" w:space="0" w:color="auto"/>
            </w:tcBorders>
            <w:shd w:val="clear" w:color="000000" w:fill="FFFFFF"/>
            <w:noWrap/>
            <w:vAlign w:val="center"/>
            <w:hideMark/>
          </w:tcPr>
          <w:p w14:paraId="01557B2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26972F83" w14:textId="77777777" w:rsidTr="00307987">
        <w:tc>
          <w:tcPr>
            <w:tcW w:w="893" w:type="pct"/>
            <w:tcBorders>
              <w:top w:val="nil"/>
              <w:left w:val="single" w:sz="4" w:space="0" w:color="auto"/>
              <w:bottom w:val="single" w:sz="4" w:space="0" w:color="auto"/>
              <w:right w:val="nil"/>
            </w:tcBorders>
            <w:shd w:val="clear" w:color="000000" w:fill="FFFFFF"/>
            <w:noWrap/>
            <w:vAlign w:val="center"/>
            <w:hideMark/>
          </w:tcPr>
          <w:p w14:paraId="21507C8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09" w:type="pct"/>
            <w:tcBorders>
              <w:top w:val="single" w:sz="4" w:space="0" w:color="auto"/>
              <w:left w:val="single" w:sz="4" w:space="0" w:color="auto"/>
              <w:bottom w:val="single" w:sz="4" w:space="0" w:color="auto"/>
              <w:right w:val="nil"/>
            </w:tcBorders>
            <w:shd w:val="clear" w:color="000000" w:fill="FFFFFF"/>
            <w:noWrap/>
            <w:vAlign w:val="center"/>
            <w:hideMark/>
          </w:tcPr>
          <w:p w14:paraId="27C558E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15" w:type="pct"/>
            <w:tcBorders>
              <w:top w:val="single" w:sz="4" w:space="0" w:color="auto"/>
              <w:left w:val="nil"/>
              <w:bottom w:val="single" w:sz="4" w:space="0" w:color="auto"/>
              <w:right w:val="nil"/>
            </w:tcBorders>
            <w:shd w:val="clear" w:color="000000" w:fill="FFFFFF"/>
            <w:noWrap/>
            <w:vAlign w:val="center"/>
            <w:hideMark/>
          </w:tcPr>
          <w:p w14:paraId="58F048F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c>
          <w:tcPr>
            <w:tcW w:w="415" w:type="pct"/>
            <w:tcBorders>
              <w:top w:val="single" w:sz="4" w:space="0" w:color="auto"/>
              <w:left w:val="nil"/>
              <w:bottom w:val="single" w:sz="4" w:space="0" w:color="auto"/>
              <w:right w:val="nil"/>
            </w:tcBorders>
            <w:shd w:val="clear" w:color="000000" w:fill="FFFFFF"/>
            <w:noWrap/>
            <w:vAlign w:val="center"/>
            <w:hideMark/>
          </w:tcPr>
          <w:p w14:paraId="152B3A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409" w:type="pct"/>
            <w:tcBorders>
              <w:top w:val="single" w:sz="4" w:space="0" w:color="auto"/>
              <w:left w:val="nil"/>
              <w:bottom w:val="single" w:sz="4" w:space="0" w:color="auto"/>
              <w:right w:val="nil"/>
            </w:tcBorders>
            <w:shd w:val="clear" w:color="000000" w:fill="FFFFFF"/>
            <w:noWrap/>
            <w:vAlign w:val="center"/>
            <w:hideMark/>
          </w:tcPr>
          <w:p w14:paraId="366242D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09" w:type="pct"/>
            <w:tcBorders>
              <w:top w:val="single" w:sz="4" w:space="0" w:color="auto"/>
              <w:left w:val="nil"/>
              <w:bottom w:val="single" w:sz="4" w:space="0" w:color="auto"/>
              <w:right w:val="nil"/>
            </w:tcBorders>
            <w:shd w:val="clear" w:color="000000" w:fill="FFFFFF"/>
            <w:noWrap/>
            <w:vAlign w:val="center"/>
            <w:hideMark/>
          </w:tcPr>
          <w:p w14:paraId="72AAB15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09" w:type="pct"/>
            <w:tcBorders>
              <w:top w:val="single" w:sz="4" w:space="0" w:color="auto"/>
              <w:left w:val="nil"/>
              <w:bottom w:val="single" w:sz="4" w:space="0" w:color="auto"/>
              <w:right w:val="nil"/>
            </w:tcBorders>
            <w:shd w:val="clear" w:color="000000" w:fill="FFFFFF"/>
            <w:noWrap/>
            <w:vAlign w:val="center"/>
            <w:hideMark/>
          </w:tcPr>
          <w:p w14:paraId="1962D0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09" w:type="pct"/>
            <w:tcBorders>
              <w:top w:val="single" w:sz="4" w:space="0" w:color="auto"/>
              <w:left w:val="nil"/>
              <w:bottom w:val="single" w:sz="4" w:space="0" w:color="auto"/>
              <w:right w:val="nil"/>
            </w:tcBorders>
            <w:shd w:val="clear" w:color="000000" w:fill="FFFFFF"/>
            <w:noWrap/>
            <w:vAlign w:val="center"/>
            <w:hideMark/>
          </w:tcPr>
          <w:p w14:paraId="7EF6822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09" w:type="pct"/>
            <w:tcBorders>
              <w:top w:val="single" w:sz="4" w:space="0" w:color="auto"/>
              <w:left w:val="nil"/>
              <w:bottom w:val="single" w:sz="4" w:space="0" w:color="auto"/>
              <w:right w:val="single" w:sz="4" w:space="0" w:color="auto"/>
            </w:tcBorders>
            <w:shd w:val="clear" w:color="000000" w:fill="FFFFFF"/>
            <w:noWrap/>
            <w:vAlign w:val="center"/>
            <w:hideMark/>
          </w:tcPr>
          <w:p w14:paraId="51EBA20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15" w:type="pct"/>
            <w:tcBorders>
              <w:top w:val="nil"/>
              <w:left w:val="nil"/>
              <w:bottom w:val="single" w:sz="4" w:space="0" w:color="auto"/>
              <w:right w:val="single" w:sz="4" w:space="0" w:color="auto"/>
            </w:tcBorders>
            <w:shd w:val="clear" w:color="000000" w:fill="FFFFFF"/>
            <w:noWrap/>
            <w:vAlign w:val="center"/>
            <w:hideMark/>
          </w:tcPr>
          <w:p w14:paraId="57B4BA0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09" w:type="pct"/>
            <w:tcBorders>
              <w:top w:val="nil"/>
              <w:left w:val="nil"/>
              <w:bottom w:val="single" w:sz="4" w:space="0" w:color="auto"/>
              <w:right w:val="single" w:sz="4" w:space="0" w:color="auto"/>
            </w:tcBorders>
            <w:shd w:val="clear" w:color="000000" w:fill="FFFFFF"/>
            <w:noWrap/>
            <w:vAlign w:val="center"/>
            <w:hideMark/>
          </w:tcPr>
          <w:p w14:paraId="4B52125C"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631B9E57" w14:textId="12E20D79" w:rsidR="005E0E13" w:rsidRPr="00650EE4" w:rsidRDefault="004C7DC5" w:rsidP="005E0E1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NTR</w:t>
      </w:r>
      <w:r w:rsidR="005E0E13" w:rsidRPr="00650EE4">
        <w:rPr>
          <w:rFonts w:ascii="Times New Roman" w:eastAsia="Times New Roman" w:hAnsi="Times New Roman"/>
          <w:i/>
          <w:color w:val="000000" w:themeColor="text1"/>
          <w:sz w:val="20"/>
          <w:szCs w:val="20"/>
        </w:rPr>
        <w:t xml:space="preserve"> duomenys (2019.12.31)</w:t>
      </w:r>
    </w:p>
    <w:p w14:paraId="306E65C2" w14:textId="77777777" w:rsidR="00004F84" w:rsidRPr="00650EE4" w:rsidRDefault="00004F84" w:rsidP="005E0E13">
      <w:pPr>
        <w:spacing w:before="60" w:line="240" w:lineRule="auto"/>
        <w:jc w:val="both"/>
        <w:rPr>
          <w:rFonts w:ascii="Times New Roman" w:eastAsia="Times New Roman" w:hAnsi="Times New Roman"/>
          <w:i/>
          <w:color w:val="000000" w:themeColor="text1"/>
          <w:sz w:val="20"/>
          <w:szCs w:val="20"/>
        </w:rPr>
      </w:pPr>
    </w:p>
    <w:p w14:paraId="4AE92F5A" w14:textId="49D3B29C" w:rsidR="005E0E1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2" w:name="_Toc59094187"/>
      <w:r w:rsidR="00F25C65">
        <w:t>4</w:t>
      </w:r>
      <w:r w:rsidRPr="00650EE4">
        <w:rPr>
          <w:noProof w:val="0"/>
        </w:rPr>
        <w:fldChar w:fldCharType="end"/>
      </w:r>
      <w:r w:rsidR="005E0E13" w:rsidRPr="00650EE4">
        <w:rPr>
          <w:noProof w:val="0"/>
        </w:rPr>
        <w:t xml:space="preserve"> lentelė. Pastatų fondas pagal statybos pabaigos metus (tūkst. m</w:t>
      </w:r>
      <w:r w:rsidR="005E0E13" w:rsidRPr="00650EE4">
        <w:rPr>
          <w:noProof w:val="0"/>
          <w:vertAlign w:val="superscript"/>
        </w:rPr>
        <w:t>2</w:t>
      </w:r>
      <w:r w:rsidR="005E0E13" w:rsidRPr="00650EE4">
        <w:rPr>
          <w:noProof w:val="0"/>
        </w:rPr>
        <w:t>)</w:t>
      </w:r>
      <w:bookmarkEnd w:id="22"/>
    </w:p>
    <w:tbl>
      <w:tblPr>
        <w:tblW w:w="5000" w:type="pct"/>
        <w:tblLook w:val="04A0" w:firstRow="1" w:lastRow="0" w:firstColumn="1" w:lastColumn="0" w:noHBand="0" w:noVBand="1"/>
      </w:tblPr>
      <w:tblGrid>
        <w:gridCol w:w="1887"/>
        <w:gridCol w:w="849"/>
        <w:gridCol w:w="848"/>
        <w:gridCol w:w="877"/>
        <w:gridCol w:w="848"/>
        <w:gridCol w:w="848"/>
        <w:gridCol w:w="848"/>
        <w:gridCol w:w="848"/>
        <w:gridCol w:w="848"/>
        <w:gridCol w:w="877"/>
        <w:gridCol w:w="842"/>
      </w:tblGrid>
      <w:tr w:rsidR="006248AC" w:rsidRPr="00650EE4" w14:paraId="3DEE138D" w14:textId="77777777" w:rsidTr="00307987">
        <w:tc>
          <w:tcPr>
            <w:tcW w:w="905" w:type="pct"/>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14:paraId="312153EE"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 pogrupis</w:t>
            </w:r>
          </w:p>
        </w:tc>
        <w:tc>
          <w:tcPr>
            <w:tcW w:w="3267" w:type="pct"/>
            <w:gridSpan w:val="8"/>
            <w:tcBorders>
              <w:top w:val="single" w:sz="4" w:space="0" w:color="auto"/>
              <w:left w:val="nil"/>
              <w:bottom w:val="single" w:sz="4" w:space="0" w:color="auto"/>
              <w:right w:val="single" w:sz="4" w:space="0" w:color="000000"/>
            </w:tcBorders>
            <w:shd w:val="clear" w:color="000000" w:fill="FFFFFF"/>
            <w:noWrap/>
            <w:vAlign w:val="center"/>
            <w:hideMark/>
          </w:tcPr>
          <w:p w14:paraId="669D9C50"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Statybos metai</w:t>
            </w:r>
          </w:p>
        </w:tc>
        <w:tc>
          <w:tcPr>
            <w:tcW w:w="42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7829482"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882B32" w14:textId="77777777" w:rsidR="006248AC" w:rsidRPr="00650EE4" w:rsidRDefault="006248AC" w:rsidP="006248AC">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Iš viso, proc.</w:t>
            </w:r>
          </w:p>
        </w:tc>
      </w:tr>
      <w:tr w:rsidR="006248AC" w:rsidRPr="00650EE4" w14:paraId="32AB9958" w14:textId="77777777" w:rsidTr="00307987">
        <w:tc>
          <w:tcPr>
            <w:tcW w:w="905" w:type="pct"/>
            <w:vMerge/>
            <w:tcBorders>
              <w:top w:val="single" w:sz="4" w:space="0" w:color="auto"/>
              <w:left w:val="single" w:sz="4" w:space="0" w:color="auto"/>
              <w:bottom w:val="single" w:sz="4" w:space="0" w:color="000000"/>
              <w:right w:val="single" w:sz="4" w:space="0" w:color="000000"/>
            </w:tcBorders>
            <w:vAlign w:val="center"/>
            <w:hideMark/>
          </w:tcPr>
          <w:p w14:paraId="7170E1C2" w14:textId="77777777" w:rsidR="006248AC" w:rsidRPr="00650EE4" w:rsidRDefault="006248AC" w:rsidP="006248AC">
            <w:pPr>
              <w:spacing w:line="240" w:lineRule="auto"/>
              <w:rPr>
                <w:rFonts w:ascii="Times New Roman" w:eastAsia="Times New Roman" w:hAnsi="Times New Roman"/>
                <w:b/>
                <w:bCs/>
                <w:sz w:val="20"/>
                <w:szCs w:val="20"/>
              </w:rPr>
            </w:pPr>
          </w:p>
        </w:tc>
        <w:tc>
          <w:tcPr>
            <w:tcW w:w="407" w:type="pct"/>
            <w:tcBorders>
              <w:top w:val="nil"/>
              <w:left w:val="nil"/>
              <w:bottom w:val="single" w:sz="4" w:space="0" w:color="auto"/>
              <w:right w:val="nil"/>
            </w:tcBorders>
            <w:shd w:val="clear" w:color="000000" w:fill="FFFFFF"/>
            <w:vAlign w:val="center"/>
            <w:hideMark/>
          </w:tcPr>
          <w:p w14:paraId="1291D201"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iki 1900</w:t>
            </w:r>
          </w:p>
        </w:tc>
        <w:tc>
          <w:tcPr>
            <w:tcW w:w="407" w:type="pct"/>
            <w:tcBorders>
              <w:top w:val="nil"/>
              <w:left w:val="nil"/>
              <w:bottom w:val="single" w:sz="4" w:space="0" w:color="auto"/>
              <w:right w:val="nil"/>
            </w:tcBorders>
            <w:shd w:val="clear" w:color="000000" w:fill="FFFFFF"/>
            <w:vAlign w:val="center"/>
            <w:hideMark/>
          </w:tcPr>
          <w:p w14:paraId="7F323405"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1901-1960</w:t>
            </w:r>
          </w:p>
        </w:tc>
        <w:tc>
          <w:tcPr>
            <w:tcW w:w="421" w:type="pct"/>
            <w:tcBorders>
              <w:top w:val="nil"/>
              <w:left w:val="nil"/>
              <w:bottom w:val="single" w:sz="4" w:space="0" w:color="auto"/>
              <w:right w:val="nil"/>
            </w:tcBorders>
            <w:shd w:val="clear" w:color="000000" w:fill="FFFFFF"/>
            <w:vAlign w:val="center"/>
            <w:hideMark/>
          </w:tcPr>
          <w:p w14:paraId="4402A4D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1961-1992</w:t>
            </w:r>
          </w:p>
        </w:tc>
        <w:tc>
          <w:tcPr>
            <w:tcW w:w="407" w:type="pct"/>
            <w:tcBorders>
              <w:top w:val="nil"/>
              <w:left w:val="nil"/>
              <w:bottom w:val="single" w:sz="4" w:space="0" w:color="auto"/>
              <w:right w:val="nil"/>
            </w:tcBorders>
            <w:shd w:val="clear" w:color="000000" w:fill="FFFFFF"/>
            <w:vAlign w:val="center"/>
            <w:hideMark/>
          </w:tcPr>
          <w:p w14:paraId="347AC437"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1993-2005</w:t>
            </w:r>
          </w:p>
        </w:tc>
        <w:tc>
          <w:tcPr>
            <w:tcW w:w="407" w:type="pct"/>
            <w:tcBorders>
              <w:top w:val="nil"/>
              <w:left w:val="nil"/>
              <w:bottom w:val="single" w:sz="4" w:space="0" w:color="auto"/>
              <w:right w:val="nil"/>
            </w:tcBorders>
            <w:shd w:val="clear" w:color="000000" w:fill="FFFFFF"/>
            <w:vAlign w:val="center"/>
            <w:hideMark/>
          </w:tcPr>
          <w:p w14:paraId="64C6525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2006-2013</w:t>
            </w:r>
          </w:p>
        </w:tc>
        <w:tc>
          <w:tcPr>
            <w:tcW w:w="407" w:type="pct"/>
            <w:tcBorders>
              <w:top w:val="nil"/>
              <w:left w:val="nil"/>
              <w:bottom w:val="single" w:sz="4" w:space="0" w:color="auto"/>
              <w:right w:val="nil"/>
            </w:tcBorders>
            <w:shd w:val="clear" w:color="000000" w:fill="FFFFFF"/>
            <w:vAlign w:val="center"/>
            <w:hideMark/>
          </w:tcPr>
          <w:p w14:paraId="27519DB6"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2014-2016</w:t>
            </w:r>
          </w:p>
        </w:tc>
        <w:tc>
          <w:tcPr>
            <w:tcW w:w="407" w:type="pct"/>
            <w:tcBorders>
              <w:top w:val="nil"/>
              <w:left w:val="nil"/>
              <w:bottom w:val="single" w:sz="4" w:space="0" w:color="auto"/>
              <w:right w:val="nil"/>
            </w:tcBorders>
            <w:shd w:val="clear" w:color="000000" w:fill="FFFFFF"/>
            <w:vAlign w:val="center"/>
            <w:hideMark/>
          </w:tcPr>
          <w:p w14:paraId="011C1B40"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2017-2018</w:t>
            </w:r>
          </w:p>
        </w:tc>
        <w:tc>
          <w:tcPr>
            <w:tcW w:w="407" w:type="pct"/>
            <w:tcBorders>
              <w:top w:val="nil"/>
              <w:left w:val="nil"/>
              <w:bottom w:val="single" w:sz="4" w:space="0" w:color="auto"/>
              <w:right w:val="nil"/>
            </w:tcBorders>
            <w:shd w:val="clear" w:color="000000" w:fill="FFFFFF"/>
            <w:vAlign w:val="center"/>
            <w:hideMark/>
          </w:tcPr>
          <w:p w14:paraId="2E4E0858" w14:textId="77777777" w:rsidR="006248AC" w:rsidRPr="00650EE4" w:rsidRDefault="006248AC" w:rsidP="006248AC">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2019</w:t>
            </w:r>
          </w:p>
        </w:tc>
        <w:tc>
          <w:tcPr>
            <w:tcW w:w="421" w:type="pct"/>
            <w:vMerge/>
            <w:tcBorders>
              <w:top w:val="single" w:sz="4" w:space="0" w:color="auto"/>
              <w:left w:val="single" w:sz="4" w:space="0" w:color="auto"/>
              <w:bottom w:val="single" w:sz="4" w:space="0" w:color="000000"/>
              <w:right w:val="single" w:sz="4" w:space="0" w:color="auto"/>
            </w:tcBorders>
            <w:vAlign w:val="center"/>
            <w:hideMark/>
          </w:tcPr>
          <w:p w14:paraId="02A2E440" w14:textId="77777777" w:rsidR="006248AC" w:rsidRPr="00650EE4" w:rsidRDefault="006248AC" w:rsidP="006248AC">
            <w:pPr>
              <w:spacing w:line="240" w:lineRule="auto"/>
              <w:rPr>
                <w:rFonts w:ascii="Times New Roman" w:eastAsia="Times New Roman" w:hAnsi="Times New Roman"/>
                <w:b/>
                <w:bCs/>
                <w:sz w:val="20"/>
                <w:szCs w:val="20"/>
              </w:rPr>
            </w:pPr>
          </w:p>
        </w:tc>
        <w:tc>
          <w:tcPr>
            <w:tcW w:w="407" w:type="pct"/>
            <w:vMerge/>
            <w:tcBorders>
              <w:top w:val="single" w:sz="4" w:space="0" w:color="auto"/>
              <w:left w:val="single" w:sz="4" w:space="0" w:color="auto"/>
              <w:bottom w:val="single" w:sz="4" w:space="0" w:color="000000"/>
              <w:right w:val="single" w:sz="4" w:space="0" w:color="auto"/>
            </w:tcBorders>
            <w:vAlign w:val="center"/>
            <w:hideMark/>
          </w:tcPr>
          <w:p w14:paraId="3E1B26C8" w14:textId="77777777" w:rsidR="006248AC" w:rsidRPr="00650EE4" w:rsidRDefault="006248AC" w:rsidP="006248AC">
            <w:pPr>
              <w:spacing w:line="240" w:lineRule="auto"/>
              <w:rPr>
                <w:rFonts w:ascii="Times New Roman" w:eastAsia="Times New Roman" w:hAnsi="Times New Roman"/>
                <w:sz w:val="20"/>
                <w:szCs w:val="20"/>
              </w:rPr>
            </w:pPr>
          </w:p>
        </w:tc>
      </w:tr>
      <w:tr w:rsidR="006248AC" w:rsidRPr="00650EE4" w14:paraId="4D3C7F5B" w14:textId="77777777" w:rsidTr="00307987">
        <w:tc>
          <w:tcPr>
            <w:tcW w:w="905" w:type="pct"/>
            <w:tcBorders>
              <w:top w:val="nil"/>
              <w:left w:val="single" w:sz="4" w:space="0" w:color="auto"/>
              <w:bottom w:val="single" w:sz="4" w:space="0" w:color="auto"/>
              <w:right w:val="single" w:sz="4" w:space="0" w:color="auto"/>
            </w:tcBorders>
            <w:shd w:val="clear" w:color="000000" w:fill="F2F2F2"/>
            <w:noWrap/>
            <w:vAlign w:val="center"/>
            <w:hideMark/>
          </w:tcPr>
          <w:p w14:paraId="7C268D1F" w14:textId="77777777" w:rsidR="006248AC" w:rsidRPr="00650EE4" w:rsidRDefault="006248AC" w:rsidP="006248AC">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1.Gyvenamieji</w:t>
            </w:r>
          </w:p>
        </w:tc>
        <w:tc>
          <w:tcPr>
            <w:tcW w:w="407" w:type="pct"/>
            <w:tcBorders>
              <w:top w:val="nil"/>
              <w:left w:val="nil"/>
              <w:bottom w:val="single" w:sz="4" w:space="0" w:color="auto"/>
              <w:right w:val="nil"/>
            </w:tcBorders>
            <w:shd w:val="clear" w:color="000000" w:fill="F2F2F2"/>
            <w:noWrap/>
            <w:vAlign w:val="center"/>
            <w:hideMark/>
          </w:tcPr>
          <w:p w14:paraId="6E00DB6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1.765</w:t>
            </w:r>
          </w:p>
        </w:tc>
        <w:tc>
          <w:tcPr>
            <w:tcW w:w="407" w:type="pct"/>
            <w:tcBorders>
              <w:top w:val="nil"/>
              <w:left w:val="nil"/>
              <w:bottom w:val="single" w:sz="4" w:space="0" w:color="auto"/>
              <w:right w:val="nil"/>
            </w:tcBorders>
            <w:shd w:val="clear" w:color="000000" w:fill="F2F2F2"/>
            <w:noWrap/>
            <w:vAlign w:val="center"/>
            <w:hideMark/>
          </w:tcPr>
          <w:p w14:paraId="31ED725B"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23.105</w:t>
            </w:r>
          </w:p>
        </w:tc>
        <w:tc>
          <w:tcPr>
            <w:tcW w:w="421" w:type="pct"/>
            <w:tcBorders>
              <w:top w:val="nil"/>
              <w:left w:val="nil"/>
              <w:bottom w:val="single" w:sz="4" w:space="0" w:color="auto"/>
              <w:right w:val="nil"/>
            </w:tcBorders>
            <w:shd w:val="clear" w:color="000000" w:fill="F2F2F2"/>
            <w:noWrap/>
            <w:vAlign w:val="center"/>
            <w:hideMark/>
          </w:tcPr>
          <w:p w14:paraId="7D48DD9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72.038</w:t>
            </w:r>
          </w:p>
        </w:tc>
        <w:tc>
          <w:tcPr>
            <w:tcW w:w="407" w:type="pct"/>
            <w:tcBorders>
              <w:top w:val="nil"/>
              <w:left w:val="nil"/>
              <w:bottom w:val="single" w:sz="4" w:space="0" w:color="auto"/>
              <w:right w:val="nil"/>
            </w:tcBorders>
            <w:shd w:val="clear" w:color="000000" w:fill="F2F2F2"/>
            <w:noWrap/>
            <w:vAlign w:val="center"/>
            <w:hideMark/>
          </w:tcPr>
          <w:p w14:paraId="6F6A6743"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11.067</w:t>
            </w:r>
          </w:p>
        </w:tc>
        <w:tc>
          <w:tcPr>
            <w:tcW w:w="407" w:type="pct"/>
            <w:tcBorders>
              <w:top w:val="nil"/>
              <w:left w:val="nil"/>
              <w:bottom w:val="single" w:sz="4" w:space="0" w:color="auto"/>
              <w:right w:val="nil"/>
            </w:tcBorders>
            <w:shd w:val="clear" w:color="000000" w:fill="F2F2F2"/>
            <w:noWrap/>
            <w:vAlign w:val="center"/>
            <w:hideMark/>
          </w:tcPr>
          <w:p w14:paraId="60085B2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10.461</w:t>
            </w:r>
          </w:p>
        </w:tc>
        <w:tc>
          <w:tcPr>
            <w:tcW w:w="407" w:type="pct"/>
            <w:tcBorders>
              <w:top w:val="nil"/>
              <w:left w:val="nil"/>
              <w:bottom w:val="single" w:sz="4" w:space="0" w:color="auto"/>
              <w:right w:val="nil"/>
            </w:tcBorders>
            <w:shd w:val="clear" w:color="000000" w:fill="F2F2F2"/>
            <w:noWrap/>
            <w:vAlign w:val="center"/>
            <w:hideMark/>
          </w:tcPr>
          <w:p w14:paraId="3B9E54C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4.841</w:t>
            </w:r>
          </w:p>
        </w:tc>
        <w:tc>
          <w:tcPr>
            <w:tcW w:w="407" w:type="pct"/>
            <w:tcBorders>
              <w:top w:val="nil"/>
              <w:left w:val="nil"/>
              <w:bottom w:val="single" w:sz="4" w:space="0" w:color="auto"/>
              <w:right w:val="nil"/>
            </w:tcBorders>
            <w:shd w:val="clear" w:color="000000" w:fill="F2F2F2"/>
            <w:noWrap/>
            <w:vAlign w:val="center"/>
            <w:hideMark/>
          </w:tcPr>
          <w:p w14:paraId="4426BC5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3.768</w:t>
            </w:r>
          </w:p>
        </w:tc>
        <w:tc>
          <w:tcPr>
            <w:tcW w:w="407" w:type="pct"/>
            <w:tcBorders>
              <w:top w:val="nil"/>
              <w:left w:val="nil"/>
              <w:bottom w:val="single" w:sz="4" w:space="0" w:color="auto"/>
              <w:right w:val="single" w:sz="4" w:space="0" w:color="auto"/>
            </w:tcBorders>
            <w:shd w:val="clear" w:color="000000" w:fill="F2F2F2"/>
            <w:noWrap/>
            <w:vAlign w:val="center"/>
            <w:hideMark/>
          </w:tcPr>
          <w:p w14:paraId="1D1541D6"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1.958</w:t>
            </w:r>
          </w:p>
        </w:tc>
        <w:tc>
          <w:tcPr>
            <w:tcW w:w="421" w:type="pct"/>
            <w:tcBorders>
              <w:top w:val="nil"/>
              <w:left w:val="nil"/>
              <w:bottom w:val="single" w:sz="4" w:space="0" w:color="auto"/>
              <w:right w:val="nil"/>
            </w:tcBorders>
            <w:shd w:val="clear" w:color="000000" w:fill="F2F2F2"/>
            <w:noWrap/>
            <w:vAlign w:val="center"/>
            <w:hideMark/>
          </w:tcPr>
          <w:p w14:paraId="538B607E"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129.004</w:t>
            </w:r>
          </w:p>
        </w:tc>
        <w:tc>
          <w:tcPr>
            <w:tcW w:w="407" w:type="pct"/>
            <w:tcBorders>
              <w:top w:val="nil"/>
              <w:left w:val="single" w:sz="4" w:space="0" w:color="auto"/>
              <w:bottom w:val="single" w:sz="4" w:space="0" w:color="auto"/>
              <w:right w:val="single" w:sz="4" w:space="0" w:color="auto"/>
            </w:tcBorders>
            <w:shd w:val="clear" w:color="000000" w:fill="F2F2F2"/>
            <w:noWrap/>
            <w:vAlign w:val="center"/>
            <w:hideMark/>
          </w:tcPr>
          <w:p w14:paraId="2501B2F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64%</w:t>
            </w:r>
          </w:p>
        </w:tc>
      </w:tr>
      <w:tr w:rsidR="006248AC" w:rsidRPr="00650EE4" w14:paraId="5593E62B"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24EEB20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07" w:type="pct"/>
            <w:tcBorders>
              <w:top w:val="nil"/>
              <w:left w:val="nil"/>
              <w:bottom w:val="nil"/>
              <w:right w:val="nil"/>
            </w:tcBorders>
            <w:shd w:val="clear" w:color="000000" w:fill="FFFFFF"/>
            <w:noWrap/>
            <w:vAlign w:val="center"/>
            <w:hideMark/>
          </w:tcPr>
          <w:p w14:paraId="7430ACE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1.212</w:t>
            </w:r>
          </w:p>
        </w:tc>
        <w:tc>
          <w:tcPr>
            <w:tcW w:w="407" w:type="pct"/>
            <w:tcBorders>
              <w:top w:val="nil"/>
              <w:left w:val="nil"/>
              <w:bottom w:val="nil"/>
              <w:right w:val="nil"/>
            </w:tcBorders>
            <w:shd w:val="clear" w:color="000000" w:fill="FFFFFF"/>
            <w:noWrap/>
            <w:vAlign w:val="center"/>
            <w:hideMark/>
          </w:tcPr>
          <w:p w14:paraId="0A67000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17.095</w:t>
            </w:r>
          </w:p>
        </w:tc>
        <w:tc>
          <w:tcPr>
            <w:tcW w:w="421" w:type="pct"/>
            <w:tcBorders>
              <w:top w:val="nil"/>
              <w:left w:val="nil"/>
              <w:bottom w:val="nil"/>
              <w:right w:val="nil"/>
            </w:tcBorders>
            <w:shd w:val="clear" w:color="000000" w:fill="FFFFFF"/>
            <w:noWrap/>
            <w:vAlign w:val="center"/>
            <w:hideMark/>
          </w:tcPr>
          <w:p w14:paraId="2C77DC3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29.160</w:t>
            </w:r>
          </w:p>
        </w:tc>
        <w:tc>
          <w:tcPr>
            <w:tcW w:w="407" w:type="pct"/>
            <w:tcBorders>
              <w:top w:val="nil"/>
              <w:left w:val="nil"/>
              <w:bottom w:val="nil"/>
              <w:right w:val="nil"/>
            </w:tcBorders>
            <w:shd w:val="clear" w:color="000000" w:fill="FFFFFF"/>
            <w:noWrap/>
            <w:vAlign w:val="center"/>
            <w:hideMark/>
          </w:tcPr>
          <w:p w14:paraId="0D48DAA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6.628</w:t>
            </w:r>
          </w:p>
        </w:tc>
        <w:tc>
          <w:tcPr>
            <w:tcW w:w="407" w:type="pct"/>
            <w:tcBorders>
              <w:top w:val="nil"/>
              <w:left w:val="nil"/>
              <w:bottom w:val="nil"/>
              <w:right w:val="nil"/>
            </w:tcBorders>
            <w:shd w:val="clear" w:color="000000" w:fill="FFFFFF"/>
            <w:noWrap/>
            <w:vAlign w:val="center"/>
            <w:hideMark/>
          </w:tcPr>
          <w:p w14:paraId="3EF88E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7.231</w:t>
            </w:r>
          </w:p>
        </w:tc>
        <w:tc>
          <w:tcPr>
            <w:tcW w:w="407" w:type="pct"/>
            <w:tcBorders>
              <w:top w:val="nil"/>
              <w:left w:val="nil"/>
              <w:bottom w:val="nil"/>
              <w:right w:val="nil"/>
            </w:tcBorders>
            <w:shd w:val="clear" w:color="000000" w:fill="FFFFFF"/>
            <w:noWrap/>
            <w:vAlign w:val="center"/>
            <w:hideMark/>
          </w:tcPr>
          <w:p w14:paraId="60737B4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3.912</w:t>
            </w:r>
          </w:p>
        </w:tc>
        <w:tc>
          <w:tcPr>
            <w:tcW w:w="407" w:type="pct"/>
            <w:tcBorders>
              <w:top w:val="nil"/>
              <w:left w:val="nil"/>
              <w:bottom w:val="nil"/>
              <w:right w:val="nil"/>
            </w:tcBorders>
            <w:shd w:val="clear" w:color="000000" w:fill="FFFFFF"/>
            <w:noWrap/>
            <w:vAlign w:val="center"/>
            <w:hideMark/>
          </w:tcPr>
          <w:p w14:paraId="494D940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2.861</w:t>
            </w:r>
          </w:p>
        </w:tc>
        <w:tc>
          <w:tcPr>
            <w:tcW w:w="407" w:type="pct"/>
            <w:tcBorders>
              <w:top w:val="nil"/>
              <w:left w:val="nil"/>
              <w:bottom w:val="nil"/>
              <w:right w:val="single" w:sz="4" w:space="0" w:color="auto"/>
            </w:tcBorders>
            <w:shd w:val="clear" w:color="000000" w:fill="FFFFFF"/>
            <w:noWrap/>
            <w:vAlign w:val="center"/>
            <w:hideMark/>
          </w:tcPr>
          <w:p w14:paraId="4034E20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1.441</w:t>
            </w:r>
          </w:p>
        </w:tc>
        <w:tc>
          <w:tcPr>
            <w:tcW w:w="421" w:type="pct"/>
            <w:tcBorders>
              <w:top w:val="nil"/>
              <w:left w:val="nil"/>
              <w:bottom w:val="nil"/>
              <w:right w:val="nil"/>
            </w:tcBorders>
            <w:shd w:val="clear" w:color="000000" w:fill="FFFFFF"/>
            <w:noWrap/>
            <w:vAlign w:val="center"/>
            <w:hideMark/>
          </w:tcPr>
          <w:p w14:paraId="47D1032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07" w:type="pct"/>
            <w:tcBorders>
              <w:top w:val="nil"/>
              <w:left w:val="single" w:sz="4" w:space="0" w:color="auto"/>
              <w:bottom w:val="nil"/>
              <w:right w:val="single" w:sz="4" w:space="0" w:color="auto"/>
            </w:tcBorders>
            <w:shd w:val="clear" w:color="000000" w:fill="FFFFFF"/>
            <w:noWrap/>
            <w:vAlign w:val="center"/>
            <w:hideMark/>
          </w:tcPr>
          <w:p w14:paraId="3874029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248AC" w:rsidRPr="00650EE4" w14:paraId="571FC7AB"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25F1E9DF"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07" w:type="pct"/>
            <w:tcBorders>
              <w:top w:val="nil"/>
              <w:left w:val="nil"/>
              <w:bottom w:val="single" w:sz="4" w:space="0" w:color="auto"/>
              <w:right w:val="nil"/>
            </w:tcBorders>
            <w:shd w:val="clear" w:color="000000" w:fill="FFFFFF"/>
            <w:noWrap/>
            <w:vAlign w:val="center"/>
            <w:hideMark/>
          </w:tcPr>
          <w:p w14:paraId="4CA5D93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553</w:t>
            </w:r>
          </w:p>
        </w:tc>
        <w:tc>
          <w:tcPr>
            <w:tcW w:w="407" w:type="pct"/>
            <w:tcBorders>
              <w:top w:val="nil"/>
              <w:left w:val="nil"/>
              <w:bottom w:val="single" w:sz="4" w:space="0" w:color="auto"/>
              <w:right w:val="nil"/>
            </w:tcBorders>
            <w:shd w:val="clear" w:color="000000" w:fill="FFFFFF"/>
            <w:noWrap/>
            <w:vAlign w:val="center"/>
            <w:hideMark/>
          </w:tcPr>
          <w:p w14:paraId="118AFE9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6.010</w:t>
            </w:r>
          </w:p>
        </w:tc>
        <w:tc>
          <w:tcPr>
            <w:tcW w:w="421" w:type="pct"/>
            <w:tcBorders>
              <w:top w:val="nil"/>
              <w:left w:val="nil"/>
              <w:bottom w:val="single" w:sz="4" w:space="0" w:color="auto"/>
              <w:right w:val="nil"/>
            </w:tcBorders>
            <w:shd w:val="clear" w:color="000000" w:fill="FFFFFF"/>
            <w:noWrap/>
            <w:vAlign w:val="center"/>
            <w:hideMark/>
          </w:tcPr>
          <w:p w14:paraId="1C55475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42.878</w:t>
            </w:r>
          </w:p>
        </w:tc>
        <w:tc>
          <w:tcPr>
            <w:tcW w:w="407" w:type="pct"/>
            <w:tcBorders>
              <w:top w:val="nil"/>
              <w:left w:val="nil"/>
              <w:bottom w:val="single" w:sz="4" w:space="0" w:color="auto"/>
              <w:right w:val="nil"/>
            </w:tcBorders>
            <w:shd w:val="clear" w:color="000000" w:fill="FFFFFF"/>
            <w:noWrap/>
            <w:vAlign w:val="center"/>
            <w:hideMark/>
          </w:tcPr>
          <w:p w14:paraId="0E9D8FD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4.439</w:t>
            </w:r>
          </w:p>
        </w:tc>
        <w:tc>
          <w:tcPr>
            <w:tcW w:w="407" w:type="pct"/>
            <w:tcBorders>
              <w:top w:val="nil"/>
              <w:left w:val="nil"/>
              <w:bottom w:val="single" w:sz="4" w:space="0" w:color="auto"/>
              <w:right w:val="nil"/>
            </w:tcBorders>
            <w:shd w:val="clear" w:color="000000" w:fill="FFFFFF"/>
            <w:noWrap/>
            <w:vAlign w:val="center"/>
            <w:hideMark/>
          </w:tcPr>
          <w:p w14:paraId="4DA42BC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3.230</w:t>
            </w:r>
          </w:p>
        </w:tc>
        <w:tc>
          <w:tcPr>
            <w:tcW w:w="407" w:type="pct"/>
            <w:tcBorders>
              <w:top w:val="nil"/>
              <w:left w:val="nil"/>
              <w:bottom w:val="single" w:sz="4" w:space="0" w:color="auto"/>
              <w:right w:val="nil"/>
            </w:tcBorders>
            <w:shd w:val="clear" w:color="000000" w:fill="FFFFFF"/>
            <w:noWrap/>
            <w:vAlign w:val="center"/>
            <w:hideMark/>
          </w:tcPr>
          <w:p w14:paraId="2E2F869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929</w:t>
            </w:r>
          </w:p>
        </w:tc>
        <w:tc>
          <w:tcPr>
            <w:tcW w:w="407" w:type="pct"/>
            <w:tcBorders>
              <w:top w:val="nil"/>
              <w:left w:val="nil"/>
              <w:bottom w:val="single" w:sz="4" w:space="0" w:color="auto"/>
              <w:right w:val="nil"/>
            </w:tcBorders>
            <w:shd w:val="clear" w:color="000000" w:fill="FFFFFF"/>
            <w:noWrap/>
            <w:vAlign w:val="center"/>
            <w:hideMark/>
          </w:tcPr>
          <w:p w14:paraId="704B5C3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907</w:t>
            </w:r>
          </w:p>
        </w:tc>
        <w:tc>
          <w:tcPr>
            <w:tcW w:w="407" w:type="pct"/>
            <w:tcBorders>
              <w:top w:val="nil"/>
              <w:left w:val="nil"/>
              <w:bottom w:val="single" w:sz="4" w:space="0" w:color="auto"/>
              <w:right w:val="single" w:sz="4" w:space="0" w:color="auto"/>
            </w:tcBorders>
            <w:shd w:val="clear" w:color="000000" w:fill="FFFFFF"/>
            <w:noWrap/>
            <w:vAlign w:val="center"/>
            <w:hideMark/>
          </w:tcPr>
          <w:p w14:paraId="161EAD5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517</w:t>
            </w:r>
          </w:p>
        </w:tc>
        <w:tc>
          <w:tcPr>
            <w:tcW w:w="421" w:type="pct"/>
            <w:tcBorders>
              <w:top w:val="nil"/>
              <w:left w:val="nil"/>
              <w:bottom w:val="nil"/>
              <w:right w:val="nil"/>
            </w:tcBorders>
            <w:shd w:val="clear" w:color="000000" w:fill="FFFFFF"/>
            <w:noWrap/>
            <w:vAlign w:val="center"/>
            <w:hideMark/>
          </w:tcPr>
          <w:p w14:paraId="31ED7F8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07" w:type="pct"/>
            <w:tcBorders>
              <w:top w:val="nil"/>
              <w:left w:val="single" w:sz="4" w:space="0" w:color="auto"/>
              <w:bottom w:val="single" w:sz="4" w:space="0" w:color="auto"/>
              <w:right w:val="single" w:sz="4" w:space="0" w:color="auto"/>
            </w:tcBorders>
            <w:shd w:val="clear" w:color="000000" w:fill="FFFFFF"/>
            <w:noWrap/>
            <w:vAlign w:val="center"/>
            <w:hideMark/>
          </w:tcPr>
          <w:p w14:paraId="7F43625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248AC" w:rsidRPr="00650EE4" w14:paraId="03C64F26" w14:textId="77777777" w:rsidTr="00307987">
        <w:tc>
          <w:tcPr>
            <w:tcW w:w="905" w:type="pct"/>
            <w:tcBorders>
              <w:top w:val="nil"/>
              <w:left w:val="single" w:sz="4" w:space="0" w:color="auto"/>
              <w:bottom w:val="single" w:sz="4" w:space="0" w:color="auto"/>
              <w:right w:val="single" w:sz="4" w:space="0" w:color="auto"/>
            </w:tcBorders>
            <w:shd w:val="clear" w:color="000000" w:fill="F2F2F2"/>
            <w:noWrap/>
            <w:vAlign w:val="center"/>
            <w:hideMark/>
          </w:tcPr>
          <w:p w14:paraId="793BC9E7" w14:textId="77777777" w:rsidR="006248AC" w:rsidRPr="00650EE4" w:rsidRDefault="006248AC" w:rsidP="006248AC">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2.Negyvenamieji</w:t>
            </w:r>
          </w:p>
        </w:tc>
        <w:tc>
          <w:tcPr>
            <w:tcW w:w="407" w:type="pct"/>
            <w:tcBorders>
              <w:top w:val="nil"/>
              <w:left w:val="nil"/>
              <w:bottom w:val="single" w:sz="4" w:space="0" w:color="auto"/>
              <w:right w:val="nil"/>
            </w:tcBorders>
            <w:shd w:val="clear" w:color="000000" w:fill="F2F2F2"/>
            <w:noWrap/>
            <w:vAlign w:val="center"/>
            <w:hideMark/>
          </w:tcPr>
          <w:p w14:paraId="05BD9A82"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840</w:t>
            </w:r>
          </w:p>
        </w:tc>
        <w:tc>
          <w:tcPr>
            <w:tcW w:w="407" w:type="pct"/>
            <w:tcBorders>
              <w:top w:val="nil"/>
              <w:left w:val="nil"/>
              <w:bottom w:val="single" w:sz="4" w:space="0" w:color="auto"/>
              <w:right w:val="nil"/>
            </w:tcBorders>
            <w:shd w:val="clear" w:color="000000" w:fill="F2F2F2"/>
            <w:noWrap/>
            <w:vAlign w:val="center"/>
            <w:hideMark/>
          </w:tcPr>
          <w:p w14:paraId="55DD1CCE"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8.384</w:t>
            </w:r>
          </w:p>
        </w:tc>
        <w:tc>
          <w:tcPr>
            <w:tcW w:w="421" w:type="pct"/>
            <w:tcBorders>
              <w:top w:val="nil"/>
              <w:left w:val="nil"/>
              <w:bottom w:val="single" w:sz="4" w:space="0" w:color="auto"/>
              <w:right w:val="nil"/>
            </w:tcBorders>
            <w:shd w:val="clear" w:color="000000" w:fill="F2F2F2"/>
            <w:noWrap/>
            <w:vAlign w:val="center"/>
            <w:hideMark/>
          </w:tcPr>
          <w:p w14:paraId="1EA6F1C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44.337</w:t>
            </w:r>
          </w:p>
        </w:tc>
        <w:tc>
          <w:tcPr>
            <w:tcW w:w="407" w:type="pct"/>
            <w:tcBorders>
              <w:top w:val="nil"/>
              <w:left w:val="nil"/>
              <w:bottom w:val="single" w:sz="4" w:space="0" w:color="auto"/>
              <w:right w:val="nil"/>
            </w:tcBorders>
            <w:shd w:val="clear" w:color="000000" w:fill="F2F2F2"/>
            <w:noWrap/>
            <w:vAlign w:val="center"/>
            <w:hideMark/>
          </w:tcPr>
          <w:p w14:paraId="05969BE4"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7.405</w:t>
            </w:r>
          </w:p>
        </w:tc>
        <w:tc>
          <w:tcPr>
            <w:tcW w:w="407" w:type="pct"/>
            <w:tcBorders>
              <w:top w:val="nil"/>
              <w:left w:val="nil"/>
              <w:bottom w:val="single" w:sz="4" w:space="0" w:color="auto"/>
              <w:right w:val="nil"/>
            </w:tcBorders>
            <w:shd w:val="clear" w:color="000000" w:fill="F2F2F2"/>
            <w:noWrap/>
            <w:vAlign w:val="center"/>
            <w:hideMark/>
          </w:tcPr>
          <w:p w14:paraId="7DE73492"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6.477</w:t>
            </w:r>
          </w:p>
        </w:tc>
        <w:tc>
          <w:tcPr>
            <w:tcW w:w="407" w:type="pct"/>
            <w:tcBorders>
              <w:top w:val="nil"/>
              <w:left w:val="nil"/>
              <w:bottom w:val="single" w:sz="4" w:space="0" w:color="auto"/>
              <w:right w:val="nil"/>
            </w:tcBorders>
            <w:shd w:val="clear" w:color="000000" w:fill="F2F2F2"/>
            <w:noWrap/>
            <w:vAlign w:val="center"/>
            <w:hideMark/>
          </w:tcPr>
          <w:p w14:paraId="29D8AE77"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2.360</w:t>
            </w:r>
          </w:p>
        </w:tc>
        <w:tc>
          <w:tcPr>
            <w:tcW w:w="407" w:type="pct"/>
            <w:tcBorders>
              <w:top w:val="nil"/>
              <w:left w:val="nil"/>
              <w:bottom w:val="single" w:sz="4" w:space="0" w:color="auto"/>
              <w:right w:val="nil"/>
            </w:tcBorders>
            <w:shd w:val="clear" w:color="000000" w:fill="F2F2F2"/>
            <w:noWrap/>
            <w:vAlign w:val="center"/>
            <w:hideMark/>
          </w:tcPr>
          <w:p w14:paraId="78A9D495"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1.954</w:t>
            </w:r>
          </w:p>
        </w:tc>
        <w:tc>
          <w:tcPr>
            <w:tcW w:w="407" w:type="pct"/>
            <w:tcBorders>
              <w:top w:val="nil"/>
              <w:left w:val="nil"/>
              <w:bottom w:val="single" w:sz="4" w:space="0" w:color="auto"/>
              <w:right w:val="nil"/>
            </w:tcBorders>
            <w:shd w:val="clear" w:color="000000" w:fill="F2F2F2"/>
            <w:noWrap/>
            <w:vAlign w:val="center"/>
            <w:hideMark/>
          </w:tcPr>
          <w:p w14:paraId="264D51AA"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913</w:t>
            </w:r>
          </w:p>
        </w:tc>
        <w:tc>
          <w:tcPr>
            <w:tcW w:w="42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F42B235" w14:textId="77777777" w:rsidR="006248AC" w:rsidRPr="00650EE4" w:rsidRDefault="006248AC" w:rsidP="006248AC">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72.670</w:t>
            </w:r>
          </w:p>
        </w:tc>
        <w:tc>
          <w:tcPr>
            <w:tcW w:w="407" w:type="pct"/>
            <w:tcBorders>
              <w:top w:val="nil"/>
              <w:left w:val="nil"/>
              <w:bottom w:val="single" w:sz="4" w:space="0" w:color="auto"/>
              <w:right w:val="single" w:sz="4" w:space="0" w:color="auto"/>
            </w:tcBorders>
            <w:shd w:val="clear" w:color="000000" w:fill="F2F2F2"/>
            <w:noWrap/>
            <w:vAlign w:val="center"/>
            <w:hideMark/>
          </w:tcPr>
          <w:p w14:paraId="3CBB9816" w14:textId="77777777" w:rsidR="006248AC" w:rsidRPr="00650EE4" w:rsidRDefault="006248AC" w:rsidP="006248AC">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36%</w:t>
            </w:r>
          </w:p>
        </w:tc>
      </w:tr>
      <w:tr w:rsidR="006248AC" w:rsidRPr="00650EE4" w14:paraId="19BCEF45"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69D71F65"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07" w:type="pct"/>
            <w:tcBorders>
              <w:top w:val="nil"/>
              <w:left w:val="nil"/>
              <w:bottom w:val="nil"/>
              <w:right w:val="nil"/>
            </w:tcBorders>
            <w:shd w:val="clear" w:color="000000" w:fill="FFFFFF"/>
            <w:noWrap/>
            <w:vAlign w:val="center"/>
            <w:hideMark/>
          </w:tcPr>
          <w:p w14:paraId="7CDC67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w:t>
            </w:r>
          </w:p>
        </w:tc>
        <w:tc>
          <w:tcPr>
            <w:tcW w:w="407" w:type="pct"/>
            <w:tcBorders>
              <w:top w:val="nil"/>
              <w:left w:val="nil"/>
              <w:bottom w:val="nil"/>
              <w:right w:val="nil"/>
            </w:tcBorders>
            <w:shd w:val="clear" w:color="000000" w:fill="FFFFFF"/>
            <w:noWrap/>
            <w:vAlign w:val="center"/>
            <w:hideMark/>
          </w:tcPr>
          <w:p w14:paraId="2E7D110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3.416</w:t>
            </w:r>
          </w:p>
        </w:tc>
        <w:tc>
          <w:tcPr>
            <w:tcW w:w="421" w:type="pct"/>
            <w:tcBorders>
              <w:top w:val="nil"/>
              <w:left w:val="nil"/>
              <w:bottom w:val="nil"/>
              <w:right w:val="nil"/>
            </w:tcBorders>
            <w:shd w:val="clear" w:color="000000" w:fill="FFFFFF"/>
            <w:noWrap/>
            <w:vAlign w:val="center"/>
            <w:hideMark/>
          </w:tcPr>
          <w:p w14:paraId="0F02B84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23.537</w:t>
            </w:r>
          </w:p>
        </w:tc>
        <w:tc>
          <w:tcPr>
            <w:tcW w:w="407" w:type="pct"/>
            <w:tcBorders>
              <w:top w:val="nil"/>
              <w:left w:val="nil"/>
              <w:bottom w:val="nil"/>
              <w:right w:val="nil"/>
            </w:tcBorders>
            <w:shd w:val="clear" w:color="000000" w:fill="FFFFFF"/>
            <w:noWrap/>
            <w:vAlign w:val="center"/>
            <w:hideMark/>
          </w:tcPr>
          <w:p w14:paraId="7664058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3.382</w:t>
            </w:r>
          </w:p>
        </w:tc>
        <w:tc>
          <w:tcPr>
            <w:tcW w:w="407" w:type="pct"/>
            <w:tcBorders>
              <w:top w:val="nil"/>
              <w:left w:val="nil"/>
              <w:bottom w:val="nil"/>
              <w:right w:val="nil"/>
            </w:tcBorders>
            <w:shd w:val="clear" w:color="000000" w:fill="FFFFFF"/>
            <w:noWrap/>
            <w:vAlign w:val="center"/>
            <w:hideMark/>
          </w:tcPr>
          <w:p w14:paraId="763523C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2.627</w:t>
            </w:r>
          </w:p>
        </w:tc>
        <w:tc>
          <w:tcPr>
            <w:tcW w:w="407" w:type="pct"/>
            <w:tcBorders>
              <w:top w:val="nil"/>
              <w:left w:val="nil"/>
              <w:bottom w:val="nil"/>
              <w:right w:val="nil"/>
            </w:tcBorders>
            <w:shd w:val="clear" w:color="000000" w:fill="FFFFFF"/>
            <w:noWrap/>
            <w:vAlign w:val="center"/>
            <w:hideMark/>
          </w:tcPr>
          <w:p w14:paraId="6FAA360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968</w:t>
            </w:r>
          </w:p>
        </w:tc>
        <w:tc>
          <w:tcPr>
            <w:tcW w:w="407" w:type="pct"/>
            <w:tcBorders>
              <w:top w:val="nil"/>
              <w:left w:val="nil"/>
              <w:bottom w:val="nil"/>
              <w:right w:val="nil"/>
            </w:tcBorders>
            <w:shd w:val="clear" w:color="000000" w:fill="FFFFFF"/>
            <w:noWrap/>
            <w:vAlign w:val="center"/>
            <w:hideMark/>
          </w:tcPr>
          <w:p w14:paraId="6FE76EF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891</w:t>
            </w:r>
          </w:p>
        </w:tc>
        <w:tc>
          <w:tcPr>
            <w:tcW w:w="407" w:type="pct"/>
            <w:tcBorders>
              <w:top w:val="nil"/>
              <w:left w:val="nil"/>
              <w:bottom w:val="nil"/>
              <w:right w:val="nil"/>
            </w:tcBorders>
            <w:shd w:val="clear" w:color="000000" w:fill="FFFFFF"/>
            <w:noWrap/>
            <w:vAlign w:val="center"/>
            <w:hideMark/>
          </w:tcPr>
          <w:p w14:paraId="1C985A5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421" w:type="pct"/>
            <w:tcBorders>
              <w:top w:val="nil"/>
              <w:left w:val="single" w:sz="4" w:space="0" w:color="auto"/>
              <w:bottom w:val="nil"/>
              <w:right w:val="single" w:sz="4" w:space="0" w:color="auto"/>
            </w:tcBorders>
            <w:shd w:val="clear" w:color="000000" w:fill="FFFFFF"/>
            <w:noWrap/>
            <w:vAlign w:val="center"/>
            <w:hideMark/>
          </w:tcPr>
          <w:p w14:paraId="1BCE6B0A"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07" w:type="pct"/>
            <w:tcBorders>
              <w:top w:val="nil"/>
              <w:left w:val="nil"/>
              <w:bottom w:val="nil"/>
              <w:right w:val="single" w:sz="4" w:space="0" w:color="auto"/>
            </w:tcBorders>
            <w:shd w:val="clear" w:color="000000" w:fill="FFFFFF"/>
            <w:noWrap/>
            <w:vAlign w:val="center"/>
            <w:hideMark/>
          </w:tcPr>
          <w:p w14:paraId="58ED11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248AC" w:rsidRPr="00650EE4" w14:paraId="677D856D"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0033E411"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07" w:type="pct"/>
            <w:tcBorders>
              <w:top w:val="nil"/>
              <w:left w:val="nil"/>
              <w:bottom w:val="nil"/>
              <w:right w:val="nil"/>
            </w:tcBorders>
            <w:shd w:val="clear" w:color="000000" w:fill="FFFFFF"/>
            <w:noWrap/>
            <w:vAlign w:val="center"/>
            <w:hideMark/>
          </w:tcPr>
          <w:p w14:paraId="61C103E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169</w:t>
            </w:r>
          </w:p>
        </w:tc>
        <w:tc>
          <w:tcPr>
            <w:tcW w:w="407" w:type="pct"/>
            <w:tcBorders>
              <w:top w:val="nil"/>
              <w:left w:val="nil"/>
              <w:bottom w:val="nil"/>
              <w:right w:val="nil"/>
            </w:tcBorders>
            <w:shd w:val="clear" w:color="000000" w:fill="FFFFFF"/>
            <w:noWrap/>
            <w:vAlign w:val="center"/>
            <w:hideMark/>
          </w:tcPr>
          <w:p w14:paraId="44C01A8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1.554</w:t>
            </w:r>
          </w:p>
        </w:tc>
        <w:tc>
          <w:tcPr>
            <w:tcW w:w="421" w:type="pct"/>
            <w:tcBorders>
              <w:top w:val="nil"/>
              <w:left w:val="nil"/>
              <w:bottom w:val="nil"/>
              <w:right w:val="nil"/>
            </w:tcBorders>
            <w:shd w:val="clear" w:color="000000" w:fill="FFFFFF"/>
            <w:noWrap/>
            <w:vAlign w:val="center"/>
            <w:hideMark/>
          </w:tcPr>
          <w:p w14:paraId="18C5775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5.706</w:t>
            </w:r>
          </w:p>
        </w:tc>
        <w:tc>
          <w:tcPr>
            <w:tcW w:w="407" w:type="pct"/>
            <w:tcBorders>
              <w:top w:val="nil"/>
              <w:left w:val="nil"/>
              <w:bottom w:val="nil"/>
              <w:right w:val="nil"/>
            </w:tcBorders>
            <w:shd w:val="clear" w:color="000000" w:fill="FFFFFF"/>
            <w:noWrap/>
            <w:vAlign w:val="center"/>
            <w:hideMark/>
          </w:tcPr>
          <w:p w14:paraId="6A80327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924</w:t>
            </w:r>
          </w:p>
        </w:tc>
        <w:tc>
          <w:tcPr>
            <w:tcW w:w="407" w:type="pct"/>
            <w:tcBorders>
              <w:top w:val="nil"/>
              <w:left w:val="nil"/>
              <w:bottom w:val="nil"/>
              <w:right w:val="nil"/>
            </w:tcBorders>
            <w:shd w:val="clear" w:color="000000" w:fill="FFFFFF"/>
            <w:noWrap/>
            <w:vAlign w:val="center"/>
            <w:hideMark/>
          </w:tcPr>
          <w:p w14:paraId="531C4A8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844</w:t>
            </w:r>
          </w:p>
        </w:tc>
        <w:tc>
          <w:tcPr>
            <w:tcW w:w="407" w:type="pct"/>
            <w:tcBorders>
              <w:top w:val="nil"/>
              <w:left w:val="nil"/>
              <w:bottom w:val="nil"/>
              <w:right w:val="nil"/>
            </w:tcBorders>
            <w:shd w:val="clear" w:color="000000" w:fill="FFFFFF"/>
            <w:noWrap/>
            <w:vAlign w:val="center"/>
            <w:hideMark/>
          </w:tcPr>
          <w:p w14:paraId="7F650F2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351</w:t>
            </w:r>
          </w:p>
        </w:tc>
        <w:tc>
          <w:tcPr>
            <w:tcW w:w="407" w:type="pct"/>
            <w:tcBorders>
              <w:top w:val="nil"/>
              <w:left w:val="nil"/>
              <w:bottom w:val="nil"/>
              <w:right w:val="nil"/>
            </w:tcBorders>
            <w:shd w:val="clear" w:color="000000" w:fill="FFFFFF"/>
            <w:noWrap/>
            <w:vAlign w:val="center"/>
            <w:hideMark/>
          </w:tcPr>
          <w:p w14:paraId="630489F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332</w:t>
            </w:r>
          </w:p>
        </w:tc>
        <w:tc>
          <w:tcPr>
            <w:tcW w:w="407" w:type="pct"/>
            <w:tcBorders>
              <w:top w:val="nil"/>
              <w:left w:val="nil"/>
              <w:bottom w:val="nil"/>
              <w:right w:val="nil"/>
            </w:tcBorders>
            <w:shd w:val="clear" w:color="000000" w:fill="FFFFFF"/>
            <w:noWrap/>
            <w:vAlign w:val="center"/>
            <w:hideMark/>
          </w:tcPr>
          <w:p w14:paraId="402DA75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217</w:t>
            </w:r>
          </w:p>
        </w:tc>
        <w:tc>
          <w:tcPr>
            <w:tcW w:w="421" w:type="pct"/>
            <w:tcBorders>
              <w:top w:val="nil"/>
              <w:left w:val="single" w:sz="4" w:space="0" w:color="auto"/>
              <w:bottom w:val="nil"/>
              <w:right w:val="single" w:sz="4" w:space="0" w:color="auto"/>
            </w:tcBorders>
            <w:shd w:val="clear" w:color="000000" w:fill="FFFFFF"/>
            <w:noWrap/>
            <w:vAlign w:val="center"/>
            <w:hideMark/>
          </w:tcPr>
          <w:p w14:paraId="327A846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07" w:type="pct"/>
            <w:tcBorders>
              <w:top w:val="nil"/>
              <w:left w:val="nil"/>
              <w:bottom w:val="nil"/>
              <w:right w:val="single" w:sz="4" w:space="0" w:color="auto"/>
            </w:tcBorders>
            <w:shd w:val="clear" w:color="000000" w:fill="FFFFFF"/>
            <w:noWrap/>
            <w:vAlign w:val="center"/>
            <w:hideMark/>
          </w:tcPr>
          <w:p w14:paraId="2137748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248AC" w:rsidRPr="00650EE4" w14:paraId="0A21872E"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55749D82"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07" w:type="pct"/>
            <w:tcBorders>
              <w:top w:val="nil"/>
              <w:left w:val="nil"/>
              <w:bottom w:val="nil"/>
              <w:right w:val="nil"/>
            </w:tcBorders>
            <w:shd w:val="clear" w:color="000000" w:fill="FFFFFF"/>
            <w:noWrap/>
            <w:vAlign w:val="center"/>
            <w:hideMark/>
          </w:tcPr>
          <w:p w14:paraId="75CB682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118</w:t>
            </w:r>
          </w:p>
        </w:tc>
        <w:tc>
          <w:tcPr>
            <w:tcW w:w="407" w:type="pct"/>
            <w:tcBorders>
              <w:top w:val="nil"/>
              <w:left w:val="nil"/>
              <w:bottom w:val="nil"/>
              <w:right w:val="nil"/>
            </w:tcBorders>
            <w:shd w:val="clear" w:color="000000" w:fill="FFFFFF"/>
            <w:noWrap/>
            <w:vAlign w:val="center"/>
            <w:hideMark/>
          </w:tcPr>
          <w:p w14:paraId="1768926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1.257</w:t>
            </w:r>
          </w:p>
        </w:tc>
        <w:tc>
          <w:tcPr>
            <w:tcW w:w="421" w:type="pct"/>
            <w:tcBorders>
              <w:top w:val="nil"/>
              <w:left w:val="nil"/>
              <w:bottom w:val="nil"/>
              <w:right w:val="nil"/>
            </w:tcBorders>
            <w:shd w:val="clear" w:color="000000" w:fill="FFFFFF"/>
            <w:noWrap/>
            <w:vAlign w:val="center"/>
            <w:hideMark/>
          </w:tcPr>
          <w:p w14:paraId="21C4CC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6.367</w:t>
            </w:r>
          </w:p>
        </w:tc>
        <w:tc>
          <w:tcPr>
            <w:tcW w:w="407" w:type="pct"/>
            <w:tcBorders>
              <w:top w:val="nil"/>
              <w:left w:val="nil"/>
              <w:bottom w:val="nil"/>
              <w:right w:val="nil"/>
            </w:tcBorders>
            <w:shd w:val="clear" w:color="000000" w:fill="FFFFFF"/>
            <w:noWrap/>
            <w:vAlign w:val="center"/>
            <w:hideMark/>
          </w:tcPr>
          <w:p w14:paraId="15E7852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386</w:t>
            </w:r>
          </w:p>
        </w:tc>
        <w:tc>
          <w:tcPr>
            <w:tcW w:w="407" w:type="pct"/>
            <w:tcBorders>
              <w:top w:val="nil"/>
              <w:left w:val="nil"/>
              <w:bottom w:val="nil"/>
              <w:right w:val="nil"/>
            </w:tcBorders>
            <w:shd w:val="clear" w:color="000000" w:fill="FFFFFF"/>
            <w:noWrap/>
            <w:vAlign w:val="center"/>
            <w:hideMark/>
          </w:tcPr>
          <w:p w14:paraId="6DECEE4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407" w:type="pct"/>
            <w:tcBorders>
              <w:top w:val="nil"/>
              <w:left w:val="nil"/>
              <w:bottom w:val="nil"/>
              <w:right w:val="nil"/>
            </w:tcBorders>
            <w:shd w:val="clear" w:color="000000" w:fill="FFFFFF"/>
            <w:noWrap/>
            <w:vAlign w:val="center"/>
            <w:hideMark/>
          </w:tcPr>
          <w:p w14:paraId="357E1F5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407" w:type="pct"/>
            <w:tcBorders>
              <w:top w:val="nil"/>
              <w:left w:val="nil"/>
              <w:bottom w:val="nil"/>
              <w:right w:val="nil"/>
            </w:tcBorders>
            <w:shd w:val="clear" w:color="000000" w:fill="FFFFFF"/>
            <w:noWrap/>
            <w:vAlign w:val="center"/>
            <w:hideMark/>
          </w:tcPr>
          <w:p w14:paraId="4284344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07" w:type="pct"/>
            <w:tcBorders>
              <w:top w:val="nil"/>
              <w:left w:val="nil"/>
              <w:bottom w:val="nil"/>
              <w:right w:val="nil"/>
            </w:tcBorders>
            <w:shd w:val="clear" w:color="000000" w:fill="FFFFFF"/>
            <w:noWrap/>
            <w:vAlign w:val="center"/>
            <w:hideMark/>
          </w:tcPr>
          <w:p w14:paraId="64D6571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21" w:type="pct"/>
            <w:tcBorders>
              <w:top w:val="nil"/>
              <w:left w:val="single" w:sz="4" w:space="0" w:color="auto"/>
              <w:bottom w:val="nil"/>
              <w:right w:val="single" w:sz="4" w:space="0" w:color="auto"/>
            </w:tcBorders>
            <w:shd w:val="clear" w:color="000000" w:fill="FFFFFF"/>
            <w:noWrap/>
            <w:vAlign w:val="center"/>
            <w:hideMark/>
          </w:tcPr>
          <w:p w14:paraId="0DD707C3"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07" w:type="pct"/>
            <w:tcBorders>
              <w:top w:val="nil"/>
              <w:left w:val="nil"/>
              <w:bottom w:val="nil"/>
              <w:right w:val="single" w:sz="4" w:space="0" w:color="auto"/>
            </w:tcBorders>
            <w:shd w:val="clear" w:color="000000" w:fill="FFFFFF"/>
            <w:noWrap/>
            <w:vAlign w:val="center"/>
            <w:hideMark/>
          </w:tcPr>
          <w:p w14:paraId="0D517C7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248AC" w:rsidRPr="00650EE4" w14:paraId="7BE5AB4F"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434B92ED"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07" w:type="pct"/>
            <w:tcBorders>
              <w:top w:val="nil"/>
              <w:left w:val="nil"/>
              <w:bottom w:val="nil"/>
              <w:right w:val="nil"/>
            </w:tcBorders>
            <w:shd w:val="clear" w:color="000000" w:fill="FFFFFF"/>
            <w:noWrap/>
            <w:vAlign w:val="center"/>
            <w:hideMark/>
          </w:tcPr>
          <w:p w14:paraId="4550762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w:t>
            </w:r>
          </w:p>
        </w:tc>
        <w:tc>
          <w:tcPr>
            <w:tcW w:w="407" w:type="pct"/>
            <w:tcBorders>
              <w:top w:val="nil"/>
              <w:left w:val="nil"/>
              <w:bottom w:val="nil"/>
              <w:right w:val="nil"/>
            </w:tcBorders>
            <w:shd w:val="clear" w:color="000000" w:fill="FFFFFF"/>
            <w:noWrap/>
            <w:vAlign w:val="center"/>
            <w:hideMark/>
          </w:tcPr>
          <w:p w14:paraId="3AD25B4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495</w:t>
            </w:r>
          </w:p>
        </w:tc>
        <w:tc>
          <w:tcPr>
            <w:tcW w:w="421" w:type="pct"/>
            <w:tcBorders>
              <w:top w:val="nil"/>
              <w:left w:val="nil"/>
              <w:bottom w:val="nil"/>
              <w:right w:val="nil"/>
            </w:tcBorders>
            <w:shd w:val="clear" w:color="000000" w:fill="FFFFFF"/>
            <w:noWrap/>
            <w:vAlign w:val="center"/>
            <w:hideMark/>
          </w:tcPr>
          <w:p w14:paraId="3304EF8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2.375</w:t>
            </w:r>
          </w:p>
        </w:tc>
        <w:tc>
          <w:tcPr>
            <w:tcW w:w="407" w:type="pct"/>
            <w:tcBorders>
              <w:top w:val="nil"/>
              <w:left w:val="nil"/>
              <w:bottom w:val="nil"/>
              <w:right w:val="nil"/>
            </w:tcBorders>
            <w:shd w:val="clear" w:color="000000" w:fill="FFFFFF"/>
            <w:noWrap/>
            <w:vAlign w:val="center"/>
            <w:hideMark/>
          </w:tcPr>
          <w:p w14:paraId="5F6649D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1.627</w:t>
            </w:r>
          </w:p>
        </w:tc>
        <w:tc>
          <w:tcPr>
            <w:tcW w:w="407" w:type="pct"/>
            <w:tcBorders>
              <w:top w:val="nil"/>
              <w:left w:val="nil"/>
              <w:bottom w:val="nil"/>
              <w:right w:val="nil"/>
            </w:tcBorders>
            <w:shd w:val="clear" w:color="000000" w:fill="FFFFFF"/>
            <w:noWrap/>
            <w:vAlign w:val="center"/>
            <w:hideMark/>
          </w:tcPr>
          <w:p w14:paraId="722A91B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1.631</w:t>
            </w:r>
          </w:p>
        </w:tc>
        <w:tc>
          <w:tcPr>
            <w:tcW w:w="407" w:type="pct"/>
            <w:tcBorders>
              <w:top w:val="nil"/>
              <w:left w:val="nil"/>
              <w:bottom w:val="nil"/>
              <w:right w:val="nil"/>
            </w:tcBorders>
            <w:shd w:val="clear" w:color="000000" w:fill="FFFFFF"/>
            <w:noWrap/>
            <w:vAlign w:val="center"/>
            <w:hideMark/>
          </w:tcPr>
          <w:p w14:paraId="6626166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491</w:t>
            </w:r>
          </w:p>
        </w:tc>
        <w:tc>
          <w:tcPr>
            <w:tcW w:w="407" w:type="pct"/>
            <w:tcBorders>
              <w:top w:val="nil"/>
              <w:left w:val="nil"/>
              <w:bottom w:val="nil"/>
              <w:right w:val="nil"/>
            </w:tcBorders>
            <w:shd w:val="clear" w:color="000000" w:fill="FFFFFF"/>
            <w:noWrap/>
            <w:vAlign w:val="center"/>
            <w:hideMark/>
          </w:tcPr>
          <w:p w14:paraId="5E36CC0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316</w:t>
            </w:r>
          </w:p>
        </w:tc>
        <w:tc>
          <w:tcPr>
            <w:tcW w:w="407" w:type="pct"/>
            <w:tcBorders>
              <w:top w:val="nil"/>
              <w:left w:val="nil"/>
              <w:bottom w:val="nil"/>
              <w:right w:val="nil"/>
            </w:tcBorders>
            <w:shd w:val="clear" w:color="000000" w:fill="FFFFFF"/>
            <w:noWrap/>
            <w:vAlign w:val="center"/>
            <w:hideMark/>
          </w:tcPr>
          <w:p w14:paraId="773E1B7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21" w:type="pct"/>
            <w:tcBorders>
              <w:top w:val="nil"/>
              <w:left w:val="single" w:sz="4" w:space="0" w:color="auto"/>
              <w:bottom w:val="nil"/>
              <w:right w:val="single" w:sz="4" w:space="0" w:color="auto"/>
            </w:tcBorders>
            <w:shd w:val="clear" w:color="000000" w:fill="FFFFFF"/>
            <w:noWrap/>
            <w:vAlign w:val="center"/>
            <w:hideMark/>
          </w:tcPr>
          <w:p w14:paraId="24B12FF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07" w:type="pct"/>
            <w:tcBorders>
              <w:top w:val="nil"/>
              <w:left w:val="nil"/>
              <w:bottom w:val="nil"/>
              <w:right w:val="single" w:sz="4" w:space="0" w:color="auto"/>
            </w:tcBorders>
            <w:shd w:val="clear" w:color="000000" w:fill="FFFFFF"/>
            <w:noWrap/>
            <w:vAlign w:val="center"/>
            <w:hideMark/>
          </w:tcPr>
          <w:p w14:paraId="3C89574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6248AC" w:rsidRPr="00650EE4" w14:paraId="7A9892F0"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34E9ED36"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07" w:type="pct"/>
            <w:tcBorders>
              <w:top w:val="nil"/>
              <w:left w:val="nil"/>
              <w:bottom w:val="nil"/>
              <w:right w:val="nil"/>
            </w:tcBorders>
            <w:shd w:val="clear" w:color="000000" w:fill="FFFFFF"/>
            <w:noWrap/>
            <w:vAlign w:val="center"/>
            <w:hideMark/>
          </w:tcPr>
          <w:p w14:paraId="0D3DFFA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407" w:type="pct"/>
            <w:tcBorders>
              <w:top w:val="nil"/>
              <w:left w:val="nil"/>
              <w:bottom w:val="nil"/>
              <w:right w:val="nil"/>
            </w:tcBorders>
            <w:shd w:val="clear" w:color="000000" w:fill="FFFFFF"/>
            <w:noWrap/>
            <w:vAlign w:val="center"/>
            <w:hideMark/>
          </w:tcPr>
          <w:p w14:paraId="1E860EC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421" w:type="pct"/>
            <w:tcBorders>
              <w:top w:val="nil"/>
              <w:left w:val="nil"/>
              <w:bottom w:val="nil"/>
              <w:right w:val="nil"/>
            </w:tcBorders>
            <w:shd w:val="clear" w:color="000000" w:fill="FFFFFF"/>
            <w:noWrap/>
            <w:vAlign w:val="center"/>
            <w:hideMark/>
          </w:tcPr>
          <w:p w14:paraId="17F2937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1.973</w:t>
            </w:r>
          </w:p>
        </w:tc>
        <w:tc>
          <w:tcPr>
            <w:tcW w:w="407" w:type="pct"/>
            <w:tcBorders>
              <w:top w:val="nil"/>
              <w:left w:val="nil"/>
              <w:bottom w:val="nil"/>
              <w:right w:val="nil"/>
            </w:tcBorders>
            <w:shd w:val="clear" w:color="000000" w:fill="FFFFFF"/>
            <w:noWrap/>
            <w:vAlign w:val="center"/>
            <w:hideMark/>
          </w:tcPr>
          <w:p w14:paraId="5010BAB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218</w:t>
            </w:r>
          </w:p>
        </w:tc>
        <w:tc>
          <w:tcPr>
            <w:tcW w:w="407" w:type="pct"/>
            <w:tcBorders>
              <w:top w:val="nil"/>
              <w:left w:val="nil"/>
              <w:bottom w:val="nil"/>
              <w:right w:val="nil"/>
            </w:tcBorders>
            <w:shd w:val="clear" w:color="000000" w:fill="FFFFFF"/>
            <w:noWrap/>
            <w:vAlign w:val="center"/>
            <w:hideMark/>
          </w:tcPr>
          <w:p w14:paraId="2CD6C61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407" w:type="pct"/>
            <w:tcBorders>
              <w:top w:val="nil"/>
              <w:left w:val="nil"/>
              <w:bottom w:val="nil"/>
              <w:right w:val="nil"/>
            </w:tcBorders>
            <w:shd w:val="clear" w:color="000000" w:fill="FFFFFF"/>
            <w:noWrap/>
            <w:vAlign w:val="center"/>
            <w:hideMark/>
          </w:tcPr>
          <w:p w14:paraId="4679ECC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w:t>
            </w:r>
          </w:p>
        </w:tc>
        <w:tc>
          <w:tcPr>
            <w:tcW w:w="407" w:type="pct"/>
            <w:tcBorders>
              <w:top w:val="nil"/>
              <w:left w:val="nil"/>
              <w:bottom w:val="nil"/>
              <w:right w:val="nil"/>
            </w:tcBorders>
            <w:shd w:val="clear" w:color="000000" w:fill="FFFFFF"/>
            <w:noWrap/>
            <w:vAlign w:val="center"/>
            <w:hideMark/>
          </w:tcPr>
          <w:p w14:paraId="4E7E076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407" w:type="pct"/>
            <w:tcBorders>
              <w:top w:val="nil"/>
              <w:left w:val="nil"/>
              <w:bottom w:val="nil"/>
              <w:right w:val="nil"/>
            </w:tcBorders>
            <w:shd w:val="clear" w:color="000000" w:fill="FFFFFF"/>
            <w:noWrap/>
            <w:vAlign w:val="center"/>
            <w:hideMark/>
          </w:tcPr>
          <w:p w14:paraId="53EFDF1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21" w:type="pct"/>
            <w:tcBorders>
              <w:top w:val="nil"/>
              <w:left w:val="single" w:sz="4" w:space="0" w:color="auto"/>
              <w:bottom w:val="nil"/>
              <w:right w:val="single" w:sz="4" w:space="0" w:color="auto"/>
            </w:tcBorders>
            <w:shd w:val="clear" w:color="000000" w:fill="FFFFFF"/>
            <w:noWrap/>
            <w:vAlign w:val="center"/>
            <w:hideMark/>
          </w:tcPr>
          <w:p w14:paraId="344DCD1F"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07" w:type="pct"/>
            <w:tcBorders>
              <w:top w:val="nil"/>
              <w:left w:val="nil"/>
              <w:bottom w:val="nil"/>
              <w:right w:val="single" w:sz="4" w:space="0" w:color="auto"/>
            </w:tcBorders>
            <w:shd w:val="clear" w:color="000000" w:fill="FFFFFF"/>
            <w:noWrap/>
            <w:vAlign w:val="center"/>
            <w:hideMark/>
          </w:tcPr>
          <w:p w14:paraId="27C2E35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r>
      <w:tr w:rsidR="006248AC" w:rsidRPr="00650EE4" w14:paraId="67A42671"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4A49F79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407" w:type="pct"/>
            <w:tcBorders>
              <w:top w:val="nil"/>
              <w:left w:val="nil"/>
              <w:bottom w:val="nil"/>
              <w:right w:val="nil"/>
            </w:tcBorders>
            <w:shd w:val="clear" w:color="000000" w:fill="FFFFFF"/>
            <w:noWrap/>
            <w:vAlign w:val="center"/>
            <w:hideMark/>
          </w:tcPr>
          <w:p w14:paraId="12AB9B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07" w:type="pct"/>
            <w:tcBorders>
              <w:top w:val="nil"/>
              <w:left w:val="nil"/>
              <w:bottom w:val="nil"/>
              <w:right w:val="nil"/>
            </w:tcBorders>
            <w:shd w:val="clear" w:color="000000" w:fill="FFFFFF"/>
            <w:noWrap/>
            <w:vAlign w:val="center"/>
            <w:hideMark/>
          </w:tcPr>
          <w:p w14:paraId="5C8A48B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261</w:t>
            </w:r>
          </w:p>
        </w:tc>
        <w:tc>
          <w:tcPr>
            <w:tcW w:w="421" w:type="pct"/>
            <w:tcBorders>
              <w:top w:val="nil"/>
              <w:left w:val="nil"/>
              <w:bottom w:val="nil"/>
              <w:right w:val="nil"/>
            </w:tcBorders>
            <w:shd w:val="clear" w:color="000000" w:fill="FFFFFF"/>
            <w:noWrap/>
            <w:vAlign w:val="center"/>
            <w:hideMark/>
          </w:tcPr>
          <w:p w14:paraId="401457F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987</w:t>
            </w:r>
          </w:p>
        </w:tc>
        <w:tc>
          <w:tcPr>
            <w:tcW w:w="407" w:type="pct"/>
            <w:tcBorders>
              <w:top w:val="nil"/>
              <w:left w:val="nil"/>
              <w:bottom w:val="nil"/>
              <w:right w:val="nil"/>
            </w:tcBorders>
            <w:shd w:val="clear" w:color="000000" w:fill="FFFFFF"/>
            <w:noWrap/>
            <w:vAlign w:val="center"/>
            <w:hideMark/>
          </w:tcPr>
          <w:p w14:paraId="678077F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257</w:t>
            </w:r>
          </w:p>
        </w:tc>
        <w:tc>
          <w:tcPr>
            <w:tcW w:w="407" w:type="pct"/>
            <w:tcBorders>
              <w:top w:val="nil"/>
              <w:left w:val="nil"/>
              <w:bottom w:val="nil"/>
              <w:right w:val="nil"/>
            </w:tcBorders>
            <w:shd w:val="clear" w:color="000000" w:fill="FFFFFF"/>
            <w:noWrap/>
            <w:vAlign w:val="center"/>
            <w:hideMark/>
          </w:tcPr>
          <w:p w14:paraId="468871D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424</w:t>
            </w:r>
          </w:p>
        </w:tc>
        <w:tc>
          <w:tcPr>
            <w:tcW w:w="407" w:type="pct"/>
            <w:tcBorders>
              <w:top w:val="nil"/>
              <w:left w:val="nil"/>
              <w:bottom w:val="nil"/>
              <w:right w:val="nil"/>
            </w:tcBorders>
            <w:shd w:val="clear" w:color="000000" w:fill="FFFFFF"/>
            <w:noWrap/>
            <w:vAlign w:val="center"/>
            <w:hideMark/>
          </w:tcPr>
          <w:p w14:paraId="7B8416C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207</w:t>
            </w:r>
          </w:p>
        </w:tc>
        <w:tc>
          <w:tcPr>
            <w:tcW w:w="407" w:type="pct"/>
            <w:tcBorders>
              <w:top w:val="nil"/>
              <w:left w:val="nil"/>
              <w:bottom w:val="nil"/>
              <w:right w:val="nil"/>
            </w:tcBorders>
            <w:shd w:val="clear" w:color="000000" w:fill="FFFFFF"/>
            <w:noWrap/>
            <w:vAlign w:val="center"/>
            <w:hideMark/>
          </w:tcPr>
          <w:p w14:paraId="156AA9A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w:t>
            </w:r>
          </w:p>
        </w:tc>
        <w:tc>
          <w:tcPr>
            <w:tcW w:w="407" w:type="pct"/>
            <w:tcBorders>
              <w:top w:val="nil"/>
              <w:left w:val="nil"/>
              <w:bottom w:val="nil"/>
              <w:right w:val="nil"/>
            </w:tcBorders>
            <w:shd w:val="clear" w:color="000000" w:fill="FFFFFF"/>
            <w:noWrap/>
            <w:vAlign w:val="center"/>
            <w:hideMark/>
          </w:tcPr>
          <w:p w14:paraId="37FC6CE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w:t>
            </w:r>
          </w:p>
        </w:tc>
        <w:tc>
          <w:tcPr>
            <w:tcW w:w="421" w:type="pct"/>
            <w:tcBorders>
              <w:top w:val="nil"/>
              <w:left w:val="single" w:sz="4" w:space="0" w:color="auto"/>
              <w:bottom w:val="nil"/>
              <w:right w:val="single" w:sz="4" w:space="0" w:color="auto"/>
            </w:tcBorders>
            <w:shd w:val="clear" w:color="000000" w:fill="FFFFFF"/>
            <w:noWrap/>
            <w:vAlign w:val="center"/>
            <w:hideMark/>
          </w:tcPr>
          <w:p w14:paraId="69E9A018"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07" w:type="pct"/>
            <w:tcBorders>
              <w:top w:val="nil"/>
              <w:left w:val="nil"/>
              <w:bottom w:val="nil"/>
              <w:right w:val="single" w:sz="4" w:space="0" w:color="auto"/>
            </w:tcBorders>
            <w:shd w:val="clear" w:color="000000" w:fill="FFFFFF"/>
            <w:noWrap/>
            <w:vAlign w:val="center"/>
            <w:hideMark/>
          </w:tcPr>
          <w:p w14:paraId="42AFA6F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1,24%</w:t>
            </w:r>
          </w:p>
        </w:tc>
      </w:tr>
      <w:tr w:rsidR="006248AC" w:rsidRPr="00650EE4" w14:paraId="69CECCAD"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1F63B46A"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407" w:type="pct"/>
            <w:tcBorders>
              <w:top w:val="nil"/>
              <w:left w:val="nil"/>
              <w:bottom w:val="nil"/>
              <w:right w:val="nil"/>
            </w:tcBorders>
            <w:shd w:val="clear" w:color="000000" w:fill="FFFFFF"/>
            <w:noWrap/>
            <w:vAlign w:val="center"/>
            <w:hideMark/>
          </w:tcPr>
          <w:p w14:paraId="4F0D078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145</w:t>
            </w:r>
          </w:p>
        </w:tc>
        <w:tc>
          <w:tcPr>
            <w:tcW w:w="407" w:type="pct"/>
            <w:tcBorders>
              <w:top w:val="nil"/>
              <w:left w:val="nil"/>
              <w:bottom w:val="nil"/>
              <w:right w:val="nil"/>
            </w:tcBorders>
            <w:shd w:val="clear" w:color="000000" w:fill="FFFFFF"/>
            <w:noWrap/>
            <w:vAlign w:val="center"/>
            <w:hideMark/>
          </w:tcPr>
          <w:p w14:paraId="41E752D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421" w:type="pct"/>
            <w:tcBorders>
              <w:top w:val="nil"/>
              <w:left w:val="nil"/>
              <w:bottom w:val="nil"/>
              <w:right w:val="nil"/>
            </w:tcBorders>
            <w:shd w:val="clear" w:color="000000" w:fill="FFFFFF"/>
            <w:noWrap/>
            <w:vAlign w:val="center"/>
            <w:hideMark/>
          </w:tcPr>
          <w:p w14:paraId="6260BDF1"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1.449</w:t>
            </w:r>
          </w:p>
        </w:tc>
        <w:tc>
          <w:tcPr>
            <w:tcW w:w="407" w:type="pct"/>
            <w:tcBorders>
              <w:top w:val="nil"/>
              <w:left w:val="nil"/>
              <w:bottom w:val="nil"/>
              <w:right w:val="nil"/>
            </w:tcBorders>
            <w:shd w:val="clear" w:color="000000" w:fill="FFFFFF"/>
            <w:noWrap/>
            <w:vAlign w:val="center"/>
            <w:hideMark/>
          </w:tcPr>
          <w:p w14:paraId="3463B23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w:t>
            </w:r>
          </w:p>
        </w:tc>
        <w:tc>
          <w:tcPr>
            <w:tcW w:w="407" w:type="pct"/>
            <w:tcBorders>
              <w:top w:val="nil"/>
              <w:left w:val="nil"/>
              <w:bottom w:val="nil"/>
              <w:right w:val="nil"/>
            </w:tcBorders>
            <w:shd w:val="clear" w:color="000000" w:fill="FFFFFF"/>
            <w:noWrap/>
            <w:vAlign w:val="center"/>
            <w:hideMark/>
          </w:tcPr>
          <w:p w14:paraId="6FB90F3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w:t>
            </w:r>
          </w:p>
        </w:tc>
        <w:tc>
          <w:tcPr>
            <w:tcW w:w="407" w:type="pct"/>
            <w:tcBorders>
              <w:top w:val="nil"/>
              <w:left w:val="nil"/>
              <w:bottom w:val="nil"/>
              <w:right w:val="nil"/>
            </w:tcBorders>
            <w:shd w:val="clear" w:color="000000" w:fill="FFFFFF"/>
            <w:noWrap/>
            <w:vAlign w:val="center"/>
            <w:hideMark/>
          </w:tcPr>
          <w:p w14:paraId="2989C15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07" w:type="pct"/>
            <w:tcBorders>
              <w:top w:val="nil"/>
              <w:left w:val="nil"/>
              <w:bottom w:val="nil"/>
              <w:right w:val="nil"/>
            </w:tcBorders>
            <w:shd w:val="clear" w:color="000000" w:fill="FFFFFF"/>
            <w:noWrap/>
            <w:vAlign w:val="center"/>
            <w:hideMark/>
          </w:tcPr>
          <w:p w14:paraId="24CC0DE3"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407" w:type="pct"/>
            <w:tcBorders>
              <w:top w:val="nil"/>
              <w:left w:val="nil"/>
              <w:bottom w:val="nil"/>
              <w:right w:val="nil"/>
            </w:tcBorders>
            <w:shd w:val="clear" w:color="000000" w:fill="FFFFFF"/>
            <w:noWrap/>
            <w:vAlign w:val="center"/>
            <w:hideMark/>
          </w:tcPr>
          <w:p w14:paraId="433D960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1" w:type="pct"/>
            <w:tcBorders>
              <w:top w:val="nil"/>
              <w:left w:val="single" w:sz="4" w:space="0" w:color="auto"/>
              <w:bottom w:val="nil"/>
              <w:right w:val="single" w:sz="4" w:space="0" w:color="auto"/>
            </w:tcBorders>
            <w:shd w:val="clear" w:color="000000" w:fill="FFFFFF"/>
            <w:noWrap/>
            <w:vAlign w:val="center"/>
            <w:hideMark/>
          </w:tcPr>
          <w:p w14:paraId="2CB17F35"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07" w:type="pct"/>
            <w:tcBorders>
              <w:top w:val="nil"/>
              <w:left w:val="nil"/>
              <w:bottom w:val="nil"/>
              <w:right w:val="single" w:sz="4" w:space="0" w:color="auto"/>
            </w:tcBorders>
            <w:shd w:val="clear" w:color="000000" w:fill="FFFFFF"/>
            <w:noWrap/>
            <w:vAlign w:val="center"/>
            <w:hideMark/>
          </w:tcPr>
          <w:p w14:paraId="3069E6F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r>
      <w:tr w:rsidR="006248AC" w:rsidRPr="00650EE4" w14:paraId="39D8D933" w14:textId="77777777" w:rsidTr="00307987">
        <w:tc>
          <w:tcPr>
            <w:tcW w:w="905" w:type="pct"/>
            <w:tcBorders>
              <w:top w:val="nil"/>
              <w:left w:val="single" w:sz="4" w:space="0" w:color="auto"/>
              <w:bottom w:val="nil"/>
              <w:right w:val="single" w:sz="4" w:space="0" w:color="auto"/>
            </w:tcBorders>
            <w:shd w:val="clear" w:color="000000" w:fill="FFFFFF"/>
            <w:noWrap/>
            <w:vAlign w:val="center"/>
            <w:hideMark/>
          </w:tcPr>
          <w:p w14:paraId="3D8EEA1B"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07" w:type="pct"/>
            <w:tcBorders>
              <w:top w:val="nil"/>
              <w:left w:val="nil"/>
              <w:bottom w:val="nil"/>
              <w:right w:val="nil"/>
            </w:tcBorders>
            <w:shd w:val="clear" w:color="000000" w:fill="FFFFFF"/>
            <w:noWrap/>
            <w:vAlign w:val="center"/>
            <w:hideMark/>
          </w:tcPr>
          <w:p w14:paraId="2EB7DEC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407" w:type="pct"/>
            <w:tcBorders>
              <w:top w:val="nil"/>
              <w:left w:val="nil"/>
              <w:bottom w:val="nil"/>
              <w:right w:val="nil"/>
            </w:tcBorders>
            <w:shd w:val="clear" w:color="000000" w:fill="FFFFFF"/>
            <w:noWrap/>
            <w:vAlign w:val="center"/>
            <w:hideMark/>
          </w:tcPr>
          <w:p w14:paraId="5EEB6C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421" w:type="pct"/>
            <w:tcBorders>
              <w:top w:val="nil"/>
              <w:left w:val="nil"/>
              <w:bottom w:val="nil"/>
              <w:right w:val="nil"/>
            </w:tcBorders>
            <w:shd w:val="clear" w:color="000000" w:fill="FFFFFF"/>
            <w:noWrap/>
            <w:vAlign w:val="center"/>
            <w:hideMark/>
          </w:tcPr>
          <w:p w14:paraId="08A42D1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1.231</w:t>
            </w:r>
          </w:p>
        </w:tc>
        <w:tc>
          <w:tcPr>
            <w:tcW w:w="407" w:type="pct"/>
            <w:tcBorders>
              <w:top w:val="nil"/>
              <w:left w:val="nil"/>
              <w:bottom w:val="nil"/>
              <w:right w:val="nil"/>
            </w:tcBorders>
            <w:shd w:val="clear" w:color="000000" w:fill="FFFFFF"/>
            <w:noWrap/>
            <w:vAlign w:val="center"/>
            <w:hideMark/>
          </w:tcPr>
          <w:p w14:paraId="1D6379E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w:t>
            </w:r>
          </w:p>
        </w:tc>
        <w:tc>
          <w:tcPr>
            <w:tcW w:w="407" w:type="pct"/>
            <w:tcBorders>
              <w:top w:val="nil"/>
              <w:left w:val="nil"/>
              <w:bottom w:val="nil"/>
              <w:right w:val="nil"/>
            </w:tcBorders>
            <w:shd w:val="clear" w:color="000000" w:fill="FFFFFF"/>
            <w:noWrap/>
            <w:vAlign w:val="center"/>
            <w:hideMark/>
          </w:tcPr>
          <w:p w14:paraId="0C48F1A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203</w:t>
            </w:r>
          </w:p>
        </w:tc>
        <w:tc>
          <w:tcPr>
            <w:tcW w:w="407" w:type="pct"/>
            <w:tcBorders>
              <w:top w:val="nil"/>
              <w:left w:val="nil"/>
              <w:bottom w:val="nil"/>
              <w:right w:val="nil"/>
            </w:tcBorders>
            <w:shd w:val="clear" w:color="000000" w:fill="FFFFFF"/>
            <w:noWrap/>
            <w:vAlign w:val="center"/>
            <w:hideMark/>
          </w:tcPr>
          <w:p w14:paraId="656C7AB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w:t>
            </w:r>
          </w:p>
        </w:tc>
        <w:tc>
          <w:tcPr>
            <w:tcW w:w="407" w:type="pct"/>
            <w:tcBorders>
              <w:top w:val="nil"/>
              <w:left w:val="nil"/>
              <w:bottom w:val="nil"/>
              <w:right w:val="nil"/>
            </w:tcBorders>
            <w:shd w:val="clear" w:color="000000" w:fill="FFFFFF"/>
            <w:noWrap/>
            <w:vAlign w:val="center"/>
            <w:hideMark/>
          </w:tcPr>
          <w:p w14:paraId="0DACF53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07" w:type="pct"/>
            <w:tcBorders>
              <w:top w:val="nil"/>
              <w:left w:val="nil"/>
              <w:bottom w:val="nil"/>
              <w:right w:val="nil"/>
            </w:tcBorders>
            <w:shd w:val="clear" w:color="000000" w:fill="FFFFFF"/>
            <w:noWrap/>
            <w:vAlign w:val="center"/>
            <w:hideMark/>
          </w:tcPr>
          <w:p w14:paraId="3F48B31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421" w:type="pct"/>
            <w:tcBorders>
              <w:top w:val="nil"/>
              <w:left w:val="single" w:sz="4" w:space="0" w:color="auto"/>
              <w:bottom w:val="nil"/>
              <w:right w:val="single" w:sz="4" w:space="0" w:color="auto"/>
            </w:tcBorders>
            <w:shd w:val="clear" w:color="000000" w:fill="FFFFFF"/>
            <w:noWrap/>
            <w:vAlign w:val="center"/>
            <w:hideMark/>
          </w:tcPr>
          <w:p w14:paraId="630B97AD"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07" w:type="pct"/>
            <w:tcBorders>
              <w:top w:val="nil"/>
              <w:left w:val="nil"/>
              <w:bottom w:val="nil"/>
              <w:right w:val="single" w:sz="4" w:space="0" w:color="auto"/>
            </w:tcBorders>
            <w:shd w:val="clear" w:color="000000" w:fill="FFFFFF"/>
            <w:noWrap/>
            <w:vAlign w:val="center"/>
            <w:hideMark/>
          </w:tcPr>
          <w:p w14:paraId="4EC6C0A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r>
      <w:tr w:rsidR="006248AC" w:rsidRPr="00650EE4" w14:paraId="09476BB5"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4F1144E8"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07" w:type="pct"/>
            <w:tcBorders>
              <w:top w:val="nil"/>
              <w:left w:val="nil"/>
              <w:bottom w:val="nil"/>
              <w:right w:val="nil"/>
            </w:tcBorders>
            <w:shd w:val="clear" w:color="000000" w:fill="FFFFFF"/>
            <w:noWrap/>
            <w:vAlign w:val="center"/>
            <w:hideMark/>
          </w:tcPr>
          <w:p w14:paraId="648D47C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407" w:type="pct"/>
            <w:tcBorders>
              <w:top w:val="nil"/>
              <w:left w:val="nil"/>
              <w:bottom w:val="nil"/>
              <w:right w:val="nil"/>
            </w:tcBorders>
            <w:shd w:val="clear" w:color="000000" w:fill="FFFFFF"/>
            <w:noWrap/>
            <w:vAlign w:val="center"/>
            <w:hideMark/>
          </w:tcPr>
          <w:p w14:paraId="1B0792C8"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239</w:t>
            </w:r>
          </w:p>
        </w:tc>
        <w:tc>
          <w:tcPr>
            <w:tcW w:w="421" w:type="pct"/>
            <w:tcBorders>
              <w:top w:val="nil"/>
              <w:left w:val="nil"/>
              <w:bottom w:val="nil"/>
              <w:right w:val="nil"/>
            </w:tcBorders>
            <w:shd w:val="clear" w:color="000000" w:fill="FFFFFF"/>
            <w:noWrap/>
            <w:vAlign w:val="center"/>
            <w:hideMark/>
          </w:tcPr>
          <w:p w14:paraId="0C96D54E"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711</w:t>
            </w:r>
          </w:p>
        </w:tc>
        <w:tc>
          <w:tcPr>
            <w:tcW w:w="407" w:type="pct"/>
            <w:tcBorders>
              <w:top w:val="nil"/>
              <w:left w:val="nil"/>
              <w:bottom w:val="nil"/>
              <w:right w:val="nil"/>
            </w:tcBorders>
            <w:shd w:val="clear" w:color="000000" w:fill="FFFFFF"/>
            <w:noWrap/>
            <w:vAlign w:val="center"/>
            <w:hideMark/>
          </w:tcPr>
          <w:p w14:paraId="1181D23A"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407" w:type="pct"/>
            <w:tcBorders>
              <w:top w:val="nil"/>
              <w:left w:val="nil"/>
              <w:bottom w:val="nil"/>
              <w:right w:val="nil"/>
            </w:tcBorders>
            <w:shd w:val="clear" w:color="000000" w:fill="FFFFFF"/>
            <w:noWrap/>
            <w:vAlign w:val="center"/>
            <w:hideMark/>
          </w:tcPr>
          <w:p w14:paraId="3C6ABA1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w:t>
            </w:r>
          </w:p>
        </w:tc>
        <w:tc>
          <w:tcPr>
            <w:tcW w:w="407" w:type="pct"/>
            <w:tcBorders>
              <w:top w:val="nil"/>
              <w:left w:val="nil"/>
              <w:bottom w:val="nil"/>
              <w:right w:val="nil"/>
            </w:tcBorders>
            <w:shd w:val="clear" w:color="000000" w:fill="FFFFFF"/>
            <w:noWrap/>
            <w:vAlign w:val="center"/>
            <w:hideMark/>
          </w:tcPr>
          <w:p w14:paraId="6571AE9D"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07" w:type="pct"/>
            <w:tcBorders>
              <w:top w:val="nil"/>
              <w:left w:val="nil"/>
              <w:bottom w:val="nil"/>
              <w:right w:val="nil"/>
            </w:tcBorders>
            <w:shd w:val="clear" w:color="000000" w:fill="FFFFFF"/>
            <w:noWrap/>
            <w:vAlign w:val="center"/>
            <w:hideMark/>
          </w:tcPr>
          <w:p w14:paraId="5544A7F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w:t>
            </w:r>
          </w:p>
        </w:tc>
        <w:tc>
          <w:tcPr>
            <w:tcW w:w="407" w:type="pct"/>
            <w:tcBorders>
              <w:top w:val="nil"/>
              <w:left w:val="nil"/>
              <w:bottom w:val="nil"/>
              <w:right w:val="nil"/>
            </w:tcBorders>
            <w:shd w:val="clear" w:color="000000" w:fill="FFFFFF"/>
            <w:noWrap/>
            <w:vAlign w:val="center"/>
            <w:hideMark/>
          </w:tcPr>
          <w:p w14:paraId="45EC438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21" w:type="pct"/>
            <w:tcBorders>
              <w:top w:val="nil"/>
              <w:left w:val="single" w:sz="4" w:space="0" w:color="auto"/>
              <w:bottom w:val="single" w:sz="4" w:space="0" w:color="auto"/>
              <w:right w:val="single" w:sz="4" w:space="0" w:color="auto"/>
            </w:tcBorders>
            <w:shd w:val="clear" w:color="000000" w:fill="FFFFFF"/>
            <w:noWrap/>
            <w:vAlign w:val="center"/>
            <w:hideMark/>
          </w:tcPr>
          <w:p w14:paraId="13E8B1D3"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07" w:type="pct"/>
            <w:tcBorders>
              <w:top w:val="nil"/>
              <w:left w:val="nil"/>
              <w:bottom w:val="single" w:sz="4" w:space="0" w:color="auto"/>
              <w:right w:val="single" w:sz="4" w:space="0" w:color="auto"/>
            </w:tcBorders>
            <w:shd w:val="clear" w:color="000000" w:fill="FFFFFF"/>
            <w:noWrap/>
            <w:vAlign w:val="center"/>
            <w:hideMark/>
          </w:tcPr>
          <w:p w14:paraId="60FA9C3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0,79%</w:t>
            </w:r>
          </w:p>
        </w:tc>
      </w:tr>
      <w:tr w:rsidR="006248AC" w:rsidRPr="00650EE4" w14:paraId="102131A9" w14:textId="77777777" w:rsidTr="00307987">
        <w:tc>
          <w:tcPr>
            <w:tcW w:w="905" w:type="pct"/>
            <w:tcBorders>
              <w:top w:val="nil"/>
              <w:left w:val="single" w:sz="4" w:space="0" w:color="auto"/>
              <w:bottom w:val="single" w:sz="4" w:space="0" w:color="auto"/>
              <w:right w:val="single" w:sz="4" w:space="0" w:color="auto"/>
            </w:tcBorders>
            <w:shd w:val="clear" w:color="000000" w:fill="FFFFFF"/>
            <w:noWrap/>
            <w:vAlign w:val="center"/>
            <w:hideMark/>
          </w:tcPr>
          <w:p w14:paraId="13FBB90D" w14:textId="77777777" w:rsidR="006248AC" w:rsidRPr="00650EE4" w:rsidRDefault="006248AC" w:rsidP="006248AC">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07" w:type="pct"/>
            <w:tcBorders>
              <w:top w:val="single" w:sz="4" w:space="0" w:color="auto"/>
              <w:left w:val="nil"/>
              <w:bottom w:val="nil"/>
              <w:right w:val="nil"/>
            </w:tcBorders>
            <w:shd w:val="clear" w:color="000000" w:fill="FFFFFF"/>
            <w:noWrap/>
            <w:vAlign w:val="center"/>
            <w:hideMark/>
          </w:tcPr>
          <w:p w14:paraId="3AF6E756"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2.605</w:t>
            </w:r>
          </w:p>
        </w:tc>
        <w:tc>
          <w:tcPr>
            <w:tcW w:w="407" w:type="pct"/>
            <w:tcBorders>
              <w:top w:val="single" w:sz="4" w:space="0" w:color="auto"/>
              <w:left w:val="nil"/>
              <w:bottom w:val="nil"/>
              <w:right w:val="nil"/>
            </w:tcBorders>
            <w:shd w:val="clear" w:color="000000" w:fill="FFFFFF"/>
            <w:noWrap/>
            <w:vAlign w:val="center"/>
            <w:hideMark/>
          </w:tcPr>
          <w:p w14:paraId="2D15B040"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31.489</w:t>
            </w:r>
          </w:p>
        </w:tc>
        <w:tc>
          <w:tcPr>
            <w:tcW w:w="421" w:type="pct"/>
            <w:tcBorders>
              <w:top w:val="single" w:sz="4" w:space="0" w:color="auto"/>
              <w:left w:val="nil"/>
              <w:bottom w:val="nil"/>
              <w:right w:val="nil"/>
            </w:tcBorders>
            <w:shd w:val="clear" w:color="000000" w:fill="FFFFFF"/>
            <w:noWrap/>
            <w:vAlign w:val="center"/>
            <w:hideMark/>
          </w:tcPr>
          <w:p w14:paraId="34175135"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116.375</w:t>
            </w:r>
          </w:p>
        </w:tc>
        <w:tc>
          <w:tcPr>
            <w:tcW w:w="407" w:type="pct"/>
            <w:tcBorders>
              <w:top w:val="single" w:sz="4" w:space="0" w:color="auto"/>
              <w:left w:val="nil"/>
              <w:bottom w:val="nil"/>
              <w:right w:val="nil"/>
            </w:tcBorders>
            <w:shd w:val="clear" w:color="000000" w:fill="FFFFFF"/>
            <w:noWrap/>
            <w:vAlign w:val="center"/>
            <w:hideMark/>
          </w:tcPr>
          <w:p w14:paraId="7D931C71"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18.472</w:t>
            </w:r>
          </w:p>
        </w:tc>
        <w:tc>
          <w:tcPr>
            <w:tcW w:w="407" w:type="pct"/>
            <w:tcBorders>
              <w:top w:val="single" w:sz="4" w:space="0" w:color="auto"/>
              <w:left w:val="nil"/>
              <w:bottom w:val="nil"/>
              <w:right w:val="nil"/>
            </w:tcBorders>
            <w:shd w:val="clear" w:color="000000" w:fill="FFFFFF"/>
            <w:noWrap/>
            <w:vAlign w:val="center"/>
            <w:hideMark/>
          </w:tcPr>
          <w:p w14:paraId="0FB7121D"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16.938</w:t>
            </w:r>
          </w:p>
        </w:tc>
        <w:tc>
          <w:tcPr>
            <w:tcW w:w="407" w:type="pct"/>
            <w:tcBorders>
              <w:top w:val="single" w:sz="4" w:space="0" w:color="auto"/>
              <w:left w:val="nil"/>
              <w:bottom w:val="nil"/>
              <w:right w:val="nil"/>
            </w:tcBorders>
            <w:shd w:val="clear" w:color="000000" w:fill="FFFFFF"/>
            <w:noWrap/>
            <w:vAlign w:val="center"/>
            <w:hideMark/>
          </w:tcPr>
          <w:p w14:paraId="7D3EAE22"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7.201</w:t>
            </w:r>
          </w:p>
        </w:tc>
        <w:tc>
          <w:tcPr>
            <w:tcW w:w="407" w:type="pct"/>
            <w:tcBorders>
              <w:top w:val="single" w:sz="4" w:space="0" w:color="auto"/>
              <w:left w:val="nil"/>
              <w:bottom w:val="nil"/>
              <w:right w:val="nil"/>
            </w:tcBorders>
            <w:shd w:val="clear" w:color="000000" w:fill="FFFFFF"/>
            <w:noWrap/>
            <w:vAlign w:val="center"/>
            <w:hideMark/>
          </w:tcPr>
          <w:p w14:paraId="68AB591E"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5.722</w:t>
            </w:r>
          </w:p>
        </w:tc>
        <w:tc>
          <w:tcPr>
            <w:tcW w:w="407" w:type="pct"/>
            <w:tcBorders>
              <w:top w:val="single" w:sz="4" w:space="0" w:color="auto"/>
              <w:left w:val="nil"/>
              <w:bottom w:val="nil"/>
              <w:right w:val="single" w:sz="4" w:space="0" w:color="auto"/>
            </w:tcBorders>
            <w:shd w:val="clear" w:color="000000" w:fill="FFFFFF"/>
            <w:noWrap/>
            <w:vAlign w:val="center"/>
            <w:hideMark/>
          </w:tcPr>
          <w:p w14:paraId="1086BD07"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2.872</w:t>
            </w:r>
          </w:p>
        </w:tc>
        <w:tc>
          <w:tcPr>
            <w:tcW w:w="421" w:type="pct"/>
            <w:tcBorders>
              <w:top w:val="nil"/>
              <w:left w:val="nil"/>
              <w:bottom w:val="single" w:sz="4" w:space="0" w:color="auto"/>
              <w:right w:val="single" w:sz="4" w:space="0" w:color="auto"/>
            </w:tcBorders>
            <w:shd w:val="clear" w:color="000000" w:fill="FFFFFF"/>
            <w:noWrap/>
            <w:vAlign w:val="center"/>
            <w:hideMark/>
          </w:tcPr>
          <w:p w14:paraId="1C0E62F4" w14:textId="77777777" w:rsidR="006248AC" w:rsidRPr="00650EE4" w:rsidRDefault="006248AC" w:rsidP="006248AC">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07" w:type="pct"/>
            <w:tcBorders>
              <w:top w:val="nil"/>
              <w:left w:val="nil"/>
              <w:bottom w:val="single" w:sz="4" w:space="0" w:color="auto"/>
              <w:right w:val="single" w:sz="4" w:space="0" w:color="auto"/>
            </w:tcBorders>
            <w:shd w:val="clear" w:color="000000" w:fill="FFFFFF"/>
            <w:noWrap/>
            <w:vAlign w:val="center"/>
            <w:hideMark/>
          </w:tcPr>
          <w:p w14:paraId="6EF6E0F6"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3739D05A" w14:textId="77777777" w:rsidTr="00307987">
        <w:tc>
          <w:tcPr>
            <w:tcW w:w="905" w:type="pct"/>
            <w:tcBorders>
              <w:top w:val="nil"/>
              <w:left w:val="single" w:sz="4" w:space="0" w:color="auto"/>
              <w:bottom w:val="single" w:sz="4" w:space="0" w:color="auto"/>
              <w:right w:val="nil"/>
            </w:tcBorders>
            <w:shd w:val="clear" w:color="000000" w:fill="FFFFFF"/>
            <w:noWrap/>
            <w:vAlign w:val="center"/>
            <w:hideMark/>
          </w:tcPr>
          <w:p w14:paraId="647AD046"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07" w:type="pct"/>
            <w:tcBorders>
              <w:top w:val="single" w:sz="4" w:space="0" w:color="auto"/>
              <w:left w:val="single" w:sz="4" w:space="0" w:color="auto"/>
              <w:bottom w:val="single" w:sz="4" w:space="0" w:color="auto"/>
              <w:right w:val="nil"/>
            </w:tcBorders>
            <w:shd w:val="clear" w:color="000000" w:fill="FFFFFF"/>
            <w:noWrap/>
            <w:vAlign w:val="center"/>
            <w:hideMark/>
          </w:tcPr>
          <w:p w14:paraId="5694E9E4"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07" w:type="pct"/>
            <w:tcBorders>
              <w:top w:val="single" w:sz="4" w:space="0" w:color="auto"/>
              <w:left w:val="nil"/>
              <w:bottom w:val="single" w:sz="4" w:space="0" w:color="auto"/>
              <w:right w:val="nil"/>
            </w:tcBorders>
            <w:shd w:val="clear" w:color="000000" w:fill="FFFFFF"/>
            <w:noWrap/>
            <w:vAlign w:val="center"/>
            <w:hideMark/>
          </w:tcPr>
          <w:p w14:paraId="29DDAF37"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21" w:type="pct"/>
            <w:tcBorders>
              <w:top w:val="single" w:sz="4" w:space="0" w:color="auto"/>
              <w:left w:val="nil"/>
              <w:bottom w:val="single" w:sz="4" w:space="0" w:color="auto"/>
              <w:right w:val="nil"/>
            </w:tcBorders>
            <w:shd w:val="clear" w:color="000000" w:fill="FFFFFF"/>
            <w:noWrap/>
            <w:vAlign w:val="center"/>
            <w:hideMark/>
          </w:tcPr>
          <w:p w14:paraId="38978D39"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w:t>
            </w:r>
          </w:p>
        </w:tc>
        <w:tc>
          <w:tcPr>
            <w:tcW w:w="407" w:type="pct"/>
            <w:tcBorders>
              <w:top w:val="single" w:sz="4" w:space="0" w:color="auto"/>
              <w:left w:val="nil"/>
              <w:bottom w:val="single" w:sz="4" w:space="0" w:color="auto"/>
              <w:right w:val="nil"/>
            </w:tcBorders>
            <w:shd w:val="clear" w:color="000000" w:fill="FFFFFF"/>
            <w:noWrap/>
            <w:vAlign w:val="center"/>
            <w:hideMark/>
          </w:tcPr>
          <w:p w14:paraId="29119F0C"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07" w:type="pct"/>
            <w:tcBorders>
              <w:top w:val="single" w:sz="4" w:space="0" w:color="auto"/>
              <w:left w:val="nil"/>
              <w:bottom w:val="single" w:sz="4" w:space="0" w:color="auto"/>
              <w:right w:val="nil"/>
            </w:tcBorders>
            <w:shd w:val="clear" w:color="000000" w:fill="FFFFFF"/>
            <w:noWrap/>
            <w:vAlign w:val="center"/>
            <w:hideMark/>
          </w:tcPr>
          <w:p w14:paraId="240F52F2"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07" w:type="pct"/>
            <w:tcBorders>
              <w:top w:val="single" w:sz="4" w:space="0" w:color="auto"/>
              <w:left w:val="nil"/>
              <w:bottom w:val="single" w:sz="4" w:space="0" w:color="auto"/>
              <w:right w:val="nil"/>
            </w:tcBorders>
            <w:shd w:val="clear" w:color="000000" w:fill="FFFFFF"/>
            <w:noWrap/>
            <w:vAlign w:val="center"/>
            <w:hideMark/>
          </w:tcPr>
          <w:p w14:paraId="7AEDE19B"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07" w:type="pct"/>
            <w:tcBorders>
              <w:top w:val="single" w:sz="4" w:space="0" w:color="auto"/>
              <w:left w:val="nil"/>
              <w:bottom w:val="single" w:sz="4" w:space="0" w:color="auto"/>
              <w:right w:val="nil"/>
            </w:tcBorders>
            <w:shd w:val="clear" w:color="000000" w:fill="FFFFFF"/>
            <w:noWrap/>
            <w:vAlign w:val="center"/>
            <w:hideMark/>
          </w:tcPr>
          <w:p w14:paraId="12F4F365"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07" w:type="pct"/>
            <w:tcBorders>
              <w:top w:val="single" w:sz="4" w:space="0" w:color="auto"/>
              <w:left w:val="nil"/>
              <w:bottom w:val="single" w:sz="4" w:space="0" w:color="auto"/>
              <w:right w:val="single" w:sz="4" w:space="0" w:color="auto"/>
            </w:tcBorders>
            <w:shd w:val="clear" w:color="000000" w:fill="FFFFFF"/>
            <w:noWrap/>
            <w:vAlign w:val="center"/>
            <w:hideMark/>
          </w:tcPr>
          <w:p w14:paraId="5A2A1560"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21" w:type="pct"/>
            <w:tcBorders>
              <w:top w:val="nil"/>
              <w:left w:val="nil"/>
              <w:bottom w:val="single" w:sz="4" w:space="0" w:color="auto"/>
              <w:right w:val="single" w:sz="4" w:space="0" w:color="auto"/>
            </w:tcBorders>
            <w:shd w:val="clear" w:color="000000" w:fill="FFFFFF"/>
            <w:noWrap/>
            <w:vAlign w:val="center"/>
            <w:hideMark/>
          </w:tcPr>
          <w:p w14:paraId="1B82D9BF" w14:textId="77777777" w:rsidR="006248AC" w:rsidRPr="00650EE4" w:rsidRDefault="006248AC" w:rsidP="006248AC">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07" w:type="pct"/>
            <w:tcBorders>
              <w:top w:val="nil"/>
              <w:left w:val="nil"/>
              <w:bottom w:val="single" w:sz="4" w:space="0" w:color="auto"/>
              <w:right w:val="single" w:sz="4" w:space="0" w:color="auto"/>
            </w:tcBorders>
            <w:shd w:val="clear" w:color="000000" w:fill="FFFFFF"/>
            <w:noWrap/>
            <w:vAlign w:val="center"/>
            <w:hideMark/>
          </w:tcPr>
          <w:p w14:paraId="05E82E03" w14:textId="77777777" w:rsidR="006248AC" w:rsidRPr="00650EE4" w:rsidRDefault="006248AC" w:rsidP="006248AC">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24B32958" w14:textId="26474A8C" w:rsidR="00242210" w:rsidRPr="00650EE4" w:rsidRDefault="004C7DC5" w:rsidP="0024221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242210" w:rsidRPr="00650EE4">
        <w:rPr>
          <w:rFonts w:ascii="Times New Roman" w:eastAsia="Times New Roman" w:hAnsi="Times New Roman"/>
          <w:i/>
          <w:color w:val="000000" w:themeColor="text1"/>
          <w:sz w:val="20"/>
          <w:szCs w:val="20"/>
        </w:rPr>
        <w:t>duomenys (2019.12.31)</w:t>
      </w:r>
    </w:p>
    <w:p w14:paraId="5DEA8CA8" w14:textId="77777777" w:rsidR="001A20D0" w:rsidRPr="00650EE4" w:rsidRDefault="001A20D0" w:rsidP="001A20D0">
      <w:pPr>
        <w:spacing w:line="240" w:lineRule="auto"/>
        <w:rPr>
          <w:rFonts w:ascii="Times New Roman" w:hAnsi="Times New Roman"/>
          <w:color w:val="000000" w:themeColor="text1"/>
          <w:szCs w:val="22"/>
        </w:rPr>
      </w:pPr>
    </w:p>
    <w:p w14:paraId="1EEC4C46" w14:textId="57C5534F" w:rsidR="005E0E13" w:rsidRPr="00650EE4" w:rsidRDefault="00E25E23" w:rsidP="005956E8">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lastRenderedPageBreak/>
        <w:t xml:space="preserve">Agreguoti </w:t>
      </w:r>
      <w:r w:rsidR="004960CA">
        <w:rPr>
          <w:rFonts w:ascii="Times New Roman" w:hAnsi="Times New Roman"/>
          <w:color w:val="000000" w:themeColor="text1"/>
          <w:szCs w:val="22"/>
        </w:rPr>
        <w:t>p</w:t>
      </w:r>
      <w:r w:rsidR="00AB217C" w:rsidRPr="00650EE4">
        <w:rPr>
          <w:rFonts w:ascii="Times New Roman" w:hAnsi="Times New Roman"/>
          <w:color w:val="000000" w:themeColor="text1"/>
          <w:szCs w:val="22"/>
        </w:rPr>
        <w:t>astatų fond</w:t>
      </w:r>
      <w:r w:rsidRPr="00650EE4">
        <w:rPr>
          <w:rFonts w:ascii="Times New Roman" w:hAnsi="Times New Roman"/>
          <w:color w:val="000000" w:themeColor="text1"/>
          <w:szCs w:val="22"/>
        </w:rPr>
        <w:t>o duomenys</w:t>
      </w:r>
      <w:r w:rsidR="00AB217C" w:rsidRPr="00650EE4">
        <w:rPr>
          <w:rFonts w:ascii="Times New Roman" w:hAnsi="Times New Roman"/>
          <w:color w:val="000000" w:themeColor="text1"/>
          <w:szCs w:val="22"/>
        </w:rPr>
        <w:t xml:space="preserve"> pagal statybos pabaigos </w:t>
      </w:r>
      <w:r w:rsidRPr="00650EE4">
        <w:rPr>
          <w:rFonts w:ascii="Times New Roman" w:hAnsi="Times New Roman"/>
          <w:color w:val="000000" w:themeColor="text1"/>
          <w:szCs w:val="22"/>
        </w:rPr>
        <w:t>metus pateikiami paveiksle žemiau.</w:t>
      </w:r>
    </w:p>
    <w:p w14:paraId="04F561E1" w14:textId="77777777" w:rsidR="00470EFC" w:rsidRPr="00650EE4" w:rsidRDefault="00470EFC" w:rsidP="005956E8">
      <w:pPr>
        <w:spacing w:line="240" w:lineRule="auto"/>
        <w:rPr>
          <w:rFonts w:ascii="Times New Roman" w:hAnsi="Times New Roman"/>
          <w:color w:val="000000" w:themeColor="text1"/>
          <w:szCs w:val="22"/>
        </w:rPr>
      </w:pPr>
    </w:p>
    <w:p w14:paraId="5A7107FE" w14:textId="52362B3F" w:rsidR="00C266F6"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3" w:name="_Toc59094251"/>
      <w:r w:rsidR="00F25C65">
        <w:t>2</w:t>
      </w:r>
      <w:r w:rsidRPr="00650EE4">
        <w:rPr>
          <w:noProof w:val="0"/>
        </w:rPr>
        <w:fldChar w:fldCharType="end"/>
      </w:r>
      <w:r w:rsidR="00E13CFF" w:rsidRPr="00650EE4">
        <w:rPr>
          <w:noProof w:val="0"/>
        </w:rPr>
        <w:t xml:space="preserve"> paveikslas</w:t>
      </w:r>
      <w:r w:rsidR="00C266F6" w:rsidRPr="00650EE4">
        <w:rPr>
          <w:noProof w:val="0"/>
        </w:rPr>
        <w:t>. Pastatų fondas pagal statyb</w:t>
      </w:r>
      <w:r w:rsidR="00E71C69" w:rsidRPr="00650EE4">
        <w:rPr>
          <w:noProof w:val="0"/>
        </w:rPr>
        <w:t>os</w:t>
      </w:r>
      <w:r w:rsidR="00C266F6" w:rsidRPr="00650EE4">
        <w:rPr>
          <w:noProof w:val="0"/>
        </w:rPr>
        <w:t xml:space="preserve"> pabaigos metus</w:t>
      </w:r>
      <w:r w:rsidR="003B3C61" w:rsidRPr="00650EE4">
        <w:rPr>
          <w:noProof w:val="0"/>
        </w:rPr>
        <w:t xml:space="preserve"> (agreguotas)</w:t>
      </w:r>
      <w:bookmarkEnd w:id="23"/>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DD2B93" w:rsidRPr="00650EE4" w14:paraId="7BDFF001" w14:textId="77777777" w:rsidTr="004C7DC5">
        <w:trPr>
          <w:trHeight w:val="3925"/>
        </w:trPr>
        <w:tc>
          <w:tcPr>
            <w:tcW w:w="5000" w:type="pct"/>
          </w:tcPr>
          <w:p w14:paraId="48A1A266" w14:textId="2D3C9B34" w:rsidR="0008438D" w:rsidRPr="00650EE4" w:rsidRDefault="001F5D19" w:rsidP="0008438D">
            <w:pPr>
              <w:spacing w:before="60"/>
              <w:jc w:val="both"/>
              <w:rPr>
                <w:rFonts w:ascii="Times New Roman" w:eastAsia="Times New Roman" w:hAnsi="Times New Roman"/>
                <w:iCs/>
                <w:color w:val="000000" w:themeColor="text1"/>
                <w:sz w:val="20"/>
                <w:szCs w:val="28"/>
              </w:rPr>
            </w:pPr>
            <w:r w:rsidRPr="00650EE4">
              <w:rPr>
                <w:rFonts w:ascii="Times New Roman" w:hAnsi="Times New Roman"/>
                <w:noProof/>
                <w:lang w:eastAsia="lt-LT"/>
              </w:rPr>
              <w:drawing>
                <wp:inline distT="0" distB="0" distL="0" distR="0" wp14:anchorId="5C55816A" wp14:editId="5752AD80">
                  <wp:extent cx="2889196" cy="2358390"/>
                  <wp:effectExtent l="0" t="0" r="6985" b="3810"/>
                  <wp:docPr id="15" name="Chart 1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650EE4">
              <w:rPr>
                <w:rFonts w:ascii="Times New Roman" w:hAnsi="Times New Roman"/>
                <w:noProof/>
                <w:lang w:eastAsia="lt-LT"/>
              </w:rPr>
              <w:drawing>
                <wp:inline distT="0" distB="0" distL="0" distR="0" wp14:anchorId="091AD8E9" wp14:editId="66000CE7">
                  <wp:extent cx="3404235" cy="2358390"/>
                  <wp:effectExtent l="0" t="0" r="5715" b="3810"/>
                  <wp:docPr id="79" name="Chart 7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5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7392455B" w14:textId="77777777" w:rsidR="005956E8" w:rsidRPr="00650EE4" w:rsidRDefault="005956E8" w:rsidP="00E4173C">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 registro duomenys (2019.12.31)</w:t>
      </w:r>
    </w:p>
    <w:p w14:paraId="360EAE99" w14:textId="77777777" w:rsidR="00DD2B93" w:rsidRPr="00650EE4" w:rsidRDefault="00DD2B93" w:rsidP="0024481B">
      <w:pPr>
        <w:spacing w:before="60" w:line="240" w:lineRule="auto"/>
        <w:jc w:val="both"/>
        <w:rPr>
          <w:rFonts w:ascii="Times New Roman" w:eastAsia="Times New Roman" w:hAnsi="Times New Roman"/>
          <w:iCs/>
          <w:color w:val="000000" w:themeColor="text1"/>
          <w:szCs w:val="22"/>
        </w:rPr>
      </w:pPr>
    </w:p>
    <w:p w14:paraId="4C8F93D1" w14:textId="25312433" w:rsidR="007F3C6A" w:rsidRPr="00650EE4" w:rsidRDefault="007F3C6A" w:rsidP="00141FAE">
      <w:pPr>
        <w:spacing w:after="120"/>
        <w:rPr>
          <w:rFonts w:ascii="Times New Roman" w:hAnsi="Times New Roman"/>
          <w:color w:val="000000" w:themeColor="text1"/>
          <w:szCs w:val="22"/>
        </w:rPr>
      </w:pPr>
      <w:r w:rsidRPr="00650EE4">
        <w:rPr>
          <w:rFonts w:ascii="Times New Roman" w:hAnsi="Times New Roman"/>
          <w:color w:val="000000" w:themeColor="text1"/>
          <w:szCs w:val="22"/>
        </w:rPr>
        <w:t>Ap</w:t>
      </w:r>
      <w:r w:rsidR="00F2074A" w:rsidRPr="00650EE4">
        <w:rPr>
          <w:rFonts w:ascii="Times New Roman" w:hAnsi="Times New Roman"/>
          <w:color w:val="000000" w:themeColor="text1"/>
          <w:szCs w:val="22"/>
        </w:rPr>
        <w:t xml:space="preserve">ibendrinant </w:t>
      </w:r>
      <w:r w:rsidR="007D0861" w:rsidRPr="00650EE4">
        <w:rPr>
          <w:rFonts w:ascii="Times New Roman" w:hAnsi="Times New Roman"/>
          <w:color w:val="000000" w:themeColor="text1"/>
          <w:szCs w:val="22"/>
        </w:rPr>
        <w:t>aukščiau</w:t>
      </w:r>
      <w:r w:rsidRPr="00650EE4">
        <w:rPr>
          <w:rFonts w:ascii="Times New Roman" w:hAnsi="Times New Roman"/>
          <w:color w:val="000000" w:themeColor="text1"/>
          <w:szCs w:val="22"/>
        </w:rPr>
        <w:t xml:space="preserve"> pate</w:t>
      </w:r>
      <w:r w:rsidR="008E42DB" w:rsidRPr="00650EE4">
        <w:rPr>
          <w:rFonts w:ascii="Times New Roman" w:hAnsi="Times New Roman"/>
          <w:color w:val="000000" w:themeColor="text1"/>
          <w:szCs w:val="22"/>
        </w:rPr>
        <w:t>i</w:t>
      </w:r>
      <w:r w:rsidRPr="00650EE4">
        <w:rPr>
          <w:rFonts w:ascii="Times New Roman" w:hAnsi="Times New Roman"/>
          <w:color w:val="000000" w:themeColor="text1"/>
          <w:szCs w:val="22"/>
        </w:rPr>
        <w:t>ktus duomenis galima pastebėti, kad:</w:t>
      </w:r>
    </w:p>
    <w:p w14:paraId="1067926C" w14:textId="3CBDB073" w:rsidR="00F2074A" w:rsidRPr="00650EE4" w:rsidRDefault="001E3742" w:rsidP="00017447">
      <w:pPr>
        <w:pStyle w:val="BodyText"/>
        <w:numPr>
          <w:ilvl w:val="0"/>
          <w:numId w:val="1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F2074A" w:rsidRPr="00650EE4">
        <w:rPr>
          <w:rFonts w:ascii="Times New Roman" w:hAnsi="Times New Roman"/>
          <w:color w:val="000000" w:themeColor="text1"/>
          <w:szCs w:val="22"/>
          <w:lang w:val="lt-LT"/>
        </w:rPr>
        <w:t>idžioji dalis pastatų pagal plotą (</w:t>
      </w:r>
      <w:r w:rsidR="009756A2">
        <w:rPr>
          <w:rFonts w:ascii="Times New Roman" w:hAnsi="Times New Roman"/>
          <w:color w:val="000000" w:themeColor="text1"/>
          <w:szCs w:val="22"/>
          <w:lang w:val="lt-LT"/>
        </w:rPr>
        <w:t>75</w:t>
      </w:r>
      <w:r w:rsidR="00F2074A" w:rsidRPr="00650EE4">
        <w:rPr>
          <w:rFonts w:ascii="Times New Roman" w:hAnsi="Times New Roman"/>
          <w:color w:val="000000" w:themeColor="text1"/>
          <w:szCs w:val="22"/>
          <w:lang w:val="lt-LT"/>
        </w:rPr>
        <w:t xml:space="preserve"> proc</w:t>
      </w:r>
      <w:r w:rsidR="00455688" w:rsidRPr="00650EE4">
        <w:rPr>
          <w:rFonts w:ascii="Times New Roman" w:hAnsi="Times New Roman"/>
          <w:color w:val="000000" w:themeColor="text1"/>
          <w:szCs w:val="22"/>
          <w:lang w:val="lt-LT"/>
        </w:rPr>
        <w:t>.</w:t>
      </w:r>
      <w:r w:rsidR="00F2074A" w:rsidRPr="00650EE4">
        <w:rPr>
          <w:rFonts w:ascii="Times New Roman" w:hAnsi="Times New Roman"/>
          <w:color w:val="000000" w:themeColor="text1"/>
          <w:szCs w:val="22"/>
          <w:lang w:val="lt-LT"/>
        </w:rPr>
        <w:t>) Lietuvoje buvo pastatyti iki 1993 m. Šiltinimo medžiagos nebuvo naudojamos šių pastatų geresnei terminei izoliacijai ir tik statybinių medžiagų</w:t>
      </w:r>
      <w:r w:rsidR="00E4173C" w:rsidRPr="00650EE4">
        <w:rPr>
          <w:rFonts w:ascii="Times New Roman" w:hAnsi="Times New Roman"/>
          <w:color w:val="000000" w:themeColor="text1"/>
          <w:szCs w:val="22"/>
          <w:lang w:val="lt-LT"/>
        </w:rPr>
        <w:t xml:space="preserve"> (tokių </w:t>
      </w:r>
      <w:r w:rsidR="00F2074A" w:rsidRPr="00650EE4">
        <w:rPr>
          <w:rFonts w:ascii="Times New Roman" w:hAnsi="Times New Roman"/>
          <w:color w:val="000000" w:themeColor="text1"/>
          <w:szCs w:val="22"/>
          <w:lang w:val="lt-LT"/>
        </w:rPr>
        <w:t>kaip plytos, blokai ar plokštės</w:t>
      </w:r>
      <w:r w:rsidR="00E4173C" w:rsidRPr="00650EE4">
        <w:rPr>
          <w:rFonts w:ascii="Times New Roman" w:hAnsi="Times New Roman"/>
          <w:color w:val="000000" w:themeColor="text1"/>
          <w:szCs w:val="22"/>
          <w:lang w:val="lt-LT"/>
        </w:rPr>
        <w:t>)</w:t>
      </w:r>
      <w:r w:rsidR="00F2074A" w:rsidRPr="00650EE4">
        <w:rPr>
          <w:rFonts w:ascii="Times New Roman" w:hAnsi="Times New Roman"/>
          <w:color w:val="000000" w:themeColor="text1"/>
          <w:szCs w:val="22"/>
          <w:lang w:val="lt-LT"/>
        </w:rPr>
        <w:t xml:space="preserve"> savitoji terminė varža apsprendė pastato šiluminę varžą. </w:t>
      </w:r>
      <w:r w:rsidR="004B71A9">
        <w:rPr>
          <w:rFonts w:ascii="Times New Roman" w:hAnsi="Times New Roman"/>
          <w:color w:val="000000" w:themeColor="text1"/>
          <w:szCs w:val="22"/>
          <w:lang w:val="lt-LT"/>
        </w:rPr>
        <w:t xml:space="preserve">Be to, reikšminga šių pastatų dalis nėra renovuota nei dalyvaujant renovacijos programose ne ūkio būdu. Rezultate, didelė dalis pastatų fondo yra prastos techninės būklės (ypač daugiabučių segmente). </w:t>
      </w:r>
      <w:r w:rsidR="003F7022" w:rsidRPr="00650EE4">
        <w:rPr>
          <w:rFonts w:ascii="Times New Roman" w:hAnsi="Times New Roman"/>
          <w:color w:val="000000" w:themeColor="text1"/>
          <w:szCs w:val="22"/>
          <w:lang w:val="lt-LT"/>
        </w:rPr>
        <w:t xml:space="preserve">Atitinkamai, šis pastatų segmentas vertinamas kaip prioritetinis IRS kontekste. </w:t>
      </w:r>
    </w:p>
    <w:p w14:paraId="3B269311" w14:textId="084CD80C" w:rsidR="007F3C6A" w:rsidRPr="00650EE4" w:rsidRDefault="00E7542C" w:rsidP="00017447">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58</w:t>
      </w:r>
      <w:r w:rsidR="008F7572" w:rsidRPr="00650EE4">
        <w:rPr>
          <w:rFonts w:ascii="Times New Roman" w:hAnsi="Times New Roman"/>
          <w:color w:val="000000" w:themeColor="text1"/>
          <w:szCs w:val="22"/>
        </w:rPr>
        <w:t xml:space="preserve"> </w:t>
      </w:r>
      <w:r w:rsidR="007F3C6A" w:rsidRPr="00650EE4">
        <w:rPr>
          <w:rFonts w:ascii="Times New Roman" w:hAnsi="Times New Roman"/>
          <w:color w:val="000000" w:themeColor="text1"/>
          <w:szCs w:val="22"/>
        </w:rPr>
        <w:t xml:space="preserve">proc. </w:t>
      </w:r>
      <w:r w:rsidR="00192576">
        <w:rPr>
          <w:rFonts w:ascii="Times New Roman" w:hAnsi="Times New Roman"/>
          <w:color w:val="000000" w:themeColor="text1"/>
          <w:szCs w:val="22"/>
        </w:rPr>
        <w:t>p</w:t>
      </w:r>
      <w:r w:rsidR="008F7572" w:rsidRPr="00650EE4">
        <w:rPr>
          <w:rFonts w:ascii="Times New Roman" w:hAnsi="Times New Roman"/>
          <w:color w:val="000000" w:themeColor="text1"/>
          <w:szCs w:val="22"/>
        </w:rPr>
        <w:t>astatų fondo ploto sudaro pastatai pastatyti 1961-1992 m., kurių architektūrinė ir kons</w:t>
      </w:r>
      <w:r w:rsidR="00F2074A" w:rsidRPr="00650EE4">
        <w:rPr>
          <w:rFonts w:ascii="Times New Roman" w:hAnsi="Times New Roman"/>
          <w:color w:val="000000" w:themeColor="text1"/>
          <w:szCs w:val="22"/>
        </w:rPr>
        <w:t xml:space="preserve">trukcinė įvairovė </w:t>
      </w:r>
      <w:r w:rsidR="00E4173C" w:rsidRPr="00650EE4">
        <w:rPr>
          <w:rFonts w:ascii="Times New Roman" w:hAnsi="Times New Roman"/>
          <w:color w:val="000000" w:themeColor="text1"/>
          <w:szCs w:val="22"/>
        </w:rPr>
        <w:t xml:space="preserve">tikėtina </w:t>
      </w:r>
      <w:r w:rsidR="00F2074A" w:rsidRPr="00650EE4">
        <w:rPr>
          <w:rFonts w:ascii="Times New Roman" w:hAnsi="Times New Roman"/>
          <w:color w:val="000000" w:themeColor="text1"/>
          <w:szCs w:val="22"/>
        </w:rPr>
        <w:t>nėra didelė. Atitinkamai yra p</w:t>
      </w:r>
      <w:r w:rsidR="008F7572" w:rsidRPr="00650EE4">
        <w:rPr>
          <w:rFonts w:ascii="Times New Roman" w:hAnsi="Times New Roman"/>
          <w:color w:val="000000" w:themeColor="text1"/>
          <w:szCs w:val="22"/>
        </w:rPr>
        <w:t xml:space="preserve">otencialas </w:t>
      </w:r>
      <w:r w:rsidR="00F2074A" w:rsidRPr="00650EE4">
        <w:rPr>
          <w:rFonts w:ascii="Times New Roman" w:hAnsi="Times New Roman"/>
          <w:color w:val="000000" w:themeColor="text1"/>
          <w:szCs w:val="22"/>
        </w:rPr>
        <w:t>kartotiniams (standartiniams) renovacijos sprendimams realizuoti</w:t>
      </w:r>
      <w:r w:rsidR="00C568A3" w:rsidRPr="00650EE4">
        <w:rPr>
          <w:rFonts w:ascii="Times New Roman" w:hAnsi="Times New Roman"/>
          <w:color w:val="000000" w:themeColor="text1"/>
          <w:szCs w:val="22"/>
        </w:rPr>
        <w:t>, ypač daugiabučių namų segmente, kur ~72 proc. pastatų statyti 1961-1992 m.</w:t>
      </w:r>
    </w:p>
    <w:p w14:paraId="49E739B1" w14:textId="77777777" w:rsidR="00234179" w:rsidRPr="00650EE4" w:rsidRDefault="00234179" w:rsidP="00234179">
      <w:pPr>
        <w:rPr>
          <w:rFonts w:ascii="Times New Roman" w:eastAsia="Times New Roman" w:hAnsi="Times New Roman"/>
          <w:b/>
          <w:bCs/>
          <w:color w:val="000000" w:themeColor="text1"/>
          <w:kern w:val="32"/>
          <w:szCs w:val="22"/>
        </w:rPr>
      </w:pPr>
    </w:p>
    <w:p w14:paraId="7DFF22F2" w14:textId="77777777" w:rsidR="002821CC" w:rsidRPr="00650EE4" w:rsidRDefault="002821CC">
      <w:pPr>
        <w:spacing w:after="240"/>
        <w:rPr>
          <w:rFonts w:ascii="Times New Roman" w:eastAsia="Times New Roman" w:hAnsi="Times New Roman"/>
          <w:b/>
          <w:bCs/>
          <w:color w:val="000000" w:themeColor="text1"/>
          <w:kern w:val="32"/>
          <w:sz w:val="24"/>
          <w:szCs w:val="24"/>
        </w:rPr>
      </w:pPr>
      <w:r w:rsidRPr="00650EE4">
        <w:rPr>
          <w:rFonts w:ascii="Times New Roman" w:hAnsi="Times New Roman"/>
          <w:color w:val="000000" w:themeColor="text1"/>
          <w:sz w:val="24"/>
          <w:szCs w:val="24"/>
        </w:rPr>
        <w:br w:type="page"/>
      </w:r>
    </w:p>
    <w:p w14:paraId="03D53723" w14:textId="3AA2435D" w:rsidR="005F0060" w:rsidRPr="00650EE4" w:rsidRDefault="005F0060" w:rsidP="00234179">
      <w:pPr>
        <w:pStyle w:val="Antrastes31"/>
        <w:numPr>
          <w:ilvl w:val="2"/>
          <w:numId w:val="4"/>
        </w:numPr>
        <w:spacing w:before="0"/>
        <w:ind w:left="720" w:hanging="720"/>
        <w:rPr>
          <w:rFonts w:ascii="Times New Roman" w:hAnsi="Times New Roman"/>
          <w:color w:val="000000" w:themeColor="text1"/>
          <w:sz w:val="24"/>
          <w:szCs w:val="24"/>
          <w:lang w:val="lt-LT"/>
        </w:rPr>
      </w:pPr>
      <w:bookmarkStart w:id="24" w:name="_Toc59107504"/>
      <w:r w:rsidRPr="00650EE4">
        <w:rPr>
          <w:rFonts w:ascii="Times New Roman" w:hAnsi="Times New Roman"/>
          <w:color w:val="000000" w:themeColor="text1"/>
          <w:sz w:val="24"/>
          <w:szCs w:val="24"/>
          <w:lang w:val="lt-LT"/>
        </w:rPr>
        <w:lastRenderedPageBreak/>
        <w:t>Pastatų</w:t>
      </w:r>
      <w:r w:rsidR="0072724D" w:rsidRPr="00650EE4">
        <w:rPr>
          <w:rFonts w:ascii="Times New Roman" w:hAnsi="Times New Roman"/>
          <w:color w:val="000000" w:themeColor="text1"/>
          <w:sz w:val="24"/>
          <w:szCs w:val="24"/>
          <w:lang w:val="lt-LT"/>
        </w:rPr>
        <w:t xml:space="preserve"> </w:t>
      </w:r>
      <w:r w:rsidRPr="00650EE4">
        <w:rPr>
          <w:rFonts w:ascii="Times New Roman" w:hAnsi="Times New Roman"/>
          <w:color w:val="000000" w:themeColor="text1"/>
          <w:sz w:val="24"/>
          <w:szCs w:val="24"/>
          <w:lang w:val="lt-LT"/>
        </w:rPr>
        <w:t>fondas pagal nuosavybės tipą</w:t>
      </w:r>
      <w:bookmarkEnd w:id="24"/>
    </w:p>
    <w:p w14:paraId="0DE1B57D" w14:textId="607F4A30" w:rsidR="005F0060" w:rsidRPr="00650EE4" w:rsidRDefault="005F0060" w:rsidP="005F0060">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w:t>
      </w:r>
      <w:r w:rsidR="00E71C69" w:rsidRPr="00650EE4">
        <w:rPr>
          <w:rFonts w:ascii="Times New Roman" w:hAnsi="Times New Roman"/>
          <w:color w:val="000000" w:themeColor="text1"/>
          <w:szCs w:val="22"/>
          <w:lang w:val="lt-LT"/>
        </w:rPr>
        <w:t>se</w:t>
      </w:r>
      <w:r w:rsidR="00192576">
        <w:rPr>
          <w:rFonts w:ascii="Times New Roman" w:hAnsi="Times New Roman"/>
          <w:color w:val="000000" w:themeColor="text1"/>
          <w:szCs w:val="22"/>
          <w:lang w:val="lt-LT"/>
        </w:rPr>
        <w:t xml:space="preserve"> žemiau pateikiamas p</w:t>
      </w:r>
      <w:r w:rsidRPr="00650EE4">
        <w:rPr>
          <w:rFonts w:ascii="Times New Roman" w:hAnsi="Times New Roman"/>
          <w:color w:val="000000" w:themeColor="text1"/>
          <w:szCs w:val="22"/>
          <w:lang w:val="lt-LT"/>
        </w:rPr>
        <w:t xml:space="preserve">astatų fondo plotas pagal nuosavybės tipą, </w:t>
      </w:r>
      <w:r w:rsidR="00E71C69" w:rsidRPr="00650EE4">
        <w:rPr>
          <w:rFonts w:ascii="Times New Roman" w:hAnsi="Times New Roman"/>
          <w:color w:val="000000" w:themeColor="text1"/>
          <w:szCs w:val="22"/>
          <w:lang w:val="lt-LT"/>
        </w:rPr>
        <w:t xml:space="preserve">vienetais ir </w:t>
      </w:r>
      <w:r w:rsidRPr="00650EE4">
        <w:rPr>
          <w:rFonts w:ascii="Times New Roman" w:hAnsi="Times New Roman"/>
          <w:color w:val="000000" w:themeColor="text1"/>
          <w:szCs w:val="22"/>
          <w:lang w:val="lt-LT"/>
        </w:rPr>
        <w:t>tūkst. m</w:t>
      </w:r>
      <w:r w:rsidRPr="00650EE4">
        <w:rPr>
          <w:rFonts w:ascii="Times New Roman" w:hAnsi="Times New Roman"/>
          <w:color w:val="000000" w:themeColor="text1"/>
          <w:szCs w:val="22"/>
          <w:vertAlign w:val="superscript"/>
          <w:lang w:val="lt-LT"/>
        </w:rPr>
        <w:t>2</w:t>
      </w:r>
      <w:r w:rsidRPr="00650EE4">
        <w:rPr>
          <w:rFonts w:ascii="Times New Roman" w:hAnsi="Times New Roman"/>
          <w:color w:val="000000" w:themeColor="text1"/>
          <w:szCs w:val="22"/>
          <w:lang w:val="lt-LT"/>
        </w:rPr>
        <w:t xml:space="preserve">. </w:t>
      </w:r>
    </w:p>
    <w:p w14:paraId="756DEA56" w14:textId="77777777" w:rsidR="00A82147" w:rsidRPr="00650EE4" w:rsidRDefault="00A82147" w:rsidP="00EA34CC">
      <w:pPr>
        <w:jc w:val="both"/>
        <w:rPr>
          <w:rFonts w:ascii="Times New Roman" w:hAnsi="Times New Roman"/>
          <w:color w:val="000000" w:themeColor="text1"/>
          <w:szCs w:val="22"/>
        </w:rPr>
      </w:pPr>
    </w:p>
    <w:p w14:paraId="4FC85B39" w14:textId="46EF99A0" w:rsidR="00DB124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5" w:name="_Toc59094188"/>
      <w:r w:rsidR="00F25C65">
        <w:t>5</w:t>
      </w:r>
      <w:r w:rsidRPr="00650EE4">
        <w:rPr>
          <w:noProof w:val="0"/>
        </w:rPr>
        <w:fldChar w:fldCharType="end"/>
      </w:r>
      <w:r w:rsidR="0070585A" w:rsidRPr="00650EE4">
        <w:rPr>
          <w:noProof w:val="0"/>
        </w:rPr>
        <w:t xml:space="preserve"> lentelė</w:t>
      </w:r>
      <w:r w:rsidR="00DB1243" w:rsidRPr="00650EE4">
        <w:rPr>
          <w:noProof w:val="0"/>
        </w:rPr>
        <w:t>. Pastatų fondas pagal nuosavybės tipą (</w:t>
      </w:r>
      <w:r w:rsidR="009F4DC4" w:rsidRPr="00650EE4">
        <w:rPr>
          <w:noProof w:val="0"/>
        </w:rPr>
        <w:t>vnt.</w:t>
      </w:r>
      <w:r w:rsidR="00DB1243" w:rsidRPr="00650EE4">
        <w:rPr>
          <w:noProof w:val="0"/>
        </w:rPr>
        <w:t>)</w:t>
      </w:r>
      <w:bookmarkEnd w:id="25"/>
    </w:p>
    <w:tbl>
      <w:tblPr>
        <w:tblW w:w="5000" w:type="pct"/>
        <w:tblLook w:val="04A0" w:firstRow="1" w:lastRow="0" w:firstColumn="1" w:lastColumn="0" w:noHBand="0" w:noVBand="1"/>
      </w:tblPr>
      <w:tblGrid>
        <w:gridCol w:w="2204"/>
        <w:gridCol w:w="1203"/>
        <w:gridCol w:w="1203"/>
        <w:gridCol w:w="1202"/>
        <w:gridCol w:w="1225"/>
        <w:gridCol w:w="1205"/>
        <w:gridCol w:w="1090"/>
        <w:gridCol w:w="1088"/>
      </w:tblGrid>
      <w:tr w:rsidR="006248AC" w:rsidRPr="00650EE4" w14:paraId="134A5834" w14:textId="77777777" w:rsidTr="00100674">
        <w:tc>
          <w:tcPr>
            <w:tcW w:w="1057" w:type="pct"/>
            <w:vMerge w:val="restart"/>
            <w:tcBorders>
              <w:top w:val="single" w:sz="4" w:space="0" w:color="auto"/>
              <w:left w:val="single" w:sz="4" w:space="0" w:color="auto"/>
              <w:bottom w:val="nil"/>
              <w:right w:val="nil"/>
            </w:tcBorders>
            <w:shd w:val="clear" w:color="000000" w:fill="FFFFFF"/>
            <w:vAlign w:val="center"/>
            <w:hideMark/>
          </w:tcPr>
          <w:p w14:paraId="25ADB777"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897"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464104C"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Nuosavybės tipas</w:t>
            </w:r>
          </w:p>
        </w:tc>
        <w:tc>
          <w:tcPr>
            <w:tcW w:w="523" w:type="pct"/>
            <w:vMerge w:val="restart"/>
            <w:tcBorders>
              <w:top w:val="single" w:sz="4" w:space="0" w:color="auto"/>
              <w:left w:val="nil"/>
              <w:bottom w:val="nil"/>
              <w:right w:val="nil"/>
            </w:tcBorders>
            <w:shd w:val="clear" w:color="000000" w:fill="FFFFFF"/>
            <w:vAlign w:val="center"/>
            <w:hideMark/>
          </w:tcPr>
          <w:p w14:paraId="5DD1F2B3"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2" w:type="pct"/>
            <w:vMerge w:val="restart"/>
            <w:tcBorders>
              <w:top w:val="single" w:sz="4" w:space="0" w:color="auto"/>
              <w:left w:val="single" w:sz="4" w:space="0" w:color="auto"/>
              <w:bottom w:val="nil"/>
              <w:right w:val="single" w:sz="4" w:space="0" w:color="auto"/>
            </w:tcBorders>
            <w:shd w:val="clear" w:color="000000" w:fill="FFFFFF"/>
            <w:vAlign w:val="center"/>
            <w:hideMark/>
          </w:tcPr>
          <w:p w14:paraId="5A58949E"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248AC" w:rsidRPr="00650EE4" w14:paraId="4AECCC00" w14:textId="77777777" w:rsidTr="00100674">
        <w:tc>
          <w:tcPr>
            <w:tcW w:w="1057" w:type="pct"/>
            <w:vMerge/>
            <w:tcBorders>
              <w:top w:val="single" w:sz="4" w:space="0" w:color="auto"/>
              <w:left w:val="single" w:sz="4" w:space="0" w:color="auto"/>
              <w:bottom w:val="nil"/>
              <w:right w:val="nil"/>
            </w:tcBorders>
            <w:vAlign w:val="center"/>
            <w:hideMark/>
          </w:tcPr>
          <w:p w14:paraId="26267E76" w14:textId="77777777" w:rsidR="006248AC" w:rsidRPr="00650EE4" w:rsidRDefault="006248AC" w:rsidP="00720C26">
            <w:pPr>
              <w:spacing w:line="240" w:lineRule="auto"/>
              <w:rPr>
                <w:rFonts w:ascii="Times New Roman" w:eastAsia="Times New Roman" w:hAnsi="Times New Roman"/>
                <w:b/>
                <w:bCs/>
                <w:sz w:val="20"/>
                <w:szCs w:val="20"/>
              </w:rPr>
            </w:pPr>
          </w:p>
        </w:tc>
        <w:tc>
          <w:tcPr>
            <w:tcW w:w="1731"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DCE37DB"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Privati</w:t>
            </w:r>
          </w:p>
        </w:tc>
        <w:tc>
          <w:tcPr>
            <w:tcW w:w="1166"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5B418EDE"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Vieša</w:t>
            </w:r>
          </w:p>
        </w:tc>
        <w:tc>
          <w:tcPr>
            <w:tcW w:w="523" w:type="pct"/>
            <w:vMerge/>
            <w:tcBorders>
              <w:top w:val="single" w:sz="4" w:space="0" w:color="auto"/>
              <w:left w:val="nil"/>
              <w:bottom w:val="nil"/>
              <w:right w:val="nil"/>
            </w:tcBorders>
            <w:vAlign w:val="center"/>
            <w:hideMark/>
          </w:tcPr>
          <w:p w14:paraId="7D12D155" w14:textId="77777777" w:rsidR="006248AC" w:rsidRPr="00650EE4" w:rsidRDefault="006248AC" w:rsidP="00720C26">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nil"/>
              <w:right w:val="single" w:sz="4" w:space="0" w:color="auto"/>
            </w:tcBorders>
            <w:vAlign w:val="center"/>
            <w:hideMark/>
          </w:tcPr>
          <w:p w14:paraId="55F59F4A" w14:textId="77777777" w:rsidR="006248AC" w:rsidRPr="00650EE4" w:rsidRDefault="006248AC" w:rsidP="00720C26">
            <w:pPr>
              <w:spacing w:line="240" w:lineRule="auto"/>
              <w:rPr>
                <w:rFonts w:ascii="Times New Roman" w:eastAsia="Times New Roman" w:hAnsi="Times New Roman"/>
                <w:b/>
                <w:bCs/>
                <w:sz w:val="20"/>
                <w:szCs w:val="20"/>
              </w:rPr>
            </w:pPr>
          </w:p>
        </w:tc>
      </w:tr>
      <w:tr w:rsidR="006248AC" w:rsidRPr="00650EE4" w14:paraId="605E7832" w14:textId="77777777" w:rsidTr="00100674">
        <w:tc>
          <w:tcPr>
            <w:tcW w:w="1057" w:type="pct"/>
            <w:vMerge/>
            <w:tcBorders>
              <w:top w:val="single" w:sz="4" w:space="0" w:color="auto"/>
              <w:left w:val="single" w:sz="4" w:space="0" w:color="auto"/>
              <w:bottom w:val="nil"/>
              <w:right w:val="nil"/>
            </w:tcBorders>
            <w:vAlign w:val="center"/>
            <w:hideMark/>
          </w:tcPr>
          <w:p w14:paraId="795AE7F9" w14:textId="77777777" w:rsidR="006248AC" w:rsidRPr="00650EE4" w:rsidRDefault="006248AC" w:rsidP="00720C26">
            <w:pPr>
              <w:spacing w:line="240" w:lineRule="auto"/>
              <w:rPr>
                <w:rFonts w:ascii="Times New Roman" w:eastAsia="Times New Roman" w:hAnsi="Times New Roman"/>
                <w:b/>
                <w:bCs/>
                <w:sz w:val="20"/>
                <w:szCs w:val="20"/>
              </w:rPr>
            </w:pPr>
          </w:p>
        </w:tc>
        <w:tc>
          <w:tcPr>
            <w:tcW w:w="577" w:type="pct"/>
            <w:tcBorders>
              <w:top w:val="nil"/>
              <w:left w:val="single" w:sz="4" w:space="0" w:color="auto"/>
              <w:bottom w:val="nil"/>
              <w:right w:val="nil"/>
            </w:tcBorders>
            <w:shd w:val="clear" w:color="000000" w:fill="FFFFFF"/>
            <w:vAlign w:val="center"/>
            <w:hideMark/>
          </w:tcPr>
          <w:p w14:paraId="2F8242B4"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Fizinių asmenų</w:t>
            </w:r>
          </w:p>
        </w:tc>
        <w:tc>
          <w:tcPr>
            <w:tcW w:w="577" w:type="pct"/>
            <w:tcBorders>
              <w:top w:val="nil"/>
              <w:left w:val="nil"/>
              <w:bottom w:val="nil"/>
              <w:right w:val="nil"/>
            </w:tcBorders>
            <w:shd w:val="clear" w:color="000000" w:fill="FFFFFF"/>
            <w:vAlign w:val="center"/>
            <w:hideMark/>
          </w:tcPr>
          <w:p w14:paraId="3345C7FC"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Juridinių asmenų</w:t>
            </w:r>
          </w:p>
        </w:tc>
        <w:tc>
          <w:tcPr>
            <w:tcW w:w="577" w:type="pct"/>
            <w:tcBorders>
              <w:top w:val="nil"/>
              <w:left w:val="nil"/>
              <w:bottom w:val="nil"/>
              <w:right w:val="single" w:sz="4" w:space="0" w:color="auto"/>
            </w:tcBorders>
            <w:shd w:val="clear" w:color="000000" w:fill="FFFFFF"/>
            <w:vAlign w:val="center"/>
            <w:hideMark/>
          </w:tcPr>
          <w:p w14:paraId="1715EB29"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Mišri, kita</w:t>
            </w:r>
          </w:p>
        </w:tc>
        <w:tc>
          <w:tcPr>
            <w:tcW w:w="588" w:type="pct"/>
            <w:tcBorders>
              <w:top w:val="nil"/>
              <w:left w:val="nil"/>
              <w:bottom w:val="single" w:sz="4" w:space="0" w:color="auto"/>
              <w:right w:val="nil"/>
            </w:tcBorders>
            <w:shd w:val="clear" w:color="000000" w:fill="FFFFFF"/>
            <w:vAlign w:val="center"/>
            <w:hideMark/>
          </w:tcPr>
          <w:p w14:paraId="3EEB4ADA" w14:textId="77777777" w:rsidR="006248AC" w:rsidRPr="00650EE4" w:rsidRDefault="006248AC" w:rsidP="00720C26">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Valstybės</w:t>
            </w:r>
          </w:p>
        </w:tc>
        <w:tc>
          <w:tcPr>
            <w:tcW w:w="578" w:type="pct"/>
            <w:tcBorders>
              <w:top w:val="nil"/>
              <w:left w:val="nil"/>
              <w:bottom w:val="single" w:sz="4" w:space="0" w:color="auto"/>
              <w:right w:val="single" w:sz="4" w:space="0" w:color="auto"/>
            </w:tcBorders>
            <w:shd w:val="clear" w:color="000000" w:fill="FFFFFF"/>
            <w:vAlign w:val="center"/>
            <w:hideMark/>
          </w:tcPr>
          <w:p w14:paraId="63A3678F" w14:textId="77777777" w:rsidR="006248AC" w:rsidRPr="00650EE4" w:rsidRDefault="006248AC" w:rsidP="00720C26">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Savival-dybių</w:t>
            </w:r>
            <w:proofErr w:type="spellEnd"/>
          </w:p>
        </w:tc>
        <w:tc>
          <w:tcPr>
            <w:tcW w:w="523" w:type="pct"/>
            <w:vMerge/>
            <w:tcBorders>
              <w:top w:val="single" w:sz="4" w:space="0" w:color="auto"/>
              <w:left w:val="nil"/>
              <w:bottom w:val="nil"/>
              <w:right w:val="nil"/>
            </w:tcBorders>
            <w:vAlign w:val="center"/>
            <w:hideMark/>
          </w:tcPr>
          <w:p w14:paraId="0EC8B50A" w14:textId="77777777" w:rsidR="006248AC" w:rsidRPr="00650EE4" w:rsidRDefault="006248AC" w:rsidP="00720C26">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nil"/>
              <w:right w:val="single" w:sz="4" w:space="0" w:color="auto"/>
            </w:tcBorders>
            <w:vAlign w:val="center"/>
            <w:hideMark/>
          </w:tcPr>
          <w:p w14:paraId="44D5FD2D" w14:textId="77777777" w:rsidR="006248AC" w:rsidRPr="00650EE4" w:rsidRDefault="006248AC" w:rsidP="00720C26">
            <w:pPr>
              <w:spacing w:line="240" w:lineRule="auto"/>
              <w:rPr>
                <w:rFonts w:ascii="Times New Roman" w:eastAsia="Times New Roman" w:hAnsi="Times New Roman"/>
                <w:b/>
                <w:bCs/>
                <w:sz w:val="20"/>
                <w:szCs w:val="20"/>
              </w:rPr>
            </w:pPr>
          </w:p>
        </w:tc>
      </w:tr>
      <w:tr w:rsidR="000B343E" w:rsidRPr="00650EE4" w14:paraId="3198B079" w14:textId="77777777" w:rsidTr="00100674">
        <w:tc>
          <w:tcPr>
            <w:tcW w:w="1057" w:type="pct"/>
            <w:tcBorders>
              <w:top w:val="single" w:sz="4" w:space="0" w:color="auto"/>
              <w:left w:val="single" w:sz="4" w:space="0" w:color="auto"/>
              <w:bottom w:val="single" w:sz="4" w:space="0" w:color="auto"/>
              <w:right w:val="nil"/>
            </w:tcBorders>
            <w:shd w:val="clear" w:color="000000" w:fill="F2F2F2"/>
            <w:noWrap/>
            <w:vAlign w:val="center"/>
            <w:hideMark/>
          </w:tcPr>
          <w:p w14:paraId="2335EFA1" w14:textId="77777777" w:rsidR="006248AC" w:rsidRPr="00650EE4" w:rsidRDefault="006248AC" w:rsidP="00720C26">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577" w:type="pct"/>
            <w:tcBorders>
              <w:top w:val="single" w:sz="4" w:space="0" w:color="auto"/>
              <w:left w:val="single" w:sz="4" w:space="0" w:color="auto"/>
              <w:bottom w:val="nil"/>
              <w:right w:val="nil"/>
            </w:tcBorders>
            <w:shd w:val="clear" w:color="000000" w:fill="F2F2F2"/>
            <w:noWrap/>
            <w:vAlign w:val="center"/>
            <w:hideMark/>
          </w:tcPr>
          <w:p w14:paraId="6736C8AE"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401.478</w:t>
            </w:r>
          </w:p>
        </w:tc>
        <w:tc>
          <w:tcPr>
            <w:tcW w:w="577" w:type="pct"/>
            <w:tcBorders>
              <w:top w:val="single" w:sz="4" w:space="0" w:color="auto"/>
              <w:left w:val="nil"/>
              <w:bottom w:val="nil"/>
              <w:right w:val="nil"/>
            </w:tcBorders>
            <w:shd w:val="clear" w:color="000000" w:fill="F2F2F2"/>
            <w:noWrap/>
            <w:vAlign w:val="center"/>
            <w:hideMark/>
          </w:tcPr>
          <w:p w14:paraId="3BBDA935"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5.267</w:t>
            </w:r>
          </w:p>
        </w:tc>
        <w:tc>
          <w:tcPr>
            <w:tcW w:w="577" w:type="pct"/>
            <w:tcBorders>
              <w:top w:val="single" w:sz="4" w:space="0" w:color="auto"/>
              <w:left w:val="nil"/>
              <w:bottom w:val="nil"/>
              <w:right w:val="single" w:sz="4" w:space="0" w:color="auto"/>
            </w:tcBorders>
            <w:shd w:val="clear" w:color="000000" w:fill="F2F2F2"/>
            <w:noWrap/>
            <w:vAlign w:val="center"/>
            <w:hideMark/>
          </w:tcPr>
          <w:p w14:paraId="7611229A"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160.839</w:t>
            </w:r>
          </w:p>
        </w:tc>
        <w:tc>
          <w:tcPr>
            <w:tcW w:w="588" w:type="pct"/>
            <w:tcBorders>
              <w:top w:val="single" w:sz="4" w:space="0" w:color="auto"/>
              <w:left w:val="single" w:sz="4" w:space="0" w:color="auto"/>
              <w:bottom w:val="nil"/>
              <w:right w:val="nil"/>
            </w:tcBorders>
            <w:shd w:val="clear" w:color="000000" w:fill="F2F2F2"/>
            <w:noWrap/>
            <w:vAlign w:val="center"/>
            <w:hideMark/>
          </w:tcPr>
          <w:p w14:paraId="0A6971AC"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1.164</w:t>
            </w:r>
          </w:p>
        </w:tc>
        <w:tc>
          <w:tcPr>
            <w:tcW w:w="578" w:type="pct"/>
            <w:tcBorders>
              <w:top w:val="single" w:sz="4" w:space="0" w:color="auto"/>
              <w:left w:val="nil"/>
              <w:bottom w:val="nil"/>
              <w:right w:val="single" w:sz="4" w:space="0" w:color="auto"/>
            </w:tcBorders>
            <w:shd w:val="clear" w:color="000000" w:fill="F2F2F2"/>
            <w:noWrap/>
            <w:vAlign w:val="center"/>
            <w:hideMark/>
          </w:tcPr>
          <w:p w14:paraId="0A3A938D"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1.765</w:t>
            </w:r>
          </w:p>
        </w:tc>
        <w:tc>
          <w:tcPr>
            <w:tcW w:w="523" w:type="pct"/>
            <w:tcBorders>
              <w:top w:val="single" w:sz="4" w:space="0" w:color="auto"/>
              <w:left w:val="nil"/>
              <w:bottom w:val="single" w:sz="4" w:space="0" w:color="auto"/>
              <w:right w:val="nil"/>
            </w:tcBorders>
            <w:shd w:val="clear" w:color="000000" w:fill="F2F2F2"/>
            <w:noWrap/>
            <w:vAlign w:val="center"/>
            <w:hideMark/>
          </w:tcPr>
          <w:p w14:paraId="043B4751"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12B9FA7"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6248AC" w:rsidRPr="00650EE4" w14:paraId="38E75D2E" w14:textId="77777777" w:rsidTr="00100674">
        <w:tc>
          <w:tcPr>
            <w:tcW w:w="1057" w:type="pct"/>
            <w:tcBorders>
              <w:top w:val="nil"/>
              <w:left w:val="single" w:sz="4" w:space="0" w:color="auto"/>
              <w:bottom w:val="nil"/>
              <w:right w:val="nil"/>
            </w:tcBorders>
            <w:shd w:val="clear" w:color="000000" w:fill="FFFFFF"/>
            <w:noWrap/>
            <w:vAlign w:val="center"/>
            <w:hideMark/>
          </w:tcPr>
          <w:p w14:paraId="49B6CD86"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77" w:type="pct"/>
            <w:tcBorders>
              <w:top w:val="single" w:sz="4" w:space="0" w:color="auto"/>
              <w:left w:val="single" w:sz="4" w:space="0" w:color="auto"/>
              <w:bottom w:val="nil"/>
              <w:right w:val="nil"/>
            </w:tcBorders>
            <w:shd w:val="clear" w:color="000000" w:fill="FFFFFF"/>
            <w:noWrap/>
            <w:vAlign w:val="center"/>
            <w:hideMark/>
          </w:tcPr>
          <w:p w14:paraId="04F7770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400.539</w:t>
            </w:r>
          </w:p>
        </w:tc>
        <w:tc>
          <w:tcPr>
            <w:tcW w:w="577" w:type="pct"/>
            <w:tcBorders>
              <w:top w:val="single" w:sz="4" w:space="0" w:color="auto"/>
              <w:left w:val="nil"/>
              <w:bottom w:val="nil"/>
              <w:right w:val="nil"/>
            </w:tcBorders>
            <w:shd w:val="clear" w:color="000000" w:fill="FFFFFF"/>
            <w:noWrap/>
            <w:vAlign w:val="center"/>
            <w:hideMark/>
          </w:tcPr>
          <w:p w14:paraId="249E303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4.855</w:t>
            </w:r>
          </w:p>
        </w:tc>
        <w:tc>
          <w:tcPr>
            <w:tcW w:w="577" w:type="pct"/>
            <w:tcBorders>
              <w:top w:val="single" w:sz="4" w:space="0" w:color="auto"/>
              <w:left w:val="nil"/>
              <w:bottom w:val="nil"/>
              <w:right w:val="single" w:sz="4" w:space="0" w:color="auto"/>
            </w:tcBorders>
            <w:shd w:val="clear" w:color="000000" w:fill="FFFFFF"/>
            <w:noWrap/>
            <w:vAlign w:val="center"/>
            <w:hideMark/>
          </w:tcPr>
          <w:p w14:paraId="63ACA4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121.983</w:t>
            </w:r>
          </w:p>
        </w:tc>
        <w:tc>
          <w:tcPr>
            <w:tcW w:w="588" w:type="pct"/>
            <w:tcBorders>
              <w:top w:val="single" w:sz="4" w:space="0" w:color="auto"/>
              <w:left w:val="single" w:sz="4" w:space="0" w:color="auto"/>
              <w:bottom w:val="nil"/>
              <w:right w:val="nil"/>
            </w:tcBorders>
            <w:shd w:val="clear" w:color="000000" w:fill="FFFFFF"/>
            <w:noWrap/>
            <w:vAlign w:val="center"/>
            <w:hideMark/>
          </w:tcPr>
          <w:p w14:paraId="7136032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787</w:t>
            </w:r>
          </w:p>
        </w:tc>
        <w:tc>
          <w:tcPr>
            <w:tcW w:w="578" w:type="pct"/>
            <w:tcBorders>
              <w:top w:val="single" w:sz="4" w:space="0" w:color="auto"/>
              <w:left w:val="nil"/>
              <w:bottom w:val="nil"/>
              <w:right w:val="single" w:sz="4" w:space="0" w:color="auto"/>
            </w:tcBorders>
            <w:shd w:val="clear" w:color="000000" w:fill="FFFFFF"/>
            <w:noWrap/>
            <w:vAlign w:val="center"/>
            <w:hideMark/>
          </w:tcPr>
          <w:p w14:paraId="40247A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1.328</w:t>
            </w:r>
          </w:p>
        </w:tc>
        <w:tc>
          <w:tcPr>
            <w:tcW w:w="523" w:type="pct"/>
            <w:tcBorders>
              <w:top w:val="nil"/>
              <w:left w:val="nil"/>
              <w:bottom w:val="nil"/>
              <w:right w:val="nil"/>
            </w:tcBorders>
            <w:shd w:val="clear" w:color="000000" w:fill="FFFFFF"/>
            <w:noWrap/>
            <w:vAlign w:val="center"/>
            <w:hideMark/>
          </w:tcPr>
          <w:p w14:paraId="528290EA"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522" w:type="pct"/>
            <w:tcBorders>
              <w:top w:val="nil"/>
              <w:left w:val="single" w:sz="4" w:space="0" w:color="auto"/>
              <w:bottom w:val="nil"/>
              <w:right w:val="single" w:sz="4" w:space="0" w:color="auto"/>
            </w:tcBorders>
            <w:shd w:val="clear" w:color="000000" w:fill="FFFFFF"/>
            <w:noWrap/>
            <w:vAlign w:val="center"/>
            <w:hideMark/>
          </w:tcPr>
          <w:p w14:paraId="75FE53F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6248AC" w:rsidRPr="00650EE4" w14:paraId="156D7670" w14:textId="77777777" w:rsidTr="00100674">
        <w:tc>
          <w:tcPr>
            <w:tcW w:w="1057" w:type="pct"/>
            <w:tcBorders>
              <w:top w:val="nil"/>
              <w:left w:val="single" w:sz="4" w:space="0" w:color="auto"/>
              <w:bottom w:val="nil"/>
              <w:right w:val="nil"/>
            </w:tcBorders>
            <w:shd w:val="clear" w:color="000000" w:fill="FFFFFF"/>
            <w:noWrap/>
            <w:vAlign w:val="center"/>
            <w:hideMark/>
          </w:tcPr>
          <w:p w14:paraId="1EEE87B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77" w:type="pct"/>
            <w:tcBorders>
              <w:top w:val="nil"/>
              <w:left w:val="single" w:sz="4" w:space="0" w:color="auto"/>
              <w:bottom w:val="single" w:sz="4" w:space="0" w:color="auto"/>
              <w:right w:val="nil"/>
            </w:tcBorders>
            <w:shd w:val="clear" w:color="000000" w:fill="FFFFFF"/>
            <w:noWrap/>
            <w:vAlign w:val="center"/>
            <w:hideMark/>
          </w:tcPr>
          <w:p w14:paraId="3FD8BDA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939</w:t>
            </w:r>
          </w:p>
        </w:tc>
        <w:tc>
          <w:tcPr>
            <w:tcW w:w="577" w:type="pct"/>
            <w:tcBorders>
              <w:top w:val="nil"/>
              <w:left w:val="nil"/>
              <w:bottom w:val="single" w:sz="4" w:space="0" w:color="auto"/>
              <w:right w:val="nil"/>
            </w:tcBorders>
            <w:shd w:val="clear" w:color="000000" w:fill="FFFFFF"/>
            <w:noWrap/>
            <w:vAlign w:val="center"/>
            <w:hideMark/>
          </w:tcPr>
          <w:p w14:paraId="78EFE75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w:t>
            </w:r>
          </w:p>
        </w:tc>
        <w:tc>
          <w:tcPr>
            <w:tcW w:w="577" w:type="pct"/>
            <w:tcBorders>
              <w:top w:val="nil"/>
              <w:left w:val="nil"/>
              <w:bottom w:val="single" w:sz="4" w:space="0" w:color="auto"/>
              <w:right w:val="single" w:sz="4" w:space="0" w:color="auto"/>
            </w:tcBorders>
            <w:shd w:val="clear" w:color="000000" w:fill="FFFFFF"/>
            <w:noWrap/>
            <w:vAlign w:val="center"/>
            <w:hideMark/>
          </w:tcPr>
          <w:p w14:paraId="268BA9C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38.856</w:t>
            </w:r>
          </w:p>
        </w:tc>
        <w:tc>
          <w:tcPr>
            <w:tcW w:w="588" w:type="pct"/>
            <w:tcBorders>
              <w:top w:val="nil"/>
              <w:left w:val="single" w:sz="4" w:space="0" w:color="auto"/>
              <w:bottom w:val="single" w:sz="4" w:space="0" w:color="auto"/>
              <w:right w:val="nil"/>
            </w:tcBorders>
            <w:shd w:val="clear" w:color="000000" w:fill="FFFFFF"/>
            <w:noWrap/>
            <w:vAlign w:val="center"/>
            <w:hideMark/>
          </w:tcPr>
          <w:p w14:paraId="56FC62B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377</w:t>
            </w:r>
          </w:p>
        </w:tc>
        <w:tc>
          <w:tcPr>
            <w:tcW w:w="578" w:type="pct"/>
            <w:tcBorders>
              <w:top w:val="nil"/>
              <w:left w:val="nil"/>
              <w:bottom w:val="single" w:sz="4" w:space="0" w:color="auto"/>
              <w:right w:val="single" w:sz="4" w:space="0" w:color="auto"/>
            </w:tcBorders>
            <w:shd w:val="clear" w:color="000000" w:fill="FFFFFF"/>
            <w:noWrap/>
            <w:vAlign w:val="center"/>
            <w:hideMark/>
          </w:tcPr>
          <w:p w14:paraId="2B63441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523" w:type="pct"/>
            <w:tcBorders>
              <w:top w:val="nil"/>
              <w:left w:val="nil"/>
              <w:bottom w:val="nil"/>
              <w:right w:val="nil"/>
            </w:tcBorders>
            <w:shd w:val="clear" w:color="000000" w:fill="FFFFFF"/>
            <w:noWrap/>
            <w:vAlign w:val="center"/>
            <w:hideMark/>
          </w:tcPr>
          <w:p w14:paraId="1A38291C"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522" w:type="pct"/>
            <w:tcBorders>
              <w:top w:val="nil"/>
              <w:left w:val="single" w:sz="4" w:space="0" w:color="auto"/>
              <w:bottom w:val="nil"/>
              <w:right w:val="single" w:sz="4" w:space="0" w:color="auto"/>
            </w:tcBorders>
            <w:shd w:val="clear" w:color="000000" w:fill="FFFFFF"/>
            <w:noWrap/>
            <w:vAlign w:val="center"/>
            <w:hideMark/>
          </w:tcPr>
          <w:p w14:paraId="778DC93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0B343E" w:rsidRPr="00650EE4" w14:paraId="24809F68" w14:textId="77777777" w:rsidTr="00100674">
        <w:tc>
          <w:tcPr>
            <w:tcW w:w="1057" w:type="pct"/>
            <w:tcBorders>
              <w:top w:val="single" w:sz="4" w:space="0" w:color="auto"/>
              <w:left w:val="single" w:sz="4" w:space="0" w:color="auto"/>
              <w:bottom w:val="single" w:sz="4" w:space="0" w:color="auto"/>
              <w:right w:val="nil"/>
            </w:tcBorders>
            <w:shd w:val="clear" w:color="000000" w:fill="F2F2F2"/>
            <w:noWrap/>
            <w:vAlign w:val="center"/>
            <w:hideMark/>
          </w:tcPr>
          <w:p w14:paraId="23655B5D" w14:textId="77777777" w:rsidR="006248AC" w:rsidRPr="00650EE4" w:rsidRDefault="006248AC" w:rsidP="00720C26">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577" w:type="pct"/>
            <w:tcBorders>
              <w:top w:val="nil"/>
              <w:left w:val="single" w:sz="4" w:space="0" w:color="auto"/>
              <w:bottom w:val="single" w:sz="4" w:space="0" w:color="auto"/>
              <w:right w:val="nil"/>
            </w:tcBorders>
            <w:shd w:val="clear" w:color="000000" w:fill="F2F2F2"/>
            <w:noWrap/>
            <w:vAlign w:val="center"/>
            <w:hideMark/>
          </w:tcPr>
          <w:p w14:paraId="026ECCDD"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23.046</w:t>
            </w:r>
          </w:p>
        </w:tc>
        <w:tc>
          <w:tcPr>
            <w:tcW w:w="577" w:type="pct"/>
            <w:tcBorders>
              <w:top w:val="nil"/>
              <w:left w:val="nil"/>
              <w:bottom w:val="single" w:sz="4" w:space="0" w:color="auto"/>
              <w:right w:val="nil"/>
            </w:tcBorders>
            <w:shd w:val="clear" w:color="000000" w:fill="F2F2F2"/>
            <w:noWrap/>
            <w:vAlign w:val="center"/>
            <w:hideMark/>
          </w:tcPr>
          <w:p w14:paraId="6FB5F819"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36.550</w:t>
            </w:r>
          </w:p>
        </w:tc>
        <w:tc>
          <w:tcPr>
            <w:tcW w:w="577" w:type="pct"/>
            <w:tcBorders>
              <w:top w:val="nil"/>
              <w:left w:val="nil"/>
              <w:bottom w:val="single" w:sz="4" w:space="0" w:color="auto"/>
              <w:right w:val="single" w:sz="4" w:space="0" w:color="auto"/>
            </w:tcBorders>
            <w:shd w:val="clear" w:color="000000" w:fill="F2F2F2"/>
            <w:noWrap/>
            <w:vAlign w:val="center"/>
            <w:hideMark/>
          </w:tcPr>
          <w:p w14:paraId="32FBD1AB"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17.554</w:t>
            </w:r>
          </w:p>
        </w:tc>
        <w:tc>
          <w:tcPr>
            <w:tcW w:w="588" w:type="pct"/>
            <w:tcBorders>
              <w:top w:val="nil"/>
              <w:left w:val="single" w:sz="4" w:space="0" w:color="auto"/>
              <w:bottom w:val="single" w:sz="4" w:space="0" w:color="auto"/>
              <w:right w:val="nil"/>
            </w:tcBorders>
            <w:shd w:val="clear" w:color="000000" w:fill="F2F2F2"/>
            <w:noWrap/>
            <w:vAlign w:val="center"/>
            <w:hideMark/>
          </w:tcPr>
          <w:p w14:paraId="01A75DF9"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6.203</w:t>
            </w:r>
          </w:p>
        </w:tc>
        <w:tc>
          <w:tcPr>
            <w:tcW w:w="578" w:type="pct"/>
            <w:tcBorders>
              <w:top w:val="nil"/>
              <w:left w:val="nil"/>
              <w:bottom w:val="single" w:sz="4" w:space="0" w:color="auto"/>
              <w:right w:val="nil"/>
            </w:tcBorders>
            <w:shd w:val="clear" w:color="000000" w:fill="F2F2F2"/>
            <w:noWrap/>
            <w:vAlign w:val="center"/>
            <w:hideMark/>
          </w:tcPr>
          <w:p w14:paraId="0CCCCC90"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7.417</w:t>
            </w:r>
          </w:p>
        </w:tc>
        <w:tc>
          <w:tcPr>
            <w:tcW w:w="52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D05F25"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522" w:type="pct"/>
            <w:tcBorders>
              <w:top w:val="single" w:sz="4" w:space="0" w:color="auto"/>
              <w:left w:val="nil"/>
              <w:bottom w:val="single" w:sz="4" w:space="0" w:color="auto"/>
              <w:right w:val="single" w:sz="4" w:space="0" w:color="auto"/>
            </w:tcBorders>
            <w:shd w:val="clear" w:color="000000" w:fill="F2F2F2"/>
            <w:noWrap/>
            <w:vAlign w:val="center"/>
            <w:hideMark/>
          </w:tcPr>
          <w:p w14:paraId="7FDEE192" w14:textId="77777777" w:rsidR="006248AC" w:rsidRPr="00650EE4" w:rsidRDefault="006248AC" w:rsidP="00720C26">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6248AC" w:rsidRPr="00650EE4" w14:paraId="45A651C1" w14:textId="77777777" w:rsidTr="00100674">
        <w:tc>
          <w:tcPr>
            <w:tcW w:w="1057" w:type="pct"/>
            <w:tcBorders>
              <w:top w:val="nil"/>
              <w:left w:val="single" w:sz="4" w:space="0" w:color="auto"/>
              <w:bottom w:val="nil"/>
              <w:right w:val="nil"/>
            </w:tcBorders>
            <w:shd w:val="clear" w:color="000000" w:fill="FFFFFF"/>
            <w:noWrap/>
            <w:vAlign w:val="center"/>
            <w:hideMark/>
          </w:tcPr>
          <w:p w14:paraId="7570104D"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77" w:type="pct"/>
            <w:tcBorders>
              <w:top w:val="nil"/>
              <w:left w:val="single" w:sz="4" w:space="0" w:color="auto"/>
              <w:bottom w:val="nil"/>
              <w:right w:val="nil"/>
            </w:tcBorders>
            <w:shd w:val="clear" w:color="000000" w:fill="FFFFFF"/>
            <w:noWrap/>
            <w:vAlign w:val="center"/>
            <w:hideMark/>
          </w:tcPr>
          <w:p w14:paraId="672E4A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12.216</w:t>
            </w:r>
          </w:p>
        </w:tc>
        <w:tc>
          <w:tcPr>
            <w:tcW w:w="577" w:type="pct"/>
            <w:tcBorders>
              <w:top w:val="nil"/>
              <w:left w:val="nil"/>
              <w:bottom w:val="nil"/>
              <w:right w:val="nil"/>
            </w:tcBorders>
            <w:shd w:val="clear" w:color="000000" w:fill="FFFFFF"/>
            <w:noWrap/>
            <w:vAlign w:val="center"/>
            <w:hideMark/>
          </w:tcPr>
          <w:p w14:paraId="75F33CC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24.120</w:t>
            </w:r>
          </w:p>
        </w:tc>
        <w:tc>
          <w:tcPr>
            <w:tcW w:w="577" w:type="pct"/>
            <w:tcBorders>
              <w:top w:val="nil"/>
              <w:left w:val="nil"/>
              <w:bottom w:val="nil"/>
              <w:right w:val="single" w:sz="4" w:space="0" w:color="auto"/>
            </w:tcBorders>
            <w:shd w:val="clear" w:color="000000" w:fill="FFFFFF"/>
            <w:noWrap/>
            <w:vAlign w:val="center"/>
            <w:hideMark/>
          </w:tcPr>
          <w:p w14:paraId="0F6FF3D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9.169</w:t>
            </w:r>
          </w:p>
        </w:tc>
        <w:tc>
          <w:tcPr>
            <w:tcW w:w="588" w:type="pct"/>
            <w:tcBorders>
              <w:top w:val="nil"/>
              <w:left w:val="single" w:sz="4" w:space="0" w:color="auto"/>
              <w:bottom w:val="nil"/>
              <w:right w:val="nil"/>
            </w:tcBorders>
            <w:shd w:val="clear" w:color="000000" w:fill="FFFFFF"/>
            <w:noWrap/>
            <w:vAlign w:val="center"/>
            <w:hideMark/>
          </w:tcPr>
          <w:p w14:paraId="54EA4CA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2.159</w:t>
            </w:r>
          </w:p>
        </w:tc>
        <w:tc>
          <w:tcPr>
            <w:tcW w:w="578" w:type="pct"/>
            <w:tcBorders>
              <w:top w:val="nil"/>
              <w:left w:val="nil"/>
              <w:bottom w:val="nil"/>
              <w:right w:val="single" w:sz="4" w:space="0" w:color="auto"/>
            </w:tcBorders>
            <w:shd w:val="clear" w:color="000000" w:fill="FFFFFF"/>
            <w:noWrap/>
            <w:vAlign w:val="center"/>
            <w:hideMark/>
          </w:tcPr>
          <w:p w14:paraId="3B8BA2C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1.111</w:t>
            </w:r>
          </w:p>
        </w:tc>
        <w:tc>
          <w:tcPr>
            <w:tcW w:w="523" w:type="pct"/>
            <w:tcBorders>
              <w:top w:val="nil"/>
              <w:left w:val="nil"/>
              <w:bottom w:val="nil"/>
              <w:right w:val="nil"/>
            </w:tcBorders>
            <w:shd w:val="clear" w:color="000000" w:fill="FFFFFF"/>
            <w:noWrap/>
            <w:vAlign w:val="center"/>
            <w:hideMark/>
          </w:tcPr>
          <w:p w14:paraId="76F136CF"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522" w:type="pct"/>
            <w:tcBorders>
              <w:top w:val="nil"/>
              <w:left w:val="single" w:sz="4" w:space="0" w:color="auto"/>
              <w:bottom w:val="nil"/>
              <w:right w:val="single" w:sz="4" w:space="0" w:color="auto"/>
            </w:tcBorders>
            <w:shd w:val="clear" w:color="000000" w:fill="FFFFFF"/>
            <w:noWrap/>
            <w:vAlign w:val="center"/>
            <w:hideMark/>
          </w:tcPr>
          <w:p w14:paraId="1ED0A71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6248AC" w:rsidRPr="00650EE4" w14:paraId="324D1E62" w14:textId="77777777" w:rsidTr="00100674">
        <w:tc>
          <w:tcPr>
            <w:tcW w:w="1057" w:type="pct"/>
            <w:tcBorders>
              <w:top w:val="nil"/>
              <w:left w:val="single" w:sz="4" w:space="0" w:color="auto"/>
              <w:bottom w:val="nil"/>
              <w:right w:val="nil"/>
            </w:tcBorders>
            <w:shd w:val="clear" w:color="000000" w:fill="FFFFFF"/>
            <w:noWrap/>
            <w:vAlign w:val="center"/>
            <w:hideMark/>
          </w:tcPr>
          <w:p w14:paraId="189B286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77" w:type="pct"/>
            <w:tcBorders>
              <w:top w:val="nil"/>
              <w:left w:val="single" w:sz="4" w:space="0" w:color="auto"/>
              <w:bottom w:val="nil"/>
              <w:right w:val="nil"/>
            </w:tcBorders>
            <w:shd w:val="clear" w:color="000000" w:fill="FFFFFF"/>
            <w:noWrap/>
            <w:vAlign w:val="center"/>
            <w:hideMark/>
          </w:tcPr>
          <w:p w14:paraId="13693E8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1.680</w:t>
            </w:r>
          </w:p>
        </w:tc>
        <w:tc>
          <w:tcPr>
            <w:tcW w:w="577" w:type="pct"/>
            <w:tcBorders>
              <w:top w:val="nil"/>
              <w:left w:val="nil"/>
              <w:bottom w:val="nil"/>
              <w:right w:val="nil"/>
            </w:tcBorders>
            <w:shd w:val="clear" w:color="000000" w:fill="FFFFFF"/>
            <w:noWrap/>
            <w:vAlign w:val="center"/>
            <w:hideMark/>
          </w:tcPr>
          <w:p w14:paraId="47915FD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3.980</w:t>
            </w:r>
          </w:p>
        </w:tc>
        <w:tc>
          <w:tcPr>
            <w:tcW w:w="577" w:type="pct"/>
            <w:tcBorders>
              <w:top w:val="nil"/>
              <w:left w:val="nil"/>
              <w:bottom w:val="nil"/>
              <w:right w:val="single" w:sz="4" w:space="0" w:color="auto"/>
            </w:tcBorders>
            <w:shd w:val="clear" w:color="000000" w:fill="FFFFFF"/>
            <w:noWrap/>
            <w:vAlign w:val="center"/>
            <w:hideMark/>
          </w:tcPr>
          <w:p w14:paraId="2F17ADC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2.509</w:t>
            </w:r>
          </w:p>
        </w:tc>
        <w:tc>
          <w:tcPr>
            <w:tcW w:w="588" w:type="pct"/>
            <w:tcBorders>
              <w:top w:val="nil"/>
              <w:left w:val="single" w:sz="4" w:space="0" w:color="auto"/>
              <w:bottom w:val="nil"/>
              <w:right w:val="nil"/>
            </w:tcBorders>
            <w:shd w:val="clear" w:color="000000" w:fill="FFFFFF"/>
            <w:noWrap/>
            <w:vAlign w:val="center"/>
            <w:hideMark/>
          </w:tcPr>
          <w:p w14:paraId="3A7274E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1.343</w:t>
            </w:r>
          </w:p>
        </w:tc>
        <w:tc>
          <w:tcPr>
            <w:tcW w:w="578" w:type="pct"/>
            <w:tcBorders>
              <w:top w:val="nil"/>
              <w:left w:val="nil"/>
              <w:bottom w:val="nil"/>
              <w:right w:val="single" w:sz="4" w:space="0" w:color="auto"/>
            </w:tcBorders>
            <w:shd w:val="clear" w:color="000000" w:fill="FFFFFF"/>
            <w:noWrap/>
            <w:vAlign w:val="center"/>
            <w:hideMark/>
          </w:tcPr>
          <w:p w14:paraId="53FA7716"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865</w:t>
            </w:r>
          </w:p>
        </w:tc>
        <w:tc>
          <w:tcPr>
            <w:tcW w:w="523" w:type="pct"/>
            <w:tcBorders>
              <w:top w:val="nil"/>
              <w:left w:val="nil"/>
              <w:bottom w:val="nil"/>
              <w:right w:val="nil"/>
            </w:tcBorders>
            <w:shd w:val="clear" w:color="000000" w:fill="FFFFFF"/>
            <w:noWrap/>
            <w:vAlign w:val="center"/>
            <w:hideMark/>
          </w:tcPr>
          <w:p w14:paraId="4AB76C4B"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522" w:type="pct"/>
            <w:tcBorders>
              <w:top w:val="nil"/>
              <w:left w:val="single" w:sz="4" w:space="0" w:color="auto"/>
              <w:bottom w:val="nil"/>
              <w:right w:val="single" w:sz="4" w:space="0" w:color="auto"/>
            </w:tcBorders>
            <w:shd w:val="clear" w:color="000000" w:fill="FFFFFF"/>
            <w:noWrap/>
            <w:vAlign w:val="center"/>
            <w:hideMark/>
          </w:tcPr>
          <w:p w14:paraId="79C2694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6248AC" w:rsidRPr="00650EE4" w14:paraId="58D06E92" w14:textId="77777777" w:rsidTr="00100674">
        <w:tc>
          <w:tcPr>
            <w:tcW w:w="1057" w:type="pct"/>
            <w:tcBorders>
              <w:top w:val="nil"/>
              <w:left w:val="single" w:sz="4" w:space="0" w:color="auto"/>
              <w:bottom w:val="nil"/>
              <w:right w:val="nil"/>
            </w:tcBorders>
            <w:shd w:val="clear" w:color="000000" w:fill="FFFFFF"/>
            <w:noWrap/>
            <w:vAlign w:val="center"/>
            <w:hideMark/>
          </w:tcPr>
          <w:p w14:paraId="539376EF"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77" w:type="pct"/>
            <w:tcBorders>
              <w:top w:val="nil"/>
              <w:left w:val="single" w:sz="4" w:space="0" w:color="auto"/>
              <w:bottom w:val="nil"/>
              <w:right w:val="nil"/>
            </w:tcBorders>
            <w:shd w:val="clear" w:color="000000" w:fill="FFFFFF"/>
            <w:noWrap/>
            <w:vAlign w:val="center"/>
            <w:hideMark/>
          </w:tcPr>
          <w:p w14:paraId="5B4686C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465</w:t>
            </w:r>
          </w:p>
        </w:tc>
        <w:tc>
          <w:tcPr>
            <w:tcW w:w="577" w:type="pct"/>
            <w:tcBorders>
              <w:top w:val="nil"/>
              <w:left w:val="nil"/>
              <w:bottom w:val="nil"/>
              <w:right w:val="nil"/>
            </w:tcBorders>
            <w:shd w:val="clear" w:color="000000" w:fill="FFFFFF"/>
            <w:noWrap/>
            <w:vAlign w:val="center"/>
            <w:hideMark/>
          </w:tcPr>
          <w:p w14:paraId="3BADD6AA"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468</w:t>
            </w:r>
          </w:p>
        </w:tc>
        <w:tc>
          <w:tcPr>
            <w:tcW w:w="577" w:type="pct"/>
            <w:tcBorders>
              <w:top w:val="nil"/>
              <w:left w:val="nil"/>
              <w:bottom w:val="nil"/>
              <w:right w:val="single" w:sz="4" w:space="0" w:color="auto"/>
            </w:tcBorders>
            <w:shd w:val="clear" w:color="000000" w:fill="FFFFFF"/>
            <w:noWrap/>
            <w:vAlign w:val="center"/>
            <w:hideMark/>
          </w:tcPr>
          <w:p w14:paraId="17110516"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328</w:t>
            </w:r>
          </w:p>
        </w:tc>
        <w:tc>
          <w:tcPr>
            <w:tcW w:w="588" w:type="pct"/>
            <w:tcBorders>
              <w:top w:val="nil"/>
              <w:left w:val="single" w:sz="4" w:space="0" w:color="auto"/>
              <w:bottom w:val="nil"/>
              <w:right w:val="nil"/>
            </w:tcBorders>
            <w:shd w:val="clear" w:color="000000" w:fill="FFFFFF"/>
            <w:noWrap/>
            <w:vAlign w:val="center"/>
            <w:hideMark/>
          </w:tcPr>
          <w:p w14:paraId="02FCE1D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w:t>
            </w:r>
          </w:p>
        </w:tc>
        <w:tc>
          <w:tcPr>
            <w:tcW w:w="578" w:type="pct"/>
            <w:tcBorders>
              <w:top w:val="nil"/>
              <w:left w:val="nil"/>
              <w:bottom w:val="nil"/>
              <w:right w:val="single" w:sz="4" w:space="0" w:color="auto"/>
            </w:tcBorders>
            <w:shd w:val="clear" w:color="000000" w:fill="FFFFFF"/>
            <w:noWrap/>
            <w:vAlign w:val="center"/>
            <w:hideMark/>
          </w:tcPr>
          <w:p w14:paraId="3A713F4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2.773</w:t>
            </w:r>
          </w:p>
        </w:tc>
        <w:tc>
          <w:tcPr>
            <w:tcW w:w="523" w:type="pct"/>
            <w:tcBorders>
              <w:top w:val="nil"/>
              <w:left w:val="nil"/>
              <w:bottom w:val="nil"/>
              <w:right w:val="nil"/>
            </w:tcBorders>
            <w:shd w:val="clear" w:color="000000" w:fill="FFFFFF"/>
            <w:noWrap/>
            <w:vAlign w:val="center"/>
            <w:hideMark/>
          </w:tcPr>
          <w:p w14:paraId="2594C9BB"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522" w:type="pct"/>
            <w:tcBorders>
              <w:top w:val="nil"/>
              <w:left w:val="single" w:sz="4" w:space="0" w:color="auto"/>
              <w:bottom w:val="nil"/>
              <w:right w:val="single" w:sz="4" w:space="0" w:color="auto"/>
            </w:tcBorders>
            <w:shd w:val="clear" w:color="000000" w:fill="FFFFFF"/>
            <w:noWrap/>
            <w:vAlign w:val="center"/>
            <w:hideMark/>
          </w:tcPr>
          <w:p w14:paraId="580BD3F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6248AC" w:rsidRPr="00650EE4" w14:paraId="564E30AC" w14:textId="77777777" w:rsidTr="00100674">
        <w:tc>
          <w:tcPr>
            <w:tcW w:w="1057" w:type="pct"/>
            <w:tcBorders>
              <w:top w:val="nil"/>
              <w:left w:val="single" w:sz="4" w:space="0" w:color="auto"/>
              <w:bottom w:val="nil"/>
              <w:right w:val="nil"/>
            </w:tcBorders>
            <w:shd w:val="clear" w:color="000000" w:fill="FFFFFF"/>
            <w:noWrap/>
            <w:vAlign w:val="center"/>
            <w:hideMark/>
          </w:tcPr>
          <w:p w14:paraId="4F2EB2D3"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77" w:type="pct"/>
            <w:tcBorders>
              <w:top w:val="nil"/>
              <w:left w:val="single" w:sz="4" w:space="0" w:color="auto"/>
              <w:bottom w:val="nil"/>
              <w:right w:val="nil"/>
            </w:tcBorders>
            <w:shd w:val="clear" w:color="000000" w:fill="FFFFFF"/>
            <w:noWrap/>
            <w:vAlign w:val="center"/>
            <w:hideMark/>
          </w:tcPr>
          <w:p w14:paraId="4D8F360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2.670</w:t>
            </w:r>
          </w:p>
        </w:tc>
        <w:tc>
          <w:tcPr>
            <w:tcW w:w="577" w:type="pct"/>
            <w:tcBorders>
              <w:top w:val="nil"/>
              <w:left w:val="nil"/>
              <w:bottom w:val="nil"/>
              <w:right w:val="nil"/>
            </w:tcBorders>
            <w:shd w:val="clear" w:color="000000" w:fill="FFFFFF"/>
            <w:noWrap/>
            <w:vAlign w:val="center"/>
            <w:hideMark/>
          </w:tcPr>
          <w:p w14:paraId="0A194BB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3.538</w:t>
            </w:r>
          </w:p>
        </w:tc>
        <w:tc>
          <w:tcPr>
            <w:tcW w:w="577" w:type="pct"/>
            <w:tcBorders>
              <w:top w:val="nil"/>
              <w:left w:val="nil"/>
              <w:bottom w:val="nil"/>
              <w:right w:val="single" w:sz="4" w:space="0" w:color="auto"/>
            </w:tcBorders>
            <w:shd w:val="clear" w:color="000000" w:fill="FFFFFF"/>
            <w:noWrap/>
            <w:vAlign w:val="center"/>
            <w:hideMark/>
          </w:tcPr>
          <w:p w14:paraId="07799D45"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2.404</w:t>
            </w:r>
          </w:p>
        </w:tc>
        <w:tc>
          <w:tcPr>
            <w:tcW w:w="588" w:type="pct"/>
            <w:tcBorders>
              <w:top w:val="nil"/>
              <w:left w:val="single" w:sz="4" w:space="0" w:color="auto"/>
              <w:bottom w:val="nil"/>
              <w:right w:val="nil"/>
            </w:tcBorders>
            <w:shd w:val="clear" w:color="000000" w:fill="FFFFFF"/>
            <w:noWrap/>
            <w:vAlign w:val="center"/>
            <w:hideMark/>
          </w:tcPr>
          <w:p w14:paraId="5F931CF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78" w:type="pct"/>
            <w:tcBorders>
              <w:top w:val="nil"/>
              <w:left w:val="nil"/>
              <w:bottom w:val="nil"/>
              <w:right w:val="single" w:sz="4" w:space="0" w:color="auto"/>
            </w:tcBorders>
            <w:shd w:val="clear" w:color="000000" w:fill="FFFFFF"/>
            <w:noWrap/>
            <w:vAlign w:val="center"/>
            <w:hideMark/>
          </w:tcPr>
          <w:p w14:paraId="29CBBCE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23" w:type="pct"/>
            <w:tcBorders>
              <w:top w:val="nil"/>
              <w:left w:val="nil"/>
              <w:bottom w:val="nil"/>
              <w:right w:val="nil"/>
            </w:tcBorders>
            <w:shd w:val="clear" w:color="000000" w:fill="FFFFFF"/>
            <w:noWrap/>
            <w:vAlign w:val="center"/>
            <w:hideMark/>
          </w:tcPr>
          <w:p w14:paraId="0819A23D"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522" w:type="pct"/>
            <w:tcBorders>
              <w:top w:val="nil"/>
              <w:left w:val="single" w:sz="4" w:space="0" w:color="auto"/>
              <w:bottom w:val="nil"/>
              <w:right w:val="single" w:sz="4" w:space="0" w:color="auto"/>
            </w:tcBorders>
            <w:shd w:val="clear" w:color="000000" w:fill="FFFFFF"/>
            <w:noWrap/>
            <w:vAlign w:val="center"/>
            <w:hideMark/>
          </w:tcPr>
          <w:p w14:paraId="5A71AED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6248AC" w:rsidRPr="00650EE4" w14:paraId="6C0CDD5F" w14:textId="77777777" w:rsidTr="00100674">
        <w:tc>
          <w:tcPr>
            <w:tcW w:w="1057" w:type="pct"/>
            <w:tcBorders>
              <w:top w:val="nil"/>
              <w:left w:val="single" w:sz="4" w:space="0" w:color="auto"/>
              <w:bottom w:val="nil"/>
              <w:right w:val="nil"/>
            </w:tcBorders>
            <w:shd w:val="clear" w:color="000000" w:fill="FFFFFF"/>
            <w:noWrap/>
            <w:vAlign w:val="center"/>
            <w:hideMark/>
          </w:tcPr>
          <w:p w14:paraId="10AE0EE7"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77" w:type="pct"/>
            <w:tcBorders>
              <w:top w:val="nil"/>
              <w:left w:val="single" w:sz="4" w:space="0" w:color="auto"/>
              <w:bottom w:val="nil"/>
              <w:right w:val="nil"/>
            </w:tcBorders>
            <w:shd w:val="clear" w:color="000000" w:fill="FFFFFF"/>
            <w:noWrap/>
            <w:vAlign w:val="center"/>
            <w:hideMark/>
          </w:tcPr>
          <w:p w14:paraId="007E744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244</w:t>
            </w:r>
          </w:p>
        </w:tc>
        <w:tc>
          <w:tcPr>
            <w:tcW w:w="577" w:type="pct"/>
            <w:tcBorders>
              <w:top w:val="nil"/>
              <w:left w:val="nil"/>
              <w:bottom w:val="nil"/>
              <w:right w:val="nil"/>
            </w:tcBorders>
            <w:shd w:val="clear" w:color="000000" w:fill="FFFFFF"/>
            <w:noWrap/>
            <w:vAlign w:val="center"/>
            <w:hideMark/>
          </w:tcPr>
          <w:p w14:paraId="0E3FC91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345</w:t>
            </w:r>
          </w:p>
        </w:tc>
        <w:tc>
          <w:tcPr>
            <w:tcW w:w="577" w:type="pct"/>
            <w:tcBorders>
              <w:top w:val="nil"/>
              <w:left w:val="nil"/>
              <w:bottom w:val="nil"/>
              <w:right w:val="single" w:sz="4" w:space="0" w:color="auto"/>
            </w:tcBorders>
            <w:shd w:val="clear" w:color="000000" w:fill="FFFFFF"/>
            <w:noWrap/>
            <w:vAlign w:val="center"/>
            <w:hideMark/>
          </w:tcPr>
          <w:p w14:paraId="4013715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315</w:t>
            </w:r>
          </w:p>
        </w:tc>
        <w:tc>
          <w:tcPr>
            <w:tcW w:w="588" w:type="pct"/>
            <w:tcBorders>
              <w:top w:val="nil"/>
              <w:left w:val="single" w:sz="4" w:space="0" w:color="auto"/>
              <w:bottom w:val="nil"/>
              <w:right w:val="nil"/>
            </w:tcBorders>
            <w:shd w:val="clear" w:color="000000" w:fill="FFFFFF"/>
            <w:noWrap/>
            <w:vAlign w:val="center"/>
            <w:hideMark/>
          </w:tcPr>
          <w:p w14:paraId="44F116F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347</w:t>
            </w:r>
          </w:p>
        </w:tc>
        <w:tc>
          <w:tcPr>
            <w:tcW w:w="578" w:type="pct"/>
            <w:tcBorders>
              <w:top w:val="nil"/>
              <w:left w:val="nil"/>
              <w:bottom w:val="nil"/>
              <w:right w:val="single" w:sz="4" w:space="0" w:color="auto"/>
            </w:tcBorders>
            <w:shd w:val="clear" w:color="000000" w:fill="FFFFFF"/>
            <w:noWrap/>
            <w:vAlign w:val="center"/>
            <w:hideMark/>
          </w:tcPr>
          <w:p w14:paraId="700A4AB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588</w:t>
            </w:r>
          </w:p>
        </w:tc>
        <w:tc>
          <w:tcPr>
            <w:tcW w:w="523" w:type="pct"/>
            <w:tcBorders>
              <w:top w:val="nil"/>
              <w:left w:val="nil"/>
              <w:bottom w:val="nil"/>
              <w:right w:val="nil"/>
            </w:tcBorders>
            <w:shd w:val="clear" w:color="000000" w:fill="FFFFFF"/>
            <w:noWrap/>
            <w:vAlign w:val="center"/>
            <w:hideMark/>
          </w:tcPr>
          <w:p w14:paraId="55E1DBB2"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522" w:type="pct"/>
            <w:tcBorders>
              <w:top w:val="nil"/>
              <w:left w:val="single" w:sz="4" w:space="0" w:color="auto"/>
              <w:bottom w:val="nil"/>
              <w:right w:val="single" w:sz="4" w:space="0" w:color="auto"/>
            </w:tcBorders>
            <w:shd w:val="clear" w:color="000000" w:fill="FFFFFF"/>
            <w:noWrap/>
            <w:vAlign w:val="center"/>
            <w:hideMark/>
          </w:tcPr>
          <w:p w14:paraId="54B62DE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6248AC" w:rsidRPr="00650EE4" w14:paraId="42FF12ED" w14:textId="77777777" w:rsidTr="00100674">
        <w:tc>
          <w:tcPr>
            <w:tcW w:w="1057" w:type="pct"/>
            <w:tcBorders>
              <w:top w:val="nil"/>
              <w:left w:val="single" w:sz="4" w:space="0" w:color="auto"/>
              <w:bottom w:val="nil"/>
              <w:right w:val="nil"/>
            </w:tcBorders>
            <w:shd w:val="clear" w:color="000000" w:fill="FFFFFF"/>
            <w:noWrap/>
            <w:vAlign w:val="center"/>
            <w:hideMark/>
          </w:tcPr>
          <w:p w14:paraId="44958484"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577" w:type="pct"/>
            <w:tcBorders>
              <w:top w:val="nil"/>
              <w:left w:val="single" w:sz="4" w:space="0" w:color="auto"/>
              <w:bottom w:val="nil"/>
              <w:right w:val="nil"/>
            </w:tcBorders>
            <w:shd w:val="clear" w:color="000000" w:fill="FFFFFF"/>
            <w:noWrap/>
            <w:vAlign w:val="center"/>
            <w:hideMark/>
          </w:tcPr>
          <w:p w14:paraId="3709914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3.410</w:t>
            </w:r>
          </w:p>
        </w:tc>
        <w:tc>
          <w:tcPr>
            <w:tcW w:w="577" w:type="pct"/>
            <w:tcBorders>
              <w:top w:val="nil"/>
              <w:left w:val="nil"/>
              <w:bottom w:val="nil"/>
              <w:right w:val="nil"/>
            </w:tcBorders>
            <w:shd w:val="clear" w:color="000000" w:fill="FFFFFF"/>
            <w:noWrap/>
            <w:vAlign w:val="center"/>
            <w:hideMark/>
          </w:tcPr>
          <w:p w14:paraId="0517E62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1.715</w:t>
            </w:r>
          </w:p>
        </w:tc>
        <w:tc>
          <w:tcPr>
            <w:tcW w:w="577" w:type="pct"/>
            <w:tcBorders>
              <w:top w:val="nil"/>
              <w:left w:val="nil"/>
              <w:bottom w:val="nil"/>
              <w:right w:val="single" w:sz="4" w:space="0" w:color="auto"/>
            </w:tcBorders>
            <w:shd w:val="clear" w:color="000000" w:fill="FFFFFF"/>
            <w:noWrap/>
            <w:vAlign w:val="center"/>
            <w:hideMark/>
          </w:tcPr>
          <w:p w14:paraId="00E636D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1.371</w:t>
            </w:r>
          </w:p>
        </w:tc>
        <w:tc>
          <w:tcPr>
            <w:tcW w:w="588" w:type="pct"/>
            <w:tcBorders>
              <w:top w:val="nil"/>
              <w:left w:val="single" w:sz="4" w:space="0" w:color="auto"/>
              <w:bottom w:val="nil"/>
              <w:right w:val="nil"/>
            </w:tcBorders>
            <w:shd w:val="clear" w:color="000000" w:fill="FFFFFF"/>
            <w:noWrap/>
            <w:vAlign w:val="center"/>
            <w:hideMark/>
          </w:tcPr>
          <w:p w14:paraId="1AD1F46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279</w:t>
            </w:r>
          </w:p>
        </w:tc>
        <w:tc>
          <w:tcPr>
            <w:tcW w:w="578" w:type="pct"/>
            <w:tcBorders>
              <w:top w:val="nil"/>
              <w:left w:val="nil"/>
              <w:bottom w:val="nil"/>
              <w:right w:val="single" w:sz="4" w:space="0" w:color="auto"/>
            </w:tcBorders>
            <w:shd w:val="clear" w:color="000000" w:fill="FFFFFF"/>
            <w:noWrap/>
            <w:vAlign w:val="center"/>
            <w:hideMark/>
          </w:tcPr>
          <w:p w14:paraId="0399CC4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523" w:type="pct"/>
            <w:tcBorders>
              <w:top w:val="nil"/>
              <w:left w:val="nil"/>
              <w:bottom w:val="nil"/>
              <w:right w:val="nil"/>
            </w:tcBorders>
            <w:shd w:val="clear" w:color="000000" w:fill="FFFFFF"/>
            <w:noWrap/>
            <w:vAlign w:val="center"/>
            <w:hideMark/>
          </w:tcPr>
          <w:p w14:paraId="3E3F130E"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522" w:type="pct"/>
            <w:tcBorders>
              <w:top w:val="nil"/>
              <w:left w:val="single" w:sz="4" w:space="0" w:color="auto"/>
              <w:bottom w:val="nil"/>
              <w:right w:val="single" w:sz="4" w:space="0" w:color="auto"/>
            </w:tcBorders>
            <w:shd w:val="clear" w:color="000000" w:fill="FFFFFF"/>
            <w:noWrap/>
            <w:vAlign w:val="center"/>
            <w:hideMark/>
          </w:tcPr>
          <w:p w14:paraId="14CACBF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6248AC" w:rsidRPr="00650EE4" w14:paraId="765278EA" w14:textId="77777777" w:rsidTr="00100674">
        <w:tc>
          <w:tcPr>
            <w:tcW w:w="1057" w:type="pct"/>
            <w:tcBorders>
              <w:top w:val="nil"/>
              <w:left w:val="single" w:sz="4" w:space="0" w:color="auto"/>
              <w:bottom w:val="nil"/>
              <w:right w:val="nil"/>
            </w:tcBorders>
            <w:shd w:val="clear" w:color="000000" w:fill="FFFFFF"/>
            <w:noWrap/>
            <w:vAlign w:val="center"/>
            <w:hideMark/>
          </w:tcPr>
          <w:p w14:paraId="4E85EC48"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577" w:type="pct"/>
            <w:tcBorders>
              <w:top w:val="nil"/>
              <w:left w:val="single" w:sz="4" w:space="0" w:color="auto"/>
              <w:bottom w:val="nil"/>
              <w:right w:val="nil"/>
            </w:tcBorders>
            <w:shd w:val="clear" w:color="000000" w:fill="FFFFFF"/>
            <w:noWrap/>
            <w:vAlign w:val="center"/>
            <w:hideMark/>
          </w:tcPr>
          <w:p w14:paraId="02C66C5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286</w:t>
            </w:r>
          </w:p>
        </w:tc>
        <w:tc>
          <w:tcPr>
            <w:tcW w:w="577" w:type="pct"/>
            <w:tcBorders>
              <w:top w:val="nil"/>
              <w:left w:val="nil"/>
              <w:bottom w:val="nil"/>
              <w:right w:val="nil"/>
            </w:tcBorders>
            <w:shd w:val="clear" w:color="000000" w:fill="FFFFFF"/>
            <w:noWrap/>
            <w:vAlign w:val="center"/>
            <w:hideMark/>
          </w:tcPr>
          <w:p w14:paraId="1137D5F9"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77" w:type="pct"/>
            <w:tcBorders>
              <w:top w:val="nil"/>
              <w:left w:val="nil"/>
              <w:bottom w:val="nil"/>
              <w:right w:val="single" w:sz="4" w:space="0" w:color="auto"/>
            </w:tcBorders>
            <w:shd w:val="clear" w:color="000000" w:fill="FFFFFF"/>
            <w:noWrap/>
            <w:vAlign w:val="center"/>
            <w:hideMark/>
          </w:tcPr>
          <w:p w14:paraId="26186F0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588" w:type="pct"/>
            <w:tcBorders>
              <w:top w:val="nil"/>
              <w:left w:val="single" w:sz="4" w:space="0" w:color="auto"/>
              <w:bottom w:val="nil"/>
              <w:right w:val="nil"/>
            </w:tcBorders>
            <w:shd w:val="clear" w:color="000000" w:fill="FFFFFF"/>
            <w:noWrap/>
            <w:vAlign w:val="center"/>
            <w:hideMark/>
          </w:tcPr>
          <w:p w14:paraId="12691C0B"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267</w:t>
            </w:r>
          </w:p>
        </w:tc>
        <w:tc>
          <w:tcPr>
            <w:tcW w:w="578" w:type="pct"/>
            <w:tcBorders>
              <w:top w:val="nil"/>
              <w:left w:val="nil"/>
              <w:bottom w:val="nil"/>
              <w:right w:val="single" w:sz="4" w:space="0" w:color="auto"/>
            </w:tcBorders>
            <w:shd w:val="clear" w:color="000000" w:fill="FFFFFF"/>
            <w:noWrap/>
            <w:vAlign w:val="center"/>
            <w:hideMark/>
          </w:tcPr>
          <w:p w14:paraId="65658F10"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1.105</w:t>
            </w:r>
          </w:p>
        </w:tc>
        <w:tc>
          <w:tcPr>
            <w:tcW w:w="523" w:type="pct"/>
            <w:tcBorders>
              <w:top w:val="nil"/>
              <w:left w:val="nil"/>
              <w:bottom w:val="nil"/>
              <w:right w:val="nil"/>
            </w:tcBorders>
            <w:shd w:val="clear" w:color="000000" w:fill="FFFFFF"/>
            <w:noWrap/>
            <w:vAlign w:val="center"/>
            <w:hideMark/>
          </w:tcPr>
          <w:p w14:paraId="042E3414"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522" w:type="pct"/>
            <w:tcBorders>
              <w:top w:val="nil"/>
              <w:left w:val="single" w:sz="4" w:space="0" w:color="auto"/>
              <w:bottom w:val="nil"/>
              <w:right w:val="single" w:sz="4" w:space="0" w:color="auto"/>
            </w:tcBorders>
            <w:shd w:val="clear" w:color="000000" w:fill="FFFFFF"/>
            <w:noWrap/>
            <w:vAlign w:val="center"/>
            <w:hideMark/>
          </w:tcPr>
          <w:p w14:paraId="7B909FE1"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6248AC" w:rsidRPr="00650EE4" w14:paraId="272C1654" w14:textId="77777777" w:rsidTr="00100674">
        <w:tc>
          <w:tcPr>
            <w:tcW w:w="1057" w:type="pct"/>
            <w:tcBorders>
              <w:top w:val="nil"/>
              <w:left w:val="single" w:sz="4" w:space="0" w:color="auto"/>
              <w:bottom w:val="nil"/>
              <w:right w:val="nil"/>
            </w:tcBorders>
            <w:shd w:val="clear" w:color="000000" w:fill="FFFFFF"/>
            <w:noWrap/>
            <w:vAlign w:val="center"/>
            <w:hideMark/>
          </w:tcPr>
          <w:p w14:paraId="54F5A4B7"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77" w:type="pct"/>
            <w:tcBorders>
              <w:top w:val="nil"/>
              <w:left w:val="single" w:sz="4" w:space="0" w:color="auto"/>
              <w:bottom w:val="nil"/>
              <w:right w:val="nil"/>
            </w:tcBorders>
            <w:shd w:val="clear" w:color="000000" w:fill="FFFFFF"/>
            <w:noWrap/>
            <w:vAlign w:val="center"/>
            <w:hideMark/>
          </w:tcPr>
          <w:p w14:paraId="6EBCD61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1.883</w:t>
            </w:r>
          </w:p>
        </w:tc>
        <w:tc>
          <w:tcPr>
            <w:tcW w:w="577" w:type="pct"/>
            <w:tcBorders>
              <w:top w:val="nil"/>
              <w:left w:val="nil"/>
              <w:bottom w:val="nil"/>
              <w:right w:val="nil"/>
            </w:tcBorders>
            <w:shd w:val="clear" w:color="000000" w:fill="FFFFFF"/>
            <w:noWrap/>
            <w:vAlign w:val="center"/>
            <w:hideMark/>
          </w:tcPr>
          <w:p w14:paraId="5D6F54B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1.664</w:t>
            </w:r>
          </w:p>
        </w:tc>
        <w:tc>
          <w:tcPr>
            <w:tcW w:w="577" w:type="pct"/>
            <w:tcBorders>
              <w:top w:val="nil"/>
              <w:left w:val="nil"/>
              <w:bottom w:val="nil"/>
              <w:right w:val="single" w:sz="4" w:space="0" w:color="auto"/>
            </w:tcBorders>
            <w:shd w:val="clear" w:color="000000" w:fill="FFFFFF"/>
            <w:noWrap/>
            <w:vAlign w:val="center"/>
            <w:hideMark/>
          </w:tcPr>
          <w:p w14:paraId="1311578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906</w:t>
            </w:r>
          </w:p>
        </w:tc>
        <w:tc>
          <w:tcPr>
            <w:tcW w:w="588" w:type="pct"/>
            <w:tcBorders>
              <w:top w:val="nil"/>
              <w:left w:val="single" w:sz="4" w:space="0" w:color="auto"/>
              <w:bottom w:val="nil"/>
              <w:right w:val="nil"/>
            </w:tcBorders>
            <w:shd w:val="clear" w:color="000000" w:fill="FFFFFF"/>
            <w:noWrap/>
            <w:vAlign w:val="center"/>
            <w:hideMark/>
          </w:tcPr>
          <w:p w14:paraId="1B57C39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78" w:type="pct"/>
            <w:tcBorders>
              <w:top w:val="nil"/>
              <w:left w:val="nil"/>
              <w:bottom w:val="nil"/>
              <w:right w:val="single" w:sz="4" w:space="0" w:color="auto"/>
            </w:tcBorders>
            <w:shd w:val="clear" w:color="000000" w:fill="FFFFFF"/>
            <w:noWrap/>
            <w:vAlign w:val="center"/>
            <w:hideMark/>
          </w:tcPr>
          <w:p w14:paraId="10F740C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343</w:t>
            </w:r>
          </w:p>
        </w:tc>
        <w:tc>
          <w:tcPr>
            <w:tcW w:w="523" w:type="pct"/>
            <w:tcBorders>
              <w:top w:val="nil"/>
              <w:left w:val="nil"/>
              <w:bottom w:val="nil"/>
              <w:right w:val="nil"/>
            </w:tcBorders>
            <w:shd w:val="clear" w:color="000000" w:fill="FFFFFF"/>
            <w:noWrap/>
            <w:vAlign w:val="center"/>
            <w:hideMark/>
          </w:tcPr>
          <w:p w14:paraId="787C488F"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522" w:type="pct"/>
            <w:tcBorders>
              <w:top w:val="nil"/>
              <w:left w:val="single" w:sz="4" w:space="0" w:color="auto"/>
              <w:bottom w:val="nil"/>
              <w:right w:val="single" w:sz="4" w:space="0" w:color="auto"/>
            </w:tcBorders>
            <w:shd w:val="clear" w:color="000000" w:fill="FFFFFF"/>
            <w:noWrap/>
            <w:vAlign w:val="center"/>
            <w:hideMark/>
          </w:tcPr>
          <w:p w14:paraId="52F8A057"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6248AC" w:rsidRPr="00650EE4" w14:paraId="647DEEDF" w14:textId="77777777" w:rsidTr="00100674">
        <w:tc>
          <w:tcPr>
            <w:tcW w:w="1057" w:type="pct"/>
            <w:tcBorders>
              <w:top w:val="nil"/>
              <w:left w:val="single" w:sz="4" w:space="0" w:color="auto"/>
              <w:bottom w:val="single" w:sz="4" w:space="0" w:color="auto"/>
              <w:right w:val="nil"/>
            </w:tcBorders>
            <w:shd w:val="clear" w:color="000000" w:fill="FFFFFF"/>
            <w:noWrap/>
            <w:vAlign w:val="center"/>
            <w:hideMark/>
          </w:tcPr>
          <w:p w14:paraId="61615D7E"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77" w:type="pct"/>
            <w:tcBorders>
              <w:top w:val="nil"/>
              <w:left w:val="single" w:sz="4" w:space="0" w:color="auto"/>
              <w:bottom w:val="single" w:sz="4" w:space="0" w:color="auto"/>
              <w:right w:val="nil"/>
            </w:tcBorders>
            <w:shd w:val="clear" w:color="000000" w:fill="FFFFFF"/>
            <w:noWrap/>
            <w:vAlign w:val="center"/>
            <w:hideMark/>
          </w:tcPr>
          <w:p w14:paraId="6F4CA7D4"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77" w:type="pct"/>
            <w:tcBorders>
              <w:top w:val="nil"/>
              <w:left w:val="nil"/>
              <w:bottom w:val="single" w:sz="4" w:space="0" w:color="auto"/>
              <w:right w:val="nil"/>
            </w:tcBorders>
            <w:shd w:val="clear" w:color="000000" w:fill="FFFFFF"/>
            <w:noWrap/>
            <w:vAlign w:val="center"/>
            <w:hideMark/>
          </w:tcPr>
          <w:p w14:paraId="6ACF4FE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390</w:t>
            </w:r>
          </w:p>
        </w:tc>
        <w:tc>
          <w:tcPr>
            <w:tcW w:w="577" w:type="pct"/>
            <w:tcBorders>
              <w:top w:val="nil"/>
              <w:left w:val="nil"/>
              <w:bottom w:val="single" w:sz="4" w:space="0" w:color="auto"/>
              <w:right w:val="single" w:sz="4" w:space="0" w:color="auto"/>
            </w:tcBorders>
            <w:shd w:val="clear" w:color="000000" w:fill="FFFFFF"/>
            <w:noWrap/>
            <w:vAlign w:val="center"/>
            <w:hideMark/>
          </w:tcPr>
          <w:p w14:paraId="2E39FDC2"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588" w:type="pct"/>
            <w:tcBorders>
              <w:top w:val="nil"/>
              <w:left w:val="single" w:sz="4" w:space="0" w:color="auto"/>
              <w:bottom w:val="single" w:sz="4" w:space="0" w:color="auto"/>
              <w:right w:val="nil"/>
            </w:tcBorders>
            <w:shd w:val="clear" w:color="000000" w:fill="FFFFFF"/>
            <w:noWrap/>
            <w:vAlign w:val="center"/>
            <w:hideMark/>
          </w:tcPr>
          <w:p w14:paraId="01C8BA0C"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826</w:t>
            </w:r>
          </w:p>
        </w:tc>
        <w:tc>
          <w:tcPr>
            <w:tcW w:w="578" w:type="pct"/>
            <w:tcBorders>
              <w:top w:val="nil"/>
              <w:left w:val="nil"/>
              <w:bottom w:val="single" w:sz="4" w:space="0" w:color="auto"/>
              <w:right w:val="single" w:sz="4" w:space="0" w:color="auto"/>
            </w:tcBorders>
            <w:shd w:val="clear" w:color="000000" w:fill="FFFFFF"/>
            <w:noWrap/>
            <w:vAlign w:val="center"/>
            <w:hideMark/>
          </w:tcPr>
          <w:p w14:paraId="0C96052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397</w:t>
            </w:r>
          </w:p>
        </w:tc>
        <w:tc>
          <w:tcPr>
            <w:tcW w:w="523" w:type="pct"/>
            <w:tcBorders>
              <w:top w:val="nil"/>
              <w:left w:val="nil"/>
              <w:bottom w:val="single" w:sz="4" w:space="0" w:color="auto"/>
              <w:right w:val="nil"/>
            </w:tcBorders>
            <w:shd w:val="clear" w:color="000000" w:fill="FFFFFF"/>
            <w:noWrap/>
            <w:vAlign w:val="center"/>
            <w:hideMark/>
          </w:tcPr>
          <w:p w14:paraId="72514645"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522" w:type="pct"/>
            <w:tcBorders>
              <w:top w:val="nil"/>
              <w:left w:val="single" w:sz="4" w:space="0" w:color="auto"/>
              <w:bottom w:val="single" w:sz="4" w:space="0" w:color="auto"/>
              <w:right w:val="single" w:sz="4" w:space="0" w:color="auto"/>
            </w:tcBorders>
            <w:shd w:val="clear" w:color="000000" w:fill="FFFFFF"/>
            <w:noWrap/>
            <w:vAlign w:val="center"/>
            <w:hideMark/>
          </w:tcPr>
          <w:p w14:paraId="3301BB5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6248AC" w:rsidRPr="00650EE4" w14:paraId="559EC2FF" w14:textId="77777777" w:rsidTr="00100674">
        <w:tc>
          <w:tcPr>
            <w:tcW w:w="1057" w:type="pct"/>
            <w:tcBorders>
              <w:top w:val="nil"/>
              <w:left w:val="single" w:sz="4" w:space="0" w:color="auto"/>
              <w:bottom w:val="nil"/>
              <w:right w:val="nil"/>
            </w:tcBorders>
            <w:shd w:val="clear" w:color="000000" w:fill="FFFFFF"/>
            <w:noWrap/>
            <w:vAlign w:val="center"/>
            <w:hideMark/>
          </w:tcPr>
          <w:p w14:paraId="4E41C62A" w14:textId="77777777" w:rsidR="006248AC" w:rsidRPr="00650EE4" w:rsidRDefault="006248AC" w:rsidP="00720C26">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77" w:type="pct"/>
            <w:tcBorders>
              <w:top w:val="nil"/>
              <w:left w:val="single" w:sz="4" w:space="0" w:color="auto"/>
              <w:bottom w:val="nil"/>
              <w:right w:val="nil"/>
            </w:tcBorders>
            <w:shd w:val="clear" w:color="000000" w:fill="FFFFFF"/>
            <w:noWrap/>
            <w:vAlign w:val="center"/>
            <w:hideMark/>
          </w:tcPr>
          <w:p w14:paraId="4C5C1B57"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424.524</w:t>
            </w:r>
          </w:p>
        </w:tc>
        <w:tc>
          <w:tcPr>
            <w:tcW w:w="577" w:type="pct"/>
            <w:tcBorders>
              <w:top w:val="nil"/>
              <w:left w:val="nil"/>
              <w:bottom w:val="nil"/>
              <w:right w:val="nil"/>
            </w:tcBorders>
            <w:shd w:val="clear" w:color="000000" w:fill="FFFFFF"/>
            <w:noWrap/>
            <w:vAlign w:val="center"/>
            <w:hideMark/>
          </w:tcPr>
          <w:p w14:paraId="0491A988"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41.817</w:t>
            </w:r>
          </w:p>
        </w:tc>
        <w:tc>
          <w:tcPr>
            <w:tcW w:w="577" w:type="pct"/>
            <w:tcBorders>
              <w:top w:val="nil"/>
              <w:left w:val="nil"/>
              <w:bottom w:val="nil"/>
              <w:right w:val="single" w:sz="4" w:space="0" w:color="auto"/>
            </w:tcBorders>
            <w:shd w:val="clear" w:color="000000" w:fill="FFFFFF"/>
            <w:noWrap/>
            <w:vAlign w:val="center"/>
            <w:hideMark/>
          </w:tcPr>
          <w:p w14:paraId="63218079"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178.393</w:t>
            </w:r>
          </w:p>
        </w:tc>
        <w:tc>
          <w:tcPr>
            <w:tcW w:w="588" w:type="pct"/>
            <w:tcBorders>
              <w:top w:val="nil"/>
              <w:left w:val="single" w:sz="4" w:space="0" w:color="auto"/>
              <w:bottom w:val="nil"/>
              <w:right w:val="nil"/>
            </w:tcBorders>
            <w:shd w:val="clear" w:color="000000" w:fill="FFFFFF"/>
            <w:noWrap/>
            <w:vAlign w:val="center"/>
            <w:hideMark/>
          </w:tcPr>
          <w:p w14:paraId="174A9965"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7.367</w:t>
            </w:r>
          </w:p>
        </w:tc>
        <w:tc>
          <w:tcPr>
            <w:tcW w:w="578" w:type="pct"/>
            <w:tcBorders>
              <w:top w:val="nil"/>
              <w:left w:val="nil"/>
              <w:bottom w:val="nil"/>
              <w:right w:val="single" w:sz="4" w:space="0" w:color="auto"/>
            </w:tcBorders>
            <w:shd w:val="clear" w:color="000000" w:fill="FFFFFF"/>
            <w:noWrap/>
            <w:vAlign w:val="center"/>
            <w:hideMark/>
          </w:tcPr>
          <w:p w14:paraId="23EB7FB3"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9.182</w:t>
            </w:r>
          </w:p>
        </w:tc>
        <w:tc>
          <w:tcPr>
            <w:tcW w:w="523" w:type="pct"/>
            <w:tcBorders>
              <w:top w:val="nil"/>
              <w:left w:val="nil"/>
              <w:bottom w:val="nil"/>
              <w:right w:val="nil"/>
            </w:tcBorders>
            <w:shd w:val="clear" w:color="000000" w:fill="FFFFFF"/>
            <w:noWrap/>
            <w:vAlign w:val="center"/>
            <w:hideMark/>
          </w:tcPr>
          <w:p w14:paraId="1C8EBEDC" w14:textId="77777777" w:rsidR="006248AC" w:rsidRPr="00650EE4" w:rsidRDefault="006248AC" w:rsidP="00720C26">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522" w:type="pct"/>
            <w:tcBorders>
              <w:top w:val="nil"/>
              <w:left w:val="single" w:sz="4" w:space="0" w:color="auto"/>
              <w:bottom w:val="nil"/>
              <w:right w:val="single" w:sz="4" w:space="0" w:color="auto"/>
            </w:tcBorders>
            <w:shd w:val="clear" w:color="000000" w:fill="FFFFFF"/>
            <w:noWrap/>
            <w:vAlign w:val="center"/>
            <w:hideMark/>
          </w:tcPr>
          <w:p w14:paraId="2B3CC6A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248AC" w:rsidRPr="00650EE4" w14:paraId="70757D49" w14:textId="77777777" w:rsidTr="00100674">
        <w:tc>
          <w:tcPr>
            <w:tcW w:w="1057" w:type="pct"/>
            <w:tcBorders>
              <w:top w:val="single" w:sz="4" w:space="0" w:color="auto"/>
              <w:left w:val="single" w:sz="4" w:space="0" w:color="auto"/>
              <w:bottom w:val="single" w:sz="4" w:space="0" w:color="auto"/>
              <w:right w:val="nil"/>
            </w:tcBorders>
            <w:shd w:val="clear" w:color="000000" w:fill="FFFFFF"/>
            <w:noWrap/>
            <w:vAlign w:val="center"/>
            <w:hideMark/>
          </w:tcPr>
          <w:p w14:paraId="46AB9CE8"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77" w:type="pct"/>
            <w:tcBorders>
              <w:top w:val="single" w:sz="4" w:space="0" w:color="auto"/>
              <w:left w:val="single" w:sz="4" w:space="0" w:color="auto"/>
              <w:bottom w:val="single" w:sz="4" w:space="0" w:color="auto"/>
              <w:right w:val="nil"/>
            </w:tcBorders>
            <w:shd w:val="clear" w:color="000000" w:fill="FFFFFF"/>
            <w:noWrap/>
            <w:vAlign w:val="center"/>
            <w:hideMark/>
          </w:tcPr>
          <w:p w14:paraId="40AF5C2E"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577" w:type="pct"/>
            <w:tcBorders>
              <w:top w:val="single" w:sz="4" w:space="0" w:color="auto"/>
              <w:left w:val="nil"/>
              <w:bottom w:val="single" w:sz="4" w:space="0" w:color="auto"/>
              <w:right w:val="nil"/>
            </w:tcBorders>
            <w:shd w:val="clear" w:color="000000" w:fill="FFFFFF"/>
            <w:noWrap/>
            <w:vAlign w:val="center"/>
            <w:hideMark/>
          </w:tcPr>
          <w:p w14:paraId="227019C5"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77" w:type="pct"/>
            <w:tcBorders>
              <w:top w:val="single" w:sz="4" w:space="0" w:color="auto"/>
              <w:left w:val="nil"/>
              <w:bottom w:val="single" w:sz="4" w:space="0" w:color="auto"/>
              <w:right w:val="single" w:sz="4" w:space="0" w:color="auto"/>
            </w:tcBorders>
            <w:shd w:val="clear" w:color="000000" w:fill="FFFFFF"/>
            <w:noWrap/>
            <w:vAlign w:val="center"/>
            <w:hideMark/>
          </w:tcPr>
          <w:p w14:paraId="419951DD"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588" w:type="pct"/>
            <w:tcBorders>
              <w:top w:val="single" w:sz="4" w:space="0" w:color="auto"/>
              <w:left w:val="single" w:sz="4" w:space="0" w:color="auto"/>
              <w:bottom w:val="single" w:sz="4" w:space="0" w:color="auto"/>
              <w:right w:val="nil"/>
            </w:tcBorders>
            <w:shd w:val="clear" w:color="000000" w:fill="FFFFFF"/>
            <w:noWrap/>
            <w:vAlign w:val="center"/>
            <w:hideMark/>
          </w:tcPr>
          <w:p w14:paraId="31E66713"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78" w:type="pct"/>
            <w:tcBorders>
              <w:top w:val="single" w:sz="4" w:space="0" w:color="auto"/>
              <w:left w:val="nil"/>
              <w:bottom w:val="single" w:sz="4" w:space="0" w:color="auto"/>
              <w:right w:val="single" w:sz="4" w:space="0" w:color="auto"/>
            </w:tcBorders>
            <w:shd w:val="clear" w:color="000000" w:fill="FFFFFF"/>
            <w:noWrap/>
            <w:vAlign w:val="center"/>
            <w:hideMark/>
          </w:tcPr>
          <w:p w14:paraId="6F0D0AEF"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3" w:type="pct"/>
            <w:tcBorders>
              <w:top w:val="single" w:sz="4" w:space="0" w:color="auto"/>
              <w:left w:val="nil"/>
              <w:bottom w:val="single" w:sz="4" w:space="0" w:color="auto"/>
              <w:right w:val="nil"/>
            </w:tcBorders>
            <w:shd w:val="clear" w:color="000000" w:fill="FFFFFF"/>
            <w:noWrap/>
            <w:vAlign w:val="center"/>
            <w:hideMark/>
          </w:tcPr>
          <w:p w14:paraId="62695428" w14:textId="77777777" w:rsidR="006248AC" w:rsidRPr="00650EE4" w:rsidRDefault="006248AC" w:rsidP="00720C26">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CE5A92" w14:textId="77777777" w:rsidR="006248AC" w:rsidRPr="00650EE4" w:rsidRDefault="006248AC" w:rsidP="00720C26">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8407D9E" w14:textId="063C83B6" w:rsidR="00681794" w:rsidRPr="00650EE4" w:rsidRDefault="00681794" w:rsidP="00194B9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141FAE" w:rsidRPr="00650EE4">
        <w:rPr>
          <w:rFonts w:ascii="Times New Roman" w:eastAsia="Times New Roman" w:hAnsi="Times New Roman"/>
          <w:i/>
          <w:color w:val="000000" w:themeColor="text1"/>
          <w:sz w:val="20"/>
          <w:szCs w:val="20"/>
        </w:rPr>
        <w:t>NTR</w:t>
      </w:r>
      <w:r w:rsidR="00974DFD" w:rsidRPr="00650EE4">
        <w:rPr>
          <w:rFonts w:ascii="Times New Roman" w:eastAsia="Times New Roman" w:hAnsi="Times New Roman"/>
          <w:i/>
          <w:color w:val="000000" w:themeColor="text1"/>
          <w:sz w:val="20"/>
          <w:szCs w:val="20"/>
        </w:rPr>
        <w:t xml:space="preserve"> duomenys (2019.12.31)</w:t>
      </w:r>
    </w:p>
    <w:p w14:paraId="611FD1A2" w14:textId="77777777" w:rsidR="00123E5D" w:rsidRPr="00650EE4" w:rsidRDefault="00123E5D" w:rsidP="00631BA6">
      <w:pPr>
        <w:pStyle w:val="TESlentelspavadinimas"/>
        <w:rPr>
          <w:noProof w:val="0"/>
        </w:rPr>
      </w:pPr>
    </w:p>
    <w:p w14:paraId="5730AE84" w14:textId="777FCAD6" w:rsidR="00DB124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6" w:name="_Toc59094189"/>
      <w:r w:rsidR="00F25C65">
        <w:t>6</w:t>
      </w:r>
      <w:r w:rsidRPr="00650EE4">
        <w:rPr>
          <w:noProof w:val="0"/>
        </w:rPr>
        <w:fldChar w:fldCharType="end"/>
      </w:r>
      <w:r w:rsidR="0070585A" w:rsidRPr="00650EE4">
        <w:rPr>
          <w:noProof w:val="0"/>
        </w:rPr>
        <w:t xml:space="preserve"> lentelė</w:t>
      </w:r>
      <w:r w:rsidR="00DB1243" w:rsidRPr="00650EE4">
        <w:rPr>
          <w:noProof w:val="0"/>
        </w:rPr>
        <w:t>. Pastatų fondas pagal nuosavybės tipą (</w:t>
      </w:r>
      <w:r w:rsidR="009F4DC4" w:rsidRPr="00650EE4">
        <w:rPr>
          <w:noProof w:val="0"/>
        </w:rPr>
        <w:t>tūkst. m</w:t>
      </w:r>
      <w:r w:rsidR="009F4DC4" w:rsidRPr="00650EE4">
        <w:rPr>
          <w:noProof w:val="0"/>
          <w:vertAlign w:val="superscript"/>
        </w:rPr>
        <w:t>2</w:t>
      </w:r>
      <w:r w:rsidR="00DB1243" w:rsidRPr="00650EE4">
        <w:rPr>
          <w:noProof w:val="0"/>
        </w:rPr>
        <w:t>)</w:t>
      </w:r>
      <w:bookmarkEnd w:id="26"/>
    </w:p>
    <w:tbl>
      <w:tblPr>
        <w:tblW w:w="5000" w:type="pct"/>
        <w:tblLook w:val="04A0" w:firstRow="1" w:lastRow="0" w:firstColumn="1" w:lastColumn="0" w:noHBand="0" w:noVBand="1"/>
      </w:tblPr>
      <w:tblGrid>
        <w:gridCol w:w="2212"/>
        <w:gridCol w:w="1200"/>
        <w:gridCol w:w="1202"/>
        <w:gridCol w:w="1202"/>
        <w:gridCol w:w="1230"/>
        <w:gridCol w:w="1200"/>
        <w:gridCol w:w="1088"/>
        <w:gridCol w:w="1086"/>
      </w:tblGrid>
      <w:tr w:rsidR="00FD4ED3" w:rsidRPr="00650EE4" w14:paraId="2B20AFF2" w14:textId="77777777" w:rsidTr="0085443A">
        <w:tc>
          <w:tcPr>
            <w:tcW w:w="1061"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3F76245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896"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5DA295"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Nuosavybės tipas</w:t>
            </w:r>
          </w:p>
        </w:tc>
        <w:tc>
          <w:tcPr>
            <w:tcW w:w="522" w:type="pct"/>
            <w:vMerge w:val="restart"/>
            <w:tcBorders>
              <w:top w:val="single" w:sz="4" w:space="0" w:color="auto"/>
              <w:left w:val="nil"/>
              <w:bottom w:val="single" w:sz="4" w:space="0" w:color="000000"/>
              <w:right w:val="nil"/>
            </w:tcBorders>
            <w:shd w:val="clear" w:color="000000" w:fill="FFFFFF"/>
            <w:vAlign w:val="center"/>
            <w:hideMark/>
          </w:tcPr>
          <w:p w14:paraId="4D32FAB5"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7C8BDA8"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7ED9252D" w14:textId="77777777" w:rsidTr="0085443A">
        <w:tc>
          <w:tcPr>
            <w:tcW w:w="1061" w:type="pct"/>
            <w:vMerge/>
            <w:tcBorders>
              <w:top w:val="single" w:sz="4" w:space="0" w:color="auto"/>
              <w:left w:val="single" w:sz="4" w:space="0" w:color="auto"/>
              <w:bottom w:val="single" w:sz="4" w:space="0" w:color="000000"/>
              <w:right w:val="nil"/>
            </w:tcBorders>
            <w:vAlign w:val="center"/>
            <w:hideMark/>
          </w:tcPr>
          <w:p w14:paraId="200AAF8E" w14:textId="77777777" w:rsidR="00FD4ED3" w:rsidRPr="00650EE4" w:rsidRDefault="00FD4ED3" w:rsidP="00FD4ED3">
            <w:pPr>
              <w:spacing w:line="240" w:lineRule="auto"/>
              <w:rPr>
                <w:rFonts w:ascii="Times New Roman" w:eastAsia="Times New Roman" w:hAnsi="Times New Roman"/>
                <w:b/>
                <w:bCs/>
                <w:sz w:val="20"/>
                <w:szCs w:val="20"/>
              </w:rPr>
            </w:pPr>
          </w:p>
        </w:tc>
        <w:tc>
          <w:tcPr>
            <w:tcW w:w="1730" w:type="pct"/>
            <w:gridSpan w:val="3"/>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4FDAFD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Privati</w:t>
            </w:r>
          </w:p>
        </w:tc>
        <w:tc>
          <w:tcPr>
            <w:tcW w:w="1166" w:type="pct"/>
            <w:gridSpan w:val="2"/>
            <w:tcBorders>
              <w:top w:val="single" w:sz="4" w:space="0" w:color="auto"/>
              <w:left w:val="nil"/>
              <w:bottom w:val="single" w:sz="4" w:space="0" w:color="auto"/>
              <w:right w:val="single" w:sz="4" w:space="0" w:color="000000"/>
            </w:tcBorders>
            <w:shd w:val="clear" w:color="000000" w:fill="FFFFFF"/>
            <w:noWrap/>
            <w:vAlign w:val="center"/>
            <w:hideMark/>
          </w:tcPr>
          <w:p w14:paraId="23503329"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Vieša</w:t>
            </w:r>
          </w:p>
        </w:tc>
        <w:tc>
          <w:tcPr>
            <w:tcW w:w="522" w:type="pct"/>
            <w:vMerge/>
            <w:tcBorders>
              <w:top w:val="single" w:sz="4" w:space="0" w:color="auto"/>
              <w:left w:val="nil"/>
              <w:bottom w:val="single" w:sz="4" w:space="0" w:color="000000"/>
              <w:right w:val="nil"/>
            </w:tcBorders>
            <w:vAlign w:val="center"/>
            <w:hideMark/>
          </w:tcPr>
          <w:p w14:paraId="56C77420" w14:textId="77777777" w:rsidR="00FD4ED3" w:rsidRPr="00650EE4" w:rsidRDefault="00FD4ED3" w:rsidP="00FD4ED3">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14:paraId="3CBECD5C"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4FA6B33F" w14:textId="77777777" w:rsidTr="0085443A">
        <w:tc>
          <w:tcPr>
            <w:tcW w:w="1061" w:type="pct"/>
            <w:vMerge/>
            <w:tcBorders>
              <w:top w:val="single" w:sz="4" w:space="0" w:color="auto"/>
              <w:left w:val="single" w:sz="4" w:space="0" w:color="auto"/>
              <w:bottom w:val="single" w:sz="4" w:space="0" w:color="000000"/>
              <w:right w:val="nil"/>
            </w:tcBorders>
            <w:vAlign w:val="center"/>
            <w:hideMark/>
          </w:tcPr>
          <w:p w14:paraId="6B74189F" w14:textId="77777777" w:rsidR="00FD4ED3" w:rsidRPr="00650EE4" w:rsidRDefault="00FD4ED3" w:rsidP="00FD4ED3">
            <w:pPr>
              <w:spacing w:line="240" w:lineRule="auto"/>
              <w:rPr>
                <w:rFonts w:ascii="Times New Roman" w:eastAsia="Times New Roman" w:hAnsi="Times New Roman"/>
                <w:b/>
                <w:bCs/>
                <w:sz w:val="20"/>
                <w:szCs w:val="20"/>
              </w:rPr>
            </w:pPr>
          </w:p>
        </w:tc>
        <w:tc>
          <w:tcPr>
            <w:tcW w:w="576" w:type="pct"/>
            <w:tcBorders>
              <w:top w:val="nil"/>
              <w:left w:val="single" w:sz="4" w:space="0" w:color="auto"/>
              <w:bottom w:val="nil"/>
              <w:right w:val="nil"/>
            </w:tcBorders>
            <w:shd w:val="clear" w:color="000000" w:fill="FFFFFF"/>
            <w:vAlign w:val="center"/>
            <w:hideMark/>
          </w:tcPr>
          <w:p w14:paraId="5FE16D8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Fizinių asmenų</w:t>
            </w:r>
          </w:p>
        </w:tc>
        <w:tc>
          <w:tcPr>
            <w:tcW w:w="577" w:type="pct"/>
            <w:tcBorders>
              <w:top w:val="nil"/>
              <w:left w:val="nil"/>
              <w:bottom w:val="nil"/>
              <w:right w:val="nil"/>
            </w:tcBorders>
            <w:shd w:val="clear" w:color="000000" w:fill="FFFFFF"/>
            <w:vAlign w:val="center"/>
            <w:hideMark/>
          </w:tcPr>
          <w:p w14:paraId="663448F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Juridinių asmenų</w:t>
            </w:r>
          </w:p>
        </w:tc>
        <w:tc>
          <w:tcPr>
            <w:tcW w:w="576" w:type="pct"/>
            <w:tcBorders>
              <w:top w:val="nil"/>
              <w:left w:val="nil"/>
              <w:bottom w:val="nil"/>
              <w:right w:val="single" w:sz="4" w:space="0" w:color="auto"/>
            </w:tcBorders>
            <w:shd w:val="clear" w:color="000000" w:fill="FFFFFF"/>
            <w:vAlign w:val="center"/>
            <w:hideMark/>
          </w:tcPr>
          <w:p w14:paraId="7EE0BD11"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Mišri, kita</w:t>
            </w:r>
          </w:p>
        </w:tc>
        <w:tc>
          <w:tcPr>
            <w:tcW w:w="590" w:type="pct"/>
            <w:tcBorders>
              <w:top w:val="nil"/>
              <w:left w:val="nil"/>
              <w:bottom w:val="single" w:sz="4" w:space="0" w:color="auto"/>
              <w:right w:val="nil"/>
            </w:tcBorders>
            <w:shd w:val="clear" w:color="000000" w:fill="FFFFFF"/>
            <w:vAlign w:val="center"/>
            <w:hideMark/>
          </w:tcPr>
          <w:p w14:paraId="0EC226F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Valstybės</w:t>
            </w:r>
          </w:p>
        </w:tc>
        <w:tc>
          <w:tcPr>
            <w:tcW w:w="576" w:type="pct"/>
            <w:tcBorders>
              <w:top w:val="nil"/>
              <w:left w:val="nil"/>
              <w:bottom w:val="single" w:sz="4" w:space="0" w:color="auto"/>
              <w:right w:val="single" w:sz="4" w:space="0" w:color="auto"/>
            </w:tcBorders>
            <w:shd w:val="clear" w:color="000000" w:fill="FFFFFF"/>
            <w:vAlign w:val="center"/>
            <w:hideMark/>
          </w:tcPr>
          <w:p w14:paraId="495EB4D1"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Savival-dybių</w:t>
            </w:r>
            <w:proofErr w:type="spellEnd"/>
          </w:p>
        </w:tc>
        <w:tc>
          <w:tcPr>
            <w:tcW w:w="522" w:type="pct"/>
            <w:vMerge/>
            <w:tcBorders>
              <w:top w:val="single" w:sz="4" w:space="0" w:color="auto"/>
              <w:left w:val="nil"/>
              <w:bottom w:val="single" w:sz="4" w:space="0" w:color="000000"/>
              <w:right w:val="nil"/>
            </w:tcBorders>
            <w:vAlign w:val="center"/>
            <w:hideMark/>
          </w:tcPr>
          <w:p w14:paraId="514B87E6" w14:textId="77777777" w:rsidR="00FD4ED3" w:rsidRPr="00650EE4" w:rsidRDefault="00FD4ED3" w:rsidP="00FD4ED3">
            <w:pPr>
              <w:spacing w:line="240" w:lineRule="auto"/>
              <w:rPr>
                <w:rFonts w:ascii="Times New Roman" w:eastAsia="Times New Roman" w:hAnsi="Times New Roman"/>
                <w:b/>
                <w:bCs/>
                <w:sz w:val="20"/>
                <w:szCs w:val="20"/>
              </w:rPr>
            </w:pPr>
          </w:p>
        </w:tc>
        <w:tc>
          <w:tcPr>
            <w:tcW w:w="522" w:type="pct"/>
            <w:vMerge/>
            <w:tcBorders>
              <w:top w:val="single" w:sz="4" w:space="0" w:color="auto"/>
              <w:left w:val="single" w:sz="4" w:space="0" w:color="auto"/>
              <w:bottom w:val="single" w:sz="4" w:space="0" w:color="000000"/>
              <w:right w:val="single" w:sz="4" w:space="0" w:color="auto"/>
            </w:tcBorders>
            <w:vAlign w:val="center"/>
            <w:hideMark/>
          </w:tcPr>
          <w:p w14:paraId="59A95174" w14:textId="77777777" w:rsidR="00FD4ED3" w:rsidRPr="00650EE4" w:rsidRDefault="00FD4ED3" w:rsidP="00FD4ED3">
            <w:pPr>
              <w:spacing w:line="240" w:lineRule="auto"/>
              <w:rPr>
                <w:rFonts w:ascii="Times New Roman" w:eastAsia="Times New Roman" w:hAnsi="Times New Roman"/>
                <w:b/>
                <w:bCs/>
                <w:sz w:val="20"/>
                <w:szCs w:val="20"/>
              </w:rPr>
            </w:pPr>
          </w:p>
        </w:tc>
      </w:tr>
      <w:tr w:rsidR="000B343E" w:rsidRPr="00650EE4" w14:paraId="197D4C5E" w14:textId="77777777" w:rsidTr="0085443A">
        <w:tc>
          <w:tcPr>
            <w:tcW w:w="1061" w:type="pct"/>
            <w:tcBorders>
              <w:top w:val="nil"/>
              <w:left w:val="single" w:sz="4" w:space="0" w:color="auto"/>
              <w:bottom w:val="single" w:sz="4" w:space="0" w:color="auto"/>
              <w:right w:val="nil"/>
            </w:tcBorders>
            <w:shd w:val="clear" w:color="000000" w:fill="F2F2F2"/>
            <w:noWrap/>
            <w:vAlign w:val="center"/>
            <w:hideMark/>
          </w:tcPr>
          <w:p w14:paraId="49374523"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576" w:type="pct"/>
            <w:tcBorders>
              <w:top w:val="single" w:sz="4" w:space="0" w:color="auto"/>
              <w:left w:val="single" w:sz="4" w:space="0" w:color="auto"/>
              <w:bottom w:val="nil"/>
              <w:right w:val="nil"/>
            </w:tcBorders>
            <w:shd w:val="clear" w:color="000000" w:fill="F2F2F2"/>
            <w:noWrap/>
            <w:vAlign w:val="center"/>
            <w:hideMark/>
          </w:tcPr>
          <w:p w14:paraId="686433F7"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52.651</w:t>
            </w:r>
          </w:p>
        </w:tc>
        <w:tc>
          <w:tcPr>
            <w:tcW w:w="577" w:type="pct"/>
            <w:tcBorders>
              <w:top w:val="single" w:sz="4" w:space="0" w:color="auto"/>
              <w:left w:val="nil"/>
              <w:bottom w:val="nil"/>
              <w:right w:val="nil"/>
            </w:tcBorders>
            <w:shd w:val="clear" w:color="000000" w:fill="F2F2F2"/>
            <w:noWrap/>
            <w:vAlign w:val="center"/>
            <w:hideMark/>
          </w:tcPr>
          <w:p w14:paraId="672A8C48"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1.196</w:t>
            </w:r>
          </w:p>
        </w:tc>
        <w:tc>
          <w:tcPr>
            <w:tcW w:w="576" w:type="pct"/>
            <w:tcBorders>
              <w:top w:val="single" w:sz="4" w:space="0" w:color="auto"/>
              <w:left w:val="nil"/>
              <w:bottom w:val="nil"/>
              <w:right w:val="single" w:sz="4" w:space="0" w:color="auto"/>
            </w:tcBorders>
            <w:shd w:val="clear" w:color="000000" w:fill="F2F2F2"/>
            <w:noWrap/>
            <w:vAlign w:val="center"/>
            <w:hideMark/>
          </w:tcPr>
          <w:p w14:paraId="6654822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73.652</w:t>
            </w:r>
          </w:p>
        </w:tc>
        <w:tc>
          <w:tcPr>
            <w:tcW w:w="590" w:type="pct"/>
            <w:tcBorders>
              <w:top w:val="single" w:sz="4" w:space="0" w:color="auto"/>
              <w:left w:val="single" w:sz="4" w:space="0" w:color="auto"/>
              <w:bottom w:val="nil"/>
              <w:right w:val="nil"/>
            </w:tcBorders>
            <w:shd w:val="clear" w:color="000000" w:fill="F2F2F2"/>
            <w:noWrap/>
            <w:vAlign w:val="center"/>
            <w:hideMark/>
          </w:tcPr>
          <w:p w14:paraId="5312878F"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915</w:t>
            </w:r>
          </w:p>
        </w:tc>
        <w:tc>
          <w:tcPr>
            <w:tcW w:w="576" w:type="pct"/>
            <w:tcBorders>
              <w:top w:val="single" w:sz="4" w:space="0" w:color="auto"/>
              <w:left w:val="nil"/>
              <w:bottom w:val="nil"/>
              <w:right w:val="single" w:sz="4" w:space="0" w:color="auto"/>
            </w:tcBorders>
            <w:shd w:val="clear" w:color="000000" w:fill="F2F2F2"/>
            <w:noWrap/>
            <w:vAlign w:val="center"/>
            <w:hideMark/>
          </w:tcPr>
          <w:p w14:paraId="08E74DEC"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590</w:t>
            </w:r>
          </w:p>
        </w:tc>
        <w:tc>
          <w:tcPr>
            <w:tcW w:w="522" w:type="pct"/>
            <w:tcBorders>
              <w:top w:val="nil"/>
              <w:left w:val="nil"/>
              <w:bottom w:val="single" w:sz="4" w:space="0" w:color="auto"/>
              <w:right w:val="nil"/>
            </w:tcBorders>
            <w:shd w:val="clear" w:color="000000" w:fill="F2F2F2"/>
            <w:noWrap/>
            <w:vAlign w:val="center"/>
            <w:hideMark/>
          </w:tcPr>
          <w:p w14:paraId="2CA50976"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522" w:type="pct"/>
            <w:tcBorders>
              <w:top w:val="nil"/>
              <w:left w:val="single" w:sz="4" w:space="0" w:color="auto"/>
              <w:bottom w:val="single" w:sz="4" w:space="0" w:color="auto"/>
              <w:right w:val="single" w:sz="4" w:space="0" w:color="auto"/>
            </w:tcBorders>
            <w:shd w:val="clear" w:color="000000" w:fill="F2F2F2"/>
            <w:noWrap/>
            <w:vAlign w:val="center"/>
            <w:hideMark/>
          </w:tcPr>
          <w:p w14:paraId="5268CC9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w:t>
            </w:r>
          </w:p>
        </w:tc>
      </w:tr>
      <w:tr w:rsidR="00FD4ED3" w:rsidRPr="00650EE4" w14:paraId="5A6D0223" w14:textId="77777777" w:rsidTr="0085443A">
        <w:tc>
          <w:tcPr>
            <w:tcW w:w="1061" w:type="pct"/>
            <w:tcBorders>
              <w:top w:val="nil"/>
              <w:left w:val="single" w:sz="4" w:space="0" w:color="auto"/>
              <w:bottom w:val="nil"/>
              <w:right w:val="nil"/>
            </w:tcBorders>
            <w:shd w:val="clear" w:color="000000" w:fill="FFFFFF"/>
            <w:noWrap/>
            <w:vAlign w:val="center"/>
            <w:hideMark/>
          </w:tcPr>
          <w:p w14:paraId="76E77CA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76" w:type="pct"/>
            <w:tcBorders>
              <w:top w:val="single" w:sz="4" w:space="0" w:color="auto"/>
              <w:left w:val="single" w:sz="4" w:space="0" w:color="auto"/>
              <w:bottom w:val="nil"/>
              <w:right w:val="nil"/>
            </w:tcBorders>
            <w:shd w:val="clear" w:color="000000" w:fill="FFFFFF"/>
            <w:noWrap/>
            <w:vAlign w:val="center"/>
            <w:hideMark/>
          </w:tcPr>
          <w:p w14:paraId="29A4F5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52.331</w:t>
            </w:r>
          </w:p>
        </w:tc>
        <w:tc>
          <w:tcPr>
            <w:tcW w:w="577" w:type="pct"/>
            <w:tcBorders>
              <w:top w:val="single" w:sz="4" w:space="0" w:color="auto"/>
              <w:left w:val="nil"/>
              <w:bottom w:val="nil"/>
              <w:right w:val="nil"/>
            </w:tcBorders>
            <w:shd w:val="clear" w:color="000000" w:fill="FFFFFF"/>
            <w:noWrap/>
            <w:vAlign w:val="center"/>
            <w:hideMark/>
          </w:tcPr>
          <w:p w14:paraId="385B740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722</w:t>
            </w:r>
          </w:p>
        </w:tc>
        <w:tc>
          <w:tcPr>
            <w:tcW w:w="576" w:type="pct"/>
            <w:tcBorders>
              <w:top w:val="single" w:sz="4" w:space="0" w:color="auto"/>
              <w:left w:val="nil"/>
              <w:bottom w:val="nil"/>
              <w:right w:val="single" w:sz="4" w:space="0" w:color="auto"/>
            </w:tcBorders>
            <w:shd w:val="clear" w:color="000000" w:fill="FFFFFF"/>
            <w:noWrap/>
            <w:vAlign w:val="center"/>
            <w:hideMark/>
          </w:tcPr>
          <w:p w14:paraId="277E45D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16.225</w:t>
            </w:r>
          </w:p>
        </w:tc>
        <w:tc>
          <w:tcPr>
            <w:tcW w:w="590" w:type="pct"/>
            <w:tcBorders>
              <w:top w:val="single" w:sz="4" w:space="0" w:color="auto"/>
              <w:left w:val="single" w:sz="4" w:space="0" w:color="auto"/>
              <w:bottom w:val="nil"/>
              <w:right w:val="nil"/>
            </w:tcBorders>
            <w:shd w:val="clear" w:color="000000" w:fill="FFFFFF"/>
            <w:noWrap/>
            <w:vAlign w:val="center"/>
            <w:hideMark/>
          </w:tcPr>
          <w:p w14:paraId="324A56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76" w:type="pct"/>
            <w:tcBorders>
              <w:top w:val="single" w:sz="4" w:space="0" w:color="auto"/>
              <w:left w:val="nil"/>
              <w:bottom w:val="nil"/>
              <w:right w:val="single" w:sz="4" w:space="0" w:color="auto"/>
            </w:tcBorders>
            <w:shd w:val="clear" w:color="000000" w:fill="FFFFFF"/>
            <w:noWrap/>
            <w:vAlign w:val="center"/>
            <w:hideMark/>
          </w:tcPr>
          <w:p w14:paraId="68E516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157</w:t>
            </w:r>
          </w:p>
        </w:tc>
        <w:tc>
          <w:tcPr>
            <w:tcW w:w="522" w:type="pct"/>
            <w:tcBorders>
              <w:top w:val="nil"/>
              <w:left w:val="nil"/>
              <w:bottom w:val="nil"/>
              <w:right w:val="nil"/>
            </w:tcBorders>
            <w:shd w:val="clear" w:color="000000" w:fill="FFFFFF"/>
            <w:noWrap/>
            <w:vAlign w:val="center"/>
            <w:hideMark/>
          </w:tcPr>
          <w:p w14:paraId="37A13BA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522" w:type="pct"/>
            <w:tcBorders>
              <w:top w:val="nil"/>
              <w:left w:val="single" w:sz="4" w:space="0" w:color="auto"/>
              <w:bottom w:val="nil"/>
              <w:right w:val="single" w:sz="4" w:space="0" w:color="auto"/>
            </w:tcBorders>
            <w:shd w:val="clear" w:color="000000" w:fill="FFFFFF"/>
            <w:noWrap/>
            <w:vAlign w:val="center"/>
            <w:hideMark/>
          </w:tcPr>
          <w:p w14:paraId="3F7A85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26E15EB0" w14:textId="77777777" w:rsidTr="0085443A">
        <w:tc>
          <w:tcPr>
            <w:tcW w:w="1061" w:type="pct"/>
            <w:tcBorders>
              <w:top w:val="nil"/>
              <w:left w:val="single" w:sz="4" w:space="0" w:color="auto"/>
              <w:bottom w:val="nil"/>
              <w:right w:val="nil"/>
            </w:tcBorders>
            <w:shd w:val="clear" w:color="000000" w:fill="FFFFFF"/>
            <w:noWrap/>
            <w:vAlign w:val="center"/>
            <w:hideMark/>
          </w:tcPr>
          <w:p w14:paraId="22F7D6A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76" w:type="pct"/>
            <w:tcBorders>
              <w:top w:val="nil"/>
              <w:left w:val="single" w:sz="4" w:space="0" w:color="auto"/>
              <w:bottom w:val="single" w:sz="4" w:space="0" w:color="auto"/>
              <w:right w:val="nil"/>
            </w:tcBorders>
            <w:shd w:val="clear" w:color="000000" w:fill="FFFFFF"/>
            <w:noWrap/>
            <w:vAlign w:val="center"/>
            <w:hideMark/>
          </w:tcPr>
          <w:p w14:paraId="18F37C2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320</w:t>
            </w:r>
          </w:p>
        </w:tc>
        <w:tc>
          <w:tcPr>
            <w:tcW w:w="577" w:type="pct"/>
            <w:tcBorders>
              <w:top w:val="nil"/>
              <w:left w:val="nil"/>
              <w:bottom w:val="single" w:sz="4" w:space="0" w:color="auto"/>
              <w:right w:val="nil"/>
            </w:tcBorders>
            <w:shd w:val="clear" w:color="000000" w:fill="FFFFFF"/>
            <w:noWrap/>
            <w:vAlign w:val="center"/>
            <w:hideMark/>
          </w:tcPr>
          <w:p w14:paraId="4FEE745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576" w:type="pct"/>
            <w:tcBorders>
              <w:top w:val="nil"/>
              <w:left w:val="nil"/>
              <w:bottom w:val="single" w:sz="4" w:space="0" w:color="auto"/>
              <w:right w:val="single" w:sz="4" w:space="0" w:color="auto"/>
            </w:tcBorders>
            <w:shd w:val="clear" w:color="000000" w:fill="FFFFFF"/>
            <w:noWrap/>
            <w:vAlign w:val="center"/>
            <w:hideMark/>
          </w:tcPr>
          <w:p w14:paraId="09F283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57.428</w:t>
            </w:r>
          </w:p>
        </w:tc>
        <w:tc>
          <w:tcPr>
            <w:tcW w:w="590" w:type="pct"/>
            <w:tcBorders>
              <w:top w:val="nil"/>
              <w:left w:val="single" w:sz="4" w:space="0" w:color="auto"/>
              <w:bottom w:val="single" w:sz="4" w:space="0" w:color="auto"/>
              <w:right w:val="nil"/>
            </w:tcBorders>
            <w:shd w:val="clear" w:color="000000" w:fill="FFFFFF"/>
            <w:noWrap/>
            <w:vAlign w:val="center"/>
            <w:hideMark/>
          </w:tcPr>
          <w:p w14:paraId="37AC9BE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809</w:t>
            </w:r>
          </w:p>
        </w:tc>
        <w:tc>
          <w:tcPr>
            <w:tcW w:w="576" w:type="pct"/>
            <w:tcBorders>
              <w:top w:val="nil"/>
              <w:left w:val="nil"/>
              <w:bottom w:val="single" w:sz="4" w:space="0" w:color="auto"/>
              <w:right w:val="single" w:sz="4" w:space="0" w:color="auto"/>
            </w:tcBorders>
            <w:shd w:val="clear" w:color="000000" w:fill="FFFFFF"/>
            <w:noWrap/>
            <w:vAlign w:val="center"/>
            <w:hideMark/>
          </w:tcPr>
          <w:p w14:paraId="73E68A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522" w:type="pct"/>
            <w:tcBorders>
              <w:top w:val="nil"/>
              <w:left w:val="nil"/>
              <w:bottom w:val="nil"/>
              <w:right w:val="nil"/>
            </w:tcBorders>
            <w:shd w:val="clear" w:color="000000" w:fill="FFFFFF"/>
            <w:noWrap/>
            <w:vAlign w:val="center"/>
            <w:hideMark/>
          </w:tcPr>
          <w:p w14:paraId="6E55409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522" w:type="pct"/>
            <w:tcBorders>
              <w:top w:val="nil"/>
              <w:left w:val="single" w:sz="4" w:space="0" w:color="auto"/>
              <w:bottom w:val="nil"/>
              <w:right w:val="single" w:sz="4" w:space="0" w:color="auto"/>
            </w:tcBorders>
            <w:shd w:val="clear" w:color="000000" w:fill="FFFFFF"/>
            <w:noWrap/>
            <w:vAlign w:val="center"/>
            <w:hideMark/>
          </w:tcPr>
          <w:p w14:paraId="579C6B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0B343E" w:rsidRPr="00650EE4" w14:paraId="45B5F4BB" w14:textId="77777777" w:rsidTr="0085443A">
        <w:tc>
          <w:tcPr>
            <w:tcW w:w="1061" w:type="pct"/>
            <w:tcBorders>
              <w:top w:val="single" w:sz="4" w:space="0" w:color="auto"/>
              <w:left w:val="single" w:sz="4" w:space="0" w:color="auto"/>
              <w:bottom w:val="single" w:sz="4" w:space="0" w:color="auto"/>
              <w:right w:val="nil"/>
            </w:tcBorders>
            <w:shd w:val="clear" w:color="000000" w:fill="F2F2F2"/>
            <w:noWrap/>
            <w:vAlign w:val="center"/>
            <w:hideMark/>
          </w:tcPr>
          <w:p w14:paraId="2EFA4208"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576" w:type="pct"/>
            <w:tcBorders>
              <w:top w:val="nil"/>
              <w:left w:val="single" w:sz="4" w:space="0" w:color="auto"/>
              <w:bottom w:val="single" w:sz="4" w:space="0" w:color="auto"/>
              <w:right w:val="nil"/>
            </w:tcBorders>
            <w:shd w:val="clear" w:color="000000" w:fill="F2F2F2"/>
            <w:noWrap/>
            <w:vAlign w:val="center"/>
            <w:hideMark/>
          </w:tcPr>
          <w:p w14:paraId="51C3FA4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9.389</w:t>
            </w:r>
          </w:p>
        </w:tc>
        <w:tc>
          <w:tcPr>
            <w:tcW w:w="577" w:type="pct"/>
            <w:tcBorders>
              <w:top w:val="nil"/>
              <w:left w:val="nil"/>
              <w:bottom w:val="single" w:sz="4" w:space="0" w:color="auto"/>
              <w:right w:val="nil"/>
            </w:tcBorders>
            <w:shd w:val="clear" w:color="000000" w:fill="F2F2F2"/>
            <w:noWrap/>
            <w:vAlign w:val="center"/>
            <w:hideMark/>
          </w:tcPr>
          <w:p w14:paraId="66667486"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30.732</w:t>
            </w:r>
          </w:p>
        </w:tc>
        <w:tc>
          <w:tcPr>
            <w:tcW w:w="576" w:type="pct"/>
            <w:tcBorders>
              <w:top w:val="nil"/>
              <w:left w:val="nil"/>
              <w:bottom w:val="single" w:sz="4" w:space="0" w:color="auto"/>
              <w:right w:val="single" w:sz="4" w:space="0" w:color="auto"/>
            </w:tcBorders>
            <w:shd w:val="clear" w:color="000000" w:fill="F2F2F2"/>
            <w:noWrap/>
            <w:vAlign w:val="center"/>
            <w:hideMark/>
          </w:tcPr>
          <w:p w14:paraId="039131F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17.216</w:t>
            </w:r>
          </w:p>
        </w:tc>
        <w:tc>
          <w:tcPr>
            <w:tcW w:w="590" w:type="pct"/>
            <w:tcBorders>
              <w:top w:val="nil"/>
              <w:left w:val="single" w:sz="4" w:space="0" w:color="auto"/>
              <w:bottom w:val="single" w:sz="4" w:space="0" w:color="auto"/>
              <w:right w:val="nil"/>
            </w:tcBorders>
            <w:shd w:val="clear" w:color="000000" w:fill="F2F2F2"/>
            <w:noWrap/>
            <w:vAlign w:val="center"/>
            <w:hideMark/>
          </w:tcPr>
          <w:p w14:paraId="743793A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6.476</w:t>
            </w:r>
          </w:p>
        </w:tc>
        <w:tc>
          <w:tcPr>
            <w:tcW w:w="576" w:type="pct"/>
            <w:tcBorders>
              <w:top w:val="nil"/>
              <w:left w:val="nil"/>
              <w:bottom w:val="single" w:sz="4" w:space="0" w:color="auto"/>
              <w:right w:val="nil"/>
            </w:tcBorders>
            <w:shd w:val="clear" w:color="000000" w:fill="F2F2F2"/>
            <w:noWrap/>
            <w:vAlign w:val="center"/>
            <w:hideMark/>
          </w:tcPr>
          <w:p w14:paraId="1329026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8.857</w:t>
            </w:r>
          </w:p>
        </w:tc>
        <w:tc>
          <w:tcPr>
            <w:tcW w:w="522"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4D1570"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522" w:type="pct"/>
            <w:tcBorders>
              <w:top w:val="single" w:sz="4" w:space="0" w:color="auto"/>
              <w:left w:val="nil"/>
              <w:bottom w:val="single" w:sz="4" w:space="0" w:color="auto"/>
              <w:right w:val="single" w:sz="4" w:space="0" w:color="auto"/>
            </w:tcBorders>
            <w:shd w:val="clear" w:color="000000" w:fill="F2F2F2"/>
            <w:noWrap/>
            <w:vAlign w:val="center"/>
            <w:hideMark/>
          </w:tcPr>
          <w:p w14:paraId="533C272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w:t>
            </w:r>
          </w:p>
        </w:tc>
      </w:tr>
      <w:tr w:rsidR="00FD4ED3" w:rsidRPr="00650EE4" w14:paraId="3FAC1D09" w14:textId="77777777" w:rsidTr="0085443A">
        <w:tc>
          <w:tcPr>
            <w:tcW w:w="1061" w:type="pct"/>
            <w:tcBorders>
              <w:top w:val="nil"/>
              <w:left w:val="single" w:sz="4" w:space="0" w:color="auto"/>
              <w:bottom w:val="nil"/>
              <w:right w:val="nil"/>
            </w:tcBorders>
            <w:shd w:val="clear" w:color="000000" w:fill="FFFFFF"/>
            <w:noWrap/>
            <w:vAlign w:val="center"/>
            <w:hideMark/>
          </w:tcPr>
          <w:p w14:paraId="707A784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76" w:type="pct"/>
            <w:tcBorders>
              <w:top w:val="nil"/>
              <w:left w:val="single" w:sz="4" w:space="0" w:color="auto"/>
              <w:bottom w:val="nil"/>
              <w:right w:val="nil"/>
            </w:tcBorders>
            <w:shd w:val="clear" w:color="000000" w:fill="FFFFFF"/>
            <w:noWrap/>
            <w:vAlign w:val="center"/>
            <w:hideMark/>
          </w:tcPr>
          <w:p w14:paraId="256648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6.248</w:t>
            </w:r>
          </w:p>
        </w:tc>
        <w:tc>
          <w:tcPr>
            <w:tcW w:w="577" w:type="pct"/>
            <w:tcBorders>
              <w:top w:val="nil"/>
              <w:left w:val="nil"/>
              <w:bottom w:val="nil"/>
              <w:right w:val="nil"/>
            </w:tcBorders>
            <w:shd w:val="clear" w:color="000000" w:fill="FFFFFF"/>
            <w:noWrap/>
            <w:vAlign w:val="center"/>
            <w:hideMark/>
          </w:tcPr>
          <w:p w14:paraId="5FF3E82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19.690</w:t>
            </w:r>
          </w:p>
        </w:tc>
        <w:tc>
          <w:tcPr>
            <w:tcW w:w="576" w:type="pct"/>
            <w:tcBorders>
              <w:top w:val="nil"/>
              <w:left w:val="nil"/>
              <w:bottom w:val="nil"/>
              <w:right w:val="single" w:sz="4" w:space="0" w:color="auto"/>
            </w:tcBorders>
            <w:shd w:val="clear" w:color="000000" w:fill="FFFFFF"/>
            <w:noWrap/>
            <w:vAlign w:val="center"/>
            <w:hideMark/>
          </w:tcPr>
          <w:p w14:paraId="2B1D6F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8.280</w:t>
            </w:r>
          </w:p>
        </w:tc>
        <w:tc>
          <w:tcPr>
            <w:tcW w:w="590" w:type="pct"/>
            <w:tcBorders>
              <w:top w:val="nil"/>
              <w:left w:val="single" w:sz="4" w:space="0" w:color="auto"/>
              <w:bottom w:val="nil"/>
              <w:right w:val="nil"/>
            </w:tcBorders>
            <w:shd w:val="clear" w:color="000000" w:fill="FFFFFF"/>
            <w:noWrap/>
            <w:vAlign w:val="center"/>
            <w:hideMark/>
          </w:tcPr>
          <w:p w14:paraId="23443F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975</w:t>
            </w:r>
          </w:p>
        </w:tc>
        <w:tc>
          <w:tcPr>
            <w:tcW w:w="576" w:type="pct"/>
            <w:tcBorders>
              <w:top w:val="nil"/>
              <w:left w:val="nil"/>
              <w:bottom w:val="nil"/>
              <w:right w:val="single" w:sz="4" w:space="0" w:color="auto"/>
            </w:tcBorders>
            <w:shd w:val="clear" w:color="000000" w:fill="FFFFFF"/>
            <w:noWrap/>
            <w:vAlign w:val="center"/>
            <w:hideMark/>
          </w:tcPr>
          <w:p w14:paraId="0C4FAE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296</w:t>
            </w:r>
          </w:p>
        </w:tc>
        <w:tc>
          <w:tcPr>
            <w:tcW w:w="522" w:type="pct"/>
            <w:tcBorders>
              <w:top w:val="nil"/>
              <w:left w:val="nil"/>
              <w:bottom w:val="nil"/>
              <w:right w:val="nil"/>
            </w:tcBorders>
            <w:shd w:val="clear" w:color="000000" w:fill="FFFFFF"/>
            <w:noWrap/>
            <w:vAlign w:val="center"/>
            <w:hideMark/>
          </w:tcPr>
          <w:p w14:paraId="67F2C65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522" w:type="pct"/>
            <w:tcBorders>
              <w:top w:val="nil"/>
              <w:left w:val="single" w:sz="4" w:space="0" w:color="auto"/>
              <w:bottom w:val="nil"/>
              <w:right w:val="single" w:sz="4" w:space="0" w:color="auto"/>
            </w:tcBorders>
            <w:shd w:val="clear" w:color="000000" w:fill="FFFFFF"/>
            <w:noWrap/>
            <w:vAlign w:val="center"/>
            <w:hideMark/>
          </w:tcPr>
          <w:p w14:paraId="67AF00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354F12E6" w14:textId="77777777" w:rsidTr="0085443A">
        <w:tc>
          <w:tcPr>
            <w:tcW w:w="1061" w:type="pct"/>
            <w:tcBorders>
              <w:top w:val="nil"/>
              <w:left w:val="single" w:sz="4" w:space="0" w:color="auto"/>
              <w:bottom w:val="nil"/>
              <w:right w:val="nil"/>
            </w:tcBorders>
            <w:shd w:val="clear" w:color="000000" w:fill="FFFFFF"/>
            <w:noWrap/>
            <w:vAlign w:val="center"/>
            <w:hideMark/>
          </w:tcPr>
          <w:p w14:paraId="48E2B48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76" w:type="pct"/>
            <w:tcBorders>
              <w:top w:val="nil"/>
              <w:left w:val="single" w:sz="4" w:space="0" w:color="auto"/>
              <w:bottom w:val="nil"/>
              <w:right w:val="nil"/>
            </w:tcBorders>
            <w:shd w:val="clear" w:color="000000" w:fill="FFFFFF"/>
            <w:noWrap/>
            <w:vAlign w:val="center"/>
            <w:hideMark/>
          </w:tcPr>
          <w:p w14:paraId="3C34FC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837</w:t>
            </w:r>
          </w:p>
        </w:tc>
        <w:tc>
          <w:tcPr>
            <w:tcW w:w="577" w:type="pct"/>
            <w:tcBorders>
              <w:top w:val="nil"/>
              <w:left w:val="nil"/>
              <w:bottom w:val="nil"/>
              <w:right w:val="nil"/>
            </w:tcBorders>
            <w:shd w:val="clear" w:color="000000" w:fill="FFFFFF"/>
            <w:noWrap/>
            <w:vAlign w:val="center"/>
            <w:hideMark/>
          </w:tcPr>
          <w:p w14:paraId="57D723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3.832</w:t>
            </w:r>
          </w:p>
        </w:tc>
        <w:tc>
          <w:tcPr>
            <w:tcW w:w="576" w:type="pct"/>
            <w:tcBorders>
              <w:top w:val="nil"/>
              <w:left w:val="nil"/>
              <w:bottom w:val="nil"/>
              <w:right w:val="single" w:sz="4" w:space="0" w:color="auto"/>
            </w:tcBorders>
            <w:shd w:val="clear" w:color="000000" w:fill="FFFFFF"/>
            <w:noWrap/>
            <w:vAlign w:val="center"/>
            <w:hideMark/>
          </w:tcPr>
          <w:p w14:paraId="738923A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3.460</w:t>
            </w:r>
          </w:p>
        </w:tc>
        <w:tc>
          <w:tcPr>
            <w:tcW w:w="590" w:type="pct"/>
            <w:tcBorders>
              <w:top w:val="nil"/>
              <w:left w:val="single" w:sz="4" w:space="0" w:color="auto"/>
              <w:bottom w:val="nil"/>
              <w:right w:val="nil"/>
            </w:tcBorders>
            <w:shd w:val="clear" w:color="000000" w:fill="FFFFFF"/>
            <w:noWrap/>
            <w:vAlign w:val="center"/>
            <w:hideMark/>
          </w:tcPr>
          <w:p w14:paraId="6F2A2D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1.449</w:t>
            </w:r>
          </w:p>
        </w:tc>
        <w:tc>
          <w:tcPr>
            <w:tcW w:w="576" w:type="pct"/>
            <w:tcBorders>
              <w:top w:val="nil"/>
              <w:left w:val="nil"/>
              <w:bottom w:val="nil"/>
              <w:right w:val="single" w:sz="4" w:space="0" w:color="auto"/>
            </w:tcBorders>
            <w:shd w:val="clear" w:color="000000" w:fill="FFFFFF"/>
            <w:noWrap/>
            <w:vAlign w:val="center"/>
            <w:hideMark/>
          </w:tcPr>
          <w:p w14:paraId="401845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519</w:t>
            </w:r>
          </w:p>
        </w:tc>
        <w:tc>
          <w:tcPr>
            <w:tcW w:w="522" w:type="pct"/>
            <w:tcBorders>
              <w:top w:val="nil"/>
              <w:left w:val="nil"/>
              <w:bottom w:val="nil"/>
              <w:right w:val="nil"/>
            </w:tcBorders>
            <w:shd w:val="clear" w:color="000000" w:fill="FFFFFF"/>
            <w:noWrap/>
            <w:vAlign w:val="center"/>
            <w:hideMark/>
          </w:tcPr>
          <w:p w14:paraId="7E30173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522" w:type="pct"/>
            <w:tcBorders>
              <w:top w:val="nil"/>
              <w:left w:val="single" w:sz="4" w:space="0" w:color="auto"/>
              <w:bottom w:val="nil"/>
              <w:right w:val="single" w:sz="4" w:space="0" w:color="auto"/>
            </w:tcBorders>
            <w:shd w:val="clear" w:color="000000" w:fill="FFFFFF"/>
            <w:noWrap/>
            <w:vAlign w:val="center"/>
            <w:hideMark/>
          </w:tcPr>
          <w:p w14:paraId="15F6BA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5E1A49C8" w14:textId="77777777" w:rsidTr="0085443A">
        <w:tc>
          <w:tcPr>
            <w:tcW w:w="1061" w:type="pct"/>
            <w:tcBorders>
              <w:top w:val="nil"/>
              <w:left w:val="single" w:sz="4" w:space="0" w:color="auto"/>
              <w:bottom w:val="nil"/>
              <w:right w:val="nil"/>
            </w:tcBorders>
            <w:shd w:val="clear" w:color="000000" w:fill="FFFFFF"/>
            <w:noWrap/>
            <w:vAlign w:val="center"/>
            <w:hideMark/>
          </w:tcPr>
          <w:p w14:paraId="3594E10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76" w:type="pct"/>
            <w:tcBorders>
              <w:top w:val="nil"/>
              <w:left w:val="single" w:sz="4" w:space="0" w:color="auto"/>
              <w:bottom w:val="nil"/>
              <w:right w:val="nil"/>
            </w:tcBorders>
            <w:shd w:val="clear" w:color="000000" w:fill="FFFFFF"/>
            <w:noWrap/>
            <w:vAlign w:val="center"/>
            <w:hideMark/>
          </w:tcPr>
          <w:p w14:paraId="2B8919A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269</w:t>
            </w:r>
          </w:p>
        </w:tc>
        <w:tc>
          <w:tcPr>
            <w:tcW w:w="577" w:type="pct"/>
            <w:tcBorders>
              <w:top w:val="nil"/>
              <w:left w:val="nil"/>
              <w:bottom w:val="nil"/>
              <w:right w:val="nil"/>
            </w:tcBorders>
            <w:shd w:val="clear" w:color="000000" w:fill="FFFFFF"/>
            <w:noWrap/>
            <w:vAlign w:val="center"/>
            <w:hideMark/>
          </w:tcPr>
          <w:p w14:paraId="45AA65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794</w:t>
            </w:r>
          </w:p>
        </w:tc>
        <w:tc>
          <w:tcPr>
            <w:tcW w:w="576" w:type="pct"/>
            <w:tcBorders>
              <w:top w:val="nil"/>
              <w:left w:val="nil"/>
              <w:bottom w:val="nil"/>
              <w:right w:val="single" w:sz="4" w:space="0" w:color="auto"/>
            </w:tcBorders>
            <w:shd w:val="clear" w:color="000000" w:fill="FFFFFF"/>
            <w:noWrap/>
            <w:vAlign w:val="center"/>
            <w:hideMark/>
          </w:tcPr>
          <w:p w14:paraId="3516EB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w:t>
            </w:r>
          </w:p>
        </w:tc>
        <w:tc>
          <w:tcPr>
            <w:tcW w:w="590" w:type="pct"/>
            <w:tcBorders>
              <w:top w:val="nil"/>
              <w:left w:val="single" w:sz="4" w:space="0" w:color="auto"/>
              <w:bottom w:val="nil"/>
              <w:right w:val="nil"/>
            </w:tcBorders>
            <w:shd w:val="clear" w:color="000000" w:fill="FFFFFF"/>
            <w:noWrap/>
            <w:vAlign w:val="center"/>
            <w:hideMark/>
          </w:tcPr>
          <w:p w14:paraId="4B6027D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1.822</w:t>
            </w:r>
          </w:p>
        </w:tc>
        <w:tc>
          <w:tcPr>
            <w:tcW w:w="576" w:type="pct"/>
            <w:tcBorders>
              <w:top w:val="nil"/>
              <w:left w:val="nil"/>
              <w:bottom w:val="nil"/>
              <w:right w:val="single" w:sz="4" w:space="0" w:color="auto"/>
            </w:tcBorders>
            <w:shd w:val="clear" w:color="000000" w:fill="FFFFFF"/>
            <w:noWrap/>
            <w:vAlign w:val="center"/>
            <w:hideMark/>
          </w:tcPr>
          <w:p w14:paraId="42E4D77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5.142</w:t>
            </w:r>
          </w:p>
        </w:tc>
        <w:tc>
          <w:tcPr>
            <w:tcW w:w="522" w:type="pct"/>
            <w:tcBorders>
              <w:top w:val="nil"/>
              <w:left w:val="nil"/>
              <w:bottom w:val="nil"/>
              <w:right w:val="nil"/>
            </w:tcBorders>
            <w:shd w:val="clear" w:color="000000" w:fill="FFFFFF"/>
            <w:noWrap/>
            <w:vAlign w:val="center"/>
            <w:hideMark/>
          </w:tcPr>
          <w:p w14:paraId="602BD0B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522" w:type="pct"/>
            <w:tcBorders>
              <w:top w:val="nil"/>
              <w:left w:val="single" w:sz="4" w:space="0" w:color="auto"/>
              <w:bottom w:val="nil"/>
              <w:right w:val="single" w:sz="4" w:space="0" w:color="auto"/>
            </w:tcBorders>
            <w:shd w:val="clear" w:color="000000" w:fill="FFFFFF"/>
            <w:noWrap/>
            <w:vAlign w:val="center"/>
            <w:hideMark/>
          </w:tcPr>
          <w:p w14:paraId="0BF200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15609138" w14:textId="77777777" w:rsidTr="0085443A">
        <w:tc>
          <w:tcPr>
            <w:tcW w:w="1061" w:type="pct"/>
            <w:tcBorders>
              <w:top w:val="nil"/>
              <w:left w:val="single" w:sz="4" w:space="0" w:color="auto"/>
              <w:bottom w:val="nil"/>
              <w:right w:val="nil"/>
            </w:tcBorders>
            <w:shd w:val="clear" w:color="000000" w:fill="FFFFFF"/>
            <w:noWrap/>
            <w:vAlign w:val="center"/>
            <w:hideMark/>
          </w:tcPr>
          <w:p w14:paraId="318D54A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76" w:type="pct"/>
            <w:tcBorders>
              <w:top w:val="nil"/>
              <w:left w:val="single" w:sz="4" w:space="0" w:color="auto"/>
              <w:bottom w:val="nil"/>
              <w:right w:val="nil"/>
            </w:tcBorders>
            <w:shd w:val="clear" w:color="000000" w:fill="FFFFFF"/>
            <w:noWrap/>
            <w:vAlign w:val="center"/>
            <w:hideMark/>
          </w:tcPr>
          <w:p w14:paraId="15F539B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676</w:t>
            </w:r>
          </w:p>
        </w:tc>
        <w:tc>
          <w:tcPr>
            <w:tcW w:w="577" w:type="pct"/>
            <w:tcBorders>
              <w:top w:val="nil"/>
              <w:left w:val="nil"/>
              <w:bottom w:val="nil"/>
              <w:right w:val="nil"/>
            </w:tcBorders>
            <w:shd w:val="clear" w:color="000000" w:fill="FFFFFF"/>
            <w:noWrap/>
            <w:vAlign w:val="center"/>
            <w:hideMark/>
          </w:tcPr>
          <w:p w14:paraId="7BB44AB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3.643</w:t>
            </w:r>
          </w:p>
        </w:tc>
        <w:tc>
          <w:tcPr>
            <w:tcW w:w="576" w:type="pct"/>
            <w:tcBorders>
              <w:top w:val="nil"/>
              <w:left w:val="nil"/>
              <w:bottom w:val="nil"/>
              <w:right w:val="single" w:sz="4" w:space="0" w:color="auto"/>
            </w:tcBorders>
            <w:shd w:val="clear" w:color="000000" w:fill="FFFFFF"/>
            <w:noWrap/>
            <w:vAlign w:val="center"/>
            <w:hideMark/>
          </w:tcPr>
          <w:p w14:paraId="4EA441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2.651</w:t>
            </w:r>
          </w:p>
        </w:tc>
        <w:tc>
          <w:tcPr>
            <w:tcW w:w="590" w:type="pct"/>
            <w:tcBorders>
              <w:top w:val="nil"/>
              <w:left w:val="single" w:sz="4" w:space="0" w:color="auto"/>
              <w:bottom w:val="nil"/>
              <w:right w:val="nil"/>
            </w:tcBorders>
            <w:shd w:val="clear" w:color="000000" w:fill="FFFFFF"/>
            <w:noWrap/>
            <w:vAlign w:val="center"/>
            <w:hideMark/>
          </w:tcPr>
          <w:p w14:paraId="0E6CDE8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76" w:type="pct"/>
            <w:tcBorders>
              <w:top w:val="nil"/>
              <w:left w:val="nil"/>
              <w:bottom w:val="nil"/>
              <w:right w:val="single" w:sz="4" w:space="0" w:color="auto"/>
            </w:tcBorders>
            <w:shd w:val="clear" w:color="000000" w:fill="FFFFFF"/>
            <w:noWrap/>
            <w:vAlign w:val="center"/>
            <w:hideMark/>
          </w:tcPr>
          <w:p w14:paraId="01A10AE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w:t>
            </w:r>
          </w:p>
        </w:tc>
        <w:tc>
          <w:tcPr>
            <w:tcW w:w="522" w:type="pct"/>
            <w:tcBorders>
              <w:top w:val="nil"/>
              <w:left w:val="nil"/>
              <w:bottom w:val="nil"/>
              <w:right w:val="nil"/>
            </w:tcBorders>
            <w:shd w:val="clear" w:color="000000" w:fill="FFFFFF"/>
            <w:noWrap/>
            <w:vAlign w:val="center"/>
            <w:hideMark/>
          </w:tcPr>
          <w:p w14:paraId="1A2B119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522" w:type="pct"/>
            <w:tcBorders>
              <w:top w:val="nil"/>
              <w:left w:val="single" w:sz="4" w:space="0" w:color="auto"/>
              <w:bottom w:val="nil"/>
              <w:right w:val="single" w:sz="4" w:space="0" w:color="auto"/>
            </w:tcBorders>
            <w:shd w:val="clear" w:color="000000" w:fill="FFFFFF"/>
            <w:noWrap/>
            <w:vAlign w:val="center"/>
            <w:hideMark/>
          </w:tcPr>
          <w:p w14:paraId="014D812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6F7D985F" w14:textId="77777777" w:rsidTr="0085443A">
        <w:tc>
          <w:tcPr>
            <w:tcW w:w="1061" w:type="pct"/>
            <w:tcBorders>
              <w:top w:val="nil"/>
              <w:left w:val="single" w:sz="4" w:space="0" w:color="auto"/>
              <w:bottom w:val="nil"/>
              <w:right w:val="nil"/>
            </w:tcBorders>
            <w:shd w:val="clear" w:color="000000" w:fill="FFFFFF"/>
            <w:noWrap/>
            <w:vAlign w:val="center"/>
            <w:hideMark/>
          </w:tcPr>
          <w:p w14:paraId="34AFDD9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76" w:type="pct"/>
            <w:tcBorders>
              <w:top w:val="nil"/>
              <w:left w:val="single" w:sz="4" w:space="0" w:color="auto"/>
              <w:bottom w:val="nil"/>
              <w:right w:val="nil"/>
            </w:tcBorders>
            <w:shd w:val="clear" w:color="000000" w:fill="FFFFFF"/>
            <w:noWrap/>
            <w:vAlign w:val="center"/>
            <w:hideMark/>
          </w:tcPr>
          <w:p w14:paraId="59D48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577" w:type="pct"/>
            <w:tcBorders>
              <w:top w:val="nil"/>
              <w:left w:val="nil"/>
              <w:bottom w:val="nil"/>
              <w:right w:val="nil"/>
            </w:tcBorders>
            <w:shd w:val="clear" w:color="000000" w:fill="FFFFFF"/>
            <w:noWrap/>
            <w:vAlign w:val="center"/>
            <w:hideMark/>
          </w:tcPr>
          <w:p w14:paraId="4A7410C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451</w:t>
            </w:r>
          </w:p>
        </w:tc>
        <w:tc>
          <w:tcPr>
            <w:tcW w:w="576" w:type="pct"/>
            <w:tcBorders>
              <w:top w:val="nil"/>
              <w:left w:val="nil"/>
              <w:bottom w:val="nil"/>
              <w:right w:val="single" w:sz="4" w:space="0" w:color="auto"/>
            </w:tcBorders>
            <w:shd w:val="clear" w:color="000000" w:fill="FFFFFF"/>
            <w:noWrap/>
            <w:vAlign w:val="center"/>
            <w:hideMark/>
          </w:tcPr>
          <w:p w14:paraId="61B42C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329</w:t>
            </w:r>
          </w:p>
        </w:tc>
        <w:tc>
          <w:tcPr>
            <w:tcW w:w="590" w:type="pct"/>
            <w:tcBorders>
              <w:top w:val="nil"/>
              <w:left w:val="single" w:sz="4" w:space="0" w:color="auto"/>
              <w:bottom w:val="nil"/>
              <w:right w:val="nil"/>
            </w:tcBorders>
            <w:shd w:val="clear" w:color="000000" w:fill="FFFFFF"/>
            <w:noWrap/>
            <w:vAlign w:val="center"/>
            <w:hideMark/>
          </w:tcPr>
          <w:p w14:paraId="582C9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938</w:t>
            </w:r>
          </w:p>
        </w:tc>
        <w:tc>
          <w:tcPr>
            <w:tcW w:w="576" w:type="pct"/>
            <w:tcBorders>
              <w:top w:val="nil"/>
              <w:left w:val="nil"/>
              <w:bottom w:val="nil"/>
              <w:right w:val="single" w:sz="4" w:space="0" w:color="auto"/>
            </w:tcBorders>
            <w:shd w:val="clear" w:color="000000" w:fill="FFFFFF"/>
            <w:noWrap/>
            <w:vAlign w:val="center"/>
            <w:hideMark/>
          </w:tcPr>
          <w:p w14:paraId="42D1E72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1.134</w:t>
            </w:r>
          </w:p>
        </w:tc>
        <w:tc>
          <w:tcPr>
            <w:tcW w:w="522" w:type="pct"/>
            <w:tcBorders>
              <w:top w:val="nil"/>
              <w:left w:val="nil"/>
              <w:bottom w:val="nil"/>
              <w:right w:val="nil"/>
            </w:tcBorders>
            <w:shd w:val="clear" w:color="000000" w:fill="FFFFFF"/>
            <w:noWrap/>
            <w:vAlign w:val="center"/>
            <w:hideMark/>
          </w:tcPr>
          <w:p w14:paraId="099D11F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522" w:type="pct"/>
            <w:tcBorders>
              <w:top w:val="nil"/>
              <w:left w:val="single" w:sz="4" w:space="0" w:color="auto"/>
              <w:bottom w:val="nil"/>
              <w:right w:val="single" w:sz="4" w:space="0" w:color="auto"/>
            </w:tcBorders>
            <w:shd w:val="clear" w:color="000000" w:fill="FFFFFF"/>
            <w:noWrap/>
            <w:vAlign w:val="center"/>
            <w:hideMark/>
          </w:tcPr>
          <w:p w14:paraId="69C6176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D4ED3" w:rsidRPr="00650EE4" w14:paraId="6D1FFDDD" w14:textId="77777777" w:rsidTr="0085443A">
        <w:tc>
          <w:tcPr>
            <w:tcW w:w="1061" w:type="pct"/>
            <w:tcBorders>
              <w:top w:val="nil"/>
              <w:left w:val="single" w:sz="4" w:space="0" w:color="auto"/>
              <w:bottom w:val="nil"/>
              <w:right w:val="nil"/>
            </w:tcBorders>
            <w:shd w:val="clear" w:color="000000" w:fill="FFFFFF"/>
            <w:noWrap/>
            <w:vAlign w:val="center"/>
            <w:hideMark/>
          </w:tcPr>
          <w:p w14:paraId="404B644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2.6.Apgyvendinimo</w:t>
            </w:r>
          </w:p>
        </w:tc>
        <w:tc>
          <w:tcPr>
            <w:tcW w:w="576" w:type="pct"/>
            <w:tcBorders>
              <w:top w:val="nil"/>
              <w:left w:val="single" w:sz="4" w:space="0" w:color="auto"/>
              <w:bottom w:val="nil"/>
              <w:right w:val="nil"/>
            </w:tcBorders>
            <w:shd w:val="clear" w:color="000000" w:fill="FFFFFF"/>
            <w:noWrap/>
            <w:vAlign w:val="center"/>
            <w:hideMark/>
          </w:tcPr>
          <w:p w14:paraId="2753DE7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544</w:t>
            </w:r>
          </w:p>
        </w:tc>
        <w:tc>
          <w:tcPr>
            <w:tcW w:w="577" w:type="pct"/>
            <w:tcBorders>
              <w:top w:val="nil"/>
              <w:left w:val="nil"/>
              <w:bottom w:val="nil"/>
              <w:right w:val="nil"/>
            </w:tcBorders>
            <w:shd w:val="clear" w:color="000000" w:fill="FFFFFF"/>
            <w:noWrap/>
            <w:vAlign w:val="center"/>
            <w:hideMark/>
          </w:tcPr>
          <w:p w14:paraId="578AB58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835</w:t>
            </w:r>
          </w:p>
        </w:tc>
        <w:tc>
          <w:tcPr>
            <w:tcW w:w="576" w:type="pct"/>
            <w:tcBorders>
              <w:top w:val="nil"/>
              <w:left w:val="nil"/>
              <w:bottom w:val="nil"/>
              <w:right w:val="single" w:sz="4" w:space="0" w:color="auto"/>
            </w:tcBorders>
            <w:shd w:val="clear" w:color="000000" w:fill="FFFFFF"/>
            <w:noWrap/>
            <w:vAlign w:val="center"/>
            <w:hideMark/>
          </w:tcPr>
          <w:p w14:paraId="7F61DEC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967</w:t>
            </w:r>
          </w:p>
        </w:tc>
        <w:tc>
          <w:tcPr>
            <w:tcW w:w="590" w:type="pct"/>
            <w:tcBorders>
              <w:top w:val="nil"/>
              <w:left w:val="single" w:sz="4" w:space="0" w:color="auto"/>
              <w:bottom w:val="nil"/>
              <w:right w:val="nil"/>
            </w:tcBorders>
            <w:shd w:val="clear" w:color="000000" w:fill="FFFFFF"/>
            <w:noWrap/>
            <w:vAlign w:val="center"/>
            <w:hideMark/>
          </w:tcPr>
          <w:p w14:paraId="68ABFB4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76" w:type="pct"/>
            <w:tcBorders>
              <w:top w:val="nil"/>
              <w:left w:val="nil"/>
              <w:bottom w:val="nil"/>
              <w:right w:val="single" w:sz="4" w:space="0" w:color="auto"/>
            </w:tcBorders>
            <w:shd w:val="clear" w:color="000000" w:fill="FFFFFF"/>
            <w:noWrap/>
            <w:vAlign w:val="center"/>
            <w:hideMark/>
          </w:tcPr>
          <w:p w14:paraId="28D42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522" w:type="pct"/>
            <w:tcBorders>
              <w:top w:val="nil"/>
              <w:left w:val="nil"/>
              <w:bottom w:val="nil"/>
              <w:right w:val="nil"/>
            </w:tcBorders>
            <w:shd w:val="clear" w:color="000000" w:fill="FFFFFF"/>
            <w:noWrap/>
            <w:vAlign w:val="center"/>
            <w:hideMark/>
          </w:tcPr>
          <w:p w14:paraId="6E58BC4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522" w:type="pct"/>
            <w:tcBorders>
              <w:top w:val="nil"/>
              <w:left w:val="single" w:sz="4" w:space="0" w:color="auto"/>
              <w:bottom w:val="nil"/>
              <w:right w:val="single" w:sz="4" w:space="0" w:color="auto"/>
            </w:tcBorders>
            <w:shd w:val="clear" w:color="000000" w:fill="FFFFFF"/>
            <w:noWrap/>
            <w:vAlign w:val="center"/>
            <w:hideMark/>
          </w:tcPr>
          <w:p w14:paraId="5D3C4B4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D4ED3" w:rsidRPr="00650EE4" w14:paraId="68B0AD68" w14:textId="77777777" w:rsidTr="0085443A">
        <w:tc>
          <w:tcPr>
            <w:tcW w:w="1061" w:type="pct"/>
            <w:tcBorders>
              <w:top w:val="nil"/>
              <w:left w:val="single" w:sz="4" w:space="0" w:color="auto"/>
              <w:bottom w:val="nil"/>
              <w:right w:val="nil"/>
            </w:tcBorders>
            <w:shd w:val="clear" w:color="000000" w:fill="FFFFFF"/>
            <w:noWrap/>
            <w:vAlign w:val="center"/>
            <w:hideMark/>
          </w:tcPr>
          <w:p w14:paraId="7F5AEDC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2.7.Kultūros</w:t>
            </w:r>
          </w:p>
        </w:tc>
        <w:tc>
          <w:tcPr>
            <w:tcW w:w="576" w:type="pct"/>
            <w:tcBorders>
              <w:top w:val="nil"/>
              <w:left w:val="single" w:sz="4" w:space="0" w:color="auto"/>
              <w:bottom w:val="nil"/>
              <w:right w:val="nil"/>
            </w:tcBorders>
            <w:shd w:val="clear" w:color="000000" w:fill="FFFFFF"/>
            <w:noWrap/>
            <w:vAlign w:val="center"/>
            <w:hideMark/>
          </w:tcPr>
          <w:p w14:paraId="5E6124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132</w:t>
            </w:r>
          </w:p>
        </w:tc>
        <w:tc>
          <w:tcPr>
            <w:tcW w:w="577" w:type="pct"/>
            <w:tcBorders>
              <w:top w:val="nil"/>
              <w:left w:val="nil"/>
              <w:bottom w:val="nil"/>
              <w:right w:val="nil"/>
            </w:tcBorders>
            <w:shd w:val="clear" w:color="000000" w:fill="FFFFFF"/>
            <w:noWrap/>
            <w:vAlign w:val="center"/>
            <w:hideMark/>
          </w:tcPr>
          <w:p w14:paraId="4FBFD69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76" w:type="pct"/>
            <w:tcBorders>
              <w:top w:val="nil"/>
              <w:left w:val="nil"/>
              <w:bottom w:val="nil"/>
              <w:right w:val="single" w:sz="4" w:space="0" w:color="auto"/>
            </w:tcBorders>
            <w:shd w:val="clear" w:color="000000" w:fill="FFFFFF"/>
            <w:noWrap/>
            <w:vAlign w:val="center"/>
            <w:hideMark/>
          </w:tcPr>
          <w:p w14:paraId="0D9873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590" w:type="pct"/>
            <w:tcBorders>
              <w:top w:val="nil"/>
              <w:left w:val="single" w:sz="4" w:space="0" w:color="auto"/>
              <w:bottom w:val="nil"/>
              <w:right w:val="nil"/>
            </w:tcBorders>
            <w:shd w:val="clear" w:color="000000" w:fill="FFFFFF"/>
            <w:noWrap/>
            <w:vAlign w:val="center"/>
            <w:hideMark/>
          </w:tcPr>
          <w:p w14:paraId="2C8E911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450</w:t>
            </w:r>
          </w:p>
        </w:tc>
        <w:tc>
          <w:tcPr>
            <w:tcW w:w="576" w:type="pct"/>
            <w:tcBorders>
              <w:top w:val="nil"/>
              <w:left w:val="nil"/>
              <w:bottom w:val="nil"/>
              <w:right w:val="single" w:sz="4" w:space="0" w:color="auto"/>
            </w:tcBorders>
            <w:shd w:val="clear" w:color="000000" w:fill="FFFFFF"/>
            <w:noWrap/>
            <w:vAlign w:val="center"/>
            <w:hideMark/>
          </w:tcPr>
          <w:p w14:paraId="74605B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1.078</w:t>
            </w:r>
          </w:p>
        </w:tc>
        <w:tc>
          <w:tcPr>
            <w:tcW w:w="522" w:type="pct"/>
            <w:tcBorders>
              <w:top w:val="nil"/>
              <w:left w:val="nil"/>
              <w:bottom w:val="nil"/>
              <w:right w:val="nil"/>
            </w:tcBorders>
            <w:shd w:val="clear" w:color="000000" w:fill="FFFFFF"/>
            <w:noWrap/>
            <w:vAlign w:val="center"/>
            <w:hideMark/>
          </w:tcPr>
          <w:p w14:paraId="2F90B5D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522" w:type="pct"/>
            <w:tcBorders>
              <w:top w:val="nil"/>
              <w:left w:val="single" w:sz="4" w:space="0" w:color="auto"/>
              <w:bottom w:val="nil"/>
              <w:right w:val="single" w:sz="4" w:space="0" w:color="auto"/>
            </w:tcBorders>
            <w:shd w:val="clear" w:color="000000" w:fill="FFFFFF"/>
            <w:noWrap/>
            <w:vAlign w:val="center"/>
            <w:hideMark/>
          </w:tcPr>
          <w:p w14:paraId="5D9CF0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45B74C59" w14:textId="77777777" w:rsidTr="0085443A">
        <w:tc>
          <w:tcPr>
            <w:tcW w:w="1061" w:type="pct"/>
            <w:tcBorders>
              <w:top w:val="nil"/>
              <w:left w:val="single" w:sz="4" w:space="0" w:color="auto"/>
              <w:bottom w:val="nil"/>
              <w:right w:val="nil"/>
            </w:tcBorders>
            <w:shd w:val="clear" w:color="000000" w:fill="FFFFFF"/>
            <w:noWrap/>
            <w:vAlign w:val="center"/>
            <w:hideMark/>
          </w:tcPr>
          <w:p w14:paraId="5CF9547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76" w:type="pct"/>
            <w:tcBorders>
              <w:top w:val="nil"/>
              <w:left w:val="single" w:sz="4" w:space="0" w:color="auto"/>
              <w:bottom w:val="nil"/>
              <w:right w:val="nil"/>
            </w:tcBorders>
            <w:shd w:val="clear" w:color="000000" w:fill="FFFFFF"/>
            <w:noWrap/>
            <w:vAlign w:val="center"/>
            <w:hideMark/>
          </w:tcPr>
          <w:p w14:paraId="6429F90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496</w:t>
            </w:r>
          </w:p>
        </w:tc>
        <w:tc>
          <w:tcPr>
            <w:tcW w:w="577" w:type="pct"/>
            <w:tcBorders>
              <w:top w:val="nil"/>
              <w:left w:val="nil"/>
              <w:bottom w:val="nil"/>
              <w:right w:val="nil"/>
            </w:tcBorders>
            <w:shd w:val="clear" w:color="000000" w:fill="FFFFFF"/>
            <w:noWrap/>
            <w:vAlign w:val="center"/>
            <w:hideMark/>
          </w:tcPr>
          <w:p w14:paraId="39424F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905</w:t>
            </w:r>
          </w:p>
        </w:tc>
        <w:tc>
          <w:tcPr>
            <w:tcW w:w="576" w:type="pct"/>
            <w:tcBorders>
              <w:top w:val="nil"/>
              <w:left w:val="nil"/>
              <w:bottom w:val="nil"/>
              <w:right w:val="single" w:sz="4" w:space="0" w:color="auto"/>
            </w:tcBorders>
            <w:shd w:val="clear" w:color="000000" w:fill="FFFFFF"/>
            <w:noWrap/>
            <w:vAlign w:val="center"/>
            <w:hideMark/>
          </w:tcPr>
          <w:p w14:paraId="3FEE5EB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506</w:t>
            </w:r>
          </w:p>
        </w:tc>
        <w:tc>
          <w:tcPr>
            <w:tcW w:w="590" w:type="pct"/>
            <w:tcBorders>
              <w:top w:val="nil"/>
              <w:left w:val="single" w:sz="4" w:space="0" w:color="auto"/>
              <w:bottom w:val="nil"/>
              <w:right w:val="nil"/>
            </w:tcBorders>
            <w:shd w:val="clear" w:color="000000" w:fill="FFFFFF"/>
            <w:noWrap/>
            <w:vAlign w:val="center"/>
            <w:hideMark/>
          </w:tcPr>
          <w:p w14:paraId="36B57DC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184</w:t>
            </w:r>
          </w:p>
        </w:tc>
        <w:tc>
          <w:tcPr>
            <w:tcW w:w="576" w:type="pct"/>
            <w:tcBorders>
              <w:top w:val="nil"/>
              <w:left w:val="nil"/>
              <w:bottom w:val="nil"/>
              <w:right w:val="single" w:sz="4" w:space="0" w:color="auto"/>
            </w:tcBorders>
            <w:shd w:val="clear" w:color="000000" w:fill="FFFFFF"/>
            <w:noWrap/>
            <w:vAlign w:val="center"/>
            <w:hideMark/>
          </w:tcPr>
          <w:p w14:paraId="6BA83F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107</w:t>
            </w:r>
          </w:p>
        </w:tc>
        <w:tc>
          <w:tcPr>
            <w:tcW w:w="522" w:type="pct"/>
            <w:tcBorders>
              <w:top w:val="nil"/>
              <w:left w:val="nil"/>
              <w:bottom w:val="nil"/>
              <w:right w:val="nil"/>
            </w:tcBorders>
            <w:shd w:val="clear" w:color="000000" w:fill="FFFFFF"/>
            <w:noWrap/>
            <w:vAlign w:val="center"/>
            <w:hideMark/>
          </w:tcPr>
          <w:p w14:paraId="3095E82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522" w:type="pct"/>
            <w:tcBorders>
              <w:top w:val="nil"/>
              <w:left w:val="single" w:sz="4" w:space="0" w:color="auto"/>
              <w:bottom w:val="nil"/>
              <w:right w:val="single" w:sz="4" w:space="0" w:color="auto"/>
            </w:tcBorders>
            <w:shd w:val="clear" w:color="000000" w:fill="FFFFFF"/>
            <w:noWrap/>
            <w:vAlign w:val="center"/>
            <w:hideMark/>
          </w:tcPr>
          <w:p w14:paraId="01F8ED6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4C1E5F12" w14:textId="77777777" w:rsidTr="0085443A">
        <w:tc>
          <w:tcPr>
            <w:tcW w:w="1061" w:type="pct"/>
            <w:tcBorders>
              <w:top w:val="nil"/>
              <w:left w:val="single" w:sz="4" w:space="0" w:color="auto"/>
              <w:bottom w:val="single" w:sz="4" w:space="0" w:color="auto"/>
              <w:right w:val="nil"/>
            </w:tcBorders>
            <w:shd w:val="clear" w:color="000000" w:fill="FFFFFF"/>
            <w:noWrap/>
            <w:vAlign w:val="center"/>
            <w:hideMark/>
          </w:tcPr>
          <w:p w14:paraId="23F8CF5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76" w:type="pct"/>
            <w:tcBorders>
              <w:top w:val="nil"/>
              <w:left w:val="single" w:sz="4" w:space="0" w:color="auto"/>
              <w:bottom w:val="single" w:sz="4" w:space="0" w:color="auto"/>
              <w:right w:val="nil"/>
            </w:tcBorders>
            <w:shd w:val="clear" w:color="000000" w:fill="FFFFFF"/>
            <w:noWrap/>
            <w:vAlign w:val="center"/>
            <w:hideMark/>
          </w:tcPr>
          <w:p w14:paraId="1B36573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87,304</w:t>
            </w:r>
          </w:p>
        </w:tc>
        <w:tc>
          <w:tcPr>
            <w:tcW w:w="577" w:type="pct"/>
            <w:tcBorders>
              <w:top w:val="nil"/>
              <w:left w:val="nil"/>
              <w:bottom w:val="single" w:sz="4" w:space="0" w:color="auto"/>
              <w:right w:val="nil"/>
            </w:tcBorders>
            <w:shd w:val="clear" w:color="000000" w:fill="FFFFFF"/>
            <w:noWrap/>
            <w:vAlign w:val="center"/>
            <w:hideMark/>
          </w:tcPr>
          <w:p w14:paraId="0EBD2F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276,569</w:t>
            </w:r>
          </w:p>
        </w:tc>
        <w:tc>
          <w:tcPr>
            <w:tcW w:w="576" w:type="pct"/>
            <w:tcBorders>
              <w:top w:val="nil"/>
              <w:left w:val="nil"/>
              <w:bottom w:val="single" w:sz="4" w:space="0" w:color="auto"/>
              <w:right w:val="single" w:sz="4" w:space="0" w:color="auto"/>
            </w:tcBorders>
            <w:shd w:val="clear" w:color="000000" w:fill="FFFFFF"/>
            <w:noWrap/>
            <w:vAlign w:val="center"/>
            <w:hideMark/>
          </w:tcPr>
          <w:p w14:paraId="0AC5BD6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231,536</w:t>
            </w:r>
          </w:p>
        </w:tc>
        <w:tc>
          <w:tcPr>
            <w:tcW w:w="590" w:type="pct"/>
            <w:tcBorders>
              <w:top w:val="nil"/>
              <w:left w:val="single" w:sz="4" w:space="0" w:color="auto"/>
              <w:bottom w:val="single" w:sz="4" w:space="0" w:color="auto"/>
              <w:right w:val="nil"/>
            </w:tcBorders>
            <w:shd w:val="clear" w:color="000000" w:fill="FFFFFF"/>
            <w:noWrap/>
            <w:vAlign w:val="center"/>
            <w:hideMark/>
          </w:tcPr>
          <w:p w14:paraId="5F00365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568,815</w:t>
            </w:r>
          </w:p>
        </w:tc>
        <w:tc>
          <w:tcPr>
            <w:tcW w:w="576" w:type="pct"/>
            <w:tcBorders>
              <w:top w:val="nil"/>
              <w:left w:val="nil"/>
              <w:bottom w:val="single" w:sz="4" w:space="0" w:color="auto"/>
              <w:right w:val="single" w:sz="4" w:space="0" w:color="auto"/>
            </w:tcBorders>
            <w:shd w:val="clear" w:color="000000" w:fill="FFFFFF"/>
            <w:noWrap/>
            <w:vAlign w:val="center"/>
            <w:hideMark/>
          </w:tcPr>
          <w:p w14:paraId="26328A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424,865</w:t>
            </w:r>
          </w:p>
        </w:tc>
        <w:tc>
          <w:tcPr>
            <w:tcW w:w="522" w:type="pct"/>
            <w:tcBorders>
              <w:top w:val="nil"/>
              <w:left w:val="nil"/>
              <w:bottom w:val="single" w:sz="4" w:space="0" w:color="auto"/>
              <w:right w:val="nil"/>
            </w:tcBorders>
            <w:shd w:val="clear" w:color="000000" w:fill="FFFFFF"/>
            <w:noWrap/>
            <w:vAlign w:val="center"/>
            <w:hideMark/>
          </w:tcPr>
          <w:p w14:paraId="7BE87B4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522" w:type="pct"/>
            <w:tcBorders>
              <w:top w:val="nil"/>
              <w:left w:val="single" w:sz="4" w:space="0" w:color="auto"/>
              <w:bottom w:val="single" w:sz="4" w:space="0" w:color="auto"/>
              <w:right w:val="single" w:sz="4" w:space="0" w:color="auto"/>
            </w:tcBorders>
            <w:shd w:val="clear" w:color="000000" w:fill="FFFFFF"/>
            <w:noWrap/>
            <w:vAlign w:val="center"/>
            <w:hideMark/>
          </w:tcPr>
          <w:p w14:paraId="20CF4F3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39BCC357" w14:textId="77777777" w:rsidTr="0085443A">
        <w:tc>
          <w:tcPr>
            <w:tcW w:w="1061" w:type="pct"/>
            <w:tcBorders>
              <w:top w:val="nil"/>
              <w:left w:val="single" w:sz="4" w:space="0" w:color="auto"/>
              <w:bottom w:val="nil"/>
              <w:right w:val="nil"/>
            </w:tcBorders>
            <w:shd w:val="clear" w:color="000000" w:fill="FFFFFF"/>
            <w:noWrap/>
            <w:vAlign w:val="center"/>
            <w:hideMark/>
          </w:tcPr>
          <w:p w14:paraId="443225EE"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76" w:type="pct"/>
            <w:tcBorders>
              <w:top w:val="nil"/>
              <w:left w:val="single" w:sz="4" w:space="0" w:color="auto"/>
              <w:bottom w:val="nil"/>
              <w:right w:val="nil"/>
            </w:tcBorders>
            <w:shd w:val="clear" w:color="000000" w:fill="FFFFFF"/>
            <w:noWrap/>
            <w:vAlign w:val="center"/>
            <w:hideMark/>
          </w:tcPr>
          <w:p w14:paraId="52E606F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62.040</w:t>
            </w:r>
          </w:p>
        </w:tc>
        <w:tc>
          <w:tcPr>
            <w:tcW w:w="577" w:type="pct"/>
            <w:tcBorders>
              <w:top w:val="nil"/>
              <w:left w:val="nil"/>
              <w:bottom w:val="nil"/>
              <w:right w:val="nil"/>
            </w:tcBorders>
            <w:shd w:val="clear" w:color="000000" w:fill="FFFFFF"/>
            <w:noWrap/>
            <w:vAlign w:val="center"/>
            <w:hideMark/>
          </w:tcPr>
          <w:p w14:paraId="5DA6BE1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31.928</w:t>
            </w:r>
          </w:p>
        </w:tc>
        <w:tc>
          <w:tcPr>
            <w:tcW w:w="576" w:type="pct"/>
            <w:tcBorders>
              <w:top w:val="nil"/>
              <w:left w:val="nil"/>
              <w:bottom w:val="nil"/>
              <w:right w:val="single" w:sz="4" w:space="0" w:color="auto"/>
            </w:tcBorders>
            <w:shd w:val="clear" w:color="000000" w:fill="FFFFFF"/>
            <w:noWrap/>
            <w:vAlign w:val="center"/>
            <w:hideMark/>
          </w:tcPr>
          <w:p w14:paraId="60D89D8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90.868</w:t>
            </w:r>
          </w:p>
        </w:tc>
        <w:tc>
          <w:tcPr>
            <w:tcW w:w="590" w:type="pct"/>
            <w:tcBorders>
              <w:top w:val="nil"/>
              <w:left w:val="single" w:sz="4" w:space="0" w:color="auto"/>
              <w:bottom w:val="nil"/>
              <w:right w:val="nil"/>
            </w:tcBorders>
            <w:shd w:val="clear" w:color="000000" w:fill="FFFFFF"/>
            <w:noWrap/>
            <w:vAlign w:val="center"/>
            <w:hideMark/>
          </w:tcPr>
          <w:p w14:paraId="71201DF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7.391</w:t>
            </w:r>
          </w:p>
        </w:tc>
        <w:tc>
          <w:tcPr>
            <w:tcW w:w="576" w:type="pct"/>
            <w:tcBorders>
              <w:top w:val="nil"/>
              <w:left w:val="nil"/>
              <w:bottom w:val="nil"/>
              <w:right w:val="single" w:sz="4" w:space="0" w:color="auto"/>
            </w:tcBorders>
            <w:shd w:val="clear" w:color="000000" w:fill="FFFFFF"/>
            <w:noWrap/>
            <w:vAlign w:val="center"/>
            <w:hideMark/>
          </w:tcPr>
          <w:p w14:paraId="782A18A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9.446</w:t>
            </w:r>
          </w:p>
        </w:tc>
        <w:tc>
          <w:tcPr>
            <w:tcW w:w="522" w:type="pct"/>
            <w:tcBorders>
              <w:top w:val="nil"/>
              <w:left w:val="nil"/>
              <w:bottom w:val="nil"/>
              <w:right w:val="nil"/>
            </w:tcBorders>
            <w:shd w:val="clear" w:color="000000" w:fill="FFFFFF"/>
            <w:noWrap/>
            <w:vAlign w:val="center"/>
            <w:hideMark/>
          </w:tcPr>
          <w:p w14:paraId="0200474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522" w:type="pct"/>
            <w:tcBorders>
              <w:top w:val="nil"/>
              <w:left w:val="single" w:sz="4" w:space="0" w:color="auto"/>
              <w:bottom w:val="nil"/>
              <w:right w:val="single" w:sz="4" w:space="0" w:color="auto"/>
            </w:tcBorders>
            <w:shd w:val="clear" w:color="000000" w:fill="FFFFFF"/>
            <w:noWrap/>
            <w:vAlign w:val="center"/>
            <w:hideMark/>
          </w:tcPr>
          <w:p w14:paraId="5FBB912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56F282F9" w14:textId="77777777" w:rsidTr="0085443A">
        <w:tc>
          <w:tcPr>
            <w:tcW w:w="1061" w:type="pct"/>
            <w:tcBorders>
              <w:top w:val="single" w:sz="4" w:space="0" w:color="auto"/>
              <w:left w:val="single" w:sz="4" w:space="0" w:color="auto"/>
              <w:bottom w:val="single" w:sz="4" w:space="0" w:color="auto"/>
              <w:right w:val="nil"/>
            </w:tcBorders>
            <w:shd w:val="clear" w:color="000000" w:fill="FFFFFF"/>
            <w:noWrap/>
            <w:vAlign w:val="center"/>
            <w:hideMark/>
          </w:tcPr>
          <w:p w14:paraId="199EAB3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76" w:type="pct"/>
            <w:tcBorders>
              <w:top w:val="single" w:sz="4" w:space="0" w:color="auto"/>
              <w:left w:val="single" w:sz="4" w:space="0" w:color="auto"/>
              <w:bottom w:val="single" w:sz="4" w:space="0" w:color="auto"/>
              <w:right w:val="nil"/>
            </w:tcBorders>
            <w:shd w:val="clear" w:color="000000" w:fill="FFFFFF"/>
            <w:noWrap/>
            <w:vAlign w:val="center"/>
            <w:hideMark/>
          </w:tcPr>
          <w:p w14:paraId="771BF35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577" w:type="pct"/>
            <w:tcBorders>
              <w:top w:val="single" w:sz="4" w:space="0" w:color="auto"/>
              <w:left w:val="nil"/>
              <w:bottom w:val="single" w:sz="4" w:space="0" w:color="auto"/>
              <w:right w:val="nil"/>
            </w:tcBorders>
            <w:shd w:val="clear" w:color="000000" w:fill="FFFFFF"/>
            <w:noWrap/>
            <w:vAlign w:val="center"/>
            <w:hideMark/>
          </w:tcPr>
          <w:p w14:paraId="0653229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3E6256D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590" w:type="pct"/>
            <w:tcBorders>
              <w:top w:val="single" w:sz="4" w:space="0" w:color="auto"/>
              <w:left w:val="single" w:sz="4" w:space="0" w:color="auto"/>
              <w:bottom w:val="single" w:sz="4" w:space="0" w:color="auto"/>
              <w:right w:val="nil"/>
            </w:tcBorders>
            <w:shd w:val="clear" w:color="000000" w:fill="FFFFFF"/>
            <w:noWrap/>
            <w:vAlign w:val="center"/>
            <w:hideMark/>
          </w:tcPr>
          <w:p w14:paraId="5DA95B9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76" w:type="pct"/>
            <w:tcBorders>
              <w:top w:val="single" w:sz="4" w:space="0" w:color="auto"/>
              <w:left w:val="nil"/>
              <w:bottom w:val="single" w:sz="4" w:space="0" w:color="auto"/>
              <w:right w:val="single" w:sz="4" w:space="0" w:color="auto"/>
            </w:tcBorders>
            <w:shd w:val="clear" w:color="000000" w:fill="FFFFFF"/>
            <w:noWrap/>
            <w:vAlign w:val="center"/>
            <w:hideMark/>
          </w:tcPr>
          <w:p w14:paraId="452C0E5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22" w:type="pct"/>
            <w:tcBorders>
              <w:top w:val="single" w:sz="4" w:space="0" w:color="auto"/>
              <w:left w:val="nil"/>
              <w:bottom w:val="single" w:sz="4" w:space="0" w:color="auto"/>
              <w:right w:val="nil"/>
            </w:tcBorders>
            <w:shd w:val="clear" w:color="000000" w:fill="FFFFFF"/>
            <w:noWrap/>
            <w:vAlign w:val="center"/>
            <w:hideMark/>
          </w:tcPr>
          <w:p w14:paraId="462E1E6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52361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EA36E1F" w14:textId="37383DFE" w:rsidR="00DB1243" w:rsidRPr="00650EE4" w:rsidRDefault="00141FAE" w:rsidP="00DB124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E1362C" w:rsidRPr="00650EE4">
        <w:rPr>
          <w:rFonts w:ascii="Times New Roman" w:eastAsia="Times New Roman" w:hAnsi="Times New Roman"/>
          <w:i/>
          <w:color w:val="000000" w:themeColor="text1"/>
          <w:sz w:val="20"/>
          <w:szCs w:val="20"/>
        </w:rPr>
        <w:t>duomenys (2019.12.31</w:t>
      </w:r>
      <w:r w:rsidR="008E42DB" w:rsidRPr="00650EE4">
        <w:rPr>
          <w:rFonts w:ascii="Times New Roman" w:eastAsia="Times New Roman" w:hAnsi="Times New Roman"/>
          <w:i/>
          <w:color w:val="000000" w:themeColor="text1"/>
          <w:sz w:val="20"/>
          <w:szCs w:val="20"/>
        </w:rPr>
        <w:t>)</w:t>
      </w:r>
    </w:p>
    <w:p w14:paraId="5F66A3DA" w14:textId="77777777" w:rsidR="00E71C69" w:rsidRPr="00650EE4" w:rsidRDefault="00E71C69" w:rsidP="00A8616C">
      <w:pPr>
        <w:jc w:val="both"/>
        <w:rPr>
          <w:rFonts w:ascii="Times New Roman" w:hAnsi="Times New Roman"/>
          <w:color w:val="000000" w:themeColor="text1"/>
          <w:szCs w:val="22"/>
        </w:rPr>
      </w:pPr>
    </w:p>
    <w:p w14:paraId="4A713AEA" w14:textId="77777777" w:rsidR="00141FAE" w:rsidRPr="00650EE4" w:rsidRDefault="00141FAE" w:rsidP="00A8616C">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NTR </w:t>
      </w:r>
      <w:r w:rsidR="00BB3EA4" w:rsidRPr="00650EE4">
        <w:rPr>
          <w:rFonts w:ascii="Times New Roman" w:hAnsi="Times New Roman"/>
          <w:color w:val="000000" w:themeColor="text1"/>
          <w:szCs w:val="22"/>
        </w:rPr>
        <w:t xml:space="preserve">požymis </w:t>
      </w:r>
      <w:r w:rsidR="00131B42" w:rsidRPr="00650EE4">
        <w:rPr>
          <w:rFonts w:ascii="Times New Roman" w:hAnsi="Times New Roman"/>
          <w:color w:val="000000" w:themeColor="text1"/>
          <w:szCs w:val="22"/>
        </w:rPr>
        <w:t>„Mišri nuosavybė“</w:t>
      </w:r>
      <w:r w:rsidRPr="00650EE4">
        <w:rPr>
          <w:rFonts w:ascii="Times New Roman" w:hAnsi="Times New Roman"/>
          <w:color w:val="000000" w:themeColor="text1"/>
          <w:szCs w:val="22"/>
        </w:rPr>
        <w:t>, apibrėžiamas kaip</w:t>
      </w:r>
      <w:r w:rsidR="00BB3EA4" w:rsidRPr="00650EE4">
        <w:rPr>
          <w:rFonts w:ascii="Times New Roman" w:hAnsi="Times New Roman"/>
          <w:color w:val="000000" w:themeColor="text1"/>
          <w:szCs w:val="22"/>
        </w:rPr>
        <w:t xml:space="preserve"> bendroji fizinių ir juridinių asmenų, valstybė ir savivaldybių, valstybės ir fizinių bei juridinių asmenų, savivaldybių ir fizinių bei juridinių asmenų  nuosavybė. Taip pat šis požymis priskiriamas pastatams, kuriems nuosavybės teisės neįregistruotos.</w:t>
      </w:r>
      <w:r w:rsidR="00131B42" w:rsidRPr="00650EE4">
        <w:rPr>
          <w:rFonts w:ascii="Times New Roman" w:hAnsi="Times New Roman"/>
          <w:color w:val="000000" w:themeColor="text1"/>
          <w:szCs w:val="22"/>
        </w:rPr>
        <w:t xml:space="preserve"> </w:t>
      </w:r>
    </w:p>
    <w:p w14:paraId="6993DC4B" w14:textId="77777777" w:rsidR="00141FAE" w:rsidRPr="00650EE4" w:rsidRDefault="00141FAE" w:rsidP="00A8616C">
      <w:pPr>
        <w:jc w:val="both"/>
        <w:rPr>
          <w:rFonts w:ascii="Times New Roman" w:hAnsi="Times New Roman"/>
          <w:color w:val="000000" w:themeColor="text1"/>
          <w:szCs w:val="22"/>
        </w:rPr>
      </w:pPr>
    </w:p>
    <w:p w14:paraId="5D50DDA6" w14:textId="471AD30A" w:rsidR="00E71C69" w:rsidRPr="00650EE4" w:rsidRDefault="00B77AD2" w:rsidP="00A8616C">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Agreguoti </w:t>
      </w:r>
      <w:r w:rsidR="00192576">
        <w:rPr>
          <w:rFonts w:ascii="Times New Roman" w:hAnsi="Times New Roman"/>
          <w:color w:val="000000" w:themeColor="text1"/>
          <w:szCs w:val="22"/>
        </w:rPr>
        <w:t>p</w:t>
      </w:r>
      <w:r w:rsidRPr="00650EE4">
        <w:rPr>
          <w:rFonts w:ascii="Times New Roman" w:hAnsi="Times New Roman"/>
          <w:color w:val="000000" w:themeColor="text1"/>
          <w:szCs w:val="22"/>
        </w:rPr>
        <w:t>astatų fondo duomenys pagal nuosavybės tipą pateikiami p</w:t>
      </w:r>
      <w:r w:rsidR="00E71C69" w:rsidRPr="00650EE4">
        <w:rPr>
          <w:rFonts w:ascii="Times New Roman" w:hAnsi="Times New Roman"/>
          <w:color w:val="000000" w:themeColor="text1"/>
          <w:szCs w:val="22"/>
        </w:rPr>
        <w:t>aveiksle žemiau</w:t>
      </w:r>
      <w:r w:rsidR="00131B42" w:rsidRPr="00650EE4">
        <w:rPr>
          <w:rFonts w:ascii="Times New Roman" w:hAnsi="Times New Roman"/>
          <w:color w:val="000000" w:themeColor="text1"/>
          <w:szCs w:val="22"/>
        </w:rPr>
        <w:t>.</w:t>
      </w:r>
    </w:p>
    <w:p w14:paraId="5A1577BF" w14:textId="77777777" w:rsidR="0023171E" w:rsidRPr="00650EE4" w:rsidRDefault="0023171E" w:rsidP="00A8616C">
      <w:pPr>
        <w:spacing w:line="240" w:lineRule="auto"/>
        <w:rPr>
          <w:rFonts w:ascii="Times New Roman" w:hAnsi="Times New Roman"/>
          <w:color w:val="000000" w:themeColor="text1"/>
          <w:szCs w:val="22"/>
        </w:rPr>
      </w:pPr>
    </w:p>
    <w:p w14:paraId="31FFB34C" w14:textId="77777777" w:rsidR="00DD7CF3" w:rsidRPr="00650EE4" w:rsidRDefault="00DD7CF3">
      <w:pPr>
        <w:spacing w:after="240"/>
        <w:rPr>
          <w:rFonts w:ascii="Times New Roman" w:eastAsiaTheme="minorHAnsi" w:hAnsi="Times New Roman"/>
          <w:bCs/>
          <w:i/>
          <w:color w:val="000000" w:themeColor="text1"/>
          <w:sz w:val="20"/>
          <w:szCs w:val="20"/>
        </w:rPr>
      </w:pPr>
      <w:r w:rsidRPr="00650EE4">
        <w:br w:type="page"/>
      </w:r>
    </w:p>
    <w:p w14:paraId="3EF2D398" w14:textId="4AB547FE" w:rsidR="00E71C69"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27" w:name="_Toc59094252"/>
      <w:r w:rsidR="00F25C65">
        <w:t>3</w:t>
      </w:r>
      <w:r w:rsidRPr="00650EE4">
        <w:rPr>
          <w:noProof w:val="0"/>
        </w:rPr>
        <w:fldChar w:fldCharType="end"/>
      </w:r>
      <w:r w:rsidR="009703CC" w:rsidRPr="00650EE4">
        <w:rPr>
          <w:noProof w:val="0"/>
        </w:rPr>
        <w:t xml:space="preserve"> paveikslas</w:t>
      </w:r>
      <w:r w:rsidR="00E71C69" w:rsidRPr="00650EE4">
        <w:rPr>
          <w:noProof w:val="0"/>
        </w:rPr>
        <w:t>. Pastatų fondas pagal nuosavybės tipą</w:t>
      </w:r>
      <w:r w:rsidR="00141FAE" w:rsidRPr="00650EE4">
        <w:rPr>
          <w:noProof w:val="0"/>
        </w:rPr>
        <w:t xml:space="preserve"> (agreguotas)</w:t>
      </w:r>
      <w:bookmarkEnd w:id="27"/>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2768FC" w:rsidRPr="00650EE4" w14:paraId="630A8DE6" w14:textId="77777777" w:rsidTr="005A1578">
        <w:trPr>
          <w:trHeight w:val="3565"/>
        </w:trPr>
        <w:tc>
          <w:tcPr>
            <w:tcW w:w="5000" w:type="pct"/>
          </w:tcPr>
          <w:p w14:paraId="192607EB" w14:textId="37D53AC0" w:rsidR="002768FC" w:rsidRPr="00650EE4" w:rsidRDefault="004B71A9" w:rsidP="002768FC">
            <w:pPr>
              <w:tabs>
                <w:tab w:val="left" w:pos="6910"/>
              </w:tabs>
              <w:spacing w:before="60"/>
              <w:jc w:val="both"/>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313A8160" wp14:editId="31D5BB1A">
                  <wp:extent cx="3072384" cy="2121408"/>
                  <wp:effectExtent l="0" t="0" r="13970" b="12700"/>
                  <wp:docPr id="84" name="Chart 8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650EE4">
              <w:rPr>
                <w:rFonts w:ascii="Times New Roman" w:hAnsi="Times New Roman"/>
                <w:noProof/>
                <w:lang w:eastAsia="lt-LT"/>
              </w:rPr>
              <w:drawing>
                <wp:inline distT="0" distB="0" distL="0" distR="0" wp14:anchorId="0A3BA754" wp14:editId="107504A0">
                  <wp:extent cx="3233319" cy="2128723"/>
                  <wp:effectExtent l="0" t="0" r="24765" b="24130"/>
                  <wp:docPr id="86" name="Chart 8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31C53847" w14:textId="16E4CA3C" w:rsidR="00696BA5" w:rsidRPr="00650EE4" w:rsidRDefault="005F56C6" w:rsidP="00696BA5">
      <w:pPr>
        <w:spacing w:before="60" w:line="240" w:lineRule="auto"/>
        <w:jc w:val="both"/>
        <w:rPr>
          <w:rFonts w:ascii="Times New Roman" w:eastAsia="Times New Roman" w:hAnsi="Times New Roman"/>
          <w:i/>
          <w:color w:val="000000" w:themeColor="text1"/>
          <w:szCs w:val="22"/>
        </w:rPr>
      </w:pPr>
      <w:r w:rsidRPr="00650EE4">
        <w:rPr>
          <w:rFonts w:ascii="Times New Roman" w:eastAsia="Times New Roman" w:hAnsi="Times New Roman"/>
          <w:i/>
          <w:color w:val="000000" w:themeColor="text1"/>
          <w:szCs w:val="22"/>
        </w:rPr>
        <w:t>Šaltinis: NTR</w:t>
      </w:r>
      <w:r w:rsidR="00696BA5" w:rsidRPr="00650EE4">
        <w:rPr>
          <w:rFonts w:ascii="Times New Roman" w:eastAsia="Times New Roman" w:hAnsi="Times New Roman"/>
          <w:i/>
          <w:color w:val="000000" w:themeColor="text1"/>
          <w:szCs w:val="22"/>
        </w:rPr>
        <w:t xml:space="preserve"> duomenys (2019.12.31)</w:t>
      </w:r>
    </w:p>
    <w:p w14:paraId="23414918" w14:textId="77777777" w:rsidR="00696BA5" w:rsidRPr="00650EE4" w:rsidRDefault="00696BA5" w:rsidP="000A517A">
      <w:pPr>
        <w:spacing w:line="240" w:lineRule="auto"/>
        <w:jc w:val="both"/>
        <w:rPr>
          <w:rFonts w:ascii="Times New Roman" w:eastAsia="Times New Roman" w:hAnsi="Times New Roman"/>
          <w:i/>
          <w:color w:val="000000" w:themeColor="text1"/>
          <w:szCs w:val="22"/>
        </w:rPr>
      </w:pPr>
    </w:p>
    <w:p w14:paraId="4E03C2E4" w14:textId="77D3E50B" w:rsidR="00681794" w:rsidRPr="00650EE4" w:rsidRDefault="003E0FE5" w:rsidP="00141FAE">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lentelės</w:t>
      </w:r>
      <w:r w:rsidR="0021317A" w:rsidRPr="00650EE4">
        <w:rPr>
          <w:rFonts w:ascii="Times New Roman" w:hAnsi="Times New Roman"/>
          <w:color w:val="000000" w:themeColor="text1"/>
          <w:szCs w:val="22"/>
        </w:rPr>
        <w:t>e</w:t>
      </w:r>
      <w:r w:rsidR="00681794" w:rsidRPr="00650EE4">
        <w:rPr>
          <w:rFonts w:ascii="Times New Roman" w:hAnsi="Times New Roman"/>
          <w:color w:val="000000" w:themeColor="text1"/>
          <w:szCs w:val="22"/>
        </w:rPr>
        <w:t xml:space="preserve"> aukščiau pate</w:t>
      </w:r>
      <w:r w:rsidR="008E42DB" w:rsidRPr="00650EE4">
        <w:rPr>
          <w:rFonts w:ascii="Times New Roman" w:hAnsi="Times New Roman"/>
          <w:color w:val="000000" w:themeColor="text1"/>
          <w:szCs w:val="22"/>
        </w:rPr>
        <w:t>i</w:t>
      </w:r>
      <w:r w:rsidR="00681794" w:rsidRPr="00650EE4">
        <w:rPr>
          <w:rFonts w:ascii="Times New Roman" w:hAnsi="Times New Roman"/>
          <w:color w:val="000000" w:themeColor="text1"/>
          <w:szCs w:val="22"/>
        </w:rPr>
        <w:t>ktus duomenis galima pastebėti, kad:</w:t>
      </w:r>
    </w:p>
    <w:p w14:paraId="09F4C88B" w14:textId="61EA480E" w:rsidR="00E67915" w:rsidRPr="00650EE4" w:rsidRDefault="009B33CD" w:rsidP="008D442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Beveik pusę (</w:t>
      </w:r>
      <w:r w:rsidR="00464228" w:rsidRPr="00650EE4">
        <w:rPr>
          <w:rFonts w:ascii="Times New Roman" w:hAnsi="Times New Roman"/>
          <w:color w:val="000000" w:themeColor="text1"/>
          <w:szCs w:val="22"/>
        </w:rPr>
        <w:t xml:space="preserve">45 </w:t>
      </w:r>
      <w:r w:rsidR="00681794" w:rsidRPr="00650EE4">
        <w:rPr>
          <w:rFonts w:ascii="Times New Roman" w:hAnsi="Times New Roman"/>
          <w:color w:val="000000" w:themeColor="text1"/>
          <w:szCs w:val="22"/>
        </w:rPr>
        <w:t>proc.</w:t>
      </w:r>
      <w:r w:rsidRPr="00650EE4">
        <w:rPr>
          <w:rFonts w:ascii="Times New Roman" w:hAnsi="Times New Roman"/>
          <w:color w:val="000000" w:themeColor="text1"/>
          <w:szCs w:val="22"/>
        </w:rPr>
        <w:t>)</w:t>
      </w:r>
      <w:r w:rsidR="00681794" w:rsidRPr="00650EE4">
        <w:rPr>
          <w:rFonts w:ascii="Times New Roman" w:hAnsi="Times New Roman"/>
          <w:color w:val="000000" w:themeColor="text1"/>
          <w:szCs w:val="22"/>
        </w:rPr>
        <w:t xml:space="preserve"> </w:t>
      </w:r>
      <w:r w:rsidR="00192576">
        <w:rPr>
          <w:rFonts w:ascii="Times New Roman" w:hAnsi="Times New Roman"/>
          <w:color w:val="000000" w:themeColor="text1"/>
          <w:szCs w:val="22"/>
        </w:rPr>
        <w:t>p</w:t>
      </w:r>
      <w:r w:rsidR="00464228" w:rsidRPr="00650EE4">
        <w:rPr>
          <w:rFonts w:ascii="Times New Roman" w:hAnsi="Times New Roman"/>
          <w:color w:val="000000" w:themeColor="text1"/>
          <w:szCs w:val="22"/>
        </w:rPr>
        <w:t>astatų fond</w:t>
      </w:r>
      <w:r w:rsidRPr="00650EE4">
        <w:rPr>
          <w:rFonts w:ascii="Times New Roman" w:hAnsi="Times New Roman"/>
          <w:color w:val="000000" w:themeColor="text1"/>
          <w:szCs w:val="22"/>
        </w:rPr>
        <w:t xml:space="preserve">o pagal plotą, sudaro mišri nuosavybė t.y. situacija kai pastato savininku yra </w:t>
      </w:r>
      <w:r w:rsidR="00464228" w:rsidRPr="00650EE4">
        <w:rPr>
          <w:rFonts w:ascii="Times New Roman" w:hAnsi="Times New Roman"/>
          <w:color w:val="000000" w:themeColor="text1"/>
          <w:szCs w:val="22"/>
        </w:rPr>
        <w:t xml:space="preserve">daugiau nei vienas </w:t>
      </w:r>
      <w:r w:rsidRPr="00650EE4">
        <w:rPr>
          <w:rFonts w:ascii="Times New Roman" w:hAnsi="Times New Roman"/>
          <w:color w:val="000000" w:themeColor="text1"/>
          <w:szCs w:val="22"/>
        </w:rPr>
        <w:t xml:space="preserve">asmuo </w:t>
      </w:r>
      <w:r w:rsidR="00126FB2" w:rsidRPr="00650EE4">
        <w:rPr>
          <w:rFonts w:ascii="Times New Roman" w:hAnsi="Times New Roman"/>
          <w:color w:val="000000" w:themeColor="text1"/>
          <w:szCs w:val="22"/>
        </w:rPr>
        <w:t>(</w:t>
      </w:r>
      <w:r w:rsidR="007116FE" w:rsidRPr="00650EE4">
        <w:rPr>
          <w:rFonts w:ascii="Times New Roman" w:hAnsi="Times New Roman"/>
          <w:color w:val="000000" w:themeColor="text1"/>
          <w:szCs w:val="22"/>
        </w:rPr>
        <w:t>pvz.</w:t>
      </w:r>
      <w:r w:rsidR="00F318B8" w:rsidRPr="00650EE4">
        <w:rPr>
          <w:rFonts w:ascii="Times New Roman" w:hAnsi="Times New Roman"/>
          <w:color w:val="000000" w:themeColor="text1"/>
          <w:szCs w:val="22"/>
        </w:rPr>
        <w:t>,</w:t>
      </w:r>
      <w:r w:rsidR="00126FB2" w:rsidRPr="00650EE4">
        <w:rPr>
          <w:rFonts w:ascii="Times New Roman" w:hAnsi="Times New Roman"/>
          <w:color w:val="000000" w:themeColor="text1"/>
          <w:szCs w:val="22"/>
        </w:rPr>
        <w:t xml:space="preserve"> 98 </w:t>
      </w:r>
      <w:r w:rsidR="007C141C" w:rsidRPr="00650EE4">
        <w:rPr>
          <w:rFonts w:ascii="Times New Roman" w:hAnsi="Times New Roman"/>
          <w:color w:val="000000" w:themeColor="text1"/>
          <w:szCs w:val="22"/>
        </w:rPr>
        <w:t>proc.</w:t>
      </w:r>
      <w:r w:rsidR="00126FB2" w:rsidRPr="00650EE4">
        <w:rPr>
          <w:rFonts w:ascii="Times New Roman" w:hAnsi="Times New Roman"/>
          <w:color w:val="000000" w:themeColor="text1"/>
          <w:szCs w:val="22"/>
        </w:rPr>
        <w:t xml:space="preserve">, daugiabučių pagal plotą nuosavybė yra mišri). </w:t>
      </w:r>
      <w:r w:rsidRPr="00650EE4">
        <w:rPr>
          <w:rFonts w:ascii="Times New Roman" w:hAnsi="Times New Roman"/>
          <w:color w:val="000000" w:themeColor="text1"/>
          <w:szCs w:val="22"/>
        </w:rPr>
        <w:t>Taip pat</w:t>
      </w:r>
      <w:r w:rsidR="00126FB2" w:rsidRPr="00650EE4">
        <w:rPr>
          <w:rFonts w:ascii="Times New Roman" w:hAnsi="Times New Roman"/>
          <w:color w:val="000000" w:themeColor="text1"/>
          <w:szCs w:val="22"/>
        </w:rPr>
        <w:t>, mišri nuosavybė gali atspindėti situaciją, kai pastatas priklauso ne tik daugiau nei vienam asmeniui, tačiau ir skirtingiems pagal nuosavybės tipą asmenims, pvz.</w:t>
      </w:r>
      <w:r w:rsidR="00F318B8" w:rsidRPr="00650EE4">
        <w:rPr>
          <w:rFonts w:ascii="Times New Roman" w:hAnsi="Times New Roman"/>
          <w:color w:val="000000" w:themeColor="text1"/>
          <w:szCs w:val="22"/>
        </w:rPr>
        <w:t>,</w:t>
      </w:r>
      <w:r w:rsidR="00126FB2" w:rsidRPr="00650EE4">
        <w:rPr>
          <w:rFonts w:ascii="Times New Roman" w:hAnsi="Times New Roman"/>
          <w:color w:val="000000" w:themeColor="text1"/>
          <w:szCs w:val="22"/>
        </w:rPr>
        <w:t xml:space="preserve"> dalis pastato priklauso fiziniams asmenims, dalis viešiems arba juridiniams asmenims. Abiem atvejais </w:t>
      </w:r>
      <w:r w:rsidR="00DE6522" w:rsidRPr="00650EE4">
        <w:rPr>
          <w:rFonts w:ascii="Times New Roman" w:hAnsi="Times New Roman"/>
          <w:color w:val="000000" w:themeColor="text1"/>
          <w:szCs w:val="22"/>
        </w:rPr>
        <w:t xml:space="preserve">tai reiškia reikšmingai sudėtingesnį renovacijos įgyvendinimo procesą nei esant vienam pastato savininkui. </w:t>
      </w:r>
      <w:r w:rsidR="00E10E72" w:rsidRPr="00650EE4">
        <w:rPr>
          <w:rFonts w:ascii="Times New Roman" w:hAnsi="Times New Roman"/>
          <w:bCs/>
          <w:iCs/>
          <w:szCs w:val="22"/>
        </w:rPr>
        <w:t>Skirtingų savininkų (naudotojų) paskatų dilema</w:t>
      </w:r>
      <w:r w:rsidR="00E10E72" w:rsidRPr="00650EE4">
        <w:rPr>
          <w:rFonts w:ascii="Times New Roman" w:hAnsi="Times New Roman"/>
          <w:color w:val="000000" w:themeColor="text1"/>
          <w:szCs w:val="22"/>
        </w:rPr>
        <w:t xml:space="preserve"> d</w:t>
      </w:r>
      <w:r w:rsidR="0031639C" w:rsidRPr="00650EE4">
        <w:rPr>
          <w:rFonts w:ascii="Times New Roman" w:hAnsi="Times New Roman"/>
          <w:color w:val="000000" w:themeColor="text1"/>
          <w:szCs w:val="22"/>
        </w:rPr>
        <w:t xml:space="preserve">etaliau </w:t>
      </w:r>
      <w:r w:rsidR="00E10E72" w:rsidRPr="00650EE4">
        <w:rPr>
          <w:rFonts w:ascii="Times New Roman" w:hAnsi="Times New Roman"/>
          <w:color w:val="000000" w:themeColor="text1"/>
          <w:szCs w:val="22"/>
        </w:rPr>
        <w:t xml:space="preserve">aptariama </w:t>
      </w:r>
      <w:r w:rsidR="00101D6C">
        <w:rPr>
          <w:rFonts w:ascii="Times New Roman" w:hAnsi="Times New Roman"/>
          <w:color w:val="000000" w:themeColor="text1"/>
          <w:szCs w:val="22"/>
          <w:lang w:val="en-GB"/>
        </w:rPr>
        <w:t>3</w:t>
      </w:r>
      <w:r w:rsidR="00E10E72" w:rsidRPr="00650EE4">
        <w:rPr>
          <w:rFonts w:ascii="Times New Roman" w:hAnsi="Times New Roman"/>
          <w:color w:val="000000" w:themeColor="text1"/>
          <w:szCs w:val="22"/>
        </w:rPr>
        <w:t>.2.2 skyriuje</w:t>
      </w:r>
      <w:r w:rsidR="0031639C" w:rsidRPr="00650EE4">
        <w:rPr>
          <w:rFonts w:ascii="Times New Roman" w:hAnsi="Times New Roman"/>
          <w:color w:val="000000" w:themeColor="text1"/>
          <w:szCs w:val="22"/>
        </w:rPr>
        <w:t xml:space="preserve">. </w:t>
      </w:r>
    </w:p>
    <w:p w14:paraId="3D1C9F7B" w14:textId="38206236" w:rsidR="00681794" w:rsidRPr="00650EE4" w:rsidRDefault="008A09E4" w:rsidP="00DF090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31 </w:t>
      </w:r>
      <w:r w:rsidR="00681794" w:rsidRPr="00650EE4">
        <w:rPr>
          <w:rFonts w:ascii="Times New Roman" w:hAnsi="Times New Roman"/>
          <w:color w:val="000000" w:themeColor="text1"/>
          <w:szCs w:val="22"/>
        </w:rPr>
        <w:t xml:space="preserve">proc. </w:t>
      </w:r>
      <w:r w:rsidR="00192576">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ploto </w:t>
      </w:r>
      <w:r w:rsidR="00681794" w:rsidRPr="00650EE4">
        <w:rPr>
          <w:rFonts w:ascii="Times New Roman" w:hAnsi="Times New Roman"/>
          <w:color w:val="000000" w:themeColor="text1"/>
          <w:szCs w:val="22"/>
        </w:rPr>
        <w:t>sudaro</w:t>
      </w:r>
      <w:r w:rsidR="00B450A7"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fizinių asmenų nuosavybė, daugiausia individualūs namai. Nors tokių objektų yra daugiau, o jų architektūrinė įvairovė </w:t>
      </w:r>
      <w:r w:rsidR="003F7022" w:rsidRPr="00650EE4">
        <w:rPr>
          <w:rFonts w:ascii="Times New Roman" w:hAnsi="Times New Roman"/>
          <w:color w:val="000000" w:themeColor="text1"/>
          <w:szCs w:val="22"/>
        </w:rPr>
        <w:t>yra tikėtina</w:t>
      </w:r>
      <w:r w:rsidRPr="00650EE4">
        <w:rPr>
          <w:rFonts w:ascii="Times New Roman" w:hAnsi="Times New Roman"/>
          <w:color w:val="000000" w:themeColor="text1"/>
          <w:szCs w:val="22"/>
        </w:rPr>
        <w:t xml:space="preserve"> didesnė</w:t>
      </w:r>
      <w:r w:rsidR="003F7022" w:rsidRPr="00650EE4">
        <w:rPr>
          <w:rFonts w:ascii="Times New Roman" w:hAnsi="Times New Roman"/>
          <w:color w:val="000000" w:themeColor="text1"/>
          <w:szCs w:val="22"/>
        </w:rPr>
        <w:t xml:space="preserve"> (renovaciją lėtinantis veiksnys)</w:t>
      </w:r>
      <w:r w:rsidRPr="00650EE4">
        <w:rPr>
          <w:rFonts w:ascii="Times New Roman" w:hAnsi="Times New Roman"/>
          <w:color w:val="000000" w:themeColor="text1"/>
          <w:szCs w:val="22"/>
        </w:rPr>
        <w:t xml:space="preserve">, tokių pastatų </w:t>
      </w:r>
      <w:r w:rsidR="001C6C87" w:rsidRPr="00650EE4">
        <w:rPr>
          <w:rFonts w:ascii="Times New Roman" w:hAnsi="Times New Roman"/>
          <w:color w:val="000000" w:themeColor="text1"/>
          <w:szCs w:val="22"/>
        </w:rPr>
        <w:t xml:space="preserve">renovacija </w:t>
      </w:r>
      <w:r w:rsidRPr="00650EE4">
        <w:rPr>
          <w:rFonts w:ascii="Times New Roman" w:hAnsi="Times New Roman"/>
          <w:color w:val="000000" w:themeColor="text1"/>
          <w:szCs w:val="22"/>
        </w:rPr>
        <w:t>galėtų vykti sparčiau dėl greitesnio ir paprastesnio sprendim</w:t>
      </w:r>
      <w:r w:rsidR="001C6C87"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priėmimo</w:t>
      </w:r>
      <w:r w:rsidR="005700D3" w:rsidRPr="00650EE4">
        <w:rPr>
          <w:rFonts w:ascii="Times New Roman" w:hAnsi="Times New Roman"/>
          <w:color w:val="000000" w:themeColor="text1"/>
          <w:szCs w:val="22"/>
        </w:rPr>
        <w:t xml:space="preserve"> bei stipresnio savininkų intereso rūpintis asmeniniu turtu</w:t>
      </w:r>
      <w:r w:rsidR="009B33CD" w:rsidRPr="00650EE4">
        <w:rPr>
          <w:rFonts w:ascii="Times New Roman" w:hAnsi="Times New Roman"/>
          <w:color w:val="000000" w:themeColor="text1"/>
          <w:szCs w:val="22"/>
        </w:rPr>
        <w:t>.</w:t>
      </w:r>
    </w:p>
    <w:p w14:paraId="1AE88E76" w14:textId="75753BF1" w:rsidR="008E42DB" w:rsidRPr="00650EE4" w:rsidRDefault="00192576" w:rsidP="00DF090E">
      <w:pPr>
        <w:pStyle w:val="Pagrindinispaprastastekstas"/>
        <w:numPr>
          <w:ilvl w:val="0"/>
          <w:numId w:val="10"/>
        </w:numPr>
        <w:spacing w:after="120"/>
        <w:ind w:left="714" w:hanging="357"/>
        <w:rPr>
          <w:rFonts w:ascii="Times New Roman" w:hAnsi="Times New Roman"/>
          <w:color w:val="000000" w:themeColor="text1"/>
          <w:szCs w:val="22"/>
        </w:rPr>
      </w:pPr>
      <w:r>
        <w:rPr>
          <w:rFonts w:ascii="Times New Roman" w:hAnsi="Times New Roman"/>
          <w:color w:val="000000" w:themeColor="text1"/>
          <w:szCs w:val="22"/>
        </w:rPr>
        <w:t>16 proc. p</w:t>
      </w:r>
      <w:r w:rsidR="008A09E4" w:rsidRPr="00650EE4">
        <w:rPr>
          <w:rFonts w:ascii="Times New Roman" w:hAnsi="Times New Roman"/>
          <w:color w:val="000000" w:themeColor="text1"/>
          <w:szCs w:val="22"/>
        </w:rPr>
        <w:t xml:space="preserve">astatų fondo ploto sudaro juridinių asmenų nuosavybė, kurią daugiausia sudaro pramonės, administraciniai ir prekybos objektai. Juridinių asmenų sprendimai </w:t>
      </w:r>
      <w:r w:rsidR="009B33CD" w:rsidRPr="00650EE4">
        <w:rPr>
          <w:rFonts w:ascii="Times New Roman" w:hAnsi="Times New Roman"/>
          <w:color w:val="000000" w:themeColor="text1"/>
          <w:szCs w:val="22"/>
        </w:rPr>
        <w:t>iš esmės priklauso nuo</w:t>
      </w:r>
      <w:r w:rsidR="008A09E4" w:rsidRPr="00650EE4">
        <w:rPr>
          <w:rFonts w:ascii="Times New Roman" w:hAnsi="Times New Roman"/>
          <w:color w:val="000000" w:themeColor="text1"/>
          <w:szCs w:val="22"/>
        </w:rPr>
        <w:t xml:space="preserve"> investicijų atsipirkimo laikotarpio, </w:t>
      </w:r>
      <w:r w:rsidR="009B33CD" w:rsidRPr="00650EE4">
        <w:rPr>
          <w:rFonts w:ascii="Times New Roman" w:hAnsi="Times New Roman"/>
          <w:color w:val="000000" w:themeColor="text1"/>
          <w:szCs w:val="22"/>
        </w:rPr>
        <w:t xml:space="preserve">kuris esant dabartiniam energijos kainų lygiui nėra patrauklus. </w:t>
      </w:r>
    </w:p>
    <w:p w14:paraId="4BD12D44" w14:textId="480137C4" w:rsidR="00E90CFA" w:rsidRPr="00650EE4" w:rsidRDefault="009B33CD" w:rsidP="008D442E">
      <w:pPr>
        <w:pStyle w:val="Pagrindinispaprastastekstas"/>
        <w:numPr>
          <w:ilvl w:val="0"/>
          <w:numId w:val="10"/>
        </w:numPr>
        <w:ind w:left="714" w:hanging="357"/>
        <w:rPr>
          <w:rFonts w:ascii="Times New Roman" w:hAnsi="Times New Roman"/>
          <w:b/>
          <w:bCs/>
          <w:color w:val="000000" w:themeColor="text1"/>
          <w:kern w:val="32"/>
          <w:sz w:val="24"/>
        </w:rPr>
      </w:pPr>
      <w:r w:rsidRPr="00650EE4">
        <w:rPr>
          <w:rFonts w:ascii="Times New Roman" w:hAnsi="Times New Roman"/>
          <w:color w:val="000000" w:themeColor="text1"/>
          <w:szCs w:val="22"/>
        </w:rPr>
        <w:t>7</w:t>
      </w:r>
      <w:r w:rsidR="00192576">
        <w:rPr>
          <w:rFonts w:ascii="Times New Roman" w:hAnsi="Times New Roman"/>
          <w:color w:val="000000" w:themeColor="text1"/>
          <w:szCs w:val="22"/>
        </w:rPr>
        <w:t xml:space="preserve"> proc. p</w:t>
      </w:r>
      <w:r w:rsidR="008E42DB" w:rsidRPr="00650EE4">
        <w:rPr>
          <w:rFonts w:ascii="Times New Roman" w:hAnsi="Times New Roman"/>
          <w:color w:val="000000" w:themeColor="text1"/>
          <w:szCs w:val="22"/>
        </w:rPr>
        <w:t xml:space="preserve">astatų fondo ploto sudaro </w:t>
      </w:r>
      <w:r w:rsidRPr="00650EE4">
        <w:rPr>
          <w:rFonts w:ascii="Times New Roman" w:hAnsi="Times New Roman"/>
          <w:color w:val="000000" w:themeColor="text1"/>
          <w:szCs w:val="22"/>
        </w:rPr>
        <w:t xml:space="preserve">vieša (savivaldybių ir valstybės) </w:t>
      </w:r>
      <w:r w:rsidR="00E90CFA" w:rsidRPr="00650EE4">
        <w:rPr>
          <w:rFonts w:ascii="Times New Roman" w:hAnsi="Times New Roman"/>
          <w:color w:val="000000" w:themeColor="text1"/>
          <w:szCs w:val="22"/>
        </w:rPr>
        <w:t xml:space="preserve">nuosavybė. Šis </w:t>
      </w:r>
      <w:r w:rsidR="00192576">
        <w:rPr>
          <w:rFonts w:ascii="Times New Roman" w:hAnsi="Times New Roman"/>
          <w:color w:val="000000" w:themeColor="text1"/>
          <w:szCs w:val="22"/>
        </w:rPr>
        <w:t>p</w:t>
      </w:r>
      <w:r w:rsidR="00260AF0" w:rsidRPr="00650EE4">
        <w:rPr>
          <w:rFonts w:ascii="Times New Roman" w:hAnsi="Times New Roman"/>
          <w:color w:val="000000" w:themeColor="text1"/>
          <w:szCs w:val="22"/>
        </w:rPr>
        <w:t>as</w:t>
      </w:r>
      <w:r w:rsidR="00E90CFA" w:rsidRPr="00650EE4">
        <w:rPr>
          <w:rFonts w:ascii="Times New Roman" w:hAnsi="Times New Roman"/>
          <w:color w:val="000000" w:themeColor="text1"/>
          <w:szCs w:val="22"/>
        </w:rPr>
        <w:t>t</w:t>
      </w:r>
      <w:r w:rsidR="00260AF0" w:rsidRPr="00650EE4">
        <w:rPr>
          <w:rFonts w:ascii="Times New Roman" w:hAnsi="Times New Roman"/>
          <w:color w:val="000000" w:themeColor="text1"/>
          <w:szCs w:val="22"/>
        </w:rPr>
        <w:t xml:space="preserve">atų fondo </w:t>
      </w:r>
      <w:r w:rsidR="00E90CFA" w:rsidRPr="00650EE4">
        <w:rPr>
          <w:rFonts w:ascii="Times New Roman" w:hAnsi="Times New Roman"/>
          <w:color w:val="000000" w:themeColor="text1"/>
          <w:szCs w:val="22"/>
        </w:rPr>
        <w:t xml:space="preserve">segmentas </w:t>
      </w:r>
      <w:r w:rsidR="00260AF0" w:rsidRPr="00650EE4">
        <w:rPr>
          <w:rFonts w:ascii="Times New Roman" w:hAnsi="Times New Roman"/>
          <w:color w:val="000000" w:themeColor="text1"/>
          <w:szCs w:val="22"/>
        </w:rPr>
        <w:t>gali būti kontroliuojama</w:t>
      </w:r>
      <w:r w:rsidR="00E90CFA" w:rsidRPr="00650EE4">
        <w:rPr>
          <w:rFonts w:ascii="Times New Roman" w:hAnsi="Times New Roman"/>
          <w:color w:val="000000" w:themeColor="text1"/>
          <w:szCs w:val="22"/>
        </w:rPr>
        <w:t>s</w:t>
      </w:r>
      <w:r w:rsidR="00260AF0" w:rsidRPr="00650EE4">
        <w:rPr>
          <w:rFonts w:ascii="Times New Roman" w:hAnsi="Times New Roman"/>
          <w:color w:val="000000" w:themeColor="text1"/>
          <w:szCs w:val="22"/>
        </w:rPr>
        <w:t xml:space="preserve"> iš valstybės perspektyvos</w:t>
      </w:r>
      <w:r w:rsidR="00E90CFA" w:rsidRPr="00650EE4">
        <w:rPr>
          <w:rFonts w:ascii="Times New Roman" w:hAnsi="Times New Roman"/>
          <w:color w:val="000000" w:themeColor="text1"/>
          <w:szCs w:val="22"/>
        </w:rPr>
        <w:t>. Atitinkamai, siektina, kad būtent viešieji pastatai tarnautų kaip gerasis sėkmingos renovacijos pavyzdys.</w:t>
      </w:r>
    </w:p>
    <w:p w14:paraId="318C7045" w14:textId="73BBE519" w:rsidR="000A517A" w:rsidRPr="00650EE4" w:rsidRDefault="000A517A">
      <w:pPr>
        <w:spacing w:after="240"/>
        <w:rPr>
          <w:rFonts w:ascii="Times New Roman" w:eastAsia="Times New Roman" w:hAnsi="Times New Roman"/>
          <w:color w:val="000000" w:themeColor="text1"/>
          <w:szCs w:val="22"/>
        </w:rPr>
      </w:pPr>
      <w:r w:rsidRPr="00650EE4">
        <w:rPr>
          <w:rFonts w:ascii="Times New Roman" w:hAnsi="Times New Roman"/>
          <w:color w:val="000000" w:themeColor="text1"/>
          <w:szCs w:val="22"/>
        </w:rPr>
        <w:br w:type="page"/>
      </w:r>
    </w:p>
    <w:p w14:paraId="527EB808" w14:textId="231CAD54" w:rsidR="002C3B60" w:rsidRPr="00650EE4" w:rsidRDefault="002C3B60" w:rsidP="00234179">
      <w:pPr>
        <w:pStyle w:val="Antrastes31"/>
        <w:numPr>
          <w:ilvl w:val="2"/>
          <w:numId w:val="4"/>
        </w:numPr>
        <w:spacing w:before="0"/>
        <w:ind w:left="720" w:hanging="720"/>
        <w:rPr>
          <w:rFonts w:ascii="Times New Roman" w:hAnsi="Times New Roman"/>
          <w:color w:val="000000" w:themeColor="text1"/>
          <w:sz w:val="24"/>
          <w:szCs w:val="24"/>
          <w:lang w:val="lt-LT"/>
        </w:rPr>
      </w:pPr>
      <w:bookmarkStart w:id="28" w:name="_Toc59107505"/>
      <w:r w:rsidRPr="00650EE4">
        <w:rPr>
          <w:rFonts w:ascii="Times New Roman" w:hAnsi="Times New Roman"/>
          <w:color w:val="000000" w:themeColor="text1"/>
          <w:sz w:val="24"/>
          <w:szCs w:val="24"/>
          <w:lang w:val="lt-LT"/>
        </w:rPr>
        <w:lastRenderedPageBreak/>
        <w:t>Pastatų</w:t>
      </w:r>
      <w:r w:rsidR="0072724D" w:rsidRPr="00650EE4">
        <w:rPr>
          <w:rFonts w:ascii="Times New Roman" w:hAnsi="Times New Roman"/>
          <w:color w:val="000000" w:themeColor="text1"/>
          <w:sz w:val="24"/>
          <w:szCs w:val="24"/>
          <w:lang w:val="lt-LT"/>
        </w:rPr>
        <w:t xml:space="preserve"> </w:t>
      </w:r>
      <w:r w:rsidRPr="00650EE4">
        <w:rPr>
          <w:rFonts w:ascii="Times New Roman" w:hAnsi="Times New Roman"/>
          <w:color w:val="000000" w:themeColor="text1"/>
          <w:sz w:val="24"/>
          <w:szCs w:val="24"/>
          <w:lang w:val="lt-LT"/>
        </w:rPr>
        <w:t>fondas pagal sienų medžiagiškumą</w:t>
      </w:r>
      <w:bookmarkEnd w:id="28"/>
    </w:p>
    <w:p w14:paraId="62D88686" w14:textId="5E044CCC" w:rsidR="009E7901" w:rsidRPr="00650EE4" w:rsidRDefault="00A350F0" w:rsidP="00365307">
      <w:pPr>
        <w:pStyle w:val="BodyText"/>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L</w:t>
      </w:r>
      <w:r w:rsidR="00C91824" w:rsidRPr="00650EE4">
        <w:rPr>
          <w:rFonts w:ascii="Times New Roman" w:hAnsi="Times New Roman"/>
          <w:color w:val="000000" w:themeColor="text1"/>
          <w:szCs w:val="22"/>
          <w:lang w:val="lt-LT"/>
        </w:rPr>
        <w:t>entelė</w:t>
      </w:r>
      <w:r w:rsidRPr="00650EE4">
        <w:rPr>
          <w:rFonts w:ascii="Times New Roman" w:hAnsi="Times New Roman"/>
          <w:color w:val="000000" w:themeColor="text1"/>
          <w:szCs w:val="22"/>
          <w:lang w:val="lt-LT"/>
        </w:rPr>
        <w:t>se</w:t>
      </w:r>
      <w:r w:rsidR="00F354F9" w:rsidRPr="00650EE4">
        <w:rPr>
          <w:rFonts w:ascii="Times New Roman" w:hAnsi="Times New Roman"/>
          <w:color w:val="000000" w:themeColor="text1"/>
          <w:szCs w:val="22"/>
          <w:lang w:val="lt-LT"/>
        </w:rPr>
        <w:t xml:space="preserve"> žemiau pateikiamas pastatų fondo pasiskirstymas pagal </w:t>
      </w:r>
      <w:r w:rsidR="00070ABF" w:rsidRPr="00650EE4">
        <w:rPr>
          <w:rFonts w:ascii="Times New Roman" w:hAnsi="Times New Roman"/>
          <w:color w:val="000000" w:themeColor="text1"/>
          <w:szCs w:val="22"/>
          <w:lang w:val="lt-LT"/>
        </w:rPr>
        <w:t>sienų medžiagiškumą.</w:t>
      </w:r>
    </w:p>
    <w:p w14:paraId="4BCA5B6F" w14:textId="77777777" w:rsidR="009E7901" w:rsidRPr="00650EE4" w:rsidRDefault="009E7901" w:rsidP="00365307">
      <w:pPr>
        <w:pStyle w:val="BodyText"/>
        <w:spacing w:line="240" w:lineRule="auto"/>
        <w:rPr>
          <w:rFonts w:ascii="Times New Roman" w:hAnsi="Times New Roman"/>
          <w:color w:val="000000" w:themeColor="text1"/>
          <w:szCs w:val="22"/>
          <w:lang w:val="lt-LT"/>
        </w:rPr>
      </w:pPr>
    </w:p>
    <w:p w14:paraId="2D22944E" w14:textId="49FA3420" w:rsidR="009E790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9" w:name="_Toc59094190"/>
      <w:r w:rsidR="00F25C65">
        <w:t>7</w:t>
      </w:r>
      <w:r w:rsidRPr="00650EE4">
        <w:rPr>
          <w:noProof w:val="0"/>
        </w:rPr>
        <w:fldChar w:fldCharType="end"/>
      </w:r>
      <w:r w:rsidR="0070585A" w:rsidRPr="00650EE4">
        <w:rPr>
          <w:noProof w:val="0"/>
        </w:rPr>
        <w:t xml:space="preserve"> lentelė</w:t>
      </w:r>
      <w:r w:rsidR="00365307" w:rsidRPr="00650EE4">
        <w:rPr>
          <w:noProof w:val="0"/>
        </w:rPr>
        <w:t xml:space="preserve">. </w:t>
      </w:r>
      <w:r w:rsidR="006302A5" w:rsidRPr="00650EE4">
        <w:rPr>
          <w:noProof w:val="0"/>
        </w:rPr>
        <w:t>Pastatų fondas pagal sienų medžiagiškumą (</w:t>
      </w:r>
      <w:r w:rsidR="00FB3A62" w:rsidRPr="00650EE4">
        <w:rPr>
          <w:noProof w:val="0"/>
        </w:rPr>
        <w:t>vnt.</w:t>
      </w:r>
      <w:r w:rsidR="006302A5" w:rsidRPr="00650EE4">
        <w:rPr>
          <w:noProof w:val="0"/>
        </w:rPr>
        <w:t>)</w:t>
      </w:r>
      <w:bookmarkEnd w:id="29"/>
    </w:p>
    <w:tbl>
      <w:tblPr>
        <w:tblW w:w="5000" w:type="pct"/>
        <w:tblLook w:val="04A0" w:firstRow="1" w:lastRow="0" w:firstColumn="1" w:lastColumn="0" w:noHBand="0" w:noVBand="1"/>
      </w:tblPr>
      <w:tblGrid>
        <w:gridCol w:w="2016"/>
        <w:gridCol w:w="1036"/>
        <w:gridCol w:w="1036"/>
        <w:gridCol w:w="1036"/>
        <w:gridCol w:w="1036"/>
        <w:gridCol w:w="1150"/>
        <w:gridCol w:w="1038"/>
        <w:gridCol w:w="1036"/>
        <w:gridCol w:w="1036"/>
      </w:tblGrid>
      <w:tr w:rsidR="00FD4ED3" w:rsidRPr="00650EE4" w14:paraId="4114822E" w14:textId="77777777" w:rsidTr="00EC68FF">
        <w:tc>
          <w:tcPr>
            <w:tcW w:w="96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A1DBA6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3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5186024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Sienų medžiagiškumas</w:t>
            </w:r>
          </w:p>
        </w:tc>
        <w:tc>
          <w:tcPr>
            <w:tcW w:w="497" w:type="pct"/>
            <w:vMerge w:val="restart"/>
            <w:tcBorders>
              <w:top w:val="single" w:sz="4" w:space="0" w:color="auto"/>
              <w:left w:val="nil"/>
              <w:bottom w:val="single" w:sz="4" w:space="0" w:color="000000"/>
              <w:right w:val="nil"/>
            </w:tcBorders>
            <w:shd w:val="clear" w:color="000000" w:fill="FFFFFF"/>
            <w:vAlign w:val="center"/>
            <w:hideMark/>
          </w:tcPr>
          <w:p w14:paraId="1D11277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24E93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235F200E" w14:textId="77777777" w:rsidTr="00EC68FF">
        <w:tc>
          <w:tcPr>
            <w:tcW w:w="968" w:type="pct"/>
            <w:vMerge/>
            <w:tcBorders>
              <w:top w:val="single" w:sz="4" w:space="0" w:color="auto"/>
              <w:left w:val="single" w:sz="4" w:space="0" w:color="auto"/>
              <w:bottom w:val="single" w:sz="4" w:space="0" w:color="000000"/>
              <w:right w:val="nil"/>
            </w:tcBorders>
            <w:vAlign w:val="center"/>
            <w:hideMark/>
          </w:tcPr>
          <w:p w14:paraId="4AD30151"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tcBorders>
              <w:top w:val="nil"/>
              <w:left w:val="single" w:sz="4" w:space="0" w:color="auto"/>
              <w:bottom w:val="single" w:sz="4" w:space="0" w:color="auto"/>
              <w:right w:val="nil"/>
            </w:tcBorders>
            <w:shd w:val="clear" w:color="000000" w:fill="FFFFFF"/>
            <w:vAlign w:val="center"/>
            <w:hideMark/>
          </w:tcPr>
          <w:p w14:paraId="1BE65BC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Plytų ir blokelių</w:t>
            </w:r>
          </w:p>
        </w:tc>
        <w:tc>
          <w:tcPr>
            <w:tcW w:w="497" w:type="pct"/>
            <w:tcBorders>
              <w:top w:val="nil"/>
              <w:left w:val="nil"/>
              <w:bottom w:val="single" w:sz="4" w:space="0" w:color="auto"/>
              <w:right w:val="nil"/>
            </w:tcBorders>
            <w:shd w:val="clear" w:color="000000" w:fill="FFFFFF"/>
            <w:vAlign w:val="center"/>
            <w:hideMark/>
          </w:tcPr>
          <w:p w14:paraId="6F5B31C9"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Gelžb</w:t>
            </w:r>
            <w:proofErr w:type="spellEnd"/>
            <w:r w:rsidRPr="00650EE4">
              <w:rPr>
                <w:rFonts w:ascii="Times New Roman" w:eastAsia="Times New Roman" w:hAnsi="Times New Roman"/>
                <w:b/>
                <w:bCs/>
                <w:sz w:val="20"/>
                <w:szCs w:val="20"/>
              </w:rPr>
              <w:t>. plokščių</w:t>
            </w:r>
          </w:p>
        </w:tc>
        <w:tc>
          <w:tcPr>
            <w:tcW w:w="497" w:type="pct"/>
            <w:tcBorders>
              <w:top w:val="nil"/>
              <w:left w:val="nil"/>
              <w:bottom w:val="single" w:sz="4" w:space="0" w:color="auto"/>
              <w:right w:val="nil"/>
            </w:tcBorders>
            <w:shd w:val="clear" w:color="000000" w:fill="FFFFFF"/>
            <w:vAlign w:val="center"/>
            <w:hideMark/>
          </w:tcPr>
          <w:p w14:paraId="1891E615"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Monolit</w:t>
            </w:r>
            <w:proofErr w:type="spellEnd"/>
            <w:r w:rsidRPr="00650EE4">
              <w:rPr>
                <w:rFonts w:ascii="Times New Roman" w:eastAsia="Times New Roman" w:hAnsi="Times New Roman"/>
                <w:b/>
                <w:bCs/>
                <w:sz w:val="20"/>
                <w:szCs w:val="20"/>
              </w:rPr>
              <w:t>. betono</w:t>
            </w:r>
          </w:p>
        </w:tc>
        <w:tc>
          <w:tcPr>
            <w:tcW w:w="497" w:type="pct"/>
            <w:tcBorders>
              <w:top w:val="nil"/>
              <w:left w:val="nil"/>
              <w:bottom w:val="single" w:sz="4" w:space="0" w:color="auto"/>
              <w:right w:val="nil"/>
            </w:tcBorders>
            <w:shd w:val="clear" w:color="000000" w:fill="FFFFFF"/>
            <w:vAlign w:val="center"/>
            <w:hideMark/>
          </w:tcPr>
          <w:p w14:paraId="3034630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Rąstų</w:t>
            </w:r>
            <w:r w:rsidRPr="00650EE4">
              <w:rPr>
                <w:rFonts w:ascii="Times New Roman" w:eastAsia="Times New Roman" w:hAnsi="Times New Roman"/>
                <w:sz w:val="20"/>
                <w:szCs w:val="20"/>
              </w:rPr>
              <w:t>  </w:t>
            </w:r>
          </w:p>
        </w:tc>
        <w:tc>
          <w:tcPr>
            <w:tcW w:w="552" w:type="pct"/>
            <w:tcBorders>
              <w:top w:val="nil"/>
              <w:left w:val="nil"/>
              <w:bottom w:val="single" w:sz="4" w:space="0" w:color="auto"/>
              <w:right w:val="nil"/>
            </w:tcBorders>
            <w:shd w:val="clear" w:color="000000" w:fill="FFFFFF"/>
            <w:vAlign w:val="center"/>
            <w:hideMark/>
          </w:tcPr>
          <w:p w14:paraId="64C90F76"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Fasadinės sistemos</w:t>
            </w:r>
          </w:p>
        </w:tc>
        <w:tc>
          <w:tcPr>
            <w:tcW w:w="497" w:type="pct"/>
            <w:tcBorders>
              <w:top w:val="nil"/>
              <w:left w:val="nil"/>
              <w:bottom w:val="single" w:sz="4" w:space="0" w:color="auto"/>
              <w:right w:val="single" w:sz="4" w:space="0" w:color="auto"/>
            </w:tcBorders>
            <w:shd w:val="clear" w:color="000000" w:fill="FFFFFF"/>
            <w:vAlign w:val="center"/>
            <w:hideMark/>
          </w:tcPr>
          <w:p w14:paraId="106319F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Kita</w:t>
            </w:r>
          </w:p>
        </w:tc>
        <w:tc>
          <w:tcPr>
            <w:tcW w:w="497" w:type="pct"/>
            <w:vMerge/>
            <w:tcBorders>
              <w:top w:val="single" w:sz="4" w:space="0" w:color="auto"/>
              <w:left w:val="nil"/>
              <w:bottom w:val="single" w:sz="4" w:space="0" w:color="000000"/>
              <w:right w:val="nil"/>
            </w:tcBorders>
            <w:vAlign w:val="center"/>
            <w:hideMark/>
          </w:tcPr>
          <w:p w14:paraId="44E86C2E"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238AEAD1"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680FE5FE" w14:textId="77777777" w:rsidTr="00EC68FF">
        <w:tc>
          <w:tcPr>
            <w:tcW w:w="968" w:type="pct"/>
            <w:tcBorders>
              <w:top w:val="nil"/>
              <w:left w:val="single" w:sz="4" w:space="0" w:color="auto"/>
              <w:bottom w:val="nil"/>
              <w:right w:val="nil"/>
            </w:tcBorders>
            <w:shd w:val="clear" w:color="000000" w:fill="F2F2F2"/>
            <w:noWrap/>
            <w:vAlign w:val="center"/>
            <w:hideMark/>
          </w:tcPr>
          <w:p w14:paraId="135D818B"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497" w:type="pct"/>
            <w:tcBorders>
              <w:top w:val="nil"/>
              <w:left w:val="single" w:sz="4" w:space="0" w:color="auto"/>
              <w:bottom w:val="nil"/>
              <w:right w:val="nil"/>
            </w:tcBorders>
            <w:shd w:val="clear" w:color="000000" w:fill="F2F2F2"/>
            <w:noWrap/>
            <w:vAlign w:val="center"/>
            <w:hideMark/>
          </w:tcPr>
          <w:p w14:paraId="053F7DC7"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257.320</w:t>
            </w:r>
          </w:p>
        </w:tc>
        <w:tc>
          <w:tcPr>
            <w:tcW w:w="497" w:type="pct"/>
            <w:tcBorders>
              <w:top w:val="nil"/>
              <w:left w:val="nil"/>
              <w:bottom w:val="nil"/>
              <w:right w:val="nil"/>
            </w:tcBorders>
            <w:shd w:val="clear" w:color="000000" w:fill="F2F2F2"/>
            <w:noWrap/>
            <w:vAlign w:val="center"/>
            <w:hideMark/>
          </w:tcPr>
          <w:p w14:paraId="6FC8EB5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12.730</w:t>
            </w:r>
          </w:p>
        </w:tc>
        <w:tc>
          <w:tcPr>
            <w:tcW w:w="497" w:type="pct"/>
            <w:tcBorders>
              <w:top w:val="nil"/>
              <w:left w:val="nil"/>
              <w:bottom w:val="nil"/>
              <w:right w:val="nil"/>
            </w:tcBorders>
            <w:shd w:val="clear" w:color="000000" w:fill="F2F2F2"/>
            <w:noWrap/>
            <w:vAlign w:val="center"/>
            <w:hideMark/>
          </w:tcPr>
          <w:p w14:paraId="09F8933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3.677</w:t>
            </w:r>
          </w:p>
        </w:tc>
        <w:tc>
          <w:tcPr>
            <w:tcW w:w="497" w:type="pct"/>
            <w:tcBorders>
              <w:top w:val="nil"/>
              <w:left w:val="nil"/>
              <w:bottom w:val="nil"/>
              <w:right w:val="nil"/>
            </w:tcBorders>
            <w:shd w:val="clear" w:color="000000" w:fill="F2F2F2"/>
            <w:noWrap/>
            <w:vAlign w:val="center"/>
            <w:hideMark/>
          </w:tcPr>
          <w:p w14:paraId="20336F9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239.104</w:t>
            </w:r>
          </w:p>
        </w:tc>
        <w:tc>
          <w:tcPr>
            <w:tcW w:w="552" w:type="pct"/>
            <w:tcBorders>
              <w:top w:val="nil"/>
              <w:left w:val="nil"/>
              <w:bottom w:val="nil"/>
              <w:right w:val="nil"/>
            </w:tcBorders>
            <w:shd w:val="clear" w:color="000000" w:fill="F2F2F2"/>
            <w:noWrap/>
            <w:vAlign w:val="center"/>
            <w:hideMark/>
          </w:tcPr>
          <w:p w14:paraId="704C641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225</w:t>
            </w:r>
          </w:p>
        </w:tc>
        <w:tc>
          <w:tcPr>
            <w:tcW w:w="497" w:type="pct"/>
            <w:tcBorders>
              <w:top w:val="nil"/>
              <w:left w:val="nil"/>
              <w:bottom w:val="nil"/>
              <w:right w:val="single" w:sz="4" w:space="0" w:color="auto"/>
            </w:tcBorders>
            <w:shd w:val="clear" w:color="000000" w:fill="F2F2F2"/>
            <w:noWrap/>
            <w:vAlign w:val="center"/>
            <w:hideMark/>
          </w:tcPr>
          <w:p w14:paraId="3DA9CD8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57.457</w:t>
            </w:r>
          </w:p>
        </w:tc>
        <w:tc>
          <w:tcPr>
            <w:tcW w:w="497" w:type="pct"/>
            <w:tcBorders>
              <w:top w:val="nil"/>
              <w:left w:val="nil"/>
              <w:bottom w:val="nil"/>
              <w:right w:val="nil"/>
            </w:tcBorders>
            <w:shd w:val="clear" w:color="000000" w:fill="F2F2F2"/>
            <w:noWrap/>
            <w:vAlign w:val="center"/>
            <w:hideMark/>
          </w:tcPr>
          <w:p w14:paraId="363FA7C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570.513</w:t>
            </w:r>
          </w:p>
        </w:tc>
        <w:tc>
          <w:tcPr>
            <w:tcW w:w="497" w:type="pct"/>
            <w:tcBorders>
              <w:top w:val="nil"/>
              <w:left w:val="single" w:sz="4" w:space="0" w:color="auto"/>
              <w:bottom w:val="nil"/>
              <w:right w:val="single" w:sz="4" w:space="0" w:color="auto"/>
            </w:tcBorders>
            <w:shd w:val="clear" w:color="000000" w:fill="F2F2F2"/>
            <w:noWrap/>
            <w:vAlign w:val="center"/>
            <w:hideMark/>
          </w:tcPr>
          <w:p w14:paraId="4313C240"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FD4ED3" w:rsidRPr="00650EE4" w14:paraId="4455E7DA" w14:textId="77777777" w:rsidTr="00EC68FF">
        <w:tc>
          <w:tcPr>
            <w:tcW w:w="968" w:type="pct"/>
            <w:tcBorders>
              <w:top w:val="nil"/>
              <w:left w:val="single" w:sz="4" w:space="0" w:color="auto"/>
              <w:bottom w:val="nil"/>
              <w:right w:val="nil"/>
            </w:tcBorders>
            <w:shd w:val="clear" w:color="000000" w:fill="FFFFFF"/>
            <w:noWrap/>
            <w:vAlign w:val="center"/>
            <w:hideMark/>
          </w:tcPr>
          <w:p w14:paraId="44F72BD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7" w:type="pct"/>
            <w:tcBorders>
              <w:top w:val="nil"/>
              <w:left w:val="single" w:sz="4" w:space="0" w:color="auto"/>
              <w:bottom w:val="nil"/>
              <w:right w:val="nil"/>
            </w:tcBorders>
            <w:shd w:val="clear" w:color="000000" w:fill="FFFFFF"/>
            <w:noWrap/>
            <w:vAlign w:val="center"/>
            <w:hideMark/>
          </w:tcPr>
          <w:p w14:paraId="5958FC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230.651</w:t>
            </w:r>
          </w:p>
        </w:tc>
        <w:tc>
          <w:tcPr>
            <w:tcW w:w="497" w:type="pct"/>
            <w:tcBorders>
              <w:top w:val="nil"/>
              <w:left w:val="nil"/>
              <w:bottom w:val="nil"/>
              <w:right w:val="nil"/>
            </w:tcBorders>
            <w:shd w:val="clear" w:color="000000" w:fill="FFFFFF"/>
            <w:noWrap/>
            <w:vAlign w:val="center"/>
            <w:hideMark/>
          </w:tcPr>
          <w:p w14:paraId="45D67D4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6.073</w:t>
            </w:r>
          </w:p>
        </w:tc>
        <w:tc>
          <w:tcPr>
            <w:tcW w:w="497" w:type="pct"/>
            <w:tcBorders>
              <w:top w:val="nil"/>
              <w:left w:val="nil"/>
              <w:bottom w:val="nil"/>
              <w:right w:val="nil"/>
            </w:tcBorders>
            <w:shd w:val="clear" w:color="000000" w:fill="FFFFFF"/>
            <w:noWrap/>
            <w:vAlign w:val="center"/>
            <w:hideMark/>
          </w:tcPr>
          <w:p w14:paraId="5090486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3.306</w:t>
            </w:r>
          </w:p>
        </w:tc>
        <w:tc>
          <w:tcPr>
            <w:tcW w:w="497" w:type="pct"/>
            <w:tcBorders>
              <w:top w:val="nil"/>
              <w:left w:val="nil"/>
              <w:bottom w:val="nil"/>
              <w:right w:val="nil"/>
            </w:tcBorders>
            <w:shd w:val="clear" w:color="000000" w:fill="FFFFFF"/>
            <w:noWrap/>
            <w:vAlign w:val="center"/>
            <w:hideMark/>
          </w:tcPr>
          <w:p w14:paraId="4A35B7A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233.226</w:t>
            </w:r>
          </w:p>
        </w:tc>
        <w:tc>
          <w:tcPr>
            <w:tcW w:w="552" w:type="pct"/>
            <w:tcBorders>
              <w:top w:val="nil"/>
              <w:left w:val="nil"/>
              <w:bottom w:val="nil"/>
              <w:right w:val="nil"/>
            </w:tcBorders>
            <w:shd w:val="clear" w:color="000000" w:fill="FFFFFF"/>
            <w:noWrap/>
            <w:vAlign w:val="center"/>
            <w:hideMark/>
          </w:tcPr>
          <w:p w14:paraId="09D3A2F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214</w:t>
            </w:r>
          </w:p>
        </w:tc>
        <w:tc>
          <w:tcPr>
            <w:tcW w:w="497" w:type="pct"/>
            <w:tcBorders>
              <w:top w:val="nil"/>
              <w:left w:val="nil"/>
              <w:bottom w:val="nil"/>
              <w:right w:val="single" w:sz="4" w:space="0" w:color="auto"/>
            </w:tcBorders>
            <w:shd w:val="clear" w:color="000000" w:fill="FFFFFF"/>
            <w:noWrap/>
            <w:vAlign w:val="center"/>
            <w:hideMark/>
          </w:tcPr>
          <w:p w14:paraId="1720A08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56.022</w:t>
            </w:r>
          </w:p>
        </w:tc>
        <w:tc>
          <w:tcPr>
            <w:tcW w:w="497" w:type="pct"/>
            <w:tcBorders>
              <w:top w:val="nil"/>
              <w:left w:val="nil"/>
              <w:bottom w:val="nil"/>
              <w:right w:val="nil"/>
            </w:tcBorders>
            <w:shd w:val="clear" w:color="000000" w:fill="FFFFFF"/>
            <w:noWrap/>
            <w:vAlign w:val="center"/>
            <w:hideMark/>
          </w:tcPr>
          <w:p w14:paraId="59BAFBA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97" w:type="pct"/>
            <w:tcBorders>
              <w:top w:val="nil"/>
              <w:left w:val="single" w:sz="4" w:space="0" w:color="auto"/>
              <w:bottom w:val="nil"/>
              <w:right w:val="single" w:sz="4" w:space="0" w:color="auto"/>
            </w:tcBorders>
            <w:shd w:val="clear" w:color="000000" w:fill="FFFFFF"/>
            <w:noWrap/>
            <w:vAlign w:val="center"/>
            <w:hideMark/>
          </w:tcPr>
          <w:p w14:paraId="7554769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FD4ED3" w:rsidRPr="00650EE4" w14:paraId="49B8D312" w14:textId="77777777" w:rsidTr="00EC68FF">
        <w:tc>
          <w:tcPr>
            <w:tcW w:w="968" w:type="pct"/>
            <w:tcBorders>
              <w:top w:val="nil"/>
              <w:left w:val="single" w:sz="4" w:space="0" w:color="auto"/>
              <w:bottom w:val="nil"/>
              <w:right w:val="nil"/>
            </w:tcBorders>
            <w:shd w:val="clear" w:color="000000" w:fill="FFFFFF"/>
            <w:noWrap/>
            <w:vAlign w:val="center"/>
            <w:hideMark/>
          </w:tcPr>
          <w:p w14:paraId="2EAC792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7" w:type="pct"/>
            <w:tcBorders>
              <w:top w:val="nil"/>
              <w:left w:val="single" w:sz="4" w:space="0" w:color="auto"/>
              <w:bottom w:val="nil"/>
              <w:right w:val="nil"/>
            </w:tcBorders>
            <w:shd w:val="clear" w:color="000000" w:fill="FFFFFF"/>
            <w:noWrap/>
            <w:vAlign w:val="center"/>
            <w:hideMark/>
          </w:tcPr>
          <w:p w14:paraId="29B18B2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26.669</w:t>
            </w:r>
          </w:p>
        </w:tc>
        <w:tc>
          <w:tcPr>
            <w:tcW w:w="497" w:type="pct"/>
            <w:tcBorders>
              <w:top w:val="nil"/>
              <w:left w:val="nil"/>
              <w:bottom w:val="nil"/>
              <w:right w:val="nil"/>
            </w:tcBorders>
            <w:shd w:val="clear" w:color="000000" w:fill="FFFFFF"/>
            <w:noWrap/>
            <w:vAlign w:val="center"/>
            <w:hideMark/>
          </w:tcPr>
          <w:p w14:paraId="1B349F9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6.657</w:t>
            </w:r>
          </w:p>
        </w:tc>
        <w:tc>
          <w:tcPr>
            <w:tcW w:w="497" w:type="pct"/>
            <w:tcBorders>
              <w:top w:val="nil"/>
              <w:left w:val="nil"/>
              <w:bottom w:val="nil"/>
              <w:right w:val="nil"/>
            </w:tcBorders>
            <w:shd w:val="clear" w:color="000000" w:fill="FFFFFF"/>
            <w:noWrap/>
            <w:vAlign w:val="center"/>
            <w:hideMark/>
          </w:tcPr>
          <w:p w14:paraId="4CDBAC8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371</w:t>
            </w:r>
          </w:p>
        </w:tc>
        <w:tc>
          <w:tcPr>
            <w:tcW w:w="497" w:type="pct"/>
            <w:tcBorders>
              <w:top w:val="nil"/>
              <w:left w:val="nil"/>
              <w:bottom w:val="nil"/>
              <w:right w:val="nil"/>
            </w:tcBorders>
            <w:shd w:val="clear" w:color="000000" w:fill="FFFFFF"/>
            <w:noWrap/>
            <w:vAlign w:val="center"/>
            <w:hideMark/>
          </w:tcPr>
          <w:p w14:paraId="2276081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5.878</w:t>
            </w:r>
          </w:p>
        </w:tc>
        <w:tc>
          <w:tcPr>
            <w:tcW w:w="552" w:type="pct"/>
            <w:tcBorders>
              <w:top w:val="nil"/>
              <w:left w:val="nil"/>
              <w:bottom w:val="nil"/>
              <w:right w:val="nil"/>
            </w:tcBorders>
            <w:shd w:val="clear" w:color="000000" w:fill="FFFFFF"/>
            <w:noWrap/>
            <w:vAlign w:val="center"/>
            <w:hideMark/>
          </w:tcPr>
          <w:p w14:paraId="25202B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97" w:type="pct"/>
            <w:tcBorders>
              <w:top w:val="nil"/>
              <w:left w:val="nil"/>
              <w:bottom w:val="nil"/>
              <w:right w:val="single" w:sz="4" w:space="0" w:color="auto"/>
            </w:tcBorders>
            <w:shd w:val="clear" w:color="000000" w:fill="FFFFFF"/>
            <w:noWrap/>
            <w:vAlign w:val="center"/>
            <w:hideMark/>
          </w:tcPr>
          <w:p w14:paraId="5E41DBF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1.435</w:t>
            </w:r>
          </w:p>
        </w:tc>
        <w:tc>
          <w:tcPr>
            <w:tcW w:w="497" w:type="pct"/>
            <w:tcBorders>
              <w:top w:val="nil"/>
              <w:left w:val="nil"/>
              <w:bottom w:val="nil"/>
              <w:right w:val="nil"/>
            </w:tcBorders>
            <w:shd w:val="clear" w:color="000000" w:fill="FFFFFF"/>
            <w:noWrap/>
            <w:vAlign w:val="center"/>
            <w:hideMark/>
          </w:tcPr>
          <w:p w14:paraId="1FA08DC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97" w:type="pct"/>
            <w:tcBorders>
              <w:top w:val="nil"/>
              <w:left w:val="single" w:sz="4" w:space="0" w:color="auto"/>
              <w:bottom w:val="nil"/>
              <w:right w:val="single" w:sz="4" w:space="0" w:color="auto"/>
            </w:tcBorders>
            <w:shd w:val="clear" w:color="000000" w:fill="FFFFFF"/>
            <w:noWrap/>
            <w:vAlign w:val="center"/>
            <w:hideMark/>
          </w:tcPr>
          <w:p w14:paraId="6D6B55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FD4ED3" w:rsidRPr="00650EE4" w14:paraId="58721F00" w14:textId="77777777" w:rsidTr="00EC68FF">
        <w:tc>
          <w:tcPr>
            <w:tcW w:w="968" w:type="pct"/>
            <w:tcBorders>
              <w:top w:val="single" w:sz="4" w:space="0" w:color="auto"/>
              <w:left w:val="single" w:sz="4" w:space="0" w:color="auto"/>
              <w:bottom w:val="nil"/>
              <w:right w:val="nil"/>
            </w:tcBorders>
            <w:shd w:val="clear" w:color="000000" w:fill="F2F2F2"/>
            <w:noWrap/>
            <w:vAlign w:val="center"/>
            <w:hideMark/>
          </w:tcPr>
          <w:p w14:paraId="52863447"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497" w:type="pct"/>
            <w:tcBorders>
              <w:top w:val="single" w:sz="4" w:space="0" w:color="auto"/>
              <w:left w:val="single" w:sz="4" w:space="0" w:color="auto"/>
              <w:bottom w:val="nil"/>
              <w:right w:val="nil"/>
            </w:tcBorders>
            <w:shd w:val="clear" w:color="000000" w:fill="F2F2F2"/>
            <w:noWrap/>
            <w:vAlign w:val="center"/>
            <w:hideMark/>
          </w:tcPr>
          <w:p w14:paraId="0190605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59.894</w:t>
            </w:r>
          </w:p>
        </w:tc>
        <w:tc>
          <w:tcPr>
            <w:tcW w:w="497" w:type="pct"/>
            <w:tcBorders>
              <w:top w:val="single" w:sz="4" w:space="0" w:color="auto"/>
              <w:left w:val="nil"/>
              <w:bottom w:val="nil"/>
              <w:right w:val="nil"/>
            </w:tcBorders>
            <w:shd w:val="clear" w:color="000000" w:fill="F2F2F2"/>
            <w:noWrap/>
            <w:vAlign w:val="center"/>
            <w:hideMark/>
          </w:tcPr>
          <w:p w14:paraId="1ACD77B9"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7.976</w:t>
            </w:r>
          </w:p>
        </w:tc>
        <w:tc>
          <w:tcPr>
            <w:tcW w:w="497" w:type="pct"/>
            <w:tcBorders>
              <w:top w:val="single" w:sz="4" w:space="0" w:color="auto"/>
              <w:left w:val="nil"/>
              <w:bottom w:val="nil"/>
              <w:right w:val="nil"/>
            </w:tcBorders>
            <w:shd w:val="clear" w:color="000000" w:fill="F2F2F2"/>
            <w:noWrap/>
            <w:vAlign w:val="center"/>
            <w:hideMark/>
          </w:tcPr>
          <w:p w14:paraId="5776C6E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908</w:t>
            </w:r>
          </w:p>
        </w:tc>
        <w:tc>
          <w:tcPr>
            <w:tcW w:w="497" w:type="pct"/>
            <w:tcBorders>
              <w:top w:val="single" w:sz="4" w:space="0" w:color="auto"/>
              <w:left w:val="nil"/>
              <w:bottom w:val="nil"/>
              <w:right w:val="nil"/>
            </w:tcBorders>
            <w:shd w:val="clear" w:color="000000" w:fill="F2F2F2"/>
            <w:noWrap/>
            <w:vAlign w:val="center"/>
            <w:hideMark/>
          </w:tcPr>
          <w:p w14:paraId="02BA6BD3"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4.113</w:t>
            </w:r>
          </w:p>
        </w:tc>
        <w:tc>
          <w:tcPr>
            <w:tcW w:w="552" w:type="pct"/>
            <w:tcBorders>
              <w:top w:val="single" w:sz="4" w:space="0" w:color="auto"/>
              <w:left w:val="nil"/>
              <w:bottom w:val="nil"/>
              <w:right w:val="nil"/>
            </w:tcBorders>
            <w:shd w:val="clear" w:color="000000" w:fill="F2F2F2"/>
            <w:noWrap/>
            <w:vAlign w:val="center"/>
            <w:hideMark/>
          </w:tcPr>
          <w:p w14:paraId="44C720D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8.488</w:t>
            </w:r>
          </w:p>
        </w:tc>
        <w:tc>
          <w:tcPr>
            <w:tcW w:w="497" w:type="pct"/>
            <w:tcBorders>
              <w:top w:val="single" w:sz="4" w:space="0" w:color="auto"/>
              <w:left w:val="nil"/>
              <w:bottom w:val="nil"/>
              <w:right w:val="single" w:sz="4" w:space="0" w:color="auto"/>
            </w:tcBorders>
            <w:shd w:val="clear" w:color="000000" w:fill="F2F2F2"/>
            <w:noWrap/>
            <w:vAlign w:val="center"/>
            <w:hideMark/>
          </w:tcPr>
          <w:p w14:paraId="2644CCBA"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9.391</w:t>
            </w:r>
          </w:p>
        </w:tc>
        <w:tc>
          <w:tcPr>
            <w:tcW w:w="497" w:type="pct"/>
            <w:tcBorders>
              <w:top w:val="single" w:sz="4" w:space="0" w:color="auto"/>
              <w:left w:val="nil"/>
              <w:bottom w:val="nil"/>
              <w:right w:val="nil"/>
            </w:tcBorders>
            <w:shd w:val="clear" w:color="000000" w:fill="F2F2F2"/>
            <w:noWrap/>
            <w:vAlign w:val="center"/>
            <w:hideMark/>
          </w:tcPr>
          <w:p w14:paraId="386ED18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90.770</w:t>
            </w:r>
          </w:p>
        </w:tc>
        <w:tc>
          <w:tcPr>
            <w:tcW w:w="497" w:type="pct"/>
            <w:tcBorders>
              <w:top w:val="single" w:sz="4" w:space="0" w:color="auto"/>
              <w:left w:val="single" w:sz="4" w:space="0" w:color="auto"/>
              <w:bottom w:val="nil"/>
              <w:right w:val="single" w:sz="4" w:space="0" w:color="auto"/>
            </w:tcBorders>
            <w:shd w:val="clear" w:color="000000" w:fill="F2F2F2"/>
            <w:noWrap/>
            <w:vAlign w:val="center"/>
            <w:hideMark/>
          </w:tcPr>
          <w:p w14:paraId="0E68758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FD4ED3" w:rsidRPr="00650EE4" w14:paraId="33387276" w14:textId="77777777" w:rsidTr="00EC68FF">
        <w:tc>
          <w:tcPr>
            <w:tcW w:w="968" w:type="pct"/>
            <w:tcBorders>
              <w:top w:val="nil"/>
              <w:left w:val="single" w:sz="4" w:space="0" w:color="auto"/>
              <w:bottom w:val="nil"/>
              <w:right w:val="nil"/>
            </w:tcBorders>
            <w:shd w:val="clear" w:color="000000" w:fill="FFFFFF"/>
            <w:noWrap/>
            <w:vAlign w:val="center"/>
            <w:hideMark/>
          </w:tcPr>
          <w:p w14:paraId="2D1C241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7" w:type="pct"/>
            <w:tcBorders>
              <w:top w:val="nil"/>
              <w:left w:val="single" w:sz="4" w:space="0" w:color="auto"/>
              <w:bottom w:val="nil"/>
              <w:right w:val="nil"/>
            </w:tcBorders>
            <w:shd w:val="clear" w:color="000000" w:fill="FFFFFF"/>
            <w:noWrap/>
            <w:vAlign w:val="center"/>
            <w:hideMark/>
          </w:tcPr>
          <w:p w14:paraId="2BA2093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33.029</w:t>
            </w:r>
          </w:p>
        </w:tc>
        <w:tc>
          <w:tcPr>
            <w:tcW w:w="497" w:type="pct"/>
            <w:tcBorders>
              <w:top w:val="nil"/>
              <w:left w:val="nil"/>
              <w:bottom w:val="nil"/>
              <w:right w:val="nil"/>
            </w:tcBorders>
            <w:shd w:val="clear" w:color="000000" w:fill="FFFFFF"/>
            <w:noWrap/>
            <w:vAlign w:val="center"/>
            <w:hideMark/>
          </w:tcPr>
          <w:p w14:paraId="02490C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4.779</w:t>
            </w:r>
          </w:p>
        </w:tc>
        <w:tc>
          <w:tcPr>
            <w:tcW w:w="497" w:type="pct"/>
            <w:tcBorders>
              <w:top w:val="nil"/>
              <w:left w:val="nil"/>
              <w:bottom w:val="nil"/>
              <w:right w:val="nil"/>
            </w:tcBorders>
            <w:shd w:val="clear" w:color="000000" w:fill="FFFFFF"/>
            <w:noWrap/>
            <w:vAlign w:val="center"/>
            <w:hideMark/>
          </w:tcPr>
          <w:p w14:paraId="4761277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494</w:t>
            </w:r>
          </w:p>
        </w:tc>
        <w:tc>
          <w:tcPr>
            <w:tcW w:w="497" w:type="pct"/>
            <w:tcBorders>
              <w:top w:val="nil"/>
              <w:left w:val="nil"/>
              <w:bottom w:val="nil"/>
              <w:right w:val="nil"/>
            </w:tcBorders>
            <w:shd w:val="clear" w:color="000000" w:fill="FFFFFF"/>
            <w:noWrap/>
            <w:vAlign w:val="center"/>
            <w:hideMark/>
          </w:tcPr>
          <w:p w14:paraId="7533F6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708</w:t>
            </w:r>
          </w:p>
        </w:tc>
        <w:tc>
          <w:tcPr>
            <w:tcW w:w="552" w:type="pct"/>
            <w:tcBorders>
              <w:top w:val="nil"/>
              <w:left w:val="nil"/>
              <w:bottom w:val="nil"/>
              <w:right w:val="nil"/>
            </w:tcBorders>
            <w:shd w:val="clear" w:color="000000" w:fill="FFFFFF"/>
            <w:noWrap/>
            <w:vAlign w:val="center"/>
            <w:hideMark/>
          </w:tcPr>
          <w:p w14:paraId="6571FC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6.051</w:t>
            </w:r>
          </w:p>
        </w:tc>
        <w:tc>
          <w:tcPr>
            <w:tcW w:w="497" w:type="pct"/>
            <w:tcBorders>
              <w:top w:val="nil"/>
              <w:left w:val="nil"/>
              <w:bottom w:val="nil"/>
              <w:right w:val="single" w:sz="4" w:space="0" w:color="auto"/>
            </w:tcBorders>
            <w:shd w:val="clear" w:color="000000" w:fill="FFFFFF"/>
            <w:noWrap/>
            <w:vAlign w:val="center"/>
            <w:hideMark/>
          </w:tcPr>
          <w:p w14:paraId="6102D0A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3.714</w:t>
            </w:r>
          </w:p>
        </w:tc>
        <w:tc>
          <w:tcPr>
            <w:tcW w:w="497" w:type="pct"/>
            <w:tcBorders>
              <w:top w:val="nil"/>
              <w:left w:val="nil"/>
              <w:bottom w:val="nil"/>
              <w:right w:val="nil"/>
            </w:tcBorders>
            <w:shd w:val="clear" w:color="000000" w:fill="FFFFFF"/>
            <w:noWrap/>
            <w:vAlign w:val="center"/>
            <w:hideMark/>
          </w:tcPr>
          <w:p w14:paraId="440C25C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97" w:type="pct"/>
            <w:tcBorders>
              <w:top w:val="nil"/>
              <w:left w:val="single" w:sz="4" w:space="0" w:color="auto"/>
              <w:bottom w:val="nil"/>
              <w:right w:val="single" w:sz="4" w:space="0" w:color="auto"/>
            </w:tcBorders>
            <w:shd w:val="clear" w:color="000000" w:fill="FFFFFF"/>
            <w:noWrap/>
            <w:vAlign w:val="center"/>
            <w:hideMark/>
          </w:tcPr>
          <w:p w14:paraId="2111641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FD4ED3" w:rsidRPr="00650EE4" w14:paraId="446119C4" w14:textId="77777777" w:rsidTr="00EC68FF">
        <w:tc>
          <w:tcPr>
            <w:tcW w:w="968" w:type="pct"/>
            <w:tcBorders>
              <w:top w:val="nil"/>
              <w:left w:val="single" w:sz="4" w:space="0" w:color="auto"/>
              <w:bottom w:val="nil"/>
              <w:right w:val="nil"/>
            </w:tcBorders>
            <w:shd w:val="clear" w:color="000000" w:fill="FFFFFF"/>
            <w:noWrap/>
            <w:vAlign w:val="center"/>
            <w:hideMark/>
          </w:tcPr>
          <w:p w14:paraId="178BD8A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7" w:type="pct"/>
            <w:tcBorders>
              <w:top w:val="nil"/>
              <w:left w:val="single" w:sz="4" w:space="0" w:color="auto"/>
              <w:bottom w:val="nil"/>
              <w:right w:val="nil"/>
            </w:tcBorders>
            <w:shd w:val="clear" w:color="000000" w:fill="FFFFFF"/>
            <w:noWrap/>
            <w:vAlign w:val="center"/>
            <w:hideMark/>
          </w:tcPr>
          <w:p w14:paraId="6B02886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8.289</w:t>
            </w:r>
          </w:p>
        </w:tc>
        <w:tc>
          <w:tcPr>
            <w:tcW w:w="497" w:type="pct"/>
            <w:tcBorders>
              <w:top w:val="nil"/>
              <w:left w:val="nil"/>
              <w:bottom w:val="nil"/>
              <w:right w:val="nil"/>
            </w:tcBorders>
            <w:shd w:val="clear" w:color="000000" w:fill="FFFFFF"/>
            <w:noWrap/>
            <w:vAlign w:val="center"/>
            <w:hideMark/>
          </w:tcPr>
          <w:p w14:paraId="5B38CC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814</w:t>
            </w:r>
          </w:p>
        </w:tc>
        <w:tc>
          <w:tcPr>
            <w:tcW w:w="497" w:type="pct"/>
            <w:tcBorders>
              <w:top w:val="nil"/>
              <w:left w:val="nil"/>
              <w:bottom w:val="nil"/>
              <w:right w:val="nil"/>
            </w:tcBorders>
            <w:shd w:val="clear" w:color="000000" w:fill="FFFFFF"/>
            <w:noWrap/>
            <w:vAlign w:val="center"/>
            <w:hideMark/>
          </w:tcPr>
          <w:p w14:paraId="2CF85AA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497" w:type="pct"/>
            <w:tcBorders>
              <w:top w:val="nil"/>
              <w:left w:val="nil"/>
              <w:bottom w:val="nil"/>
              <w:right w:val="nil"/>
            </w:tcBorders>
            <w:shd w:val="clear" w:color="000000" w:fill="FFFFFF"/>
            <w:noWrap/>
            <w:vAlign w:val="center"/>
            <w:hideMark/>
          </w:tcPr>
          <w:p w14:paraId="4EBA62E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w:t>
            </w:r>
          </w:p>
        </w:tc>
        <w:tc>
          <w:tcPr>
            <w:tcW w:w="552" w:type="pct"/>
            <w:tcBorders>
              <w:top w:val="nil"/>
              <w:left w:val="nil"/>
              <w:bottom w:val="nil"/>
              <w:right w:val="nil"/>
            </w:tcBorders>
            <w:shd w:val="clear" w:color="000000" w:fill="FFFFFF"/>
            <w:noWrap/>
            <w:vAlign w:val="center"/>
            <w:hideMark/>
          </w:tcPr>
          <w:p w14:paraId="5F7209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313</w:t>
            </w:r>
          </w:p>
        </w:tc>
        <w:tc>
          <w:tcPr>
            <w:tcW w:w="497" w:type="pct"/>
            <w:tcBorders>
              <w:top w:val="nil"/>
              <w:left w:val="nil"/>
              <w:bottom w:val="nil"/>
              <w:right w:val="single" w:sz="4" w:space="0" w:color="auto"/>
            </w:tcBorders>
            <w:shd w:val="clear" w:color="000000" w:fill="FFFFFF"/>
            <w:noWrap/>
            <w:vAlign w:val="center"/>
            <w:hideMark/>
          </w:tcPr>
          <w:p w14:paraId="34D0E6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460</w:t>
            </w:r>
          </w:p>
        </w:tc>
        <w:tc>
          <w:tcPr>
            <w:tcW w:w="497" w:type="pct"/>
            <w:tcBorders>
              <w:top w:val="nil"/>
              <w:left w:val="nil"/>
              <w:bottom w:val="nil"/>
              <w:right w:val="nil"/>
            </w:tcBorders>
            <w:shd w:val="clear" w:color="000000" w:fill="FFFFFF"/>
            <w:noWrap/>
            <w:vAlign w:val="center"/>
            <w:hideMark/>
          </w:tcPr>
          <w:p w14:paraId="4D22B76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97" w:type="pct"/>
            <w:tcBorders>
              <w:top w:val="nil"/>
              <w:left w:val="single" w:sz="4" w:space="0" w:color="auto"/>
              <w:bottom w:val="nil"/>
              <w:right w:val="single" w:sz="4" w:space="0" w:color="auto"/>
            </w:tcBorders>
            <w:shd w:val="clear" w:color="000000" w:fill="FFFFFF"/>
            <w:noWrap/>
            <w:vAlign w:val="center"/>
            <w:hideMark/>
          </w:tcPr>
          <w:p w14:paraId="47E2018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FD4ED3" w:rsidRPr="00650EE4" w14:paraId="034FF784" w14:textId="77777777" w:rsidTr="00EC68FF">
        <w:tc>
          <w:tcPr>
            <w:tcW w:w="968" w:type="pct"/>
            <w:tcBorders>
              <w:top w:val="nil"/>
              <w:left w:val="single" w:sz="4" w:space="0" w:color="auto"/>
              <w:bottom w:val="nil"/>
              <w:right w:val="nil"/>
            </w:tcBorders>
            <w:shd w:val="clear" w:color="000000" w:fill="FFFFFF"/>
            <w:noWrap/>
            <w:vAlign w:val="center"/>
            <w:hideMark/>
          </w:tcPr>
          <w:p w14:paraId="5C2654D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7" w:type="pct"/>
            <w:tcBorders>
              <w:top w:val="nil"/>
              <w:left w:val="single" w:sz="4" w:space="0" w:color="auto"/>
              <w:bottom w:val="nil"/>
              <w:right w:val="nil"/>
            </w:tcBorders>
            <w:shd w:val="clear" w:color="000000" w:fill="FFFFFF"/>
            <w:noWrap/>
            <w:vAlign w:val="center"/>
            <w:hideMark/>
          </w:tcPr>
          <w:p w14:paraId="459261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3.057</w:t>
            </w:r>
          </w:p>
        </w:tc>
        <w:tc>
          <w:tcPr>
            <w:tcW w:w="497" w:type="pct"/>
            <w:tcBorders>
              <w:top w:val="nil"/>
              <w:left w:val="nil"/>
              <w:bottom w:val="nil"/>
              <w:right w:val="nil"/>
            </w:tcBorders>
            <w:shd w:val="clear" w:color="000000" w:fill="FFFFFF"/>
            <w:noWrap/>
            <w:vAlign w:val="center"/>
            <w:hideMark/>
          </w:tcPr>
          <w:p w14:paraId="1BC2969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1.039</w:t>
            </w:r>
          </w:p>
        </w:tc>
        <w:tc>
          <w:tcPr>
            <w:tcW w:w="497" w:type="pct"/>
            <w:tcBorders>
              <w:top w:val="nil"/>
              <w:left w:val="nil"/>
              <w:bottom w:val="nil"/>
              <w:right w:val="nil"/>
            </w:tcBorders>
            <w:shd w:val="clear" w:color="000000" w:fill="FFFFFF"/>
            <w:noWrap/>
            <w:vAlign w:val="center"/>
            <w:hideMark/>
          </w:tcPr>
          <w:p w14:paraId="1316DC4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97" w:type="pct"/>
            <w:tcBorders>
              <w:top w:val="nil"/>
              <w:left w:val="nil"/>
              <w:bottom w:val="nil"/>
              <w:right w:val="nil"/>
            </w:tcBorders>
            <w:shd w:val="clear" w:color="000000" w:fill="FFFFFF"/>
            <w:noWrap/>
            <w:vAlign w:val="center"/>
            <w:hideMark/>
          </w:tcPr>
          <w:p w14:paraId="6F0D014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403</w:t>
            </w:r>
          </w:p>
        </w:tc>
        <w:tc>
          <w:tcPr>
            <w:tcW w:w="552" w:type="pct"/>
            <w:tcBorders>
              <w:top w:val="nil"/>
              <w:left w:val="nil"/>
              <w:bottom w:val="nil"/>
              <w:right w:val="nil"/>
            </w:tcBorders>
            <w:shd w:val="clear" w:color="000000" w:fill="FFFFFF"/>
            <w:noWrap/>
            <w:vAlign w:val="center"/>
            <w:hideMark/>
          </w:tcPr>
          <w:p w14:paraId="60F611A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497" w:type="pct"/>
            <w:tcBorders>
              <w:top w:val="nil"/>
              <w:left w:val="nil"/>
              <w:bottom w:val="nil"/>
              <w:right w:val="single" w:sz="4" w:space="0" w:color="auto"/>
            </w:tcBorders>
            <w:shd w:val="clear" w:color="000000" w:fill="FFFFFF"/>
            <w:noWrap/>
            <w:vAlign w:val="center"/>
            <w:hideMark/>
          </w:tcPr>
          <w:p w14:paraId="5B10E57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135</w:t>
            </w:r>
          </w:p>
        </w:tc>
        <w:tc>
          <w:tcPr>
            <w:tcW w:w="497" w:type="pct"/>
            <w:tcBorders>
              <w:top w:val="nil"/>
              <w:left w:val="nil"/>
              <w:bottom w:val="nil"/>
              <w:right w:val="nil"/>
            </w:tcBorders>
            <w:shd w:val="clear" w:color="000000" w:fill="FFFFFF"/>
            <w:noWrap/>
            <w:vAlign w:val="center"/>
            <w:hideMark/>
          </w:tcPr>
          <w:p w14:paraId="323F512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97" w:type="pct"/>
            <w:tcBorders>
              <w:top w:val="nil"/>
              <w:left w:val="single" w:sz="4" w:space="0" w:color="auto"/>
              <w:bottom w:val="nil"/>
              <w:right w:val="single" w:sz="4" w:space="0" w:color="auto"/>
            </w:tcBorders>
            <w:shd w:val="clear" w:color="000000" w:fill="FFFFFF"/>
            <w:noWrap/>
            <w:vAlign w:val="center"/>
            <w:hideMark/>
          </w:tcPr>
          <w:p w14:paraId="421A3AD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FD4ED3" w:rsidRPr="00650EE4" w14:paraId="32B8C5A1" w14:textId="77777777" w:rsidTr="00EC68FF">
        <w:tc>
          <w:tcPr>
            <w:tcW w:w="968" w:type="pct"/>
            <w:tcBorders>
              <w:top w:val="nil"/>
              <w:left w:val="single" w:sz="4" w:space="0" w:color="auto"/>
              <w:bottom w:val="nil"/>
              <w:right w:val="nil"/>
            </w:tcBorders>
            <w:shd w:val="clear" w:color="000000" w:fill="FFFFFF"/>
            <w:noWrap/>
            <w:vAlign w:val="center"/>
            <w:hideMark/>
          </w:tcPr>
          <w:p w14:paraId="2DD7394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7" w:type="pct"/>
            <w:tcBorders>
              <w:top w:val="nil"/>
              <w:left w:val="single" w:sz="4" w:space="0" w:color="auto"/>
              <w:bottom w:val="nil"/>
              <w:right w:val="nil"/>
            </w:tcBorders>
            <w:shd w:val="clear" w:color="000000" w:fill="FFFFFF"/>
            <w:noWrap/>
            <w:vAlign w:val="center"/>
            <w:hideMark/>
          </w:tcPr>
          <w:p w14:paraId="34BD26B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5.126</w:t>
            </w:r>
          </w:p>
        </w:tc>
        <w:tc>
          <w:tcPr>
            <w:tcW w:w="497" w:type="pct"/>
            <w:tcBorders>
              <w:top w:val="nil"/>
              <w:left w:val="nil"/>
              <w:bottom w:val="nil"/>
              <w:right w:val="nil"/>
            </w:tcBorders>
            <w:shd w:val="clear" w:color="000000" w:fill="FFFFFF"/>
            <w:noWrap/>
            <w:vAlign w:val="center"/>
            <w:hideMark/>
          </w:tcPr>
          <w:p w14:paraId="57834E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768</w:t>
            </w:r>
          </w:p>
        </w:tc>
        <w:tc>
          <w:tcPr>
            <w:tcW w:w="497" w:type="pct"/>
            <w:tcBorders>
              <w:top w:val="nil"/>
              <w:left w:val="nil"/>
              <w:bottom w:val="nil"/>
              <w:right w:val="nil"/>
            </w:tcBorders>
            <w:shd w:val="clear" w:color="000000" w:fill="FFFFFF"/>
            <w:noWrap/>
            <w:vAlign w:val="center"/>
            <w:hideMark/>
          </w:tcPr>
          <w:p w14:paraId="63579BC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497" w:type="pct"/>
            <w:tcBorders>
              <w:top w:val="nil"/>
              <w:left w:val="nil"/>
              <w:bottom w:val="nil"/>
              <w:right w:val="nil"/>
            </w:tcBorders>
            <w:shd w:val="clear" w:color="000000" w:fill="FFFFFF"/>
            <w:noWrap/>
            <w:vAlign w:val="center"/>
            <w:hideMark/>
          </w:tcPr>
          <w:p w14:paraId="32FEF4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433</w:t>
            </w:r>
          </w:p>
        </w:tc>
        <w:tc>
          <w:tcPr>
            <w:tcW w:w="552" w:type="pct"/>
            <w:tcBorders>
              <w:top w:val="nil"/>
              <w:left w:val="nil"/>
              <w:bottom w:val="nil"/>
              <w:right w:val="nil"/>
            </w:tcBorders>
            <w:shd w:val="clear" w:color="000000" w:fill="FFFFFF"/>
            <w:noWrap/>
            <w:vAlign w:val="center"/>
            <w:hideMark/>
          </w:tcPr>
          <w:p w14:paraId="7A083D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1.338</w:t>
            </w:r>
          </w:p>
        </w:tc>
        <w:tc>
          <w:tcPr>
            <w:tcW w:w="497" w:type="pct"/>
            <w:tcBorders>
              <w:top w:val="nil"/>
              <w:left w:val="nil"/>
              <w:bottom w:val="nil"/>
              <w:right w:val="single" w:sz="4" w:space="0" w:color="auto"/>
            </w:tcBorders>
            <w:shd w:val="clear" w:color="000000" w:fill="FFFFFF"/>
            <w:noWrap/>
            <w:vAlign w:val="center"/>
            <w:hideMark/>
          </w:tcPr>
          <w:p w14:paraId="292D85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1.031</w:t>
            </w:r>
          </w:p>
        </w:tc>
        <w:tc>
          <w:tcPr>
            <w:tcW w:w="497" w:type="pct"/>
            <w:tcBorders>
              <w:top w:val="nil"/>
              <w:left w:val="nil"/>
              <w:bottom w:val="nil"/>
              <w:right w:val="nil"/>
            </w:tcBorders>
            <w:shd w:val="clear" w:color="000000" w:fill="FFFFFF"/>
            <w:noWrap/>
            <w:vAlign w:val="center"/>
            <w:hideMark/>
          </w:tcPr>
          <w:p w14:paraId="52597DE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97" w:type="pct"/>
            <w:tcBorders>
              <w:top w:val="nil"/>
              <w:left w:val="single" w:sz="4" w:space="0" w:color="auto"/>
              <w:bottom w:val="nil"/>
              <w:right w:val="single" w:sz="4" w:space="0" w:color="auto"/>
            </w:tcBorders>
            <w:shd w:val="clear" w:color="000000" w:fill="FFFFFF"/>
            <w:noWrap/>
            <w:vAlign w:val="center"/>
            <w:hideMark/>
          </w:tcPr>
          <w:p w14:paraId="4E411B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FD4ED3" w:rsidRPr="00650EE4" w14:paraId="2E2377F5" w14:textId="77777777" w:rsidTr="00EC68FF">
        <w:tc>
          <w:tcPr>
            <w:tcW w:w="968" w:type="pct"/>
            <w:tcBorders>
              <w:top w:val="nil"/>
              <w:left w:val="single" w:sz="4" w:space="0" w:color="auto"/>
              <w:bottom w:val="nil"/>
              <w:right w:val="nil"/>
            </w:tcBorders>
            <w:shd w:val="clear" w:color="000000" w:fill="FFFFFF"/>
            <w:noWrap/>
            <w:vAlign w:val="center"/>
            <w:hideMark/>
          </w:tcPr>
          <w:p w14:paraId="75827286"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7" w:type="pct"/>
            <w:tcBorders>
              <w:top w:val="nil"/>
              <w:left w:val="single" w:sz="4" w:space="0" w:color="auto"/>
              <w:bottom w:val="nil"/>
              <w:right w:val="nil"/>
            </w:tcBorders>
            <w:shd w:val="clear" w:color="000000" w:fill="FFFFFF"/>
            <w:noWrap/>
            <w:vAlign w:val="center"/>
            <w:hideMark/>
          </w:tcPr>
          <w:p w14:paraId="287071F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1.477</w:t>
            </w:r>
          </w:p>
        </w:tc>
        <w:tc>
          <w:tcPr>
            <w:tcW w:w="497" w:type="pct"/>
            <w:tcBorders>
              <w:top w:val="nil"/>
              <w:left w:val="nil"/>
              <w:bottom w:val="nil"/>
              <w:right w:val="nil"/>
            </w:tcBorders>
            <w:shd w:val="clear" w:color="000000" w:fill="FFFFFF"/>
            <w:noWrap/>
            <w:vAlign w:val="center"/>
            <w:hideMark/>
          </w:tcPr>
          <w:p w14:paraId="7CD20C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497" w:type="pct"/>
            <w:tcBorders>
              <w:top w:val="nil"/>
              <w:left w:val="nil"/>
              <w:bottom w:val="nil"/>
              <w:right w:val="nil"/>
            </w:tcBorders>
            <w:shd w:val="clear" w:color="000000" w:fill="FFFFFF"/>
            <w:noWrap/>
            <w:vAlign w:val="center"/>
            <w:hideMark/>
          </w:tcPr>
          <w:p w14:paraId="2126C0F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7" w:type="pct"/>
            <w:tcBorders>
              <w:top w:val="nil"/>
              <w:left w:val="nil"/>
              <w:bottom w:val="nil"/>
              <w:right w:val="nil"/>
            </w:tcBorders>
            <w:shd w:val="clear" w:color="000000" w:fill="FFFFFF"/>
            <w:noWrap/>
            <w:vAlign w:val="center"/>
            <w:hideMark/>
          </w:tcPr>
          <w:p w14:paraId="66C6CD2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148</w:t>
            </w:r>
          </w:p>
        </w:tc>
        <w:tc>
          <w:tcPr>
            <w:tcW w:w="552" w:type="pct"/>
            <w:tcBorders>
              <w:top w:val="nil"/>
              <w:left w:val="nil"/>
              <w:bottom w:val="nil"/>
              <w:right w:val="nil"/>
            </w:tcBorders>
            <w:shd w:val="clear" w:color="000000" w:fill="FFFFFF"/>
            <w:noWrap/>
            <w:vAlign w:val="center"/>
            <w:hideMark/>
          </w:tcPr>
          <w:p w14:paraId="73BA2FA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97" w:type="pct"/>
            <w:tcBorders>
              <w:top w:val="nil"/>
              <w:left w:val="nil"/>
              <w:bottom w:val="nil"/>
              <w:right w:val="single" w:sz="4" w:space="0" w:color="auto"/>
            </w:tcBorders>
            <w:shd w:val="clear" w:color="000000" w:fill="FFFFFF"/>
            <w:noWrap/>
            <w:vAlign w:val="center"/>
            <w:hideMark/>
          </w:tcPr>
          <w:p w14:paraId="48C41B7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497" w:type="pct"/>
            <w:tcBorders>
              <w:top w:val="nil"/>
              <w:left w:val="nil"/>
              <w:bottom w:val="nil"/>
              <w:right w:val="nil"/>
            </w:tcBorders>
            <w:shd w:val="clear" w:color="000000" w:fill="FFFFFF"/>
            <w:noWrap/>
            <w:vAlign w:val="center"/>
            <w:hideMark/>
          </w:tcPr>
          <w:p w14:paraId="265ED52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97" w:type="pct"/>
            <w:tcBorders>
              <w:top w:val="nil"/>
              <w:left w:val="single" w:sz="4" w:space="0" w:color="auto"/>
              <w:bottom w:val="nil"/>
              <w:right w:val="single" w:sz="4" w:space="0" w:color="auto"/>
            </w:tcBorders>
            <w:shd w:val="clear" w:color="000000" w:fill="FFFFFF"/>
            <w:noWrap/>
            <w:vAlign w:val="center"/>
            <w:hideMark/>
          </w:tcPr>
          <w:p w14:paraId="1F2373F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FD4ED3" w:rsidRPr="00650EE4" w14:paraId="4DDA7C3A" w14:textId="77777777" w:rsidTr="00EC68FF">
        <w:tc>
          <w:tcPr>
            <w:tcW w:w="968" w:type="pct"/>
            <w:tcBorders>
              <w:top w:val="nil"/>
              <w:left w:val="single" w:sz="4" w:space="0" w:color="auto"/>
              <w:bottom w:val="nil"/>
              <w:right w:val="nil"/>
            </w:tcBorders>
            <w:shd w:val="clear" w:color="000000" w:fill="FFFFFF"/>
            <w:noWrap/>
            <w:vAlign w:val="center"/>
            <w:hideMark/>
          </w:tcPr>
          <w:p w14:paraId="21BDCD9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7" w:type="pct"/>
            <w:tcBorders>
              <w:top w:val="nil"/>
              <w:left w:val="single" w:sz="4" w:space="0" w:color="auto"/>
              <w:bottom w:val="nil"/>
              <w:right w:val="nil"/>
            </w:tcBorders>
            <w:shd w:val="clear" w:color="000000" w:fill="FFFFFF"/>
            <w:noWrap/>
            <w:vAlign w:val="center"/>
            <w:hideMark/>
          </w:tcPr>
          <w:p w14:paraId="09840C2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2.420</w:t>
            </w:r>
          </w:p>
        </w:tc>
        <w:tc>
          <w:tcPr>
            <w:tcW w:w="497" w:type="pct"/>
            <w:tcBorders>
              <w:top w:val="nil"/>
              <w:left w:val="nil"/>
              <w:bottom w:val="nil"/>
              <w:right w:val="nil"/>
            </w:tcBorders>
            <w:shd w:val="clear" w:color="000000" w:fill="FFFFFF"/>
            <w:noWrap/>
            <w:vAlign w:val="center"/>
            <w:hideMark/>
          </w:tcPr>
          <w:p w14:paraId="29D394F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497" w:type="pct"/>
            <w:tcBorders>
              <w:top w:val="nil"/>
              <w:left w:val="nil"/>
              <w:bottom w:val="nil"/>
              <w:right w:val="nil"/>
            </w:tcBorders>
            <w:shd w:val="clear" w:color="000000" w:fill="FFFFFF"/>
            <w:noWrap/>
            <w:vAlign w:val="center"/>
            <w:hideMark/>
          </w:tcPr>
          <w:p w14:paraId="35062B7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497" w:type="pct"/>
            <w:tcBorders>
              <w:top w:val="nil"/>
              <w:left w:val="nil"/>
              <w:bottom w:val="nil"/>
              <w:right w:val="nil"/>
            </w:tcBorders>
            <w:shd w:val="clear" w:color="000000" w:fill="FFFFFF"/>
            <w:noWrap/>
            <w:vAlign w:val="center"/>
            <w:hideMark/>
          </w:tcPr>
          <w:p w14:paraId="48BEFB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1.175</w:t>
            </w:r>
          </w:p>
        </w:tc>
        <w:tc>
          <w:tcPr>
            <w:tcW w:w="552" w:type="pct"/>
            <w:tcBorders>
              <w:top w:val="nil"/>
              <w:left w:val="nil"/>
              <w:bottom w:val="nil"/>
              <w:right w:val="nil"/>
            </w:tcBorders>
            <w:shd w:val="clear" w:color="000000" w:fill="FFFFFF"/>
            <w:noWrap/>
            <w:vAlign w:val="center"/>
            <w:hideMark/>
          </w:tcPr>
          <w:p w14:paraId="61C44ED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497" w:type="pct"/>
            <w:tcBorders>
              <w:top w:val="nil"/>
              <w:left w:val="nil"/>
              <w:bottom w:val="nil"/>
              <w:right w:val="single" w:sz="4" w:space="0" w:color="auto"/>
            </w:tcBorders>
            <w:shd w:val="clear" w:color="000000" w:fill="FFFFFF"/>
            <w:noWrap/>
            <w:vAlign w:val="center"/>
            <w:hideMark/>
          </w:tcPr>
          <w:p w14:paraId="4310B3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3.143</w:t>
            </w:r>
          </w:p>
        </w:tc>
        <w:tc>
          <w:tcPr>
            <w:tcW w:w="497" w:type="pct"/>
            <w:tcBorders>
              <w:top w:val="nil"/>
              <w:left w:val="nil"/>
              <w:bottom w:val="nil"/>
              <w:right w:val="nil"/>
            </w:tcBorders>
            <w:shd w:val="clear" w:color="000000" w:fill="FFFFFF"/>
            <w:noWrap/>
            <w:vAlign w:val="center"/>
            <w:hideMark/>
          </w:tcPr>
          <w:p w14:paraId="72D2175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97" w:type="pct"/>
            <w:tcBorders>
              <w:top w:val="nil"/>
              <w:left w:val="single" w:sz="4" w:space="0" w:color="auto"/>
              <w:bottom w:val="nil"/>
              <w:right w:val="single" w:sz="4" w:space="0" w:color="auto"/>
            </w:tcBorders>
            <w:shd w:val="clear" w:color="000000" w:fill="FFFFFF"/>
            <w:noWrap/>
            <w:vAlign w:val="center"/>
            <w:hideMark/>
          </w:tcPr>
          <w:p w14:paraId="00D6DC9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FD4ED3" w:rsidRPr="00650EE4" w14:paraId="1D6E85AA" w14:textId="77777777" w:rsidTr="00EC68FF">
        <w:tc>
          <w:tcPr>
            <w:tcW w:w="968" w:type="pct"/>
            <w:tcBorders>
              <w:top w:val="nil"/>
              <w:left w:val="single" w:sz="4" w:space="0" w:color="auto"/>
              <w:bottom w:val="nil"/>
              <w:right w:val="nil"/>
            </w:tcBorders>
            <w:shd w:val="clear" w:color="000000" w:fill="FFFFFF"/>
            <w:noWrap/>
            <w:vAlign w:val="center"/>
            <w:hideMark/>
          </w:tcPr>
          <w:p w14:paraId="51DCAD5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7" w:type="pct"/>
            <w:tcBorders>
              <w:top w:val="nil"/>
              <w:left w:val="single" w:sz="4" w:space="0" w:color="auto"/>
              <w:bottom w:val="nil"/>
              <w:right w:val="nil"/>
            </w:tcBorders>
            <w:shd w:val="clear" w:color="000000" w:fill="FFFFFF"/>
            <w:noWrap/>
            <w:vAlign w:val="center"/>
            <w:hideMark/>
          </w:tcPr>
          <w:p w14:paraId="19F1BF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1.558</w:t>
            </w:r>
          </w:p>
        </w:tc>
        <w:tc>
          <w:tcPr>
            <w:tcW w:w="497" w:type="pct"/>
            <w:tcBorders>
              <w:top w:val="nil"/>
              <w:left w:val="nil"/>
              <w:bottom w:val="nil"/>
              <w:right w:val="nil"/>
            </w:tcBorders>
            <w:shd w:val="clear" w:color="000000" w:fill="FFFFFF"/>
            <w:noWrap/>
            <w:vAlign w:val="center"/>
            <w:hideMark/>
          </w:tcPr>
          <w:p w14:paraId="6A3D885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w:t>
            </w:r>
          </w:p>
        </w:tc>
        <w:tc>
          <w:tcPr>
            <w:tcW w:w="497" w:type="pct"/>
            <w:tcBorders>
              <w:top w:val="nil"/>
              <w:left w:val="nil"/>
              <w:bottom w:val="nil"/>
              <w:right w:val="nil"/>
            </w:tcBorders>
            <w:shd w:val="clear" w:color="000000" w:fill="FFFFFF"/>
            <w:noWrap/>
            <w:vAlign w:val="center"/>
            <w:hideMark/>
          </w:tcPr>
          <w:p w14:paraId="55A42C0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497" w:type="pct"/>
            <w:tcBorders>
              <w:top w:val="nil"/>
              <w:left w:val="nil"/>
              <w:bottom w:val="nil"/>
              <w:right w:val="nil"/>
            </w:tcBorders>
            <w:shd w:val="clear" w:color="000000" w:fill="FFFFFF"/>
            <w:noWrap/>
            <w:vAlign w:val="center"/>
            <w:hideMark/>
          </w:tcPr>
          <w:p w14:paraId="163ABC4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w:t>
            </w:r>
          </w:p>
        </w:tc>
        <w:tc>
          <w:tcPr>
            <w:tcW w:w="552" w:type="pct"/>
            <w:tcBorders>
              <w:top w:val="nil"/>
              <w:left w:val="nil"/>
              <w:bottom w:val="nil"/>
              <w:right w:val="nil"/>
            </w:tcBorders>
            <w:shd w:val="clear" w:color="000000" w:fill="FFFFFF"/>
            <w:noWrap/>
            <w:vAlign w:val="center"/>
            <w:hideMark/>
          </w:tcPr>
          <w:p w14:paraId="6655A33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7" w:type="pct"/>
            <w:tcBorders>
              <w:top w:val="nil"/>
              <w:left w:val="nil"/>
              <w:bottom w:val="nil"/>
              <w:right w:val="single" w:sz="4" w:space="0" w:color="auto"/>
            </w:tcBorders>
            <w:shd w:val="clear" w:color="000000" w:fill="FFFFFF"/>
            <w:noWrap/>
            <w:vAlign w:val="center"/>
            <w:hideMark/>
          </w:tcPr>
          <w:p w14:paraId="7E627FD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212</w:t>
            </w:r>
          </w:p>
        </w:tc>
        <w:tc>
          <w:tcPr>
            <w:tcW w:w="497" w:type="pct"/>
            <w:tcBorders>
              <w:top w:val="nil"/>
              <w:left w:val="nil"/>
              <w:bottom w:val="nil"/>
              <w:right w:val="nil"/>
            </w:tcBorders>
            <w:shd w:val="clear" w:color="000000" w:fill="FFFFFF"/>
            <w:noWrap/>
            <w:vAlign w:val="center"/>
            <w:hideMark/>
          </w:tcPr>
          <w:p w14:paraId="23D0452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97" w:type="pct"/>
            <w:tcBorders>
              <w:top w:val="nil"/>
              <w:left w:val="single" w:sz="4" w:space="0" w:color="auto"/>
              <w:bottom w:val="nil"/>
              <w:right w:val="single" w:sz="4" w:space="0" w:color="auto"/>
            </w:tcBorders>
            <w:shd w:val="clear" w:color="000000" w:fill="FFFFFF"/>
            <w:noWrap/>
            <w:vAlign w:val="center"/>
            <w:hideMark/>
          </w:tcPr>
          <w:p w14:paraId="07FA03C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FD4ED3" w:rsidRPr="00650EE4" w14:paraId="63113A93" w14:textId="77777777" w:rsidTr="00EC68FF">
        <w:tc>
          <w:tcPr>
            <w:tcW w:w="968" w:type="pct"/>
            <w:tcBorders>
              <w:top w:val="nil"/>
              <w:left w:val="single" w:sz="4" w:space="0" w:color="auto"/>
              <w:bottom w:val="nil"/>
              <w:right w:val="nil"/>
            </w:tcBorders>
            <w:shd w:val="clear" w:color="000000" w:fill="FFFFFF"/>
            <w:noWrap/>
            <w:vAlign w:val="center"/>
            <w:hideMark/>
          </w:tcPr>
          <w:p w14:paraId="340A84F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7" w:type="pct"/>
            <w:tcBorders>
              <w:top w:val="nil"/>
              <w:left w:val="single" w:sz="4" w:space="0" w:color="auto"/>
              <w:bottom w:val="nil"/>
              <w:right w:val="nil"/>
            </w:tcBorders>
            <w:shd w:val="clear" w:color="000000" w:fill="FFFFFF"/>
            <w:noWrap/>
            <w:vAlign w:val="center"/>
            <w:hideMark/>
          </w:tcPr>
          <w:p w14:paraId="129C49D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3.562</w:t>
            </w:r>
          </w:p>
        </w:tc>
        <w:tc>
          <w:tcPr>
            <w:tcW w:w="497" w:type="pct"/>
            <w:tcBorders>
              <w:top w:val="nil"/>
              <w:left w:val="nil"/>
              <w:bottom w:val="nil"/>
              <w:right w:val="nil"/>
            </w:tcBorders>
            <w:shd w:val="clear" w:color="000000" w:fill="FFFFFF"/>
            <w:noWrap/>
            <w:vAlign w:val="center"/>
            <w:hideMark/>
          </w:tcPr>
          <w:p w14:paraId="10C9302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w:t>
            </w:r>
          </w:p>
        </w:tc>
        <w:tc>
          <w:tcPr>
            <w:tcW w:w="497" w:type="pct"/>
            <w:tcBorders>
              <w:top w:val="nil"/>
              <w:left w:val="nil"/>
              <w:bottom w:val="nil"/>
              <w:right w:val="nil"/>
            </w:tcBorders>
            <w:shd w:val="clear" w:color="000000" w:fill="FFFFFF"/>
            <w:noWrap/>
            <w:vAlign w:val="center"/>
            <w:hideMark/>
          </w:tcPr>
          <w:p w14:paraId="1148C50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497" w:type="pct"/>
            <w:tcBorders>
              <w:top w:val="nil"/>
              <w:left w:val="nil"/>
              <w:bottom w:val="nil"/>
              <w:right w:val="nil"/>
            </w:tcBorders>
            <w:shd w:val="clear" w:color="000000" w:fill="FFFFFF"/>
            <w:noWrap/>
            <w:vAlign w:val="center"/>
            <w:hideMark/>
          </w:tcPr>
          <w:p w14:paraId="2FBB38E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394</w:t>
            </w:r>
          </w:p>
        </w:tc>
        <w:tc>
          <w:tcPr>
            <w:tcW w:w="552" w:type="pct"/>
            <w:tcBorders>
              <w:top w:val="nil"/>
              <w:left w:val="nil"/>
              <w:bottom w:val="nil"/>
              <w:right w:val="nil"/>
            </w:tcBorders>
            <w:shd w:val="clear" w:color="000000" w:fill="FFFFFF"/>
            <w:noWrap/>
            <w:vAlign w:val="center"/>
            <w:hideMark/>
          </w:tcPr>
          <w:p w14:paraId="3C82682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426</w:t>
            </w:r>
          </w:p>
        </w:tc>
        <w:tc>
          <w:tcPr>
            <w:tcW w:w="497" w:type="pct"/>
            <w:tcBorders>
              <w:top w:val="nil"/>
              <w:left w:val="nil"/>
              <w:bottom w:val="nil"/>
              <w:right w:val="single" w:sz="4" w:space="0" w:color="auto"/>
            </w:tcBorders>
            <w:shd w:val="clear" w:color="000000" w:fill="FFFFFF"/>
            <w:noWrap/>
            <w:vAlign w:val="center"/>
            <w:hideMark/>
          </w:tcPr>
          <w:p w14:paraId="71E1AA0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451</w:t>
            </w:r>
          </w:p>
        </w:tc>
        <w:tc>
          <w:tcPr>
            <w:tcW w:w="497" w:type="pct"/>
            <w:tcBorders>
              <w:top w:val="nil"/>
              <w:left w:val="nil"/>
              <w:bottom w:val="nil"/>
              <w:right w:val="nil"/>
            </w:tcBorders>
            <w:shd w:val="clear" w:color="000000" w:fill="FFFFFF"/>
            <w:noWrap/>
            <w:vAlign w:val="center"/>
            <w:hideMark/>
          </w:tcPr>
          <w:p w14:paraId="7943D76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97" w:type="pct"/>
            <w:tcBorders>
              <w:top w:val="nil"/>
              <w:left w:val="single" w:sz="4" w:space="0" w:color="auto"/>
              <w:bottom w:val="nil"/>
              <w:right w:val="single" w:sz="4" w:space="0" w:color="auto"/>
            </w:tcBorders>
            <w:shd w:val="clear" w:color="000000" w:fill="FFFFFF"/>
            <w:noWrap/>
            <w:vAlign w:val="center"/>
            <w:hideMark/>
          </w:tcPr>
          <w:p w14:paraId="3AAB92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2733D611" w14:textId="77777777" w:rsidTr="00EC68FF">
        <w:tc>
          <w:tcPr>
            <w:tcW w:w="968" w:type="pct"/>
            <w:tcBorders>
              <w:top w:val="nil"/>
              <w:left w:val="single" w:sz="4" w:space="0" w:color="auto"/>
              <w:bottom w:val="nil"/>
              <w:right w:val="nil"/>
            </w:tcBorders>
            <w:shd w:val="clear" w:color="000000" w:fill="FFFFFF"/>
            <w:noWrap/>
            <w:vAlign w:val="center"/>
            <w:hideMark/>
          </w:tcPr>
          <w:p w14:paraId="270103A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7" w:type="pct"/>
            <w:tcBorders>
              <w:top w:val="nil"/>
              <w:left w:val="single" w:sz="4" w:space="0" w:color="auto"/>
              <w:bottom w:val="single" w:sz="4" w:space="0" w:color="auto"/>
              <w:right w:val="nil"/>
            </w:tcBorders>
            <w:shd w:val="clear" w:color="000000" w:fill="FFFFFF"/>
            <w:noWrap/>
            <w:vAlign w:val="center"/>
            <w:hideMark/>
          </w:tcPr>
          <w:p w14:paraId="6CF5E6D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1.376</w:t>
            </w:r>
          </w:p>
        </w:tc>
        <w:tc>
          <w:tcPr>
            <w:tcW w:w="497" w:type="pct"/>
            <w:tcBorders>
              <w:top w:val="nil"/>
              <w:left w:val="nil"/>
              <w:bottom w:val="single" w:sz="4" w:space="0" w:color="auto"/>
              <w:right w:val="nil"/>
            </w:tcBorders>
            <w:shd w:val="clear" w:color="000000" w:fill="FFFFFF"/>
            <w:noWrap/>
            <w:vAlign w:val="center"/>
            <w:hideMark/>
          </w:tcPr>
          <w:p w14:paraId="30A6E4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125</w:t>
            </w:r>
          </w:p>
        </w:tc>
        <w:tc>
          <w:tcPr>
            <w:tcW w:w="497" w:type="pct"/>
            <w:tcBorders>
              <w:top w:val="nil"/>
              <w:left w:val="nil"/>
              <w:bottom w:val="single" w:sz="4" w:space="0" w:color="auto"/>
              <w:right w:val="nil"/>
            </w:tcBorders>
            <w:shd w:val="clear" w:color="000000" w:fill="FFFFFF"/>
            <w:noWrap/>
            <w:vAlign w:val="center"/>
            <w:hideMark/>
          </w:tcPr>
          <w:p w14:paraId="0D9D083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97" w:type="pct"/>
            <w:tcBorders>
              <w:top w:val="nil"/>
              <w:left w:val="nil"/>
              <w:bottom w:val="single" w:sz="4" w:space="0" w:color="auto"/>
              <w:right w:val="nil"/>
            </w:tcBorders>
            <w:shd w:val="clear" w:color="000000" w:fill="FFFFFF"/>
            <w:noWrap/>
            <w:vAlign w:val="center"/>
            <w:hideMark/>
          </w:tcPr>
          <w:p w14:paraId="5C5114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552" w:type="pct"/>
            <w:tcBorders>
              <w:top w:val="nil"/>
              <w:left w:val="nil"/>
              <w:bottom w:val="single" w:sz="4" w:space="0" w:color="auto"/>
              <w:right w:val="nil"/>
            </w:tcBorders>
            <w:shd w:val="clear" w:color="000000" w:fill="FFFFFF"/>
            <w:noWrap/>
            <w:vAlign w:val="center"/>
            <w:hideMark/>
          </w:tcPr>
          <w:p w14:paraId="2D7DE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242</w:t>
            </w:r>
          </w:p>
        </w:tc>
        <w:tc>
          <w:tcPr>
            <w:tcW w:w="497" w:type="pct"/>
            <w:tcBorders>
              <w:top w:val="nil"/>
              <w:left w:val="nil"/>
              <w:bottom w:val="single" w:sz="4" w:space="0" w:color="auto"/>
              <w:right w:val="single" w:sz="4" w:space="0" w:color="auto"/>
            </w:tcBorders>
            <w:shd w:val="clear" w:color="000000" w:fill="FFFFFF"/>
            <w:noWrap/>
            <w:vAlign w:val="center"/>
            <w:hideMark/>
          </w:tcPr>
          <w:p w14:paraId="52838B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142</w:t>
            </w:r>
          </w:p>
        </w:tc>
        <w:tc>
          <w:tcPr>
            <w:tcW w:w="497" w:type="pct"/>
            <w:tcBorders>
              <w:top w:val="nil"/>
              <w:left w:val="nil"/>
              <w:bottom w:val="single" w:sz="4" w:space="0" w:color="auto"/>
              <w:right w:val="nil"/>
            </w:tcBorders>
            <w:shd w:val="clear" w:color="000000" w:fill="FFFFFF"/>
            <w:noWrap/>
            <w:vAlign w:val="center"/>
            <w:hideMark/>
          </w:tcPr>
          <w:p w14:paraId="1B7D31A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97" w:type="pct"/>
            <w:tcBorders>
              <w:top w:val="nil"/>
              <w:left w:val="single" w:sz="4" w:space="0" w:color="auto"/>
              <w:bottom w:val="single" w:sz="4" w:space="0" w:color="auto"/>
              <w:right w:val="single" w:sz="4" w:space="0" w:color="auto"/>
            </w:tcBorders>
            <w:shd w:val="clear" w:color="000000" w:fill="FFFFFF"/>
            <w:noWrap/>
            <w:vAlign w:val="center"/>
            <w:hideMark/>
          </w:tcPr>
          <w:p w14:paraId="2CE6A4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FD4ED3" w:rsidRPr="00650EE4" w14:paraId="0FFC9F06" w14:textId="77777777" w:rsidTr="00EC68FF">
        <w:tc>
          <w:tcPr>
            <w:tcW w:w="968" w:type="pct"/>
            <w:tcBorders>
              <w:top w:val="single" w:sz="4" w:space="0" w:color="auto"/>
              <w:left w:val="single" w:sz="4" w:space="0" w:color="auto"/>
              <w:bottom w:val="nil"/>
              <w:right w:val="single" w:sz="4" w:space="0" w:color="auto"/>
            </w:tcBorders>
            <w:shd w:val="clear" w:color="000000" w:fill="FFFFFF"/>
            <w:noWrap/>
            <w:vAlign w:val="center"/>
            <w:hideMark/>
          </w:tcPr>
          <w:p w14:paraId="0AA80D9D"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tcBorders>
              <w:top w:val="nil"/>
              <w:left w:val="nil"/>
              <w:bottom w:val="nil"/>
              <w:right w:val="nil"/>
            </w:tcBorders>
            <w:shd w:val="clear" w:color="000000" w:fill="FFFFFF"/>
            <w:noWrap/>
            <w:vAlign w:val="center"/>
            <w:hideMark/>
          </w:tcPr>
          <w:p w14:paraId="6C1F05C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317.214</w:t>
            </w:r>
          </w:p>
        </w:tc>
        <w:tc>
          <w:tcPr>
            <w:tcW w:w="497" w:type="pct"/>
            <w:tcBorders>
              <w:top w:val="nil"/>
              <w:left w:val="nil"/>
              <w:bottom w:val="nil"/>
              <w:right w:val="nil"/>
            </w:tcBorders>
            <w:shd w:val="clear" w:color="000000" w:fill="FFFFFF"/>
            <w:noWrap/>
            <w:vAlign w:val="center"/>
            <w:hideMark/>
          </w:tcPr>
          <w:p w14:paraId="7D2E1AB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20.706</w:t>
            </w:r>
          </w:p>
        </w:tc>
        <w:tc>
          <w:tcPr>
            <w:tcW w:w="497" w:type="pct"/>
            <w:tcBorders>
              <w:top w:val="nil"/>
              <w:left w:val="nil"/>
              <w:bottom w:val="nil"/>
              <w:right w:val="nil"/>
            </w:tcBorders>
            <w:shd w:val="clear" w:color="000000" w:fill="FFFFFF"/>
            <w:noWrap/>
            <w:vAlign w:val="center"/>
            <w:hideMark/>
          </w:tcPr>
          <w:p w14:paraId="6CC36333"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4.585</w:t>
            </w:r>
          </w:p>
        </w:tc>
        <w:tc>
          <w:tcPr>
            <w:tcW w:w="497" w:type="pct"/>
            <w:tcBorders>
              <w:top w:val="nil"/>
              <w:left w:val="nil"/>
              <w:bottom w:val="nil"/>
              <w:right w:val="nil"/>
            </w:tcBorders>
            <w:shd w:val="clear" w:color="000000" w:fill="FFFFFF"/>
            <w:noWrap/>
            <w:vAlign w:val="center"/>
            <w:hideMark/>
          </w:tcPr>
          <w:p w14:paraId="1EC1867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243.217</w:t>
            </w:r>
          </w:p>
        </w:tc>
        <w:tc>
          <w:tcPr>
            <w:tcW w:w="552" w:type="pct"/>
            <w:tcBorders>
              <w:top w:val="nil"/>
              <w:left w:val="nil"/>
              <w:bottom w:val="nil"/>
              <w:right w:val="nil"/>
            </w:tcBorders>
            <w:shd w:val="clear" w:color="000000" w:fill="FFFFFF"/>
            <w:noWrap/>
            <w:vAlign w:val="center"/>
            <w:hideMark/>
          </w:tcPr>
          <w:p w14:paraId="014FCB6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8.713</w:t>
            </w:r>
          </w:p>
        </w:tc>
        <w:tc>
          <w:tcPr>
            <w:tcW w:w="497" w:type="pct"/>
            <w:tcBorders>
              <w:top w:val="nil"/>
              <w:left w:val="nil"/>
              <w:bottom w:val="nil"/>
              <w:right w:val="single" w:sz="4" w:space="0" w:color="auto"/>
            </w:tcBorders>
            <w:shd w:val="clear" w:color="000000" w:fill="FFFFFF"/>
            <w:noWrap/>
            <w:vAlign w:val="center"/>
            <w:hideMark/>
          </w:tcPr>
          <w:p w14:paraId="6D3B489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66.848</w:t>
            </w:r>
          </w:p>
        </w:tc>
        <w:tc>
          <w:tcPr>
            <w:tcW w:w="497" w:type="pct"/>
            <w:tcBorders>
              <w:top w:val="nil"/>
              <w:left w:val="nil"/>
              <w:bottom w:val="nil"/>
              <w:right w:val="nil"/>
            </w:tcBorders>
            <w:shd w:val="clear" w:color="000000" w:fill="FFFFFF"/>
            <w:noWrap/>
            <w:vAlign w:val="center"/>
            <w:hideMark/>
          </w:tcPr>
          <w:p w14:paraId="165DCE9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97" w:type="pct"/>
            <w:tcBorders>
              <w:top w:val="nil"/>
              <w:left w:val="single" w:sz="4" w:space="0" w:color="auto"/>
              <w:bottom w:val="nil"/>
              <w:right w:val="single" w:sz="4" w:space="0" w:color="auto"/>
            </w:tcBorders>
            <w:shd w:val="clear" w:color="000000" w:fill="FFFFFF"/>
            <w:noWrap/>
            <w:vAlign w:val="center"/>
            <w:hideMark/>
          </w:tcPr>
          <w:p w14:paraId="27CA1E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3E0BE174" w14:textId="77777777" w:rsidTr="00EC68FF">
        <w:tc>
          <w:tcPr>
            <w:tcW w:w="96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D619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7" w:type="pct"/>
            <w:tcBorders>
              <w:top w:val="single" w:sz="4" w:space="0" w:color="auto"/>
              <w:left w:val="nil"/>
              <w:bottom w:val="single" w:sz="4" w:space="0" w:color="auto"/>
              <w:right w:val="nil"/>
            </w:tcBorders>
            <w:shd w:val="clear" w:color="000000" w:fill="FFFFFF"/>
            <w:noWrap/>
            <w:vAlign w:val="center"/>
            <w:hideMark/>
          </w:tcPr>
          <w:p w14:paraId="2446222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497" w:type="pct"/>
            <w:tcBorders>
              <w:top w:val="single" w:sz="4" w:space="0" w:color="auto"/>
              <w:left w:val="nil"/>
              <w:bottom w:val="single" w:sz="4" w:space="0" w:color="auto"/>
              <w:right w:val="nil"/>
            </w:tcBorders>
            <w:shd w:val="clear" w:color="000000" w:fill="FFFFFF"/>
            <w:noWrap/>
            <w:vAlign w:val="center"/>
            <w:hideMark/>
          </w:tcPr>
          <w:p w14:paraId="3199A19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7" w:type="pct"/>
            <w:tcBorders>
              <w:top w:val="single" w:sz="4" w:space="0" w:color="auto"/>
              <w:left w:val="nil"/>
              <w:bottom w:val="single" w:sz="4" w:space="0" w:color="auto"/>
              <w:right w:val="nil"/>
            </w:tcBorders>
            <w:shd w:val="clear" w:color="000000" w:fill="FFFFFF"/>
            <w:noWrap/>
            <w:vAlign w:val="center"/>
            <w:hideMark/>
          </w:tcPr>
          <w:p w14:paraId="6DD7F84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7" w:type="pct"/>
            <w:tcBorders>
              <w:top w:val="single" w:sz="4" w:space="0" w:color="auto"/>
              <w:left w:val="nil"/>
              <w:bottom w:val="single" w:sz="4" w:space="0" w:color="auto"/>
              <w:right w:val="nil"/>
            </w:tcBorders>
            <w:shd w:val="clear" w:color="000000" w:fill="FFFFFF"/>
            <w:noWrap/>
            <w:vAlign w:val="center"/>
            <w:hideMark/>
          </w:tcPr>
          <w:p w14:paraId="115C123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52" w:type="pct"/>
            <w:tcBorders>
              <w:top w:val="single" w:sz="4" w:space="0" w:color="auto"/>
              <w:left w:val="nil"/>
              <w:bottom w:val="single" w:sz="4" w:space="0" w:color="auto"/>
              <w:right w:val="nil"/>
            </w:tcBorders>
            <w:shd w:val="clear" w:color="000000" w:fill="FFFFFF"/>
            <w:noWrap/>
            <w:vAlign w:val="center"/>
            <w:hideMark/>
          </w:tcPr>
          <w:p w14:paraId="14335C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7" w:type="pct"/>
            <w:tcBorders>
              <w:top w:val="single" w:sz="4" w:space="0" w:color="auto"/>
              <w:left w:val="nil"/>
              <w:bottom w:val="single" w:sz="4" w:space="0" w:color="auto"/>
              <w:right w:val="single" w:sz="4" w:space="0" w:color="auto"/>
            </w:tcBorders>
            <w:shd w:val="clear" w:color="000000" w:fill="FFFFFF"/>
            <w:noWrap/>
            <w:vAlign w:val="center"/>
            <w:hideMark/>
          </w:tcPr>
          <w:p w14:paraId="116DFEB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497" w:type="pct"/>
            <w:tcBorders>
              <w:top w:val="single" w:sz="4" w:space="0" w:color="auto"/>
              <w:left w:val="nil"/>
              <w:bottom w:val="single" w:sz="4" w:space="0" w:color="auto"/>
              <w:right w:val="nil"/>
            </w:tcBorders>
            <w:shd w:val="clear" w:color="000000" w:fill="FFFFFF"/>
            <w:noWrap/>
            <w:vAlign w:val="center"/>
            <w:hideMark/>
          </w:tcPr>
          <w:p w14:paraId="43D19E0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A758F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6485889" w14:textId="6DF01F07" w:rsidR="0067799D" w:rsidRPr="00650EE4" w:rsidRDefault="005F56C6" w:rsidP="0067799D">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67799D" w:rsidRPr="00650EE4">
        <w:rPr>
          <w:rFonts w:ascii="Times New Roman" w:eastAsia="Times New Roman" w:hAnsi="Times New Roman"/>
          <w:i/>
          <w:color w:val="000000" w:themeColor="text1"/>
          <w:sz w:val="20"/>
          <w:szCs w:val="20"/>
        </w:rPr>
        <w:t>duomenys (2019.12.31)</w:t>
      </w:r>
    </w:p>
    <w:p w14:paraId="5FBE369B" w14:textId="5161F696" w:rsidR="00144A9C" w:rsidRPr="00650EE4" w:rsidRDefault="00144A9C" w:rsidP="00631BA6">
      <w:pPr>
        <w:pStyle w:val="TESlentelspavadinimas"/>
        <w:rPr>
          <w:noProof w:val="0"/>
        </w:rPr>
      </w:pPr>
    </w:p>
    <w:p w14:paraId="7BD53A22" w14:textId="2AFBFF3E" w:rsidR="0067799D"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0" w:name="_Toc59094191"/>
      <w:r w:rsidR="00F25C65">
        <w:t>8</w:t>
      </w:r>
      <w:r w:rsidRPr="00650EE4">
        <w:rPr>
          <w:noProof w:val="0"/>
        </w:rPr>
        <w:fldChar w:fldCharType="end"/>
      </w:r>
      <w:r w:rsidR="0067799D" w:rsidRPr="00650EE4">
        <w:rPr>
          <w:noProof w:val="0"/>
        </w:rPr>
        <w:t xml:space="preserve"> lentelė. Pastatų fondas pagal sienų medžiagiškumą (tūkst. m</w:t>
      </w:r>
      <w:r w:rsidR="0067799D" w:rsidRPr="00650EE4">
        <w:rPr>
          <w:noProof w:val="0"/>
          <w:vertAlign w:val="superscript"/>
        </w:rPr>
        <w:t>2</w:t>
      </w:r>
      <w:r w:rsidR="0067799D" w:rsidRPr="00650EE4">
        <w:rPr>
          <w:noProof w:val="0"/>
        </w:rPr>
        <w:t>)</w:t>
      </w:r>
      <w:bookmarkEnd w:id="30"/>
    </w:p>
    <w:tbl>
      <w:tblPr>
        <w:tblW w:w="5000" w:type="pct"/>
        <w:tblLook w:val="04A0" w:firstRow="1" w:lastRow="0" w:firstColumn="1" w:lastColumn="0" w:noHBand="0" w:noVBand="1"/>
      </w:tblPr>
      <w:tblGrid>
        <w:gridCol w:w="2012"/>
        <w:gridCol w:w="1036"/>
        <w:gridCol w:w="1036"/>
        <w:gridCol w:w="1036"/>
        <w:gridCol w:w="1036"/>
        <w:gridCol w:w="1146"/>
        <w:gridCol w:w="1046"/>
        <w:gridCol w:w="1036"/>
        <w:gridCol w:w="1036"/>
      </w:tblGrid>
      <w:tr w:rsidR="00FD4ED3" w:rsidRPr="00650EE4" w14:paraId="07584E25" w14:textId="77777777" w:rsidTr="00EC68FF">
        <w:tc>
          <w:tcPr>
            <w:tcW w:w="965"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6034BEB7"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28565C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Sienų medžiagiškumas</w:t>
            </w:r>
          </w:p>
        </w:tc>
        <w:tc>
          <w:tcPr>
            <w:tcW w:w="497" w:type="pct"/>
            <w:vMerge w:val="restart"/>
            <w:tcBorders>
              <w:top w:val="single" w:sz="4" w:space="0" w:color="auto"/>
              <w:left w:val="nil"/>
              <w:bottom w:val="single" w:sz="4" w:space="0" w:color="000000"/>
              <w:right w:val="nil"/>
            </w:tcBorders>
            <w:shd w:val="clear" w:color="000000" w:fill="FFFFFF"/>
            <w:vAlign w:val="center"/>
            <w:hideMark/>
          </w:tcPr>
          <w:p w14:paraId="329F0B7E"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A88A616"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D4ED3" w:rsidRPr="00650EE4" w14:paraId="59721A1C" w14:textId="77777777" w:rsidTr="00EC68FF">
        <w:tc>
          <w:tcPr>
            <w:tcW w:w="965" w:type="pct"/>
            <w:vMerge/>
            <w:tcBorders>
              <w:top w:val="single" w:sz="4" w:space="0" w:color="auto"/>
              <w:left w:val="single" w:sz="4" w:space="0" w:color="auto"/>
              <w:bottom w:val="single" w:sz="4" w:space="0" w:color="000000"/>
              <w:right w:val="nil"/>
            </w:tcBorders>
            <w:vAlign w:val="center"/>
            <w:hideMark/>
          </w:tcPr>
          <w:p w14:paraId="61BAA51A"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tcBorders>
              <w:top w:val="nil"/>
              <w:left w:val="single" w:sz="4" w:space="0" w:color="auto"/>
              <w:bottom w:val="single" w:sz="4" w:space="0" w:color="auto"/>
              <w:right w:val="nil"/>
            </w:tcBorders>
            <w:shd w:val="clear" w:color="000000" w:fill="FFFFFF"/>
            <w:vAlign w:val="center"/>
            <w:hideMark/>
          </w:tcPr>
          <w:p w14:paraId="505CB11C"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Plytų ir blokelių</w:t>
            </w:r>
          </w:p>
        </w:tc>
        <w:tc>
          <w:tcPr>
            <w:tcW w:w="497" w:type="pct"/>
            <w:tcBorders>
              <w:top w:val="nil"/>
              <w:left w:val="nil"/>
              <w:bottom w:val="single" w:sz="4" w:space="0" w:color="auto"/>
              <w:right w:val="nil"/>
            </w:tcBorders>
            <w:shd w:val="clear" w:color="000000" w:fill="FFFFFF"/>
            <w:vAlign w:val="center"/>
            <w:hideMark/>
          </w:tcPr>
          <w:p w14:paraId="0F0350C6"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Gelžb</w:t>
            </w:r>
            <w:proofErr w:type="spellEnd"/>
            <w:r w:rsidRPr="00650EE4">
              <w:rPr>
                <w:rFonts w:ascii="Times New Roman" w:eastAsia="Times New Roman" w:hAnsi="Times New Roman"/>
                <w:b/>
                <w:bCs/>
                <w:sz w:val="20"/>
                <w:szCs w:val="20"/>
              </w:rPr>
              <w:t>. plokščių</w:t>
            </w:r>
          </w:p>
        </w:tc>
        <w:tc>
          <w:tcPr>
            <w:tcW w:w="497" w:type="pct"/>
            <w:tcBorders>
              <w:top w:val="nil"/>
              <w:left w:val="nil"/>
              <w:bottom w:val="single" w:sz="4" w:space="0" w:color="auto"/>
              <w:right w:val="nil"/>
            </w:tcBorders>
            <w:shd w:val="clear" w:color="000000" w:fill="FFFFFF"/>
            <w:vAlign w:val="center"/>
            <w:hideMark/>
          </w:tcPr>
          <w:p w14:paraId="0D3E67FE" w14:textId="77777777" w:rsidR="00FD4ED3" w:rsidRPr="00650EE4" w:rsidRDefault="00FD4ED3" w:rsidP="00FD4ED3">
            <w:pPr>
              <w:spacing w:line="240" w:lineRule="auto"/>
              <w:jc w:val="center"/>
              <w:rPr>
                <w:rFonts w:ascii="Times New Roman" w:eastAsia="Times New Roman" w:hAnsi="Times New Roman"/>
                <w:b/>
                <w:bCs/>
                <w:sz w:val="20"/>
                <w:szCs w:val="20"/>
              </w:rPr>
            </w:pPr>
            <w:proofErr w:type="spellStart"/>
            <w:r w:rsidRPr="00650EE4">
              <w:rPr>
                <w:rFonts w:ascii="Times New Roman" w:eastAsia="Times New Roman" w:hAnsi="Times New Roman"/>
                <w:b/>
                <w:bCs/>
                <w:sz w:val="20"/>
                <w:szCs w:val="20"/>
              </w:rPr>
              <w:t>Monolit</w:t>
            </w:r>
            <w:proofErr w:type="spellEnd"/>
            <w:r w:rsidRPr="00650EE4">
              <w:rPr>
                <w:rFonts w:ascii="Times New Roman" w:eastAsia="Times New Roman" w:hAnsi="Times New Roman"/>
                <w:b/>
                <w:bCs/>
                <w:sz w:val="20"/>
                <w:szCs w:val="20"/>
              </w:rPr>
              <w:t>. betono</w:t>
            </w:r>
          </w:p>
        </w:tc>
        <w:tc>
          <w:tcPr>
            <w:tcW w:w="497" w:type="pct"/>
            <w:tcBorders>
              <w:top w:val="nil"/>
              <w:left w:val="nil"/>
              <w:bottom w:val="single" w:sz="4" w:space="0" w:color="auto"/>
              <w:right w:val="nil"/>
            </w:tcBorders>
            <w:shd w:val="clear" w:color="000000" w:fill="FFFFFF"/>
            <w:vAlign w:val="center"/>
            <w:hideMark/>
          </w:tcPr>
          <w:p w14:paraId="2E282742"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Rąstų</w:t>
            </w:r>
          </w:p>
        </w:tc>
        <w:tc>
          <w:tcPr>
            <w:tcW w:w="550" w:type="pct"/>
            <w:tcBorders>
              <w:top w:val="nil"/>
              <w:left w:val="nil"/>
              <w:bottom w:val="single" w:sz="4" w:space="0" w:color="auto"/>
              <w:right w:val="nil"/>
            </w:tcBorders>
            <w:shd w:val="clear" w:color="000000" w:fill="FFFFFF"/>
            <w:vAlign w:val="center"/>
            <w:hideMark/>
          </w:tcPr>
          <w:p w14:paraId="5576DA5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Fasadinės sistemos</w:t>
            </w:r>
          </w:p>
        </w:tc>
        <w:tc>
          <w:tcPr>
            <w:tcW w:w="500" w:type="pct"/>
            <w:tcBorders>
              <w:top w:val="nil"/>
              <w:left w:val="nil"/>
              <w:bottom w:val="single" w:sz="4" w:space="0" w:color="auto"/>
              <w:right w:val="single" w:sz="4" w:space="0" w:color="auto"/>
            </w:tcBorders>
            <w:shd w:val="clear" w:color="000000" w:fill="FFFFFF"/>
            <w:vAlign w:val="center"/>
            <w:hideMark/>
          </w:tcPr>
          <w:p w14:paraId="4BA3A48F"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Kita</w:t>
            </w:r>
          </w:p>
        </w:tc>
        <w:tc>
          <w:tcPr>
            <w:tcW w:w="497" w:type="pct"/>
            <w:vMerge/>
            <w:tcBorders>
              <w:top w:val="single" w:sz="4" w:space="0" w:color="auto"/>
              <w:left w:val="nil"/>
              <w:bottom w:val="single" w:sz="4" w:space="0" w:color="000000"/>
              <w:right w:val="nil"/>
            </w:tcBorders>
            <w:vAlign w:val="center"/>
            <w:hideMark/>
          </w:tcPr>
          <w:p w14:paraId="5FECD112" w14:textId="77777777" w:rsidR="00FD4ED3" w:rsidRPr="00650EE4" w:rsidRDefault="00FD4ED3" w:rsidP="00FD4ED3">
            <w:pPr>
              <w:spacing w:line="240" w:lineRule="auto"/>
              <w:rPr>
                <w:rFonts w:ascii="Times New Roman" w:eastAsia="Times New Roman" w:hAnsi="Times New Roman"/>
                <w:b/>
                <w:bCs/>
                <w:sz w:val="20"/>
                <w:szCs w:val="20"/>
              </w:rPr>
            </w:pPr>
          </w:p>
        </w:tc>
        <w:tc>
          <w:tcPr>
            <w:tcW w:w="497" w:type="pct"/>
            <w:vMerge/>
            <w:tcBorders>
              <w:top w:val="single" w:sz="4" w:space="0" w:color="auto"/>
              <w:left w:val="single" w:sz="4" w:space="0" w:color="auto"/>
              <w:bottom w:val="single" w:sz="4" w:space="0" w:color="000000"/>
              <w:right w:val="single" w:sz="4" w:space="0" w:color="auto"/>
            </w:tcBorders>
            <w:vAlign w:val="center"/>
            <w:hideMark/>
          </w:tcPr>
          <w:p w14:paraId="1B1D988D" w14:textId="77777777" w:rsidR="00FD4ED3" w:rsidRPr="00650EE4" w:rsidRDefault="00FD4ED3" w:rsidP="00FD4ED3">
            <w:pPr>
              <w:spacing w:line="240" w:lineRule="auto"/>
              <w:rPr>
                <w:rFonts w:ascii="Times New Roman" w:eastAsia="Times New Roman" w:hAnsi="Times New Roman"/>
                <w:b/>
                <w:bCs/>
                <w:sz w:val="20"/>
                <w:szCs w:val="20"/>
              </w:rPr>
            </w:pPr>
          </w:p>
        </w:tc>
      </w:tr>
      <w:tr w:rsidR="00FD4ED3" w:rsidRPr="00650EE4" w14:paraId="36A7A55B" w14:textId="77777777" w:rsidTr="00EC68FF">
        <w:tc>
          <w:tcPr>
            <w:tcW w:w="965" w:type="pct"/>
            <w:tcBorders>
              <w:top w:val="nil"/>
              <w:left w:val="single" w:sz="4" w:space="0" w:color="auto"/>
              <w:bottom w:val="nil"/>
              <w:right w:val="nil"/>
            </w:tcBorders>
            <w:shd w:val="clear" w:color="000000" w:fill="F2F2F2"/>
            <w:noWrap/>
            <w:vAlign w:val="center"/>
            <w:hideMark/>
          </w:tcPr>
          <w:p w14:paraId="0960898E" w14:textId="77777777" w:rsidR="00FD4ED3" w:rsidRPr="00650EE4" w:rsidRDefault="00FD4ED3" w:rsidP="00FD4ED3">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97" w:type="pct"/>
            <w:tcBorders>
              <w:top w:val="nil"/>
              <w:left w:val="single" w:sz="4" w:space="0" w:color="auto"/>
              <w:bottom w:val="nil"/>
              <w:right w:val="nil"/>
            </w:tcBorders>
            <w:shd w:val="clear" w:color="000000" w:fill="F2F2F2"/>
            <w:noWrap/>
            <w:vAlign w:val="center"/>
            <w:hideMark/>
          </w:tcPr>
          <w:p w14:paraId="5789B6D8"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76.880</w:t>
            </w:r>
          </w:p>
        </w:tc>
        <w:tc>
          <w:tcPr>
            <w:tcW w:w="497" w:type="pct"/>
            <w:tcBorders>
              <w:top w:val="nil"/>
              <w:left w:val="nil"/>
              <w:bottom w:val="nil"/>
              <w:right w:val="nil"/>
            </w:tcBorders>
            <w:shd w:val="clear" w:color="000000" w:fill="F2F2F2"/>
            <w:noWrap/>
            <w:vAlign w:val="center"/>
            <w:hideMark/>
          </w:tcPr>
          <w:p w14:paraId="5938676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21.792</w:t>
            </w:r>
          </w:p>
        </w:tc>
        <w:tc>
          <w:tcPr>
            <w:tcW w:w="497" w:type="pct"/>
            <w:tcBorders>
              <w:top w:val="nil"/>
              <w:left w:val="nil"/>
              <w:bottom w:val="nil"/>
              <w:right w:val="nil"/>
            </w:tcBorders>
            <w:shd w:val="clear" w:color="000000" w:fill="F2F2F2"/>
            <w:noWrap/>
            <w:vAlign w:val="center"/>
            <w:hideMark/>
          </w:tcPr>
          <w:p w14:paraId="63E348E2"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1.745</w:t>
            </w:r>
          </w:p>
        </w:tc>
        <w:tc>
          <w:tcPr>
            <w:tcW w:w="497" w:type="pct"/>
            <w:tcBorders>
              <w:top w:val="nil"/>
              <w:left w:val="nil"/>
              <w:bottom w:val="nil"/>
              <w:right w:val="nil"/>
            </w:tcBorders>
            <w:shd w:val="clear" w:color="000000" w:fill="F2F2F2"/>
            <w:noWrap/>
            <w:vAlign w:val="center"/>
            <w:hideMark/>
          </w:tcPr>
          <w:p w14:paraId="216FF2F9"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21.938</w:t>
            </w:r>
          </w:p>
        </w:tc>
        <w:tc>
          <w:tcPr>
            <w:tcW w:w="550" w:type="pct"/>
            <w:tcBorders>
              <w:top w:val="nil"/>
              <w:left w:val="nil"/>
              <w:bottom w:val="nil"/>
              <w:right w:val="nil"/>
            </w:tcBorders>
            <w:shd w:val="clear" w:color="000000" w:fill="F2F2F2"/>
            <w:noWrap/>
            <w:vAlign w:val="center"/>
            <w:hideMark/>
          </w:tcPr>
          <w:p w14:paraId="5EC9115F"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w:t>
            </w:r>
          </w:p>
        </w:tc>
        <w:tc>
          <w:tcPr>
            <w:tcW w:w="500" w:type="pct"/>
            <w:tcBorders>
              <w:top w:val="nil"/>
              <w:left w:val="nil"/>
              <w:bottom w:val="nil"/>
              <w:right w:val="single" w:sz="4" w:space="0" w:color="auto"/>
            </w:tcBorders>
            <w:shd w:val="clear" w:color="000000" w:fill="F2F2F2"/>
            <w:noWrap/>
            <w:vAlign w:val="center"/>
            <w:hideMark/>
          </w:tcPr>
          <w:p w14:paraId="62AC5E5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6.599</w:t>
            </w:r>
          </w:p>
        </w:tc>
        <w:tc>
          <w:tcPr>
            <w:tcW w:w="497" w:type="pct"/>
            <w:tcBorders>
              <w:top w:val="nil"/>
              <w:left w:val="nil"/>
              <w:bottom w:val="nil"/>
              <w:right w:val="nil"/>
            </w:tcBorders>
            <w:shd w:val="clear" w:color="000000" w:fill="F2F2F2"/>
            <w:noWrap/>
            <w:vAlign w:val="center"/>
            <w:hideMark/>
          </w:tcPr>
          <w:p w14:paraId="09AB76D0"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97" w:type="pct"/>
            <w:tcBorders>
              <w:top w:val="nil"/>
              <w:left w:val="single" w:sz="4" w:space="0" w:color="auto"/>
              <w:bottom w:val="nil"/>
              <w:right w:val="single" w:sz="4" w:space="0" w:color="auto"/>
            </w:tcBorders>
            <w:shd w:val="clear" w:color="000000" w:fill="F2F2F2"/>
            <w:noWrap/>
            <w:vAlign w:val="center"/>
            <w:hideMark/>
          </w:tcPr>
          <w:p w14:paraId="11F9C92E"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FD4ED3" w:rsidRPr="00650EE4" w14:paraId="36F43932" w14:textId="77777777" w:rsidTr="00EC68FF">
        <w:tc>
          <w:tcPr>
            <w:tcW w:w="965" w:type="pct"/>
            <w:tcBorders>
              <w:top w:val="nil"/>
              <w:left w:val="single" w:sz="4" w:space="0" w:color="auto"/>
              <w:bottom w:val="nil"/>
              <w:right w:val="nil"/>
            </w:tcBorders>
            <w:shd w:val="clear" w:color="000000" w:fill="FFFFFF"/>
            <w:noWrap/>
            <w:vAlign w:val="center"/>
            <w:hideMark/>
          </w:tcPr>
          <w:p w14:paraId="587F5E0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7" w:type="pct"/>
            <w:tcBorders>
              <w:top w:val="nil"/>
              <w:left w:val="single" w:sz="4" w:space="0" w:color="auto"/>
              <w:bottom w:val="nil"/>
              <w:right w:val="nil"/>
            </w:tcBorders>
            <w:shd w:val="clear" w:color="000000" w:fill="FFFFFF"/>
            <w:noWrap/>
            <w:vAlign w:val="center"/>
            <w:hideMark/>
          </w:tcPr>
          <w:p w14:paraId="29467DA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41.055</w:t>
            </w:r>
          </w:p>
        </w:tc>
        <w:tc>
          <w:tcPr>
            <w:tcW w:w="497" w:type="pct"/>
            <w:tcBorders>
              <w:top w:val="nil"/>
              <w:left w:val="nil"/>
              <w:bottom w:val="nil"/>
              <w:right w:val="nil"/>
            </w:tcBorders>
            <w:shd w:val="clear" w:color="000000" w:fill="FFFFFF"/>
            <w:noWrap/>
            <w:vAlign w:val="center"/>
            <w:hideMark/>
          </w:tcPr>
          <w:p w14:paraId="104EF3A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1.137</w:t>
            </w:r>
          </w:p>
        </w:tc>
        <w:tc>
          <w:tcPr>
            <w:tcW w:w="497" w:type="pct"/>
            <w:tcBorders>
              <w:top w:val="nil"/>
              <w:left w:val="nil"/>
              <w:bottom w:val="nil"/>
              <w:right w:val="nil"/>
            </w:tcBorders>
            <w:shd w:val="clear" w:color="000000" w:fill="FFFFFF"/>
            <w:noWrap/>
            <w:vAlign w:val="center"/>
            <w:hideMark/>
          </w:tcPr>
          <w:p w14:paraId="3FE5A61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484</w:t>
            </w:r>
          </w:p>
        </w:tc>
        <w:tc>
          <w:tcPr>
            <w:tcW w:w="497" w:type="pct"/>
            <w:tcBorders>
              <w:top w:val="nil"/>
              <w:left w:val="nil"/>
              <w:bottom w:val="nil"/>
              <w:right w:val="nil"/>
            </w:tcBorders>
            <w:shd w:val="clear" w:color="000000" w:fill="FFFFFF"/>
            <w:noWrap/>
            <w:vAlign w:val="center"/>
            <w:hideMark/>
          </w:tcPr>
          <w:p w14:paraId="6822373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20.666</w:t>
            </w:r>
          </w:p>
        </w:tc>
        <w:tc>
          <w:tcPr>
            <w:tcW w:w="550" w:type="pct"/>
            <w:tcBorders>
              <w:top w:val="nil"/>
              <w:left w:val="nil"/>
              <w:bottom w:val="nil"/>
              <w:right w:val="nil"/>
            </w:tcBorders>
            <w:shd w:val="clear" w:color="000000" w:fill="FFFFFF"/>
            <w:noWrap/>
            <w:vAlign w:val="center"/>
            <w:hideMark/>
          </w:tcPr>
          <w:p w14:paraId="03AE32C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00" w:type="pct"/>
            <w:tcBorders>
              <w:top w:val="nil"/>
              <w:left w:val="nil"/>
              <w:bottom w:val="nil"/>
              <w:right w:val="single" w:sz="4" w:space="0" w:color="auto"/>
            </w:tcBorders>
            <w:shd w:val="clear" w:color="000000" w:fill="FFFFFF"/>
            <w:noWrap/>
            <w:vAlign w:val="center"/>
            <w:hideMark/>
          </w:tcPr>
          <w:p w14:paraId="4CDE82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6.173</w:t>
            </w:r>
          </w:p>
        </w:tc>
        <w:tc>
          <w:tcPr>
            <w:tcW w:w="497" w:type="pct"/>
            <w:tcBorders>
              <w:top w:val="nil"/>
              <w:left w:val="nil"/>
              <w:bottom w:val="nil"/>
              <w:right w:val="nil"/>
            </w:tcBorders>
            <w:shd w:val="clear" w:color="000000" w:fill="FFFFFF"/>
            <w:noWrap/>
            <w:vAlign w:val="center"/>
            <w:hideMark/>
          </w:tcPr>
          <w:p w14:paraId="0F52F79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97" w:type="pct"/>
            <w:tcBorders>
              <w:top w:val="nil"/>
              <w:left w:val="single" w:sz="4" w:space="0" w:color="auto"/>
              <w:bottom w:val="nil"/>
              <w:right w:val="single" w:sz="4" w:space="0" w:color="auto"/>
            </w:tcBorders>
            <w:shd w:val="clear" w:color="000000" w:fill="FFFFFF"/>
            <w:noWrap/>
            <w:vAlign w:val="center"/>
            <w:hideMark/>
          </w:tcPr>
          <w:p w14:paraId="7CF0A4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0E645439" w14:textId="77777777" w:rsidTr="00EC68FF">
        <w:tc>
          <w:tcPr>
            <w:tcW w:w="965" w:type="pct"/>
            <w:tcBorders>
              <w:top w:val="nil"/>
              <w:left w:val="single" w:sz="4" w:space="0" w:color="auto"/>
              <w:bottom w:val="nil"/>
              <w:right w:val="nil"/>
            </w:tcBorders>
            <w:shd w:val="clear" w:color="000000" w:fill="FFFFFF"/>
            <w:noWrap/>
            <w:vAlign w:val="center"/>
            <w:hideMark/>
          </w:tcPr>
          <w:p w14:paraId="5242FB0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7" w:type="pct"/>
            <w:tcBorders>
              <w:top w:val="nil"/>
              <w:left w:val="single" w:sz="4" w:space="0" w:color="auto"/>
              <w:bottom w:val="nil"/>
              <w:right w:val="nil"/>
            </w:tcBorders>
            <w:shd w:val="clear" w:color="000000" w:fill="FFFFFF"/>
            <w:noWrap/>
            <w:vAlign w:val="center"/>
            <w:hideMark/>
          </w:tcPr>
          <w:p w14:paraId="6EA4D01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35.825</w:t>
            </w:r>
          </w:p>
        </w:tc>
        <w:tc>
          <w:tcPr>
            <w:tcW w:w="497" w:type="pct"/>
            <w:tcBorders>
              <w:top w:val="nil"/>
              <w:left w:val="nil"/>
              <w:bottom w:val="nil"/>
              <w:right w:val="nil"/>
            </w:tcBorders>
            <w:shd w:val="clear" w:color="000000" w:fill="FFFFFF"/>
            <w:noWrap/>
            <w:vAlign w:val="center"/>
            <w:hideMark/>
          </w:tcPr>
          <w:p w14:paraId="43CF39E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20.655</w:t>
            </w:r>
          </w:p>
        </w:tc>
        <w:tc>
          <w:tcPr>
            <w:tcW w:w="497" w:type="pct"/>
            <w:tcBorders>
              <w:top w:val="nil"/>
              <w:left w:val="nil"/>
              <w:bottom w:val="nil"/>
              <w:right w:val="nil"/>
            </w:tcBorders>
            <w:shd w:val="clear" w:color="000000" w:fill="FFFFFF"/>
            <w:noWrap/>
            <w:vAlign w:val="center"/>
            <w:hideMark/>
          </w:tcPr>
          <w:p w14:paraId="7FED140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1.261</w:t>
            </w:r>
          </w:p>
        </w:tc>
        <w:tc>
          <w:tcPr>
            <w:tcW w:w="497" w:type="pct"/>
            <w:tcBorders>
              <w:top w:val="nil"/>
              <w:left w:val="nil"/>
              <w:bottom w:val="nil"/>
              <w:right w:val="nil"/>
            </w:tcBorders>
            <w:shd w:val="clear" w:color="000000" w:fill="FFFFFF"/>
            <w:noWrap/>
            <w:vAlign w:val="center"/>
            <w:hideMark/>
          </w:tcPr>
          <w:p w14:paraId="45264A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1.272</w:t>
            </w:r>
          </w:p>
        </w:tc>
        <w:tc>
          <w:tcPr>
            <w:tcW w:w="550" w:type="pct"/>
            <w:tcBorders>
              <w:top w:val="nil"/>
              <w:left w:val="nil"/>
              <w:bottom w:val="nil"/>
              <w:right w:val="nil"/>
            </w:tcBorders>
            <w:shd w:val="clear" w:color="000000" w:fill="FFFFFF"/>
            <w:noWrap/>
            <w:vAlign w:val="center"/>
            <w:hideMark/>
          </w:tcPr>
          <w:p w14:paraId="69116B4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500" w:type="pct"/>
            <w:tcBorders>
              <w:top w:val="nil"/>
              <w:left w:val="nil"/>
              <w:bottom w:val="nil"/>
              <w:right w:val="single" w:sz="4" w:space="0" w:color="auto"/>
            </w:tcBorders>
            <w:shd w:val="clear" w:color="000000" w:fill="FFFFFF"/>
            <w:noWrap/>
            <w:vAlign w:val="center"/>
            <w:hideMark/>
          </w:tcPr>
          <w:p w14:paraId="5C4D487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426</w:t>
            </w:r>
          </w:p>
        </w:tc>
        <w:tc>
          <w:tcPr>
            <w:tcW w:w="497" w:type="pct"/>
            <w:tcBorders>
              <w:top w:val="nil"/>
              <w:left w:val="nil"/>
              <w:bottom w:val="nil"/>
              <w:right w:val="nil"/>
            </w:tcBorders>
            <w:shd w:val="clear" w:color="000000" w:fill="FFFFFF"/>
            <w:noWrap/>
            <w:vAlign w:val="center"/>
            <w:hideMark/>
          </w:tcPr>
          <w:p w14:paraId="1BE2475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97" w:type="pct"/>
            <w:tcBorders>
              <w:top w:val="nil"/>
              <w:left w:val="single" w:sz="4" w:space="0" w:color="auto"/>
              <w:bottom w:val="nil"/>
              <w:right w:val="single" w:sz="4" w:space="0" w:color="auto"/>
            </w:tcBorders>
            <w:shd w:val="clear" w:color="000000" w:fill="FFFFFF"/>
            <w:noWrap/>
            <w:vAlign w:val="center"/>
            <w:hideMark/>
          </w:tcPr>
          <w:p w14:paraId="52D69D7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D4ED3" w:rsidRPr="00650EE4" w14:paraId="00F25456" w14:textId="77777777" w:rsidTr="00EC68FF">
        <w:tc>
          <w:tcPr>
            <w:tcW w:w="965" w:type="pct"/>
            <w:tcBorders>
              <w:top w:val="single" w:sz="4" w:space="0" w:color="auto"/>
              <w:left w:val="single" w:sz="4" w:space="0" w:color="auto"/>
              <w:bottom w:val="nil"/>
              <w:right w:val="nil"/>
            </w:tcBorders>
            <w:shd w:val="clear" w:color="000000" w:fill="F2F2F2"/>
            <w:noWrap/>
            <w:vAlign w:val="center"/>
            <w:hideMark/>
          </w:tcPr>
          <w:p w14:paraId="39FFCEB2" w14:textId="77777777" w:rsidR="00FD4ED3" w:rsidRPr="00650EE4" w:rsidRDefault="00FD4ED3" w:rsidP="00FD4ED3">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97" w:type="pct"/>
            <w:tcBorders>
              <w:top w:val="single" w:sz="4" w:space="0" w:color="auto"/>
              <w:left w:val="single" w:sz="4" w:space="0" w:color="auto"/>
              <w:bottom w:val="nil"/>
              <w:right w:val="nil"/>
            </w:tcBorders>
            <w:shd w:val="clear" w:color="000000" w:fill="F2F2F2"/>
            <w:noWrap/>
            <w:vAlign w:val="center"/>
            <w:hideMark/>
          </w:tcPr>
          <w:p w14:paraId="25A96127"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41.718</w:t>
            </w:r>
          </w:p>
        </w:tc>
        <w:tc>
          <w:tcPr>
            <w:tcW w:w="497" w:type="pct"/>
            <w:tcBorders>
              <w:top w:val="single" w:sz="4" w:space="0" w:color="auto"/>
              <w:left w:val="nil"/>
              <w:bottom w:val="nil"/>
              <w:right w:val="nil"/>
            </w:tcBorders>
            <w:shd w:val="clear" w:color="000000" w:fill="F2F2F2"/>
            <w:noWrap/>
            <w:vAlign w:val="center"/>
            <w:hideMark/>
          </w:tcPr>
          <w:p w14:paraId="6E00CA8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15.098</w:t>
            </w:r>
          </w:p>
        </w:tc>
        <w:tc>
          <w:tcPr>
            <w:tcW w:w="497" w:type="pct"/>
            <w:tcBorders>
              <w:top w:val="single" w:sz="4" w:space="0" w:color="auto"/>
              <w:left w:val="nil"/>
              <w:bottom w:val="nil"/>
              <w:right w:val="nil"/>
            </w:tcBorders>
            <w:shd w:val="clear" w:color="000000" w:fill="F2F2F2"/>
            <w:noWrap/>
            <w:vAlign w:val="center"/>
            <w:hideMark/>
          </w:tcPr>
          <w:p w14:paraId="2F661062"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1.840</w:t>
            </w:r>
          </w:p>
        </w:tc>
        <w:tc>
          <w:tcPr>
            <w:tcW w:w="497" w:type="pct"/>
            <w:tcBorders>
              <w:top w:val="single" w:sz="4" w:space="0" w:color="auto"/>
              <w:left w:val="nil"/>
              <w:bottom w:val="nil"/>
              <w:right w:val="nil"/>
            </w:tcBorders>
            <w:shd w:val="clear" w:color="000000" w:fill="F2F2F2"/>
            <w:noWrap/>
            <w:vAlign w:val="center"/>
            <w:hideMark/>
          </w:tcPr>
          <w:p w14:paraId="798F3EC3"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790</w:t>
            </w:r>
          </w:p>
        </w:tc>
        <w:tc>
          <w:tcPr>
            <w:tcW w:w="550" w:type="pct"/>
            <w:tcBorders>
              <w:top w:val="single" w:sz="4" w:space="0" w:color="auto"/>
              <w:left w:val="nil"/>
              <w:bottom w:val="nil"/>
              <w:right w:val="nil"/>
            </w:tcBorders>
            <w:shd w:val="clear" w:color="000000" w:fill="F2F2F2"/>
            <w:noWrap/>
            <w:vAlign w:val="center"/>
            <w:hideMark/>
          </w:tcPr>
          <w:p w14:paraId="0767C3C4"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11.200</w:t>
            </w:r>
          </w:p>
        </w:tc>
        <w:tc>
          <w:tcPr>
            <w:tcW w:w="500" w:type="pct"/>
            <w:tcBorders>
              <w:top w:val="single" w:sz="4" w:space="0" w:color="auto"/>
              <w:left w:val="nil"/>
              <w:bottom w:val="nil"/>
              <w:right w:val="single" w:sz="4" w:space="0" w:color="auto"/>
            </w:tcBorders>
            <w:shd w:val="clear" w:color="000000" w:fill="F2F2F2"/>
            <w:noWrap/>
            <w:vAlign w:val="center"/>
            <w:hideMark/>
          </w:tcPr>
          <w:p w14:paraId="32CDF2AC"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2.023</w:t>
            </w:r>
          </w:p>
        </w:tc>
        <w:tc>
          <w:tcPr>
            <w:tcW w:w="497" w:type="pct"/>
            <w:tcBorders>
              <w:top w:val="single" w:sz="4" w:space="0" w:color="auto"/>
              <w:left w:val="nil"/>
              <w:bottom w:val="nil"/>
              <w:right w:val="nil"/>
            </w:tcBorders>
            <w:shd w:val="clear" w:color="000000" w:fill="F2F2F2"/>
            <w:noWrap/>
            <w:vAlign w:val="center"/>
            <w:hideMark/>
          </w:tcPr>
          <w:p w14:paraId="21E37A5E"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97" w:type="pct"/>
            <w:tcBorders>
              <w:top w:val="single" w:sz="4" w:space="0" w:color="auto"/>
              <w:left w:val="single" w:sz="4" w:space="0" w:color="auto"/>
              <w:bottom w:val="nil"/>
              <w:right w:val="single" w:sz="4" w:space="0" w:color="auto"/>
            </w:tcBorders>
            <w:shd w:val="clear" w:color="000000" w:fill="F2F2F2"/>
            <w:noWrap/>
            <w:vAlign w:val="center"/>
            <w:hideMark/>
          </w:tcPr>
          <w:p w14:paraId="2EDA1F5F" w14:textId="77777777" w:rsidR="00FD4ED3" w:rsidRPr="00650EE4" w:rsidRDefault="00FD4ED3" w:rsidP="00FD4ED3">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FD4ED3" w:rsidRPr="00650EE4" w14:paraId="19E8F0DE" w14:textId="77777777" w:rsidTr="00EC68FF">
        <w:tc>
          <w:tcPr>
            <w:tcW w:w="965" w:type="pct"/>
            <w:tcBorders>
              <w:top w:val="nil"/>
              <w:left w:val="single" w:sz="4" w:space="0" w:color="auto"/>
              <w:bottom w:val="nil"/>
              <w:right w:val="nil"/>
            </w:tcBorders>
            <w:shd w:val="clear" w:color="000000" w:fill="FFFFFF"/>
            <w:noWrap/>
            <w:vAlign w:val="center"/>
            <w:hideMark/>
          </w:tcPr>
          <w:p w14:paraId="6B9A0C08"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7" w:type="pct"/>
            <w:tcBorders>
              <w:top w:val="nil"/>
              <w:left w:val="single" w:sz="4" w:space="0" w:color="auto"/>
              <w:bottom w:val="nil"/>
              <w:right w:val="nil"/>
            </w:tcBorders>
            <w:shd w:val="clear" w:color="000000" w:fill="FFFFFF"/>
            <w:noWrap/>
            <w:vAlign w:val="center"/>
            <w:hideMark/>
          </w:tcPr>
          <w:p w14:paraId="0FCC6FD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17.890</w:t>
            </w:r>
          </w:p>
        </w:tc>
        <w:tc>
          <w:tcPr>
            <w:tcW w:w="497" w:type="pct"/>
            <w:tcBorders>
              <w:top w:val="nil"/>
              <w:left w:val="nil"/>
              <w:bottom w:val="nil"/>
              <w:right w:val="nil"/>
            </w:tcBorders>
            <w:shd w:val="clear" w:color="000000" w:fill="FFFFFF"/>
            <w:noWrap/>
            <w:vAlign w:val="center"/>
            <w:hideMark/>
          </w:tcPr>
          <w:p w14:paraId="30EC585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8.618</w:t>
            </w:r>
          </w:p>
        </w:tc>
        <w:tc>
          <w:tcPr>
            <w:tcW w:w="497" w:type="pct"/>
            <w:tcBorders>
              <w:top w:val="nil"/>
              <w:left w:val="nil"/>
              <w:bottom w:val="nil"/>
              <w:right w:val="nil"/>
            </w:tcBorders>
            <w:shd w:val="clear" w:color="000000" w:fill="FFFFFF"/>
            <w:noWrap/>
            <w:vAlign w:val="center"/>
            <w:hideMark/>
          </w:tcPr>
          <w:p w14:paraId="7604C58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497" w:type="pct"/>
            <w:tcBorders>
              <w:top w:val="nil"/>
              <w:left w:val="nil"/>
              <w:bottom w:val="nil"/>
              <w:right w:val="nil"/>
            </w:tcBorders>
            <w:shd w:val="clear" w:color="000000" w:fill="FFFFFF"/>
            <w:noWrap/>
            <w:vAlign w:val="center"/>
            <w:hideMark/>
          </w:tcPr>
          <w:p w14:paraId="301AF5C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550" w:type="pct"/>
            <w:tcBorders>
              <w:top w:val="nil"/>
              <w:left w:val="nil"/>
              <w:bottom w:val="nil"/>
              <w:right w:val="nil"/>
            </w:tcBorders>
            <w:shd w:val="clear" w:color="000000" w:fill="FFFFFF"/>
            <w:noWrap/>
            <w:vAlign w:val="center"/>
            <w:hideMark/>
          </w:tcPr>
          <w:p w14:paraId="1552D6F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6.932</w:t>
            </w:r>
          </w:p>
        </w:tc>
        <w:tc>
          <w:tcPr>
            <w:tcW w:w="500" w:type="pct"/>
            <w:tcBorders>
              <w:top w:val="nil"/>
              <w:left w:val="nil"/>
              <w:bottom w:val="nil"/>
              <w:right w:val="single" w:sz="4" w:space="0" w:color="auto"/>
            </w:tcBorders>
            <w:shd w:val="clear" w:color="000000" w:fill="FFFFFF"/>
            <w:noWrap/>
            <w:vAlign w:val="center"/>
            <w:hideMark/>
          </w:tcPr>
          <w:p w14:paraId="260E74A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1.334</w:t>
            </w:r>
          </w:p>
        </w:tc>
        <w:tc>
          <w:tcPr>
            <w:tcW w:w="497" w:type="pct"/>
            <w:tcBorders>
              <w:top w:val="nil"/>
              <w:left w:val="nil"/>
              <w:bottom w:val="nil"/>
              <w:right w:val="nil"/>
            </w:tcBorders>
            <w:shd w:val="clear" w:color="000000" w:fill="FFFFFF"/>
            <w:noWrap/>
            <w:vAlign w:val="center"/>
            <w:hideMark/>
          </w:tcPr>
          <w:p w14:paraId="139D6B0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97" w:type="pct"/>
            <w:tcBorders>
              <w:top w:val="nil"/>
              <w:left w:val="single" w:sz="4" w:space="0" w:color="auto"/>
              <w:bottom w:val="nil"/>
              <w:right w:val="single" w:sz="4" w:space="0" w:color="auto"/>
            </w:tcBorders>
            <w:shd w:val="clear" w:color="000000" w:fill="FFFFFF"/>
            <w:noWrap/>
            <w:vAlign w:val="center"/>
            <w:hideMark/>
          </w:tcPr>
          <w:p w14:paraId="1920C9C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28B03C1A" w14:textId="77777777" w:rsidTr="00EC68FF">
        <w:tc>
          <w:tcPr>
            <w:tcW w:w="965" w:type="pct"/>
            <w:tcBorders>
              <w:top w:val="nil"/>
              <w:left w:val="single" w:sz="4" w:space="0" w:color="auto"/>
              <w:bottom w:val="nil"/>
              <w:right w:val="nil"/>
            </w:tcBorders>
            <w:shd w:val="clear" w:color="000000" w:fill="FFFFFF"/>
            <w:noWrap/>
            <w:vAlign w:val="center"/>
            <w:hideMark/>
          </w:tcPr>
          <w:p w14:paraId="186D42E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7" w:type="pct"/>
            <w:tcBorders>
              <w:top w:val="nil"/>
              <w:left w:val="single" w:sz="4" w:space="0" w:color="auto"/>
              <w:bottom w:val="nil"/>
              <w:right w:val="nil"/>
            </w:tcBorders>
            <w:shd w:val="clear" w:color="000000" w:fill="FFFFFF"/>
            <w:noWrap/>
            <w:vAlign w:val="center"/>
            <w:hideMark/>
          </w:tcPr>
          <w:p w14:paraId="32AB57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6.786</w:t>
            </w:r>
          </w:p>
        </w:tc>
        <w:tc>
          <w:tcPr>
            <w:tcW w:w="497" w:type="pct"/>
            <w:tcBorders>
              <w:top w:val="nil"/>
              <w:left w:val="nil"/>
              <w:bottom w:val="nil"/>
              <w:right w:val="nil"/>
            </w:tcBorders>
            <w:shd w:val="clear" w:color="000000" w:fill="FFFFFF"/>
            <w:noWrap/>
            <w:vAlign w:val="center"/>
            <w:hideMark/>
          </w:tcPr>
          <w:p w14:paraId="723A58F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1.695</w:t>
            </w:r>
          </w:p>
        </w:tc>
        <w:tc>
          <w:tcPr>
            <w:tcW w:w="497" w:type="pct"/>
            <w:tcBorders>
              <w:top w:val="nil"/>
              <w:left w:val="nil"/>
              <w:bottom w:val="nil"/>
              <w:right w:val="nil"/>
            </w:tcBorders>
            <w:shd w:val="clear" w:color="000000" w:fill="FFFFFF"/>
            <w:noWrap/>
            <w:vAlign w:val="center"/>
            <w:hideMark/>
          </w:tcPr>
          <w:p w14:paraId="4373DC9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752</w:t>
            </w:r>
          </w:p>
        </w:tc>
        <w:tc>
          <w:tcPr>
            <w:tcW w:w="497" w:type="pct"/>
            <w:tcBorders>
              <w:top w:val="nil"/>
              <w:left w:val="nil"/>
              <w:bottom w:val="nil"/>
              <w:right w:val="nil"/>
            </w:tcBorders>
            <w:shd w:val="clear" w:color="000000" w:fill="FFFFFF"/>
            <w:noWrap/>
            <w:vAlign w:val="center"/>
            <w:hideMark/>
          </w:tcPr>
          <w:p w14:paraId="4EE347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79</w:t>
            </w:r>
          </w:p>
        </w:tc>
        <w:tc>
          <w:tcPr>
            <w:tcW w:w="550" w:type="pct"/>
            <w:tcBorders>
              <w:top w:val="nil"/>
              <w:left w:val="nil"/>
              <w:bottom w:val="nil"/>
              <w:right w:val="nil"/>
            </w:tcBorders>
            <w:shd w:val="clear" w:color="000000" w:fill="FFFFFF"/>
            <w:noWrap/>
            <w:vAlign w:val="center"/>
            <w:hideMark/>
          </w:tcPr>
          <w:p w14:paraId="003FC81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707</w:t>
            </w:r>
          </w:p>
        </w:tc>
        <w:tc>
          <w:tcPr>
            <w:tcW w:w="500" w:type="pct"/>
            <w:tcBorders>
              <w:top w:val="nil"/>
              <w:left w:val="nil"/>
              <w:bottom w:val="nil"/>
              <w:right w:val="single" w:sz="4" w:space="0" w:color="auto"/>
            </w:tcBorders>
            <w:shd w:val="clear" w:color="000000" w:fill="FFFFFF"/>
            <w:noWrap/>
            <w:vAlign w:val="center"/>
            <w:hideMark/>
          </w:tcPr>
          <w:p w14:paraId="29EC546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497" w:type="pct"/>
            <w:tcBorders>
              <w:top w:val="nil"/>
              <w:left w:val="nil"/>
              <w:bottom w:val="nil"/>
              <w:right w:val="nil"/>
            </w:tcBorders>
            <w:shd w:val="clear" w:color="000000" w:fill="FFFFFF"/>
            <w:noWrap/>
            <w:vAlign w:val="center"/>
            <w:hideMark/>
          </w:tcPr>
          <w:p w14:paraId="6A6ECDC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97" w:type="pct"/>
            <w:tcBorders>
              <w:top w:val="nil"/>
              <w:left w:val="single" w:sz="4" w:space="0" w:color="auto"/>
              <w:bottom w:val="nil"/>
              <w:right w:val="single" w:sz="4" w:space="0" w:color="auto"/>
            </w:tcBorders>
            <w:shd w:val="clear" w:color="000000" w:fill="FFFFFF"/>
            <w:noWrap/>
            <w:vAlign w:val="center"/>
            <w:hideMark/>
          </w:tcPr>
          <w:p w14:paraId="37D95C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44D81582" w14:textId="77777777" w:rsidTr="00EC68FF">
        <w:tc>
          <w:tcPr>
            <w:tcW w:w="965" w:type="pct"/>
            <w:tcBorders>
              <w:top w:val="nil"/>
              <w:left w:val="single" w:sz="4" w:space="0" w:color="auto"/>
              <w:bottom w:val="nil"/>
              <w:right w:val="nil"/>
            </w:tcBorders>
            <w:shd w:val="clear" w:color="000000" w:fill="FFFFFF"/>
            <w:noWrap/>
            <w:vAlign w:val="center"/>
            <w:hideMark/>
          </w:tcPr>
          <w:p w14:paraId="0BFE6A5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7" w:type="pct"/>
            <w:tcBorders>
              <w:top w:val="nil"/>
              <w:left w:val="single" w:sz="4" w:space="0" w:color="auto"/>
              <w:bottom w:val="nil"/>
              <w:right w:val="nil"/>
            </w:tcBorders>
            <w:shd w:val="clear" w:color="000000" w:fill="FFFFFF"/>
            <w:noWrap/>
            <w:vAlign w:val="center"/>
            <w:hideMark/>
          </w:tcPr>
          <w:p w14:paraId="3A417A1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5.251</w:t>
            </w:r>
          </w:p>
        </w:tc>
        <w:tc>
          <w:tcPr>
            <w:tcW w:w="497" w:type="pct"/>
            <w:tcBorders>
              <w:top w:val="nil"/>
              <w:left w:val="nil"/>
              <w:bottom w:val="nil"/>
              <w:right w:val="nil"/>
            </w:tcBorders>
            <w:shd w:val="clear" w:color="000000" w:fill="FFFFFF"/>
            <w:noWrap/>
            <w:vAlign w:val="center"/>
            <w:hideMark/>
          </w:tcPr>
          <w:p w14:paraId="7CF5CE4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2.817</w:t>
            </w:r>
          </w:p>
        </w:tc>
        <w:tc>
          <w:tcPr>
            <w:tcW w:w="497" w:type="pct"/>
            <w:tcBorders>
              <w:top w:val="nil"/>
              <w:left w:val="nil"/>
              <w:bottom w:val="nil"/>
              <w:right w:val="nil"/>
            </w:tcBorders>
            <w:shd w:val="clear" w:color="000000" w:fill="FFFFFF"/>
            <w:noWrap/>
            <w:vAlign w:val="center"/>
            <w:hideMark/>
          </w:tcPr>
          <w:p w14:paraId="7CF822C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112</w:t>
            </w:r>
          </w:p>
        </w:tc>
        <w:tc>
          <w:tcPr>
            <w:tcW w:w="497" w:type="pct"/>
            <w:tcBorders>
              <w:top w:val="nil"/>
              <w:left w:val="nil"/>
              <w:bottom w:val="nil"/>
              <w:right w:val="nil"/>
            </w:tcBorders>
            <w:shd w:val="clear" w:color="000000" w:fill="FFFFFF"/>
            <w:noWrap/>
            <w:vAlign w:val="center"/>
            <w:hideMark/>
          </w:tcPr>
          <w:p w14:paraId="565C39F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w:t>
            </w:r>
          </w:p>
        </w:tc>
        <w:tc>
          <w:tcPr>
            <w:tcW w:w="550" w:type="pct"/>
            <w:tcBorders>
              <w:top w:val="nil"/>
              <w:left w:val="nil"/>
              <w:bottom w:val="nil"/>
              <w:right w:val="nil"/>
            </w:tcBorders>
            <w:shd w:val="clear" w:color="000000" w:fill="FFFFFF"/>
            <w:noWrap/>
            <w:vAlign w:val="center"/>
            <w:hideMark/>
          </w:tcPr>
          <w:p w14:paraId="2B2784D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00" w:type="pct"/>
            <w:tcBorders>
              <w:top w:val="nil"/>
              <w:left w:val="nil"/>
              <w:bottom w:val="nil"/>
              <w:right w:val="single" w:sz="4" w:space="0" w:color="auto"/>
            </w:tcBorders>
            <w:shd w:val="clear" w:color="000000" w:fill="FFFFFF"/>
            <w:noWrap/>
            <w:vAlign w:val="center"/>
            <w:hideMark/>
          </w:tcPr>
          <w:p w14:paraId="261F8E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497" w:type="pct"/>
            <w:tcBorders>
              <w:top w:val="nil"/>
              <w:left w:val="nil"/>
              <w:bottom w:val="nil"/>
              <w:right w:val="nil"/>
            </w:tcBorders>
            <w:shd w:val="clear" w:color="000000" w:fill="FFFFFF"/>
            <w:noWrap/>
            <w:vAlign w:val="center"/>
            <w:hideMark/>
          </w:tcPr>
          <w:p w14:paraId="23A2551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97" w:type="pct"/>
            <w:tcBorders>
              <w:top w:val="nil"/>
              <w:left w:val="single" w:sz="4" w:space="0" w:color="auto"/>
              <w:bottom w:val="nil"/>
              <w:right w:val="single" w:sz="4" w:space="0" w:color="auto"/>
            </w:tcBorders>
            <w:shd w:val="clear" w:color="000000" w:fill="FFFFFF"/>
            <w:noWrap/>
            <w:vAlign w:val="center"/>
            <w:hideMark/>
          </w:tcPr>
          <w:p w14:paraId="25A84E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FD4ED3" w:rsidRPr="00650EE4" w14:paraId="58A09F8D" w14:textId="77777777" w:rsidTr="00EC68FF">
        <w:tc>
          <w:tcPr>
            <w:tcW w:w="965" w:type="pct"/>
            <w:tcBorders>
              <w:top w:val="nil"/>
              <w:left w:val="single" w:sz="4" w:space="0" w:color="auto"/>
              <w:bottom w:val="nil"/>
              <w:right w:val="nil"/>
            </w:tcBorders>
            <w:shd w:val="clear" w:color="000000" w:fill="FFFFFF"/>
            <w:noWrap/>
            <w:vAlign w:val="center"/>
            <w:hideMark/>
          </w:tcPr>
          <w:p w14:paraId="30BDFEF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7" w:type="pct"/>
            <w:tcBorders>
              <w:top w:val="nil"/>
              <w:left w:val="single" w:sz="4" w:space="0" w:color="auto"/>
              <w:bottom w:val="nil"/>
              <w:right w:val="nil"/>
            </w:tcBorders>
            <w:shd w:val="clear" w:color="000000" w:fill="FFFFFF"/>
            <w:noWrap/>
            <w:vAlign w:val="center"/>
            <w:hideMark/>
          </w:tcPr>
          <w:p w14:paraId="03EBCC7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3.221</w:t>
            </w:r>
          </w:p>
        </w:tc>
        <w:tc>
          <w:tcPr>
            <w:tcW w:w="497" w:type="pct"/>
            <w:tcBorders>
              <w:top w:val="nil"/>
              <w:left w:val="nil"/>
              <w:bottom w:val="nil"/>
              <w:right w:val="nil"/>
            </w:tcBorders>
            <w:shd w:val="clear" w:color="000000" w:fill="FFFFFF"/>
            <w:noWrap/>
            <w:vAlign w:val="center"/>
            <w:hideMark/>
          </w:tcPr>
          <w:p w14:paraId="080F863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833</w:t>
            </w:r>
          </w:p>
        </w:tc>
        <w:tc>
          <w:tcPr>
            <w:tcW w:w="497" w:type="pct"/>
            <w:tcBorders>
              <w:top w:val="nil"/>
              <w:left w:val="nil"/>
              <w:bottom w:val="nil"/>
              <w:right w:val="nil"/>
            </w:tcBorders>
            <w:shd w:val="clear" w:color="000000" w:fill="FFFFFF"/>
            <w:noWrap/>
            <w:vAlign w:val="center"/>
            <w:hideMark/>
          </w:tcPr>
          <w:p w14:paraId="569C9A0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497" w:type="pct"/>
            <w:tcBorders>
              <w:top w:val="nil"/>
              <w:left w:val="nil"/>
              <w:bottom w:val="nil"/>
              <w:right w:val="nil"/>
            </w:tcBorders>
            <w:shd w:val="clear" w:color="000000" w:fill="FFFFFF"/>
            <w:noWrap/>
            <w:vAlign w:val="center"/>
            <w:hideMark/>
          </w:tcPr>
          <w:p w14:paraId="50CF267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550" w:type="pct"/>
            <w:tcBorders>
              <w:top w:val="nil"/>
              <w:left w:val="nil"/>
              <w:bottom w:val="nil"/>
              <w:right w:val="nil"/>
            </w:tcBorders>
            <w:shd w:val="clear" w:color="000000" w:fill="FFFFFF"/>
            <w:noWrap/>
            <w:vAlign w:val="center"/>
            <w:hideMark/>
          </w:tcPr>
          <w:p w14:paraId="3604589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2.716</w:t>
            </w:r>
          </w:p>
        </w:tc>
        <w:tc>
          <w:tcPr>
            <w:tcW w:w="500" w:type="pct"/>
            <w:tcBorders>
              <w:top w:val="nil"/>
              <w:left w:val="nil"/>
              <w:bottom w:val="nil"/>
              <w:right w:val="single" w:sz="4" w:space="0" w:color="auto"/>
            </w:tcBorders>
            <w:shd w:val="clear" w:color="000000" w:fill="FFFFFF"/>
            <w:noWrap/>
            <w:vAlign w:val="center"/>
            <w:hideMark/>
          </w:tcPr>
          <w:p w14:paraId="5FC8324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130</w:t>
            </w:r>
          </w:p>
        </w:tc>
        <w:tc>
          <w:tcPr>
            <w:tcW w:w="497" w:type="pct"/>
            <w:tcBorders>
              <w:top w:val="nil"/>
              <w:left w:val="nil"/>
              <w:bottom w:val="nil"/>
              <w:right w:val="nil"/>
            </w:tcBorders>
            <w:shd w:val="clear" w:color="000000" w:fill="FFFFFF"/>
            <w:noWrap/>
            <w:vAlign w:val="center"/>
            <w:hideMark/>
          </w:tcPr>
          <w:p w14:paraId="1E3DFDA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97" w:type="pct"/>
            <w:tcBorders>
              <w:top w:val="nil"/>
              <w:left w:val="single" w:sz="4" w:space="0" w:color="auto"/>
              <w:bottom w:val="nil"/>
              <w:right w:val="single" w:sz="4" w:space="0" w:color="auto"/>
            </w:tcBorders>
            <w:shd w:val="clear" w:color="000000" w:fill="FFFFFF"/>
            <w:noWrap/>
            <w:vAlign w:val="center"/>
            <w:hideMark/>
          </w:tcPr>
          <w:p w14:paraId="4B38AF0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FD4ED3" w:rsidRPr="00650EE4" w14:paraId="63EB1824" w14:textId="77777777" w:rsidTr="00EC68FF">
        <w:tc>
          <w:tcPr>
            <w:tcW w:w="965" w:type="pct"/>
            <w:tcBorders>
              <w:top w:val="nil"/>
              <w:left w:val="single" w:sz="4" w:space="0" w:color="auto"/>
              <w:bottom w:val="nil"/>
              <w:right w:val="nil"/>
            </w:tcBorders>
            <w:shd w:val="clear" w:color="000000" w:fill="FFFFFF"/>
            <w:noWrap/>
            <w:vAlign w:val="center"/>
            <w:hideMark/>
          </w:tcPr>
          <w:p w14:paraId="2515BA8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7" w:type="pct"/>
            <w:tcBorders>
              <w:top w:val="nil"/>
              <w:left w:val="single" w:sz="4" w:space="0" w:color="auto"/>
              <w:bottom w:val="nil"/>
              <w:right w:val="nil"/>
            </w:tcBorders>
            <w:shd w:val="clear" w:color="000000" w:fill="FFFFFF"/>
            <w:noWrap/>
            <w:vAlign w:val="center"/>
            <w:hideMark/>
          </w:tcPr>
          <w:p w14:paraId="4DA2239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2.439</w:t>
            </w:r>
          </w:p>
        </w:tc>
        <w:tc>
          <w:tcPr>
            <w:tcW w:w="497" w:type="pct"/>
            <w:tcBorders>
              <w:top w:val="nil"/>
              <w:left w:val="nil"/>
              <w:bottom w:val="nil"/>
              <w:right w:val="nil"/>
            </w:tcBorders>
            <w:shd w:val="clear" w:color="000000" w:fill="FFFFFF"/>
            <w:noWrap/>
            <w:vAlign w:val="center"/>
            <w:hideMark/>
          </w:tcPr>
          <w:p w14:paraId="603B269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431</w:t>
            </w:r>
          </w:p>
        </w:tc>
        <w:tc>
          <w:tcPr>
            <w:tcW w:w="497" w:type="pct"/>
            <w:tcBorders>
              <w:top w:val="nil"/>
              <w:left w:val="nil"/>
              <w:bottom w:val="nil"/>
              <w:right w:val="nil"/>
            </w:tcBorders>
            <w:shd w:val="clear" w:color="000000" w:fill="FFFFFF"/>
            <w:noWrap/>
            <w:vAlign w:val="center"/>
            <w:hideMark/>
          </w:tcPr>
          <w:p w14:paraId="5843B86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7" w:type="pct"/>
            <w:tcBorders>
              <w:top w:val="nil"/>
              <w:left w:val="nil"/>
              <w:bottom w:val="nil"/>
              <w:right w:val="nil"/>
            </w:tcBorders>
            <w:shd w:val="clear" w:color="000000" w:fill="FFFFFF"/>
            <w:noWrap/>
            <w:vAlign w:val="center"/>
            <w:hideMark/>
          </w:tcPr>
          <w:p w14:paraId="39055F6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550" w:type="pct"/>
            <w:tcBorders>
              <w:top w:val="nil"/>
              <w:left w:val="nil"/>
              <w:bottom w:val="nil"/>
              <w:right w:val="nil"/>
            </w:tcBorders>
            <w:shd w:val="clear" w:color="000000" w:fill="FFFFFF"/>
            <w:noWrap/>
            <w:vAlign w:val="center"/>
            <w:hideMark/>
          </w:tcPr>
          <w:p w14:paraId="1E2A613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0" w:type="pct"/>
            <w:tcBorders>
              <w:top w:val="nil"/>
              <w:left w:val="nil"/>
              <w:bottom w:val="nil"/>
              <w:right w:val="single" w:sz="4" w:space="0" w:color="auto"/>
            </w:tcBorders>
            <w:shd w:val="clear" w:color="000000" w:fill="FFFFFF"/>
            <w:noWrap/>
            <w:vAlign w:val="center"/>
            <w:hideMark/>
          </w:tcPr>
          <w:p w14:paraId="5AE0508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497" w:type="pct"/>
            <w:tcBorders>
              <w:top w:val="nil"/>
              <w:left w:val="nil"/>
              <w:bottom w:val="nil"/>
              <w:right w:val="nil"/>
            </w:tcBorders>
            <w:shd w:val="clear" w:color="000000" w:fill="FFFFFF"/>
            <w:noWrap/>
            <w:vAlign w:val="center"/>
            <w:hideMark/>
          </w:tcPr>
          <w:p w14:paraId="6A7EF55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97" w:type="pct"/>
            <w:tcBorders>
              <w:top w:val="nil"/>
              <w:left w:val="single" w:sz="4" w:space="0" w:color="auto"/>
              <w:bottom w:val="nil"/>
              <w:right w:val="single" w:sz="4" w:space="0" w:color="auto"/>
            </w:tcBorders>
            <w:shd w:val="clear" w:color="000000" w:fill="FFFFFF"/>
            <w:noWrap/>
            <w:vAlign w:val="center"/>
            <w:hideMark/>
          </w:tcPr>
          <w:p w14:paraId="23969BF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D4ED3" w:rsidRPr="00650EE4" w14:paraId="634B4407" w14:textId="77777777" w:rsidTr="00EC68FF">
        <w:tc>
          <w:tcPr>
            <w:tcW w:w="965" w:type="pct"/>
            <w:tcBorders>
              <w:top w:val="nil"/>
              <w:left w:val="single" w:sz="4" w:space="0" w:color="auto"/>
              <w:bottom w:val="nil"/>
              <w:right w:val="nil"/>
            </w:tcBorders>
            <w:shd w:val="clear" w:color="000000" w:fill="FFFFFF"/>
            <w:noWrap/>
            <w:vAlign w:val="center"/>
            <w:hideMark/>
          </w:tcPr>
          <w:p w14:paraId="4D0A181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7" w:type="pct"/>
            <w:tcBorders>
              <w:top w:val="nil"/>
              <w:left w:val="single" w:sz="4" w:space="0" w:color="auto"/>
              <w:bottom w:val="nil"/>
              <w:right w:val="nil"/>
            </w:tcBorders>
            <w:shd w:val="clear" w:color="000000" w:fill="FFFFFF"/>
            <w:noWrap/>
            <w:vAlign w:val="center"/>
            <w:hideMark/>
          </w:tcPr>
          <w:p w14:paraId="174BCDC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1.825</w:t>
            </w:r>
          </w:p>
        </w:tc>
        <w:tc>
          <w:tcPr>
            <w:tcW w:w="497" w:type="pct"/>
            <w:tcBorders>
              <w:top w:val="nil"/>
              <w:left w:val="nil"/>
              <w:bottom w:val="nil"/>
              <w:right w:val="nil"/>
            </w:tcBorders>
            <w:shd w:val="clear" w:color="000000" w:fill="FFFFFF"/>
            <w:noWrap/>
            <w:vAlign w:val="center"/>
            <w:hideMark/>
          </w:tcPr>
          <w:p w14:paraId="522127F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497" w:type="pct"/>
            <w:tcBorders>
              <w:top w:val="nil"/>
              <w:left w:val="nil"/>
              <w:bottom w:val="nil"/>
              <w:right w:val="nil"/>
            </w:tcBorders>
            <w:shd w:val="clear" w:color="000000" w:fill="FFFFFF"/>
            <w:noWrap/>
            <w:vAlign w:val="center"/>
            <w:hideMark/>
          </w:tcPr>
          <w:p w14:paraId="5D0670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140</w:t>
            </w:r>
          </w:p>
        </w:tc>
        <w:tc>
          <w:tcPr>
            <w:tcW w:w="497" w:type="pct"/>
            <w:tcBorders>
              <w:top w:val="nil"/>
              <w:left w:val="nil"/>
              <w:bottom w:val="nil"/>
              <w:right w:val="nil"/>
            </w:tcBorders>
            <w:shd w:val="clear" w:color="000000" w:fill="FFFFFF"/>
            <w:noWrap/>
            <w:vAlign w:val="center"/>
            <w:hideMark/>
          </w:tcPr>
          <w:p w14:paraId="5B04220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144</w:t>
            </w:r>
          </w:p>
        </w:tc>
        <w:tc>
          <w:tcPr>
            <w:tcW w:w="550" w:type="pct"/>
            <w:tcBorders>
              <w:top w:val="nil"/>
              <w:left w:val="nil"/>
              <w:bottom w:val="nil"/>
              <w:right w:val="nil"/>
            </w:tcBorders>
            <w:shd w:val="clear" w:color="000000" w:fill="FFFFFF"/>
            <w:noWrap/>
            <w:vAlign w:val="center"/>
            <w:hideMark/>
          </w:tcPr>
          <w:p w14:paraId="4899E81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500" w:type="pct"/>
            <w:tcBorders>
              <w:top w:val="nil"/>
              <w:left w:val="nil"/>
              <w:bottom w:val="nil"/>
              <w:right w:val="single" w:sz="4" w:space="0" w:color="auto"/>
            </w:tcBorders>
            <w:shd w:val="clear" w:color="000000" w:fill="FFFFFF"/>
            <w:noWrap/>
            <w:vAlign w:val="center"/>
            <w:hideMark/>
          </w:tcPr>
          <w:p w14:paraId="536A999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228</w:t>
            </w:r>
          </w:p>
        </w:tc>
        <w:tc>
          <w:tcPr>
            <w:tcW w:w="497" w:type="pct"/>
            <w:tcBorders>
              <w:top w:val="nil"/>
              <w:left w:val="nil"/>
              <w:bottom w:val="nil"/>
              <w:right w:val="nil"/>
            </w:tcBorders>
            <w:shd w:val="clear" w:color="000000" w:fill="FFFFFF"/>
            <w:noWrap/>
            <w:vAlign w:val="center"/>
            <w:hideMark/>
          </w:tcPr>
          <w:p w14:paraId="3B94309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97" w:type="pct"/>
            <w:tcBorders>
              <w:top w:val="nil"/>
              <w:left w:val="single" w:sz="4" w:space="0" w:color="auto"/>
              <w:bottom w:val="nil"/>
              <w:right w:val="single" w:sz="4" w:space="0" w:color="auto"/>
            </w:tcBorders>
            <w:shd w:val="clear" w:color="000000" w:fill="FFFFFF"/>
            <w:noWrap/>
            <w:vAlign w:val="center"/>
            <w:hideMark/>
          </w:tcPr>
          <w:p w14:paraId="3F19FEA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D4ED3" w:rsidRPr="00650EE4" w14:paraId="68C74C5B" w14:textId="77777777" w:rsidTr="00EC68FF">
        <w:tc>
          <w:tcPr>
            <w:tcW w:w="965" w:type="pct"/>
            <w:tcBorders>
              <w:top w:val="nil"/>
              <w:left w:val="single" w:sz="4" w:space="0" w:color="auto"/>
              <w:bottom w:val="nil"/>
              <w:right w:val="nil"/>
            </w:tcBorders>
            <w:shd w:val="clear" w:color="000000" w:fill="FFFFFF"/>
            <w:noWrap/>
            <w:vAlign w:val="center"/>
            <w:hideMark/>
          </w:tcPr>
          <w:p w14:paraId="597DA7F1"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7" w:type="pct"/>
            <w:tcBorders>
              <w:top w:val="nil"/>
              <w:left w:val="single" w:sz="4" w:space="0" w:color="auto"/>
              <w:bottom w:val="nil"/>
              <w:right w:val="nil"/>
            </w:tcBorders>
            <w:shd w:val="clear" w:color="000000" w:fill="FFFFFF"/>
            <w:noWrap/>
            <w:vAlign w:val="center"/>
            <w:hideMark/>
          </w:tcPr>
          <w:p w14:paraId="44A0BBD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1.795</w:t>
            </w:r>
          </w:p>
        </w:tc>
        <w:tc>
          <w:tcPr>
            <w:tcW w:w="497" w:type="pct"/>
            <w:tcBorders>
              <w:top w:val="nil"/>
              <w:left w:val="nil"/>
              <w:bottom w:val="nil"/>
              <w:right w:val="nil"/>
            </w:tcBorders>
            <w:shd w:val="clear" w:color="000000" w:fill="FFFFFF"/>
            <w:noWrap/>
            <w:vAlign w:val="center"/>
            <w:hideMark/>
          </w:tcPr>
          <w:p w14:paraId="6553FC0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255</w:t>
            </w:r>
          </w:p>
        </w:tc>
        <w:tc>
          <w:tcPr>
            <w:tcW w:w="497" w:type="pct"/>
            <w:tcBorders>
              <w:top w:val="nil"/>
              <w:left w:val="nil"/>
              <w:bottom w:val="nil"/>
              <w:right w:val="nil"/>
            </w:tcBorders>
            <w:shd w:val="clear" w:color="000000" w:fill="FFFFFF"/>
            <w:noWrap/>
            <w:vAlign w:val="center"/>
            <w:hideMark/>
          </w:tcPr>
          <w:p w14:paraId="61F8843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497" w:type="pct"/>
            <w:tcBorders>
              <w:top w:val="nil"/>
              <w:left w:val="nil"/>
              <w:bottom w:val="nil"/>
              <w:right w:val="nil"/>
            </w:tcBorders>
            <w:shd w:val="clear" w:color="000000" w:fill="FFFFFF"/>
            <w:noWrap/>
            <w:vAlign w:val="center"/>
            <w:hideMark/>
          </w:tcPr>
          <w:p w14:paraId="15F50C7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50" w:type="pct"/>
            <w:tcBorders>
              <w:top w:val="nil"/>
              <w:left w:val="nil"/>
              <w:bottom w:val="nil"/>
              <w:right w:val="nil"/>
            </w:tcBorders>
            <w:shd w:val="clear" w:color="000000" w:fill="FFFFFF"/>
            <w:noWrap/>
            <w:vAlign w:val="center"/>
            <w:hideMark/>
          </w:tcPr>
          <w:p w14:paraId="74ED27C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00" w:type="pct"/>
            <w:tcBorders>
              <w:top w:val="nil"/>
              <w:left w:val="nil"/>
              <w:bottom w:val="nil"/>
              <w:right w:val="single" w:sz="4" w:space="0" w:color="auto"/>
            </w:tcBorders>
            <w:shd w:val="clear" w:color="000000" w:fill="FFFFFF"/>
            <w:noWrap/>
            <w:vAlign w:val="center"/>
            <w:hideMark/>
          </w:tcPr>
          <w:p w14:paraId="491C97C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497" w:type="pct"/>
            <w:tcBorders>
              <w:top w:val="nil"/>
              <w:left w:val="nil"/>
              <w:bottom w:val="nil"/>
              <w:right w:val="nil"/>
            </w:tcBorders>
            <w:shd w:val="clear" w:color="000000" w:fill="FFFFFF"/>
            <w:noWrap/>
            <w:vAlign w:val="center"/>
            <w:hideMark/>
          </w:tcPr>
          <w:p w14:paraId="68F758AD"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97" w:type="pct"/>
            <w:tcBorders>
              <w:top w:val="nil"/>
              <w:left w:val="single" w:sz="4" w:space="0" w:color="auto"/>
              <w:bottom w:val="nil"/>
              <w:right w:val="single" w:sz="4" w:space="0" w:color="auto"/>
            </w:tcBorders>
            <w:shd w:val="clear" w:color="000000" w:fill="FFFFFF"/>
            <w:noWrap/>
            <w:vAlign w:val="center"/>
            <w:hideMark/>
          </w:tcPr>
          <w:p w14:paraId="7411C53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29ED9E8E" w14:textId="77777777" w:rsidTr="00EC68FF">
        <w:tc>
          <w:tcPr>
            <w:tcW w:w="965" w:type="pct"/>
            <w:tcBorders>
              <w:top w:val="nil"/>
              <w:left w:val="single" w:sz="4" w:space="0" w:color="auto"/>
              <w:bottom w:val="nil"/>
              <w:right w:val="nil"/>
            </w:tcBorders>
            <w:shd w:val="clear" w:color="000000" w:fill="FFFFFF"/>
            <w:noWrap/>
            <w:vAlign w:val="center"/>
            <w:hideMark/>
          </w:tcPr>
          <w:p w14:paraId="40C931A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7" w:type="pct"/>
            <w:tcBorders>
              <w:top w:val="nil"/>
              <w:left w:val="single" w:sz="4" w:space="0" w:color="auto"/>
              <w:bottom w:val="nil"/>
              <w:right w:val="nil"/>
            </w:tcBorders>
            <w:shd w:val="clear" w:color="000000" w:fill="FFFFFF"/>
            <w:noWrap/>
            <w:vAlign w:val="center"/>
            <w:hideMark/>
          </w:tcPr>
          <w:p w14:paraId="0181968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1.493</w:t>
            </w:r>
          </w:p>
        </w:tc>
        <w:tc>
          <w:tcPr>
            <w:tcW w:w="497" w:type="pct"/>
            <w:tcBorders>
              <w:top w:val="nil"/>
              <w:left w:val="nil"/>
              <w:bottom w:val="nil"/>
              <w:right w:val="nil"/>
            </w:tcBorders>
            <w:shd w:val="clear" w:color="000000" w:fill="FFFFFF"/>
            <w:noWrap/>
            <w:vAlign w:val="center"/>
            <w:hideMark/>
          </w:tcPr>
          <w:p w14:paraId="6379676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215</w:t>
            </w:r>
          </w:p>
        </w:tc>
        <w:tc>
          <w:tcPr>
            <w:tcW w:w="497" w:type="pct"/>
            <w:tcBorders>
              <w:top w:val="nil"/>
              <w:left w:val="nil"/>
              <w:bottom w:val="nil"/>
              <w:right w:val="nil"/>
            </w:tcBorders>
            <w:shd w:val="clear" w:color="000000" w:fill="FFFFFF"/>
            <w:noWrap/>
            <w:vAlign w:val="center"/>
            <w:hideMark/>
          </w:tcPr>
          <w:p w14:paraId="437FCB0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497" w:type="pct"/>
            <w:tcBorders>
              <w:top w:val="nil"/>
              <w:left w:val="nil"/>
              <w:bottom w:val="nil"/>
              <w:right w:val="nil"/>
            </w:tcBorders>
            <w:shd w:val="clear" w:color="000000" w:fill="FFFFFF"/>
            <w:noWrap/>
            <w:vAlign w:val="center"/>
            <w:hideMark/>
          </w:tcPr>
          <w:p w14:paraId="189BD7B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50" w:type="pct"/>
            <w:tcBorders>
              <w:top w:val="nil"/>
              <w:left w:val="nil"/>
              <w:bottom w:val="nil"/>
              <w:right w:val="nil"/>
            </w:tcBorders>
            <w:shd w:val="clear" w:color="000000" w:fill="FFFFFF"/>
            <w:noWrap/>
            <w:vAlign w:val="center"/>
            <w:hideMark/>
          </w:tcPr>
          <w:p w14:paraId="2DAEF54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302</w:t>
            </w:r>
          </w:p>
        </w:tc>
        <w:tc>
          <w:tcPr>
            <w:tcW w:w="500" w:type="pct"/>
            <w:tcBorders>
              <w:top w:val="nil"/>
              <w:left w:val="nil"/>
              <w:bottom w:val="nil"/>
              <w:right w:val="single" w:sz="4" w:space="0" w:color="auto"/>
            </w:tcBorders>
            <w:shd w:val="clear" w:color="000000" w:fill="FFFFFF"/>
            <w:noWrap/>
            <w:vAlign w:val="center"/>
            <w:hideMark/>
          </w:tcPr>
          <w:p w14:paraId="2C0452F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497" w:type="pct"/>
            <w:tcBorders>
              <w:top w:val="nil"/>
              <w:left w:val="nil"/>
              <w:bottom w:val="nil"/>
              <w:right w:val="nil"/>
            </w:tcBorders>
            <w:shd w:val="clear" w:color="000000" w:fill="FFFFFF"/>
            <w:noWrap/>
            <w:vAlign w:val="center"/>
            <w:hideMark/>
          </w:tcPr>
          <w:p w14:paraId="3CEF09EC"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97" w:type="pct"/>
            <w:tcBorders>
              <w:top w:val="nil"/>
              <w:left w:val="single" w:sz="4" w:space="0" w:color="auto"/>
              <w:bottom w:val="nil"/>
              <w:right w:val="single" w:sz="4" w:space="0" w:color="auto"/>
            </w:tcBorders>
            <w:shd w:val="clear" w:color="000000" w:fill="FFFFFF"/>
            <w:noWrap/>
            <w:vAlign w:val="center"/>
            <w:hideMark/>
          </w:tcPr>
          <w:p w14:paraId="395C6DD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D4ED3" w:rsidRPr="00650EE4" w14:paraId="1903BA19" w14:textId="77777777" w:rsidTr="00EC68FF">
        <w:tc>
          <w:tcPr>
            <w:tcW w:w="965" w:type="pct"/>
            <w:tcBorders>
              <w:top w:val="nil"/>
              <w:left w:val="single" w:sz="4" w:space="0" w:color="auto"/>
              <w:bottom w:val="nil"/>
              <w:right w:val="nil"/>
            </w:tcBorders>
            <w:shd w:val="clear" w:color="000000" w:fill="FFFFFF"/>
            <w:noWrap/>
            <w:vAlign w:val="center"/>
            <w:hideMark/>
          </w:tcPr>
          <w:p w14:paraId="1BE866D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7" w:type="pct"/>
            <w:tcBorders>
              <w:top w:val="nil"/>
              <w:left w:val="single" w:sz="4" w:space="0" w:color="auto"/>
              <w:bottom w:val="single" w:sz="4" w:space="0" w:color="auto"/>
              <w:right w:val="nil"/>
            </w:tcBorders>
            <w:shd w:val="clear" w:color="000000" w:fill="FFFFFF"/>
            <w:noWrap/>
            <w:vAlign w:val="center"/>
            <w:hideMark/>
          </w:tcPr>
          <w:p w14:paraId="3DBDCA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1.018</w:t>
            </w:r>
          </w:p>
        </w:tc>
        <w:tc>
          <w:tcPr>
            <w:tcW w:w="497" w:type="pct"/>
            <w:tcBorders>
              <w:top w:val="nil"/>
              <w:left w:val="nil"/>
              <w:bottom w:val="single" w:sz="4" w:space="0" w:color="auto"/>
              <w:right w:val="nil"/>
            </w:tcBorders>
            <w:shd w:val="clear" w:color="000000" w:fill="FFFFFF"/>
            <w:noWrap/>
            <w:vAlign w:val="center"/>
            <w:hideMark/>
          </w:tcPr>
          <w:p w14:paraId="350F6C0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136</w:t>
            </w:r>
          </w:p>
        </w:tc>
        <w:tc>
          <w:tcPr>
            <w:tcW w:w="497" w:type="pct"/>
            <w:tcBorders>
              <w:top w:val="nil"/>
              <w:left w:val="nil"/>
              <w:bottom w:val="single" w:sz="4" w:space="0" w:color="auto"/>
              <w:right w:val="nil"/>
            </w:tcBorders>
            <w:shd w:val="clear" w:color="000000" w:fill="FFFFFF"/>
            <w:noWrap/>
            <w:vAlign w:val="center"/>
            <w:hideMark/>
          </w:tcPr>
          <w:p w14:paraId="2BAFC0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497" w:type="pct"/>
            <w:tcBorders>
              <w:top w:val="nil"/>
              <w:left w:val="nil"/>
              <w:bottom w:val="single" w:sz="4" w:space="0" w:color="auto"/>
              <w:right w:val="nil"/>
            </w:tcBorders>
            <w:shd w:val="clear" w:color="000000" w:fill="FFFFFF"/>
            <w:noWrap/>
            <w:vAlign w:val="center"/>
            <w:hideMark/>
          </w:tcPr>
          <w:p w14:paraId="1079C42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50" w:type="pct"/>
            <w:tcBorders>
              <w:top w:val="nil"/>
              <w:left w:val="nil"/>
              <w:bottom w:val="single" w:sz="4" w:space="0" w:color="auto"/>
              <w:right w:val="nil"/>
            </w:tcBorders>
            <w:shd w:val="clear" w:color="000000" w:fill="FFFFFF"/>
            <w:noWrap/>
            <w:vAlign w:val="center"/>
            <w:hideMark/>
          </w:tcPr>
          <w:p w14:paraId="2A67B09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00" w:type="pct"/>
            <w:tcBorders>
              <w:top w:val="nil"/>
              <w:left w:val="nil"/>
              <w:bottom w:val="single" w:sz="4" w:space="0" w:color="auto"/>
              <w:right w:val="single" w:sz="4" w:space="0" w:color="auto"/>
            </w:tcBorders>
            <w:shd w:val="clear" w:color="000000" w:fill="FFFFFF"/>
            <w:noWrap/>
            <w:vAlign w:val="center"/>
            <w:hideMark/>
          </w:tcPr>
          <w:p w14:paraId="66EF4EB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497" w:type="pct"/>
            <w:tcBorders>
              <w:top w:val="nil"/>
              <w:left w:val="nil"/>
              <w:bottom w:val="single" w:sz="4" w:space="0" w:color="auto"/>
              <w:right w:val="nil"/>
            </w:tcBorders>
            <w:shd w:val="clear" w:color="000000" w:fill="FFFFFF"/>
            <w:noWrap/>
            <w:vAlign w:val="center"/>
            <w:hideMark/>
          </w:tcPr>
          <w:p w14:paraId="05AB16CD"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97" w:type="pct"/>
            <w:tcBorders>
              <w:top w:val="nil"/>
              <w:left w:val="single" w:sz="4" w:space="0" w:color="auto"/>
              <w:bottom w:val="single" w:sz="4" w:space="0" w:color="auto"/>
              <w:right w:val="single" w:sz="4" w:space="0" w:color="auto"/>
            </w:tcBorders>
            <w:shd w:val="clear" w:color="000000" w:fill="FFFFFF"/>
            <w:noWrap/>
            <w:vAlign w:val="center"/>
            <w:hideMark/>
          </w:tcPr>
          <w:p w14:paraId="0F966DE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D4ED3" w:rsidRPr="00650EE4" w14:paraId="241C74AE" w14:textId="77777777" w:rsidTr="00EC68FF">
        <w:tc>
          <w:tcPr>
            <w:tcW w:w="965" w:type="pct"/>
            <w:tcBorders>
              <w:top w:val="single" w:sz="4" w:space="0" w:color="auto"/>
              <w:left w:val="single" w:sz="4" w:space="0" w:color="auto"/>
              <w:bottom w:val="nil"/>
              <w:right w:val="single" w:sz="4" w:space="0" w:color="auto"/>
            </w:tcBorders>
            <w:shd w:val="clear" w:color="000000" w:fill="FFFFFF"/>
            <w:noWrap/>
            <w:vAlign w:val="center"/>
            <w:hideMark/>
          </w:tcPr>
          <w:p w14:paraId="3F070FDF"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7" w:type="pct"/>
            <w:tcBorders>
              <w:top w:val="nil"/>
              <w:left w:val="nil"/>
              <w:bottom w:val="nil"/>
              <w:right w:val="nil"/>
            </w:tcBorders>
            <w:shd w:val="clear" w:color="000000" w:fill="FFFFFF"/>
            <w:noWrap/>
            <w:vAlign w:val="center"/>
            <w:hideMark/>
          </w:tcPr>
          <w:p w14:paraId="0CF8C01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118.598</w:t>
            </w:r>
          </w:p>
        </w:tc>
        <w:tc>
          <w:tcPr>
            <w:tcW w:w="497" w:type="pct"/>
            <w:tcBorders>
              <w:top w:val="nil"/>
              <w:left w:val="nil"/>
              <w:bottom w:val="nil"/>
              <w:right w:val="nil"/>
            </w:tcBorders>
            <w:shd w:val="clear" w:color="000000" w:fill="FFFFFF"/>
            <w:noWrap/>
            <w:vAlign w:val="center"/>
            <w:hideMark/>
          </w:tcPr>
          <w:p w14:paraId="3DEE29A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36.890</w:t>
            </w:r>
          </w:p>
        </w:tc>
        <w:tc>
          <w:tcPr>
            <w:tcW w:w="497" w:type="pct"/>
            <w:tcBorders>
              <w:top w:val="nil"/>
              <w:left w:val="nil"/>
              <w:bottom w:val="nil"/>
              <w:right w:val="nil"/>
            </w:tcBorders>
            <w:shd w:val="clear" w:color="000000" w:fill="FFFFFF"/>
            <w:noWrap/>
            <w:vAlign w:val="center"/>
            <w:hideMark/>
          </w:tcPr>
          <w:p w14:paraId="74C0590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3.586</w:t>
            </w:r>
          </w:p>
        </w:tc>
        <w:tc>
          <w:tcPr>
            <w:tcW w:w="497" w:type="pct"/>
            <w:tcBorders>
              <w:top w:val="nil"/>
              <w:left w:val="nil"/>
              <w:bottom w:val="nil"/>
              <w:right w:val="nil"/>
            </w:tcBorders>
            <w:shd w:val="clear" w:color="000000" w:fill="FFFFFF"/>
            <w:noWrap/>
            <w:vAlign w:val="center"/>
            <w:hideMark/>
          </w:tcPr>
          <w:p w14:paraId="1223992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22.728</w:t>
            </w:r>
          </w:p>
        </w:tc>
        <w:tc>
          <w:tcPr>
            <w:tcW w:w="550" w:type="pct"/>
            <w:tcBorders>
              <w:top w:val="nil"/>
              <w:left w:val="nil"/>
              <w:bottom w:val="nil"/>
              <w:right w:val="nil"/>
            </w:tcBorders>
            <w:shd w:val="clear" w:color="000000" w:fill="FFFFFF"/>
            <w:noWrap/>
            <w:vAlign w:val="center"/>
            <w:hideMark/>
          </w:tcPr>
          <w:p w14:paraId="7AB7A86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11.250</w:t>
            </w:r>
          </w:p>
        </w:tc>
        <w:tc>
          <w:tcPr>
            <w:tcW w:w="500" w:type="pct"/>
            <w:tcBorders>
              <w:top w:val="nil"/>
              <w:left w:val="nil"/>
              <w:bottom w:val="nil"/>
              <w:right w:val="single" w:sz="4" w:space="0" w:color="auto"/>
            </w:tcBorders>
            <w:shd w:val="clear" w:color="000000" w:fill="FFFFFF"/>
            <w:noWrap/>
            <w:vAlign w:val="center"/>
            <w:hideMark/>
          </w:tcPr>
          <w:p w14:paraId="72C4C146"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8.622</w:t>
            </w:r>
          </w:p>
        </w:tc>
        <w:tc>
          <w:tcPr>
            <w:tcW w:w="497" w:type="pct"/>
            <w:tcBorders>
              <w:top w:val="nil"/>
              <w:left w:val="nil"/>
              <w:bottom w:val="nil"/>
              <w:right w:val="nil"/>
            </w:tcBorders>
            <w:shd w:val="clear" w:color="000000" w:fill="FFFFFF"/>
            <w:noWrap/>
            <w:vAlign w:val="center"/>
            <w:hideMark/>
          </w:tcPr>
          <w:p w14:paraId="01378176"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97" w:type="pct"/>
            <w:tcBorders>
              <w:top w:val="nil"/>
              <w:left w:val="single" w:sz="4" w:space="0" w:color="auto"/>
              <w:bottom w:val="nil"/>
              <w:right w:val="single" w:sz="4" w:space="0" w:color="auto"/>
            </w:tcBorders>
            <w:shd w:val="clear" w:color="000000" w:fill="FFFFFF"/>
            <w:noWrap/>
            <w:vAlign w:val="center"/>
            <w:hideMark/>
          </w:tcPr>
          <w:p w14:paraId="496E36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40728164" w14:textId="77777777" w:rsidTr="00EC68FF">
        <w:tc>
          <w:tcPr>
            <w:tcW w:w="9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B501FD"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7" w:type="pct"/>
            <w:tcBorders>
              <w:top w:val="single" w:sz="4" w:space="0" w:color="auto"/>
              <w:left w:val="nil"/>
              <w:bottom w:val="single" w:sz="4" w:space="0" w:color="auto"/>
              <w:right w:val="nil"/>
            </w:tcBorders>
            <w:shd w:val="clear" w:color="000000" w:fill="FFFFFF"/>
            <w:noWrap/>
            <w:vAlign w:val="center"/>
            <w:hideMark/>
          </w:tcPr>
          <w:p w14:paraId="251A2B6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w:t>
            </w:r>
          </w:p>
        </w:tc>
        <w:tc>
          <w:tcPr>
            <w:tcW w:w="497" w:type="pct"/>
            <w:tcBorders>
              <w:top w:val="single" w:sz="4" w:space="0" w:color="auto"/>
              <w:left w:val="nil"/>
              <w:bottom w:val="single" w:sz="4" w:space="0" w:color="auto"/>
              <w:right w:val="nil"/>
            </w:tcBorders>
            <w:shd w:val="clear" w:color="000000" w:fill="FFFFFF"/>
            <w:noWrap/>
            <w:vAlign w:val="center"/>
            <w:hideMark/>
          </w:tcPr>
          <w:p w14:paraId="77FF65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97" w:type="pct"/>
            <w:tcBorders>
              <w:top w:val="single" w:sz="4" w:space="0" w:color="auto"/>
              <w:left w:val="nil"/>
              <w:bottom w:val="single" w:sz="4" w:space="0" w:color="auto"/>
              <w:right w:val="nil"/>
            </w:tcBorders>
            <w:shd w:val="clear" w:color="000000" w:fill="FFFFFF"/>
            <w:noWrap/>
            <w:vAlign w:val="center"/>
            <w:hideMark/>
          </w:tcPr>
          <w:p w14:paraId="1BD79FF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7" w:type="pct"/>
            <w:tcBorders>
              <w:top w:val="single" w:sz="4" w:space="0" w:color="auto"/>
              <w:left w:val="nil"/>
              <w:bottom w:val="single" w:sz="4" w:space="0" w:color="auto"/>
              <w:right w:val="nil"/>
            </w:tcBorders>
            <w:shd w:val="clear" w:color="000000" w:fill="FFFFFF"/>
            <w:noWrap/>
            <w:vAlign w:val="center"/>
            <w:hideMark/>
          </w:tcPr>
          <w:p w14:paraId="3A20C6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50" w:type="pct"/>
            <w:tcBorders>
              <w:top w:val="single" w:sz="4" w:space="0" w:color="auto"/>
              <w:left w:val="nil"/>
              <w:bottom w:val="single" w:sz="4" w:space="0" w:color="auto"/>
              <w:right w:val="nil"/>
            </w:tcBorders>
            <w:shd w:val="clear" w:color="000000" w:fill="FFFFFF"/>
            <w:noWrap/>
            <w:vAlign w:val="center"/>
            <w:hideMark/>
          </w:tcPr>
          <w:p w14:paraId="165A12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0" w:type="pct"/>
            <w:tcBorders>
              <w:top w:val="single" w:sz="4" w:space="0" w:color="auto"/>
              <w:left w:val="nil"/>
              <w:bottom w:val="single" w:sz="4" w:space="0" w:color="auto"/>
              <w:right w:val="single" w:sz="4" w:space="0" w:color="auto"/>
            </w:tcBorders>
            <w:shd w:val="clear" w:color="000000" w:fill="FFFFFF"/>
            <w:noWrap/>
            <w:vAlign w:val="center"/>
            <w:hideMark/>
          </w:tcPr>
          <w:p w14:paraId="18733AD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7" w:type="pct"/>
            <w:tcBorders>
              <w:top w:val="single" w:sz="4" w:space="0" w:color="auto"/>
              <w:left w:val="nil"/>
              <w:bottom w:val="single" w:sz="4" w:space="0" w:color="auto"/>
              <w:right w:val="nil"/>
            </w:tcBorders>
            <w:shd w:val="clear" w:color="000000" w:fill="FFFFFF"/>
            <w:noWrap/>
            <w:vAlign w:val="center"/>
            <w:hideMark/>
          </w:tcPr>
          <w:p w14:paraId="17A513D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F6C86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42D97BC2" w14:textId="3D58A07E" w:rsidR="00506173" w:rsidRPr="00650EE4" w:rsidRDefault="005F56C6" w:rsidP="00506173">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506173" w:rsidRPr="00650EE4">
        <w:rPr>
          <w:rFonts w:ascii="Times New Roman" w:eastAsia="Times New Roman" w:hAnsi="Times New Roman"/>
          <w:i/>
          <w:color w:val="000000" w:themeColor="text1"/>
          <w:sz w:val="20"/>
          <w:szCs w:val="20"/>
        </w:rPr>
        <w:t>duomenys (2019.12.31)</w:t>
      </w:r>
    </w:p>
    <w:p w14:paraId="428FC650" w14:textId="77777777" w:rsidR="004C3D8E" w:rsidRPr="00650EE4" w:rsidRDefault="004C3D8E" w:rsidP="00BB7C7E">
      <w:pPr>
        <w:spacing w:before="60" w:line="240" w:lineRule="auto"/>
        <w:jc w:val="both"/>
        <w:rPr>
          <w:rFonts w:ascii="Times New Roman" w:eastAsia="Times New Roman" w:hAnsi="Times New Roman"/>
          <w:i/>
          <w:color w:val="000000" w:themeColor="text1"/>
          <w:sz w:val="20"/>
          <w:szCs w:val="28"/>
        </w:rPr>
      </w:pPr>
    </w:p>
    <w:p w14:paraId="3C5D307E" w14:textId="77777777" w:rsidR="00BF69D3" w:rsidRPr="00650EE4" w:rsidRDefault="00BF69D3">
      <w:pPr>
        <w:spacing w:after="240"/>
        <w:rPr>
          <w:rFonts w:ascii="Times New Roman" w:hAnsi="Times New Roman"/>
          <w:color w:val="000000" w:themeColor="text1"/>
          <w:szCs w:val="22"/>
        </w:rPr>
      </w:pPr>
      <w:r w:rsidRPr="00650EE4">
        <w:rPr>
          <w:rFonts w:ascii="Times New Roman" w:hAnsi="Times New Roman"/>
          <w:color w:val="000000" w:themeColor="text1"/>
          <w:szCs w:val="22"/>
        </w:rPr>
        <w:br w:type="page"/>
      </w:r>
    </w:p>
    <w:p w14:paraId="48A4CFC8" w14:textId="77562055" w:rsidR="00014E3D" w:rsidRPr="00650EE4" w:rsidRDefault="007A52B6" w:rsidP="004C3D8E">
      <w:pPr>
        <w:spacing w:before="60" w:line="240" w:lineRule="auto"/>
        <w:jc w:val="both"/>
        <w:rPr>
          <w:rFonts w:ascii="Times New Roman" w:hAnsi="Times New Roman"/>
          <w:color w:val="000000" w:themeColor="text1"/>
          <w:szCs w:val="22"/>
        </w:rPr>
      </w:pPr>
      <w:r>
        <w:rPr>
          <w:rFonts w:ascii="Times New Roman" w:hAnsi="Times New Roman"/>
          <w:color w:val="000000" w:themeColor="text1"/>
          <w:szCs w:val="22"/>
        </w:rPr>
        <w:lastRenderedPageBreak/>
        <w:t>Agreguoti p</w:t>
      </w:r>
      <w:r w:rsidR="00DD1E7E" w:rsidRPr="00650EE4">
        <w:rPr>
          <w:rFonts w:ascii="Times New Roman" w:hAnsi="Times New Roman"/>
          <w:color w:val="000000" w:themeColor="text1"/>
          <w:szCs w:val="22"/>
        </w:rPr>
        <w:t>astatų fondo duomenys pagal sienų medžiagiškumą pateikiami paveiksle žemiau.</w:t>
      </w:r>
    </w:p>
    <w:p w14:paraId="6D670A92" w14:textId="77777777" w:rsidR="00DD1E7E" w:rsidRPr="00650EE4" w:rsidRDefault="00DD1E7E" w:rsidP="004C3D8E">
      <w:pPr>
        <w:spacing w:before="60" w:line="240" w:lineRule="auto"/>
        <w:jc w:val="both"/>
        <w:rPr>
          <w:rFonts w:ascii="Times New Roman" w:eastAsia="Times New Roman" w:hAnsi="Times New Roman"/>
          <w:i/>
          <w:color w:val="000000" w:themeColor="text1"/>
          <w:szCs w:val="22"/>
        </w:rPr>
      </w:pPr>
    </w:p>
    <w:p w14:paraId="092803A5" w14:textId="5FDC0084" w:rsidR="00014E3D"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31" w:name="_Toc59094253"/>
      <w:r w:rsidR="00F25C65">
        <w:t>4</w:t>
      </w:r>
      <w:r w:rsidRPr="00650EE4">
        <w:rPr>
          <w:noProof w:val="0"/>
        </w:rPr>
        <w:fldChar w:fldCharType="end"/>
      </w:r>
      <w:r w:rsidR="00DE1E95" w:rsidRPr="00650EE4">
        <w:rPr>
          <w:noProof w:val="0"/>
        </w:rPr>
        <w:t xml:space="preserve"> paveikslas</w:t>
      </w:r>
      <w:r w:rsidR="00014E3D" w:rsidRPr="00650EE4">
        <w:rPr>
          <w:noProof w:val="0"/>
        </w:rPr>
        <w:t>. Pastatų fondas pagal sienų medžiagiškumą (agreguotas)</w:t>
      </w:r>
      <w:bookmarkEnd w:id="31"/>
    </w:p>
    <w:tbl>
      <w:tblPr>
        <w:tblStyle w:val="TableGrid"/>
        <w:tblW w:w="506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64"/>
      </w:tblGrid>
      <w:tr w:rsidR="006B24F8" w:rsidRPr="00650EE4" w14:paraId="3B94C5E6" w14:textId="77777777" w:rsidTr="00E170B3">
        <w:trPr>
          <w:trHeight w:val="3462"/>
        </w:trPr>
        <w:tc>
          <w:tcPr>
            <w:tcW w:w="5000" w:type="pct"/>
          </w:tcPr>
          <w:p w14:paraId="141D1AAB" w14:textId="722D927F" w:rsidR="006B24F8" w:rsidRPr="00650EE4" w:rsidRDefault="004B71A9" w:rsidP="00E170B3">
            <w:pPr>
              <w:jc w:val="both"/>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4B916B12" wp14:editId="24C56370">
                  <wp:extent cx="3120705" cy="2254885"/>
                  <wp:effectExtent l="0" t="0" r="3810" b="12065"/>
                  <wp:docPr id="87" name="Chart 8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650EE4">
              <w:rPr>
                <w:rFonts w:ascii="Times New Roman" w:hAnsi="Times New Roman"/>
                <w:noProof/>
                <w:lang w:eastAsia="lt-LT"/>
              </w:rPr>
              <w:drawing>
                <wp:inline distT="0" distB="0" distL="0" distR="0" wp14:anchorId="595A0EE4" wp14:editId="6EFA2B4C">
                  <wp:extent cx="3200400" cy="2254885"/>
                  <wp:effectExtent l="0" t="0" r="0" b="12065"/>
                  <wp:docPr id="88" name="Chart 8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8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247CE7BD" w14:textId="77777777" w:rsidR="008E30A3" w:rsidRPr="00650EE4" w:rsidRDefault="008E30A3" w:rsidP="008E30A3">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 registro duomenys (2019.12.31)</w:t>
      </w:r>
    </w:p>
    <w:p w14:paraId="3A4FDA77" w14:textId="77777777" w:rsidR="008E30A3" w:rsidRPr="00650EE4" w:rsidRDefault="008E30A3" w:rsidP="005C6FD7">
      <w:pPr>
        <w:rPr>
          <w:rFonts w:ascii="Times New Roman" w:hAnsi="Times New Roman"/>
          <w:color w:val="000000" w:themeColor="text1"/>
          <w:szCs w:val="22"/>
        </w:rPr>
      </w:pPr>
    </w:p>
    <w:p w14:paraId="6F9955CC" w14:textId="61BA11F5" w:rsidR="006302A5" w:rsidRPr="00650EE4" w:rsidRDefault="0021317A" w:rsidP="005F56C6">
      <w:pPr>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6302A5" w:rsidRPr="00650EE4">
        <w:rPr>
          <w:rFonts w:ascii="Times New Roman" w:hAnsi="Times New Roman"/>
          <w:color w:val="000000" w:themeColor="text1"/>
          <w:szCs w:val="22"/>
        </w:rPr>
        <w:t>aukščiau pate</w:t>
      </w:r>
      <w:r w:rsidR="008E42DB" w:rsidRPr="00650EE4">
        <w:rPr>
          <w:rFonts w:ascii="Times New Roman" w:hAnsi="Times New Roman"/>
          <w:color w:val="000000" w:themeColor="text1"/>
          <w:szCs w:val="22"/>
        </w:rPr>
        <w:t>i</w:t>
      </w:r>
      <w:r w:rsidR="006302A5" w:rsidRPr="00650EE4">
        <w:rPr>
          <w:rFonts w:ascii="Times New Roman" w:hAnsi="Times New Roman"/>
          <w:color w:val="000000" w:themeColor="text1"/>
          <w:szCs w:val="22"/>
        </w:rPr>
        <w:t>ktus duomenis galima pastebėti, kad:</w:t>
      </w:r>
    </w:p>
    <w:p w14:paraId="48DB03AA" w14:textId="7FCC1B45" w:rsidR="006302A5" w:rsidRPr="00650EE4" w:rsidRDefault="00E31E34" w:rsidP="00DD1E7E">
      <w:pPr>
        <w:pStyle w:val="Pagrindinispaprastastekstas"/>
        <w:numPr>
          <w:ilvl w:val="0"/>
          <w:numId w:val="10"/>
        </w:numPr>
        <w:spacing w:after="120"/>
        <w:ind w:left="714" w:hanging="357"/>
        <w:rPr>
          <w:rFonts w:ascii="Times New Roman" w:hAnsi="Times New Roman"/>
          <w:szCs w:val="22"/>
        </w:rPr>
      </w:pPr>
      <w:r w:rsidRPr="00650EE4">
        <w:rPr>
          <w:rFonts w:ascii="Times New Roman" w:hAnsi="Times New Roman"/>
          <w:szCs w:val="22"/>
        </w:rPr>
        <w:t>79 pr</w:t>
      </w:r>
      <w:r w:rsidR="007A52B6">
        <w:rPr>
          <w:rFonts w:ascii="Times New Roman" w:hAnsi="Times New Roman"/>
          <w:szCs w:val="22"/>
        </w:rPr>
        <w:t>oc. viso p</w:t>
      </w:r>
      <w:r w:rsidR="00D62927" w:rsidRPr="00650EE4">
        <w:rPr>
          <w:rFonts w:ascii="Times New Roman" w:hAnsi="Times New Roman"/>
          <w:szCs w:val="22"/>
        </w:rPr>
        <w:t>astatų fondo ploto sudaro</w:t>
      </w:r>
      <w:r w:rsidRPr="00650EE4">
        <w:rPr>
          <w:rFonts w:ascii="Times New Roman" w:hAnsi="Times New Roman"/>
          <w:szCs w:val="22"/>
        </w:rPr>
        <w:t xml:space="preserve"> </w:t>
      </w:r>
      <w:r w:rsidR="00101D6C">
        <w:rPr>
          <w:rFonts w:ascii="Times New Roman" w:hAnsi="Times New Roman"/>
          <w:szCs w:val="22"/>
        </w:rPr>
        <w:t>pastatai, kurių</w:t>
      </w:r>
      <w:r w:rsidRPr="00650EE4">
        <w:rPr>
          <w:rFonts w:ascii="Times New Roman" w:hAnsi="Times New Roman"/>
          <w:szCs w:val="22"/>
        </w:rPr>
        <w:t xml:space="preserve"> laikančiosios sienos yra plytų ir blokelių, gelžbetonio plokščių ir monolitinio betono (monolito betono sienos paveiksle a</w:t>
      </w:r>
      <w:r w:rsidR="00D62927" w:rsidRPr="00650EE4">
        <w:rPr>
          <w:rFonts w:ascii="Times New Roman" w:hAnsi="Times New Roman"/>
          <w:szCs w:val="22"/>
        </w:rPr>
        <w:t>ukščiau priskirta grupei „Kita“)</w:t>
      </w:r>
      <w:r w:rsidR="00DD1E7E" w:rsidRPr="00650EE4">
        <w:rPr>
          <w:rFonts w:ascii="Times New Roman" w:hAnsi="Times New Roman"/>
          <w:szCs w:val="22"/>
        </w:rPr>
        <w:t xml:space="preserve">. </w:t>
      </w:r>
    </w:p>
    <w:p w14:paraId="03FA7FFA" w14:textId="6F117C7D" w:rsidR="00987F41" w:rsidRPr="00650EE4" w:rsidRDefault="007A52B6" w:rsidP="00DD1E7E">
      <w:pPr>
        <w:pStyle w:val="Pagrindinispaprastastekstas"/>
        <w:numPr>
          <w:ilvl w:val="0"/>
          <w:numId w:val="10"/>
        </w:numPr>
        <w:spacing w:after="120"/>
        <w:ind w:left="714" w:hanging="357"/>
        <w:rPr>
          <w:rFonts w:ascii="Times New Roman" w:hAnsi="Times New Roman"/>
          <w:szCs w:val="22"/>
        </w:rPr>
      </w:pPr>
      <w:r>
        <w:rPr>
          <w:rFonts w:ascii="Times New Roman" w:hAnsi="Times New Roman"/>
          <w:szCs w:val="22"/>
        </w:rPr>
        <w:t>11 proc. viso p</w:t>
      </w:r>
      <w:r w:rsidR="00E31E34" w:rsidRPr="00650EE4">
        <w:rPr>
          <w:rFonts w:ascii="Times New Roman" w:hAnsi="Times New Roman"/>
          <w:szCs w:val="22"/>
        </w:rPr>
        <w:t xml:space="preserve">astatų fondo </w:t>
      </w:r>
      <w:r w:rsidR="00B17CD0" w:rsidRPr="00650EE4">
        <w:rPr>
          <w:rFonts w:ascii="Times New Roman" w:hAnsi="Times New Roman"/>
          <w:szCs w:val="22"/>
        </w:rPr>
        <w:t xml:space="preserve">ploto </w:t>
      </w:r>
      <w:r w:rsidR="00F318B8" w:rsidRPr="00650EE4">
        <w:rPr>
          <w:rFonts w:ascii="Times New Roman" w:hAnsi="Times New Roman"/>
          <w:szCs w:val="22"/>
        </w:rPr>
        <w:t>sudaro</w:t>
      </w:r>
      <w:r w:rsidR="00B17CD0" w:rsidRPr="00650EE4">
        <w:rPr>
          <w:rFonts w:ascii="Times New Roman" w:hAnsi="Times New Roman"/>
          <w:szCs w:val="22"/>
        </w:rPr>
        <w:t xml:space="preserve"> rąstiniai pastatai</w:t>
      </w:r>
      <w:r w:rsidR="00E31E34" w:rsidRPr="00650EE4">
        <w:rPr>
          <w:rFonts w:ascii="Times New Roman" w:hAnsi="Times New Roman"/>
          <w:szCs w:val="22"/>
        </w:rPr>
        <w:t>, iš kurių dauguma (91 proc.) – individual</w:t>
      </w:r>
      <w:r w:rsidR="00B17CD0" w:rsidRPr="00650EE4">
        <w:rPr>
          <w:rFonts w:ascii="Times New Roman" w:hAnsi="Times New Roman"/>
          <w:szCs w:val="22"/>
        </w:rPr>
        <w:t xml:space="preserve">ios paskirties pastatai. </w:t>
      </w:r>
      <w:r w:rsidR="00E31E34" w:rsidRPr="00650EE4">
        <w:rPr>
          <w:rFonts w:ascii="Times New Roman" w:hAnsi="Times New Roman"/>
          <w:szCs w:val="22"/>
        </w:rPr>
        <w:t xml:space="preserve">72 proc. </w:t>
      </w:r>
      <w:r w:rsidR="00B17CD0" w:rsidRPr="00650EE4">
        <w:rPr>
          <w:rFonts w:ascii="Times New Roman" w:hAnsi="Times New Roman"/>
          <w:szCs w:val="22"/>
        </w:rPr>
        <w:t xml:space="preserve">individualios paskirties rastinių namų </w:t>
      </w:r>
      <w:r w:rsidR="00E31E34" w:rsidRPr="00650EE4">
        <w:rPr>
          <w:rFonts w:ascii="Times New Roman" w:hAnsi="Times New Roman"/>
          <w:szCs w:val="22"/>
        </w:rPr>
        <w:t>yra sen</w:t>
      </w:r>
      <w:r w:rsidR="00B17CD0" w:rsidRPr="00650EE4">
        <w:rPr>
          <w:rFonts w:ascii="Times New Roman" w:hAnsi="Times New Roman"/>
          <w:szCs w:val="22"/>
        </w:rPr>
        <w:t xml:space="preserve">esnės nei 1960 m. statybos, 23 proc. 1960 - </w:t>
      </w:r>
      <w:r w:rsidR="00E31E34" w:rsidRPr="00650EE4">
        <w:rPr>
          <w:rFonts w:ascii="Times New Roman" w:hAnsi="Times New Roman"/>
          <w:szCs w:val="22"/>
        </w:rPr>
        <w:t xml:space="preserve">1992 m. statybos. </w:t>
      </w:r>
      <w:r w:rsidR="00101D6C">
        <w:rPr>
          <w:rFonts w:ascii="Times New Roman" w:hAnsi="Times New Roman"/>
          <w:szCs w:val="22"/>
        </w:rPr>
        <w:t>Nėra</w:t>
      </w:r>
      <w:r w:rsidR="00B17CD0" w:rsidRPr="00650EE4">
        <w:rPr>
          <w:rFonts w:ascii="Times New Roman" w:hAnsi="Times New Roman"/>
          <w:szCs w:val="22"/>
        </w:rPr>
        <w:t xml:space="preserve"> patikimų duomenų kokia dalis šių pastatų </w:t>
      </w:r>
      <w:r w:rsidR="00101D6C">
        <w:rPr>
          <w:rFonts w:ascii="Times New Roman" w:hAnsi="Times New Roman"/>
          <w:szCs w:val="22"/>
        </w:rPr>
        <w:t>yra</w:t>
      </w:r>
      <w:r w:rsidR="00101D6C" w:rsidRPr="00650EE4">
        <w:rPr>
          <w:rFonts w:ascii="Times New Roman" w:hAnsi="Times New Roman"/>
          <w:szCs w:val="22"/>
        </w:rPr>
        <w:t xml:space="preserve"> </w:t>
      </w:r>
      <w:r w:rsidR="00E31E34" w:rsidRPr="00650EE4">
        <w:rPr>
          <w:rFonts w:ascii="Times New Roman" w:hAnsi="Times New Roman"/>
          <w:szCs w:val="22"/>
        </w:rPr>
        <w:t>nuolatos gyvenami</w:t>
      </w:r>
      <w:r w:rsidR="00610D9A" w:rsidRPr="00650EE4">
        <w:rPr>
          <w:rFonts w:ascii="Times New Roman" w:hAnsi="Times New Roman"/>
          <w:szCs w:val="22"/>
        </w:rPr>
        <w:t xml:space="preserve"> </w:t>
      </w:r>
      <w:r w:rsidR="00BD6942" w:rsidRPr="00650EE4">
        <w:rPr>
          <w:rFonts w:ascii="Times New Roman" w:hAnsi="Times New Roman"/>
          <w:szCs w:val="22"/>
        </w:rPr>
        <w:t xml:space="preserve">ir/arba </w:t>
      </w:r>
      <w:r w:rsidR="00B17CD0" w:rsidRPr="00650EE4">
        <w:rPr>
          <w:rFonts w:ascii="Times New Roman" w:hAnsi="Times New Roman"/>
          <w:szCs w:val="22"/>
        </w:rPr>
        <w:t xml:space="preserve">reguliariai šildomi. </w:t>
      </w:r>
    </w:p>
    <w:p w14:paraId="0D8CC059" w14:textId="2AAC0297" w:rsidR="00EF30C5" w:rsidRPr="00650EE4" w:rsidRDefault="00BD6942" w:rsidP="00DD1E7E">
      <w:pPr>
        <w:pStyle w:val="Pagrindinispaprastastekstas"/>
        <w:numPr>
          <w:ilvl w:val="0"/>
          <w:numId w:val="10"/>
        </w:numPr>
        <w:spacing w:after="120"/>
        <w:ind w:left="714" w:hanging="357"/>
        <w:rPr>
          <w:rFonts w:ascii="Times New Roman" w:hAnsi="Times New Roman"/>
          <w:szCs w:val="22"/>
        </w:rPr>
      </w:pPr>
      <w:r w:rsidRPr="00650EE4">
        <w:rPr>
          <w:rFonts w:ascii="Times New Roman" w:hAnsi="Times New Roman"/>
          <w:szCs w:val="22"/>
        </w:rPr>
        <w:t xml:space="preserve">6 proc. viso Pastatų fondo ploto sudaro fasadinių sistemų (metalas su karkasu, stiklas su karkasu) pastatai. </w:t>
      </w:r>
      <w:r w:rsidR="00BE7DF4" w:rsidRPr="00650EE4">
        <w:rPr>
          <w:rFonts w:ascii="Times New Roman" w:hAnsi="Times New Roman"/>
          <w:szCs w:val="22"/>
        </w:rPr>
        <w:t>86 proc. visų fasadinių sistemų pastatų sudaro</w:t>
      </w:r>
      <w:r w:rsidRPr="00650EE4">
        <w:rPr>
          <w:rFonts w:ascii="Times New Roman" w:hAnsi="Times New Roman"/>
          <w:szCs w:val="22"/>
        </w:rPr>
        <w:t xml:space="preserve"> dvi pagrindinės pastatų pas</w:t>
      </w:r>
      <w:r w:rsidR="00BE7DF4" w:rsidRPr="00650EE4">
        <w:rPr>
          <w:rFonts w:ascii="Times New Roman" w:hAnsi="Times New Roman"/>
          <w:szCs w:val="22"/>
        </w:rPr>
        <w:t>kirtys  – pramonės ir prekybos. IRS kontekste svarbu tai, kad f</w:t>
      </w:r>
      <w:r w:rsidRPr="00650EE4">
        <w:rPr>
          <w:rFonts w:ascii="Times New Roman" w:hAnsi="Times New Roman"/>
          <w:szCs w:val="22"/>
        </w:rPr>
        <w:t>asadinių sistemų atnaujinimas reikalauja reikšmingai didesnių investicijų nei kitų laikančių sienų, nes šiuo atveju reikia keisti visą sienos konstrukciją. Taip pat dalį fasadinių sistemų gali būti sunku pakeisti dėl techninių galimybių.</w:t>
      </w:r>
      <w:r w:rsidR="00BE7DF4" w:rsidRPr="00650EE4">
        <w:rPr>
          <w:rFonts w:ascii="Times New Roman" w:hAnsi="Times New Roman"/>
          <w:szCs w:val="22"/>
        </w:rPr>
        <w:t xml:space="preserve"> Atsižvelgta </w:t>
      </w:r>
      <w:r w:rsidR="005A7400" w:rsidRPr="00650EE4">
        <w:rPr>
          <w:rFonts w:ascii="Times New Roman" w:hAnsi="Times New Roman"/>
          <w:szCs w:val="22"/>
        </w:rPr>
        <w:t>prognozuoja</w:t>
      </w:r>
      <w:r w:rsidR="00BE7DF4" w:rsidRPr="00650EE4">
        <w:rPr>
          <w:rFonts w:ascii="Times New Roman" w:hAnsi="Times New Roman"/>
          <w:szCs w:val="22"/>
        </w:rPr>
        <w:t>nt renovacijoje nedalyvausiančių pastatų dalį.</w:t>
      </w:r>
    </w:p>
    <w:p w14:paraId="0F905F18" w14:textId="5C119499" w:rsidR="00DD1E7E" w:rsidRPr="00650EE4" w:rsidRDefault="00BE7DF4" w:rsidP="00DD1E7E">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szCs w:val="22"/>
        </w:rPr>
        <w:t xml:space="preserve">4 proc. </w:t>
      </w:r>
      <w:r w:rsidR="00BD6942" w:rsidRPr="00650EE4">
        <w:rPr>
          <w:rFonts w:ascii="Times New Roman" w:hAnsi="Times New Roman"/>
          <w:szCs w:val="22"/>
        </w:rPr>
        <w:t>viso Pastatų fondo ploto priskirta „Kita“ sienų tipui</w:t>
      </w:r>
      <w:r w:rsidR="009756A2">
        <w:rPr>
          <w:rFonts w:ascii="Times New Roman" w:hAnsi="Times New Roman"/>
          <w:szCs w:val="22"/>
        </w:rPr>
        <w:t xml:space="preserve"> (paveikslėlyje aukščiau į grupę „Kita“ įtraukta ir 2 proc. monolitinio betono sienų pastatai)</w:t>
      </w:r>
      <w:r w:rsidR="00BD6942" w:rsidRPr="00650EE4">
        <w:rPr>
          <w:rFonts w:ascii="Times New Roman" w:hAnsi="Times New Roman"/>
          <w:szCs w:val="22"/>
        </w:rPr>
        <w:t xml:space="preserve">, t.y. Registrų centro duomenų bazėje pastatams buvo priskirtas šiaudų, molio, medžio, medinio karkaso, skardos, šiferio ar kt. medžiagų sienos tipas. Didžioji dalis (77 proc.) </w:t>
      </w:r>
      <w:r w:rsidR="00F12F90" w:rsidRPr="00650EE4">
        <w:rPr>
          <w:rFonts w:ascii="Times New Roman" w:hAnsi="Times New Roman"/>
          <w:szCs w:val="22"/>
        </w:rPr>
        <w:t xml:space="preserve">šio tipo </w:t>
      </w:r>
      <w:r w:rsidR="00BD6942" w:rsidRPr="00650EE4">
        <w:rPr>
          <w:rFonts w:ascii="Times New Roman" w:hAnsi="Times New Roman"/>
          <w:szCs w:val="22"/>
        </w:rPr>
        <w:t>pastatų</w:t>
      </w:r>
      <w:r w:rsidR="00F12F90" w:rsidRPr="00650EE4">
        <w:rPr>
          <w:rFonts w:ascii="Times New Roman" w:hAnsi="Times New Roman"/>
          <w:szCs w:val="22"/>
        </w:rPr>
        <w:t xml:space="preserve"> </w:t>
      </w:r>
      <w:r w:rsidR="00BD6942" w:rsidRPr="00650EE4">
        <w:rPr>
          <w:rFonts w:ascii="Times New Roman" w:hAnsi="Times New Roman"/>
          <w:szCs w:val="22"/>
        </w:rPr>
        <w:t xml:space="preserve">yra gyvenamosios paskirties pastatai, iš jų net 94 proc. individualūs namai. Tikėtina, kad didžioji </w:t>
      </w:r>
      <w:r w:rsidR="00BD6942" w:rsidRPr="00650EE4">
        <w:rPr>
          <w:rFonts w:ascii="Times New Roman" w:hAnsi="Times New Roman"/>
          <w:color w:val="000000" w:themeColor="text1"/>
          <w:szCs w:val="22"/>
        </w:rPr>
        <w:t>šių pastatų dalis nedalyvaus renovacijoje, nes reikšminga jų dalis nėra nuolatos gyvenami ar reguliariai šildomi, o techninės renovacijos galimybės yra labai ribotos. Iš „Kito“ tipo pastatų, tik medinius karkaso pastat</w:t>
      </w:r>
      <w:r w:rsidR="00F12F90" w:rsidRPr="00650EE4">
        <w:rPr>
          <w:rFonts w:ascii="Times New Roman" w:hAnsi="Times New Roman"/>
          <w:color w:val="000000" w:themeColor="text1"/>
          <w:szCs w:val="22"/>
        </w:rPr>
        <w:t>us būtų tikslinga modernizuoti taikan</w:t>
      </w:r>
      <w:r w:rsidR="005A7400" w:rsidRPr="00650EE4">
        <w:rPr>
          <w:rFonts w:ascii="Times New Roman" w:hAnsi="Times New Roman"/>
          <w:color w:val="000000" w:themeColor="text1"/>
          <w:szCs w:val="22"/>
        </w:rPr>
        <w:t xml:space="preserve">t tipines renovacijos priemones. </w:t>
      </w:r>
      <w:r w:rsidR="005A7400" w:rsidRPr="00650EE4">
        <w:rPr>
          <w:rFonts w:ascii="Times New Roman" w:hAnsi="Times New Roman"/>
          <w:szCs w:val="22"/>
        </w:rPr>
        <w:t>Atsižvelgta prognozuojant renovacijoje nedalyvausiančių pastatų dalį.</w:t>
      </w:r>
    </w:p>
    <w:p w14:paraId="48064B11" w14:textId="77777777" w:rsidR="00526AF5" w:rsidRPr="00650EE4" w:rsidRDefault="00526AF5" w:rsidP="00F5328A">
      <w:pPr>
        <w:rPr>
          <w:rFonts w:ascii="Times New Roman" w:hAnsi="Times New Roman"/>
          <w:color w:val="000000" w:themeColor="text1"/>
          <w:szCs w:val="22"/>
        </w:rPr>
      </w:pPr>
    </w:p>
    <w:p w14:paraId="67F9CB01" w14:textId="2EF0A397" w:rsidR="006A732F" w:rsidRPr="00650EE4" w:rsidRDefault="006A732F">
      <w:pPr>
        <w:spacing w:after="240"/>
        <w:rPr>
          <w:rFonts w:ascii="Times New Roman" w:hAnsi="Times New Roman"/>
          <w:color w:val="000000" w:themeColor="text1"/>
          <w:sz w:val="24"/>
          <w:szCs w:val="24"/>
        </w:rPr>
      </w:pPr>
      <w:r w:rsidRPr="00650EE4">
        <w:rPr>
          <w:rFonts w:ascii="Times New Roman" w:hAnsi="Times New Roman"/>
          <w:color w:val="000000" w:themeColor="text1"/>
          <w:sz w:val="24"/>
          <w:szCs w:val="24"/>
        </w:rPr>
        <w:br w:type="page"/>
      </w:r>
    </w:p>
    <w:p w14:paraId="406D1D09" w14:textId="77777777" w:rsidR="00E42ED4" w:rsidRPr="00650EE4" w:rsidRDefault="00E42ED4" w:rsidP="005F56C6">
      <w:pPr>
        <w:pStyle w:val="Antrastes31"/>
        <w:numPr>
          <w:ilvl w:val="2"/>
          <w:numId w:val="4"/>
        </w:numPr>
        <w:spacing w:before="0"/>
        <w:ind w:left="720" w:hanging="720"/>
        <w:rPr>
          <w:rFonts w:ascii="Times New Roman" w:hAnsi="Times New Roman"/>
          <w:color w:val="000000" w:themeColor="text1"/>
          <w:sz w:val="24"/>
          <w:szCs w:val="24"/>
          <w:lang w:val="lt-LT"/>
        </w:rPr>
      </w:pPr>
      <w:bookmarkStart w:id="32" w:name="_Toc59107506"/>
      <w:r w:rsidRPr="00650EE4">
        <w:rPr>
          <w:rFonts w:ascii="Times New Roman" w:hAnsi="Times New Roman"/>
          <w:color w:val="000000" w:themeColor="text1"/>
          <w:sz w:val="24"/>
          <w:szCs w:val="24"/>
          <w:lang w:val="lt-LT"/>
        </w:rPr>
        <w:lastRenderedPageBreak/>
        <w:t>Pastatų fondas pagal šildymo tipą</w:t>
      </w:r>
      <w:bookmarkEnd w:id="32"/>
    </w:p>
    <w:p w14:paraId="6B5AE2A8" w14:textId="38C1FFC9" w:rsidR="004A3475" w:rsidRPr="00650EE4" w:rsidRDefault="00B71A78" w:rsidP="002021F0">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Toliau</w:t>
      </w:r>
      <w:r w:rsidR="005A1578" w:rsidRPr="00650EE4">
        <w:rPr>
          <w:rFonts w:ascii="Times New Roman" w:hAnsi="Times New Roman"/>
          <w:color w:val="000000" w:themeColor="text1"/>
          <w:szCs w:val="22"/>
          <w:lang w:val="lt-LT"/>
        </w:rPr>
        <w:t xml:space="preserve"> pateikiamas</w:t>
      </w:r>
      <w:r w:rsidR="007A52B6">
        <w:rPr>
          <w:rFonts w:ascii="Times New Roman" w:hAnsi="Times New Roman"/>
          <w:color w:val="000000" w:themeColor="text1"/>
          <w:szCs w:val="22"/>
          <w:lang w:val="lt-LT"/>
        </w:rPr>
        <w:t xml:space="preserve"> p</w:t>
      </w:r>
      <w:r w:rsidR="00E42ED4" w:rsidRPr="00650EE4">
        <w:rPr>
          <w:rFonts w:ascii="Times New Roman" w:hAnsi="Times New Roman"/>
          <w:color w:val="000000" w:themeColor="text1"/>
          <w:szCs w:val="22"/>
          <w:lang w:val="lt-LT"/>
        </w:rPr>
        <w:t>astatų fondo p</w:t>
      </w:r>
      <w:r w:rsidR="005A1578" w:rsidRPr="00650EE4">
        <w:rPr>
          <w:rFonts w:ascii="Times New Roman" w:hAnsi="Times New Roman"/>
          <w:color w:val="000000" w:themeColor="text1"/>
          <w:szCs w:val="22"/>
          <w:lang w:val="lt-LT"/>
        </w:rPr>
        <w:t>jūvis</w:t>
      </w:r>
      <w:r w:rsidR="00E42ED4" w:rsidRPr="00650EE4">
        <w:rPr>
          <w:rFonts w:ascii="Times New Roman" w:hAnsi="Times New Roman"/>
          <w:color w:val="000000" w:themeColor="text1"/>
          <w:szCs w:val="22"/>
          <w:lang w:val="lt-LT"/>
        </w:rPr>
        <w:t xml:space="preserve"> pagal </w:t>
      </w:r>
      <w:r w:rsidR="00122936" w:rsidRPr="00650EE4">
        <w:rPr>
          <w:rFonts w:ascii="Times New Roman" w:hAnsi="Times New Roman"/>
          <w:color w:val="000000" w:themeColor="text1"/>
          <w:szCs w:val="22"/>
          <w:lang w:val="lt-LT"/>
        </w:rPr>
        <w:t>prijungimo</w:t>
      </w:r>
      <w:r w:rsidR="00E42ED4" w:rsidRPr="00650EE4">
        <w:rPr>
          <w:rFonts w:ascii="Times New Roman" w:hAnsi="Times New Roman"/>
          <w:color w:val="000000" w:themeColor="text1"/>
          <w:szCs w:val="22"/>
          <w:lang w:val="lt-LT"/>
        </w:rPr>
        <w:t xml:space="preserve"> prie </w:t>
      </w:r>
      <w:r w:rsidR="00BF48FC" w:rsidRPr="00650EE4">
        <w:rPr>
          <w:rFonts w:ascii="Times New Roman" w:hAnsi="Times New Roman"/>
          <w:color w:val="000000" w:themeColor="text1"/>
          <w:szCs w:val="22"/>
          <w:lang w:val="lt-LT"/>
        </w:rPr>
        <w:t xml:space="preserve">centralizuoto šilumos tiekimo (toliau – </w:t>
      </w:r>
      <w:r w:rsidR="00BF48FC" w:rsidRPr="00650EE4">
        <w:rPr>
          <w:rFonts w:ascii="Times New Roman" w:hAnsi="Times New Roman"/>
          <w:bCs/>
          <w:color w:val="000000" w:themeColor="text1"/>
          <w:szCs w:val="22"/>
          <w:lang w:val="lt-LT"/>
        </w:rPr>
        <w:t>CŠT</w:t>
      </w:r>
      <w:r w:rsidR="00BF48FC" w:rsidRPr="00650EE4">
        <w:rPr>
          <w:rFonts w:ascii="Times New Roman" w:hAnsi="Times New Roman"/>
          <w:color w:val="000000" w:themeColor="text1"/>
          <w:szCs w:val="22"/>
          <w:lang w:val="lt-LT"/>
        </w:rPr>
        <w:t>)</w:t>
      </w:r>
      <w:r w:rsidR="00122936" w:rsidRPr="00650EE4">
        <w:rPr>
          <w:rFonts w:ascii="Times New Roman" w:hAnsi="Times New Roman"/>
          <w:color w:val="000000" w:themeColor="text1"/>
          <w:szCs w:val="22"/>
          <w:lang w:val="lt-LT"/>
        </w:rPr>
        <w:t xml:space="preserve"> sistemos faktą</w:t>
      </w:r>
      <w:r w:rsidR="00BF48FC" w:rsidRPr="00650EE4">
        <w:rPr>
          <w:rFonts w:ascii="Times New Roman" w:hAnsi="Times New Roman"/>
          <w:color w:val="000000" w:themeColor="text1"/>
          <w:szCs w:val="22"/>
          <w:lang w:val="lt-LT"/>
        </w:rPr>
        <w:t>,</w:t>
      </w:r>
      <w:r w:rsidR="00E42ED4" w:rsidRPr="00650EE4">
        <w:rPr>
          <w:rFonts w:ascii="Times New Roman" w:hAnsi="Times New Roman"/>
          <w:color w:val="000000" w:themeColor="text1"/>
          <w:szCs w:val="22"/>
          <w:lang w:val="lt-LT"/>
        </w:rPr>
        <w:t xml:space="preserve"> </w:t>
      </w:r>
      <w:r w:rsidR="005A1578" w:rsidRPr="00650EE4">
        <w:rPr>
          <w:rFonts w:ascii="Times New Roman" w:hAnsi="Times New Roman"/>
          <w:color w:val="000000" w:themeColor="text1"/>
          <w:szCs w:val="22"/>
          <w:lang w:val="lt-LT"/>
        </w:rPr>
        <w:t xml:space="preserve">vienetais ir </w:t>
      </w:r>
      <w:r w:rsidR="00E42ED4" w:rsidRPr="00650EE4">
        <w:rPr>
          <w:rFonts w:ascii="Times New Roman" w:hAnsi="Times New Roman"/>
          <w:color w:val="000000" w:themeColor="text1"/>
          <w:szCs w:val="22"/>
          <w:lang w:val="lt-LT"/>
        </w:rPr>
        <w:t>tūkst. m</w:t>
      </w:r>
      <w:r w:rsidR="00E42ED4" w:rsidRPr="00650EE4">
        <w:rPr>
          <w:rFonts w:ascii="Times New Roman" w:hAnsi="Times New Roman"/>
          <w:color w:val="000000" w:themeColor="text1"/>
          <w:szCs w:val="22"/>
          <w:vertAlign w:val="superscript"/>
          <w:lang w:val="lt-LT"/>
        </w:rPr>
        <w:t>2</w:t>
      </w:r>
      <w:r w:rsidR="00E42ED4" w:rsidRPr="00650EE4">
        <w:rPr>
          <w:rFonts w:ascii="Times New Roman" w:hAnsi="Times New Roman"/>
          <w:color w:val="000000" w:themeColor="text1"/>
          <w:szCs w:val="22"/>
          <w:lang w:val="lt-LT"/>
        </w:rPr>
        <w:t>.</w:t>
      </w:r>
    </w:p>
    <w:p w14:paraId="654EC5D2" w14:textId="77777777" w:rsidR="00FD1EF1" w:rsidRPr="00650EE4" w:rsidRDefault="00FD1EF1" w:rsidP="00E42ED4">
      <w:pPr>
        <w:pStyle w:val="BodyText"/>
        <w:spacing w:line="240" w:lineRule="auto"/>
        <w:rPr>
          <w:rFonts w:ascii="Times New Roman" w:hAnsi="Times New Roman"/>
          <w:color w:val="000000" w:themeColor="text1"/>
          <w:szCs w:val="22"/>
          <w:lang w:val="lt-LT"/>
        </w:rPr>
      </w:pPr>
    </w:p>
    <w:p w14:paraId="0BEFA764" w14:textId="32D83C30" w:rsidR="00E42ED4"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3" w:name="_Toc59094192"/>
      <w:r w:rsidR="00F25C65">
        <w:t>9</w:t>
      </w:r>
      <w:r w:rsidRPr="00650EE4">
        <w:rPr>
          <w:noProof w:val="0"/>
        </w:rPr>
        <w:fldChar w:fldCharType="end"/>
      </w:r>
      <w:r w:rsidR="0070585A" w:rsidRPr="00650EE4">
        <w:rPr>
          <w:noProof w:val="0"/>
        </w:rPr>
        <w:t xml:space="preserve"> lentelė</w:t>
      </w:r>
      <w:r w:rsidR="00E42ED4" w:rsidRPr="00650EE4">
        <w:rPr>
          <w:noProof w:val="0"/>
        </w:rPr>
        <w:t>. Pastatų fondas pagal šildymo tipą - prijung</w:t>
      </w:r>
      <w:r w:rsidR="007C141C" w:rsidRPr="00650EE4">
        <w:rPr>
          <w:noProof w:val="0"/>
        </w:rPr>
        <w:t>t</w:t>
      </w:r>
      <w:r w:rsidR="00E42ED4" w:rsidRPr="00650EE4">
        <w:rPr>
          <w:noProof w:val="0"/>
        </w:rPr>
        <w:t>a ar neprijungta prie CŠT (vnt.)</w:t>
      </w:r>
      <w:bookmarkEnd w:id="33"/>
    </w:p>
    <w:tbl>
      <w:tblPr>
        <w:tblW w:w="10060" w:type="dxa"/>
        <w:tblLook w:val="04A0" w:firstRow="1" w:lastRow="0" w:firstColumn="1" w:lastColumn="0" w:noHBand="0" w:noVBand="1"/>
      </w:tblPr>
      <w:tblGrid>
        <w:gridCol w:w="3397"/>
        <w:gridCol w:w="1701"/>
        <w:gridCol w:w="1843"/>
        <w:gridCol w:w="1559"/>
        <w:gridCol w:w="1560"/>
      </w:tblGrid>
      <w:tr w:rsidR="00FD4ED3" w:rsidRPr="00650EE4" w14:paraId="67190F0B" w14:textId="77777777" w:rsidTr="004F0F3B">
        <w:tc>
          <w:tcPr>
            <w:tcW w:w="3397" w:type="dxa"/>
            <w:vMerge w:val="restart"/>
            <w:tcBorders>
              <w:top w:val="single" w:sz="4" w:space="0" w:color="auto"/>
              <w:left w:val="single" w:sz="4" w:space="0" w:color="auto"/>
              <w:bottom w:val="nil"/>
              <w:right w:val="nil"/>
            </w:tcBorders>
            <w:shd w:val="clear" w:color="000000" w:fill="FFFFFF"/>
            <w:vAlign w:val="center"/>
            <w:hideMark/>
          </w:tcPr>
          <w:p w14:paraId="3371BA2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544"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CFEC7A1"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1559" w:type="dxa"/>
            <w:vMerge w:val="restart"/>
            <w:tcBorders>
              <w:top w:val="single" w:sz="4" w:space="0" w:color="auto"/>
              <w:left w:val="nil"/>
              <w:bottom w:val="nil"/>
              <w:right w:val="nil"/>
            </w:tcBorders>
            <w:shd w:val="clear" w:color="000000" w:fill="FFFFFF"/>
            <w:vAlign w:val="center"/>
            <w:hideMark/>
          </w:tcPr>
          <w:p w14:paraId="453D2914"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65DC9F1" w14:textId="77777777" w:rsidR="00FD4ED3" w:rsidRPr="00650EE4" w:rsidRDefault="00FD4ED3" w:rsidP="00FD4ED3">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Iš viso, proc.</w:t>
            </w:r>
          </w:p>
        </w:tc>
      </w:tr>
      <w:tr w:rsidR="00FD4ED3" w:rsidRPr="00650EE4" w14:paraId="1177D479" w14:textId="77777777" w:rsidTr="004F0F3B">
        <w:tc>
          <w:tcPr>
            <w:tcW w:w="3397" w:type="dxa"/>
            <w:vMerge/>
            <w:tcBorders>
              <w:top w:val="single" w:sz="4" w:space="0" w:color="auto"/>
              <w:left w:val="single" w:sz="4" w:space="0" w:color="auto"/>
              <w:bottom w:val="nil"/>
              <w:right w:val="nil"/>
            </w:tcBorders>
            <w:vAlign w:val="center"/>
            <w:hideMark/>
          </w:tcPr>
          <w:p w14:paraId="476319CC" w14:textId="77777777" w:rsidR="00FD4ED3" w:rsidRPr="00650EE4" w:rsidRDefault="00FD4ED3" w:rsidP="00FD4ED3">
            <w:pPr>
              <w:spacing w:line="240" w:lineRule="auto"/>
              <w:rPr>
                <w:rFonts w:ascii="Times New Roman" w:eastAsia="Times New Roman" w:hAnsi="Times New Roman"/>
                <w:b/>
                <w:bCs/>
                <w:sz w:val="20"/>
                <w:szCs w:val="20"/>
              </w:rPr>
            </w:pPr>
          </w:p>
        </w:tc>
        <w:tc>
          <w:tcPr>
            <w:tcW w:w="1701" w:type="dxa"/>
            <w:tcBorders>
              <w:top w:val="nil"/>
              <w:left w:val="single" w:sz="4" w:space="0" w:color="auto"/>
              <w:bottom w:val="nil"/>
              <w:right w:val="nil"/>
            </w:tcBorders>
            <w:shd w:val="clear" w:color="000000" w:fill="FFFFFF"/>
            <w:noWrap/>
            <w:vAlign w:val="center"/>
            <w:hideMark/>
          </w:tcPr>
          <w:p w14:paraId="3FE18A2A"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Prijungta</w:t>
            </w:r>
          </w:p>
        </w:tc>
        <w:tc>
          <w:tcPr>
            <w:tcW w:w="1843" w:type="dxa"/>
            <w:tcBorders>
              <w:top w:val="nil"/>
              <w:left w:val="nil"/>
              <w:bottom w:val="nil"/>
              <w:right w:val="single" w:sz="4" w:space="0" w:color="auto"/>
            </w:tcBorders>
            <w:shd w:val="clear" w:color="000000" w:fill="FFFFFF"/>
            <w:noWrap/>
            <w:vAlign w:val="center"/>
            <w:hideMark/>
          </w:tcPr>
          <w:p w14:paraId="4A7E4C0B"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Neprijungta</w:t>
            </w:r>
          </w:p>
        </w:tc>
        <w:tc>
          <w:tcPr>
            <w:tcW w:w="1559" w:type="dxa"/>
            <w:vMerge/>
            <w:tcBorders>
              <w:top w:val="single" w:sz="4" w:space="0" w:color="auto"/>
              <w:left w:val="nil"/>
              <w:bottom w:val="nil"/>
              <w:right w:val="nil"/>
            </w:tcBorders>
            <w:vAlign w:val="center"/>
            <w:hideMark/>
          </w:tcPr>
          <w:p w14:paraId="6A381337" w14:textId="77777777" w:rsidR="00FD4ED3" w:rsidRPr="00650EE4" w:rsidRDefault="00FD4ED3" w:rsidP="00FD4ED3">
            <w:pPr>
              <w:spacing w:line="240" w:lineRule="auto"/>
              <w:rPr>
                <w:rFonts w:ascii="Times New Roman" w:eastAsia="Times New Roman" w:hAnsi="Times New Roman"/>
                <w:b/>
                <w:bCs/>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14:paraId="0446214A" w14:textId="77777777" w:rsidR="00FD4ED3" w:rsidRPr="00650EE4" w:rsidRDefault="00FD4ED3" w:rsidP="00FD4ED3">
            <w:pPr>
              <w:spacing w:line="240" w:lineRule="auto"/>
              <w:rPr>
                <w:rFonts w:ascii="Times New Roman" w:eastAsia="Times New Roman" w:hAnsi="Times New Roman"/>
                <w:sz w:val="20"/>
                <w:szCs w:val="20"/>
              </w:rPr>
            </w:pPr>
          </w:p>
        </w:tc>
      </w:tr>
      <w:tr w:rsidR="00FD4ED3" w:rsidRPr="00650EE4" w14:paraId="387B9B43" w14:textId="77777777" w:rsidTr="004F0F3B">
        <w:tc>
          <w:tcPr>
            <w:tcW w:w="3397" w:type="dxa"/>
            <w:tcBorders>
              <w:top w:val="single" w:sz="4" w:space="0" w:color="auto"/>
              <w:left w:val="single" w:sz="4" w:space="0" w:color="auto"/>
              <w:bottom w:val="single" w:sz="4" w:space="0" w:color="auto"/>
              <w:right w:val="nil"/>
            </w:tcBorders>
            <w:shd w:val="clear" w:color="000000" w:fill="F2F2F2"/>
            <w:noWrap/>
            <w:vAlign w:val="center"/>
            <w:hideMark/>
          </w:tcPr>
          <w:p w14:paraId="3D1EEF76"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1701" w:type="dxa"/>
            <w:tcBorders>
              <w:top w:val="single" w:sz="4" w:space="0" w:color="auto"/>
              <w:left w:val="single" w:sz="4" w:space="0" w:color="auto"/>
              <w:bottom w:val="single" w:sz="4" w:space="0" w:color="auto"/>
              <w:right w:val="nil"/>
            </w:tcBorders>
            <w:shd w:val="clear" w:color="000000" w:fill="F2F2F2"/>
            <w:noWrap/>
            <w:vAlign w:val="center"/>
            <w:hideMark/>
          </w:tcPr>
          <w:p w14:paraId="66D562F9"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26.192</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2342D3E2"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544.321</w:t>
            </w:r>
          </w:p>
        </w:tc>
        <w:tc>
          <w:tcPr>
            <w:tcW w:w="1559" w:type="dxa"/>
            <w:tcBorders>
              <w:top w:val="single" w:sz="4" w:space="0" w:color="auto"/>
              <w:left w:val="nil"/>
              <w:bottom w:val="single" w:sz="4" w:space="0" w:color="auto"/>
              <w:right w:val="nil"/>
            </w:tcBorders>
            <w:shd w:val="clear" w:color="000000" w:fill="F2F2F2"/>
            <w:noWrap/>
            <w:vAlign w:val="center"/>
            <w:hideMark/>
          </w:tcPr>
          <w:p w14:paraId="55C74E61"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570.513</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A16D1C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86%</w:t>
            </w:r>
          </w:p>
        </w:tc>
      </w:tr>
      <w:tr w:rsidR="00FD4ED3" w:rsidRPr="00650EE4" w14:paraId="47B81113" w14:textId="77777777" w:rsidTr="004F0F3B">
        <w:tc>
          <w:tcPr>
            <w:tcW w:w="3397" w:type="dxa"/>
            <w:tcBorders>
              <w:top w:val="nil"/>
              <w:left w:val="single" w:sz="4" w:space="0" w:color="auto"/>
              <w:bottom w:val="nil"/>
              <w:right w:val="nil"/>
            </w:tcBorders>
            <w:shd w:val="clear" w:color="000000" w:fill="FFFFFF"/>
            <w:noWrap/>
            <w:vAlign w:val="center"/>
            <w:hideMark/>
          </w:tcPr>
          <w:p w14:paraId="7900217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1701" w:type="dxa"/>
            <w:tcBorders>
              <w:top w:val="nil"/>
              <w:left w:val="single" w:sz="4" w:space="0" w:color="auto"/>
              <w:bottom w:val="nil"/>
              <w:right w:val="nil"/>
            </w:tcBorders>
            <w:shd w:val="clear" w:color="000000" w:fill="FFFFFF"/>
            <w:noWrap/>
            <w:vAlign w:val="center"/>
            <w:hideMark/>
          </w:tcPr>
          <w:p w14:paraId="1511DB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7.192</w:t>
            </w:r>
          </w:p>
        </w:tc>
        <w:tc>
          <w:tcPr>
            <w:tcW w:w="1843" w:type="dxa"/>
            <w:tcBorders>
              <w:top w:val="nil"/>
              <w:left w:val="nil"/>
              <w:bottom w:val="nil"/>
              <w:right w:val="single" w:sz="4" w:space="0" w:color="auto"/>
            </w:tcBorders>
            <w:shd w:val="clear" w:color="000000" w:fill="FFFFFF"/>
            <w:noWrap/>
            <w:vAlign w:val="center"/>
            <w:hideMark/>
          </w:tcPr>
          <w:p w14:paraId="692E13F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522.300</w:t>
            </w:r>
          </w:p>
        </w:tc>
        <w:tc>
          <w:tcPr>
            <w:tcW w:w="1559" w:type="dxa"/>
            <w:tcBorders>
              <w:top w:val="nil"/>
              <w:left w:val="nil"/>
              <w:bottom w:val="nil"/>
              <w:right w:val="nil"/>
            </w:tcBorders>
            <w:shd w:val="clear" w:color="000000" w:fill="FFFFFF"/>
            <w:noWrap/>
            <w:vAlign w:val="center"/>
            <w:hideMark/>
          </w:tcPr>
          <w:p w14:paraId="27BFFB6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1560" w:type="dxa"/>
            <w:tcBorders>
              <w:top w:val="nil"/>
              <w:left w:val="single" w:sz="4" w:space="0" w:color="auto"/>
              <w:bottom w:val="nil"/>
              <w:right w:val="single" w:sz="4" w:space="0" w:color="auto"/>
            </w:tcBorders>
            <w:shd w:val="clear" w:color="000000" w:fill="FFFFFF"/>
            <w:noWrap/>
            <w:vAlign w:val="center"/>
            <w:hideMark/>
          </w:tcPr>
          <w:p w14:paraId="0B1BE1F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FD4ED3" w:rsidRPr="00650EE4" w14:paraId="1926057C" w14:textId="77777777" w:rsidTr="004F0F3B">
        <w:tc>
          <w:tcPr>
            <w:tcW w:w="3397" w:type="dxa"/>
            <w:tcBorders>
              <w:top w:val="nil"/>
              <w:left w:val="single" w:sz="4" w:space="0" w:color="auto"/>
              <w:bottom w:val="single" w:sz="4" w:space="0" w:color="auto"/>
              <w:right w:val="nil"/>
            </w:tcBorders>
            <w:shd w:val="clear" w:color="000000" w:fill="FFFFFF"/>
            <w:noWrap/>
            <w:vAlign w:val="center"/>
            <w:hideMark/>
          </w:tcPr>
          <w:p w14:paraId="7B73F20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1701" w:type="dxa"/>
            <w:tcBorders>
              <w:top w:val="nil"/>
              <w:left w:val="single" w:sz="4" w:space="0" w:color="auto"/>
              <w:bottom w:val="single" w:sz="4" w:space="0" w:color="auto"/>
              <w:right w:val="nil"/>
            </w:tcBorders>
            <w:shd w:val="clear" w:color="000000" w:fill="FFFFFF"/>
            <w:noWrap/>
            <w:vAlign w:val="center"/>
            <w:hideMark/>
          </w:tcPr>
          <w:p w14:paraId="2A18AE2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19.000</w:t>
            </w:r>
          </w:p>
        </w:tc>
        <w:tc>
          <w:tcPr>
            <w:tcW w:w="1843" w:type="dxa"/>
            <w:tcBorders>
              <w:top w:val="nil"/>
              <w:left w:val="nil"/>
              <w:bottom w:val="single" w:sz="4" w:space="0" w:color="auto"/>
              <w:right w:val="single" w:sz="4" w:space="0" w:color="auto"/>
            </w:tcBorders>
            <w:shd w:val="clear" w:color="000000" w:fill="FFFFFF"/>
            <w:noWrap/>
            <w:vAlign w:val="center"/>
            <w:hideMark/>
          </w:tcPr>
          <w:p w14:paraId="0FDD6C8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22.021</w:t>
            </w:r>
          </w:p>
        </w:tc>
        <w:tc>
          <w:tcPr>
            <w:tcW w:w="1559" w:type="dxa"/>
            <w:tcBorders>
              <w:top w:val="nil"/>
              <w:left w:val="nil"/>
              <w:bottom w:val="single" w:sz="4" w:space="0" w:color="auto"/>
              <w:right w:val="nil"/>
            </w:tcBorders>
            <w:shd w:val="clear" w:color="000000" w:fill="FFFFFF"/>
            <w:noWrap/>
            <w:vAlign w:val="center"/>
            <w:hideMark/>
          </w:tcPr>
          <w:p w14:paraId="3C993B8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5D8D84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FD4ED3" w:rsidRPr="00650EE4" w14:paraId="43DB7E2D" w14:textId="77777777" w:rsidTr="004F0F3B">
        <w:tc>
          <w:tcPr>
            <w:tcW w:w="3397" w:type="dxa"/>
            <w:tcBorders>
              <w:top w:val="nil"/>
              <w:left w:val="single" w:sz="4" w:space="0" w:color="auto"/>
              <w:bottom w:val="single" w:sz="4" w:space="0" w:color="auto"/>
              <w:right w:val="nil"/>
            </w:tcBorders>
            <w:shd w:val="clear" w:color="000000" w:fill="F2F2F2"/>
            <w:noWrap/>
            <w:vAlign w:val="center"/>
            <w:hideMark/>
          </w:tcPr>
          <w:p w14:paraId="62AD1639"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1701" w:type="dxa"/>
            <w:tcBorders>
              <w:top w:val="nil"/>
              <w:left w:val="single" w:sz="4" w:space="0" w:color="auto"/>
              <w:bottom w:val="single" w:sz="4" w:space="0" w:color="auto"/>
              <w:right w:val="nil"/>
            </w:tcBorders>
            <w:shd w:val="clear" w:color="000000" w:fill="F2F2F2"/>
            <w:noWrap/>
            <w:vAlign w:val="center"/>
            <w:hideMark/>
          </w:tcPr>
          <w:p w14:paraId="253A810B"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15.010</w:t>
            </w:r>
          </w:p>
        </w:tc>
        <w:tc>
          <w:tcPr>
            <w:tcW w:w="1843" w:type="dxa"/>
            <w:tcBorders>
              <w:top w:val="nil"/>
              <w:left w:val="nil"/>
              <w:bottom w:val="single" w:sz="4" w:space="0" w:color="auto"/>
              <w:right w:val="single" w:sz="4" w:space="0" w:color="auto"/>
            </w:tcBorders>
            <w:shd w:val="clear" w:color="000000" w:fill="F2F2F2"/>
            <w:noWrap/>
            <w:vAlign w:val="center"/>
            <w:hideMark/>
          </w:tcPr>
          <w:p w14:paraId="507551E5"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75.760</w:t>
            </w:r>
          </w:p>
        </w:tc>
        <w:tc>
          <w:tcPr>
            <w:tcW w:w="1559" w:type="dxa"/>
            <w:tcBorders>
              <w:top w:val="nil"/>
              <w:left w:val="nil"/>
              <w:bottom w:val="single" w:sz="4" w:space="0" w:color="auto"/>
              <w:right w:val="nil"/>
            </w:tcBorders>
            <w:shd w:val="clear" w:color="000000" w:fill="F2F2F2"/>
            <w:noWrap/>
            <w:vAlign w:val="center"/>
            <w:hideMark/>
          </w:tcPr>
          <w:p w14:paraId="3FD3A24C"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90.770</w:t>
            </w:r>
          </w:p>
        </w:tc>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35060AD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14%</w:t>
            </w:r>
          </w:p>
        </w:tc>
      </w:tr>
      <w:tr w:rsidR="00FD4ED3" w:rsidRPr="00650EE4" w14:paraId="76E8DB7F" w14:textId="77777777" w:rsidTr="004F0F3B">
        <w:tc>
          <w:tcPr>
            <w:tcW w:w="3397" w:type="dxa"/>
            <w:tcBorders>
              <w:top w:val="nil"/>
              <w:left w:val="single" w:sz="4" w:space="0" w:color="auto"/>
              <w:bottom w:val="nil"/>
              <w:right w:val="nil"/>
            </w:tcBorders>
            <w:shd w:val="clear" w:color="000000" w:fill="FFFFFF"/>
            <w:noWrap/>
            <w:vAlign w:val="center"/>
            <w:hideMark/>
          </w:tcPr>
          <w:p w14:paraId="56845F8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1701" w:type="dxa"/>
            <w:tcBorders>
              <w:top w:val="nil"/>
              <w:left w:val="single" w:sz="4" w:space="0" w:color="auto"/>
              <w:bottom w:val="nil"/>
              <w:right w:val="nil"/>
            </w:tcBorders>
            <w:shd w:val="clear" w:color="000000" w:fill="FFFFFF"/>
            <w:noWrap/>
            <w:vAlign w:val="center"/>
            <w:hideMark/>
          </w:tcPr>
          <w:p w14:paraId="2F51E6C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3.985</w:t>
            </w:r>
          </w:p>
        </w:tc>
        <w:tc>
          <w:tcPr>
            <w:tcW w:w="1843" w:type="dxa"/>
            <w:tcBorders>
              <w:top w:val="nil"/>
              <w:left w:val="nil"/>
              <w:bottom w:val="nil"/>
              <w:right w:val="single" w:sz="4" w:space="0" w:color="auto"/>
            </w:tcBorders>
            <w:shd w:val="clear" w:color="000000" w:fill="FFFFFF"/>
            <w:noWrap/>
            <w:vAlign w:val="center"/>
            <w:hideMark/>
          </w:tcPr>
          <w:p w14:paraId="740F629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44.790</w:t>
            </w:r>
          </w:p>
        </w:tc>
        <w:tc>
          <w:tcPr>
            <w:tcW w:w="1559" w:type="dxa"/>
            <w:tcBorders>
              <w:top w:val="nil"/>
              <w:left w:val="nil"/>
              <w:bottom w:val="nil"/>
              <w:right w:val="nil"/>
            </w:tcBorders>
            <w:shd w:val="clear" w:color="000000" w:fill="FFFFFF"/>
            <w:noWrap/>
            <w:vAlign w:val="center"/>
            <w:hideMark/>
          </w:tcPr>
          <w:p w14:paraId="0D463631"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1560" w:type="dxa"/>
            <w:tcBorders>
              <w:top w:val="nil"/>
              <w:left w:val="single" w:sz="4" w:space="0" w:color="auto"/>
              <w:bottom w:val="nil"/>
              <w:right w:val="single" w:sz="4" w:space="0" w:color="auto"/>
            </w:tcBorders>
            <w:shd w:val="clear" w:color="000000" w:fill="FFFFFF"/>
            <w:noWrap/>
            <w:vAlign w:val="center"/>
            <w:hideMark/>
          </w:tcPr>
          <w:p w14:paraId="5999A8A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FD4ED3" w:rsidRPr="00650EE4" w14:paraId="4F6B6937" w14:textId="77777777" w:rsidTr="004F0F3B">
        <w:tc>
          <w:tcPr>
            <w:tcW w:w="3397" w:type="dxa"/>
            <w:tcBorders>
              <w:top w:val="nil"/>
              <w:left w:val="single" w:sz="4" w:space="0" w:color="auto"/>
              <w:bottom w:val="nil"/>
              <w:right w:val="nil"/>
            </w:tcBorders>
            <w:shd w:val="clear" w:color="000000" w:fill="FFFFFF"/>
            <w:noWrap/>
            <w:vAlign w:val="center"/>
            <w:hideMark/>
          </w:tcPr>
          <w:p w14:paraId="5E39917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1701" w:type="dxa"/>
            <w:tcBorders>
              <w:top w:val="nil"/>
              <w:left w:val="single" w:sz="4" w:space="0" w:color="auto"/>
              <w:bottom w:val="nil"/>
              <w:right w:val="nil"/>
            </w:tcBorders>
            <w:shd w:val="clear" w:color="000000" w:fill="FFFFFF"/>
            <w:noWrap/>
            <w:vAlign w:val="center"/>
            <w:hideMark/>
          </w:tcPr>
          <w:p w14:paraId="618F80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3.966</w:t>
            </w:r>
          </w:p>
        </w:tc>
        <w:tc>
          <w:tcPr>
            <w:tcW w:w="1843" w:type="dxa"/>
            <w:tcBorders>
              <w:top w:val="nil"/>
              <w:left w:val="nil"/>
              <w:bottom w:val="nil"/>
              <w:right w:val="single" w:sz="4" w:space="0" w:color="auto"/>
            </w:tcBorders>
            <w:shd w:val="clear" w:color="000000" w:fill="FFFFFF"/>
            <w:noWrap/>
            <w:vAlign w:val="center"/>
            <w:hideMark/>
          </w:tcPr>
          <w:p w14:paraId="593F379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6.411</w:t>
            </w:r>
          </w:p>
        </w:tc>
        <w:tc>
          <w:tcPr>
            <w:tcW w:w="1559" w:type="dxa"/>
            <w:tcBorders>
              <w:top w:val="nil"/>
              <w:left w:val="nil"/>
              <w:bottom w:val="nil"/>
              <w:right w:val="nil"/>
            </w:tcBorders>
            <w:shd w:val="clear" w:color="000000" w:fill="FFFFFF"/>
            <w:noWrap/>
            <w:vAlign w:val="center"/>
            <w:hideMark/>
          </w:tcPr>
          <w:p w14:paraId="6944225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1560" w:type="dxa"/>
            <w:tcBorders>
              <w:top w:val="nil"/>
              <w:left w:val="single" w:sz="4" w:space="0" w:color="auto"/>
              <w:bottom w:val="nil"/>
              <w:right w:val="single" w:sz="4" w:space="0" w:color="auto"/>
            </w:tcBorders>
            <w:shd w:val="clear" w:color="000000" w:fill="FFFFFF"/>
            <w:noWrap/>
            <w:vAlign w:val="center"/>
            <w:hideMark/>
          </w:tcPr>
          <w:p w14:paraId="75E78F2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FD4ED3" w:rsidRPr="00650EE4" w14:paraId="53290D2A" w14:textId="77777777" w:rsidTr="004F0F3B">
        <w:tc>
          <w:tcPr>
            <w:tcW w:w="3397" w:type="dxa"/>
            <w:tcBorders>
              <w:top w:val="nil"/>
              <w:left w:val="single" w:sz="4" w:space="0" w:color="auto"/>
              <w:bottom w:val="nil"/>
              <w:right w:val="nil"/>
            </w:tcBorders>
            <w:shd w:val="clear" w:color="000000" w:fill="FFFFFF"/>
            <w:noWrap/>
            <w:vAlign w:val="center"/>
            <w:hideMark/>
          </w:tcPr>
          <w:p w14:paraId="66B036AC"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1701" w:type="dxa"/>
            <w:tcBorders>
              <w:top w:val="nil"/>
              <w:left w:val="single" w:sz="4" w:space="0" w:color="auto"/>
              <w:bottom w:val="nil"/>
              <w:right w:val="nil"/>
            </w:tcBorders>
            <w:shd w:val="clear" w:color="000000" w:fill="FFFFFF"/>
            <w:noWrap/>
            <w:vAlign w:val="center"/>
            <w:hideMark/>
          </w:tcPr>
          <w:p w14:paraId="112E609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2.217</w:t>
            </w:r>
          </w:p>
        </w:tc>
        <w:tc>
          <w:tcPr>
            <w:tcW w:w="1843" w:type="dxa"/>
            <w:tcBorders>
              <w:top w:val="nil"/>
              <w:left w:val="nil"/>
              <w:bottom w:val="nil"/>
              <w:right w:val="single" w:sz="4" w:space="0" w:color="auto"/>
            </w:tcBorders>
            <w:shd w:val="clear" w:color="000000" w:fill="FFFFFF"/>
            <w:noWrap/>
            <w:vAlign w:val="center"/>
            <w:hideMark/>
          </w:tcPr>
          <w:p w14:paraId="3B3B6CB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2.498</w:t>
            </w:r>
          </w:p>
        </w:tc>
        <w:tc>
          <w:tcPr>
            <w:tcW w:w="1559" w:type="dxa"/>
            <w:tcBorders>
              <w:top w:val="nil"/>
              <w:left w:val="nil"/>
              <w:bottom w:val="nil"/>
              <w:right w:val="nil"/>
            </w:tcBorders>
            <w:shd w:val="clear" w:color="000000" w:fill="FFFFFF"/>
            <w:noWrap/>
            <w:vAlign w:val="center"/>
            <w:hideMark/>
          </w:tcPr>
          <w:p w14:paraId="71C6CB1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1560" w:type="dxa"/>
            <w:tcBorders>
              <w:top w:val="nil"/>
              <w:left w:val="single" w:sz="4" w:space="0" w:color="auto"/>
              <w:bottom w:val="nil"/>
              <w:right w:val="single" w:sz="4" w:space="0" w:color="auto"/>
            </w:tcBorders>
            <w:shd w:val="clear" w:color="000000" w:fill="FFFFFF"/>
            <w:noWrap/>
            <w:vAlign w:val="center"/>
            <w:hideMark/>
          </w:tcPr>
          <w:p w14:paraId="726977E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FD4ED3" w:rsidRPr="00650EE4" w14:paraId="62364A7D" w14:textId="77777777" w:rsidTr="004F0F3B">
        <w:tc>
          <w:tcPr>
            <w:tcW w:w="3397" w:type="dxa"/>
            <w:tcBorders>
              <w:top w:val="nil"/>
              <w:left w:val="single" w:sz="4" w:space="0" w:color="auto"/>
              <w:bottom w:val="nil"/>
              <w:right w:val="nil"/>
            </w:tcBorders>
            <w:shd w:val="clear" w:color="000000" w:fill="FFFFFF"/>
            <w:noWrap/>
            <w:vAlign w:val="center"/>
            <w:hideMark/>
          </w:tcPr>
          <w:p w14:paraId="68EAEC08"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1701" w:type="dxa"/>
            <w:tcBorders>
              <w:top w:val="nil"/>
              <w:left w:val="single" w:sz="4" w:space="0" w:color="auto"/>
              <w:bottom w:val="nil"/>
              <w:right w:val="nil"/>
            </w:tcBorders>
            <w:shd w:val="clear" w:color="000000" w:fill="FFFFFF"/>
            <w:noWrap/>
            <w:vAlign w:val="center"/>
            <w:hideMark/>
          </w:tcPr>
          <w:p w14:paraId="176DDEB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1.711</w:t>
            </w:r>
          </w:p>
        </w:tc>
        <w:tc>
          <w:tcPr>
            <w:tcW w:w="1843" w:type="dxa"/>
            <w:tcBorders>
              <w:top w:val="nil"/>
              <w:left w:val="nil"/>
              <w:bottom w:val="nil"/>
              <w:right w:val="single" w:sz="4" w:space="0" w:color="auto"/>
            </w:tcBorders>
            <w:shd w:val="clear" w:color="000000" w:fill="FFFFFF"/>
            <w:noWrap/>
            <w:vAlign w:val="center"/>
            <w:hideMark/>
          </w:tcPr>
          <w:p w14:paraId="6D05532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7.049</w:t>
            </w:r>
          </w:p>
        </w:tc>
        <w:tc>
          <w:tcPr>
            <w:tcW w:w="1559" w:type="dxa"/>
            <w:tcBorders>
              <w:top w:val="nil"/>
              <w:left w:val="nil"/>
              <w:bottom w:val="nil"/>
              <w:right w:val="nil"/>
            </w:tcBorders>
            <w:shd w:val="clear" w:color="000000" w:fill="FFFFFF"/>
            <w:noWrap/>
            <w:vAlign w:val="center"/>
            <w:hideMark/>
          </w:tcPr>
          <w:p w14:paraId="00545FC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1560" w:type="dxa"/>
            <w:tcBorders>
              <w:top w:val="nil"/>
              <w:left w:val="single" w:sz="4" w:space="0" w:color="auto"/>
              <w:bottom w:val="nil"/>
              <w:right w:val="single" w:sz="4" w:space="0" w:color="auto"/>
            </w:tcBorders>
            <w:shd w:val="clear" w:color="000000" w:fill="FFFFFF"/>
            <w:noWrap/>
            <w:vAlign w:val="center"/>
            <w:hideMark/>
          </w:tcPr>
          <w:p w14:paraId="3FEC2A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r>
      <w:tr w:rsidR="00FD4ED3" w:rsidRPr="00650EE4" w14:paraId="293654DC" w14:textId="77777777" w:rsidTr="004F0F3B">
        <w:tc>
          <w:tcPr>
            <w:tcW w:w="3397" w:type="dxa"/>
            <w:tcBorders>
              <w:top w:val="nil"/>
              <w:left w:val="single" w:sz="4" w:space="0" w:color="auto"/>
              <w:bottom w:val="nil"/>
              <w:right w:val="nil"/>
            </w:tcBorders>
            <w:shd w:val="clear" w:color="000000" w:fill="FFFFFF"/>
            <w:noWrap/>
            <w:vAlign w:val="center"/>
            <w:hideMark/>
          </w:tcPr>
          <w:p w14:paraId="57D4879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1701" w:type="dxa"/>
            <w:tcBorders>
              <w:top w:val="nil"/>
              <w:left w:val="single" w:sz="4" w:space="0" w:color="auto"/>
              <w:bottom w:val="nil"/>
              <w:right w:val="nil"/>
            </w:tcBorders>
            <w:shd w:val="clear" w:color="000000" w:fill="FFFFFF"/>
            <w:noWrap/>
            <w:vAlign w:val="center"/>
            <w:hideMark/>
          </w:tcPr>
          <w:p w14:paraId="0F6247B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816</w:t>
            </w:r>
          </w:p>
        </w:tc>
        <w:tc>
          <w:tcPr>
            <w:tcW w:w="1843" w:type="dxa"/>
            <w:tcBorders>
              <w:top w:val="nil"/>
              <w:left w:val="nil"/>
              <w:bottom w:val="nil"/>
              <w:right w:val="single" w:sz="4" w:space="0" w:color="auto"/>
            </w:tcBorders>
            <w:shd w:val="clear" w:color="000000" w:fill="FFFFFF"/>
            <w:noWrap/>
            <w:vAlign w:val="center"/>
            <w:hideMark/>
          </w:tcPr>
          <w:p w14:paraId="48669A4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1.023</w:t>
            </w:r>
          </w:p>
        </w:tc>
        <w:tc>
          <w:tcPr>
            <w:tcW w:w="1559" w:type="dxa"/>
            <w:tcBorders>
              <w:top w:val="nil"/>
              <w:left w:val="nil"/>
              <w:bottom w:val="nil"/>
              <w:right w:val="nil"/>
            </w:tcBorders>
            <w:shd w:val="clear" w:color="000000" w:fill="FFFFFF"/>
            <w:noWrap/>
            <w:vAlign w:val="center"/>
            <w:hideMark/>
          </w:tcPr>
          <w:p w14:paraId="2339DC0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1560" w:type="dxa"/>
            <w:tcBorders>
              <w:top w:val="nil"/>
              <w:left w:val="single" w:sz="4" w:space="0" w:color="auto"/>
              <w:bottom w:val="nil"/>
              <w:right w:val="single" w:sz="4" w:space="0" w:color="auto"/>
            </w:tcBorders>
            <w:shd w:val="clear" w:color="000000" w:fill="FFFFFF"/>
            <w:noWrap/>
            <w:vAlign w:val="center"/>
            <w:hideMark/>
          </w:tcPr>
          <w:p w14:paraId="7DBBD06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0,28%</w:t>
            </w:r>
          </w:p>
        </w:tc>
      </w:tr>
      <w:tr w:rsidR="00FD4ED3" w:rsidRPr="00650EE4" w14:paraId="2DC38EC4" w14:textId="77777777" w:rsidTr="004F0F3B">
        <w:tc>
          <w:tcPr>
            <w:tcW w:w="3397" w:type="dxa"/>
            <w:tcBorders>
              <w:top w:val="nil"/>
              <w:left w:val="single" w:sz="4" w:space="0" w:color="auto"/>
              <w:bottom w:val="nil"/>
              <w:right w:val="nil"/>
            </w:tcBorders>
            <w:shd w:val="clear" w:color="000000" w:fill="FFFFFF"/>
            <w:noWrap/>
            <w:vAlign w:val="center"/>
            <w:hideMark/>
          </w:tcPr>
          <w:p w14:paraId="24624F2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1701" w:type="dxa"/>
            <w:tcBorders>
              <w:top w:val="nil"/>
              <w:left w:val="single" w:sz="4" w:space="0" w:color="auto"/>
              <w:bottom w:val="nil"/>
              <w:right w:val="nil"/>
            </w:tcBorders>
            <w:shd w:val="clear" w:color="000000" w:fill="FFFFFF"/>
            <w:noWrap/>
            <w:vAlign w:val="center"/>
            <w:hideMark/>
          </w:tcPr>
          <w:p w14:paraId="6A83F6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344</w:t>
            </w:r>
          </w:p>
        </w:tc>
        <w:tc>
          <w:tcPr>
            <w:tcW w:w="1843" w:type="dxa"/>
            <w:tcBorders>
              <w:top w:val="nil"/>
              <w:left w:val="nil"/>
              <w:bottom w:val="nil"/>
              <w:right w:val="single" w:sz="4" w:space="0" w:color="auto"/>
            </w:tcBorders>
            <w:shd w:val="clear" w:color="000000" w:fill="FFFFFF"/>
            <w:noWrap/>
            <w:vAlign w:val="center"/>
            <w:hideMark/>
          </w:tcPr>
          <w:p w14:paraId="63A3739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6.556</w:t>
            </w:r>
          </w:p>
        </w:tc>
        <w:tc>
          <w:tcPr>
            <w:tcW w:w="1559" w:type="dxa"/>
            <w:tcBorders>
              <w:top w:val="nil"/>
              <w:left w:val="nil"/>
              <w:bottom w:val="nil"/>
              <w:right w:val="nil"/>
            </w:tcBorders>
            <w:shd w:val="clear" w:color="000000" w:fill="FFFFFF"/>
            <w:noWrap/>
            <w:vAlign w:val="center"/>
            <w:hideMark/>
          </w:tcPr>
          <w:p w14:paraId="1096AE9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1560" w:type="dxa"/>
            <w:tcBorders>
              <w:top w:val="nil"/>
              <w:left w:val="single" w:sz="4" w:space="0" w:color="auto"/>
              <w:bottom w:val="nil"/>
              <w:right w:val="single" w:sz="4" w:space="0" w:color="auto"/>
            </w:tcBorders>
            <w:shd w:val="clear" w:color="000000" w:fill="FFFFFF"/>
            <w:noWrap/>
            <w:vAlign w:val="center"/>
            <w:hideMark/>
          </w:tcPr>
          <w:p w14:paraId="7FB3BF6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r>
      <w:tr w:rsidR="00FD4ED3" w:rsidRPr="00650EE4" w14:paraId="4F317D51" w14:textId="77777777" w:rsidTr="004F0F3B">
        <w:tc>
          <w:tcPr>
            <w:tcW w:w="3397" w:type="dxa"/>
            <w:tcBorders>
              <w:top w:val="nil"/>
              <w:left w:val="single" w:sz="4" w:space="0" w:color="auto"/>
              <w:bottom w:val="nil"/>
              <w:right w:val="nil"/>
            </w:tcBorders>
            <w:shd w:val="clear" w:color="000000" w:fill="FFFFFF"/>
            <w:noWrap/>
            <w:vAlign w:val="center"/>
            <w:hideMark/>
          </w:tcPr>
          <w:p w14:paraId="4248CAD9"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1701" w:type="dxa"/>
            <w:tcBorders>
              <w:top w:val="nil"/>
              <w:left w:val="single" w:sz="4" w:space="0" w:color="auto"/>
              <w:bottom w:val="nil"/>
              <w:right w:val="nil"/>
            </w:tcBorders>
            <w:shd w:val="clear" w:color="000000" w:fill="FFFFFF"/>
            <w:noWrap/>
            <w:vAlign w:val="center"/>
            <w:hideMark/>
          </w:tcPr>
          <w:p w14:paraId="7D9AB1E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664</w:t>
            </w:r>
          </w:p>
        </w:tc>
        <w:tc>
          <w:tcPr>
            <w:tcW w:w="1843" w:type="dxa"/>
            <w:tcBorders>
              <w:top w:val="nil"/>
              <w:left w:val="nil"/>
              <w:bottom w:val="nil"/>
              <w:right w:val="single" w:sz="4" w:space="0" w:color="auto"/>
            </w:tcBorders>
            <w:shd w:val="clear" w:color="000000" w:fill="FFFFFF"/>
            <w:noWrap/>
            <w:vAlign w:val="center"/>
            <w:hideMark/>
          </w:tcPr>
          <w:p w14:paraId="32A811A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1.677</w:t>
            </w:r>
          </w:p>
        </w:tc>
        <w:tc>
          <w:tcPr>
            <w:tcW w:w="1559" w:type="dxa"/>
            <w:tcBorders>
              <w:top w:val="nil"/>
              <w:left w:val="nil"/>
              <w:bottom w:val="nil"/>
              <w:right w:val="nil"/>
            </w:tcBorders>
            <w:shd w:val="clear" w:color="000000" w:fill="FFFFFF"/>
            <w:noWrap/>
            <w:vAlign w:val="center"/>
            <w:hideMark/>
          </w:tcPr>
          <w:p w14:paraId="74B95388"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1560" w:type="dxa"/>
            <w:tcBorders>
              <w:top w:val="nil"/>
              <w:left w:val="single" w:sz="4" w:space="0" w:color="auto"/>
              <w:bottom w:val="nil"/>
              <w:right w:val="single" w:sz="4" w:space="0" w:color="auto"/>
            </w:tcBorders>
            <w:shd w:val="clear" w:color="000000" w:fill="FFFFFF"/>
            <w:noWrap/>
            <w:vAlign w:val="center"/>
            <w:hideMark/>
          </w:tcPr>
          <w:p w14:paraId="04C686E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0,35%</w:t>
            </w:r>
          </w:p>
        </w:tc>
      </w:tr>
      <w:tr w:rsidR="00FD4ED3" w:rsidRPr="00650EE4" w14:paraId="0DF8FCFA" w14:textId="77777777" w:rsidTr="004F0F3B">
        <w:tc>
          <w:tcPr>
            <w:tcW w:w="3397" w:type="dxa"/>
            <w:tcBorders>
              <w:top w:val="nil"/>
              <w:left w:val="single" w:sz="4" w:space="0" w:color="auto"/>
              <w:bottom w:val="nil"/>
              <w:right w:val="nil"/>
            </w:tcBorders>
            <w:shd w:val="clear" w:color="000000" w:fill="FFFFFF"/>
            <w:noWrap/>
            <w:vAlign w:val="center"/>
            <w:hideMark/>
          </w:tcPr>
          <w:p w14:paraId="38A177E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1701" w:type="dxa"/>
            <w:tcBorders>
              <w:top w:val="nil"/>
              <w:left w:val="single" w:sz="4" w:space="0" w:color="auto"/>
              <w:bottom w:val="nil"/>
              <w:right w:val="nil"/>
            </w:tcBorders>
            <w:shd w:val="clear" w:color="000000" w:fill="FFFFFF"/>
            <w:noWrap/>
            <w:vAlign w:val="center"/>
            <w:hideMark/>
          </w:tcPr>
          <w:p w14:paraId="258091F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830</w:t>
            </w:r>
          </w:p>
        </w:tc>
        <w:tc>
          <w:tcPr>
            <w:tcW w:w="1843" w:type="dxa"/>
            <w:tcBorders>
              <w:top w:val="nil"/>
              <w:left w:val="nil"/>
              <w:bottom w:val="nil"/>
              <w:right w:val="single" w:sz="4" w:space="0" w:color="auto"/>
            </w:tcBorders>
            <w:shd w:val="clear" w:color="000000" w:fill="FFFFFF"/>
            <w:noWrap/>
            <w:vAlign w:val="center"/>
            <w:hideMark/>
          </w:tcPr>
          <w:p w14:paraId="506D409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4.229</w:t>
            </w:r>
          </w:p>
        </w:tc>
        <w:tc>
          <w:tcPr>
            <w:tcW w:w="1559" w:type="dxa"/>
            <w:tcBorders>
              <w:top w:val="nil"/>
              <w:left w:val="nil"/>
              <w:bottom w:val="nil"/>
              <w:right w:val="nil"/>
            </w:tcBorders>
            <w:shd w:val="clear" w:color="000000" w:fill="FFFFFF"/>
            <w:noWrap/>
            <w:vAlign w:val="center"/>
            <w:hideMark/>
          </w:tcPr>
          <w:p w14:paraId="0A52FA9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1560" w:type="dxa"/>
            <w:tcBorders>
              <w:top w:val="nil"/>
              <w:left w:val="single" w:sz="4" w:space="0" w:color="auto"/>
              <w:bottom w:val="nil"/>
              <w:right w:val="single" w:sz="4" w:space="0" w:color="auto"/>
            </w:tcBorders>
            <w:shd w:val="clear" w:color="000000" w:fill="FFFFFF"/>
            <w:noWrap/>
            <w:vAlign w:val="center"/>
            <w:hideMark/>
          </w:tcPr>
          <w:p w14:paraId="2C63DBE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0,77%</w:t>
            </w:r>
          </w:p>
        </w:tc>
      </w:tr>
      <w:tr w:rsidR="00FD4ED3" w:rsidRPr="00650EE4" w14:paraId="05ADCCBE" w14:textId="77777777" w:rsidTr="004F0F3B">
        <w:tc>
          <w:tcPr>
            <w:tcW w:w="3397" w:type="dxa"/>
            <w:tcBorders>
              <w:top w:val="nil"/>
              <w:left w:val="single" w:sz="4" w:space="0" w:color="auto"/>
              <w:bottom w:val="nil"/>
              <w:right w:val="nil"/>
            </w:tcBorders>
            <w:shd w:val="clear" w:color="000000" w:fill="FFFFFF"/>
            <w:noWrap/>
            <w:vAlign w:val="center"/>
            <w:hideMark/>
          </w:tcPr>
          <w:p w14:paraId="240DA930"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1701" w:type="dxa"/>
            <w:tcBorders>
              <w:top w:val="nil"/>
              <w:left w:val="single" w:sz="4" w:space="0" w:color="auto"/>
              <w:bottom w:val="nil"/>
              <w:right w:val="nil"/>
            </w:tcBorders>
            <w:shd w:val="clear" w:color="000000" w:fill="FFFFFF"/>
            <w:noWrap/>
            <w:vAlign w:val="center"/>
            <w:hideMark/>
          </w:tcPr>
          <w:p w14:paraId="3B2049E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477</w:t>
            </w:r>
          </w:p>
        </w:tc>
        <w:tc>
          <w:tcPr>
            <w:tcW w:w="1843" w:type="dxa"/>
            <w:tcBorders>
              <w:top w:val="nil"/>
              <w:left w:val="nil"/>
              <w:bottom w:val="nil"/>
              <w:right w:val="single" w:sz="4" w:space="0" w:color="auto"/>
            </w:tcBorders>
            <w:shd w:val="clear" w:color="000000" w:fill="FFFFFF"/>
            <w:noWrap/>
            <w:vAlign w:val="center"/>
            <w:hideMark/>
          </w:tcPr>
          <w:p w14:paraId="60C067A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1.527</w:t>
            </w:r>
          </w:p>
        </w:tc>
        <w:tc>
          <w:tcPr>
            <w:tcW w:w="1559" w:type="dxa"/>
            <w:tcBorders>
              <w:top w:val="nil"/>
              <w:left w:val="nil"/>
              <w:bottom w:val="nil"/>
              <w:right w:val="nil"/>
            </w:tcBorders>
            <w:shd w:val="clear" w:color="000000" w:fill="FFFFFF"/>
            <w:noWrap/>
            <w:vAlign w:val="center"/>
            <w:hideMark/>
          </w:tcPr>
          <w:p w14:paraId="5056579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1560" w:type="dxa"/>
            <w:tcBorders>
              <w:top w:val="nil"/>
              <w:left w:val="single" w:sz="4" w:space="0" w:color="auto"/>
              <w:bottom w:val="nil"/>
              <w:right w:val="single" w:sz="4" w:space="0" w:color="auto"/>
            </w:tcBorders>
            <w:shd w:val="clear" w:color="000000" w:fill="FFFFFF"/>
            <w:noWrap/>
            <w:vAlign w:val="center"/>
            <w:hideMark/>
          </w:tcPr>
          <w:p w14:paraId="1B6B7D2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0,30%</w:t>
            </w:r>
          </w:p>
        </w:tc>
      </w:tr>
      <w:tr w:rsidR="00FD4ED3" w:rsidRPr="00650EE4" w14:paraId="6F470A03" w14:textId="77777777" w:rsidTr="004F0F3B">
        <w:tc>
          <w:tcPr>
            <w:tcW w:w="3397" w:type="dxa"/>
            <w:tcBorders>
              <w:top w:val="single" w:sz="4" w:space="0" w:color="auto"/>
              <w:left w:val="single" w:sz="4" w:space="0" w:color="auto"/>
              <w:bottom w:val="single" w:sz="4" w:space="0" w:color="auto"/>
              <w:right w:val="nil"/>
            </w:tcBorders>
            <w:shd w:val="clear" w:color="000000" w:fill="FFFFFF"/>
            <w:noWrap/>
            <w:vAlign w:val="center"/>
            <w:hideMark/>
          </w:tcPr>
          <w:p w14:paraId="77943AA2"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701" w:type="dxa"/>
            <w:tcBorders>
              <w:top w:val="single" w:sz="4" w:space="0" w:color="auto"/>
              <w:left w:val="single" w:sz="4" w:space="0" w:color="auto"/>
              <w:bottom w:val="single" w:sz="4" w:space="0" w:color="auto"/>
              <w:right w:val="nil"/>
            </w:tcBorders>
            <w:shd w:val="clear" w:color="000000" w:fill="FFFFFF"/>
            <w:noWrap/>
            <w:vAlign w:val="center"/>
            <w:hideMark/>
          </w:tcPr>
          <w:p w14:paraId="0C9A601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41.202</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196573A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620.081</w:t>
            </w:r>
          </w:p>
        </w:tc>
        <w:tc>
          <w:tcPr>
            <w:tcW w:w="1559" w:type="dxa"/>
            <w:tcBorders>
              <w:top w:val="single" w:sz="4" w:space="0" w:color="auto"/>
              <w:left w:val="nil"/>
              <w:bottom w:val="single" w:sz="4" w:space="0" w:color="auto"/>
              <w:right w:val="nil"/>
            </w:tcBorders>
            <w:shd w:val="clear" w:color="000000" w:fill="FFFFFF"/>
            <w:noWrap/>
            <w:vAlign w:val="center"/>
            <w:hideMark/>
          </w:tcPr>
          <w:p w14:paraId="6413907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99C5D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7C216DFF" w14:textId="77777777" w:rsidTr="004F0F3B">
        <w:tc>
          <w:tcPr>
            <w:tcW w:w="3397" w:type="dxa"/>
            <w:tcBorders>
              <w:top w:val="nil"/>
              <w:left w:val="single" w:sz="4" w:space="0" w:color="auto"/>
              <w:bottom w:val="single" w:sz="4" w:space="0" w:color="auto"/>
              <w:right w:val="nil"/>
            </w:tcBorders>
            <w:shd w:val="clear" w:color="000000" w:fill="FFFFFF"/>
            <w:noWrap/>
            <w:vAlign w:val="center"/>
            <w:hideMark/>
          </w:tcPr>
          <w:p w14:paraId="1358178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701" w:type="dxa"/>
            <w:tcBorders>
              <w:top w:val="nil"/>
              <w:left w:val="single" w:sz="4" w:space="0" w:color="auto"/>
              <w:bottom w:val="single" w:sz="4" w:space="0" w:color="auto"/>
              <w:right w:val="nil"/>
            </w:tcBorders>
            <w:shd w:val="clear" w:color="000000" w:fill="FFFFFF"/>
            <w:noWrap/>
            <w:vAlign w:val="center"/>
            <w:hideMark/>
          </w:tcPr>
          <w:p w14:paraId="358BEC1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1843" w:type="dxa"/>
            <w:tcBorders>
              <w:top w:val="nil"/>
              <w:left w:val="nil"/>
              <w:bottom w:val="single" w:sz="4" w:space="0" w:color="auto"/>
              <w:right w:val="single" w:sz="4" w:space="0" w:color="auto"/>
            </w:tcBorders>
            <w:shd w:val="clear" w:color="000000" w:fill="FFFFFF"/>
            <w:noWrap/>
            <w:vAlign w:val="center"/>
            <w:hideMark/>
          </w:tcPr>
          <w:p w14:paraId="53EDEC5A"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94%</w:t>
            </w:r>
          </w:p>
        </w:tc>
        <w:tc>
          <w:tcPr>
            <w:tcW w:w="1559" w:type="dxa"/>
            <w:tcBorders>
              <w:top w:val="nil"/>
              <w:left w:val="nil"/>
              <w:bottom w:val="single" w:sz="4" w:space="0" w:color="auto"/>
              <w:right w:val="nil"/>
            </w:tcBorders>
            <w:shd w:val="clear" w:color="000000" w:fill="FFFFFF"/>
            <w:noWrap/>
            <w:vAlign w:val="center"/>
            <w:hideMark/>
          </w:tcPr>
          <w:p w14:paraId="69910E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7CD46B3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7238AD4" w14:textId="4E25827E" w:rsidR="00E42ED4" w:rsidRPr="00650EE4" w:rsidRDefault="005F56C6" w:rsidP="00E42ED4">
      <w:pPr>
        <w:spacing w:before="60" w:line="240" w:lineRule="auto"/>
        <w:jc w:val="both"/>
        <w:rPr>
          <w:rFonts w:ascii="Times New Roman" w:eastAsia="Times New Roman" w:hAnsi="Times New Roman"/>
          <w:i/>
          <w:color w:val="000000" w:themeColor="text1"/>
          <w:sz w:val="20"/>
          <w:szCs w:val="20"/>
        </w:rPr>
      </w:pPr>
      <w:bookmarkStart w:id="34" w:name="_Hlk39154714"/>
      <w:r w:rsidRPr="00650EE4">
        <w:rPr>
          <w:rFonts w:ascii="Times New Roman" w:eastAsia="Times New Roman" w:hAnsi="Times New Roman"/>
          <w:i/>
          <w:color w:val="000000" w:themeColor="text1"/>
          <w:sz w:val="20"/>
          <w:szCs w:val="20"/>
        </w:rPr>
        <w:t>Šaltinis: NTR</w:t>
      </w:r>
      <w:r w:rsidR="00E42ED4" w:rsidRPr="00650EE4">
        <w:rPr>
          <w:rFonts w:ascii="Times New Roman" w:eastAsia="Times New Roman" w:hAnsi="Times New Roman"/>
          <w:i/>
          <w:color w:val="000000" w:themeColor="text1"/>
          <w:sz w:val="20"/>
          <w:szCs w:val="20"/>
        </w:rPr>
        <w:t xml:space="preserve"> duomenys (2019.12.31</w:t>
      </w:r>
      <w:r w:rsidR="00FD4ED3" w:rsidRPr="00650EE4">
        <w:rPr>
          <w:rFonts w:ascii="Times New Roman" w:eastAsia="Times New Roman" w:hAnsi="Times New Roman"/>
          <w:i/>
          <w:color w:val="000000" w:themeColor="text1"/>
          <w:sz w:val="20"/>
          <w:szCs w:val="20"/>
        </w:rPr>
        <w:t>)</w:t>
      </w:r>
    </w:p>
    <w:bookmarkEnd w:id="34"/>
    <w:p w14:paraId="2991D456" w14:textId="28D48A44" w:rsidR="00E42ED4" w:rsidRPr="00650EE4" w:rsidRDefault="00E42ED4" w:rsidP="00631BA6">
      <w:pPr>
        <w:pStyle w:val="TESlentelspavadinimas"/>
        <w:rPr>
          <w:noProof w:val="0"/>
        </w:rPr>
      </w:pPr>
    </w:p>
    <w:p w14:paraId="4A79FC4B" w14:textId="365D993A" w:rsidR="00FD1EF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5" w:name="_Toc59094193"/>
      <w:r w:rsidR="00F25C65">
        <w:t>10</w:t>
      </w:r>
      <w:r w:rsidRPr="00650EE4">
        <w:rPr>
          <w:noProof w:val="0"/>
        </w:rPr>
        <w:fldChar w:fldCharType="end"/>
      </w:r>
      <w:r w:rsidR="00FD1EF1" w:rsidRPr="00650EE4">
        <w:rPr>
          <w:noProof w:val="0"/>
        </w:rPr>
        <w:t xml:space="preserve"> lentelė. Pastatų fondas pagal šildymo tipą - prijung</w:t>
      </w:r>
      <w:r w:rsidR="007C141C" w:rsidRPr="00650EE4">
        <w:rPr>
          <w:noProof w:val="0"/>
        </w:rPr>
        <w:t>t</w:t>
      </w:r>
      <w:r w:rsidR="00FD1EF1" w:rsidRPr="00650EE4">
        <w:rPr>
          <w:noProof w:val="0"/>
        </w:rPr>
        <w:t>a ar neprijungta prie CŠT (tūkst. m</w:t>
      </w:r>
      <w:r w:rsidR="00FD1EF1" w:rsidRPr="00650EE4">
        <w:rPr>
          <w:noProof w:val="0"/>
          <w:vertAlign w:val="superscript"/>
        </w:rPr>
        <w:t>2</w:t>
      </w:r>
      <w:r w:rsidR="00FD1EF1" w:rsidRPr="00650EE4">
        <w:rPr>
          <w:noProof w:val="0"/>
        </w:rPr>
        <w:t>)</w:t>
      </w:r>
      <w:bookmarkEnd w:id="35"/>
    </w:p>
    <w:tbl>
      <w:tblPr>
        <w:tblW w:w="10060" w:type="dxa"/>
        <w:tblLook w:val="04A0" w:firstRow="1" w:lastRow="0" w:firstColumn="1" w:lastColumn="0" w:noHBand="0" w:noVBand="1"/>
      </w:tblPr>
      <w:tblGrid>
        <w:gridCol w:w="3338"/>
        <w:gridCol w:w="1760"/>
        <w:gridCol w:w="1843"/>
        <w:gridCol w:w="1559"/>
        <w:gridCol w:w="1560"/>
      </w:tblGrid>
      <w:tr w:rsidR="00FD4ED3" w:rsidRPr="00650EE4" w14:paraId="6950C814" w14:textId="77777777" w:rsidTr="004F0F3B">
        <w:tc>
          <w:tcPr>
            <w:tcW w:w="3338" w:type="dxa"/>
            <w:vMerge w:val="restart"/>
            <w:tcBorders>
              <w:top w:val="single" w:sz="4" w:space="0" w:color="auto"/>
              <w:left w:val="single" w:sz="4" w:space="0" w:color="auto"/>
              <w:bottom w:val="nil"/>
              <w:right w:val="nil"/>
            </w:tcBorders>
            <w:shd w:val="clear" w:color="000000" w:fill="FFFFFF"/>
            <w:vAlign w:val="center"/>
            <w:hideMark/>
          </w:tcPr>
          <w:p w14:paraId="75256F27"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603"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8260E73"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1559" w:type="dxa"/>
            <w:vMerge w:val="restart"/>
            <w:tcBorders>
              <w:top w:val="single" w:sz="4" w:space="0" w:color="auto"/>
              <w:left w:val="nil"/>
              <w:bottom w:val="nil"/>
              <w:right w:val="nil"/>
            </w:tcBorders>
            <w:shd w:val="clear" w:color="000000" w:fill="FFFFFF"/>
            <w:vAlign w:val="center"/>
            <w:hideMark/>
          </w:tcPr>
          <w:p w14:paraId="27051F2E"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5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0A89F38B" w14:textId="77777777" w:rsidR="00FD4ED3" w:rsidRPr="00650EE4" w:rsidRDefault="00FD4ED3" w:rsidP="00FD4ED3">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Iš viso, proc.</w:t>
            </w:r>
          </w:p>
        </w:tc>
      </w:tr>
      <w:tr w:rsidR="00FD4ED3" w:rsidRPr="00650EE4" w14:paraId="54C98080" w14:textId="77777777" w:rsidTr="004F0F3B">
        <w:tc>
          <w:tcPr>
            <w:tcW w:w="3338" w:type="dxa"/>
            <w:vMerge/>
            <w:tcBorders>
              <w:top w:val="single" w:sz="4" w:space="0" w:color="auto"/>
              <w:left w:val="single" w:sz="4" w:space="0" w:color="auto"/>
              <w:bottom w:val="nil"/>
              <w:right w:val="nil"/>
            </w:tcBorders>
            <w:vAlign w:val="center"/>
            <w:hideMark/>
          </w:tcPr>
          <w:p w14:paraId="5B188407" w14:textId="77777777" w:rsidR="00FD4ED3" w:rsidRPr="00650EE4" w:rsidRDefault="00FD4ED3" w:rsidP="00FD4ED3">
            <w:pPr>
              <w:spacing w:line="240" w:lineRule="auto"/>
              <w:rPr>
                <w:rFonts w:ascii="Times New Roman" w:eastAsia="Times New Roman" w:hAnsi="Times New Roman"/>
                <w:b/>
                <w:bCs/>
                <w:sz w:val="20"/>
                <w:szCs w:val="20"/>
              </w:rPr>
            </w:pPr>
          </w:p>
        </w:tc>
        <w:tc>
          <w:tcPr>
            <w:tcW w:w="1760" w:type="dxa"/>
            <w:tcBorders>
              <w:top w:val="nil"/>
              <w:left w:val="single" w:sz="4" w:space="0" w:color="auto"/>
              <w:bottom w:val="nil"/>
              <w:right w:val="nil"/>
            </w:tcBorders>
            <w:shd w:val="clear" w:color="000000" w:fill="FFFFFF"/>
            <w:noWrap/>
            <w:vAlign w:val="center"/>
            <w:hideMark/>
          </w:tcPr>
          <w:p w14:paraId="568DD57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Prijungta</w:t>
            </w:r>
          </w:p>
        </w:tc>
        <w:tc>
          <w:tcPr>
            <w:tcW w:w="1843" w:type="dxa"/>
            <w:tcBorders>
              <w:top w:val="nil"/>
              <w:left w:val="nil"/>
              <w:bottom w:val="nil"/>
              <w:right w:val="single" w:sz="4" w:space="0" w:color="auto"/>
            </w:tcBorders>
            <w:shd w:val="clear" w:color="000000" w:fill="FFFFFF"/>
            <w:noWrap/>
            <w:vAlign w:val="center"/>
            <w:hideMark/>
          </w:tcPr>
          <w:p w14:paraId="1A41FBD0" w14:textId="77777777" w:rsidR="00FD4ED3" w:rsidRPr="00650EE4" w:rsidRDefault="00FD4ED3" w:rsidP="00FD4ED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Neprijungta</w:t>
            </w:r>
          </w:p>
        </w:tc>
        <w:tc>
          <w:tcPr>
            <w:tcW w:w="1559" w:type="dxa"/>
            <w:vMerge/>
            <w:tcBorders>
              <w:top w:val="single" w:sz="4" w:space="0" w:color="auto"/>
              <w:left w:val="nil"/>
              <w:bottom w:val="nil"/>
              <w:right w:val="nil"/>
            </w:tcBorders>
            <w:vAlign w:val="center"/>
            <w:hideMark/>
          </w:tcPr>
          <w:p w14:paraId="70661108" w14:textId="77777777" w:rsidR="00FD4ED3" w:rsidRPr="00650EE4" w:rsidRDefault="00FD4ED3" w:rsidP="00FD4ED3">
            <w:pPr>
              <w:spacing w:line="240" w:lineRule="auto"/>
              <w:rPr>
                <w:rFonts w:ascii="Times New Roman" w:eastAsia="Times New Roman" w:hAnsi="Times New Roman"/>
                <w:b/>
                <w:bCs/>
                <w:sz w:val="20"/>
                <w:szCs w:val="20"/>
              </w:rPr>
            </w:pPr>
          </w:p>
        </w:tc>
        <w:tc>
          <w:tcPr>
            <w:tcW w:w="1560" w:type="dxa"/>
            <w:vMerge/>
            <w:tcBorders>
              <w:top w:val="single" w:sz="4" w:space="0" w:color="auto"/>
              <w:left w:val="single" w:sz="4" w:space="0" w:color="auto"/>
              <w:bottom w:val="nil"/>
              <w:right w:val="single" w:sz="4" w:space="0" w:color="auto"/>
            </w:tcBorders>
            <w:vAlign w:val="center"/>
            <w:hideMark/>
          </w:tcPr>
          <w:p w14:paraId="16A86222" w14:textId="77777777" w:rsidR="00FD4ED3" w:rsidRPr="00650EE4" w:rsidRDefault="00FD4ED3" w:rsidP="00FD4ED3">
            <w:pPr>
              <w:spacing w:line="240" w:lineRule="auto"/>
              <w:rPr>
                <w:rFonts w:ascii="Times New Roman" w:eastAsia="Times New Roman" w:hAnsi="Times New Roman"/>
                <w:sz w:val="20"/>
                <w:szCs w:val="20"/>
              </w:rPr>
            </w:pPr>
          </w:p>
        </w:tc>
      </w:tr>
      <w:tr w:rsidR="00FD4ED3" w:rsidRPr="00650EE4" w14:paraId="163970F0" w14:textId="77777777" w:rsidTr="004F0F3B">
        <w:tc>
          <w:tcPr>
            <w:tcW w:w="3338" w:type="dxa"/>
            <w:tcBorders>
              <w:top w:val="single" w:sz="4" w:space="0" w:color="auto"/>
              <w:left w:val="single" w:sz="4" w:space="0" w:color="auto"/>
              <w:bottom w:val="single" w:sz="4" w:space="0" w:color="auto"/>
              <w:right w:val="nil"/>
            </w:tcBorders>
            <w:shd w:val="clear" w:color="000000" w:fill="F2F2F2"/>
            <w:noWrap/>
            <w:vAlign w:val="center"/>
            <w:hideMark/>
          </w:tcPr>
          <w:p w14:paraId="515399A6"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1.Gyvenamieji</w:t>
            </w:r>
          </w:p>
        </w:tc>
        <w:tc>
          <w:tcPr>
            <w:tcW w:w="1760" w:type="dxa"/>
            <w:tcBorders>
              <w:top w:val="single" w:sz="4" w:space="0" w:color="auto"/>
              <w:left w:val="single" w:sz="4" w:space="0" w:color="auto"/>
              <w:bottom w:val="single" w:sz="4" w:space="0" w:color="auto"/>
              <w:right w:val="nil"/>
            </w:tcBorders>
            <w:shd w:val="clear" w:color="000000" w:fill="F2F2F2"/>
            <w:noWrap/>
            <w:vAlign w:val="center"/>
            <w:hideMark/>
          </w:tcPr>
          <w:p w14:paraId="0F3A4568"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45.653</w:t>
            </w:r>
          </w:p>
        </w:tc>
        <w:tc>
          <w:tcPr>
            <w:tcW w:w="1843" w:type="dxa"/>
            <w:tcBorders>
              <w:top w:val="single" w:sz="4" w:space="0" w:color="auto"/>
              <w:left w:val="nil"/>
              <w:bottom w:val="single" w:sz="4" w:space="0" w:color="auto"/>
              <w:right w:val="single" w:sz="4" w:space="0" w:color="auto"/>
            </w:tcBorders>
            <w:shd w:val="clear" w:color="000000" w:fill="F2F2F2"/>
            <w:noWrap/>
            <w:vAlign w:val="center"/>
            <w:hideMark/>
          </w:tcPr>
          <w:p w14:paraId="498560ED"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83.351</w:t>
            </w:r>
          </w:p>
        </w:tc>
        <w:tc>
          <w:tcPr>
            <w:tcW w:w="1559" w:type="dxa"/>
            <w:tcBorders>
              <w:top w:val="single" w:sz="4" w:space="0" w:color="auto"/>
              <w:left w:val="nil"/>
              <w:bottom w:val="single" w:sz="4" w:space="0" w:color="auto"/>
              <w:right w:val="nil"/>
            </w:tcBorders>
            <w:shd w:val="clear" w:color="000000" w:fill="F2F2F2"/>
            <w:noWrap/>
            <w:vAlign w:val="center"/>
            <w:hideMark/>
          </w:tcPr>
          <w:p w14:paraId="1CE43C24"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129.004</w:t>
            </w: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AE3F4F6"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64%</w:t>
            </w:r>
          </w:p>
        </w:tc>
      </w:tr>
      <w:tr w:rsidR="00FD4ED3" w:rsidRPr="00650EE4" w14:paraId="45F8F01F" w14:textId="77777777" w:rsidTr="004F0F3B">
        <w:tc>
          <w:tcPr>
            <w:tcW w:w="3338" w:type="dxa"/>
            <w:tcBorders>
              <w:top w:val="nil"/>
              <w:left w:val="single" w:sz="4" w:space="0" w:color="auto"/>
              <w:bottom w:val="nil"/>
              <w:right w:val="nil"/>
            </w:tcBorders>
            <w:shd w:val="clear" w:color="000000" w:fill="FFFFFF"/>
            <w:noWrap/>
            <w:vAlign w:val="center"/>
            <w:hideMark/>
          </w:tcPr>
          <w:p w14:paraId="34AE6C7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1760" w:type="dxa"/>
            <w:tcBorders>
              <w:top w:val="nil"/>
              <w:left w:val="single" w:sz="4" w:space="0" w:color="auto"/>
              <w:bottom w:val="nil"/>
              <w:right w:val="nil"/>
            </w:tcBorders>
            <w:shd w:val="clear" w:color="000000" w:fill="FFFFFF"/>
            <w:noWrap/>
            <w:vAlign w:val="center"/>
            <w:hideMark/>
          </w:tcPr>
          <w:p w14:paraId="22851EA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1.388</w:t>
            </w:r>
          </w:p>
        </w:tc>
        <w:tc>
          <w:tcPr>
            <w:tcW w:w="1843" w:type="dxa"/>
            <w:tcBorders>
              <w:top w:val="nil"/>
              <w:left w:val="nil"/>
              <w:bottom w:val="nil"/>
              <w:right w:val="single" w:sz="4" w:space="0" w:color="auto"/>
            </w:tcBorders>
            <w:shd w:val="clear" w:color="000000" w:fill="FFFFFF"/>
            <w:noWrap/>
            <w:vAlign w:val="center"/>
            <w:hideMark/>
          </w:tcPr>
          <w:p w14:paraId="67F5B053"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68.152</w:t>
            </w:r>
          </w:p>
        </w:tc>
        <w:tc>
          <w:tcPr>
            <w:tcW w:w="1559" w:type="dxa"/>
            <w:tcBorders>
              <w:top w:val="nil"/>
              <w:left w:val="nil"/>
              <w:bottom w:val="nil"/>
              <w:right w:val="nil"/>
            </w:tcBorders>
            <w:shd w:val="clear" w:color="000000" w:fill="FFFFFF"/>
            <w:noWrap/>
            <w:vAlign w:val="center"/>
            <w:hideMark/>
          </w:tcPr>
          <w:p w14:paraId="577A612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1560" w:type="dxa"/>
            <w:tcBorders>
              <w:top w:val="nil"/>
              <w:left w:val="single" w:sz="4" w:space="0" w:color="auto"/>
              <w:bottom w:val="nil"/>
              <w:right w:val="single" w:sz="4" w:space="0" w:color="auto"/>
            </w:tcBorders>
            <w:shd w:val="clear" w:color="000000" w:fill="FFFFFF"/>
            <w:noWrap/>
            <w:vAlign w:val="center"/>
            <w:hideMark/>
          </w:tcPr>
          <w:p w14:paraId="0CEEF35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D4ED3" w:rsidRPr="00650EE4" w14:paraId="4A8D6594" w14:textId="77777777" w:rsidTr="004F0F3B">
        <w:tc>
          <w:tcPr>
            <w:tcW w:w="3338" w:type="dxa"/>
            <w:tcBorders>
              <w:top w:val="nil"/>
              <w:left w:val="single" w:sz="4" w:space="0" w:color="auto"/>
              <w:bottom w:val="single" w:sz="4" w:space="0" w:color="auto"/>
              <w:right w:val="nil"/>
            </w:tcBorders>
            <w:shd w:val="clear" w:color="000000" w:fill="FFFFFF"/>
            <w:noWrap/>
            <w:vAlign w:val="center"/>
            <w:hideMark/>
          </w:tcPr>
          <w:p w14:paraId="7A20A79B"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1760" w:type="dxa"/>
            <w:tcBorders>
              <w:top w:val="nil"/>
              <w:left w:val="single" w:sz="4" w:space="0" w:color="auto"/>
              <w:bottom w:val="single" w:sz="4" w:space="0" w:color="auto"/>
              <w:right w:val="nil"/>
            </w:tcBorders>
            <w:shd w:val="clear" w:color="000000" w:fill="FFFFFF"/>
            <w:noWrap/>
            <w:vAlign w:val="center"/>
            <w:hideMark/>
          </w:tcPr>
          <w:p w14:paraId="51CAD70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44.264</w:t>
            </w:r>
          </w:p>
        </w:tc>
        <w:tc>
          <w:tcPr>
            <w:tcW w:w="1843" w:type="dxa"/>
            <w:tcBorders>
              <w:top w:val="nil"/>
              <w:left w:val="nil"/>
              <w:bottom w:val="single" w:sz="4" w:space="0" w:color="auto"/>
              <w:right w:val="single" w:sz="4" w:space="0" w:color="auto"/>
            </w:tcBorders>
            <w:shd w:val="clear" w:color="000000" w:fill="FFFFFF"/>
            <w:noWrap/>
            <w:vAlign w:val="center"/>
            <w:hideMark/>
          </w:tcPr>
          <w:p w14:paraId="6DA8DD5E"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15.199</w:t>
            </w:r>
          </w:p>
        </w:tc>
        <w:tc>
          <w:tcPr>
            <w:tcW w:w="1559" w:type="dxa"/>
            <w:tcBorders>
              <w:top w:val="nil"/>
              <w:left w:val="nil"/>
              <w:bottom w:val="single" w:sz="4" w:space="0" w:color="auto"/>
              <w:right w:val="nil"/>
            </w:tcBorders>
            <w:shd w:val="clear" w:color="000000" w:fill="FFFFFF"/>
            <w:noWrap/>
            <w:vAlign w:val="center"/>
            <w:hideMark/>
          </w:tcPr>
          <w:p w14:paraId="02416294"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216F6BF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D4ED3" w:rsidRPr="00650EE4" w14:paraId="6ACEAF63" w14:textId="77777777" w:rsidTr="004F0F3B">
        <w:tc>
          <w:tcPr>
            <w:tcW w:w="3338" w:type="dxa"/>
            <w:tcBorders>
              <w:top w:val="nil"/>
              <w:left w:val="single" w:sz="4" w:space="0" w:color="auto"/>
              <w:bottom w:val="single" w:sz="4" w:space="0" w:color="auto"/>
              <w:right w:val="nil"/>
            </w:tcBorders>
            <w:shd w:val="clear" w:color="000000" w:fill="F2F2F2"/>
            <w:noWrap/>
            <w:vAlign w:val="center"/>
            <w:hideMark/>
          </w:tcPr>
          <w:p w14:paraId="2D7ECBDD" w14:textId="77777777" w:rsidR="00FD4ED3" w:rsidRPr="00650EE4" w:rsidRDefault="00FD4ED3" w:rsidP="00FD4ED3">
            <w:pPr>
              <w:spacing w:line="240" w:lineRule="auto"/>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2.Negyvenamieji</w:t>
            </w:r>
          </w:p>
        </w:tc>
        <w:tc>
          <w:tcPr>
            <w:tcW w:w="1760" w:type="dxa"/>
            <w:tcBorders>
              <w:top w:val="nil"/>
              <w:left w:val="single" w:sz="4" w:space="0" w:color="auto"/>
              <w:bottom w:val="single" w:sz="4" w:space="0" w:color="auto"/>
              <w:right w:val="nil"/>
            </w:tcBorders>
            <w:shd w:val="clear" w:color="000000" w:fill="F2F2F2"/>
            <w:noWrap/>
            <w:vAlign w:val="center"/>
            <w:hideMark/>
          </w:tcPr>
          <w:p w14:paraId="745FA2BE"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27.653</w:t>
            </w:r>
          </w:p>
        </w:tc>
        <w:tc>
          <w:tcPr>
            <w:tcW w:w="1843" w:type="dxa"/>
            <w:tcBorders>
              <w:top w:val="nil"/>
              <w:left w:val="nil"/>
              <w:bottom w:val="single" w:sz="4" w:space="0" w:color="auto"/>
              <w:right w:val="single" w:sz="4" w:space="0" w:color="auto"/>
            </w:tcBorders>
            <w:shd w:val="clear" w:color="000000" w:fill="F2F2F2"/>
            <w:noWrap/>
            <w:vAlign w:val="center"/>
            <w:hideMark/>
          </w:tcPr>
          <w:p w14:paraId="13F33B7A"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45.018</w:t>
            </w:r>
          </w:p>
        </w:tc>
        <w:tc>
          <w:tcPr>
            <w:tcW w:w="1559" w:type="dxa"/>
            <w:tcBorders>
              <w:top w:val="nil"/>
              <w:left w:val="nil"/>
              <w:bottom w:val="single" w:sz="4" w:space="0" w:color="auto"/>
              <w:right w:val="nil"/>
            </w:tcBorders>
            <w:shd w:val="clear" w:color="000000" w:fill="F2F2F2"/>
            <w:noWrap/>
            <w:vAlign w:val="center"/>
            <w:hideMark/>
          </w:tcPr>
          <w:p w14:paraId="753D72E3"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72.670</w:t>
            </w:r>
          </w:p>
        </w:tc>
        <w:tc>
          <w:tcPr>
            <w:tcW w:w="1560" w:type="dxa"/>
            <w:tcBorders>
              <w:top w:val="nil"/>
              <w:left w:val="single" w:sz="4" w:space="0" w:color="auto"/>
              <w:bottom w:val="single" w:sz="4" w:space="0" w:color="auto"/>
              <w:right w:val="single" w:sz="4" w:space="0" w:color="auto"/>
            </w:tcBorders>
            <w:shd w:val="clear" w:color="000000" w:fill="F2F2F2"/>
            <w:noWrap/>
            <w:vAlign w:val="center"/>
            <w:hideMark/>
          </w:tcPr>
          <w:p w14:paraId="516D57D0" w14:textId="77777777" w:rsidR="00FD4ED3" w:rsidRPr="00650EE4" w:rsidRDefault="00FD4ED3" w:rsidP="00FD4ED3">
            <w:pPr>
              <w:spacing w:line="240" w:lineRule="auto"/>
              <w:jc w:val="right"/>
              <w:rPr>
                <w:rFonts w:ascii="Times New Roman" w:eastAsia="Times New Roman" w:hAnsi="Times New Roman"/>
                <w:bCs/>
                <w:color w:val="auto"/>
                <w:sz w:val="20"/>
                <w:szCs w:val="20"/>
              </w:rPr>
            </w:pPr>
            <w:r w:rsidRPr="00650EE4">
              <w:rPr>
                <w:rFonts w:ascii="Times New Roman" w:eastAsia="Times New Roman" w:hAnsi="Times New Roman"/>
                <w:bCs/>
                <w:color w:val="auto"/>
                <w:sz w:val="20"/>
                <w:szCs w:val="20"/>
              </w:rPr>
              <w:t>36%</w:t>
            </w:r>
          </w:p>
        </w:tc>
      </w:tr>
      <w:tr w:rsidR="00FD4ED3" w:rsidRPr="00650EE4" w14:paraId="1B520FCF" w14:textId="77777777" w:rsidTr="004F0F3B">
        <w:tc>
          <w:tcPr>
            <w:tcW w:w="3338" w:type="dxa"/>
            <w:tcBorders>
              <w:top w:val="nil"/>
              <w:left w:val="single" w:sz="4" w:space="0" w:color="auto"/>
              <w:bottom w:val="nil"/>
              <w:right w:val="nil"/>
            </w:tcBorders>
            <w:shd w:val="clear" w:color="000000" w:fill="FFFFFF"/>
            <w:noWrap/>
            <w:vAlign w:val="center"/>
            <w:hideMark/>
          </w:tcPr>
          <w:p w14:paraId="162B473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1760" w:type="dxa"/>
            <w:tcBorders>
              <w:top w:val="nil"/>
              <w:left w:val="single" w:sz="4" w:space="0" w:color="auto"/>
              <w:bottom w:val="nil"/>
              <w:right w:val="nil"/>
            </w:tcBorders>
            <w:shd w:val="clear" w:color="000000" w:fill="FFFFFF"/>
            <w:noWrap/>
            <w:vAlign w:val="center"/>
            <w:hideMark/>
          </w:tcPr>
          <w:p w14:paraId="1558430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7.293</w:t>
            </w:r>
          </w:p>
        </w:tc>
        <w:tc>
          <w:tcPr>
            <w:tcW w:w="1843" w:type="dxa"/>
            <w:tcBorders>
              <w:top w:val="nil"/>
              <w:left w:val="nil"/>
              <w:bottom w:val="nil"/>
              <w:right w:val="single" w:sz="4" w:space="0" w:color="auto"/>
            </w:tcBorders>
            <w:shd w:val="clear" w:color="000000" w:fill="FFFFFF"/>
            <w:noWrap/>
            <w:vAlign w:val="center"/>
            <w:hideMark/>
          </w:tcPr>
          <w:p w14:paraId="76103DE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28.197</w:t>
            </w:r>
          </w:p>
        </w:tc>
        <w:tc>
          <w:tcPr>
            <w:tcW w:w="1559" w:type="dxa"/>
            <w:tcBorders>
              <w:top w:val="nil"/>
              <w:left w:val="nil"/>
              <w:bottom w:val="nil"/>
              <w:right w:val="nil"/>
            </w:tcBorders>
            <w:shd w:val="clear" w:color="000000" w:fill="FFFFFF"/>
            <w:noWrap/>
            <w:vAlign w:val="center"/>
            <w:hideMark/>
          </w:tcPr>
          <w:p w14:paraId="6823C95E"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1560" w:type="dxa"/>
            <w:tcBorders>
              <w:top w:val="nil"/>
              <w:left w:val="single" w:sz="4" w:space="0" w:color="auto"/>
              <w:bottom w:val="nil"/>
              <w:right w:val="single" w:sz="4" w:space="0" w:color="auto"/>
            </w:tcBorders>
            <w:shd w:val="clear" w:color="000000" w:fill="FFFFFF"/>
            <w:noWrap/>
            <w:vAlign w:val="center"/>
            <w:hideMark/>
          </w:tcPr>
          <w:p w14:paraId="3FF0FE2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D4ED3" w:rsidRPr="00650EE4" w14:paraId="3D46C1C7" w14:textId="77777777" w:rsidTr="004F0F3B">
        <w:tc>
          <w:tcPr>
            <w:tcW w:w="3338" w:type="dxa"/>
            <w:tcBorders>
              <w:top w:val="nil"/>
              <w:left w:val="single" w:sz="4" w:space="0" w:color="auto"/>
              <w:bottom w:val="nil"/>
              <w:right w:val="nil"/>
            </w:tcBorders>
            <w:shd w:val="clear" w:color="000000" w:fill="FFFFFF"/>
            <w:noWrap/>
            <w:vAlign w:val="center"/>
            <w:hideMark/>
          </w:tcPr>
          <w:p w14:paraId="3635272E"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1760" w:type="dxa"/>
            <w:tcBorders>
              <w:top w:val="nil"/>
              <w:left w:val="single" w:sz="4" w:space="0" w:color="auto"/>
              <w:bottom w:val="nil"/>
              <w:right w:val="nil"/>
            </w:tcBorders>
            <w:shd w:val="clear" w:color="000000" w:fill="FFFFFF"/>
            <w:noWrap/>
            <w:vAlign w:val="center"/>
            <w:hideMark/>
          </w:tcPr>
          <w:p w14:paraId="302CE548"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5.812</w:t>
            </w:r>
          </w:p>
        </w:tc>
        <w:tc>
          <w:tcPr>
            <w:tcW w:w="1843" w:type="dxa"/>
            <w:tcBorders>
              <w:top w:val="nil"/>
              <w:left w:val="nil"/>
              <w:bottom w:val="nil"/>
              <w:right w:val="single" w:sz="4" w:space="0" w:color="auto"/>
            </w:tcBorders>
            <w:shd w:val="clear" w:color="000000" w:fill="FFFFFF"/>
            <w:noWrap/>
            <w:vAlign w:val="center"/>
            <w:hideMark/>
          </w:tcPr>
          <w:p w14:paraId="4564BF44"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4.285</w:t>
            </w:r>
          </w:p>
        </w:tc>
        <w:tc>
          <w:tcPr>
            <w:tcW w:w="1559" w:type="dxa"/>
            <w:tcBorders>
              <w:top w:val="nil"/>
              <w:left w:val="nil"/>
              <w:bottom w:val="nil"/>
              <w:right w:val="nil"/>
            </w:tcBorders>
            <w:shd w:val="clear" w:color="000000" w:fill="FFFFFF"/>
            <w:noWrap/>
            <w:vAlign w:val="center"/>
            <w:hideMark/>
          </w:tcPr>
          <w:p w14:paraId="450A71D0"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1560" w:type="dxa"/>
            <w:tcBorders>
              <w:top w:val="nil"/>
              <w:left w:val="single" w:sz="4" w:space="0" w:color="auto"/>
              <w:bottom w:val="nil"/>
              <w:right w:val="single" w:sz="4" w:space="0" w:color="auto"/>
            </w:tcBorders>
            <w:shd w:val="clear" w:color="000000" w:fill="FFFFFF"/>
            <w:noWrap/>
            <w:vAlign w:val="center"/>
            <w:hideMark/>
          </w:tcPr>
          <w:p w14:paraId="3CBD17C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D4ED3" w:rsidRPr="00650EE4" w14:paraId="7D091B64" w14:textId="77777777" w:rsidTr="004F0F3B">
        <w:tc>
          <w:tcPr>
            <w:tcW w:w="3338" w:type="dxa"/>
            <w:tcBorders>
              <w:top w:val="nil"/>
              <w:left w:val="single" w:sz="4" w:space="0" w:color="auto"/>
              <w:bottom w:val="nil"/>
              <w:right w:val="nil"/>
            </w:tcBorders>
            <w:shd w:val="clear" w:color="000000" w:fill="FFFFFF"/>
            <w:noWrap/>
            <w:vAlign w:val="center"/>
            <w:hideMark/>
          </w:tcPr>
          <w:p w14:paraId="5E84D2D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1760" w:type="dxa"/>
            <w:tcBorders>
              <w:top w:val="nil"/>
              <w:left w:val="single" w:sz="4" w:space="0" w:color="auto"/>
              <w:bottom w:val="nil"/>
              <w:right w:val="nil"/>
            </w:tcBorders>
            <w:shd w:val="clear" w:color="000000" w:fill="FFFFFF"/>
            <w:noWrap/>
            <w:vAlign w:val="center"/>
            <w:hideMark/>
          </w:tcPr>
          <w:p w14:paraId="289A9E3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5.762</w:t>
            </w:r>
          </w:p>
        </w:tc>
        <w:tc>
          <w:tcPr>
            <w:tcW w:w="1843" w:type="dxa"/>
            <w:tcBorders>
              <w:top w:val="nil"/>
              <w:left w:val="nil"/>
              <w:bottom w:val="nil"/>
              <w:right w:val="single" w:sz="4" w:space="0" w:color="auto"/>
            </w:tcBorders>
            <w:shd w:val="clear" w:color="000000" w:fill="FFFFFF"/>
            <w:noWrap/>
            <w:vAlign w:val="center"/>
            <w:hideMark/>
          </w:tcPr>
          <w:p w14:paraId="4EB4585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2.741</w:t>
            </w:r>
          </w:p>
        </w:tc>
        <w:tc>
          <w:tcPr>
            <w:tcW w:w="1559" w:type="dxa"/>
            <w:tcBorders>
              <w:top w:val="nil"/>
              <w:left w:val="nil"/>
              <w:bottom w:val="nil"/>
              <w:right w:val="nil"/>
            </w:tcBorders>
            <w:shd w:val="clear" w:color="000000" w:fill="FFFFFF"/>
            <w:noWrap/>
            <w:vAlign w:val="center"/>
            <w:hideMark/>
          </w:tcPr>
          <w:p w14:paraId="77AE739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1560" w:type="dxa"/>
            <w:tcBorders>
              <w:top w:val="nil"/>
              <w:left w:val="single" w:sz="4" w:space="0" w:color="auto"/>
              <w:bottom w:val="nil"/>
              <w:right w:val="single" w:sz="4" w:space="0" w:color="auto"/>
            </w:tcBorders>
            <w:shd w:val="clear" w:color="000000" w:fill="FFFFFF"/>
            <w:noWrap/>
            <w:vAlign w:val="center"/>
            <w:hideMark/>
          </w:tcPr>
          <w:p w14:paraId="7A968F6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0F4AF0F1" w14:textId="77777777" w:rsidTr="004F0F3B">
        <w:tc>
          <w:tcPr>
            <w:tcW w:w="3338" w:type="dxa"/>
            <w:tcBorders>
              <w:top w:val="nil"/>
              <w:left w:val="single" w:sz="4" w:space="0" w:color="auto"/>
              <w:bottom w:val="nil"/>
              <w:right w:val="nil"/>
            </w:tcBorders>
            <w:shd w:val="clear" w:color="000000" w:fill="FFFFFF"/>
            <w:noWrap/>
            <w:vAlign w:val="center"/>
            <w:hideMark/>
          </w:tcPr>
          <w:p w14:paraId="616CC097"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1760" w:type="dxa"/>
            <w:tcBorders>
              <w:top w:val="nil"/>
              <w:left w:val="single" w:sz="4" w:space="0" w:color="auto"/>
              <w:bottom w:val="nil"/>
              <w:right w:val="nil"/>
            </w:tcBorders>
            <w:shd w:val="clear" w:color="000000" w:fill="FFFFFF"/>
            <w:noWrap/>
            <w:vAlign w:val="center"/>
            <w:hideMark/>
          </w:tcPr>
          <w:p w14:paraId="2425450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3.022</w:t>
            </w:r>
          </w:p>
        </w:tc>
        <w:tc>
          <w:tcPr>
            <w:tcW w:w="1843" w:type="dxa"/>
            <w:tcBorders>
              <w:top w:val="nil"/>
              <w:left w:val="nil"/>
              <w:bottom w:val="nil"/>
              <w:right w:val="single" w:sz="4" w:space="0" w:color="auto"/>
            </w:tcBorders>
            <w:shd w:val="clear" w:color="000000" w:fill="FFFFFF"/>
            <w:noWrap/>
            <w:vAlign w:val="center"/>
            <w:hideMark/>
          </w:tcPr>
          <w:p w14:paraId="44D63E7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4.042</w:t>
            </w:r>
          </w:p>
        </w:tc>
        <w:tc>
          <w:tcPr>
            <w:tcW w:w="1559" w:type="dxa"/>
            <w:tcBorders>
              <w:top w:val="nil"/>
              <w:left w:val="nil"/>
              <w:bottom w:val="nil"/>
              <w:right w:val="nil"/>
            </w:tcBorders>
            <w:shd w:val="clear" w:color="000000" w:fill="FFFFFF"/>
            <w:noWrap/>
            <w:vAlign w:val="center"/>
            <w:hideMark/>
          </w:tcPr>
          <w:p w14:paraId="6A28218A"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1560" w:type="dxa"/>
            <w:tcBorders>
              <w:top w:val="nil"/>
              <w:left w:val="single" w:sz="4" w:space="0" w:color="auto"/>
              <w:bottom w:val="nil"/>
              <w:right w:val="single" w:sz="4" w:space="0" w:color="auto"/>
            </w:tcBorders>
            <w:shd w:val="clear" w:color="000000" w:fill="FFFFFF"/>
            <w:noWrap/>
            <w:vAlign w:val="center"/>
            <w:hideMark/>
          </w:tcPr>
          <w:p w14:paraId="209BAD1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FD4ED3" w:rsidRPr="00650EE4" w14:paraId="3FFD4EB1" w14:textId="77777777" w:rsidTr="004F0F3B">
        <w:tc>
          <w:tcPr>
            <w:tcW w:w="3338" w:type="dxa"/>
            <w:tcBorders>
              <w:top w:val="nil"/>
              <w:left w:val="single" w:sz="4" w:space="0" w:color="auto"/>
              <w:bottom w:val="nil"/>
              <w:right w:val="nil"/>
            </w:tcBorders>
            <w:shd w:val="clear" w:color="000000" w:fill="FFFFFF"/>
            <w:noWrap/>
            <w:vAlign w:val="center"/>
            <w:hideMark/>
          </w:tcPr>
          <w:p w14:paraId="490A14E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1760" w:type="dxa"/>
            <w:tcBorders>
              <w:top w:val="nil"/>
              <w:left w:val="single" w:sz="4" w:space="0" w:color="auto"/>
              <w:bottom w:val="nil"/>
              <w:right w:val="nil"/>
            </w:tcBorders>
            <w:shd w:val="clear" w:color="000000" w:fill="FFFFFF"/>
            <w:noWrap/>
            <w:vAlign w:val="center"/>
            <w:hideMark/>
          </w:tcPr>
          <w:p w14:paraId="22CFF8F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2.056</w:t>
            </w:r>
          </w:p>
        </w:tc>
        <w:tc>
          <w:tcPr>
            <w:tcW w:w="1843" w:type="dxa"/>
            <w:tcBorders>
              <w:top w:val="nil"/>
              <w:left w:val="nil"/>
              <w:bottom w:val="nil"/>
              <w:right w:val="single" w:sz="4" w:space="0" w:color="auto"/>
            </w:tcBorders>
            <w:shd w:val="clear" w:color="000000" w:fill="FFFFFF"/>
            <w:noWrap/>
            <w:vAlign w:val="center"/>
            <w:hideMark/>
          </w:tcPr>
          <w:p w14:paraId="1F8E236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896</w:t>
            </w:r>
          </w:p>
        </w:tc>
        <w:tc>
          <w:tcPr>
            <w:tcW w:w="1559" w:type="dxa"/>
            <w:tcBorders>
              <w:top w:val="nil"/>
              <w:left w:val="nil"/>
              <w:bottom w:val="nil"/>
              <w:right w:val="nil"/>
            </w:tcBorders>
            <w:shd w:val="clear" w:color="000000" w:fill="FFFFFF"/>
            <w:noWrap/>
            <w:vAlign w:val="center"/>
            <w:hideMark/>
          </w:tcPr>
          <w:p w14:paraId="2AF0BE79"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1560" w:type="dxa"/>
            <w:tcBorders>
              <w:top w:val="nil"/>
              <w:left w:val="single" w:sz="4" w:space="0" w:color="auto"/>
              <w:bottom w:val="nil"/>
              <w:right w:val="single" w:sz="4" w:space="0" w:color="auto"/>
            </w:tcBorders>
            <w:shd w:val="clear" w:color="000000" w:fill="FFFFFF"/>
            <w:noWrap/>
            <w:vAlign w:val="center"/>
            <w:hideMark/>
          </w:tcPr>
          <w:p w14:paraId="70C7E732"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r>
      <w:tr w:rsidR="00FD4ED3" w:rsidRPr="00650EE4" w14:paraId="1D285EC1" w14:textId="77777777" w:rsidTr="004F0F3B">
        <w:tc>
          <w:tcPr>
            <w:tcW w:w="3338" w:type="dxa"/>
            <w:tcBorders>
              <w:top w:val="nil"/>
              <w:left w:val="single" w:sz="4" w:space="0" w:color="auto"/>
              <w:bottom w:val="nil"/>
              <w:right w:val="nil"/>
            </w:tcBorders>
            <w:shd w:val="clear" w:color="000000" w:fill="FFFFFF"/>
            <w:noWrap/>
            <w:vAlign w:val="center"/>
            <w:hideMark/>
          </w:tcPr>
          <w:p w14:paraId="73C0BAEF"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1760" w:type="dxa"/>
            <w:tcBorders>
              <w:top w:val="nil"/>
              <w:left w:val="single" w:sz="4" w:space="0" w:color="auto"/>
              <w:bottom w:val="nil"/>
              <w:right w:val="nil"/>
            </w:tcBorders>
            <w:shd w:val="clear" w:color="000000" w:fill="FFFFFF"/>
            <w:noWrap/>
            <w:vAlign w:val="center"/>
            <w:hideMark/>
          </w:tcPr>
          <w:p w14:paraId="43D04C79"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774</w:t>
            </w:r>
          </w:p>
        </w:tc>
        <w:tc>
          <w:tcPr>
            <w:tcW w:w="1843" w:type="dxa"/>
            <w:tcBorders>
              <w:top w:val="nil"/>
              <w:left w:val="nil"/>
              <w:bottom w:val="nil"/>
              <w:right w:val="single" w:sz="4" w:space="0" w:color="auto"/>
            </w:tcBorders>
            <w:shd w:val="clear" w:color="000000" w:fill="FFFFFF"/>
            <w:noWrap/>
            <w:vAlign w:val="center"/>
            <w:hideMark/>
          </w:tcPr>
          <w:p w14:paraId="29129C4B"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1.723</w:t>
            </w:r>
          </w:p>
        </w:tc>
        <w:tc>
          <w:tcPr>
            <w:tcW w:w="1559" w:type="dxa"/>
            <w:tcBorders>
              <w:top w:val="nil"/>
              <w:left w:val="nil"/>
              <w:bottom w:val="nil"/>
              <w:right w:val="nil"/>
            </w:tcBorders>
            <w:shd w:val="clear" w:color="000000" w:fill="FFFFFF"/>
            <w:noWrap/>
            <w:vAlign w:val="center"/>
            <w:hideMark/>
          </w:tcPr>
          <w:p w14:paraId="4A02B705"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1560" w:type="dxa"/>
            <w:tcBorders>
              <w:top w:val="nil"/>
              <w:left w:val="single" w:sz="4" w:space="0" w:color="auto"/>
              <w:bottom w:val="nil"/>
              <w:right w:val="single" w:sz="4" w:space="0" w:color="auto"/>
            </w:tcBorders>
            <w:shd w:val="clear" w:color="000000" w:fill="FFFFFF"/>
            <w:noWrap/>
            <w:vAlign w:val="center"/>
            <w:hideMark/>
          </w:tcPr>
          <w:p w14:paraId="6534297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1,24%</w:t>
            </w:r>
          </w:p>
        </w:tc>
      </w:tr>
      <w:tr w:rsidR="00FD4ED3" w:rsidRPr="00650EE4" w14:paraId="66E1E9B3" w14:textId="77777777" w:rsidTr="004F0F3B">
        <w:tc>
          <w:tcPr>
            <w:tcW w:w="3338" w:type="dxa"/>
            <w:tcBorders>
              <w:top w:val="nil"/>
              <w:left w:val="single" w:sz="4" w:space="0" w:color="auto"/>
              <w:bottom w:val="nil"/>
              <w:right w:val="nil"/>
            </w:tcBorders>
            <w:shd w:val="clear" w:color="000000" w:fill="FFFFFF"/>
            <w:noWrap/>
            <w:vAlign w:val="center"/>
            <w:hideMark/>
          </w:tcPr>
          <w:p w14:paraId="30C7CA63"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1760" w:type="dxa"/>
            <w:tcBorders>
              <w:top w:val="nil"/>
              <w:left w:val="single" w:sz="4" w:space="0" w:color="auto"/>
              <w:bottom w:val="nil"/>
              <w:right w:val="nil"/>
            </w:tcBorders>
            <w:shd w:val="clear" w:color="000000" w:fill="FFFFFF"/>
            <w:noWrap/>
            <w:vAlign w:val="center"/>
            <w:hideMark/>
          </w:tcPr>
          <w:p w14:paraId="7BABFB3F"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1.319</w:t>
            </w:r>
          </w:p>
        </w:tc>
        <w:tc>
          <w:tcPr>
            <w:tcW w:w="1843" w:type="dxa"/>
            <w:tcBorders>
              <w:top w:val="nil"/>
              <w:left w:val="nil"/>
              <w:bottom w:val="nil"/>
              <w:right w:val="single" w:sz="4" w:space="0" w:color="auto"/>
            </w:tcBorders>
            <w:shd w:val="clear" w:color="000000" w:fill="FFFFFF"/>
            <w:noWrap/>
            <w:vAlign w:val="center"/>
            <w:hideMark/>
          </w:tcPr>
          <w:p w14:paraId="0FD2A47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960</w:t>
            </w:r>
          </w:p>
        </w:tc>
        <w:tc>
          <w:tcPr>
            <w:tcW w:w="1559" w:type="dxa"/>
            <w:tcBorders>
              <w:top w:val="nil"/>
              <w:left w:val="nil"/>
              <w:bottom w:val="nil"/>
              <w:right w:val="nil"/>
            </w:tcBorders>
            <w:shd w:val="clear" w:color="000000" w:fill="FFFFFF"/>
            <w:noWrap/>
            <w:vAlign w:val="center"/>
            <w:hideMark/>
          </w:tcPr>
          <w:p w14:paraId="1EFB1C9B"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1560" w:type="dxa"/>
            <w:tcBorders>
              <w:top w:val="nil"/>
              <w:left w:val="single" w:sz="4" w:space="0" w:color="auto"/>
              <w:bottom w:val="nil"/>
              <w:right w:val="single" w:sz="4" w:space="0" w:color="auto"/>
            </w:tcBorders>
            <w:shd w:val="clear" w:color="000000" w:fill="FFFFFF"/>
            <w:noWrap/>
            <w:vAlign w:val="center"/>
            <w:hideMark/>
          </w:tcPr>
          <w:p w14:paraId="2285177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r>
      <w:tr w:rsidR="00FD4ED3" w:rsidRPr="00650EE4" w14:paraId="406A6147" w14:textId="77777777" w:rsidTr="004F0F3B">
        <w:tc>
          <w:tcPr>
            <w:tcW w:w="3338" w:type="dxa"/>
            <w:tcBorders>
              <w:top w:val="nil"/>
              <w:left w:val="single" w:sz="4" w:space="0" w:color="auto"/>
              <w:bottom w:val="nil"/>
              <w:right w:val="nil"/>
            </w:tcBorders>
            <w:shd w:val="clear" w:color="000000" w:fill="FFFFFF"/>
            <w:noWrap/>
            <w:vAlign w:val="center"/>
            <w:hideMark/>
          </w:tcPr>
          <w:p w14:paraId="03CF5E15"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1760" w:type="dxa"/>
            <w:tcBorders>
              <w:top w:val="nil"/>
              <w:left w:val="single" w:sz="4" w:space="0" w:color="auto"/>
              <w:bottom w:val="nil"/>
              <w:right w:val="nil"/>
            </w:tcBorders>
            <w:shd w:val="clear" w:color="000000" w:fill="FFFFFF"/>
            <w:noWrap/>
            <w:vAlign w:val="center"/>
            <w:hideMark/>
          </w:tcPr>
          <w:p w14:paraId="45590E3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727</w:t>
            </w:r>
          </w:p>
        </w:tc>
        <w:tc>
          <w:tcPr>
            <w:tcW w:w="1843" w:type="dxa"/>
            <w:tcBorders>
              <w:top w:val="nil"/>
              <w:left w:val="nil"/>
              <w:bottom w:val="nil"/>
              <w:right w:val="single" w:sz="4" w:space="0" w:color="auto"/>
            </w:tcBorders>
            <w:shd w:val="clear" w:color="000000" w:fill="FFFFFF"/>
            <w:noWrap/>
            <w:vAlign w:val="center"/>
            <w:hideMark/>
          </w:tcPr>
          <w:p w14:paraId="0484265C"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1.473</w:t>
            </w:r>
          </w:p>
        </w:tc>
        <w:tc>
          <w:tcPr>
            <w:tcW w:w="1559" w:type="dxa"/>
            <w:tcBorders>
              <w:top w:val="nil"/>
              <w:left w:val="nil"/>
              <w:bottom w:val="nil"/>
              <w:right w:val="nil"/>
            </w:tcBorders>
            <w:shd w:val="clear" w:color="000000" w:fill="FFFFFF"/>
            <w:noWrap/>
            <w:vAlign w:val="center"/>
            <w:hideMark/>
          </w:tcPr>
          <w:p w14:paraId="5CC055FC"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1560" w:type="dxa"/>
            <w:tcBorders>
              <w:top w:val="nil"/>
              <w:left w:val="single" w:sz="4" w:space="0" w:color="auto"/>
              <w:bottom w:val="nil"/>
              <w:right w:val="single" w:sz="4" w:space="0" w:color="auto"/>
            </w:tcBorders>
            <w:shd w:val="clear" w:color="000000" w:fill="FFFFFF"/>
            <w:noWrap/>
            <w:vAlign w:val="center"/>
            <w:hideMark/>
          </w:tcPr>
          <w:p w14:paraId="59AF9816"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r>
      <w:tr w:rsidR="00FD4ED3" w:rsidRPr="00650EE4" w14:paraId="58639CEE" w14:textId="77777777" w:rsidTr="004F0F3B">
        <w:tc>
          <w:tcPr>
            <w:tcW w:w="3338" w:type="dxa"/>
            <w:tcBorders>
              <w:top w:val="nil"/>
              <w:left w:val="single" w:sz="4" w:space="0" w:color="auto"/>
              <w:bottom w:val="nil"/>
              <w:right w:val="nil"/>
            </w:tcBorders>
            <w:shd w:val="clear" w:color="000000" w:fill="FFFFFF"/>
            <w:noWrap/>
            <w:vAlign w:val="center"/>
            <w:hideMark/>
          </w:tcPr>
          <w:p w14:paraId="4C22C01A"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1760" w:type="dxa"/>
            <w:tcBorders>
              <w:top w:val="nil"/>
              <w:left w:val="single" w:sz="4" w:space="0" w:color="auto"/>
              <w:bottom w:val="nil"/>
              <w:right w:val="nil"/>
            </w:tcBorders>
            <w:shd w:val="clear" w:color="000000" w:fill="FFFFFF"/>
            <w:noWrap/>
            <w:vAlign w:val="center"/>
            <w:hideMark/>
          </w:tcPr>
          <w:p w14:paraId="6C308115"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888</w:t>
            </w:r>
          </w:p>
        </w:tc>
        <w:tc>
          <w:tcPr>
            <w:tcW w:w="1843" w:type="dxa"/>
            <w:tcBorders>
              <w:top w:val="nil"/>
              <w:left w:val="nil"/>
              <w:bottom w:val="nil"/>
              <w:right w:val="single" w:sz="4" w:space="0" w:color="auto"/>
            </w:tcBorders>
            <w:shd w:val="clear" w:color="000000" w:fill="FFFFFF"/>
            <w:noWrap/>
            <w:vAlign w:val="center"/>
            <w:hideMark/>
          </w:tcPr>
          <w:p w14:paraId="1BD4E2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701</w:t>
            </w:r>
          </w:p>
        </w:tc>
        <w:tc>
          <w:tcPr>
            <w:tcW w:w="1559" w:type="dxa"/>
            <w:tcBorders>
              <w:top w:val="nil"/>
              <w:left w:val="nil"/>
              <w:bottom w:val="nil"/>
              <w:right w:val="nil"/>
            </w:tcBorders>
            <w:shd w:val="clear" w:color="000000" w:fill="FFFFFF"/>
            <w:noWrap/>
            <w:vAlign w:val="center"/>
            <w:hideMark/>
          </w:tcPr>
          <w:p w14:paraId="50F24FB7"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1560" w:type="dxa"/>
            <w:tcBorders>
              <w:top w:val="nil"/>
              <w:left w:val="single" w:sz="4" w:space="0" w:color="auto"/>
              <w:bottom w:val="nil"/>
              <w:right w:val="single" w:sz="4" w:space="0" w:color="auto"/>
            </w:tcBorders>
            <w:shd w:val="clear" w:color="000000" w:fill="FFFFFF"/>
            <w:noWrap/>
            <w:vAlign w:val="center"/>
            <w:hideMark/>
          </w:tcPr>
          <w:p w14:paraId="7AE904A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0,79%</w:t>
            </w:r>
          </w:p>
        </w:tc>
      </w:tr>
      <w:tr w:rsidR="00FD4ED3" w:rsidRPr="00650EE4" w14:paraId="4CDAAFAE" w14:textId="77777777" w:rsidTr="004F0F3B">
        <w:tc>
          <w:tcPr>
            <w:tcW w:w="3338" w:type="dxa"/>
            <w:tcBorders>
              <w:top w:val="single" w:sz="4" w:space="0" w:color="auto"/>
              <w:left w:val="single" w:sz="4" w:space="0" w:color="auto"/>
              <w:bottom w:val="single" w:sz="4" w:space="0" w:color="auto"/>
              <w:right w:val="nil"/>
            </w:tcBorders>
            <w:shd w:val="clear" w:color="000000" w:fill="FFFFFF"/>
            <w:noWrap/>
            <w:vAlign w:val="center"/>
            <w:hideMark/>
          </w:tcPr>
          <w:p w14:paraId="00884DD3" w14:textId="77777777" w:rsidR="00FD4ED3" w:rsidRPr="00650EE4" w:rsidRDefault="00FD4ED3" w:rsidP="00FD4ED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760" w:type="dxa"/>
            <w:tcBorders>
              <w:top w:val="single" w:sz="4" w:space="0" w:color="auto"/>
              <w:left w:val="single" w:sz="4" w:space="0" w:color="auto"/>
              <w:bottom w:val="single" w:sz="4" w:space="0" w:color="auto"/>
              <w:right w:val="nil"/>
            </w:tcBorders>
            <w:shd w:val="clear" w:color="000000" w:fill="FFFFFF"/>
            <w:noWrap/>
            <w:vAlign w:val="center"/>
            <w:hideMark/>
          </w:tcPr>
          <w:p w14:paraId="081E58B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73.305</w:t>
            </w:r>
          </w:p>
        </w:tc>
        <w:tc>
          <w:tcPr>
            <w:tcW w:w="1843" w:type="dxa"/>
            <w:tcBorders>
              <w:top w:val="single" w:sz="4" w:space="0" w:color="auto"/>
              <w:left w:val="nil"/>
              <w:bottom w:val="single" w:sz="4" w:space="0" w:color="auto"/>
              <w:right w:val="single" w:sz="4" w:space="0" w:color="auto"/>
            </w:tcBorders>
            <w:shd w:val="clear" w:color="000000" w:fill="FFFFFF"/>
            <w:noWrap/>
            <w:vAlign w:val="center"/>
            <w:hideMark/>
          </w:tcPr>
          <w:p w14:paraId="0F3D4B42"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128.369</w:t>
            </w:r>
          </w:p>
        </w:tc>
        <w:tc>
          <w:tcPr>
            <w:tcW w:w="1559" w:type="dxa"/>
            <w:tcBorders>
              <w:top w:val="single" w:sz="4" w:space="0" w:color="auto"/>
              <w:left w:val="nil"/>
              <w:bottom w:val="single" w:sz="4" w:space="0" w:color="auto"/>
              <w:right w:val="nil"/>
            </w:tcBorders>
            <w:shd w:val="clear" w:color="000000" w:fill="FFFFFF"/>
            <w:noWrap/>
            <w:vAlign w:val="center"/>
            <w:hideMark/>
          </w:tcPr>
          <w:p w14:paraId="3D7CD07F" w14:textId="77777777" w:rsidR="00FD4ED3" w:rsidRPr="00650EE4" w:rsidRDefault="00FD4ED3" w:rsidP="00FD4ED3">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15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576C17"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D4ED3" w:rsidRPr="00650EE4" w14:paraId="4CE9ACBF" w14:textId="77777777" w:rsidTr="004F0F3B">
        <w:tc>
          <w:tcPr>
            <w:tcW w:w="3338" w:type="dxa"/>
            <w:tcBorders>
              <w:top w:val="nil"/>
              <w:left w:val="single" w:sz="4" w:space="0" w:color="auto"/>
              <w:bottom w:val="single" w:sz="4" w:space="0" w:color="auto"/>
              <w:right w:val="nil"/>
            </w:tcBorders>
            <w:shd w:val="clear" w:color="000000" w:fill="FFFFFF"/>
            <w:noWrap/>
            <w:vAlign w:val="center"/>
            <w:hideMark/>
          </w:tcPr>
          <w:p w14:paraId="7C9293D4"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760" w:type="dxa"/>
            <w:tcBorders>
              <w:top w:val="nil"/>
              <w:left w:val="single" w:sz="4" w:space="0" w:color="auto"/>
              <w:bottom w:val="single" w:sz="4" w:space="0" w:color="auto"/>
              <w:right w:val="nil"/>
            </w:tcBorders>
            <w:shd w:val="clear" w:color="000000" w:fill="FFFFFF"/>
            <w:noWrap/>
            <w:vAlign w:val="center"/>
            <w:hideMark/>
          </w:tcPr>
          <w:p w14:paraId="1E3E2241"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1843" w:type="dxa"/>
            <w:tcBorders>
              <w:top w:val="nil"/>
              <w:left w:val="nil"/>
              <w:bottom w:val="single" w:sz="4" w:space="0" w:color="auto"/>
              <w:right w:val="single" w:sz="4" w:space="0" w:color="auto"/>
            </w:tcBorders>
            <w:shd w:val="clear" w:color="000000" w:fill="FFFFFF"/>
            <w:noWrap/>
            <w:vAlign w:val="center"/>
            <w:hideMark/>
          </w:tcPr>
          <w:p w14:paraId="50B4E35D"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1559" w:type="dxa"/>
            <w:tcBorders>
              <w:top w:val="nil"/>
              <w:left w:val="nil"/>
              <w:bottom w:val="single" w:sz="4" w:space="0" w:color="auto"/>
              <w:right w:val="nil"/>
            </w:tcBorders>
            <w:shd w:val="clear" w:color="000000" w:fill="FFFFFF"/>
            <w:noWrap/>
            <w:vAlign w:val="center"/>
            <w:hideMark/>
          </w:tcPr>
          <w:p w14:paraId="46835920" w14:textId="77777777" w:rsidR="00FD4ED3" w:rsidRPr="00650EE4" w:rsidRDefault="00FD4ED3" w:rsidP="00FD4ED3">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560" w:type="dxa"/>
            <w:tcBorders>
              <w:top w:val="nil"/>
              <w:left w:val="single" w:sz="4" w:space="0" w:color="auto"/>
              <w:bottom w:val="single" w:sz="4" w:space="0" w:color="auto"/>
              <w:right w:val="single" w:sz="4" w:space="0" w:color="auto"/>
            </w:tcBorders>
            <w:shd w:val="clear" w:color="000000" w:fill="FFFFFF"/>
            <w:noWrap/>
            <w:vAlign w:val="center"/>
            <w:hideMark/>
          </w:tcPr>
          <w:p w14:paraId="37FF0182" w14:textId="77777777" w:rsidR="00FD4ED3" w:rsidRPr="00650EE4" w:rsidRDefault="00FD4ED3" w:rsidP="00FD4ED3">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0064EBB" w14:textId="259FCCDE" w:rsidR="00E42ED4" w:rsidRPr="00650EE4" w:rsidRDefault="005F56C6" w:rsidP="00E42ED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NTR </w:t>
      </w:r>
      <w:r w:rsidR="00E42ED4" w:rsidRPr="00650EE4">
        <w:rPr>
          <w:rFonts w:ascii="Times New Roman" w:eastAsia="Times New Roman" w:hAnsi="Times New Roman"/>
          <w:i/>
          <w:color w:val="000000" w:themeColor="text1"/>
          <w:sz w:val="20"/>
          <w:szCs w:val="20"/>
        </w:rPr>
        <w:t>duomenys (2019.12.31</w:t>
      </w:r>
      <w:r w:rsidR="00FD4ED3" w:rsidRPr="00650EE4">
        <w:rPr>
          <w:rFonts w:ascii="Times New Roman" w:eastAsia="Times New Roman" w:hAnsi="Times New Roman"/>
          <w:i/>
          <w:color w:val="000000" w:themeColor="text1"/>
          <w:sz w:val="20"/>
          <w:szCs w:val="20"/>
        </w:rPr>
        <w:t>)</w:t>
      </w:r>
      <w:r w:rsidR="00FD4ED3" w:rsidRPr="00650EE4">
        <w:rPr>
          <w:rFonts w:ascii="Times New Roman" w:eastAsia="Times New Roman" w:hAnsi="Times New Roman"/>
          <w:i/>
          <w:color w:val="000000" w:themeColor="text1"/>
          <w:sz w:val="20"/>
          <w:szCs w:val="20"/>
        </w:rPr>
        <w:tab/>
      </w:r>
    </w:p>
    <w:p w14:paraId="3D075E16" w14:textId="15FF3BC3" w:rsidR="00E42ED4" w:rsidRPr="00650EE4" w:rsidRDefault="00E42ED4" w:rsidP="00E42ED4">
      <w:pPr>
        <w:rPr>
          <w:rFonts w:ascii="Times New Roman" w:hAnsi="Times New Roman"/>
          <w:color w:val="000000" w:themeColor="text1"/>
          <w:szCs w:val="22"/>
        </w:rPr>
      </w:pPr>
    </w:p>
    <w:p w14:paraId="7BA45ACA" w14:textId="2C80A91E" w:rsidR="007054AA" w:rsidRPr="00650EE4" w:rsidRDefault="00204A07" w:rsidP="00204A07">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Siekiant įsitikinti duomenų tikslumu, duomenys buvo palyginti su Lietuvos šilumos tiekėjų </w:t>
      </w:r>
      <w:r w:rsidR="007C141C" w:rsidRPr="00650EE4">
        <w:rPr>
          <w:rFonts w:ascii="Times New Roman" w:hAnsi="Times New Roman"/>
          <w:color w:val="000000" w:themeColor="text1"/>
          <w:szCs w:val="22"/>
        </w:rPr>
        <w:t>asociacijos</w:t>
      </w:r>
      <w:r w:rsidRPr="00650EE4">
        <w:rPr>
          <w:rFonts w:ascii="Times New Roman" w:hAnsi="Times New Roman"/>
          <w:color w:val="000000" w:themeColor="text1"/>
          <w:szCs w:val="22"/>
        </w:rPr>
        <w:t xml:space="preserve"> (toliau – LŠTA) skelbiama informacija. </w:t>
      </w:r>
      <w:r w:rsidR="003F26C2" w:rsidRPr="00650EE4">
        <w:rPr>
          <w:rFonts w:ascii="Times New Roman" w:hAnsi="Times New Roman"/>
          <w:color w:val="000000" w:themeColor="text1"/>
          <w:szCs w:val="22"/>
        </w:rPr>
        <w:t>Lentelė</w:t>
      </w:r>
      <w:r w:rsidRPr="00650EE4">
        <w:rPr>
          <w:rFonts w:ascii="Times New Roman" w:hAnsi="Times New Roman"/>
          <w:color w:val="000000" w:themeColor="text1"/>
          <w:szCs w:val="22"/>
        </w:rPr>
        <w:t>s</w:t>
      </w:r>
      <w:r w:rsidR="003F26C2" w:rsidRPr="00650EE4">
        <w:rPr>
          <w:rFonts w:ascii="Times New Roman" w:hAnsi="Times New Roman"/>
          <w:color w:val="000000" w:themeColor="text1"/>
          <w:szCs w:val="22"/>
        </w:rPr>
        <w:t>e žemiau pateikiam</w:t>
      </w:r>
      <w:r w:rsidRPr="00650EE4">
        <w:rPr>
          <w:rFonts w:ascii="Times New Roman" w:hAnsi="Times New Roman"/>
          <w:color w:val="000000" w:themeColor="text1"/>
          <w:szCs w:val="22"/>
        </w:rPr>
        <w:t>as duomenų palyginimas</w:t>
      </w:r>
      <w:r w:rsidR="003F26C2" w:rsidRPr="00650EE4">
        <w:rPr>
          <w:rFonts w:ascii="Times New Roman" w:hAnsi="Times New Roman"/>
          <w:color w:val="000000" w:themeColor="text1"/>
          <w:szCs w:val="22"/>
        </w:rPr>
        <w:t>.</w:t>
      </w:r>
    </w:p>
    <w:p w14:paraId="73CD274F" w14:textId="77777777" w:rsidR="003F26C2" w:rsidRPr="00650EE4" w:rsidRDefault="003F26C2" w:rsidP="00E42ED4">
      <w:pPr>
        <w:rPr>
          <w:rFonts w:ascii="Times New Roman" w:hAnsi="Times New Roman"/>
          <w:color w:val="000000" w:themeColor="text1"/>
          <w:szCs w:val="22"/>
        </w:rPr>
      </w:pPr>
    </w:p>
    <w:p w14:paraId="34D2FC7F" w14:textId="67B8BD6C" w:rsidR="00C02F0F"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6" w:name="_Toc59094194"/>
      <w:r w:rsidR="00F25C65">
        <w:t>11</w:t>
      </w:r>
      <w:r w:rsidRPr="00650EE4">
        <w:rPr>
          <w:noProof w:val="0"/>
        </w:rPr>
        <w:fldChar w:fldCharType="end"/>
      </w:r>
      <w:r w:rsidR="00F74305" w:rsidRPr="00650EE4">
        <w:rPr>
          <w:noProof w:val="0"/>
        </w:rPr>
        <w:t xml:space="preserve"> lentelė</w:t>
      </w:r>
      <w:r w:rsidR="00C02F0F" w:rsidRPr="00650EE4">
        <w:rPr>
          <w:noProof w:val="0"/>
        </w:rPr>
        <w:t xml:space="preserve">. Pastatų fondas pagal šildymo tipą </w:t>
      </w:r>
      <w:r w:rsidR="00806BF7" w:rsidRPr="00650EE4">
        <w:rPr>
          <w:noProof w:val="0"/>
        </w:rPr>
        <w:t xml:space="preserve">– </w:t>
      </w:r>
      <w:r w:rsidR="00C02F0F" w:rsidRPr="00650EE4">
        <w:rPr>
          <w:noProof w:val="0"/>
        </w:rPr>
        <w:t>prijung</w:t>
      </w:r>
      <w:r w:rsidR="007C141C" w:rsidRPr="00650EE4">
        <w:rPr>
          <w:noProof w:val="0"/>
        </w:rPr>
        <w:t>t</w:t>
      </w:r>
      <w:r w:rsidR="00C02F0F" w:rsidRPr="00650EE4">
        <w:rPr>
          <w:noProof w:val="0"/>
        </w:rPr>
        <w:t>a prie CŠT (vnt. ir tūkst. m</w:t>
      </w:r>
      <w:r w:rsidR="00C02F0F" w:rsidRPr="00650EE4">
        <w:rPr>
          <w:noProof w:val="0"/>
          <w:vertAlign w:val="superscript"/>
        </w:rPr>
        <w:t>2</w:t>
      </w:r>
      <w:r w:rsidR="00C02F0F" w:rsidRPr="00650EE4">
        <w:rPr>
          <w:noProof w:val="0"/>
        </w:rPr>
        <w:t>)</w:t>
      </w:r>
      <w:bookmarkEnd w:id="36"/>
    </w:p>
    <w:tbl>
      <w:tblPr>
        <w:tblW w:w="10194" w:type="dxa"/>
        <w:tblLook w:val="04A0" w:firstRow="1" w:lastRow="0" w:firstColumn="1" w:lastColumn="0" w:noHBand="0" w:noVBand="1"/>
      </w:tblPr>
      <w:tblGrid>
        <w:gridCol w:w="3029"/>
        <w:gridCol w:w="1139"/>
        <w:gridCol w:w="1033"/>
        <w:gridCol w:w="1012"/>
        <w:gridCol w:w="1307"/>
        <w:gridCol w:w="1275"/>
        <w:gridCol w:w="1399"/>
      </w:tblGrid>
      <w:tr w:rsidR="00C02F0F" w:rsidRPr="00650EE4" w14:paraId="06892C8C" w14:textId="77777777" w:rsidTr="00364E8F">
        <w:trPr>
          <w:trHeight w:val="247"/>
        </w:trPr>
        <w:tc>
          <w:tcPr>
            <w:tcW w:w="3029" w:type="dxa"/>
            <w:vMerge w:val="restart"/>
            <w:tcBorders>
              <w:top w:val="single" w:sz="4" w:space="0" w:color="auto"/>
              <w:left w:val="single" w:sz="4" w:space="0" w:color="auto"/>
              <w:bottom w:val="nil"/>
              <w:right w:val="single" w:sz="4" w:space="0" w:color="auto"/>
            </w:tcBorders>
            <w:shd w:val="clear" w:color="000000" w:fill="FFFFFF"/>
            <w:noWrap/>
            <w:vAlign w:val="center"/>
            <w:hideMark/>
          </w:tcPr>
          <w:p w14:paraId="0C5C5D46"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Grupė</w:t>
            </w:r>
          </w:p>
        </w:tc>
        <w:tc>
          <w:tcPr>
            <w:tcW w:w="2172" w:type="dxa"/>
            <w:gridSpan w:val="2"/>
            <w:tcBorders>
              <w:top w:val="single" w:sz="4" w:space="0" w:color="auto"/>
              <w:left w:val="single" w:sz="4" w:space="0" w:color="auto"/>
              <w:bottom w:val="nil"/>
              <w:right w:val="single" w:sz="4" w:space="0" w:color="000000"/>
            </w:tcBorders>
            <w:shd w:val="clear" w:color="000000" w:fill="FFFFFF"/>
            <w:noWrap/>
            <w:vAlign w:val="bottom"/>
            <w:hideMark/>
          </w:tcPr>
          <w:p w14:paraId="4E72FF99"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LŠTA duomenys</w:t>
            </w:r>
          </w:p>
        </w:tc>
        <w:tc>
          <w:tcPr>
            <w:tcW w:w="2319" w:type="dxa"/>
            <w:gridSpan w:val="2"/>
            <w:tcBorders>
              <w:top w:val="single" w:sz="4" w:space="0" w:color="auto"/>
              <w:left w:val="nil"/>
              <w:bottom w:val="nil"/>
              <w:right w:val="single" w:sz="4" w:space="0" w:color="000000"/>
            </w:tcBorders>
            <w:shd w:val="clear" w:color="000000" w:fill="FFFFFF"/>
            <w:noWrap/>
            <w:vAlign w:val="bottom"/>
            <w:hideMark/>
          </w:tcPr>
          <w:p w14:paraId="2CC48120" w14:textId="41BD0762"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 xml:space="preserve">NTR </w:t>
            </w:r>
            <w:r w:rsidR="00A514C7" w:rsidRPr="00650EE4">
              <w:rPr>
                <w:rFonts w:ascii="Times New Roman" w:eastAsia="Times New Roman" w:hAnsi="Times New Roman"/>
                <w:b/>
                <w:sz w:val="20"/>
                <w:szCs w:val="20"/>
              </w:rPr>
              <w:t>duomenys</w:t>
            </w:r>
          </w:p>
        </w:tc>
        <w:tc>
          <w:tcPr>
            <w:tcW w:w="2674" w:type="dxa"/>
            <w:gridSpan w:val="2"/>
            <w:tcBorders>
              <w:top w:val="single" w:sz="4" w:space="0" w:color="auto"/>
              <w:left w:val="nil"/>
              <w:bottom w:val="single" w:sz="4" w:space="0" w:color="auto"/>
              <w:right w:val="single" w:sz="4" w:space="0" w:color="000000"/>
            </w:tcBorders>
            <w:shd w:val="clear" w:color="000000" w:fill="FFFFFF"/>
            <w:noWrap/>
            <w:vAlign w:val="bottom"/>
            <w:hideMark/>
          </w:tcPr>
          <w:p w14:paraId="099A7BB9" w14:textId="77777777" w:rsidR="00C02F0F" w:rsidRPr="00650EE4" w:rsidRDefault="00C02F0F" w:rsidP="00C02F0F">
            <w:pPr>
              <w:spacing w:line="240" w:lineRule="auto"/>
              <w:jc w:val="center"/>
              <w:rPr>
                <w:rFonts w:ascii="Times New Roman" w:eastAsia="Times New Roman" w:hAnsi="Times New Roman"/>
                <w:b/>
                <w:sz w:val="20"/>
                <w:szCs w:val="20"/>
              </w:rPr>
            </w:pPr>
            <w:r w:rsidRPr="00650EE4">
              <w:rPr>
                <w:rFonts w:ascii="Times New Roman" w:eastAsia="Times New Roman" w:hAnsi="Times New Roman"/>
                <w:b/>
                <w:sz w:val="20"/>
                <w:szCs w:val="20"/>
              </w:rPr>
              <w:t>Skirtumas</w:t>
            </w:r>
          </w:p>
        </w:tc>
      </w:tr>
      <w:tr w:rsidR="00A514C7" w:rsidRPr="00650EE4" w14:paraId="74238DBC" w14:textId="77777777" w:rsidTr="00364E8F">
        <w:trPr>
          <w:trHeight w:val="403"/>
        </w:trPr>
        <w:tc>
          <w:tcPr>
            <w:tcW w:w="3029" w:type="dxa"/>
            <w:vMerge/>
            <w:tcBorders>
              <w:top w:val="single" w:sz="4" w:space="0" w:color="auto"/>
              <w:left w:val="single" w:sz="4" w:space="0" w:color="auto"/>
              <w:bottom w:val="nil"/>
              <w:right w:val="single" w:sz="4" w:space="0" w:color="auto"/>
            </w:tcBorders>
            <w:vAlign w:val="center"/>
            <w:hideMark/>
          </w:tcPr>
          <w:p w14:paraId="577E9D26" w14:textId="77777777" w:rsidR="00C02F0F" w:rsidRPr="00650EE4" w:rsidRDefault="00C02F0F" w:rsidP="00C02F0F">
            <w:pPr>
              <w:spacing w:line="240" w:lineRule="auto"/>
              <w:rPr>
                <w:rFonts w:ascii="Times New Roman" w:eastAsia="Times New Roman" w:hAnsi="Times New Roman"/>
                <w:b/>
                <w:sz w:val="20"/>
                <w:szCs w:val="20"/>
              </w:rPr>
            </w:pPr>
          </w:p>
        </w:tc>
        <w:tc>
          <w:tcPr>
            <w:tcW w:w="1139" w:type="dxa"/>
            <w:tcBorders>
              <w:top w:val="single" w:sz="4" w:space="0" w:color="auto"/>
              <w:left w:val="single" w:sz="4" w:space="0" w:color="auto"/>
              <w:bottom w:val="single" w:sz="4" w:space="0" w:color="auto"/>
              <w:right w:val="nil"/>
            </w:tcBorders>
            <w:shd w:val="clear" w:color="000000" w:fill="FFFFFF"/>
            <w:vAlign w:val="bottom"/>
            <w:hideMark/>
          </w:tcPr>
          <w:p w14:paraId="2F5F8DAD"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Skaičius</w:t>
            </w:r>
          </w:p>
        </w:tc>
        <w:tc>
          <w:tcPr>
            <w:tcW w:w="1033" w:type="dxa"/>
            <w:tcBorders>
              <w:top w:val="single" w:sz="4" w:space="0" w:color="auto"/>
              <w:left w:val="nil"/>
              <w:bottom w:val="single" w:sz="4" w:space="0" w:color="auto"/>
              <w:right w:val="single" w:sz="4" w:space="0" w:color="auto"/>
            </w:tcBorders>
            <w:shd w:val="clear" w:color="000000" w:fill="FFFFFF"/>
            <w:vAlign w:val="bottom"/>
            <w:hideMark/>
          </w:tcPr>
          <w:p w14:paraId="7FCAFBA3" w14:textId="748AF596" w:rsidR="00C02F0F" w:rsidRPr="00650EE4" w:rsidRDefault="00C02F0F" w:rsidP="00AB36F1">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Šildomas plotas</w:t>
            </w:r>
          </w:p>
        </w:tc>
        <w:tc>
          <w:tcPr>
            <w:tcW w:w="1012" w:type="dxa"/>
            <w:tcBorders>
              <w:top w:val="single" w:sz="4" w:space="0" w:color="auto"/>
              <w:left w:val="nil"/>
              <w:bottom w:val="single" w:sz="4" w:space="0" w:color="auto"/>
              <w:right w:val="nil"/>
            </w:tcBorders>
            <w:shd w:val="clear" w:color="000000" w:fill="FFFFFF"/>
            <w:vAlign w:val="bottom"/>
            <w:hideMark/>
          </w:tcPr>
          <w:p w14:paraId="29249B98"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Skaičius</w:t>
            </w:r>
          </w:p>
        </w:tc>
        <w:tc>
          <w:tcPr>
            <w:tcW w:w="1307" w:type="dxa"/>
            <w:tcBorders>
              <w:top w:val="single" w:sz="4" w:space="0" w:color="auto"/>
              <w:left w:val="nil"/>
              <w:bottom w:val="single" w:sz="4" w:space="0" w:color="auto"/>
              <w:right w:val="single" w:sz="4" w:space="0" w:color="auto"/>
            </w:tcBorders>
            <w:shd w:val="clear" w:color="000000" w:fill="FFFFFF"/>
            <w:vAlign w:val="bottom"/>
            <w:hideMark/>
          </w:tcPr>
          <w:p w14:paraId="7C71E7F6" w14:textId="23EC33F2" w:rsidR="00C02F0F" w:rsidRPr="00650EE4" w:rsidRDefault="00C02F0F" w:rsidP="00E81DEB">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 xml:space="preserve">Šildomas </w:t>
            </w:r>
            <w:r w:rsidR="00A514C7" w:rsidRPr="00650EE4">
              <w:rPr>
                <w:rFonts w:ascii="Times New Roman" w:eastAsia="Times New Roman" w:hAnsi="Times New Roman"/>
                <w:b/>
                <w:sz w:val="20"/>
                <w:szCs w:val="20"/>
              </w:rPr>
              <w:t>plotas</w:t>
            </w:r>
          </w:p>
        </w:tc>
        <w:tc>
          <w:tcPr>
            <w:tcW w:w="1275" w:type="dxa"/>
            <w:tcBorders>
              <w:top w:val="nil"/>
              <w:left w:val="nil"/>
              <w:bottom w:val="single" w:sz="4" w:space="0" w:color="auto"/>
              <w:right w:val="nil"/>
            </w:tcBorders>
            <w:shd w:val="clear" w:color="000000" w:fill="FFFFFF"/>
            <w:vAlign w:val="bottom"/>
            <w:hideMark/>
          </w:tcPr>
          <w:p w14:paraId="38DCCF17"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Skaičiaus</w:t>
            </w:r>
          </w:p>
        </w:tc>
        <w:tc>
          <w:tcPr>
            <w:tcW w:w="1399" w:type="dxa"/>
            <w:tcBorders>
              <w:top w:val="nil"/>
              <w:left w:val="nil"/>
              <w:bottom w:val="single" w:sz="4" w:space="0" w:color="auto"/>
              <w:right w:val="single" w:sz="4" w:space="0" w:color="auto"/>
            </w:tcBorders>
            <w:shd w:val="clear" w:color="000000" w:fill="FFFFFF"/>
            <w:vAlign w:val="bottom"/>
            <w:hideMark/>
          </w:tcPr>
          <w:p w14:paraId="0A016F9D" w14:textId="77777777" w:rsidR="00C02F0F" w:rsidRPr="00650EE4" w:rsidRDefault="00C02F0F" w:rsidP="00C02F0F">
            <w:pPr>
              <w:spacing w:line="240" w:lineRule="auto"/>
              <w:jc w:val="right"/>
              <w:rPr>
                <w:rFonts w:ascii="Times New Roman" w:eastAsia="Times New Roman" w:hAnsi="Times New Roman"/>
                <w:b/>
                <w:sz w:val="20"/>
                <w:szCs w:val="20"/>
              </w:rPr>
            </w:pPr>
            <w:r w:rsidRPr="00650EE4">
              <w:rPr>
                <w:rFonts w:ascii="Times New Roman" w:eastAsia="Times New Roman" w:hAnsi="Times New Roman"/>
                <w:b/>
                <w:sz w:val="20"/>
                <w:szCs w:val="20"/>
              </w:rPr>
              <w:t>Šildomo ploto</w:t>
            </w:r>
          </w:p>
        </w:tc>
      </w:tr>
      <w:tr w:rsidR="00A514C7" w:rsidRPr="00650EE4" w14:paraId="28109124" w14:textId="77777777" w:rsidTr="00364E8F">
        <w:trPr>
          <w:trHeight w:val="202"/>
        </w:trPr>
        <w:tc>
          <w:tcPr>
            <w:tcW w:w="3029" w:type="dxa"/>
            <w:tcBorders>
              <w:top w:val="single" w:sz="4" w:space="0" w:color="auto"/>
              <w:left w:val="single" w:sz="4" w:space="0" w:color="auto"/>
              <w:bottom w:val="nil"/>
              <w:right w:val="single" w:sz="4" w:space="0" w:color="auto"/>
            </w:tcBorders>
            <w:shd w:val="clear" w:color="000000" w:fill="FFFFFF"/>
            <w:noWrap/>
            <w:vAlign w:val="bottom"/>
            <w:hideMark/>
          </w:tcPr>
          <w:p w14:paraId="13014BE0"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Individualūs</w:t>
            </w:r>
          </w:p>
        </w:tc>
        <w:tc>
          <w:tcPr>
            <w:tcW w:w="1139" w:type="dxa"/>
            <w:tcBorders>
              <w:top w:val="nil"/>
              <w:left w:val="nil"/>
              <w:bottom w:val="nil"/>
              <w:right w:val="nil"/>
            </w:tcBorders>
            <w:shd w:val="clear" w:color="000000" w:fill="FFFFFF"/>
            <w:noWrap/>
            <w:hideMark/>
          </w:tcPr>
          <w:p w14:paraId="33C89D7A" w14:textId="47FAE9B7"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2.104</w:t>
            </w:r>
          </w:p>
        </w:tc>
        <w:tc>
          <w:tcPr>
            <w:tcW w:w="1033" w:type="dxa"/>
            <w:tcBorders>
              <w:top w:val="nil"/>
              <w:left w:val="nil"/>
              <w:bottom w:val="nil"/>
              <w:right w:val="nil"/>
            </w:tcBorders>
            <w:shd w:val="clear" w:color="000000" w:fill="FFFFFF"/>
            <w:noWrap/>
            <w:hideMark/>
          </w:tcPr>
          <w:p w14:paraId="324E27A4" w14:textId="0CEDB169"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281</w:t>
            </w:r>
          </w:p>
        </w:tc>
        <w:tc>
          <w:tcPr>
            <w:tcW w:w="1012" w:type="dxa"/>
            <w:tcBorders>
              <w:top w:val="nil"/>
              <w:left w:val="single" w:sz="4" w:space="0" w:color="auto"/>
              <w:bottom w:val="nil"/>
              <w:right w:val="nil"/>
            </w:tcBorders>
            <w:shd w:val="clear" w:color="000000" w:fill="FFFFFF"/>
            <w:noWrap/>
            <w:hideMark/>
          </w:tcPr>
          <w:p w14:paraId="7B537BA4" w14:textId="60F1D265"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7.192</w:t>
            </w:r>
          </w:p>
        </w:tc>
        <w:tc>
          <w:tcPr>
            <w:tcW w:w="1307" w:type="dxa"/>
            <w:tcBorders>
              <w:top w:val="nil"/>
              <w:left w:val="nil"/>
              <w:bottom w:val="nil"/>
              <w:right w:val="single" w:sz="4" w:space="0" w:color="auto"/>
            </w:tcBorders>
            <w:shd w:val="clear" w:color="000000" w:fill="FFFFFF"/>
            <w:noWrap/>
            <w:hideMark/>
          </w:tcPr>
          <w:p w14:paraId="4CBB4434" w14:textId="70CC535E"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962</w:t>
            </w:r>
          </w:p>
        </w:tc>
        <w:tc>
          <w:tcPr>
            <w:tcW w:w="1275" w:type="dxa"/>
            <w:tcBorders>
              <w:top w:val="nil"/>
              <w:left w:val="nil"/>
              <w:bottom w:val="nil"/>
              <w:right w:val="nil"/>
            </w:tcBorders>
            <w:shd w:val="clear" w:color="000000" w:fill="FFFFFF"/>
            <w:noWrap/>
            <w:hideMark/>
          </w:tcPr>
          <w:p w14:paraId="47346205" w14:textId="4D9F11D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-242%</w:t>
            </w:r>
          </w:p>
        </w:tc>
        <w:tc>
          <w:tcPr>
            <w:tcW w:w="1399" w:type="dxa"/>
            <w:tcBorders>
              <w:top w:val="nil"/>
              <w:left w:val="nil"/>
              <w:bottom w:val="nil"/>
              <w:right w:val="single" w:sz="4" w:space="0" w:color="auto"/>
            </w:tcBorders>
            <w:shd w:val="clear" w:color="000000" w:fill="FFFFFF"/>
            <w:noWrap/>
            <w:hideMark/>
          </w:tcPr>
          <w:p w14:paraId="3FA13F92" w14:textId="25043EE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-242%</w:t>
            </w:r>
          </w:p>
        </w:tc>
      </w:tr>
      <w:tr w:rsidR="00A514C7" w:rsidRPr="00650EE4" w14:paraId="1A3C4D4D" w14:textId="77777777" w:rsidTr="00364E8F">
        <w:trPr>
          <w:trHeight w:val="202"/>
        </w:trPr>
        <w:tc>
          <w:tcPr>
            <w:tcW w:w="3029" w:type="dxa"/>
            <w:tcBorders>
              <w:top w:val="nil"/>
              <w:left w:val="single" w:sz="4" w:space="0" w:color="auto"/>
              <w:bottom w:val="nil"/>
              <w:right w:val="single" w:sz="4" w:space="0" w:color="auto"/>
            </w:tcBorders>
            <w:shd w:val="clear" w:color="000000" w:fill="FFFFFF"/>
            <w:noWrap/>
            <w:vAlign w:val="bottom"/>
            <w:hideMark/>
          </w:tcPr>
          <w:p w14:paraId="1E9CE866"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Daugiabučiai</w:t>
            </w:r>
          </w:p>
        </w:tc>
        <w:tc>
          <w:tcPr>
            <w:tcW w:w="1139" w:type="dxa"/>
            <w:tcBorders>
              <w:top w:val="nil"/>
              <w:left w:val="nil"/>
              <w:bottom w:val="nil"/>
              <w:right w:val="nil"/>
            </w:tcBorders>
            <w:shd w:val="clear" w:color="000000" w:fill="FFFFFF"/>
            <w:noWrap/>
            <w:hideMark/>
          </w:tcPr>
          <w:p w14:paraId="048C4E20" w14:textId="608D5FC7"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18.426</w:t>
            </w:r>
          </w:p>
        </w:tc>
        <w:tc>
          <w:tcPr>
            <w:tcW w:w="1033" w:type="dxa"/>
            <w:tcBorders>
              <w:top w:val="nil"/>
              <w:left w:val="nil"/>
              <w:bottom w:val="nil"/>
              <w:right w:val="nil"/>
            </w:tcBorders>
            <w:shd w:val="clear" w:color="000000" w:fill="FFFFFF"/>
            <w:noWrap/>
            <w:hideMark/>
          </w:tcPr>
          <w:p w14:paraId="159DD687" w14:textId="622DEFA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37.206</w:t>
            </w:r>
          </w:p>
        </w:tc>
        <w:tc>
          <w:tcPr>
            <w:tcW w:w="1012" w:type="dxa"/>
            <w:tcBorders>
              <w:top w:val="nil"/>
              <w:left w:val="single" w:sz="4" w:space="0" w:color="auto"/>
              <w:bottom w:val="nil"/>
              <w:right w:val="nil"/>
            </w:tcBorders>
            <w:shd w:val="clear" w:color="000000" w:fill="FFFFFF"/>
            <w:noWrap/>
            <w:hideMark/>
          </w:tcPr>
          <w:p w14:paraId="633BB5A8" w14:textId="46C8AE6F"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19.000</w:t>
            </w:r>
          </w:p>
        </w:tc>
        <w:tc>
          <w:tcPr>
            <w:tcW w:w="1307" w:type="dxa"/>
            <w:tcBorders>
              <w:top w:val="nil"/>
              <w:left w:val="nil"/>
              <w:bottom w:val="nil"/>
              <w:right w:val="single" w:sz="4" w:space="0" w:color="auto"/>
            </w:tcBorders>
            <w:shd w:val="clear" w:color="000000" w:fill="FFFFFF"/>
            <w:noWrap/>
            <w:hideMark/>
          </w:tcPr>
          <w:p w14:paraId="04B4EC37" w14:textId="65964BA4"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35.561</w:t>
            </w:r>
          </w:p>
        </w:tc>
        <w:tc>
          <w:tcPr>
            <w:tcW w:w="1275" w:type="dxa"/>
            <w:tcBorders>
              <w:top w:val="nil"/>
              <w:left w:val="nil"/>
              <w:bottom w:val="nil"/>
              <w:right w:val="nil"/>
            </w:tcBorders>
            <w:shd w:val="clear" w:color="000000" w:fill="FFFFFF"/>
            <w:noWrap/>
            <w:hideMark/>
          </w:tcPr>
          <w:p w14:paraId="2BD6A8F6" w14:textId="351DA135"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-3%</w:t>
            </w:r>
          </w:p>
        </w:tc>
        <w:tc>
          <w:tcPr>
            <w:tcW w:w="1399" w:type="dxa"/>
            <w:tcBorders>
              <w:top w:val="nil"/>
              <w:left w:val="nil"/>
              <w:bottom w:val="nil"/>
              <w:right w:val="single" w:sz="4" w:space="0" w:color="auto"/>
            </w:tcBorders>
            <w:shd w:val="clear" w:color="000000" w:fill="FFFFFF"/>
            <w:noWrap/>
            <w:hideMark/>
          </w:tcPr>
          <w:p w14:paraId="651CBAEF" w14:textId="36A4E326"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4%</w:t>
            </w:r>
          </w:p>
        </w:tc>
      </w:tr>
      <w:tr w:rsidR="00A514C7" w:rsidRPr="00650EE4" w14:paraId="0EC5A276" w14:textId="77777777" w:rsidTr="00364E8F">
        <w:trPr>
          <w:trHeight w:val="202"/>
        </w:trPr>
        <w:tc>
          <w:tcPr>
            <w:tcW w:w="3029" w:type="dxa"/>
            <w:tcBorders>
              <w:top w:val="nil"/>
              <w:left w:val="single" w:sz="4" w:space="0" w:color="auto"/>
              <w:bottom w:val="single" w:sz="4" w:space="0" w:color="auto"/>
              <w:right w:val="single" w:sz="4" w:space="0" w:color="auto"/>
            </w:tcBorders>
            <w:shd w:val="clear" w:color="000000" w:fill="FFFFFF"/>
            <w:noWrap/>
            <w:vAlign w:val="bottom"/>
            <w:hideMark/>
          </w:tcPr>
          <w:p w14:paraId="166E3AB9"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1139" w:type="dxa"/>
            <w:tcBorders>
              <w:top w:val="nil"/>
              <w:left w:val="nil"/>
              <w:bottom w:val="nil"/>
              <w:right w:val="nil"/>
            </w:tcBorders>
            <w:shd w:val="clear" w:color="000000" w:fill="FFFFFF"/>
            <w:noWrap/>
            <w:hideMark/>
          </w:tcPr>
          <w:p w14:paraId="1DCF8414" w14:textId="2E9D47A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7.543</w:t>
            </w:r>
          </w:p>
        </w:tc>
        <w:tc>
          <w:tcPr>
            <w:tcW w:w="1033" w:type="dxa"/>
            <w:tcBorders>
              <w:top w:val="nil"/>
              <w:left w:val="nil"/>
              <w:bottom w:val="nil"/>
              <w:right w:val="nil"/>
            </w:tcBorders>
            <w:shd w:val="clear" w:color="000000" w:fill="FFFFFF"/>
            <w:noWrap/>
            <w:hideMark/>
          </w:tcPr>
          <w:p w14:paraId="3D0AC7EF" w14:textId="2030AB5E"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15.761</w:t>
            </w:r>
          </w:p>
        </w:tc>
        <w:tc>
          <w:tcPr>
            <w:tcW w:w="1012" w:type="dxa"/>
            <w:tcBorders>
              <w:top w:val="nil"/>
              <w:left w:val="single" w:sz="4" w:space="0" w:color="auto"/>
              <w:bottom w:val="single" w:sz="4" w:space="0" w:color="auto"/>
              <w:right w:val="nil"/>
            </w:tcBorders>
            <w:shd w:val="clear" w:color="000000" w:fill="FFFFFF"/>
            <w:noWrap/>
            <w:hideMark/>
          </w:tcPr>
          <w:p w14:paraId="61A4FF67" w14:textId="3B02279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15.010</w:t>
            </w:r>
          </w:p>
        </w:tc>
        <w:tc>
          <w:tcPr>
            <w:tcW w:w="1307" w:type="dxa"/>
            <w:tcBorders>
              <w:top w:val="nil"/>
              <w:left w:val="nil"/>
              <w:bottom w:val="single" w:sz="4" w:space="0" w:color="auto"/>
              <w:right w:val="single" w:sz="4" w:space="0" w:color="auto"/>
            </w:tcBorders>
            <w:shd w:val="clear" w:color="000000" w:fill="FFFFFF"/>
            <w:noWrap/>
            <w:hideMark/>
          </w:tcPr>
          <w:p w14:paraId="11E6FB9F" w14:textId="1E93EC1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27.198</w:t>
            </w:r>
          </w:p>
        </w:tc>
        <w:tc>
          <w:tcPr>
            <w:tcW w:w="1275" w:type="dxa"/>
            <w:tcBorders>
              <w:top w:val="nil"/>
              <w:left w:val="nil"/>
              <w:bottom w:val="nil"/>
              <w:right w:val="nil"/>
            </w:tcBorders>
            <w:shd w:val="clear" w:color="000000" w:fill="FFFFFF"/>
            <w:noWrap/>
            <w:hideMark/>
          </w:tcPr>
          <w:p w14:paraId="654FB722" w14:textId="0B483323"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-99%</w:t>
            </w:r>
          </w:p>
        </w:tc>
        <w:tc>
          <w:tcPr>
            <w:tcW w:w="1399" w:type="dxa"/>
            <w:tcBorders>
              <w:top w:val="nil"/>
              <w:left w:val="nil"/>
              <w:bottom w:val="single" w:sz="4" w:space="0" w:color="auto"/>
              <w:right w:val="single" w:sz="4" w:space="0" w:color="auto"/>
            </w:tcBorders>
            <w:shd w:val="clear" w:color="000000" w:fill="FFFFFF"/>
            <w:noWrap/>
            <w:hideMark/>
          </w:tcPr>
          <w:p w14:paraId="3E319248" w14:textId="502FA63B"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-73%</w:t>
            </w:r>
          </w:p>
        </w:tc>
      </w:tr>
      <w:tr w:rsidR="00A514C7" w:rsidRPr="00650EE4" w14:paraId="3D3D6D22" w14:textId="77777777" w:rsidTr="00364E8F">
        <w:trPr>
          <w:trHeight w:val="202"/>
        </w:trPr>
        <w:tc>
          <w:tcPr>
            <w:tcW w:w="3029" w:type="dxa"/>
            <w:tcBorders>
              <w:top w:val="nil"/>
              <w:left w:val="single" w:sz="4" w:space="0" w:color="auto"/>
              <w:bottom w:val="single" w:sz="4" w:space="0" w:color="auto"/>
              <w:right w:val="nil"/>
            </w:tcBorders>
            <w:shd w:val="clear" w:color="000000" w:fill="FFFFFF"/>
            <w:noWrap/>
            <w:vAlign w:val="bottom"/>
            <w:hideMark/>
          </w:tcPr>
          <w:p w14:paraId="4EF63539" w14:textId="77777777" w:rsidR="00364E8F" w:rsidRPr="00650EE4" w:rsidRDefault="00364E8F" w:rsidP="00364E8F">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Viso</w:t>
            </w:r>
          </w:p>
        </w:tc>
        <w:tc>
          <w:tcPr>
            <w:tcW w:w="1139" w:type="dxa"/>
            <w:tcBorders>
              <w:top w:val="single" w:sz="4" w:space="0" w:color="auto"/>
              <w:left w:val="single" w:sz="4" w:space="0" w:color="auto"/>
              <w:bottom w:val="single" w:sz="4" w:space="0" w:color="auto"/>
              <w:right w:val="nil"/>
            </w:tcBorders>
            <w:shd w:val="clear" w:color="000000" w:fill="FFFFFF"/>
            <w:noWrap/>
            <w:hideMark/>
          </w:tcPr>
          <w:p w14:paraId="5664B9ED" w14:textId="29B9D522"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28.073</w:t>
            </w:r>
          </w:p>
        </w:tc>
        <w:tc>
          <w:tcPr>
            <w:tcW w:w="1033" w:type="dxa"/>
            <w:tcBorders>
              <w:top w:val="single" w:sz="4" w:space="0" w:color="auto"/>
              <w:left w:val="nil"/>
              <w:bottom w:val="single" w:sz="4" w:space="0" w:color="auto"/>
              <w:right w:val="single" w:sz="4" w:space="0" w:color="auto"/>
            </w:tcBorders>
            <w:shd w:val="clear" w:color="000000" w:fill="FFFFFF"/>
            <w:noWrap/>
            <w:hideMark/>
          </w:tcPr>
          <w:p w14:paraId="713D9A5A" w14:textId="7A411562"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53.248</w:t>
            </w:r>
          </w:p>
        </w:tc>
        <w:tc>
          <w:tcPr>
            <w:tcW w:w="1012" w:type="dxa"/>
            <w:tcBorders>
              <w:top w:val="nil"/>
              <w:left w:val="nil"/>
              <w:bottom w:val="single" w:sz="4" w:space="0" w:color="auto"/>
              <w:right w:val="nil"/>
            </w:tcBorders>
            <w:shd w:val="clear" w:color="000000" w:fill="FFFFFF"/>
            <w:noWrap/>
            <w:hideMark/>
          </w:tcPr>
          <w:p w14:paraId="6357660E" w14:textId="45363BED"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41.202</w:t>
            </w:r>
          </w:p>
        </w:tc>
        <w:tc>
          <w:tcPr>
            <w:tcW w:w="1307" w:type="dxa"/>
            <w:tcBorders>
              <w:top w:val="nil"/>
              <w:left w:val="nil"/>
              <w:bottom w:val="single" w:sz="4" w:space="0" w:color="auto"/>
              <w:right w:val="single" w:sz="4" w:space="0" w:color="auto"/>
            </w:tcBorders>
            <w:shd w:val="clear" w:color="000000" w:fill="FFFFFF"/>
            <w:noWrap/>
            <w:hideMark/>
          </w:tcPr>
          <w:p w14:paraId="2AF30E90" w14:textId="117170D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63.721</w:t>
            </w:r>
          </w:p>
        </w:tc>
        <w:tc>
          <w:tcPr>
            <w:tcW w:w="1275" w:type="dxa"/>
            <w:tcBorders>
              <w:top w:val="single" w:sz="4" w:space="0" w:color="auto"/>
              <w:left w:val="nil"/>
              <w:bottom w:val="single" w:sz="4" w:space="0" w:color="auto"/>
              <w:right w:val="nil"/>
            </w:tcBorders>
            <w:shd w:val="clear" w:color="000000" w:fill="FFFFFF"/>
            <w:noWrap/>
            <w:hideMark/>
          </w:tcPr>
          <w:p w14:paraId="49827E3B" w14:textId="068A4BB8"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171%</w:t>
            </w:r>
          </w:p>
        </w:tc>
        <w:tc>
          <w:tcPr>
            <w:tcW w:w="1399" w:type="dxa"/>
            <w:tcBorders>
              <w:top w:val="nil"/>
              <w:left w:val="nil"/>
              <w:bottom w:val="single" w:sz="4" w:space="0" w:color="auto"/>
              <w:right w:val="single" w:sz="4" w:space="0" w:color="auto"/>
            </w:tcBorders>
            <w:shd w:val="clear" w:color="000000" w:fill="FFFFFF"/>
            <w:noWrap/>
            <w:hideMark/>
          </w:tcPr>
          <w:p w14:paraId="2E31880F" w14:textId="266571B1" w:rsidR="00364E8F" w:rsidRPr="00650EE4" w:rsidRDefault="00364E8F" w:rsidP="00364E8F">
            <w:pPr>
              <w:spacing w:line="240" w:lineRule="auto"/>
              <w:jc w:val="right"/>
              <w:rPr>
                <w:rFonts w:ascii="Times New Roman" w:eastAsia="Times New Roman" w:hAnsi="Times New Roman"/>
                <w:sz w:val="20"/>
                <w:szCs w:val="20"/>
                <w:highlight w:val="yellow"/>
              </w:rPr>
            </w:pPr>
            <w:r w:rsidRPr="00650EE4">
              <w:rPr>
                <w:rFonts w:ascii="Times New Roman" w:hAnsi="Times New Roman"/>
                <w:sz w:val="20"/>
                <w:szCs w:val="20"/>
              </w:rPr>
              <w:t>142%</w:t>
            </w:r>
          </w:p>
        </w:tc>
      </w:tr>
    </w:tbl>
    <w:p w14:paraId="1A89E6E4" w14:textId="68AC6BF9" w:rsidR="00C02F0F" w:rsidRPr="00650EE4" w:rsidRDefault="00C45739" w:rsidP="008D3E9E">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w:t>
      </w:r>
      <w:r w:rsidR="00C02F0F" w:rsidRPr="00650EE4">
        <w:rPr>
          <w:rFonts w:ascii="Times New Roman" w:eastAsia="Times New Roman" w:hAnsi="Times New Roman"/>
          <w:i/>
          <w:color w:val="000000" w:themeColor="text1"/>
          <w:sz w:val="20"/>
          <w:szCs w:val="20"/>
        </w:rPr>
        <w:t>tudijos</w:t>
      </w:r>
      <w:r w:rsidR="00073199">
        <w:rPr>
          <w:rFonts w:ascii="Times New Roman" w:eastAsia="Times New Roman" w:hAnsi="Times New Roman"/>
          <w:i/>
          <w:color w:val="000000" w:themeColor="text1"/>
          <w:sz w:val="20"/>
          <w:szCs w:val="20"/>
        </w:rPr>
        <w:t xml:space="preserve"> </w:t>
      </w:r>
      <w:r w:rsidR="00073199" w:rsidRPr="00073199">
        <w:rPr>
          <w:rFonts w:ascii="Times New Roman" w:eastAsia="Times New Roman" w:hAnsi="Times New Roman"/>
          <w:i/>
          <w:color w:val="000000" w:themeColor="text1"/>
          <w:sz w:val="20"/>
          <w:szCs w:val="20"/>
        </w:rPr>
        <w:t>Lietuvos ilgalaikei renovacijos strategijai parengti</w:t>
      </w:r>
      <w:r w:rsidR="00C02F0F" w:rsidRPr="00650EE4">
        <w:rPr>
          <w:rFonts w:ascii="Times New Roman" w:eastAsia="Times New Roman" w:hAnsi="Times New Roman"/>
          <w:i/>
          <w:color w:val="000000" w:themeColor="text1"/>
          <w:sz w:val="20"/>
          <w:szCs w:val="20"/>
        </w:rPr>
        <w:t xml:space="preserve"> autoriai</w:t>
      </w:r>
    </w:p>
    <w:p w14:paraId="33B9645A" w14:textId="77777777" w:rsidR="00192576" w:rsidRDefault="00192576" w:rsidP="00C45739">
      <w:pPr>
        <w:spacing w:after="120" w:line="240" w:lineRule="auto"/>
        <w:rPr>
          <w:rFonts w:ascii="Times New Roman" w:hAnsi="Times New Roman"/>
          <w:color w:val="000000" w:themeColor="text1"/>
          <w:szCs w:val="22"/>
        </w:rPr>
      </w:pPr>
    </w:p>
    <w:p w14:paraId="4D65CF61" w14:textId="693F33B9" w:rsidR="00204A07" w:rsidRPr="00650EE4" w:rsidRDefault="00D3144A" w:rsidP="00C45739">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 xml:space="preserve">LŠTA ir NTR </w:t>
      </w:r>
      <w:r w:rsidR="00204A07" w:rsidRPr="00650EE4">
        <w:rPr>
          <w:rFonts w:ascii="Times New Roman" w:hAnsi="Times New Roman"/>
          <w:color w:val="000000" w:themeColor="text1"/>
          <w:szCs w:val="22"/>
        </w:rPr>
        <w:t>duomenys reikšmingai skiriasi:</w:t>
      </w:r>
    </w:p>
    <w:p w14:paraId="757C26B6" w14:textId="33D956D3" w:rsidR="00204A07" w:rsidRPr="00650EE4" w:rsidRDefault="00204A07"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lastRenderedPageBreak/>
        <w:t>NT</w:t>
      </w:r>
      <w:r w:rsidR="00192576">
        <w:rPr>
          <w:rFonts w:ascii="Times New Roman" w:hAnsi="Times New Roman"/>
          <w:color w:val="000000" w:themeColor="text1"/>
          <w:szCs w:val="22"/>
        </w:rPr>
        <w:t>R</w:t>
      </w:r>
      <w:r w:rsidR="007054AA" w:rsidRPr="00650EE4">
        <w:rPr>
          <w:rFonts w:ascii="Times New Roman" w:hAnsi="Times New Roman"/>
          <w:color w:val="000000" w:themeColor="text1"/>
          <w:szCs w:val="22"/>
        </w:rPr>
        <w:t xml:space="preserve"> duomeni</w:t>
      </w:r>
      <w:r w:rsidRPr="00650EE4">
        <w:rPr>
          <w:rFonts w:ascii="Times New Roman" w:hAnsi="Times New Roman"/>
          <w:color w:val="000000" w:themeColor="text1"/>
          <w:szCs w:val="22"/>
        </w:rPr>
        <w:t>mis</w:t>
      </w:r>
      <w:r w:rsidR="007054AA" w:rsidRPr="00650EE4">
        <w:rPr>
          <w:rFonts w:ascii="Times New Roman" w:hAnsi="Times New Roman"/>
          <w:color w:val="000000" w:themeColor="text1"/>
          <w:szCs w:val="22"/>
        </w:rPr>
        <w:t xml:space="preserve"> prie CŠT prijungt</w:t>
      </w:r>
      <w:r w:rsidRPr="00650EE4">
        <w:rPr>
          <w:rFonts w:ascii="Times New Roman" w:hAnsi="Times New Roman"/>
          <w:color w:val="000000" w:themeColor="text1"/>
          <w:szCs w:val="22"/>
        </w:rPr>
        <w:t xml:space="preserve">a </w:t>
      </w:r>
      <w:r w:rsidR="00C93E38"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3,5 karto daugiau </w:t>
      </w:r>
      <w:r w:rsidR="00192576">
        <w:rPr>
          <w:rFonts w:ascii="Times New Roman" w:hAnsi="Times New Roman"/>
          <w:color w:val="000000" w:themeColor="text1"/>
          <w:szCs w:val="22"/>
        </w:rPr>
        <w:t>i</w:t>
      </w:r>
      <w:r w:rsidR="007054AA" w:rsidRPr="00650EE4">
        <w:rPr>
          <w:rFonts w:ascii="Times New Roman" w:hAnsi="Times New Roman"/>
          <w:color w:val="000000" w:themeColor="text1"/>
          <w:szCs w:val="22"/>
        </w:rPr>
        <w:t>ndividualios paskirties gyvenamųjų</w:t>
      </w:r>
      <w:r w:rsidR="00C02F0F" w:rsidRPr="00650EE4">
        <w:rPr>
          <w:rFonts w:ascii="Times New Roman" w:hAnsi="Times New Roman"/>
          <w:color w:val="000000" w:themeColor="text1"/>
          <w:szCs w:val="22"/>
        </w:rPr>
        <w:t xml:space="preserve"> namų</w:t>
      </w:r>
      <w:r w:rsidRPr="00650EE4">
        <w:rPr>
          <w:rFonts w:ascii="Times New Roman" w:hAnsi="Times New Roman"/>
          <w:color w:val="000000" w:themeColor="text1"/>
          <w:szCs w:val="22"/>
        </w:rPr>
        <w:t xml:space="preserve"> ploto</w:t>
      </w:r>
      <w:r w:rsidR="00192576">
        <w:rPr>
          <w:rFonts w:ascii="Times New Roman" w:hAnsi="Times New Roman"/>
          <w:color w:val="000000" w:themeColor="text1"/>
          <w:szCs w:val="22"/>
        </w:rPr>
        <w:t>;</w:t>
      </w:r>
      <w:r w:rsidR="007054AA" w:rsidRPr="00650EE4">
        <w:rPr>
          <w:rFonts w:ascii="Times New Roman" w:hAnsi="Times New Roman"/>
          <w:color w:val="000000" w:themeColor="text1"/>
          <w:szCs w:val="22"/>
        </w:rPr>
        <w:t xml:space="preserve"> </w:t>
      </w:r>
    </w:p>
    <w:p w14:paraId="775C75B0" w14:textId="1C9DD0D2" w:rsidR="00204A07" w:rsidRPr="00650EE4" w:rsidRDefault="00204A07"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NT</w:t>
      </w:r>
      <w:r w:rsidR="00192576">
        <w:rPr>
          <w:rFonts w:ascii="Times New Roman" w:hAnsi="Times New Roman"/>
          <w:color w:val="000000" w:themeColor="text1"/>
          <w:szCs w:val="22"/>
        </w:rPr>
        <w:t>R</w:t>
      </w:r>
      <w:r w:rsidRPr="00650EE4">
        <w:rPr>
          <w:rFonts w:ascii="Times New Roman" w:hAnsi="Times New Roman"/>
          <w:color w:val="000000" w:themeColor="text1"/>
          <w:szCs w:val="22"/>
        </w:rPr>
        <w:t xml:space="preserve"> duomenimis prie CŠT prijungta </w:t>
      </w:r>
      <w:r w:rsidR="00C93E38"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3,75 karto daugiau </w:t>
      </w:r>
      <w:r w:rsidR="00192576">
        <w:rPr>
          <w:rFonts w:ascii="Times New Roman" w:hAnsi="Times New Roman"/>
          <w:color w:val="000000" w:themeColor="text1"/>
          <w:szCs w:val="22"/>
        </w:rPr>
        <w:t>k</w:t>
      </w:r>
      <w:r w:rsidR="007054AA" w:rsidRPr="00650EE4">
        <w:rPr>
          <w:rFonts w:ascii="Times New Roman" w:hAnsi="Times New Roman"/>
          <w:color w:val="000000" w:themeColor="text1"/>
          <w:szCs w:val="22"/>
        </w:rPr>
        <w:t xml:space="preserve">itos negyvenamosios paskirties pastatų </w:t>
      </w:r>
      <w:r w:rsidR="00192576">
        <w:rPr>
          <w:rFonts w:ascii="Times New Roman" w:hAnsi="Times New Roman"/>
          <w:color w:val="000000" w:themeColor="text1"/>
          <w:szCs w:val="22"/>
        </w:rPr>
        <w:t>ploto;</w:t>
      </w:r>
    </w:p>
    <w:p w14:paraId="26D56C05" w14:textId="1DFF178C" w:rsidR="007054AA"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E143CF" w:rsidRPr="00650EE4">
        <w:rPr>
          <w:rFonts w:ascii="Times New Roman" w:hAnsi="Times New Roman"/>
          <w:color w:val="000000" w:themeColor="text1"/>
          <w:szCs w:val="22"/>
        </w:rPr>
        <w:t>augiabučių paskirties pastat</w:t>
      </w:r>
      <w:r w:rsidR="00204A07" w:rsidRPr="00650EE4">
        <w:rPr>
          <w:rFonts w:ascii="Times New Roman" w:hAnsi="Times New Roman"/>
          <w:color w:val="000000" w:themeColor="text1"/>
          <w:szCs w:val="22"/>
        </w:rPr>
        <w:t xml:space="preserve">ų duomenys </w:t>
      </w:r>
      <w:r w:rsidR="007C141C" w:rsidRPr="00650EE4">
        <w:rPr>
          <w:rFonts w:ascii="Times New Roman" w:hAnsi="Times New Roman"/>
          <w:color w:val="000000" w:themeColor="text1"/>
          <w:szCs w:val="22"/>
        </w:rPr>
        <w:t>reikšmingai</w:t>
      </w:r>
      <w:r w:rsidR="00204A07" w:rsidRPr="00650EE4">
        <w:rPr>
          <w:rFonts w:ascii="Times New Roman" w:hAnsi="Times New Roman"/>
          <w:color w:val="000000" w:themeColor="text1"/>
          <w:szCs w:val="22"/>
        </w:rPr>
        <w:t xml:space="preserve"> nesiskiria</w:t>
      </w:r>
      <w:r w:rsidR="00E143CF" w:rsidRPr="00650EE4">
        <w:rPr>
          <w:rFonts w:ascii="Times New Roman" w:hAnsi="Times New Roman"/>
          <w:color w:val="000000" w:themeColor="text1"/>
          <w:szCs w:val="22"/>
        </w:rPr>
        <w:t>.</w:t>
      </w:r>
    </w:p>
    <w:p w14:paraId="3A661815" w14:textId="015DA60F" w:rsidR="00204A07" w:rsidRPr="00650EE4" w:rsidRDefault="00204A07" w:rsidP="00C93E38">
      <w:pPr>
        <w:pStyle w:val="Pagrindinispaprastastekstas"/>
        <w:rPr>
          <w:rFonts w:ascii="Times New Roman" w:hAnsi="Times New Roman"/>
          <w:color w:val="000000" w:themeColor="text1"/>
          <w:szCs w:val="22"/>
        </w:rPr>
      </w:pPr>
    </w:p>
    <w:p w14:paraId="5EB13919" w14:textId="3B9E0845" w:rsidR="00E42ED4" w:rsidRPr="00650EE4" w:rsidRDefault="00F152D9" w:rsidP="00023B00">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Apibendrinant</w:t>
      </w:r>
      <w:r w:rsidR="00E42ED4"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lentelėje </w:t>
      </w:r>
      <w:r w:rsidR="00E42ED4" w:rsidRPr="00650EE4">
        <w:rPr>
          <w:rFonts w:ascii="Times New Roman" w:hAnsi="Times New Roman"/>
          <w:color w:val="000000" w:themeColor="text1"/>
          <w:szCs w:val="22"/>
        </w:rPr>
        <w:t>aukščiau pateiktus duomenis galima pastebėti, kad:</w:t>
      </w:r>
    </w:p>
    <w:p w14:paraId="4FE85C62" w14:textId="43C2317F" w:rsidR="00E42ED4" w:rsidRPr="00650EE4" w:rsidRDefault="00591469"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¼ (</w:t>
      </w:r>
      <w:r w:rsidR="00F158F6" w:rsidRPr="00650EE4">
        <w:rPr>
          <w:rFonts w:ascii="Times New Roman" w:hAnsi="Times New Roman"/>
          <w:color w:val="000000" w:themeColor="text1"/>
          <w:szCs w:val="22"/>
        </w:rPr>
        <w:t>2</w:t>
      </w:r>
      <w:r w:rsidRPr="00650EE4">
        <w:rPr>
          <w:rFonts w:ascii="Times New Roman" w:hAnsi="Times New Roman"/>
          <w:color w:val="000000" w:themeColor="text1"/>
          <w:szCs w:val="22"/>
        </w:rPr>
        <w:t xml:space="preserve">6 proc.) </w:t>
      </w:r>
      <w:r w:rsidR="00E42ED4" w:rsidRPr="00650EE4">
        <w:rPr>
          <w:rFonts w:ascii="Times New Roman" w:hAnsi="Times New Roman"/>
          <w:color w:val="000000" w:themeColor="text1"/>
          <w:szCs w:val="22"/>
        </w:rPr>
        <w:t xml:space="preserve">viso Pastatų fondo </w:t>
      </w:r>
      <w:r w:rsidR="00F75EE0" w:rsidRPr="00650EE4">
        <w:rPr>
          <w:rFonts w:ascii="Times New Roman" w:hAnsi="Times New Roman"/>
          <w:color w:val="000000" w:themeColor="text1"/>
          <w:szCs w:val="22"/>
        </w:rPr>
        <w:t>ploto</w:t>
      </w:r>
      <w:r w:rsidR="00E42ED4" w:rsidRPr="00650EE4">
        <w:rPr>
          <w:rFonts w:ascii="Times New Roman" w:hAnsi="Times New Roman"/>
          <w:color w:val="000000" w:themeColor="text1"/>
          <w:szCs w:val="22"/>
        </w:rPr>
        <w:t xml:space="preserve"> yra prijungta prie centralizuoto šildymo</w:t>
      </w:r>
      <w:r w:rsidR="00F158F6" w:rsidRPr="00650EE4">
        <w:rPr>
          <w:rFonts w:ascii="Times New Roman" w:hAnsi="Times New Roman"/>
          <w:color w:val="000000" w:themeColor="text1"/>
          <w:szCs w:val="22"/>
        </w:rPr>
        <w:t xml:space="preserve"> tiekimo sistem</w:t>
      </w:r>
      <w:r w:rsidR="00D36EEC" w:rsidRPr="00650EE4">
        <w:rPr>
          <w:rFonts w:ascii="Times New Roman" w:hAnsi="Times New Roman"/>
          <w:color w:val="000000" w:themeColor="text1"/>
          <w:szCs w:val="22"/>
        </w:rPr>
        <w:t>ų</w:t>
      </w:r>
      <w:r w:rsidR="00E42ED4" w:rsidRPr="00650EE4">
        <w:rPr>
          <w:rFonts w:ascii="Times New Roman" w:hAnsi="Times New Roman"/>
          <w:color w:val="000000" w:themeColor="text1"/>
          <w:szCs w:val="22"/>
        </w:rPr>
        <w:t xml:space="preserve">. </w:t>
      </w:r>
      <w:r w:rsidR="00F75EE0" w:rsidRPr="00650EE4">
        <w:rPr>
          <w:rFonts w:ascii="Times New Roman" w:hAnsi="Times New Roman"/>
          <w:color w:val="000000" w:themeColor="text1"/>
          <w:szCs w:val="22"/>
        </w:rPr>
        <w:t>Taigi</w:t>
      </w:r>
      <w:r w:rsidR="00E42ED4" w:rsidRPr="00650EE4">
        <w:rPr>
          <w:rFonts w:ascii="Times New Roman" w:hAnsi="Times New Roman"/>
          <w:color w:val="000000" w:themeColor="text1"/>
          <w:szCs w:val="22"/>
        </w:rPr>
        <w:t xml:space="preserve"> nors centralizuotas šildymas yra svarbus energetinio efektyvumo ko</w:t>
      </w:r>
      <w:r w:rsidRPr="00650EE4">
        <w:rPr>
          <w:rFonts w:ascii="Times New Roman" w:hAnsi="Times New Roman"/>
          <w:color w:val="000000" w:themeColor="text1"/>
          <w:szCs w:val="22"/>
        </w:rPr>
        <w:t xml:space="preserve">mponentas, jis nėra </w:t>
      </w:r>
      <w:r w:rsidR="00F75EE0" w:rsidRPr="00650EE4">
        <w:rPr>
          <w:rFonts w:ascii="Times New Roman" w:hAnsi="Times New Roman"/>
          <w:color w:val="000000" w:themeColor="text1"/>
          <w:szCs w:val="22"/>
        </w:rPr>
        <w:t>dominuojantis</w:t>
      </w:r>
      <w:r w:rsidR="00192576">
        <w:rPr>
          <w:rFonts w:ascii="Times New Roman" w:hAnsi="Times New Roman"/>
          <w:color w:val="000000" w:themeColor="text1"/>
          <w:szCs w:val="22"/>
        </w:rPr>
        <w:t>;</w:t>
      </w:r>
      <w:r w:rsidRPr="00650EE4">
        <w:rPr>
          <w:rFonts w:ascii="Times New Roman" w:hAnsi="Times New Roman"/>
          <w:color w:val="000000" w:themeColor="text1"/>
          <w:szCs w:val="22"/>
        </w:rPr>
        <w:t xml:space="preserve"> </w:t>
      </w:r>
    </w:p>
    <w:p w14:paraId="202CEF73" w14:textId="0BF1A28B" w:rsidR="00E42ED4" w:rsidRPr="00650EE4" w:rsidRDefault="00E42ED4" w:rsidP="00023B0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74 proc. daugiabučių ploto (arba 46% pagal </w:t>
      </w:r>
      <w:r w:rsidR="00122FB7" w:rsidRPr="00650EE4">
        <w:rPr>
          <w:rFonts w:ascii="Times New Roman" w:hAnsi="Times New Roman"/>
          <w:color w:val="000000" w:themeColor="text1"/>
          <w:szCs w:val="22"/>
        </w:rPr>
        <w:t xml:space="preserve">daugiabučių namų </w:t>
      </w:r>
      <w:r w:rsidRPr="00650EE4">
        <w:rPr>
          <w:rFonts w:ascii="Times New Roman" w:hAnsi="Times New Roman"/>
          <w:color w:val="000000" w:themeColor="text1"/>
          <w:szCs w:val="22"/>
        </w:rPr>
        <w:t>skaičių) yra prijungta prie CŠT sistemų (tai sudaro 60,4</w:t>
      </w:r>
      <w:r w:rsidR="00B07F06" w:rsidRPr="00650EE4">
        <w:rPr>
          <w:rFonts w:ascii="Times New Roman" w:hAnsi="Times New Roman"/>
          <w:color w:val="000000" w:themeColor="text1"/>
          <w:szCs w:val="22"/>
        </w:rPr>
        <w:t> </w:t>
      </w:r>
      <w:r w:rsidRPr="00650EE4">
        <w:rPr>
          <w:rFonts w:ascii="Times New Roman" w:hAnsi="Times New Roman"/>
          <w:color w:val="000000" w:themeColor="text1"/>
          <w:szCs w:val="22"/>
        </w:rPr>
        <w:t xml:space="preserve">proc. viso </w:t>
      </w:r>
      <w:r w:rsidR="00B07F06" w:rsidRPr="00650EE4">
        <w:rPr>
          <w:rFonts w:ascii="Times New Roman" w:hAnsi="Times New Roman"/>
          <w:color w:val="000000" w:themeColor="text1"/>
          <w:szCs w:val="22"/>
        </w:rPr>
        <w:t xml:space="preserve">prie CŠT prijungtų </w:t>
      </w:r>
      <w:r w:rsidR="00192576">
        <w:rPr>
          <w:rFonts w:ascii="Times New Roman" w:hAnsi="Times New Roman"/>
          <w:color w:val="000000" w:themeColor="text1"/>
          <w:szCs w:val="22"/>
        </w:rPr>
        <w:t>p</w:t>
      </w:r>
      <w:r w:rsidRPr="00650EE4">
        <w:rPr>
          <w:rFonts w:ascii="Times New Roman" w:hAnsi="Times New Roman"/>
          <w:color w:val="000000" w:themeColor="text1"/>
          <w:szCs w:val="22"/>
        </w:rPr>
        <w:t>astatų fondo ploto)</w:t>
      </w:r>
      <w:r w:rsidR="00192576">
        <w:rPr>
          <w:rFonts w:ascii="Times New Roman" w:hAnsi="Times New Roman"/>
          <w:color w:val="000000" w:themeColor="text1"/>
          <w:szCs w:val="22"/>
        </w:rPr>
        <w:t>;</w:t>
      </w:r>
    </w:p>
    <w:p w14:paraId="76EACC11" w14:textId="2F2AF4D3" w:rsidR="00E42ED4"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E42ED4" w:rsidRPr="00650EE4">
        <w:rPr>
          <w:rFonts w:ascii="Times New Roman" w:hAnsi="Times New Roman"/>
          <w:color w:val="000000" w:themeColor="text1"/>
          <w:szCs w:val="22"/>
        </w:rPr>
        <w:t>ik 2 proc. individualių namų (arba 1,3 proc. pagal plotą) yra prijung</w:t>
      </w:r>
      <w:r w:rsidR="008640CF" w:rsidRPr="00650EE4">
        <w:rPr>
          <w:rFonts w:ascii="Times New Roman" w:hAnsi="Times New Roman"/>
          <w:color w:val="000000" w:themeColor="text1"/>
          <w:szCs w:val="22"/>
        </w:rPr>
        <w:t>ti prie CŠT sistemų (</w:t>
      </w:r>
      <w:r w:rsidR="00E42ED4" w:rsidRPr="00650EE4">
        <w:rPr>
          <w:rFonts w:ascii="Times New Roman" w:hAnsi="Times New Roman"/>
          <w:color w:val="000000" w:themeColor="text1"/>
          <w:szCs w:val="22"/>
        </w:rPr>
        <w:t>17,5 proc. viso prie CŠT prijungtų pastatų fondo objektų skaičiau</w:t>
      </w:r>
      <w:r>
        <w:rPr>
          <w:rFonts w:ascii="Times New Roman" w:hAnsi="Times New Roman"/>
          <w:color w:val="000000" w:themeColor="text1"/>
          <w:szCs w:val="22"/>
        </w:rPr>
        <w:t>s ir tik 1,9 proc. pagal plotą);</w:t>
      </w:r>
    </w:p>
    <w:p w14:paraId="415661B4" w14:textId="4DF44F12" w:rsidR="00F152D9" w:rsidRPr="00650EE4" w:rsidRDefault="00192576" w:rsidP="00023B00">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F152D9" w:rsidRPr="00650EE4">
        <w:rPr>
          <w:rFonts w:ascii="Times New Roman" w:hAnsi="Times New Roman"/>
          <w:color w:val="000000" w:themeColor="text1"/>
          <w:szCs w:val="22"/>
        </w:rPr>
        <w:t xml:space="preserve">titinkamai, NECP numatyti energijos iš AEI didinimo tikslai per CŠT </w:t>
      </w:r>
      <w:proofErr w:type="spellStart"/>
      <w:r w:rsidR="00F152D9" w:rsidRPr="00650EE4">
        <w:rPr>
          <w:rFonts w:ascii="Times New Roman" w:hAnsi="Times New Roman"/>
          <w:color w:val="000000" w:themeColor="text1"/>
          <w:szCs w:val="22"/>
        </w:rPr>
        <w:t>dekarbonizaciją</w:t>
      </w:r>
      <w:proofErr w:type="spellEnd"/>
      <w:r w:rsidR="00F152D9" w:rsidRPr="00650EE4">
        <w:rPr>
          <w:rFonts w:ascii="Times New Roman" w:hAnsi="Times New Roman"/>
          <w:color w:val="000000" w:themeColor="text1"/>
          <w:szCs w:val="22"/>
        </w:rPr>
        <w:t xml:space="preserve"> (kuri ir </w:t>
      </w:r>
      <w:r w:rsidR="00393963" w:rsidRPr="00650EE4">
        <w:rPr>
          <w:rFonts w:ascii="Times New Roman" w:hAnsi="Times New Roman"/>
          <w:color w:val="000000" w:themeColor="text1"/>
          <w:szCs w:val="22"/>
        </w:rPr>
        <w:t xml:space="preserve">šiuo metu </w:t>
      </w:r>
      <w:r w:rsidR="00F152D9" w:rsidRPr="00650EE4">
        <w:rPr>
          <w:rFonts w:ascii="Times New Roman" w:hAnsi="Times New Roman"/>
          <w:color w:val="000000" w:themeColor="text1"/>
          <w:szCs w:val="22"/>
        </w:rPr>
        <w:t>yra stipriai pažengusi</w:t>
      </w:r>
      <w:r w:rsidR="00393963" w:rsidRPr="00650EE4">
        <w:rPr>
          <w:rFonts w:ascii="Times New Roman" w:hAnsi="Times New Roman"/>
          <w:color w:val="000000" w:themeColor="text1"/>
          <w:szCs w:val="22"/>
        </w:rPr>
        <w:t xml:space="preserve"> ir </w:t>
      </w:r>
      <w:proofErr w:type="spellStart"/>
      <w:r w:rsidR="00393963" w:rsidRPr="00650EE4">
        <w:rPr>
          <w:rFonts w:ascii="Times New Roman" w:hAnsi="Times New Roman"/>
          <w:color w:val="000000" w:themeColor="text1"/>
          <w:szCs w:val="22"/>
        </w:rPr>
        <w:t>lyderiaujanti</w:t>
      </w:r>
      <w:proofErr w:type="spellEnd"/>
      <w:r w:rsidR="00393963" w:rsidRPr="00650EE4">
        <w:rPr>
          <w:rFonts w:ascii="Times New Roman" w:hAnsi="Times New Roman"/>
          <w:color w:val="000000" w:themeColor="text1"/>
          <w:szCs w:val="22"/>
        </w:rPr>
        <w:t xml:space="preserve"> ES lygmeniu) </w:t>
      </w:r>
      <w:r w:rsidR="00F152D9" w:rsidRPr="00650EE4">
        <w:rPr>
          <w:rFonts w:ascii="Times New Roman" w:hAnsi="Times New Roman"/>
          <w:color w:val="000000" w:themeColor="text1"/>
          <w:szCs w:val="22"/>
        </w:rPr>
        <w:t>ne</w:t>
      </w:r>
      <w:r>
        <w:rPr>
          <w:rFonts w:ascii="Times New Roman" w:hAnsi="Times New Roman"/>
          <w:color w:val="000000" w:themeColor="text1"/>
          <w:szCs w:val="22"/>
        </w:rPr>
        <w:t>turės reikšmingo poveikio viso p</w:t>
      </w:r>
      <w:r w:rsidR="00F152D9" w:rsidRPr="00650EE4">
        <w:rPr>
          <w:rFonts w:ascii="Times New Roman" w:hAnsi="Times New Roman"/>
          <w:color w:val="000000" w:themeColor="text1"/>
          <w:szCs w:val="22"/>
        </w:rPr>
        <w:t>asta</w:t>
      </w:r>
      <w:r w:rsidR="00CE15D6" w:rsidRPr="00650EE4">
        <w:rPr>
          <w:rFonts w:ascii="Times New Roman" w:hAnsi="Times New Roman"/>
          <w:color w:val="000000" w:themeColor="text1"/>
          <w:szCs w:val="22"/>
        </w:rPr>
        <w:t>t</w:t>
      </w:r>
      <w:r w:rsidR="00F152D9" w:rsidRPr="00650EE4">
        <w:rPr>
          <w:rFonts w:ascii="Times New Roman" w:hAnsi="Times New Roman"/>
          <w:color w:val="000000" w:themeColor="text1"/>
          <w:szCs w:val="22"/>
        </w:rPr>
        <w:t xml:space="preserve">ų fondo apimtyje. </w:t>
      </w:r>
    </w:p>
    <w:p w14:paraId="0D6310F5" w14:textId="77777777" w:rsidR="00CE7079" w:rsidRPr="00650EE4" w:rsidRDefault="00CE7079" w:rsidP="00234179">
      <w:pPr>
        <w:rPr>
          <w:rFonts w:ascii="Times New Roman" w:hAnsi="Times New Roman"/>
          <w:color w:val="000000" w:themeColor="text1"/>
          <w:szCs w:val="22"/>
        </w:rPr>
      </w:pPr>
    </w:p>
    <w:p w14:paraId="026FD108" w14:textId="4123A48D" w:rsidR="00566C6C" w:rsidRPr="00650EE4" w:rsidRDefault="00877BD5" w:rsidP="00DF3F67">
      <w:pPr>
        <w:pStyle w:val="Antrastes31"/>
        <w:numPr>
          <w:ilvl w:val="2"/>
          <w:numId w:val="4"/>
        </w:numPr>
        <w:spacing w:before="0" w:after="0"/>
        <w:ind w:left="720" w:hanging="720"/>
        <w:rPr>
          <w:rFonts w:ascii="Times New Roman" w:hAnsi="Times New Roman"/>
          <w:color w:val="000000" w:themeColor="text1"/>
          <w:sz w:val="24"/>
          <w:szCs w:val="24"/>
          <w:lang w:val="lt-LT"/>
        </w:rPr>
      </w:pPr>
      <w:bookmarkStart w:id="37" w:name="_Toc59107507"/>
      <w:r w:rsidRPr="00650EE4">
        <w:rPr>
          <w:rFonts w:ascii="Times New Roman" w:hAnsi="Times New Roman"/>
          <w:color w:val="000000" w:themeColor="text1"/>
          <w:sz w:val="24"/>
          <w:szCs w:val="24"/>
          <w:lang w:val="lt-LT"/>
        </w:rPr>
        <w:t xml:space="preserve">Pastatų fondas pagal </w:t>
      </w:r>
      <w:r w:rsidR="0062469A" w:rsidRPr="00650EE4">
        <w:rPr>
          <w:rFonts w:ascii="Times New Roman" w:hAnsi="Times New Roman"/>
          <w:color w:val="000000" w:themeColor="text1"/>
          <w:sz w:val="24"/>
          <w:szCs w:val="24"/>
          <w:lang w:val="lt-LT"/>
        </w:rPr>
        <w:t>energinio naudingumo</w:t>
      </w:r>
      <w:r w:rsidRPr="00650EE4">
        <w:rPr>
          <w:rFonts w:ascii="Times New Roman" w:hAnsi="Times New Roman"/>
          <w:color w:val="000000" w:themeColor="text1"/>
          <w:sz w:val="24"/>
          <w:szCs w:val="24"/>
          <w:lang w:val="lt-LT"/>
        </w:rPr>
        <w:t xml:space="preserve"> klasę</w:t>
      </w:r>
      <w:bookmarkEnd w:id="37"/>
    </w:p>
    <w:p w14:paraId="50025BDA" w14:textId="6835E0CE" w:rsidR="000274F5" w:rsidRPr="00650EE4" w:rsidRDefault="000274F5" w:rsidP="00CA07B0">
      <w:pPr>
        <w:pStyle w:val="BodyText"/>
        <w:jc w:val="both"/>
        <w:rPr>
          <w:rFonts w:ascii="Times New Roman" w:hAnsi="Times New Roman"/>
          <w:color w:val="000000" w:themeColor="text1"/>
          <w:szCs w:val="22"/>
          <w:lang w:val="lt-LT"/>
        </w:rPr>
      </w:pPr>
    </w:p>
    <w:p w14:paraId="75FE202A" w14:textId="53D9827C" w:rsidR="00CC439B" w:rsidRPr="00650EE4" w:rsidRDefault="00FB0876" w:rsidP="00CA07B0">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energinio naudingumo klasė</w:t>
      </w:r>
      <w:r w:rsidR="008B6B3B" w:rsidRPr="00650EE4">
        <w:rPr>
          <w:rFonts w:ascii="Times New Roman" w:hAnsi="Times New Roman"/>
          <w:color w:val="000000" w:themeColor="text1"/>
          <w:szCs w:val="22"/>
          <w:lang w:val="lt-LT"/>
        </w:rPr>
        <w:t xml:space="preserve"> (ENK)</w:t>
      </w:r>
      <w:r w:rsidRPr="00650EE4">
        <w:rPr>
          <w:rFonts w:ascii="Times New Roman" w:hAnsi="Times New Roman"/>
          <w:color w:val="000000" w:themeColor="text1"/>
          <w:szCs w:val="22"/>
          <w:lang w:val="lt-LT"/>
        </w:rPr>
        <w:t xml:space="preserve"> – </w:t>
      </w:r>
      <w:r w:rsidR="00E70332" w:rsidRPr="00650EE4">
        <w:rPr>
          <w:rFonts w:ascii="Times New Roman" w:hAnsi="Times New Roman"/>
          <w:color w:val="000000" w:themeColor="text1"/>
          <w:szCs w:val="22"/>
          <w:lang w:val="lt-LT"/>
        </w:rPr>
        <w:t xml:space="preserve">esminis </w:t>
      </w:r>
      <w:r w:rsidRPr="00650EE4">
        <w:rPr>
          <w:rFonts w:ascii="Times New Roman" w:hAnsi="Times New Roman"/>
          <w:color w:val="000000" w:themeColor="text1"/>
          <w:szCs w:val="22"/>
          <w:lang w:val="lt-LT"/>
        </w:rPr>
        <w:t xml:space="preserve">informacijos šaltinis </w:t>
      </w:r>
      <w:r w:rsidR="007A52B6">
        <w:rPr>
          <w:rFonts w:ascii="Times New Roman" w:hAnsi="Times New Roman"/>
          <w:color w:val="000000" w:themeColor="text1"/>
          <w:szCs w:val="22"/>
          <w:lang w:val="lt-LT"/>
        </w:rPr>
        <w:t>naudojamas vertinant p</w:t>
      </w:r>
      <w:r w:rsidR="00AA2C9F" w:rsidRPr="00650EE4">
        <w:rPr>
          <w:rFonts w:ascii="Times New Roman" w:hAnsi="Times New Roman"/>
          <w:color w:val="000000" w:themeColor="text1"/>
          <w:szCs w:val="22"/>
          <w:lang w:val="lt-LT"/>
        </w:rPr>
        <w:t>astatų energijos vartojimą</w:t>
      </w:r>
      <w:r w:rsidR="00E132C7" w:rsidRPr="00650EE4">
        <w:rPr>
          <w:rFonts w:ascii="Times New Roman" w:hAnsi="Times New Roman"/>
          <w:color w:val="000000" w:themeColor="text1"/>
          <w:szCs w:val="22"/>
          <w:lang w:val="lt-LT"/>
        </w:rPr>
        <w:t>.</w:t>
      </w:r>
    </w:p>
    <w:p w14:paraId="3B2FEABB" w14:textId="77777777" w:rsidR="00DA51E3" w:rsidRPr="00650EE4" w:rsidRDefault="00DA51E3" w:rsidP="00CA07B0">
      <w:pPr>
        <w:pStyle w:val="BodyText"/>
        <w:jc w:val="both"/>
        <w:rPr>
          <w:rFonts w:ascii="Times New Roman" w:hAnsi="Times New Roman"/>
          <w:color w:val="000000" w:themeColor="text1"/>
          <w:szCs w:val="22"/>
          <w:lang w:val="lt-LT"/>
        </w:rPr>
      </w:pPr>
    </w:p>
    <w:p w14:paraId="7C26CBC3" w14:textId="5644A1E5" w:rsidR="00CC439B" w:rsidRPr="00650EE4" w:rsidRDefault="00CC439B" w:rsidP="00F95123">
      <w:pPr>
        <w:spacing w:after="120"/>
        <w:rPr>
          <w:rFonts w:ascii="Times New Roman" w:hAnsi="Times New Roman"/>
          <w:b/>
          <w:szCs w:val="22"/>
        </w:rPr>
      </w:pPr>
      <w:r w:rsidRPr="00650EE4">
        <w:rPr>
          <w:rFonts w:ascii="Times New Roman" w:hAnsi="Times New Roman"/>
          <w:b/>
          <w:szCs w:val="22"/>
        </w:rPr>
        <w:t>Pastatai, turintys energinio naudingumo sertifikatą</w:t>
      </w:r>
    </w:p>
    <w:p w14:paraId="4F80AFD3" w14:textId="6254598B" w:rsidR="00B762BC" w:rsidRPr="00650EE4" w:rsidRDefault="00CC439B" w:rsidP="00CC439B">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Informacija apie išduotus energinio naudingumo sertifikatus kaupiama registre</w:t>
      </w:r>
      <w:r w:rsidRPr="00650EE4">
        <w:rPr>
          <w:rStyle w:val="FootnoteReference"/>
          <w:rFonts w:ascii="Times New Roman" w:hAnsi="Times New Roman"/>
          <w:color w:val="000000" w:themeColor="text1"/>
          <w:szCs w:val="22"/>
        </w:rPr>
        <w:footnoteReference w:id="5"/>
      </w:r>
      <w:r w:rsidRPr="00650EE4">
        <w:rPr>
          <w:rFonts w:ascii="Times New Roman" w:hAnsi="Times New Roman"/>
          <w:color w:val="000000" w:themeColor="text1"/>
          <w:szCs w:val="22"/>
        </w:rPr>
        <w:t>, kurį administruoja Valstybė</w:t>
      </w:r>
      <w:r w:rsidR="00D36EEC" w:rsidRPr="00650EE4">
        <w:rPr>
          <w:rFonts w:ascii="Times New Roman" w:hAnsi="Times New Roman"/>
          <w:color w:val="000000" w:themeColor="text1"/>
          <w:szCs w:val="22"/>
        </w:rPr>
        <w:t>s</w:t>
      </w:r>
      <w:r w:rsidRPr="00650EE4">
        <w:rPr>
          <w:rFonts w:ascii="Times New Roman" w:hAnsi="Times New Roman"/>
          <w:color w:val="000000" w:themeColor="text1"/>
          <w:szCs w:val="22"/>
        </w:rPr>
        <w:t xml:space="preserve"> įmonė „Statybos produkcijos sertifikavimo centras“ (toliau – SPSC registras).</w:t>
      </w:r>
      <w:r w:rsidR="005F5C3E" w:rsidRPr="00650EE4">
        <w:rPr>
          <w:rFonts w:ascii="Times New Roman" w:hAnsi="Times New Roman"/>
          <w:color w:val="000000" w:themeColor="text1"/>
          <w:szCs w:val="22"/>
        </w:rPr>
        <w:t xml:space="preserve"> NT</w:t>
      </w:r>
      <w:r w:rsidR="00501B06">
        <w:rPr>
          <w:rFonts w:ascii="Times New Roman" w:hAnsi="Times New Roman"/>
          <w:color w:val="000000" w:themeColor="text1"/>
          <w:szCs w:val="22"/>
        </w:rPr>
        <w:t>R</w:t>
      </w:r>
      <w:r w:rsidR="005F5C3E" w:rsidRPr="00650EE4">
        <w:rPr>
          <w:rFonts w:ascii="Times New Roman" w:hAnsi="Times New Roman"/>
          <w:color w:val="000000" w:themeColor="text1"/>
          <w:szCs w:val="22"/>
        </w:rPr>
        <w:t xml:space="preserve"> kaupia informaciją (požymį) apie pastatų energinio naudingumo klasę.</w:t>
      </w:r>
    </w:p>
    <w:p w14:paraId="6BBC1EDA" w14:textId="2AF87514" w:rsidR="005F5C3E" w:rsidRPr="00650EE4" w:rsidRDefault="005F5C3E" w:rsidP="00CC439B">
      <w:pPr>
        <w:spacing w:line="240" w:lineRule="auto"/>
        <w:jc w:val="both"/>
        <w:rPr>
          <w:rFonts w:ascii="Times New Roman" w:hAnsi="Times New Roman"/>
          <w:color w:val="000000" w:themeColor="text1"/>
          <w:szCs w:val="22"/>
        </w:rPr>
      </w:pPr>
    </w:p>
    <w:p w14:paraId="076C9640" w14:textId="76FD7C14" w:rsidR="00C27C4B" w:rsidRPr="00650EE4" w:rsidRDefault="00C27C4B" w:rsidP="00C27C4B">
      <w:pPr>
        <w:spacing w:after="6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duomenis galima pastebėti, kad:</w:t>
      </w:r>
    </w:p>
    <w:p w14:paraId="6BCCCEB8" w14:textId="0A162DF9" w:rsidR="00C27C4B" w:rsidRPr="00650EE4" w:rsidRDefault="00192576" w:rsidP="00BD4925">
      <w:pPr>
        <w:pStyle w:val="ListParagraph"/>
        <w:numPr>
          <w:ilvl w:val="0"/>
          <w:numId w:val="17"/>
        </w:numPr>
        <w:spacing w:after="6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C27C4B" w:rsidRPr="00650EE4">
        <w:rPr>
          <w:rFonts w:ascii="Times New Roman" w:hAnsi="Times New Roman"/>
          <w:color w:val="000000" w:themeColor="text1"/>
          <w:szCs w:val="22"/>
          <w:lang w:val="lt-LT"/>
        </w:rPr>
        <w:t xml:space="preserve">auguma (83%) </w:t>
      </w:r>
      <w:r w:rsidR="007A52B6">
        <w:rPr>
          <w:rFonts w:ascii="Times New Roman" w:hAnsi="Times New Roman"/>
          <w:color w:val="000000" w:themeColor="text1"/>
          <w:szCs w:val="22"/>
          <w:lang w:val="lt-LT"/>
        </w:rPr>
        <w:t>p</w:t>
      </w:r>
      <w:r w:rsidR="00C27C4B" w:rsidRPr="00650EE4">
        <w:rPr>
          <w:rFonts w:ascii="Times New Roman" w:hAnsi="Times New Roman"/>
          <w:color w:val="000000" w:themeColor="text1"/>
          <w:szCs w:val="22"/>
          <w:lang w:val="lt-LT"/>
        </w:rPr>
        <w:t>astatų fondo pastatų NT</w:t>
      </w:r>
      <w:r>
        <w:rPr>
          <w:rFonts w:ascii="Times New Roman" w:hAnsi="Times New Roman"/>
          <w:color w:val="000000" w:themeColor="text1"/>
          <w:szCs w:val="22"/>
          <w:lang w:val="lt-LT"/>
        </w:rPr>
        <w:t>R</w:t>
      </w:r>
      <w:r w:rsidR="00C27C4B"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neturi priskirto ENK požymio;</w:t>
      </w:r>
    </w:p>
    <w:p w14:paraId="4168A80A" w14:textId="2DAC3718" w:rsidR="00CC439B" w:rsidRPr="00192576" w:rsidRDefault="00192576" w:rsidP="00BD4925">
      <w:pPr>
        <w:pStyle w:val="ListParagraph"/>
        <w:numPr>
          <w:ilvl w:val="0"/>
          <w:numId w:val="17"/>
        </w:numPr>
        <w:spacing w:after="60" w:line="240" w:lineRule="auto"/>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iš pastatų paskirčių išsiskiria administracinės ir g</w:t>
      </w:r>
      <w:r w:rsidR="00C27C4B" w:rsidRPr="00650EE4">
        <w:rPr>
          <w:rFonts w:ascii="Times New Roman" w:hAnsi="Times New Roman"/>
          <w:color w:val="000000" w:themeColor="text1"/>
          <w:szCs w:val="22"/>
          <w:lang w:val="lt-LT"/>
        </w:rPr>
        <w:t>ydymo paskirties pastatai, tarp kurių beveik pusė turi energinio naudingumo sertifikatus.</w:t>
      </w:r>
    </w:p>
    <w:p w14:paraId="65065161" w14:textId="77777777" w:rsidR="008F79D4" w:rsidRPr="00650EE4" w:rsidRDefault="008F79D4" w:rsidP="00CC439B">
      <w:pPr>
        <w:spacing w:line="240" w:lineRule="auto"/>
        <w:jc w:val="both"/>
        <w:rPr>
          <w:rFonts w:ascii="Times New Roman" w:hAnsi="Times New Roman"/>
          <w:color w:val="000000" w:themeColor="text1"/>
          <w:szCs w:val="22"/>
        </w:rPr>
      </w:pPr>
    </w:p>
    <w:p w14:paraId="0937BFB1" w14:textId="07B96E7F" w:rsidR="00CC439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8" w:name="_Toc59094195"/>
      <w:r w:rsidR="00F25C65">
        <w:t>12</w:t>
      </w:r>
      <w:r w:rsidRPr="00650EE4">
        <w:rPr>
          <w:noProof w:val="0"/>
        </w:rPr>
        <w:fldChar w:fldCharType="end"/>
      </w:r>
      <w:r w:rsidR="00CC439B" w:rsidRPr="00650EE4">
        <w:rPr>
          <w:noProof w:val="0"/>
        </w:rPr>
        <w:t xml:space="preserve"> lentelė. Pastatai, turintys energinio naudingumo sertifikatą (vnt.)</w:t>
      </w:r>
      <w:bookmarkEnd w:id="38"/>
    </w:p>
    <w:tbl>
      <w:tblPr>
        <w:tblW w:w="5000" w:type="pct"/>
        <w:tblLook w:val="04A0" w:firstRow="1" w:lastRow="0" w:firstColumn="1" w:lastColumn="0" w:noHBand="0" w:noVBand="1"/>
      </w:tblPr>
      <w:tblGrid>
        <w:gridCol w:w="2134"/>
        <w:gridCol w:w="994"/>
        <w:gridCol w:w="1173"/>
        <w:gridCol w:w="1173"/>
        <w:gridCol w:w="1173"/>
        <w:gridCol w:w="1173"/>
        <w:gridCol w:w="1173"/>
        <w:gridCol w:w="1427"/>
      </w:tblGrid>
      <w:tr w:rsidR="00DC451C" w:rsidRPr="00650EE4" w14:paraId="30B03848" w14:textId="77777777" w:rsidTr="00E130BC">
        <w:trPr>
          <w:trHeight w:val="44"/>
        </w:trPr>
        <w:tc>
          <w:tcPr>
            <w:tcW w:w="2086"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51632E51"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972"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64F4B1EA"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 pastatų</w:t>
            </w:r>
          </w:p>
        </w:tc>
        <w:tc>
          <w:tcPr>
            <w:tcW w:w="5735" w:type="dxa"/>
            <w:gridSpan w:val="5"/>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1A5A4BB5"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Sertifikuota</w:t>
            </w:r>
          </w:p>
        </w:tc>
        <w:tc>
          <w:tcPr>
            <w:tcW w:w="1395" w:type="dxa"/>
            <w:vMerge w:val="restart"/>
            <w:tcBorders>
              <w:top w:val="single" w:sz="6" w:space="0" w:color="auto"/>
              <w:left w:val="single" w:sz="6" w:space="0" w:color="auto"/>
              <w:bottom w:val="single" w:sz="6" w:space="0" w:color="auto"/>
              <w:right w:val="single" w:sz="6" w:space="0" w:color="auto"/>
            </w:tcBorders>
            <w:shd w:val="clear" w:color="000000" w:fill="FFFFFF"/>
            <w:vAlign w:val="center"/>
            <w:hideMark/>
          </w:tcPr>
          <w:p w14:paraId="15170F3C"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Sertifikuota, proc.</w:t>
            </w:r>
          </w:p>
        </w:tc>
      </w:tr>
      <w:tr w:rsidR="00DC451C" w:rsidRPr="00650EE4" w14:paraId="4969DDCA" w14:textId="77777777" w:rsidTr="006967B4">
        <w:tc>
          <w:tcPr>
            <w:tcW w:w="2086" w:type="dxa"/>
            <w:vMerge/>
            <w:tcBorders>
              <w:top w:val="single" w:sz="6" w:space="0" w:color="auto"/>
              <w:left w:val="single" w:sz="6" w:space="0" w:color="auto"/>
              <w:bottom w:val="single" w:sz="6" w:space="0" w:color="auto"/>
              <w:right w:val="single" w:sz="6" w:space="0" w:color="auto"/>
            </w:tcBorders>
            <w:vAlign w:val="center"/>
            <w:hideMark/>
          </w:tcPr>
          <w:p w14:paraId="736BE092" w14:textId="77777777" w:rsidR="00DC451C" w:rsidRPr="00650EE4" w:rsidRDefault="00DC451C" w:rsidP="00DC451C">
            <w:pPr>
              <w:spacing w:line="240" w:lineRule="auto"/>
              <w:rPr>
                <w:rFonts w:ascii="Times New Roman" w:eastAsia="Times New Roman" w:hAnsi="Times New Roman"/>
                <w:b/>
                <w:bCs/>
                <w:sz w:val="20"/>
                <w:szCs w:val="20"/>
                <w:lang w:eastAsia="lt-LT"/>
              </w:rPr>
            </w:pPr>
          </w:p>
        </w:tc>
        <w:tc>
          <w:tcPr>
            <w:tcW w:w="972" w:type="dxa"/>
            <w:vMerge/>
            <w:tcBorders>
              <w:top w:val="single" w:sz="6" w:space="0" w:color="auto"/>
              <w:left w:val="single" w:sz="6" w:space="0" w:color="auto"/>
              <w:bottom w:val="single" w:sz="6" w:space="0" w:color="auto"/>
              <w:right w:val="single" w:sz="6" w:space="0" w:color="auto"/>
            </w:tcBorders>
            <w:vAlign w:val="center"/>
            <w:hideMark/>
          </w:tcPr>
          <w:p w14:paraId="0C9326A5" w14:textId="77777777" w:rsidR="00DC451C" w:rsidRPr="00650EE4" w:rsidRDefault="00DC451C" w:rsidP="00DC451C">
            <w:pPr>
              <w:spacing w:line="240" w:lineRule="auto"/>
              <w:rPr>
                <w:rFonts w:ascii="Times New Roman" w:eastAsia="Times New Roman" w:hAnsi="Times New Roman"/>
                <w:b/>
                <w:bCs/>
                <w:sz w:val="20"/>
                <w:szCs w:val="20"/>
                <w:lang w:eastAsia="lt-LT"/>
              </w:rPr>
            </w:pPr>
          </w:p>
        </w:tc>
        <w:tc>
          <w:tcPr>
            <w:tcW w:w="1147" w:type="dxa"/>
            <w:tcBorders>
              <w:top w:val="single" w:sz="6" w:space="0" w:color="auto"/>
              <w:left w:val="single" w:sz="6" w:space="0" w:color="auto"/>
              <w:bottom w:val="single" w:sz="6" w:space="0" w:color="auto"/>
              <w:right w:val="nil"/>
            </w:tcBorders>
            <w:shd w:val="clear" w:color="000000" w:fill="FFFFFF"/>
            <w:vAlign w:val="center"/>
            <w:hideMark/>
          </w:tcPr>
          <w:p w14:paraId="043E471C"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w:t>
            </w:r>
          </w:p>
        </w:tc>
        <w:tc>
          <w:tcPr>
            <w:tcW w:w="1147" w:type="dxa"/>
            <w:tcBorders>
              <w:top w:val="single" w:sz="6" w:space="0" w:color="auto"/>
              <w:left w:val="nil"/>
              <w:bottom w:val="single" w:sz="6" w:space="0" w:color="auto"/>
              <w:right w:val="nil"/>
            </w:tcBorders>
            <w:shd w:val="clear" w:color="000000" w:fill="FFFFFF"/>
            <w:vAlign w:val="center"/>
            <w:hideMark/>
          </w:tcPr>
          <w:p w14:paraId="643AB55E"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C</w:t>
            </w:r>
          </w:p>
        </w:tc>
        <w:tc>
          <w:tcPr>
            <w:tcW w:w="1147" w:type="dxa"/>
            <w:tcBorders>
              <w:top w:val="single" w:sz="6" w:space="0" w:color="auto"/>
              <w:left w:val="nil"/>
              <w:bottom w:val="single" w:sz="6" w:space="0" w:color="auto"/>
              <w:right w:val="nil"/>
            </w:tcBorders>
            <w:shd w:val="clear" w:color="000000" w:fill="FFFFFF"/>
            <w:vAlign w:val="center"/>
            <w:hideMark/>
          </w:tcPr>
          <w:p w14:paraId="3B4CB9D4"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w:t>
            </w:r>
          </w:p>
        </w:tc>
        <w:tc>
          <w:tcPr>
            <w:tcW w:w="1147" w:type="dxa"/>
            <w:tcBorders>
              <w:top w:val="single" w:sz="6" w:space="0" w:color="auto"/>
              <w:left w:val="nil"/>
              <w:bottom w:val="single" w:sz="6" w:space="0" w:color="auto"/>
              <w:right w:val="single" w:sz="6" w:space="0" w:color="auto"/>
            </w:tcBorders>
            <w:shd w:val="clear" w:color="000000" w:fill="FFFFFF"/>
            <w:vAlign w:val="center"/>
            <w:hideMark/>
          </w:tcPr>
          <w:p w14:paraId="0981DC53"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147" w:type="dxa"/>
            <w:tcBorders>
              <w:top w:val="single" w:sz="6" w:space="0" w:color="auto"/>
              <w:left w:val="single" w:sz="6" w:space="0" w:color="auto"/>
              <w:bottom w:val="single" w:sz="6" w:space="0" w:color="auto"/>
              <w:right w:val="single" w:sz="6" w:space="0" w:color="auto"/>
            </w:tcBorders>
            <w:shd w:val="clear" w:color="000000" w:fill="FFFFFF"/>
            <w:vAlign w:val="center"/>
            <w:hideMark/>
          </w:tcPr>
          <w:p w14:paraId="55EE1B9E" w14:textId="77777777" w:rsidR="00DC451C" w:rsidRPr="00650EE4" w:rsidRDefault="00DC451C" w:rsidP="00DC451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1395" w:type="dxa"/>
            <w:vMerge/>
            <w:tcBorders>
              <w:top w:val="single" w:sz="6" w:space="0" w:color="auto"/>
              <w:left w:val="single" w:sz="6" w:space="0" w:color="auto"/>
              <w:bottom w:val="single" w:sz="6" w:space="0" w:color="auto"/>
              <w:right w:val="single" w:sz="6" w:space="0" w:color="auto"/>
            </w:tcBorders>
            <w:vAlign w:val="center"/>
            <w:hideMark/>
          </w:tcPr>
          <w:p w14:paraId="2AA65078" w14:textId="77777777" w:rsidR="00DC451C" w:rsidRPr="00650EE4" w:rsidRDefault="00DC451C" w:rsidP="00DC451C">
            <w:pPr>
              <w:spacing w:line="240" w:lineRule="auto"/>
              <w:rPr>
                <w:rFonts w:ascii="Times New Roman" w:eastAsia="Times New Roman" w:hAnsi="Times New Roman"/>
                <w:b/>
                <w:bCs/>
                <w:sz w:val="20"/>
                <w:szCs w:val="20"/>
                <w:lang w:eastAsia="lt-LT"/>
              </w:rPr>
            </w:pPr>
          </w:p>
        </w:tc>
      </w:tr>
      <w:tr w:rsidR="00DC451C" w:rsidRPr="00650EE4" w14:paraId="4BD545C7" w14:textId="77777777" w:rsidTr="006967B4">
        <w:tc>
          <w:tcPr>
            <w:tcW w:w="2086" w:type="dxa"/>
            <w:tcBorders>
              <w:top w:val="single" w:sz="6" w:space="0" w:color="auto"/>
              <w:left w:val="single" w:sz="6" w:space="0" w:color="auto"/>
              <w:bottom w:val="nil"/>
              <w:right w:val="single" w:sz="6" w:space="0" w:color="auto"/>
            </w:tcBorders>
            <w:shd w:val="clear" w:color="000000" w:fill="F2F2F2"/>
            <w:noWrap/>
            <w:vAlign w:val="center"/>
            <w:hideMark/>
          </w:tcPr>
          <w:p w14:paraId="7D6E722F" w14:textId="77777777"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1.Gyvenamieji</w:t>
            </w:r>
          </w:p>
        </w:tc>
        <w:tc>
          <w:tcPr>
            <w:tcW w:w="972" w:type="dxa"/>
            <w:tcBorders>
              <w:top w:val="single" w:sz="6" w:space="0" w:color="auto"/>
              <w:left w:val="single" w:sz="6" w:space="0" w:color="auto"/>
              <w:bottom w:val="nil"/>
              <w:right w:val="single" w:sz="6" w:space="0" w:color="auto"/>
            </w:tcBorders>
            <w:shd w:val="clear" w:color="000000" w:fill="F2F2F2"/>
            <w:noWrap/>
            <w:vAlign w:val="center"/>
            <w:hideMark/>
          </w:tcPr>
          <w:p w14:paraId="111F732F"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570.513</w:t>
            </w:r>
          </w:p>
        </w:tc>
        <w:tc>
          <w:tcPr>
            <w:tcW w:w="1147" w:type="dxa"/>
            <w:tcBorders>
              <w:top w:val="single" w:sz="6" w:space="0" w:color="auto"/>
              <w:left w:val="single" w:sz="6" w:space="0" w:color="auto"/>
              <w:bottom w:val="nil"/>
              <w:right w:val="nil"/>
            </w:tcBorders>
            <w:shd w:val="clear" w:color="000000" w:fill="F2F2F2"/>
            <w:noWrap/>
            <w:vAlign w:val="center"/>
            <w:hideMark/>
          </w:tcPr>
          <w:p w14:paraId="7E927A2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51.177</w:t>
            </w:r>
          </w:p>
        </w:tc>
        <w:tc>
          <w:tcPr>
            <w:tcW w:w="1147" w:type="dxa"/>
            <w:tcBorders>
              <w:top w:val="single" w:sz="6" w:space="0" w:color="auto"/>
              <w:left w:val="nil"/>
              <w:bottom w:val="nil"/>
              <w:right w:val="nil"/>
            </w:tcBorders>
            <w:shd w:val="clear" w:color="000000" w:fill="F2F2F2"/>
            <w:noWrap/>
            <w:vAlign w:val="center"/>
            <w:hideMark/>
          </w:tcPr>
          <w:p w14:paraId="5465578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18.975</w:t>
            </w:r>
          </w:p>
        </w:tc>
        <w:tc>
          <w:tcPr>
            <w:tcW w:w="1147" w:type="dxa"/>
            <w:tcBorders>
              <w:top w:val="single" w:sz="6" w:space="0" w:color="auto"/>
              <w:left w:val="nil"/>
              <w:bottom w:val="nil"/>
              <w:right w:val="nil"/>
            </w:tcBorders>
            <w:shd w:val="clear" w:color="000000" w:fill="F2F2F2"/>
            <w:noWrap/>
            <w:vAlign w:val="center"/>
            <w:hideMark/>
          </w:tcPr>
          <w:p w14:paraId="4EDCA25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27.076</w:t>
            </w:r>
          </w:p>
        </w:tc>
        <w:tc>
          <w:tcPr>
            <w:tcW w:w="1147" w:type="dxa"/>
            <w:tcBorders>
              <w:top w:val="single" w:sz="6" w:space="0" w:color="auto"/>
              <w:left w:val="nil"/>
              <w:bottom w:val="nil"/>
              <w:right w:val="single" w:sz="6" w:space="0" w:color="auto"/>
            </w:tcBorders>
            <w:shd w:val="clear" w:color="000000" w:fill="F2F2F2"/>
            <w:noWrap/>
            <w:vAlign w:val="center"/>
            <w:hideMark/>
          </w:tcPr>
          <w:p w14:paraId="014D2047"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3.124</w:t>
            </w:r>
          </w:p>
        </w:tc>
        <w:tc>
          <w:tcPr>
            <w:tcW w:w="1147" w:type="dxa"/>
            <w:tcBorders>
              <w:top w:val="single" w:sz="6" w:space="0" w:color="auto"/>
              <w:left w:val="single" w:sz="6" w:space="0" w:color="auto"/>
              <w:bottom w:val="nil"/>
              <w:right w:val="single" w:sz="6" w:space="0" w:color="auto"/>
            </w:tcBorders>
            <w:shd w:val="clear" w:color="000000" w:fill="F2F2F2"/>
            <w:noWrap/>
            <w:vAlign w:val="center"/>
            <w:hideMark/>
          </w:tcPr>
          <w:p w14:paraId="06DC0582"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100.352</w:t>
            </w:r>
          </w:p>
        </w:tc>
        <w:tc>
          <w:tcPr>
            <w:tcW w:w="1395" w:type="dxa"/>
            <w:tcBorders>
              <w:top w:val="single" w:sz="6" w:space="0" w:color="auto"/>
              <w:left w:val="single" w:sz="6" w:space="0" w:color="auto"/>
              <w:bottom w:val="nil"/>
              <w:right w:val="single" w:sz="6" w:space="0" w:color="auto"/>
            </w:tcBorders>
            <w:shd w:val="clear" w:color="000000" w:fill="F2F2F2"/>
            <w:noWrap/>
            <w:vAlign w:val="center"/>
            <w:hideMark/>
          </w:tcPr>
          <w:p w14:paraId="41CC0B2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w:t>
            </w:r>
          </w:p>
        </w:tc>
      </w:tr>
      <w:tr w:rsidR="00DC451C" w:rsidRPr="00650EE4" w14:paraId="3610C77B"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4FE2BAA9"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1.1.Individualūs</w:t>
            </w:r>
          </w:p>
        </w:tc>
        <w:tc>
          <w:tcPr>
            <w:tcW w:w="972" w:type="dxa"/>
            <w:tcBorders>
              <w:top w:val="nil"/>
              <w:left w:val="single" w:sz="6" w:space="0" w:color="auto"/>
              <w:bottom w:val="nil"/>
              <w:right w:val="single" w:sz="6" w:space="0" w:color="auto"/>
            </w:tcBorders>
            <w:shd w:val="clear" w:color="000000" w:fill="FFFFFF"/>
            <w:noWrap/>
            <w:vAlign w:val="center"/>
            <w:hideMark/>
          </w:tcPr>
          <w:p w14:paraId="481FB74A"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529.492</w:t>
            </w:r>
          </w:p>
        </w:tc>
        <w:tc>
          <w:tcPr>
            <w:tcW w:w="1147" w:type="dxa"/>
            <w:tcBorders>
              <w:top w:val="nil"/>
              <w:left w:val="single" w:sz="6" w:space="0" w:color="auto"/>
              <w:bottom w:val="nil"/>
              <w:right w:val="nil"/>
            </w:tcBorders>
            <w:shd w:val="clear" w:color="000000" w:fill="FFFFFF"/>
            <w:noWrap/>
            <w:vAlign w:val="center"/>
            <w:hideMark/>
          </w:tcPr>
          <w:p w14:paraId="03C7802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44.515</w:t>
            </w:r>
          </w:p>
        </w:tc>
        <w:tc>
          <w:tcPr>
            <w:tcW w:w="1147" w:type="dxa"/>
            <w:tcBorders>
              <w:top w:val="nil"/>
              <w:left w:val="nil"/>
              <w:bottom w:val="nil"/>
              <w:right w:val="nil"/>
            </w:tcBorders>
            <w:shd w:val="clear" w:color="000000" w:fill="FFFFFF"/>
            <w:noWrap/>
            <w:vAlign w:val="center"/>
            <w:hideMark/>
          </w:tcPr>
          <w:p w14:paraId="178D269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16.642</w:t>
            </w:r>
          </w:p>
        </w:tc>
        <w:tc>
          <w:tcPr>
            <w:tcW w:w="1147" w:type="dxa"/>
            <w:tcBorders>
              <w:top w:val="nil"/>
              <w:left w:val="nil"/>
              <w:bottom w:val="nil"/>
              <w:right w:val="nil"/>
            </w:tcBorders>
            <w:shd w:val="clear" w:color="000000" w:fill="FFFFFF"/>
            <w:noWrap/>
            <w:vAlign w:val="center"/>
            <w:hideMark/>
          </w:tcPr>
          <w:p w14:paraId="1D0DA24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25.237</w:t>
            </w:r>
          </w:p>
        </w:tc>
        <w:tc>
          <w:tcPr>
            <w:tcW w:w="1147" w:type="dxa"/>
            <w:tcBorders>
              <w:top w:val="nil"/>
              <w:left w:val="nil"/>
              <w:bottom w:val="nil"/>
              <w:right w:val="single" w:sz="6" w:space="0" w:color="auto"/>
            </w:tcBorders>
            <w:shd w:val="clear" w:color="000000" w:fill="FFFFFF"/>
            <w:noWrap/>
            <w:vAlign w:val="center"/>
            <w:hideMark/>
          </w:tcPr>
          <w:p w14:paraId="2F17659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2.847</w:t>
            </w:r>
          </w:p>
        </w:tc>
        <w:tc>
          <w:tcPr>
            <w:tcW w:w="1147" w:type="dxa"/>
            <w:tcBorders>
              <w:top w:val="nil"/>
              <w:left w:val="single" w:sz="6" w:space="0" w:color="auto"/>
              <w:bottom w:val="nil"/>
              <w:right w:val="single" w:sz="6" w:space="0" w:color="auto"/>
            </w:tcBorders>
            <w:shd w:val="clear" w:color="000000" w:fill="FFFFFF"/>
            <w:noWrap/>
            <w:vAlign w:val="center"/>
            <w:hideMark/>
          </w:tcPr>
          <w:p w14:paraId="2FA05B7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89.241</w:t>
            </w:r>
          </w:p>
        </w:tc>
        <w:tc>
          <w:tcPr>
            <w:tcW w:w="1395" w:type="dxa"/>
            <w:tcBorders>
              <w:top w:val="nil"/>
              <w:left w:val="single" w:sz="6" w:space="0" w:color="auto"/>
              <w:bottom w:val="nil"/>
              <w:right w:val="single" w:sz="6" w:space="0" w:color="auto"/>
            </w:tcBorders>
            <w:shd w:val="clear" w:color="000000" w:fill="FFFFFF"/>
            <w:noWrap/>
            <w:vAlign w:val="center"/>
            <w:hideMark/>
          </w:tcPr>
          <w:p w14:paraId="35E1E4B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r>
      <w:tr w:rsidR="00DC451C" w:rsidRPr="00650EE4" w14:paraId="79D4BD63" w14:textId="77777777" w:rsidTr="006967B4">
        <w:tc>
          <w:tcPr>
            <w:tcW w:w="2086" w:type="dxa"/>
            <w:tcBorders>
              <w:top w:val="nil"/>
              <w:left w:val="single" w:sz="6" w:space="0" w:color="auto"/>
              <w:bottom w:val="single" w:sz="6" w:space="0" w:color="auto"/>
              <w:right w:val="single" w:sz="6" w:space="0" w:color="auto"/>
            </w:tcBorders>
            <w:shd w:val="clear" w:color="000000" w:fill="FFFFFF"/>
            <w:noWrap/>
            <w:vAlign w:val="center"/>
            <w:hideMark/>
          </w:tcPr>
          <w:p w14:paraId="3CC18297"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1.2.Daugiabučiai</w:t>
            </w:r>
          </w:p>
        </w:tc>
        <w:tc>
          <w:tcPr>
            <w:tcW w:w="972" w:type="dxa"/>
            <w:tcBorders>
              <w:top w:val="nil"/>
              <w:left w:val="single" w:sz="6" w:space="0" w:color="auto"/>
              <w:bottom w:val="single" w:sz="6" w:space="0" w:color="auto"/>
              <w:right w:val="single" w:sz="6" w:space="0" w:color="auto"/>
            </w:tcBorders>
            <w:shd w:val="clear" w:color="000000" w:fill="FFFFFF"/>
            <w:noWrap/>
            <w:vAlign w:val="center"/>
            <w:hideMark/>
          </w:tcPr>
          <w:p w14:paraId="66BBAA94"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41.021</w:t>
            </w:r>
          </w:p>
        </w:tc>
        <w:tc>
          <w:tcPr>
            <w:tcW w:w="1147" w:type="dxa"/>
            <w:tcBorders>
              <w:top w:val="nil"/>
              <w:left w:val="single" w:sz="6" w:space="0" w:color="auto"/>
              <w:bottom w:val="single" w:sz="6" w:space="0" w:color="auto"/>
              <w:right w:val="nil"/>
            </w:tcBorders>
            <w:shd w:val="clear" w:color="000000" w:fill="FFFFFF"/>
            <w:noWrap/>
            <w:vAlign w:val="center"/>
            <w:hideMark/>
          </w:tcPr>
          <w:p w14:paraId="488BD3C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6.662</w:t>
            </w:r>
          </w:p>
        </w:tc>
        <w:tc>
          <w:tcPr>
            <w:tcW w:w="1147" w:type="dxa"/>
            <w:tcBorders>
              <w:top w:val="nil"/>
              <w:left w:val="nil"/>
              <w:bottom w:val="single" w:sz="6" w:space="0" w:color="auto"/>
              <w:right w:val="nil"/>
            </w:tcBorders>
            <w:shd w:val="clear" w:color="000000" w:fill="FFFFFF"/>
            <w:noWrap/>
            <w:vAlign w:val="center"/>
            <w:hideMark/>
          </w:tcPr>
          <w:p w14:paraId="3748FF6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2.333</w:t>
            </w:r>
          </w:p>
        </w:tc>
        <w:tc>
          <w:tcPr>
            <w:tcW w:w="1147" w:type="dxa"/>
            <w:tcBorders>
              <w:top w:val="nil"/>
              <w:left w:val="nil"/>
              <w:bottom w:val="single" w:sz="6" w:space="0" w:color="auto"/>
              <w:right w:val="nil"/>
            </w:tcBorders>
            <w:shd w:val="clear" w:color="000000" w:fill="FFFFFF"/>
            <w:noWrap/>
            <w:vAlign w:val="center"/>
            <w:hideMark/>
          </w:tcPr>
          <w:p w14:paraId="067A87B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1.839</w:t>
            </w:r>
          </w:p>
        </w:tc>
        <w:tc>
          <w:tcPr>
            <w:tcW w:w="1147" w:type="dxa"/>
            <w:tcBorders>
              <w:top w:val="nil"/>
              <w:left w:val="nil"/>
              <w:bottom w:val="single" w:sz="6" w:space="0" w:color="auto"/>
              <w:right w:val="single" w:sz="6" w:space="0" w:color="auto"/>
            </w:tcBorders>
            <w:shd w:val="clear" w:color="000000" w:fill="FFFFFF"/>
            <w:noWrap/>
            <w:vAlign w:val="center"/>
            <w:hideMark/>
          </w:tcPr>
          <w:p w14:paraId="25B4DF35"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1147" w:type="dxa"/>
            <w:tcBorders>
              <w:top w:val="nil"/>
              <w:left w:val="single" w:sz="6" w:space="0" w:color="auto"/>
              <w:bottom w:val="single" w:sz="6" w:space="0" w:color="auto"/>
              <w:right w:val="single" w:sz="6" w:space="0" w:color="auto"/>
            </w:tcBorders>
            <w:shd w:val="clear" w:color="000000" w:fill="FFFFFF"/>
            <w:noWrap/>
            <w:vAlign w:val="center"/>
            <w:hideMark/>
          </w:tcPr>
          <w:p w14:paraId="26E3AD6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11.111</w:t>
            </w:r>
          </w:p>
        </w:tc>
        <w:tc>
          <w:tcPr>
            <w:tcW w:w="1395" w:type="dxa"/>
            <w:tcBorders>
              <w:top w:val="nil"/>
              <w:left w:val="single" w:sz="6" w:space="0" w:color="auto"/>
              <w:bottom w:val="single" w:sz="6" w:space="0" w:color="auto"/>
              <w:right w:val="single" w:sz="6" w:space="0" w:color="auto"/>
            </w:tcBorders>
            <w:shd w:val="clear" w:color="000000" w:fill="FFFFFF"/>
            <w:noWrap/>
            <w:vAlign w:val="center"/>
            <w:hideMark/>
          </w:tcPr>
          <w:p w14:paraId="0780F8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r>
      <w:tr w:rsidR="00DC451C" w:rsidRPr="00650EE4" w14:paraId="783B26A4" w14:textId="77777777" w:rsidTr="006967B4">
        <w:tc>
          <w:tcPr>
            <w:tcW w:w="2086" w:type="dxa"/>
            <w:tcBorders>
              <w:top w:val="single" w:sz="6" w:space="0" w:color="auto"/>
              <w:left w:val="single" w:sz="6" w:space="0" w:color="auto"/>
              <w:bottom w:val="nil"/>
              <w:right w:val="single" w:sz="6" w:space="0" w:color="auto"/>
            </w:tcBorders>
            <w:shd w:val="clear" w:color="000000" w:fill="F2F2F2"/>
            <w:noWrap/>
            <w:vAlign w:val="center"/>
            <w:hideMark/>
          </w:tcPr>
          <w:p w14:paraId="717269A9" w14:textId="77777777"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2.Negyvenamieji</w:t>
            </w:r>
          </w:p>
        </w:tc>
        <w:tc>
          <w:tcPr>
            <w:tcW w:w="972" w:type="dxa"/>
            <w:tcBorders>
              <w:top w:val="single" w:sz="6" w:space="0" w:color="auto"/>
              <w:left w:val="single" w:sz="6" w:space="0" w:color="auto"/>
              <w:bottom w:val="nil"/>
              <w:right w:val="single" w:sz="6" w:space="0" w:color="auto"/>
            </w:tcBorders>
            <w:shd w:val="clear" w:color="000000" w:fill="F2F2F2"/>
            <w:noWrap/>
            <w:vAlign w:val="center"/>
            <w:hideMark/>
          </w:tcPr>
          <w:p w14:paraId="4D4C6B6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90.770</w:t>
            </w:r>
          </w:p>
        </w:tc>
        <w:tc>
          <w:tcPr>
            <w:tcW w:w="1147" w:type="dxa"/>
            <w:tcBorders>
              <w:top w:val="single" w:sz="6" w:space="0" w:color="auto"/>
              <w:left w:val="single" w:sz="6" w:space="0" w:color="auto"/>
              <w:bottom w:val="nil"/>
              <w:right w:val="nil"/>
            </w:tcBorders>
            <w:shd w:val="clear" w:color="000000" w:fill="F2F2F2"/>
            <w:noWrap/>
            <w:vAlign w:val="center"/>
            <w:hideMark/>
          </w:tcPr>
          <w:p w14:paraId="07C16E1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8.214</w:t>
            </w:r>
          </w:p>
        </w:tc>
        <w:tc>
          <w:tcPr>
            <w:tcW w:w="1147" w:type="dxa"/>
            <w:tcBorders>
              <w:top w:val="single" w:sz="6" w:space="0" w:color="auto"/>
              <w:left w:val="nil"/>
              <w:bottom w:val="nil"/>
              <w:right w:val="nil"/>
            </w:tcBorders>
            <w:shd w:val="clear" w:color="000000" w:fill="F2F2F2"/>
            <w:noWrap/>
            <w:vAlign w:val="center"/>
            <w:hideMark/>
          </w:tcPr>
          <w:p w14:paraId="22A9451E"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2.792</w:t>
            </w:r>
          </w:p>
        </w:tc>
        <w:tc>
          <w:tcPr>
            <w:tcW w:w="1147" w:type="dxa"/>
            <w:tcBorders>
              <w:top w:val="single" w:sz="6" w:space="0" w:color="auto"/>
              <w:left w:val="nil"/>
              <w:bottom w:val="nil"/>
              <w:right w:val="nil"/>
            </w:tcBorders>
            <w:shd w:val="clear" w:color="000000" w:fill="F2F2F2"/>
            <w:noWrap/>
            <w:vAlign w:val="center"/>
            <w:hideMark/>
          </w:tcPr>
          <w:p w14:paraId="52CD64C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3.044</w:t>
            </w:r>
          </w:p>
        </w:tc>
        <w:tc>
          <w:tcPr>
            <w:tcW w:w="1147" w:type="dxa"/>
            <w:tcBorders>
              <w:top w:val="single" w:sz="6" w:space="0" w:color="auto"/>
              <w:left w:val="nil"/>
              <w:bottom w:val="nil"/>
              <w:right w:val="single" w:sz="6" w:space="0" w:color="auto"/>
            </w:tcBorders>
            <w:shd w:val="clear" w:color="000000" w:fill="F2F2F2"/>
            <w:noWrap/>
            <w:vAlign w:val="center"/>
            <w:hideMark/>
          </w:tcPr>
          <w:p w14:paraId="2CA091DE"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425</w:t>
            </w:r>
          </w:p>
        </w:tc>
        <w:tc>
          <w:tcPr>
            <w:tcW w:w="1147" w:type="dxa"/>
            <w:tcBorders>
              <w:top w:val="single" w:sz="6" w:space="0" w:color="auto"/>
              <w:left w:val="single" w:sz="6" w:space="0" w:color="auto"/>
              <w:bottom w:val="nil"/>
              <w:right w:val="single" w:sz="6" w:space="0" w:color="auto"/>
            </w:tcBorders>
            <w:shd w:val="clear" w:color="000000" w:fill="F2F2F2"/>
            <w:noWrap/>
            <w:vAlign w:val="center"/>
            <w:hideMark/>
          </w:tcPr>
          <w:p w14:paraId="2708CE7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14.475</w:t>
            </w:r>
          </w:p>
        </w:tc>
        <w:tc>
          <w:tcPr>
            <w:tcW w:w="1395" w:type="dxa"/>
            <w:tcBorders>
              <w:top w:val="single" w:sz="6" w:space="0" w:color="auto"/>
              <w:left w:val="single" w:sz="6" w:space="0" w:color="auto"/>
              <w:bottom w:val="nil"/>
              <w:right w:val="single" w:sz="6" w:space="0" w:color="auto"/>
            </w:tcBorders>
            <w:shd w:val="clear" w:color="000000" w:fill="F2F2F2"/>
            <w:noWrap/>
            <w:vAlign w:val="center"/>
            <w:hideMark/>
          </w:tcPr>
          <w:p w14:paraId="17E646E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16%</w:t>
            </w:r>
          </w:p>
        </w:tc>
      </w:tr>
      <w:tr w:rsidR="00DC451C" w:rsidRPr="00650EE4" w14:paraId="1C77EDEC"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10466528"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2.1.Pramonės</w:t>
            </w:r>
          </w:p>
        </w:tc>
        <w:tc>
          <w:tcPr>
            <w:tcW w:w="972" w:type="dxa"/>
            <w:tcBorders>
              <w:top w:val="nil"/>
              <w:left w:val="single" w:sz="6" w:space="0" w:color="auto"/>
              <w:bottom w:val="nil"/>
              <w:right w:val="single" w:sz="6" w:space="0" w:color="auto"/>
            </w:tcBorders>
            <w:shd w:val="clear" w:color="000000" w:fill="FFFFFF"/>
            <w:noWrap/>
            <w:vAlign w:val="center"/>
            <w:hideMark/>
          </w:tcPr>
          <w:p w14:paraId="77A36181"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48.775</w:t>
            </w:r>
          </w:p>
        </w:tc>
        <w:tc>
          <w:tcPr>
            <w:tcW w:w="1147" w:type="dxa"/>
            <w:tcBorders>
              <w:top w:val="nil"/>
              <w:left w:val="single" w:sz="6" w:space="0" w:color="auto"/>
              <w:bottom w:val="nil"/>
              <w:right w:val="nil"/>
            </w:tcBorders>
            <w:shd w:val="clear" w:color="000000" w:fill="FFFFFF"/>
            <w:noWrap/>
            <w:vAlign w:val="center"/>
            <w:hideMark/>
          </w:tcPr>
          <w:p w14:paraId="51E097F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1.487</w:t>
            </w:r>
          </w:p>
        </w:tc>
        <w:tc>
          <w:tcPr>
            <w:tcW w:w="1147" w:type="dxa"/>
            <w:tcBorders>
              <w:top w:val="nil"/>
              <w:left w:val="nil"/>
              <w:bottom w:val="nil"/>
              <w:right w:val="nil"/>
            </w:tcBorders>
            <w:shd w:val="clear" w:color="000000" w:fill="FFFFFF"/>
            <w:noWrap/>
            <w:vAlign w:val="center"/>
            <w:hideMark/>
          </w:tcPr>
          <w:p w14:paraId="30337D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462</w:t>
            </w:r>
          </w:p>
        </w:tc>
        <w:tc>
          <w:tcPr>
            <w:tcW w:w="1147" w:type="dxa"/>
            <w:tcBorders>
              <w:top w:val="nil"/>
              <w:left w:val="nil"/>
              <w:bottom w:val="nil"/>
              <w:right w:val="nil"/>
            </w:tcBorders>
            <w:shd w:val="clear" w:color="000000" w:fill="FFFFFF"/>
            <w:noWrap/>
            <w:vAlign w:val="center"/>
            <w:hideMark/>
          </w:tcPr>
          <w:p w14:paraId="426D365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815</w:t>
            </w:r>
          </w:p>
        </w:tc>
        <w:tc>
          <w:tcPr>
            <w:tcW w:w="1147" w:type="dxa"/>
            <w:tcBorders>
              <w:top w:val="nil"/>
              <w:left w:val="nil"/>
              <w:bottom w:val="nil"/>
              <w:right w:val="single" w:sz="6" w:space="0" w:color="auto"/>
            </w:tcBorders>
            <w:shd w:val="clear" w:color="000000" w:fill="FFFFFF"/>
            <w:noWrap/>
            <w:vAlign w:val="center"/>
            <w:hideMark/>
          </w:tcPr>
          <w:p w14:paraId="72C9F1B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47" w:type="dxa"/>
            <w:tcBorders>
              <w:top w:val="nil"/>
              <w:left w:val="single" w:sz="6" w:space="0" w:color="auto"/>
              <w:bottom w:val="nil"/>
              <w:right w:val="single" w:sz="6" w:space="0" w:color="auto"/>
            </w:tcBorders>
            <w:shd w:val="clear" w:color="000000" w:fill="FFFFFF"/>
            <w:noWrap/>
            <w:vAlign w:val="center"/>
            <w:hideMark/>
          </w:tcPr>
          <w:p w14:paraId="484B7C2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2.878</w:t>
            </w:r>
          </w:p>
        </w:tc>
        <w:tc>
          <w:tcPr>
            <w:tcW w:w="1395" w:type="dxa"/>
            <w:tcBorders>
              <w:top w:val="nil"/>
              <w:left w:val="single" w:sz="6" w:space="0" w:color="auto"/>
              <w:bottom w:val="nil"/>
              <w:right w:val="single" w:sz="6" w:space="0" w:color="auto"/>
            </w:tcBorders>
            <w:shd w:val="clear" w:color="000000" w:fill="FFFFFF"/>
            <w:noWrap/>
            <w:vAlign w:val="center"/>
            <w:hideMark/>
          </w:tcPr>
          <w:p w14:paraId="12E5FF1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DC451C" w:rsidRPr="00650EE4" w14:paraId="37C13C02"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3FEF4509"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2.2.Administraciniai</w:t>
            </w:r>
          </w:p>
        </w:tc>
        <w:tc>
          <w:tcPr>
            <w:tcW w:w="972" w:type="dxa"/>
            <w:tcBorders>
              <w:top w:val="nil"/>
              <w:left w:val="single" w:sz="6" w:space="0" w:color="auto"/>
              <w:bottom w:val="nil"/>
              <w:right w:val="single" w:sz="6" w:space="0" w:color="auto"/>
            </w:tcBorders>
            <w:shd w:val="clear" w:color="000000" w:fill="FFFFFF"/>
            <w:noWrap/>
            <w:vAlign w:val="center"/>
            <w:hideMark/>
          </w:tcPr>
          <w:p w14:paraId="59383CF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10.377</w:t>
            </w:r>
          </w:p>
        </w:tc>
        <w:tc>
          <w:tcPr>
            <w:tcW w:w="1147" w:type="dxa"/>
            <w:tcBorders>
              <w:top w:val="nil"/>
              <w:left w:val="single" w:sz="6" w:space="0" w:color="auto"/>
              <w:bottom w:val="nil"/>
              <w:right w:val="nil"/>
            </w:tcBorders>
            <w:shd w:val="clear" w:color="000000" w:fill="FFFFFF"/>
            <w:noWrap/>
            <w:vAlign w:val="center"/>
            <w:hideMark/>
          </w:tcPr>
          <w:p w14:paraId="5D88A42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3.643</w:t>
            </w:r>
          </w:p>
        </w:tc>
        <w:tc>
          <w:tcPr>
            <w:tcW w:w="1147" w:type="dxa"/>
            <w:tcBorders>
              <w:top w:val="nil"/>
              <w:left w:val="nil"/>
              <w:bottom w:val="nil"/>
              <w:right w:val="nil"/>
            </w:tcBorders>
            <w:shd w:val="clear" w:color="000000" w:fill="FFFFFF"/>
            <w:noWrap/>
            <w:vAlign w:val="center"/>
            <w:hideMark/>
          </w:tcPr>
          <w:p w14:paraId="5E0D673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671</w:t>
            </w:r>
          </w:p>
        </w:tc>
        <w:tc>
          <w:tcPr>
            <w:tcW w:w="1147" w:type="dxa"/>
            <w:tcBorders>
              <w:top w:val="nil"/>
              <w:left w:val="nil"/>
              <w:bottom w:val="nil"/>
              <w:right w:val="nil"/>
            </w:tcBorders>
            <w:shd w:val="clear" w:color="000000" w:fill="FFFFFF"/>
            <w:noWrap/>
            <w:vAlign w:val="center"/>
            <w:hideMark/>
          </w:tcPr>
          <w:p w14:paraId="433EACE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610</w:t>
            </w:r>
          </w:p>
        </w:tc>
        <w:tc>
          <w:tcPr>
            <w:tcW w:w="1147" w:type="dxa"/>
            <w:tcBorders>
              <w:top w:val="nil"/>
              <w:left w:val="nil"/>
              <w:bottom w:val="nil"/>
              <w:right w:val="single" w:sz="6" w:space="0" w:color="auto"/>
            </w:tcBorders>
            <w:shd w:val="clear" w:color="000000" w:fill="FFFFFF"/>
            <w:noWrap/>
            <w:vAlign w:val="center"/>
            <w:hideMark/>
          </w:tcPr>
          <w:p w14:paraId="567B418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81</w:t>
            </w:r>
          </w:p>
        </w:tc>
        <w:tc>
          <w:tcPr>
            <w:tcW w:w="1147" w:type="dxa"/>
            <w:tcBorders>
              <w:top w:val="nil"/>
              <w:left w:val="single" w:sz="6" w:space="0" w:color="auto"/>
              <w:bottom w:val="nil"/>
              <w:right w:val="single" w:sz="6" w:space="0" w:color="auto"/>
            </w:tcBorders>
            <w:shd w:val="clear" w:color="000000" w:fill="FFFFFF"/>
            <w:noWrap/>
            <w:vAlign w:val="center"/>
            <w:hideMark/>
          </w:tcPr>
          <w:p w14:paraId="518CBED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5.005</w:t>
            </w:r>
          </w:p>
        </w:tc>
        <w:tc>
          <w:tcPr>
            <w:tcW w:w="1395" w:type="dxa"/>
            <w:tcBorders>
              <w:top w:val="nil"/>
              <w:left w:val="single" w:sz="6" w:space="0" w:color="auto"/>
              <w:bottom w:val="nil"/>
              <w:right w:val="single" w:sz="6" w:space="0" w:color="auto"/>
            </w:tcBorders>
            <w:shd w:val="clear" w:color="000000" w:fill="FFFFFF"/>
            <w:noWrap/>
            <w:vAlign w:val="center"/>
            <w:hideMark/>
          </w:tcPr>
          <w:p w14:paraId="1F81204F"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r>
      <w:tr w:rsidR="00DC451C" w:rsidRPr="00650EE4" w14:paraId="6581BDCB"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0B27F33E"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2.3.Mokslo</w:t>
            </w:r>
          </w:p>
        </w:tc>
        <w:tc>
          <w:tcPr>
            <w:tcW w:w="972" w:type="dxa"/>
            <w:tcBorders>
              <w:top w:val="nil"/>
              <w:left w:val="single" w:sz="6" w:space="0" w:color="auto"/>
              <w:bottom w:val="nil"/>
              <w:right w:val="single" w:sz="6" w:space="0" w:color="auto"/>
            </w:tcBorders>
            <w:shd w:val="clear" w:color="000000" w:fill="FFFFFF"/>
            <w:noWrap/>
            <w:vAlign w:val="center"/>
            <w:hideMark/>
          </w:tcPr>
          <w:p w14:paraId="16AB5530"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4.715</w:t>
            </w:r>
          </w:p>
        </w:tc>
        <w:tc>
          <w:tcPr>
            <w:tcW w:w="1147" w:type="dxa"/>
            <w:tcBorders>
              <w:top w:val="nil"/>
              <w:left w:val="single" w:sz="6" w:space="0" w:color="auto"/>
              <w:bottom w:val="nil"/>
              <w:right w:val="nil"/>
            </w:tcBorders>
            <w:shd w:val="clear" w:color="000000" w:fill="FFFFFF"/>
            <w:noWrap/>
            <w:vAlign w:val="center"/>
            <w:hideMark/>
          </w:tcPr>
          <w:p w14:paraId="45EFC6B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648</w:t>
            </w:r>
          </w:p>
        </w:tc>
        <w:tc>
          <w:tcPr>
            <w:tcW w:w="1147" w:type="dxa"/>
            <w:tcBorders>
              <w:top w:val="nil"/>
              <w:left w:val="nil"/>
              <w:bottom w:val="nil"/>
              <w:right w:val="nil"/>
            </w:tcBorders>
            <w:shd w:val="clear" w:color="000000" w:fill="FFFFFF"/>
            <w:noWrap/>
            <w:vAlign w:val="center"/>
            <w:hideMark/>
          </w:tcPr>
          <w:p w14:paraId="1AA8124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549</w:t>
            </w:r>
          </w:p>
        </w:tc>
        <w:tc>
          <w:tcPr>
            <w:tcW w:w="1147" w:type="dxa"/>
            <w:tcBorders>
              <w:top w:val="nil"/>
              <w:left w:val="nil"/>
              <w:bottom w:val="nil"/>
              <w:right w:val="nil"/>
            </w:tcBorders>
            <w:shd w:val="clear" w:color="000000" w:fill="FFFFFF"/>
            <w:noWrap/>
            <w:vAlign w:val="center"/>
            <w:hideMark/>
          </w:tcPr>
          <w:p w14:paraId="3CD1406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275</w:t>
            </w:r>
          </w:p>
        </w:tc>
        <w:tc>
          <w:tcPr>
            <w:tcW w:w="1147" w:type="dxa"/>
            <w:tcBorders>
              <w:top w:val="nil"/>
              <w:left w:val="nil"/>
              <w:bottom w:val="nil"/>
              <w:right w:val="single" w:sz="6" w:space="0" w:color="auto"/>
            </w:tcBorders>
            <w:shd w:val="clear" w:color="000000" w:fill="FFFFFF"/>
            <w:noWrap/>
            <w:vAlign w:val="center"/>
            <w:hideMark/>
          </w:tcPr>
          <w:p w14:paraId="42A05B6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147" w:type="dxa"/>
            <w:tcBorders>
              <w:top w:val="nil"/>
              <w:left w:val="single" w:sz="6" w:space="0" w:color="auto"/>
              <w:bottom w:val="nil"/>
              <w:right w:val="single" w:sz="6" w:space="0" w:color="auto"/>
            </w:tcBorders>
            <w:shd w:val="clear" w:color="000000" w:fill="FFFFFF"/>
            <w:noWrap/>
            <w:vAlign w:val="center"/>
            <w:hideMark/>
          </w:tcPr>
          <w:p w14:paraId="1CDF49C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1.494</w:t>
            </w:r>
          </w:p>
        </w:tc>
        <w:tc>
          <w:tcPr>
            <w:tcW w:w="1395" w:type="dxa"/>
            <w:tcBorders>
              <w:top w:val="nil"/>
              <w:left w:val="single" w:sz="6" w:space="0" w:color="auto"/>
              <w:bottom w:val="nil"/>
              <w:right w:val="single" w:sz="6" w:space="0" w:color="auto"/>
            </w:tcBorders>
            <w:shd w:val="clear" w:color="000000" w:fill="FFFFFF"/>
            <w:noWrap/>
            <w:vAlign w:val="center"/>
            <w:hideMark/>
          </w:tcPr>
          <w:p w14:paraId="3D1EE69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r>
      <w:tr w:rsidR="00DC451C" w:rsidRPr="00650EE4" w14:paraId="70A4CCA8"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3D5B0DC1"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2.4.Prekybos</w:t>
            </w:r>
          </w:p>
        </w:tc>
        <w:tc>
          <w:tcPr>
            <w:tcW w:w="972" w:type="dxa"/>
            <w:tcBorders>
              <w:top w:val="nil"/>
              <w:left w:val="single" w:sz="6" w:space="0" w:color="auto"/>
              <w:bottom w:val="nil"/>
              <w:right w:val="single" w:sz="6" w:space="0" w:color="auto"/>
            </w:tcBorders>
            <w:shd w:val="clear" w:color="000000" w:fill="FFFFFF"/>
            <w:noWrap/>
            <w:vAlign w:val="center"/>
            <w:hideMark/>
          </w:tcPr>
          <w:p w14:paraId="692B8C5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8.760</w:t>
            </w:r>
          </w:p>
        </w:tc>
        <w:tc>
          <w:tcPr>
            <w:tcW w:w="1147" w:type="dxa"/>
            <w:tcBorders>
              <w:top w:val="nil"/>
              <w:left w:val="single" w:sz="6" w:space="0" w:color="auto"/>
              <w:bottom w:val="nil"/>
              <w:right w:val="nil"/>
            </w:tcBorders>
            <w:shd w:val="clear" w:color="000000" w:fill="FFFFFF"/>
            <w:noWrap/>
            <w:vAlign w:val="center"/>
            <w:hideMark/>
          </w:tcPr>
          <w:p w14:paraId="46B4B12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829</w:t>
            </w:r>
          </w:p>
        </w:tc>
        <w:tc>
          <w:tcPr>
            <w:tcW w:w="1147" w:type="dxa"/>
            <w:tcBorders>
              <w:top w:val="nil"/>
              <w:left w:val="nil"/>
              <w:bottom w:val="nil"/>
              <w:right w:val="nil"/>
            </w:tcBorders>
            <w:shd w:val="clear" w:color="000000" w:fill="FFFFFF"/>
            <w:noWrap/>
            <w:vAlign w:val="center"/>
            <w:hideMark/>
          </w:tcPr>
          <w:p w14:paraId="1CFD68E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271</w:t>
            </w:r>
          </w:p>
        </w:tc>
        <w:tc>
          <w:tcPr>
            <w:tcW w:w="1147" w:type="dxa"/>
            <w:tcBorders>
              <w:top w:val="nil"/>
              <w:left w:val="nil"/>
              <w:bottom w:val="nil"/>
              <w:right w:val="nil"/>
            </w:tcBorders>
            <w:shd w:val="clear" w:color="000000" w:fill="FFFFFF"/>
            <w:noWrap/>
            <w:vAlign w:val="center"/>
            <w:hideMark/>
          </w:tcPr>
          <w:p w14:paraId="40AD6AA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481</w:t>
            </w:r>
          </w:p>
        </w:tc>
        <w:tc>
          <w:tcPr>
            <w:tcW w:w="1147" w:type="dxa"/>
            <w:tcBorders>
              <w:top w:val="nil"/>
              <w:left w:val="nil"/>
              <w:bottom w:val="nil"/>
              <w:right w:val="single" w:sz="6" w:space="0" w:color="auto"/>
            </w:tcBorders>
            <w:shd w:val="clear" w:color="000000" w:fill="FFFFFF"/>
            <w:noWrap/>
            <w:vAlign w:val="center"/>
            <w:hideMark/>
          </w:tcPr>
          <w:p w14:paraId="57E1B6F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147" w:type="dxa"/>
            <w:tcBorders>
              <w:top w:val="nil"/>
              <w:left w:val="single" w:sz="6" w:space="0" w:color="auto"/>
              <w:bottom w:val="nil"/>
              <w:right w:val="single" w:sz="6" w:space="0" w:color="auto"/>
            </w:tcBorders>
            <w:shd w:val="clear" w:color="000000" w:fill="FFFFFF"/>
            <w:noWrap/>
            <w:vAlign w:val="center"/>
            <w:hideMark/>
          </w:tcPr>
          <w:p w14:paraId="0934752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1.676</w:t>
            </w:r>
          </w:p>
        </w:tc>
        <w:tc>
          <w:tcPr>
            <w:tcW w:w="1395" w:type="dxa"/>
            <w:tcBorders>
              <w:top w:val="nil"/>
              <w:left w:val="single" w:sz="6" w:space="0" w:color="auto"/>
              <w:bottom w:val="nil"/>
              <w:right w:val="single" w:sz="6" w:space="0" w:color="auto"/>
            </w:tcBorders>
            <w:shd w:val="clear" w:color="000000" w:fill="FFFFFF"/>
            <w:noWrap/>
            <w:vAlign w:val="center"/>
            <w:hideMark/>
          </w:tcPr>
          <w:p w14:paraId="3C7F09B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r>
      <w:tr w:rsidR="00DC451C" w:rsidRPr="00650EE4" w14:paraId="256D0EC1"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7D4C29AF"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2.5.Gydymo</w:t>
            </w:r>
          </w:p>
        </w:tc>
        <w:tc>
          <w:tcPr>
            <w:tcW w:w="972" w:type="dxa"/>
            <w:tcBorders>
              <w:top w:val="nil"/>
              <w:left w:val="single" w:sz="6" w:space="0" w:color="auto"/>
              <w:bottom w:val="nil"/>
              <w:right w:val="single" w:sz="6" w:space="0" w:color="auto"/>
            </w:tcBorders>
            <w:shd w:val="clear" w:color="000000" w:fill="FFFFFF"/>
            <w:noWrap/>
            <w:vAlign w:val="center"/>
            <w:hideMark/>
          </w:tcPr>
          <w:p w14:paraId="6DE82B10"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1.839</w:t>
            </w:r>
          </w:p>
        </w:tc>
        <w:tc>
          <w:tcPr>
            <w:tcW w:w="1147" w:type="dxa"/>
            <w:tcBorders>
              <w:top w:val="nil"/>
              <w:left w:val="single" w:sz="6" w:space="0" w:color="auto"/>
              <w:bottom w:val="nil"/>
              <w:right w:val="nil"/>
            </w:tcBorders>
            <w:shd w:val="clear" w:color="000000" w:fill="FFFFFF"/>
            <w:noWrap/>
            <w:vAlign w:val="center"/>
            <w:hideMark/>
          </w:tcPr>
          <w:p w14:paraId="7EC8F4D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440</w:t>
            </w:r>
          </w:p>
        </w:tc>
        <w:tc>
          <w:tcPr>
            <w:tcW w:w="1147" w:type="dxa"/>
            <w:tcBorders>
              <w:top w:val="nil"/>
              <w:left w:val="nil"/>
              <w:bottom w:val="nil"/>
              <w:right w:val="nil"/>
            </w:tcBorders>
            <w:shd w:val="clear" w:color="000000" w:fill="FFFFFF"/>
            <w:noWrap/>
            <w:vAlign w:val="center"/>
            <w:hideMark/>
          </w:tcPr>
          <w:p w14:paraId="7E65582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204</w:t>
            </w:r>
          </w:p>
        </w:tc>
        <w:tc>
          <w:tcPr>
            <w:tcW w:w="1147" w:type="dxa"/>
            <w:tcBorders>
              <w:top w:val="nil"/>
              <w:left w:val="nil"/>
              <w:bottom w:val="nil"/>
              <w:right w:val="nil"/>
            </w:tcBorders>
            <w:shd w:val="clear" w:color="000000" w:fill="FFFFFF"/>
            <w:noWrap/>
            <w:vAlign w:val="center"/>
            <w:hideMark/>
          </w:tcPr>
          <w:p w14:paraId="10F2F89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234</w:t>
            </w:r>
          </w:p>
        </w:tc>
        <w:tc>
          <w:tcPr>
            <w:tcW w:w="1147" w:type="dxa"/>
            <w:tcBorders>
              <w:top w:val="nil"/>
              <w:left w:val="nil"/>
              <w:bottom w:val="nil"/>
              <w:right w:val="single" w:sz="6" w:space="0" w:color="auto"/>
            </w:tcBorders>
            <w:shd w:val="clear" w:color="000000" w:fill="FFFFFF"/>
            <w:noWrap/>
            <w:vAlign w:val="center"/>
            <w:hideMark/>
          </w:tcPr>
          <w:p w14:paraId="543712B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147" w:type="dxa"/>
            <w:tcBorders>
              <w:top w:val="nil"/>
              <w:left w:val="single" w:sz="6" w:space="0" w:color="auto"/>
              <w:bottom w:val="nil"/>
              <w:right w:val="single" w:sz="6" w:space="0" w:color="auto"/>
            </w:tcBorders>
            <w:shd w:val="clear" w:color="000000" w:fill="FFFFFF"/>
            <w:noWrap/>
            <w:vAlign w:val="center"/>
            <w:hideMark/>
          </w:tcPr>
          <w:p w14:paraId="5FD5E53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886</w:t>
            </w:r>
          </w:p>
        </w:tc>
        <w:tc>
          <w:tcPr>
            <w:tcW w:w="1395" w:type="dxa"/>
            <w:tcBorders>
              <w:top w:val="nil"/>
              <w:left w:val="single" w:sz="6" w:space="0" w:color="auto"/>
              <w:bottom w:val="nil"/>
              <w:right w:val="single" w:sz="6" w:space="0" w:color="auto"/>
            </w:tcBorders>
            <w:shd w:val="clear" w:color="000000" w:fill="FFFFFF"/>
            <w:noWrap/>
            <w:vAlign w:val="center"/>
            <w:hideMark/>
          </w:tcPr>
          <w:p w14:paraId="2BC7A76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r>
      <w:tr w:rsidR="00DC451C" w:rsidRPr="00650EE4" w14:paraId="155E23C0"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63DBC5C6"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2.6.Kultūros</w:t>
            </w:r>
          </w:p>
        </w:tc>
        <w:tc>
          <w:tcPr>
            <w:tcW w:w="972" w:type="dxa"/>
            <w:tcBorders>
              <w:top w:val="nil"/>
              <w:left w:val="single" w:sz="6" w:space="0" w:color="auto"/>
              <w:bottom w:val="nil"/>
              <w:right w:val="single" w:sz="6" w:space="0" w:color="auto"/>
            </w:tcBorders>
            <w:shd w:val="clear" w:color="000000" w:fill="FFFFFF"/>
            <w:noWrap/>
            <w:vAlign w:val="center"/>
            <w:hideMark/>
          </w:tcPr>
          <w:p w14:paraId="013F179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6.900</w:t>
            </w:r>
          </w:p>
        </w:tc>
        <w:tc>
          <w:tcPr>
            <w:tcW w:w="1147" w:type="dxa"/>
            <w:tcBorders>
              <w:top w:val="nil"/>
              <w:left w:val="single" w:sz="6" w:space="0" w:color="auto"/>
              <w:bottom w:val="nil"/>
              <w:right w:val="nil"/>
            </w:tcBorders>
            <w:shd w:val="clear" w:color="000000" w:fill="FFFFFF"/>
            <w:noWrap/>
            <w:vAlign w:val="center"/>
            <w:hideMark/>
          </w:tcPr>
          <w:p w14:paraId="6C78F3D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205</w:t>
            </w:r>
          </w:p>
        </w:tc>
        <w:tc>
          <w:tcPr>
            <w:tcW w:w="1147" w:type="dxa"/>
            <w:tcBorders>
              <w:top w:val="nil"/>
              <w:left w:val="nil"/>
              <w:bottom w:val="nil"/>
              <w:right w:val="nil"/>
            </w:tcBorders>
            <w:shd w:val="clear" w:color="000000" w:fill="FFFFFF"/>
            <w:noWrap/>
            <w:vAlign w:val="center"/>
            <w:hideMark/>
          </w:tcPr>
          <w:p w14:paraId="772E6B5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147" w:type="dxa"/>
            <w:tcBorders>
              <w:top w:val="nil"/>
              <w:left w:val="nil"/>
              <w:bottom w:val="nil"/>
              <w:right w:val="nil"/>
            </w:tcBorders>
            <w:shd w:val="clear" w:color="000000" w:fill="FFFFFF"/>
            <w:noWrap/>
            <w:vAlign w:val="center"/>
            <w:hideMark/>
          </w:tcPr>
          <w:p w14:paraId="4AD9133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94</w:t>
            </w:r>
          </w:p>
        </w:tc>
        <w:tc>
          <w:tcPr>
            <w:tcW w:w="1147" w:type="dxa"/>
            <w:tcBorders>
              <w:top w:val="nil"/>
              <w:left w:val="nil"/>
              <w:bottom w:val="nil"/>
              <w:right w:val="single" w:sz="6" w:space="0" w:color="auto"/>
            </w:tcBorders>
            <w:shd w:val="clear" w:color="000000" w:fill="FFFFFF"/>
            <w:noWrap/>
            <w:vAlign w:val="center"/>
            <w:hideMark/>
          </w:tcPr>
          <w:p w14:paraId="04C315C0"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147" w:type="dxa"/>
            <w:tcBorders>
              <w:top w:val="nil"/>
              <w:left w:val="single" w:sz="6" w:space="0" w:color="auto"/>
              <w:bottom w:val="nil"/>
              <w:right w:val="single" w:sz="6" w:space="0" w:color="auto"/>
            </w:tcBorders>
            <w:shd w:val="clear" w:color="000000" w:fill="FFFFFF"/>
            <w:noWrap/>
            <w:vAlign w:val="center"/>
            <w:hideMark/>
          </w:tcPr>
          <w:p w14:paraId="4B262863"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398</w:t>
            </w:r>
          </w:p>
        </w:tc>
        <w:tc>
          <w:tcPr>
            <w:tcW w:w="1395" w:type="dxa"/>
            <w:tcBorders>
              <w:top w:val="nil"/>
              <w:left w:val="single" w:sz="6" w:space="0" w:color="auto"/>
              <w:bottom w:val="nil"/>
              <w:right w:val="single" w:sz="6" w:space="0" w:color="auto"/>
            </w:tcBorders>
            <w:shd w:val="clear" w:color="000000" w:fill="FFFFFF"/>
            <w:noWrap/>
            <w:vAlign w:val="center"/>
            <w:hideMark/>
          </w:tcPr>
          <w:p w14:paraId="11E83C4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DC451C" w:rsidRPr="00650EE4" w14:paraId="4378234E"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578E450E"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2.7.Apgyvendinimo</w:t>
            </w:r>
          </w:p>
        </w:tc>
        <w:tc>
          <w:tcPr>
            <w:tcW w:w="972" w:type="dxa"/>
            <w:tcBorders>
              <w:top w:val="nil"/>
              <w:left w:val="single" w:sz="6" w:space="0" w:color="auto"/>
              <w:bottom w:val="nil"/>
              <w:right w:val="single" w:sz="6" w:space="0" w:color="auto"/>
            </w:tcBorders>
            <w:shd w:val="clear" w:color="000000" w:fill="FFFFFF"/>
            <w:noWrap/>
            <w:vAlign w:val="center"/>
            <w:hideMark/>
          </w:tcPr>
          <w:p w14:paraId="07FC0ECB"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2.341</w:t>
            </w:r>
          </w:p>
        </w:tc>
        <w:tc>
          <w:tcPr>
            <w:tcW w:w="1147" w:type="dxa"/>
            <w:tcBorders>
              <w:top w:val="nil"/>
              <w:left w:val="single" w:sz="6" w:space="0" w:color="auto"/>
              <w:bottom w:val="nil"/>
              <w:right w:val="nil"/>
            </w:tcBorders>
            <w:shd w:val="clear" w:color="000000" w:fill="FFFFFF"/>
            <w:noWrap/>
            <w:vAlign w:val="center"/>
            <w:hideMark/>
          </w:tcPr>
          <w:p w14:paraId="6BD03A0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306</w:t>
            </w:r>
          </w:p>
        </w:tc>
        <w:tc>
          <w:tcPr>
            <w:tcW w:w="1147" w:type="dxa"/>
            <w:tcBorders>
              <w:top w:val="nil"/>
              <w:left w:val="nil"/>
              <w:bottom w:val="nil"/>
              <w:right w:val="nil"/>
            </w:tcBorders>
            <w:shd w:val="clear" w:color="000000" w:fill="FFFFFF"/>
            <w:noWrap/>
            <w:vAlign w:val="center"/>
            <w:hideMark/>
          </w:tcPr>
          <w:p w14:paraId="2E4E951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297</w:t>
            </w:r>
          </w:p>
        </w:tc>
        <w:tc>
          <w:tcPr>
            <w:tcW w:w="1147" w:type="dxa"/>
            <w:tcBorders>
              <w:top w:val="nil"/>
              <w:left w:val="nil"/>
              <w:bottom w:val="nil"/>
              <w:right w:val="nil"/>
            </w:tcBorders>
            <w:shd w:val="clear" w:color="000000" w:fill="FFFFFF"/>
            <w:noWrap/>
            <w:vAlign w:val="center"/>
            <w:hideMark/>
          </w:tcPr>
          <w:p w14:paraId="17BAE4C8"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c>
          <w:tcPr>
            <w:tcW w:w="1147" w:type="dxa"/>
            <w:tcBorders>
              <w:top w:val="nil"/>
              <w:left w:val="nil"/>
              <w:bottom w:val="nil"/>
              <w:right w:val="single" w:sz="6" w:space="0" w:color="auto"/>
            </w:tcBorders>
            <w:shd w:val="clear" w:color="000000" w:fill="FFFFFF"/>
            <w:noWrap/>
            <w:vAlign w:val="center"/>
            <w:hideMark/>
          </w:tcPr>
          <w:p w14:paraId="77E79A6E"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147" w:type="dxa"/>
            <w:tcBorders>
              <w:top w:val="nil"/>
              <w:left w:val="single" w:sz="6" w:space="0" w:color="auto"/>
              <w:bottom w:val="nil"/>
              <w:right w:val="single" w:sz="6" w:space="0" w:color="auto"/>
            </w:tcBorders>
            <w:shd w:val="clear" w:color="000000" w:fill="FFFFFF"/>
            <w:noWrap/>
            <w:vAlign w:val="center"/>
            <w:hideMark/>
          </w:tcPr>
          <w:p w14:paraId="0B1C5CA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936</w:t>
            </w:r>
          </w:p>
        </w:tc>
        <w:tc>
          <w:tcPr>
            <w:tcW w:w="1395" w:type="dxa"/>
            <w:tcBorders>
              <w:top w:val="nil"/>
              <w:left w:val="single" w:sz="6" w:space="0" w:color="auto"/>
              <w:bottom w:val="nil"/>
              <w:right w:val="single" w:sz="6" w:space="0" w:color="auto"/>
            </w:tcBorders>
            <w:shd w:val="clear" w:color="000000" w:fill="FFFFFF"/>
            <w:noWrap/>
            <w:vAlign w:val="center"/>
            <w:hideMark/>
          </w:tcPr>
          <w:p w14:paraId="5A1A7144"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r>
      <w:tr w:rsidR="00DC451C" w:rsidRPr="00650EE4" w14:paraId="0D2CF13D" w14:textId="77777777" w:rsidTr="006967B4">
        <w:tc>
          <w:tcPr>
            <w:tcW w:w="2086" w:type="dxa"/>
            <w:tcBorders>
              <w:top w:val="nil"/>
              <w:left w:val="single" w:sz="6" w:space="0" w:color="auto"/>
              <w:bottom w:val="nil"/>
              <w:right w:val="single" w:sz="6" w:space="0" w:color="auto"/>
            </w:tcBorders>
            <w:shd w:val="clear" w:color="000000" w:fill="FFFFFF"/>
            <w:noWrap/>
            <w:vAlign w:val="center"/>
            <w:hideMark/>
          </w:tcPr>
          <w:p w14:paraId="72EF4CDC"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2.8.Paslaugų</w:t>
            </w:r>
          </w:p>
        </w:tc>
        <w:tc>
          <w:tcPr>
            <w:tcW w:w="972" w:type="dxa"/>
            <w:tcBorders>
              <w:top w:val="nil"/>
              <w:left w:val="single" w:sz="6" w:space="0" w:color="auto"/>
              <w:bottom w:val="nil"/>
              <w:right w:val="single" w:sz="6" w:space="0" w:color="auto"/>
            </w:tcBorders>
            <w:shd w:val="clear" w:color="000000" w:fill="FFFFFF"/>
            <w:noWrap/>
            <w:vAlign w:val="center"/>
            <w:hideMark/>
          </w:tcPr>
          <w:p w14:paraId="616498D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5.059</w:t>
            </w:r>
          </w:p>
        </w:tc>
        <w:tc>
          <w:tcPr>
            <w:tcW w:w="1147" w:type="dxa"/>
            <w:tcBorders>
              <w:top w:val="nil"/>
              <w:left w:val="single" w:sz="6" w:space="0" w:color="auto"/>
              <w:bottom w:val="nil"/>
              <w:right w:val="nil"/>
            </w:tcBorders>
            <w:shd w:val="clear" w:color="000000" w:fill="FFFFFF"/>
            <w:noWrap/>
            <w:vAlign w:val="center"/>
            <w:hideMark/>
          </w:tcPr>
          <w:p w14:paraId="6B48794C"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453</w:t>
            </w:r>
          </w:p>
        </w:tc>
        <w:tc>
          <w:tcPr>
            <w:tcW w:w="1147" w:type="dxa"/>
            <w:tcBorders>
              <w:top w:val="nil"/>
              <w:left w:val="nil"/>
              <w:bottom w:val="nil"/>
              <w:right w:val="nil"/>
            </w:tcBorders>
            <w:shd w:val="clear" w:color="000000" w:fill="FFFFFF"/>
            <w:noWrap/>
            <w:vAlign w:val="center"/>
            <w:hideMark/>
          </w:tcPr>
          <w:p w14:paraId="566248DA"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47" w:type="dxa"/>
            <w:tcBorders>
              <w:top w:val="nil"/>
              <w:left w:val="nil"/>
              <w:bottom w:val="nil"/>
              <w:right w:val="nil"/>
            </w:tcBorders>
            <w:shd w:val="clear" w:color="000000" w:fill="FFFFFF"/>
            <w:noWrap/>
            <w:vAlign w:val="center"/>
            <w:hideMark/>
          </w:tcPr>
          <w:p w14:paraId="1391B0EF"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130</w:t>
            </w:r>
          </w:p>
        </w:tc>
        <w:tc>
          <w:tcPr>
            <w:tcW w:w="1147" w:type="dxa"/>
            <w:tcBorders>
              <w:top w:val="nil"/>
              <w:left w:val="nil"/>
              <w:bottom w:val="nil"/>
              <w:right w:val="single" w:sz="6" w:space="0" w:color="auto"/>
            </w:tcBorders>
            <w:shd w:val="clear" w:color="000000" w:fill="FFFFFF"/>
            <w:noWrap/>
            <w:vAlign w:val="center"/>
            <w:hideMark/>
          </w:tcPr>
          <w:p w14:paraId="573D7D37"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147" w:type="dxa"/>
            <w:tcBorders>
              <w:top w:val="nil"/>
              <w:left w:val="single" w:sz="6" w:space="0" w:color="auto"/>
              <w:bottom w:val="nil"/>
              <w:right w:val="single" w:sz="6" w:space="0" w:color="auto"/>
            </w:tcBorders>
            <w:shd w:val="clear" w:color="000000" w:fill="FFFFFF"/>
            <w:noWrap/>
            <w:vAlign w:val="center"/>
            <w:hideMark/>
          </w:tcPr>
          <w:p w14:paraId="6CF99041"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753</w:t>
            </w:r>
          </w:p>
        </w:tc>
        <w:tc>
          <w:tcPr>
            <w:tcW w:w="1395" w:type="dxa"/>
            <w:tcBorders>
              <w:top w:val="nil"/>
              <w:left w:val="single" w:sz="6" w:space="0" w:color="auto"/>
              <w:bottom w:val="nil"/>
              <w:right w:val="single" w:sz="6" w:space="0" w:color="auto"/>
            </w:tcBorders>
            <w:shd w:val="clear" w:color="000000" w:fill="FFFFFF"/>
            <w:noWrap/>
            <w:vAlign w:val="center"/>
            <w:hideMark/>
          </w:tcPr>
          <w:p w14:paraId="3D1FEF5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r>
      <w:tr w:rsidR="00DC451C" w:rsidRPr="00650EE4" w14:paraId="245BD710" w14:textId="77777777" w:rsidTr="006967B4">
        <w:tc>
          <w:tcPr>
            <w:tcW w:w="2086" w:type="dxa"/>
            <w:tcBorders>
              <w:top w:val="nil"/>
              <w:left w:val="single" w:sz="6" w:space="0" w:color="auto"/>
              <w:bottom w:val="single" w:sz="6" w:space="0" w:color="auto"/>
              <w:right w:val="single" w:sz="6" w:space="0" w:color="auto"/>
            </w:tcBorders>
            <w:shd w:val="clear" w:color="000000" w:fill="FFFFFF"/>
            <w:noWrap/>
            <w:vAlign w:val="center"/>
            <w:hideMark/>
          </w:tcPr>
          <w:p w14:paraId="102F597A" w14:textId="77777777" w:rsidR="00DC451C" w:rsidRPr="00650EE4" w:rsidRDefault="00DC451C" w:rsidP="00DC451C">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2.9.Kita</w:t>
            </w:r>
          </w:p>
        </w:tc>
        <w:tc>
          <w:tcPr>
            <w:tcW w:w="972" w:type="dxa"/>
            <w:tcBorders>
              <w:top w:val="nil"/>
              <w:left w:val="single" w:sz="6" w:space="0" w:color="auto"/>
              <w:bottom w:val="single" w:sz="6" w:space="0" w:color="auto"/>
              <w:right w:val="single" w:sz="6" w:space="0" w:color="auto"/>
            </w:tcBorders>
            <w:shd w:val="clear" w:color="000000" w:fill="FFFFFF"/>
            <w:noWrap/>
            <w:vAlign w:val="center"/>
            <w:hideMark/>
          </w:tcPr>
          <w:p w14:paraId="03884629"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2.004</w:t>
            </w:r>
          </w:p>
        </w:tc>
        <w:tc>
          <w:tcPr>
            <w:tcW w:w="1147" w:type="dxa"/>
            <w:tcBorders>
              <w:top w:val="nil"/>
              <w:left w:val="single" w:sz="6" w:space="0" w:color="auto"/>
              <w:bottom w:val="single" w:sz="6" w:space="0" w:color="auto"/>
              <w:right w:val="nil"/>
            </w:tcBorders>
            <w:shd w:val="clear" w:color="000000" w:fill="FFFFFF"/>
            <w:noWrap/>
            <w:vAlign w:val="center"/>
            <w:hideMark/>
          </w:tcPr>
          <w:p w14:paraId="1DF8462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203</w:t>
            </w:r>
          </w:p>
        </w:tc>
        <w:tc>
          <w:tcPr>
            <w:tcW w:w="1147" w:type="dxa"/>
            <w:tcBorders>
              <w:top w:val="nil"/>
              <w:left w:val="nil"/>
              <w:bottom w:val="single" w:sz="6" w:space="0" w:color="auto"/>
              <w:right w:val="nil"/>
            </w:tcBorders>
            <w:shd w:val="clear" w:color="000000" w:fill="FFFFFF"/>
            <w:noWrap/>
            <w:vAlign w:val="center"/>
            <w:hideMark/>
          </w:tcPr>
          <w:p w14:paraId="58A7DC92"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47" w:type="dxa"/>
            <w:tcBorders>
              <w:top w:val="nil"/>
              <w:left w:val="nil"/>
              <w:bottom w:val="single" w:sz="6" w:space="0" w:color="auto"/>
              <w:right w:val="nil"/>
            </w:tcBorders>
            <w:shd w:val="clear" w:color="000000" w:fill="FFFFFF"/>
            <w:noWrap/>
            <w:vAlign w:val="center"/>
            <w:hideMark/>
          </w:tcPr>
          <w:p w14:paraId="3AC5B2CB"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113</w:t>
            </w:r>
          </w:p>
        </w:tc>
        <w:tc>
          <w:tcPr>
            <w:tcW w:w="1147" w:type="dxa"/>
            <w:tcBorders>
              <w:top w:val="nil"/>
              <w:left w:val="nil"/>
              <w:bottom w:val="single" w:sz="6" w:space="0" w:color="auto"/>
              <w:right w:val="single" w:sz="6" w:space="0" w:color="auto"/>
            </w:tcBorders>
            <w:shd w:val="clear" w:color="000000" w:fill="FFFFFF"/>
            <w:noWrap/>
            <w:vAlign w:val="center"/>
            <w:hideMark/>
          </w:tcPr>
          <w:p w14:paraId="4D68E2D9"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147" w:type="dxa"/>
            <w:tcBorders>
              <w:top w:val="nil"/>
              <w:left w:val="single" w:sz="6" w:space="0" w:color="auto"/>
              <w:bottom w:val="single" w:sz="6" w:space="0" w:color="auto"/>
              <w:right w:val="single" w:sz="6" w:space="0" w:color="auto"/>
            </w:tcBorders>
            <w:shd w:val="clear" w:color="000000" w:fill="FFFFFF"/>
            <w:noWrap/>
            <w:vAlign w:val="center"/>
            <w:hideMark/>
          </w:tcPr>
          <w:p w14:paraId="4BD3752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449</w:t>
            </w:r>
          </w:p>
        </w:tc>
        <w:tc>
          <w:tcPr>
            <w:tcW w:w="1395" w:type="dxa"/>
            <w:tcBorders>
              <w:top w:val="nil"/>
              <w:left w:val="single" w:sz="6" w:space="0" w:color="auto"/>
              <w:bottom w:val="single" w:sz="6" w:space="0" w:color="auto"/>
              <w:right w:val="single" w:sz="6" w:space="0" w:color="auto"/>
            </w:tcBorders>
            <w:shd w:val="clear" w:color="000000" w:fill="FFFFFF"/>
            <w:noWrap/>
            <w:vAlign w:val="center"/>
            <w:hideMark/>
          </w:tcPr>
          <w:p w14:paraId="0A42163D"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r>
      <w:tr w:rsidR="00DC451C" w:rsidRPr="00650EE4" w14:paraId="090C4719" w14:textId="77777777" w:rsidTr="006967B4">
        <w:tc>
          <w:tcPr>
            <w:tcW w:w="2086"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2563D6D" w14:textId="2642EAA0" w:rsidR="00DC451C" w:rsidRPr="00650EE4" w:rsidRDefault="00DC451C" w:rsidP="00DC451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r w:rsidR="006967B4" w:rsidRPr="00650EE4">
              <w:rPr>
                <w:rFonts w:ascii="Times New Roman" w:eastAsia="Times New Roman" w:hAnsi="Times New Roman"/>
                <w:b/>
                <w:bCs/>
                <w:sz w:val="20"/>
                <w:szCs w:val="20"/>
                <w:lang w:eastAsia="lt-LT"/>
              </w:rPr>
              <w:t xml:space="preserve"> SPSC</w:t>
            </w:r>
          </w:p>
        </w:tc>
        <w:tc>
          <w:tcPr>
            <w:tcW w:w="972"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717F7CC6"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661.283</w:t>
            </w:r>
          </w:p>
        </w:tc>
        <w:tc>
          <w:tcPr>
            <w:tcW w:w="1147" w:type="dxa"/>
            <w:tcBorders>
              <w:top w:val="single" w:sz="6" w:space="0" w:color="auto"/>
              <w:left w:val="single" w:sz="6" w:space="0" w:color="auto"/>
              <w:bottom w:val="single" w:sz="6" w:space="0" w:color="auto"/>
              <w:right w:val="nil"/>
            </w:tcBorders>
            <w:shd w:val="clear" w:color="000000" w:fill="FFFFFF"/>
            <w:noWrap/>
            <w:vAlign w:val="center"/>
            <w:hideMark/>
          </w:tcPr>
          <w:p w14:paraId="42E2B3A3"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59.391</w:t>
            </w:r>
          </w:p>
        </w:tc>
        <w:tc>
          <w:tcPr>
            <w:tcW w:w="1147" w:type="dxa"/>
            <w:tcBorders>
              <w:top w:val="single" w:sz="6" w:space="0" w:color="auto"/>
              <w:left w:val="nil"/>
              <w:bottom w:val="single" w:sz="6" w:space="0" w:color="auto"/>
              <w:right w:val="nil"/>
            </w:tcBorders>
            <w:shd w:val="clear" w:color="000000" w:fill="FFFFFF"/>
            <w:noWrap/>
            <w:vAlign w:val="center"/>
            <w:hideMark/>
          </w:tcPr>
          <w:p w14:paraId="0E1249DC"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21.767</w:t>
            </w:r>
          </w:p>
        </w:tc>
        <w:tc>
          <w:tcPr>
            <w:tcW w:w="1147" w:type="dxa"/>
            <w:tcBorders>
              <w:top w:val="single" w:sz="6" w:space="0" w:color="auto"/>
              <w:left w:val="nil"/>
              <w:bottom w:val="single" w:sz="6" w:space="0" w:color="auto"/>
              <w:right w:val="nil"/>
            </w:tcBorders>
            <w:shd w:val="clear" w:color="000000" w:fill="FFFFFF"/>
            <w:noWrap/>
            <w:vAlign w:val="center"/>
            <w:hideMark/>
          </w:tcPr>
          <w:p w14:paraId="6EA847FF"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30.120</w:t>
            </w:r>
          </w:p>
        </w:tc>
        <w:tc>
          <w:tcPr>
            <w:tcW w:w="1147" w:type="dxa"/>
            <w:tcBorders>
              <w:top w:val="single" w:sz="6" w:space="0" w:color="auto"/>
              <w:left w:val="nil"/>
              <w:bottom w:val="single" w:sz="6" w:space="0" w:color="auto"/>
              <w:right w:val="single" w:sz="6" w:space="0" w:color="auto"/>
            </w:tcBorders>
            <w:shd w:val="clear" w:color="000000" w:fill="FFFFFF"/>
            <w:noWrap/>
            <w:vAlign w:val="center"/>
            <w:hideMark/>
          </w:tcPr>
          <w:p w14:paraId="48DF01FD"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3.549</w:t>
            </w:r>
          </w:p>
        </w:tc>
        <w:tc>
          <w:tcPr>
            <w:tcW w:w="1147"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E5C2698" w14:textId="77777777" w:rsidR="00DC451C" w:rsidRPr="00650EE4" w:rsidRDefault="00DC451C" w:rsidP="00DC451C">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114.827</w:t>
            </w:r>
          </w:p>
        </w:tc>
        <w:tc>
          <w:tcPr>
            <w:tcW w:w="1395" w:type="dxa"/>
            <w:tcBorders>
              <w:top w:val="single" w:sz="6" w:space="0" w:color="auto"/>
              <w:left w:val="single" w:sz="6" w:space="0" w:color="auto"/>
              <w:bottom w:val="single" w:sz="6" w:space="0" w:color="auto"/>
              <w:right w:val="single" w:sz="6" w:space="0" w:color="auto"/>
            </w:tcBorders>
            <w:shd w:val="clear" w:color="000000" w:fill="FFFFFF"/>
            <w:noWrap/>
            <w:vAlign w:val="center"/>
            <w:hideMark/>
          </w:tcPr>
          <w:p w14:paraId="20416D56" w14:textId="77777777" w:rsidR="00DC451C" w:rsidRPr="00650EE4" w:rsidRDefault="00DC451C" w:rsidP="00DC451C">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r>
      <w:tr w:rsidR="006967B4" w:rsidRPr="00650EE4" w14:paraId="2A996B3A" w14:textId="77777777" w:rsidTr="006967B4">
        <w:tc>
          <w:tcPr>
            <w:tcW w:w="2086"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661F6CD0" w14:textId="56CCFA27" w:rsidR="006967B4" w:rsidRPr="00650EE4" w:rsidRDefault="006967B4" w:rsidP="006967B4">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 NT registras</w:t>
            </w:r>
          </w:p>
        </w:tc>
        <w:tc>
          <w:tcPr>
            <w:tcW w:w="972"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5E9E4931" w14:textId="36C79641"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661.283</w:t>
            </w:r>
          </w:p>
        </w:tc>
        <w:tc>
          <w:tcPr>
            <w:tcW w:w="1147" w:type="dxa"/>
            <w:tcBorders>
              <w:top w:val="single" w:sz="6" w:space="0" w:color="auto"/>
              <w:left w:val="single" w:sz="6" w:space="0" w:color="auto"/>
              <w:bottom w:val="single" w:sz="6" w:space="0" w:color="auto"/>
              <w:right w:val="nil"/>
            </w:tcBorders>
            <w:shd w:val="clear" w:color="000000" w:fill="FFFFFF"/>
            <w:noWrap/>
          </w:tcPr>
          <w:p w14:paraId="796AD0A3" w14:textId="7BEBE151"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52.855</w:t>
            </w:r>
          </w:p>
        </w:tc>
        <w:tc>
          <w:tcPr>
            <w:tcW w:w="1147" w:type="dxa"/>
            <w:tcBorders>
              <w:top w:val="single" w:sz="6" w:space="0" w:color="auto"/>
              <w:left w:val="nil"/>
              <w:bottom w:val="single" w:sz="6" w:space="0" w:color="auto"/>
              <w:right w:val="nil"/>
            </w:tcBorders>
            <w:shd w:val="clear" w:color="000000" w:fill="FFFFFF"/>
            <w:noWrap/>
          </w:tcPr>
          <w:p w14:paraId="11D2F661" w14:textId="232FEA85"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21.086</w:t>
            </w:r>
          </w:p>
        </w:tc>
        <w:tc>
          <w:tcPr>
            <w:tcW w:w="1147" w:type="dxa"/>
            <w:tcBorders>
              <w:top w:val="single" w:sz="6" w:space="0" w:color="auto"/>
              <w:left w:val="nil"/>
              <w:bottom w:val="single" w:sz="6" w:space="0" w:color="auto"/>
              <w:right w:val="nil"/>
            </w:tcBorders>
            <w:shd w:val="clear" w:color="000000" w:fill="FFFFFF"/>
            <w:noWrap/>
          </w:tcPr>
          <w:p w14:paraId="65428FC6" w14:textId="0044C12B"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28.858</w:t>
            </w:r>
          </w:p>
        </w:tc>
        <w:tc>
          <w:tcPr>
            <w:tcW w:w="1147" w:type="dxa"/>
            <w:tcBorders>
              <w:top w:val="single" w:sz="6" w:space="0" w:color="auto"/>
              <w:left w:val="nil"/>
              <w:bottom w:val="single" w:sz="6" w:space="0" w:color="auto"/>
              <w:right w:val="single" w:sz="6" w:space="0" w:color="auto"/>
            </w:tcBorders>
            <w:shd w:val="clear" w:color="000000" w:fill="FFFFFF"/>
            <w:noWrap/>
          </w:tcPr>
          <w:p w14:paraId="45928309" w14:textId="68B341B8"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rPr>
              <w:t>3.254</w:t>
            </w:r>
          </w:p>
        </w:tc>
        <w:tc>
          <w:tcPr>
            <w:tcW w:w="1147"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20B9BD86" w14:textId="5AA9EE3F" w:rsidR="006967B4" w:rsidRPr="00650EE4" w:rsidRDefault="006967B4" w:rsidP="006967B4">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106.053</w:t>
            </w:r>
          </w:p>
        </w:tc>
        <w:tc>
          <w:tcPr>
            <w:tcW w:w="1395" w:type="dxa"/>
            <w:tcBorders>
              <w:top w:val="single" w:sz="6" w:space="0" w:color="auto"/>
              <w:left w:val="single" w:sz="6" w:space="0" w:color="auto"/>
              <w:bottom w:val="single" w:sz="6" w:space="0" w:color="auto"/>
              <w:right w:val="single" w:sz="6" w:space="0" w:color="auto"/>
            </w:tcBorders>
            <w:shd w:val="clear" w:color="000000" w:fill="FFFFFF"/>
            <w:noWrap/>
            <w:vAlign w:val="center"/>
          </w:tcPr>
          <w:p w14:paraId="10A87B93" w14:textId="4CC50407" w:rsidR="006967B4" w:rsidRPr="00650EE4" w:rsidRDefault="006967B4" w:rsidP="006967B4">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r>
    </w:tbl>
    <w:p w14:paraId="621D0B37" w14:textId="6B0D964A" w:rsidR="00CC439B" w:rsidRPr="00650EE4" w:rsidRDefault="00CC439B" w:rsidP="00CC439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SPSC registras</w:t>
      </w:r>
      <w:r w:rsidR="00E727BD" w:rsidRPr="00650EE4">
        <w:rPr>
          <w:rFonts w:ascii="Times New Roman" w:eastAsia="Times New Roman" w:hAnsi="Times New Roman"/>
          <w:i/>
          <w:color w:val="000000" w:themeColor="text1"/>
          <w:sz w:val="20"/>
          <w:szCs w:val="20"/>
        </w:rPr>
        <w:t>, NT</w:t>
      </w:r>
      <w:r w:rsidR="00192576">
        <w:rPr>
          <w:rFonts w:ascii="Times New Roman" w:eastAsia="Times New Roman" w:hAnsi="Times New Roman"/>
          <w:i/>
          <w:color w:val="000000" w:themeColor="text1"/>
          <w:sz w:val="20"/>
          <w:szCs w:val="20"/>
        </w:rPr>
        <w:t>R</w:t>
      </w:r>
      <w:r w:rsidR="0059294B" w:rsidRPr="00650EE4">
        <w:rPr>
          <w:rFonts w:ascii="Times New Roman" w:eastAsia="Times New Roman" w:hAnsi="Times New Roman"/>
          <w:i/>
          <w:color w:val="000000" w:themeColor="text1"/>
          <w:sz w:val="20"/>
          <w:szCs w:val="20"/>
        </w:rPr>
        <w:t>.</w:t>
      </w:r>
    </w:p>
    <w:p w14:paraId="44B972D1" w14:textId="77185F32" w:rsidR="00CC439B" w:rsidRPr="00650EE4" w:rsidRDefault="00CC439B" w:rsidP="00CA07B0">
      <w:pPr>
        <w:pStyle w:val="BodyText"/>
        <w:jc w:val="both"/>
        <w:rPr>
          <w:rFonts w:ascii="Times New Roman" w:hAnsi="Times New Roman"/>
          <w:color w:val="000000" w:themeColor="text1"/>
          <w:szCs w:val="22"/>
          <w:lang w:val="lt-LT"/>
        </w:rPr>
      </w:pPr>
    </w:p>
    <w:p w14:paraId="621A4F22" w14:textId="77777777" w:rsidR="000B1FD9" w:rsidRDefault="000B1FD9" w:rsidP="00CA07B0">
      <w:pPr>
        <w:pStyle w:val="BodyText"/>
        <w:jc w:val="both"/>
        <w:rPr>
          <w:rFonts w:ascii="Times New Roman" w:hAnsi="Times New Roman"/>
          <w:color w:val="000000" w:themeColor="text1"/>
          <w:szCs w:val="22"/>
          <w:lang w:val="lt-LT"/>
        </w:rPr>
      </w:pPr>
    </w:p>
    <w:p w14:paraId="05F3BB1F" w14:textId="77777777" w:rsidR="00192576" w:rsidRPr="00650EE4" w:rsidRDefault="00192576" w:rsidP="00CA07B0">
      <w:pPr>
        <w:pStyle w:val="BodyText"/>
        <w:jc w:val="both"/>
        <w:rPr>
          <w:rFonts w:ascii="Times New Roman" w:hAnsi="Times New Roman"/>
          <w:color w:val="000000" w:themeColor="text1"/>
          <w:szCs w:val="22"/>
          <w:lang w:val="lt-LT"/>
        </w:rPr>
      </w:pPr>
    </w:p>
    <w:p w14:paraId="092C5CA7" w14:textId="25E9F332" w:rsidR="005C56B6" w:rsidRPr="00650EE4" w:rsidRDefault="00C954B8" w:rsidP="00F95123">
      <w:pPr>
        <w:spacing w:after="120"/>
        <w:rPr>
          <w:rFonts w:ascii="Times New Roman" w:hAnsi="Times New Roman"/>
          <w:b/>
          <w:szCs w:val="22"/>
        </w:rPr>
      </w:pPr>
      <w:r w:rsidRPr="00650EE4">
        <w:rPr>
          <w:rFonts w:ascii="Times New Roman" w:hAnsi="Times New Roman"/>
          <w:b/>
          <w:szCs w:val="22"/>
        </w:rPr>
        <w:lastRenderedPageBreak/>
        <w:t>Energinio naudingumo požymio priskyrimas</w:t>
      </w:r>
    </w:p>
    <w:p w14:paraId="7C221EE9" w14:textId="2CDDB1D6" w:rsidR="00E7417D" w:rsidRPr="00D92B70" w:rsidRDefault="00E12F54" w:rsidP="00D92B70">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naudingumo klasės</w:t>
      </w:r>
      <w:r w:rsidR="00E170FD" w:rsidRPr="00650EE4">
        <w:rPr>
          <w:rFonts w:ascii="Times New Roman" w:hAnsi="Times New Roman"/>
          <w:color w:val="000000" w:themeColor="text1"/>
          <w:szCs w:val="22"/>
          <w:lang w:val="lt-LT"/>
        </w:rPr>
        <w:t xml:space="preserve"> požymis yra būtinas skaičiuotinam pirminės </w:t>
      </w:r>
      <w:r w:rsidR="008B6B3B" w:rsidRPr="00650EE4">
        <w:rPr>
          <w:rFonts w:ascii="Times New Roman" w:hAnsi="Times New Roman"/>
          <w:color w:val="000000" w:themeColor="text1"/>
          <w:szCs w:val="22"/>
          <w:lang w:val="lt-LT"/>
        </w:rPr>
        <w:t xml:space="preserve">energijos vartojimui nustatyti, todėl, pastatams neturintiems </w:t>
      </w:r>
      <w:r w:rsidRPr="00650EE4">
        <w:rPr>
          <w:rFonts w:ascii="Times New Roman" w:hAnsi="Times New Roman"/>
          <w:color w:val="000000" w:themeColor="text1"/>
          <w:szCs w:val="22"/>
          <w:lang w:val="lt-LT"/>
        </w:rPr>
        <w:t>šio</w:t>
      </w:r>
      <w:r w:rsidR="008B6B3B" w:rsidRPr="00650EE4">
        <w:rPr>
          <w:rFonts w:ascii="Times New Roman" w:hAnsi="Times New Roman"/>
          <w:color w:val="000000" w:themeColor="text1"/>
          <w:szCs w:val="22"/>
          <w:lang w:val="lt-LT"/>
        </w:rPr>
        <w:t xml:space="preserve"> požymio, </w:t>
      </w:r>
      <w:r w:rsidR="00E7417D" w:rsidRPr="00650EE4">
        <w:rPr>
          <w:rFonts w:ascii="Times New Roman" w:hAnsi="Times New Roman"/>
          <w:color w:val="000000" w:themeColor="text1"/>
          <w:szCs w:val="22"/>
          <w:lang w:val="lt-LT"/>
        </w:rPr>
        <w:t>jis buvo p</w:t>
      </w:r>
      <w:r w:rsidR="00D92B70">
        <w:rPr>
          <w:rFonts w:ascii="Times New Roman" w:hAnsi="Times New Roman"/>
          <w:color w:val="000000" w:themeColor="text1"/>
          <w:szCs w:val="22"/>
          <w:lang w:val="lt-LT"/>
        </w:rPr>
        <w:t>riskirtas a</w:t>
      </w:r>
      <w:r w:rsidR="003B6B27" w:rsidRPr="00D92B70">
        <w:rPr>
          <w:rFonts w:ascii="Times New Roman" w:hAnsi="Times New Roman"/>
          <w:color w:val="000000" w:themeColor="text1"/>
          <w:szCs w:val="22"/>
          <w:lang w:val="lt-LT"/>
        </w:rPr>
        <w:t>tsižvelgiant į k</w:t>
      </w:r>
      <w:r w:rsidR="00E170FD" w:rsidRPr="00D92B70">
        <w:rPr>
          <w:rFonts w:ascii="Times New Roman" w:hAnsi="Times New Roman"/>
          <w:color w:val="000000" w:themeColor="text1"/>
          <w:szCs w:val="22"/>
          <w:lang w:val="lt-LT"/>
        </w:rPr>
        <w:t>onkretaus pastato</w:t>
      </w:r>
      <w:r w:rsidR="00E025CB" w:rsidRPr="00D92B70">
        <w:rPr>
          <w:rFonts w:ascii="Times New Roman" w:hAnsi="Times New Roman"/>
          <w:color w:val="000000" w:themeColor="text1"/>
          <w:szCs w:val="22"/>
          <w:lang w:val="lt-LT"/>
        </w:rPr>
        <w:t xml:space="preserve"> statybos me</w:t>
      </w:r>
      <w:r w:rsidR="00E170FD" w:rsidRPr="00D92B70">
        <w:rPr>
          <w:rFonts w:ascii="Times New Roman" w:hAnsi="Times New Roman"/>
          <w:color w:val="000000" w:themeColor="text1"/>
          <w:szCs w:val="22"/>
          <w:lang w:val="lt-LT"/>
        </w:rPr>
        <w:t>tus</w:t>
      </w:r>
      <w:r w:rsidR="00D92B70">
        <w:rPr>
          <w:rFonts w:ascii="Times New Roman" w:hAnsi="Times New Roman"/>
          <w:color w:val="000000" w:themeColor="text1"/>
          <w:szCs w:val="22"/>
          <w:lang w:val="lt-LT"/>
        </w:rPr>
        <w:t>, priskiriant</w:t>
      </w:r>
      <w:r w:rsidR="00966E90" w:rsidRPr="00D92B70">
        <w:rPr>
          <w:rFonts w:ascii="Times New Roman" w:hAnsi="Times New Roman"/>
          <w:color w:val="000000" w:themeColor="text1"/>
          <w:szCs w:val="22"/>
          <w:lang w:val="lt-LT"/>
        </w:rPr>
        <w:t xml:space="preserve"> </w:t>
      </w:r>
      <w:r w:rsidR="00701D2B" w:rsidRPr="00D92B70">
        <w:rPr>
          <w:rFonts w:ascii="Times New Roman" w:hAnsi="Times New Roman"/>
          <w:color w:val="000000" w:themeColor="text1"/>
          <w:szCs w:val="22"/>
          <w:lang w:val="lt-LT"/>
        </w:rPr>
        <w:t xml:space="preserve">tų statybos metų </w:t>
      </w:r>
      <w:r w:rsidR="00966E90" w:rsidRPr="00D92B70">
        <w:rPr>
          <w:rFonts w:ascii="Times New Roman" w:hAnsi="Times New Roman"/>
          <w:color w:val="000000" w:themeColor="text1"/>
          <w:szCs w:val="22"/>
          <w:lang w:val="lt-LT"/>
        </w:rPr>
        <w:t xml:space="preserve">sertifikuotų </w:t>
      </w:r>
      <w:r w:rsidR="00701D2B" w:rsidRPr="00D92B70">
        <w:rPr>
          <w:rFonts w:ascii="Times New Roman" w:hAnsi="Times New Roman"/>
          <w:color w:val="000000" w:themeColor="text1"/>
          <w:szCs w:val="22"/>
          <w:lang w:val="lt-LT"/>
        </w:rPr>
        <w:t>pastat</w:t>
      </w:r>
      <w:r w:rsidR="00966E90" w:rsidRPr="00D92B70">
        <w:rPr>
          <w:rFonts w:ascii="Times New Roman" w:hAnsi="Times New Roman"/>
          <w:color w:val="000000" w:themeColor="text1"/>
          <w:szCs w:val="22"/>
          <w:lang w:val="lt-LT"/>
        </w:rPr>
        <w:t>ų daugumos ENK</w:t>
      </w:r>
      <w:r w:rsidR="0096651B" w:rsidRPr="00D92B70">
        <w:rPr>
          <w:rFonts w:ascii="Times New Roman" w:hAnsi="Times New Roman"/>
          <w:color w:val="000000" w:themeColor="text1"/>
          <w:szCs w:val="22"/>
          <w:lang w:val="lt-LT"/>
        </w:rPr>
        <w:t xml:space="preserve"> (žr. lentelę</w:t>
      </w:r>
      <w:r w:rsidRPr="00D92B70">
        <w:rPr>
          <w:rFonts w:ascii="Times New Roman" w:hAnsi="Times New Roman"/>
          <w:color w:val="000000" w:themeColor="text1"/>
          <w:szCs w:val="22"/>
          <w:lang w:val="lt-LT"/>
        </w:rPr>
        <w:t xml:space="preserve"> žemiau</w:t>
      </w:r>
      <w:r w:rsidR="0096651B" w:rsidRPr="00D92B70">
        <w:rPr>
          <w:rFonts w:ascii="Times New Roman" w:hAnsi="Times New Roman"/>
          <w:color w:val="000000" w:themeColor="text1"/>
          <w:szCs w:val="22"/>
          <w:lang w:val="lt-LT"/>
        </w:rPr>
        <w:t>)</w:t>
      </w:r>
      <w:r w:rsidR="00E7417D" w:rsidRPr="00D92B70">
        <w:rPr>
          <w:rFonts w:ascii="Times New Roman" w:hAnsi="Times New Roman"/>
          <w:color w:val="000000" w:themeColor="text1"/>
          <w:szCs w:val="22"/>
          <w:lang w:val="lt-LT"/>
        </w:rPr>
        <w:t>:</w:t>
      </w:r>
    </w:p>
    <w:p w14:paraId="70DF46CD" w14:textId="09CCE30E" w:rsidR="00E7417D" w:rsidRPr="00650EE4" w:rsidRDefault="00E7417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39" w:name="_Toc59094196"/>
      <w:r w:rsidR="00F25C65">
        <w:t>13</w:t>
      </w:r>
      <w:r w:rsidRPr="00650EE4">
        <w:rPr>
          <w:noProof w:val="0"/>
        </w:rPr>
        <w:fldChar w:fldCharType="end"/>
      </w:r>
      <w:r w:rsidRPr="00650EE4">
        <w:rPr>
          <w:noProof w:val="0"/>
        </w:rPr>
        <w:t xml:space="preserve"> lentelė. Energinio naudingumo klasės priskyrimas pagal statybos metus</w:t>
      </w:r>
      <w:bookmarkEnd w:id="39"/>
    </w:p>
    <w:tbl>
      <w:tblPr>
        <w:tblStyle w:val="TableGrid"/>
        <w:tblW w:w="0" w:type="auto"/>
        <w:tblLook w:val="04A0" w:firstRow="1" w:lastRow="0" w:firstColumn="1" w:lastColumn="0" w:noHBand="0" w:noVBand="1"/>
      </w:tblPr>
      <w:tblGrid>
        <w:gridCol w:w="846"/>
        <w:gridCol w:w="4536"/>
        <w:gridCol w:w="4812"/>
      </w:tblGrid>
      <w:tr w:rsidR="00E7417D" w:rsidRPr="00650EE4" w14:paraId="57497CFD" w14:textId="77777777" w:rsidTr="00064053">
        <w:tc>
          <w:tcPr>
            <w:tcW w:w="846" w:type="dxa"/>
            <w:vAlign w:val="center"/>
          </w:tcPr>
          <w:p w14:paraId="40AC143E" w14:textId="77777777" w:rsidR="00E7417D" w:rsidRPr="00650EE4" w:rsidRDefault="00E7417D" w:rsidP="00631BA6">
            <w:pPr>
              <w:pStyle w:val="TESlentelspavadinimas"/>
              <w:rPr>
                <w:noProof w:val="0"/>
              </w:rPr>
            </w:pPr>
            <w:r w:rsidRPr="00650EE4">
              <w:rPr>
                <w:noProof w:val="0"/>
                <w:lang w:eastAsia="lt-LT"/>
              </w:rPr>
              <w:t>Nr.</w:t>
            </w:r>
          </w:p>
        </w:tc>
        <w:tc>
          <w:tcPr>
            <w:tcW w:w="4536" w:type="dxa"/>
            <w:vAlign w:val="center"/>
          </w:tcPr>
          <w:p w14:paraId="24916C69" w14:textId="77777777" w:rsidR="00E7417D" w:rsidRPr="00650EE4" w:rsidRDefault="00E7417D" w:rsidP="00631BA6">
            <w:pPr>
              <w:pStyle w:val="TESlentelspavadinimas"/>
              <w:rPr>
                <w:noProof w:val="0"/>
              </w:rPr>
            </w:pPr>
            <w:r w:rsidRPr="00650EE4">
              <w:rPr>
                <w:noProof w:val="0"/>
                <w:lang w:eastAsia="lt-LT"/>
              </w:rPr>
              <w:t>Statybos metai</w:t>
            </w:r>
          </w:p>
        </w:tc>
        <w:tc>
          <w:tcPr>
            <w:tcW w:w="4812" w:type="dxa"/>
            <w:vAlign w:val="center"/>
          </w:tcPr>
          <w:p w14:paraId="79F8C278" w14:textId="77777777" w:rsidR="00E7417D" w:rsidRPr="00650EE4" w:rsidRDefault="00E7417D" w:rsidP="00631BA6">
            <w:pPr>
              <w:pStyle w:val="TESlentelspavadinimas"/>
              <w:rPr>
                <w:noProof w:val="0"/>
              </w:rPr>
            </w:pPr>
            <w:r w:rsidRPr="00650EE4">
              <w:rPr>
                <w:noProof w:val="0"/>
                <w:lang w:eastAsia="lt-LT"/>
              </w:rPr>
              <w:t>Priskiriama energinio naudingumo klasė</w:t>
            </w:r>
          </w:p>
        </w:tc>
      </w:tr>
      <w:tr w:rsidR="00E7417D" w:rsidRPr="00650EE4" w14:paraId="30CFA1DF" w14:textId="77777777" w:rsidTr="00064053">
        <w:tc>
          <w:tcPr>
            <w:tcW w:w="846" w:type="dxa"/>
          </w:tcPr>
          <w:p w14:paraId="394CD871" w14:textId="77777777" w:rsidR="00E7417D" w:rsidRPr="00650EE4" w:rsidRDefault="00E7417D" w:rsidP="00631BA6">
            <w:pPr>
              <w:pStyle w:val="TESlentelspavadinimas"/>
              <w:rPr>
                <w:noProof w:val="0"/>
              </w:rPr>
            </w:pPr>
            <w:r w:rsidRPr="00650EE4">
              <w:rPr>
                <w:noProof w:val="0"/>
              </w:rPr>
              <w:t>1.</w:t>
            </w:r>
          </w:p>
        </w:tc>
        <w:tc>
          <w:tcPr>
            <w:tcW w:w="4536" w:type="dxa"/>
          </w:tcPr>
          <w:p w14:paraId="54183B6B" w14:textId="77777777" w:rsidR="00E7417D" w:rsidRPr="00650EE4" w:rsidRDefault="00E7417D" w:rsidP="00631BA6">
            <w:pPr>
              <w:pStyle w:val="TESlentelspavadinimas"/>
              <w:rPr>
                <w:noProof w:val="0"/>
              </w:rPr>
            </w:pPr>
            <w:r w:rsidRPr="00650EE4">
              <w:rPr>
                <w:noProof w:val="0"/>
              </w:rPr>
              <w:t>iki 1900</w:t>
            </w:r>
          </w:p>
        </w:tc>
        <w:tc>
          <w:tcPr>
            <w:tcW w:w="4812" w:type="dxa"/>
          </w:tcPr>
          <w:p w14:paraId="40AC65F1"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6473D33C" w14:textId="77777777" w:rsidTr="00064053">
        <w:tc>
          <w:tcPr>
            <w:tcW w:w="846" w:type="dxa"/>
          </w:tcPr>
          <w:p w14:paraId="2881C141" w14:textId="77777777" w:rsidR="00E7417D" w:rsidRPr="00650EE4" w:rsidRDefault="00E7417D" w:rsidP="00631BA6">
            <w:pPr>
              <w:pStyle w:val="TESlentelspavadinimas"/>
              <w:rPr>
                <w:noProof w:val="0"/>
              </w:rPr>
            </w:pPr>
            <w:r w:rsidRPr="00650EE4">
              <w:rPr>
                <w:noProof w:val="0"/>
              </w:rPr>
              <w:t>2.</w:t>
            </w:r>
          </w:p>
        </w:tc>
        <w:tc>
          <w:tcPr>
            <w:tcW w:w="4536" w:type="dxa"/>
          </w:tcPr>
          <w:p w14:paraId="14DF9AE8" w14:textId="77777777" w:rsidR="00E7417D" w:rsidRPr="00650EE4" w:rsidRDefault="00E7417D" w:rsidP="00631BA6">
            <w:pPr>
              <w:pStyle w:val="TESlentelspavadinimas"/>
              <w:rPr>
                <w:noProof w:val="0"/>
              </w:rPr>
            </w:pPr>
            <w:r w:rsidRPr="00650EE4">
              <w:rPr>
                <w:noProof w:val="0"/>
              </w:rPr>
              <w:t>1901-1960</w:t>
            </w:r>
          </w:p>
        </w:tc>
        <w:tc>
          <w:tcPr>
            <w:tcW w:w="4812" w:type="dxa"/>
          </w:tcPr>
          <w:p w14:paraId="614663E9"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35E9F2E8" w14:textId="77777777" w:rsidTr="00064053">
        <w:tc>
          <w:tcPr>
            <w:tcW w:w="846" w:type="dxa"/>
          </w:tcPr>
          <w:p w14:paraId="4A7B8CB9" w14:textId="77777777" w:rsidR="00E7417D" w:rsidRPr="00650EE4" w:rsidRDefault="00E7417D" w:rsidP="00631BA6">
            <w:pPr>
              <w:pStyle w:val="TESlentelspavadinimas"/>
              <w:rPr>
                <w:noProof w:val="0"/>
              </w:rPr>
            </w:pPr>
            <w:r w:rsidRPr="00650EE4">
              <w:rPr>
                <w:noProof w:val="0"/>
                <w:lang w:eastAsia="lt-LT"/>
              </w:rPr>
              <w:t>3.</w:t>
            </w:r>
          </w:p>
        </w:tc>
        <w:tc>
          <w:tcPr>
            <w:tcW w:w="4536" w:type="dxa"/>
          </w:tcPr>
          <w:p w14:paraId="00D26C94" w14:textId="77777777" w:rsidR="00E7417D" w:rsidRPr="00650EE4" w:rsidRDefault="00E7417D" w:rsidP="00631BA6">
            <w:pPr>
              <w:pStyle w:val="TESlentelspavadinimas"/>
              <w:rPr>
                <w:noProof w:val="0"/>
              </w:rPr>
            </w:pPr>
            <w:r w:rsidRPr="00650EE4">
              <w:rPr>
                <w:noProof w:val="0"/>
              </w:rPr>
              <w:t>1961-1992</w:t>
            </w:r>
          </w:p>
        </w:tc>
        <w:tc>
          <w:tcPr>
            <w:tcW w:w="4812" w:type="dxa"/>
          </w:tcPr>
          <w:p w14:paraId="239C154D"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0F93E723" w14:textId="77777777" w:rsidTr="00064053">
        <w:tc>
          <w:tcPr>
            <w:tcW w:w="846" w:type="dxa"/>
          </w:tcPr>
          <w:p w14:paraId="6B187BA4" w14:textId="77777777" w:rsidR="00E7417D" w:rsidRPr="00650EE4" w:rsidRDefault="00E7417D" w:rsidP="00631BA6">
            <w:pPr>
              <w:pStyle w:val="TESlentelspavadinimas"/>
              <w:rPr>
                <w:noProof w:val="0"/>
              </w:rPr>
            </w:pPr>
            <w:r w:rsidRPr="00650EE4">
              <w:rPr>
                <w:noProof w:val="0"/>
                <w:lang w:eastAsia="lt-LT"/>
              </w:rPr>
              <w:t>4.</w:t>
            </w:r>
          </w:p>
        </w:tc>
        <w:tc>
          <w:tcPr>
            <w:tcW w:w="4536" w:type="dxa"/>
          </w:tcPr>
          <w:p w14:paraId="254C4481" w14:textId="77777777" w:rsidR="00E7417D" w:rsidRPr="00650EE4" w:rsidRDefault="00E7417D" w:rsidP="00631BA6">
            <w:pPr>
              <w:pStyle w:val="TESlentelspavadinimas"/>
              <w:rPr>
                <w:noProof w:val="0"/>
              </w:rPr>
            </w:pPr>
            <w:r w:rsidRPr="00650EE4">
              <w:rPr>
                <w:noProof w:val="0"/>
              </w:rPr>
              <w:t>1993-2005</w:t>
            </w:r>
          </w:p>
        </w:tc>
        <w:tc>
          <w:tcPr>
            <w:tcW w:w="4812" w:type="dxa"/>
          </w:tcPr>
          <w:p w14:paraId="79ECE180" w14:textId="77777777" w:rsidR="00E7417D" w:rsidRPr="00650EE4" w:rsidRDefault="00E7417D" w:rsidP="00631BA6">
            <w:pPr>
              <w:pStyle w:val="TESlentelspavadinimas"/>
              <w:rPr>
                <w:noProof w:val="0"/>
              </w:rPr>
            </w:pPr>
            <w:r w:rsidRPr="00650EE4">
              <w:rPr>
                <w:noProof w:val="0"/>
                <w:lang w:eastAsia="lt-LT"/>
              </w:rPr>
              <w:t>≤D</w:t>
            </w:r>
          </w:p>
        </w:tc>
      </w:tr>
      <w:tr w:rsidR="00E7417D" w:rsidRPr="00650EE4" w14:paraId="7EB2778B" w14:textId="77777777" w:rsidTr="00064053">
        <w:tc>
          <w:tcPr>
            <w:tcW w:w="846" w:type="dxa"/>
          </w:tcPr>
          <w:p w14:paraId="3816D21A" w14:textId="77777777" w:rsidR="00E7417D" w:rsidRPr="00650EE4" w:rsidRDefault="00E7417D" w:rsidP="00631BA6">
            <w:pPr>
              <w:pStyle w:val="TESlentelspavadinimas"/>
              <w:rPr>
                <w:noProof w:val="0"/>
              </w:rPr>
            </w:pPr>
            <w:r w:rsidRPr="00650EE4">
              <w:rPr>
                <w:noProof w:val="0"/>
              </w:rPr>
              <w:t>5.</w:t>
            </w:r>
          </w:p>
        </w:tc>
        <w:tc>
          <w:tcPr>
            <w:tcW w:w="4536" w:type="dxa"/>
          </w:tcPr>
          <w:p w14:paraId="5E87059C" w14:textId="77777777" w:rsidR="00E7417D" w:rsidRPr="00650EE4" w:rsidRDefault="00E7417D" w:rsidP="00631BA6">
            <w:pPr>
              <w:pStyle w:val="TESlentelspavadinimas"/>
              <w:rPr>
                <w:noProof w:val="0"/>
              </w:rPr>
            </w:pPr>
            <w:r w:rsidRPr="00650EE4">
              <w:rPr>
                <w:noProof w:val="0"/>
              </w:rPr>
              <w:t>2006-2013</w:t>
            </w:r>
          </w:p>
        </w:tc>
        <w:tc>
          <w:tcPr>
            <w:tcW w:w="4812" w:type="dxa"/>
            <w:vAlign w:val="bottom"/>
          </w:tcPr>
          <w:p w14:paraId="7CEF2D86" w14:textId="77777777" w:rsidR="00E7417D" w:rsidRPr="00650EE4" w:rsidRDefault="00E7417D" w:rsidP="00631BA6">
            <w:pPr>
              <w:pStyle w:val="TESlentelspavadinimas"/>
              <w:rPr>
                <w:noProof w:val="0"/>
              </w:rPr>
            </w:pPr>
            <w:r w:rsidRPr="00650EE4">
              <w:rPr>
                <w:noProof w:val="0"/>
              </w:rPr>
              <w:t>C</w:t>
            </w:r>
          </w:p>
        </w:tc>
      </w:tr>
      <w:tr w:rsidR="00E7417D" w:rsidRPr="00650EE4" w14:paraId="7CC8E2B2" w14:textId="77777777" w:rsidTr="00064053">
        <w:tc>
          <w:tcPr>
            <w:tcW w:w="846" w:type="dxa"/>
          </w:tcPr>
          <w:p w14:paraId="1FA11818" w14:textId="77777777" w:rsidR="00E7417D" w:rsidRPr="00650EE4" w:rsidRDefault="00E7417D" w:rsidP="00631BA6">
            <w:pPr>
              <w:pStyle w:val="TESlentelspavadinimas"/>
              <w:rPr>
                <w:noProof w:val="0"/>
              </w:rPr>
            </w:pPr>
            <w:r w:rsidRPr="00650EE4">
              <w:rPr>
                <w:noProof w:val="0"/>
                <w:lang w:eastAsia="lt-LT"/>
              </w:rPr>
              <w:t>6.</w:t>
            </w:r>
          </w:p>
        </w:tc>
        <w:tc>
          <w:tcPr>
            <w:tcW w:w="4536" w:type="dxa"/>
          </w:tcPr>
          <w:p w14:paraId="0226094B" w14:textId="77777777" w:rsidR="00E7417D" w:rsidRPr="00650EE4" w:rsidRDefault="00E7417D" w:rsidP="00631BA6">
            <w:pPr>
              <w:pStyle w:val="TESlentelspavadinimas"/>
              <w:rPr>
                <w:noProof w:val="0"/>
              </w:rPr>
            </w:pPr>
            <w:r w:rsidRPr="00650EE4">
              <w:rPr>
                <w:noProof w:val="0"/>
              </w:rPr>
              <w:t>2014-2016</w:t>
            </w:r>
          </w:p>
        </w:tc>
        <w:tc>
          <w:tcPr>
            <w:tcW w:w="4812" w:type="dxa"/>
            <w:vAlign w:val="bottom"/>
          </w:tcPr>
          <w:p w14:paraId="083F3B0C" w14:textId="77777777" w:rsidR="00E7417D" w:rsidRPr="00650EE4" w:rsidRDefault="00E7417D" w:rsidP="00631BA6">
            <w:pPr>
              <w:pStyle w:val="TESlentelspavadinimas"/>
              <w:rPr>
                <w:noProof w:val="0"/>
              </w:rPr>
            </w:pPr>
            <w:r w:rsidRPr="00650EE4">
              <w:rPr>
                <w:noProof w:val="0"/>
              </w:rPr>
              <w:t>B</w:t>
            </w:r>
          </w:p>
        </w:tc>
      </w:tr>
      <w:tr w:rsidR="00E7417D" w:rsidRPr="00650EE4" w14:paraId="6575C209" w14:textId="77777777" w:rsidTr="00064053">
        <w:tc>
          <w:tcPr>
            <w:tcW w:w="846" w:type="dxa"/>
          </w:tcPr>
          <w:p w14:paraId="41ADC55C" w14:textId="77777777" w:rsidR="00E7417D" w:rsidRPr="00650EE4" w:rsidRDefault="00E7417D" w:rsidP="00631BA6">
            <w:pPr>
              <w:pStyle w:val="TESlentelspavadinimas"/>
              <w:rPr>
                <w:noProof w:val="0"/>
              </w:rPr>
            </w:pPr>
            <w:r w:rsidRPr="00650EE4">
              <w:rPr>
                <w:noProof w:val="0"/>
                <w:lang w:eastAsia="lt-LT"/>
              </w:rPr>
              <w:t>7.</w:t>
            </w:r>
          </w:p>
        </w:tc>
        <w:tc>
          <w:tcPr>
            <w:tcW w:w="4536" w:type="dxa"/>
            <w:vAlign w:val="bottom"/>
          </w:tcPr>
          <w:p w14:paraId="42792AF8" w14:textId="77777777" w:rsidR="00E7417D" w:rsidRPr="00650EE4" w:rsidRDefault="00E7417D" w:rsidP="00631BA6">
            <w:pPr>
              <w:pStyle w:val="TESlentelspavadinimas"/>
              <w:rPr>
                <w:noProof w:val="0"/>
              </w:rPr>
            </w:pPr>
            <w:r w:rsidRPr="00650EE4">
              <w:rPr>
                <w:noProof w:val="0"/>
              </w:rPr>
              <w:t>2017-2018</w:t>
            </w:r>
          </w:p>
        </w:tc>
        <w:tc>
          <w:tcPr>
            <w:tcW w:w="4812" w:type="dxa"/>
            <w:vAlign w:val="bottom"/>
          </w:tcPr>
          <w:p w14:paraId="3D72500C" w14:textId="77777777" w:rsidR="00E7417D" w:rsidRPr="00650EE4" w:rsidRDefault="00E7417D" w:rsidP="00631BA6">
            <w:pPr>
              <w:pStyle w:val="TESlentelspavadinimas"/>
              <w:rPr>
                <w:noProof w:val="0"/>
              </w:rPr>
            </w:pPr>
            <w:r w:rsidRPr="00650EE4">
              <w:rPr>
                <w:noProof w:val="0"/>
              </w:rPr>
              <w:t>B</w:t>
            </w:r>
          </w:p>
        </w:tc>
      </w:tr>
      <w:tr w:rsidR="00E7417D" w:rsidRPr="00650EE4" w14:paraId="10E45F82" w14:textId="77777777" w:rsidTr="00064053">
        <w:tc>
          <w:tcPr>
            <w:tcW w:w="846" w:type="dxa"/>
          </w:tcPr>
          <w:p w14:paraId="71A1BFC3" w14:textId="77777777" w:rsidR="00E7417D" w:rsidRPr="00650EE4" w:rsidRDefault="00E7417D" w:rsidP="00631BA6">
            <w:pPr>
              <w:pStyle w:val="TESlentelspavadinimas"/>
              <w:rPr>
                <w:noProof w:val="0"/>
                <w:lang w:eastAsia="lt-LT"/>
              </w:rPr>
            </w:pPr>
            <w:r w:rsidRPr="00650EE4">
              <w:rPr>
                <w:noProof w:val="0"/>
                <w:lang w:eastAsia="lt-LT"/>
              </w:rPr>
              <w:t>8.</w:t>
            </w:r>
          </w:p>
        </w:tc>
        <w:tc>
          <w:tcPr>
            <w:tcW w:w="4536" w:type="dxa"/>
            <w:vAlign w:val="bottom"/>
          </w:tcPr>
          <w:p w14:paraId="65469CA4" w14:textId="77777777" w:rsidR="00E7417D" w:rsidRPr="00650EE4" w:rsidRDefault="00E7417D" w:rsidP="00631BA6">
            <w:pPr>
              <w:pStyle w:val="TESlentelspavadinimas"/>
              <w:rPr>
                <w:noProof w:val="0"/>
              </w:rPr>
            </w:pPr>
            <w:r w:rsidRPr="00650EE4">
              <w:rPr>
                <w:noProof w:val="0"/>
              </w:rPr>
              <w:t>2019</w:t>
            </w:r>
          </w:p>
        </w:tc>
        <w:tc>
          <w:tcPr>
            <w:tcW w:w="4812" w:type="dxa"/>
            <w:vAlign w:val="bottom"/>
          </w:tcPr>
          <w:p w14:paraId="60F422B5" w14:textId="77777777" w:rsidR="00E7417D" w:rsidRPr="00650EE4" w:rsidRDefault="00E7417D" w:rsidP="00631BA6">
            <w:pPr>
              <w:pStyle w:val="TESlentelspavadinimas"/>
              <w:rPr>
                <w:noProof w:val="0"/>
              </w:rPr>
            </w:pPr>
            <w:r w:rsidRPr="00650EE4">
              <w:rPr>
                <w:noProof w:val="0"/>
              </w:rPr>
              <w:t>A</w:t>
            </w:r>
          </w:p>
        </w:tc>
      </w:tr>
    </w:tbl>
    <w:p w14:paraId="2430CB54" w14:textId="6946D6C2" w:rsidR="00E7417D" w:rsidRPr="00650EE4" w:rsidRDefault="00E7417D" w:rsidP="000F7625">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501B06">
        <w:rPr>
          <w:rFonts w:ascii="Times New Roman" w:eastAsia="Times New Roman" w:hAnsi="Times New Roman"/>
          <w:i/>
          <w:color w:val="000000" w:themeColor="text1"/>
          <w:sz w:val="20"/>
          <w:szCs w:val="20"/>
        </w:rPr>
        <w:t xml:space="preserve"> </w:t>
      </w:r>
      <w:r w:rsidR="00501B06">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040B9A5C" w14:textId="77777777" w:rsidR="00E7417D" w:rsidRPr="00650EE4" w:rsidRDefault="00E7417D" w:rsidP="00E36BA0">
      <w:pPr>
        <w:spacing w:line="240" w:lineRule="auto"/>
        <w:jc w:val="both"/>
        <w:rPr>
          <w:rFonts w:ascii="Times New Roman" w:hAnsi="Times New Roman"/>
          <w:color w:val="000000" w:themeColor="text1"/>
          <w:szCs w:val="22"/>
        </w:rPr>
      </w:pPr>
    </w:p>
    <w:p w14:paraId="795C08B2" w14:textId="65329AC6" w:rsidR="00CA07B0" w:rsidRPr="00650EE4" w:rsidRDefault="00CA07B0" w:rsidP="008640CF">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w:t>
      </w:r>
      <w:r w:rsidR="00231172"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e žemiau pateikiam</w:t>
      </w:r>
      <w:r w:rsidR="00231172" w:rsidRPr="00650EE4">
        <w:rPr>
          <w:rFonts w:ascii="Times New Roman" w:hAnsi="Times New Roman"/>
          <w:color w:val="000000" w:themeColor="text1"/>
          <w:szCs w:val="22"/>
          <w:lang w:val="lt-LT"/>
        </w:rPr>
        <w:t xml:space="preserve">i Pastatų fondo duomenys </w:t>
      </w:r>
      <w:r w:rsidRPr="00650EE4">
        <w:rPr>
          <w:rFonts w:ascii="Times New Roman" w:hAnsi="Times New Roman"/>
          <w:color w:val="000000" w:themeColor="text1"/>
          <w:szCs w:val="22"/>
          <w:lang w:val="lt-LT"/>
        </w:rPr>
        <w:t>pagal energ</w:t>
      </w:r>
      <w:r w:rsidR="00350EBE" w:rsidRPr="00650EE4">
        <w:rPr>
          <w:rFonts w:ascii="Times New Roman" w:hAnsi="Times New Roman"/>
          <w:color w:val="000000" w:themeColor="text1"/>
          <w:szCs w:val="22"/>
          <w:lang w:val="lt-LT"/>
        </w:rPr>
        <w:t>inio naudingumo</w:t>
      </w:r>
      <w:r w:rsidRPr="00650EE4">
        <w:rPr>
          <w:rFonts w:ascii="Times New Roman" w:hAnsi="Times New Roman"/>
          <w:color w:val="000000" w:themeColor="text1"/>
          <w:szCs w:val="22"/>
          <w:lang w:val="lt-LT"/>
        </w:rPr>
        <w:t xml:space="preserve"> klasę. </w:t>
      </w:r>
    </w:p>
    <w:p w14:paraId="0F247C28" w14:textId="478F5F86" w:rsidR="00CA07B0"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0" w:name="_Toc59094197"/>
      <w:r w:rsidR="00F25C65">
        <w:t>14</w:t>
      </w:r>
      <w:r w:rsidRPr="00650EE4">
        <w:rPr>
          <w:noProof w:val="0"/>
        </w:rPr>
        <w:fldChar w:fldCharType="end"/>
      </w:r>
      <w:r w:rsidR="0070585A" w:rsidRPr="00650EE4">
        <w:rPr>
          <w:noProof w:val="0"/>
        </w:rPr>
        <w:t xml:space="preserve"> lentelė</w:t>
      </w:r>
      <w:r w:rsidR="00CA07B0" w:rsidRPr="00650EE4">
        <w:rPr>
          <w:noProof w:val="0"/>
        </w:rPr>
        <w:t xml:space="preserve">. Pastatų fondas pagal </w:t>
      </w:r>
      <w:r w:rsidR="0012644B" w:rsidRPr="00650EE4">
        <w:rPr>
          <w:noProof w:val="0"/>
        </w:rPr>
        <w:t>energinio naudingumo</w:t>
      </w:r>
      <w:r w:rsidR="00CA07B0" w:rsidRPr="00650EE4">
        <w:rPr>
          <w:noProof w:val="0"/>
        </w:rPr>
        <w:t xml:space="preserve"> klasę (</w:t>
      </w:r>
      <w:r w:rsidR="004748E0" w:rsidRPr="00650EE4">
        <w:rPr>
          <w:noProof w:val="0"/>
        </w:rPr>
        <w:t>vnt.</w:t>
      </w:r>
      <w:r w:rsidR="00CA07B0" w:rsidRPr="00650EE4">
        <w:rPr>
          <w:noProof w:val="0"/>
        </w:rPr>
        <w:t>)</w:t>
      </w:r>
      <w:bookmarkEnd w:id="40"/>
    </w:p>
    <w:tbl>
      <w:tblPr>
        <w:tblW w:w="5000" w:type="pct"/>
        <w:tblLook w:val="04A0" w:firstRow="1" w:lastRow="0" w:firstColumn="1" w:lastColumn="0" w:noHBand="0" w:noVBand="1"/>
      </w:tblPr>
      <w:tblGrid>
        <w:gridCol w:w="2050"/>
        <w:gridCol w:w="1056"/>
        <w:gridCol w:w="1059"/>
        <w:gridCol w:w="1059"/>
        <w:gridCol w:w="1059"/>
        <w:gridCol w:w="1059"/>
        <w:gridCol w:w="1065"/>
        <w:gridCol w:w="1019"/>
        <w:gridCol w:w="994"/>
      </w:tblGrid>
      <w:tr w:rsidR="00EE24E1" w:rsidRPr="00650EE4" w14:paraId="5FEDD249" w14:textId="77777777" w:rsidTr="004B0384">
        <w:tc>
          <w:tcPr>
            <w:tcW w:w="984"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1C63F20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50"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4147C21E" w14:textId="01C6DFDE"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w:t>
            </w:r>
            <w:r w:rsidR="00D90413" w:rsidRPr="00650EE4">
              <w:rPr>
                <w:rFonts w:ascii="Times New Roman" w:eastAsia="Times New Roman" w:hAnsi="Times New Roman"/>
                <w:b/>
                <w:bCs/>
                <w:sz w:val="20"/>
                <w:szCs w:val="20"/>
              </w:rPr>
              <w:t>inio naudingumo</w:t>
            </w:r>
            <w:r w:rsidRPr="00650EE4">
              <w:rPr>
                <w:rFonts w:ascii="Times New Roman" w:eastAsia="Times New Roman" w:hAnsi="Times New Roman"/>
                <w:b/>
                <w:bCs/>
                <w:sz w:val="20"/>
                <w:szCs w:val="20"/>
              </w:rPr>
              <w:t xml:space="preserve"> klasė</w:t>
            </w:r>
          </w:p>
        </w:tc>
        <w:tc>
          <w:tcPr>
            <w:tcW w:w="489" w:type="pct"/>
            <w:vMerge w:val="restart"/>
            <w:tcBorders>
              <w:top w:val="single" w:sz="4" w:space="0" w:color="auto"/>
              <w:left w:val="nil"/>
              <w:bottom w:val="single" w:sz="4" w:space="0" w:color="000000"/>
              <w:right w:val="nil"/>
            </w:tcBorders>
            <w:shd w:val="clear" w:color="000000" w:fill="FFFFFF"/>
            <w:vAlign w:val="center"/>
            <w:hideMark/>
          </w:tcPr>
          <w:p w14:paraId="78EEC3C0"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AD88832"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EE24E1" w:rsidRPr="00650EE4" w14:paraId="1ACCA039" w14:textId="77777777" w:rsidTr="00A5641B">
        <w:trPr>
          <w:trHeight w:val="49"/>
        </w:trPr>
        <w:tc>
          <w:tcPr>
            <w:tcW w:w="984" w:type="pct"/>
            <w:vMerge/>
            <w:tcBorders>
              <w:top w:val="single" w:sz="4" w:space="0" w:color="auto"/>
              <w:left w:val="single" w:sz="4" w:space="0" w:color="auto"/>
              <w:bottom w:val="single" w:sz="4" w:space="0" w:color="000000"/>
              <w:right w:val="nil"/>
            </w:tcBorders>
            <w:vAlign w:val="center"/>
            <w:hideMark/>
          </w:tcPr>
          <w:p w14:paraId="41A9188E" w14:textId="77777777" w:rsidR="00EE24E1" w:rsidRPr="00650EE4" w:rsidRDefault="00EE24E1" w:rsidP="00EE24E1">
            <w:pPr>
              <w:spacing w:line="240" w:lineRule="auto"/>
              <w:rPr>
                <w:rFonts w:ascii="Times New Roman" w:eastAsia="Times New Roman" w:hAnsi="Times New Roman"/>
                <w:b/>
                <w:bCs/>
                <w:sz w:val="20"/>
                <w:szCs w:val="20"/>
              </w:rPr>
            </w:pPr>
          </w:p>
        </w:tc>
        <w:tc>
          <w:tcPr>
            <w:tcW w:w="507" w:type="pct"/>
            <w:tcBorders>
              <w:top w:val="nil"/>
              <w:left w:val="single" w:sz="4" w:space="0" w:color="auto"/>
              <w:bottom w:val="single" w:sz="4" w:space="0" w:color="auto"/>
              <w:right w:val="nil"/>
            </w:tcBorders>
            <w:shd w:val="clear" w:color="000000" w:fill="FFFFFF"/>
            <w:vAlign w:val="center"/>
            <w:hideMark/>
          </w:tcPr>
          <w:p w14:paraId="0F1FD7DB" w14:textId="368A0112" w:rsidR="00EE24E1" w:rsidRPr="00650EE4" w:rsidRDefault="009C5269"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53A89EFC"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06E80CC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0F3E0E79"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5ABE00F0"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1" w:type="pct"/>
            <w:tcBorders>
              <w:top w:val="nil"/>
              <w:left w:val="nil"/>
              <w:bottom w:val="single" w:sz="4" w:space="0" w:color="auto"/>
              <w:right w:val="single" w:sz="4" w:space="0" w:color="auto"/>
            </w:tcBorders>
            <w:shd w:val="clear" w:color="000000" w:fill="FFFFFF"/>
            <w:vAlign w:val="center"/>
            <w:hideMark/>
          </w:tcPr>
          <w:p w14:paraId="4636CDE1" w14:textId="77777777" w:rsidR="00EE24E1" w:rsidRPr="00650EE4" w:rsidRDefault="00EE24E1" w:rsidP="00EE24E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9" w:type="pct"/>
            <w:vMerge/>
            <w:tcBorders>
              <w:top w:val="single" w:sz="4" w:space="0" w:color="auto"/>
              <w:left w:val="nil"/>
              <w:bottom w:val="single" w:sz="4" w:space="0" w:color="000000"/>
              <w:right w:val="nil"/>
            </w:tcBorders>
            <w:vAlign w:val="center"/>
            <w:hideMark/>
          </w:tcPr>
          <w:p w14:paraId="3F8510A6" w14:textId="77777777" w:rsidR="00EE24E1" w:rsidRPr="00650EE4" w:rsidRDefault="00EE24E1" w:rsidP="00EE24E1">
            <w:pPr>
              <w:spacing w:line="240" w:lineRule="auto"/>
              <w:rPr>
                <w:rFonts w:ascii="Times New Roman" w:eastAsia="Times New Roman" w:hAnsi="Times New Roman"/>
                <w:b/>
                <w:bCs/>
                <w:sz w:val="20"/>
                <w:szCs w:val="20"/>
              </w:rPr>
            </w:pPr>
          </w:p>
        </w:tc>
        <w:tc>
          <w:tcPr>
            <w:tcW w:w="477" w:type="pct"/>
            <w:vMerge/>
            <w:tcBorders>
              <w:top w:val="single" w:sz="4" w:space="0" w:color="auto"/>
              <w:left w:val="single" w:sz="4" w:space="0" w:color="auto"/>
              <w:bottom w:val="single" w:sz="4" w:space="0" w:color="000000"/>
              <w:right w:val="single" w:sz="4" w:space="0" w:color="auto"/>
            </w:tcBorders>
            <w:vAlign w:val="center"/>
            <w:hideMark/>
          </w:tcPr>
          <w:p w14:paraId="6EDC76F6" w14:textId="77777777" w:rsidR="00EE24E1" w:rsidRPr="00650EE4" w:rsidRDefault="00EE24E1" w:rsidP="00EE24E1">
            <w:pPr>
              <w:spacing w:line="240" w:lineRule="auto"/>
              <w:rPr>
                <w:rFonts w:ascii="Times New Roman" w:eastAsia="Times New Roman" w:hAnsi="Times New Roman"/>
                <w:b/>
                <w:bCs/>
                <w:sz w:val="20"/>
                <w:szCs w:val="20"/>
              </w:rPr>
            </w:pPr>
          </w:p>
        </w:tc>
      </w:tr>
      <w:tr w:rsidR="00EE24E1" w:rsidRPr="00650EE4" w14:paraId="52914DA4" w14:textId="77777777" w:rsidTr="004B0384">
        <w:tc>
          <w:tcPr>
            <w:tcW w:w="984" w:type="pct"/>
            <w:tcBorders>
              <w:top w:val="nil"/>
              <w:left w:val="single" w:sz="4" w:space="0" w:color="auto"/>
              <w:bottom w:val="single" w:sz="4" w:space="0" w:color="auto"/>
              <w:right w:val="nil"/>
            </w:tcBorders>
            <w:shd w:val="clear" w:color="000000" w:fill="F2F2F2"/>
            <w:noWrap/>
            <w:vAlign w:val="center"/>
            <w:hideMark/>
          </w:tcPr>
          <w:p w14:paraId="372B7111" w14:textId="77777777" w:rsidR="00EE24E1" w:rsidRPr="00650EE4" w:rsidRDefault="00EE24E1" w:rsidP="00EE24E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7" w:type="pct"/>
            <w:tcBorders>
              <w:top w:val="nil"/>
              <w:left w:val="single" w:sz="4" w:space="0" w:color="auto"/>
              <w:bottom w:val="single" w:sz="4" w:space="0" w:color="auto"/>
              <w:right w:val="nil"/>
            </w:tcBorders>
            <w:shd w:val="clear" w:color="000000" w:fill="F2F2F2"/>
            <w:noWrap/>
            <w:vAlign w:val="center"/>
            <w:hideMark/>
          </w:tcPr>
          <w:p w14:paraId="189D6229"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342.160</w:t>
            </w:r>
          </w:p>
        </w:tc>
        <w:tc>
          <w:tcPr>
            <w:tcW w:w="508" w:type="pct"/>
            <w:tcBorders>
              <w:top w:val="nil"/>
              <w:left w:val="nil"/>
              <w:bottom w:val="single" w:sz="4" w:space="0" w:color="auto"/>
              <w:right w:val="nil"/>
            </w:tcBorders>
            <w:shd w:val="clear" w:color="000000" w:fill="F2F2F2"/>
            <w:noWrap/>
            <w:vAlign w:val="center"/>
            <w:hideMark/>
          </w:tcPr>
          <w:p w14:paraId="68CB6F39"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176.116</w:t>
            </w:r>
          </w:p>
        </w:tc>
        <w:tc>
          <w:tcPr>
            <w:tcW w:w="508" w:type="pct"/>
            <w:tcBorders>
              <w:top w:val="nil"/>
              <w:left w:val="nil"/>
              <w:bottom w:val="single" w:sz="4" w:space="0" w:color="auto"/>
              <w:right w:val="nil"/>
            </w:tcBorders>
            <w:shd w:val="clear" w:color="000000" w:fill="F2F2F2"/>
            <w:noWrap/>
            <w:vAlign w:val="center"/>
            <w:hideMark/>
          </w:tcPr>
          <w:p w14:paraId="5F76BD9D"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43.305</w:t>
            </w:r>
          </w:p>
        </w:tc>
        <w:tc>
          <w:tcPr>
            <w:tcW w:w="508" w:type="pct"/>
            <w:tcBorders>
              <w:top w:val="nil"/>
              <w:left w:val="nil"/>
              <w:bottom w:val="single" w:sz="4" w:space="0" w:color="auto"/>
              <w:right w:val="nil"/>
            </w:tcBorders>
            <w:shd w:val="clear" w:color="000000" w:fill="F2F2F2"/>
            <w:noWrap/>
            <w:vAlign w:val="center"/>
            <w:hideMark/>
          </w:tcPr>
          <w:p w14:paraId="69551D0E"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8.077</w:t>
            </w:r>
          </w:p>
        </w:tc>
        <w:tc>
          <w:tcPr>
            <w:tcW w:w="508" w:type="pct"/>
            <w:tcBorders>
              <w:top w:val="nil"/>
              <w:left w:val="nil"/>
              <w:bottom w:val="single" w:sz="4" w:space="0" w:color="auto"/>
              <w:right w:val="nil"/>
            </w:tcBorders>
            <w:shd w:val="clear" w:color="000000" w:fill="F2F2F2"/>
            <w:noWrap/>
            <w:vAlign w:val="center"/>
            <w:hideMark/>
          </w:tcPr>
          <w:p w14:paraId="014886F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837</w:t>
            </w:r>
          </w:p>
        </w:tc>
        <w:tc>
          <w:tcPr>
            <w:tcW w:w="511" w:type="pct"/>
            <w:tcBorders>
              <w:top w:val="nil"/>
              <w:left w:val="nil"/>
              <w:bottom w:val="single" w:sz="4" w:space="0" w:color="auto"/>
              <w:right w:val="single" w:sz="4" w:space="0" w:color="auto"/>
            </w:tcBorders>
            <w:shd w:val="clear" w:color="000000" w:fill="F2F2F2"/>
            <w:noWrap/>
            <w:vAlign w:val="center"/>
            <w:hideMark/>
          </w:tcPr>
          <w:p w14:paraId="566D91C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w:t>
            </w:r>
          </w:p>
        </w:tc>
        <w:tc>
          <w:tcPr>
            <w:tcW w:w="489" w:type="pct"/>
            <w:tcBorders>
              <w:top w:val="nil"/>
              <w:left w:val="nil"/>
              <w:bottom w:val="single" w:sz="4" w:space="0" w:color="auto"/>
              <w:right w:val="nil"/>
            </w:tcBorders>
            <w:shd w:val="clear" w:color="000000" w:fill="F2F2F2"/>
            <w:noWrap/>
            <w:vAlign w:val="center"/>
            <w:hideMark/>
          </w:tcPr>
          <w:p w14:paraId="447DA0E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570.513</w:t>
            </w:r>
          </w:p>
        </w:tc>
        <w:tc>
          <w:tcPr>
            <w:tcW w:w="477" w:type="pct"/>
            <w:tcBorders>
              <w:top w:val="nil"/>
              <w:left w:val="single" w:sz="4" w:space="0" w:color="auto"/>
              <w:bottom w:val="single" w:sz="4" w:space="0" w:color="auto"/>
              <w:right w:val="single" w:sz="4" w:space="0" w:color="auto"/>
            </w:tcBorders>
            <w:shd w:val="clear" w:color="000000" w:fill="F2F2F2"/>
            <w:noWrap/>
            <w:vAlign w:val="center"/>
            <w:hideMark/>
          </w:tcPr>
          <w:p w14:paraId="2291E88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86%</w:t>
            </w:r>
          </w:p>
        </w:tc>
      </w:tr>
      <w:tr w:rsidR="00EE24E1" w:rsidRPr="00650EE4" w14:paraId="1830FE0A" w14:textId="77777777" w:rsidTr="004B0384">
        <w:tc>
          <w:tcPr>
            <w:tcW w:w="984" w:type="pct"/>
            <w:tcBorders>
              <w:top w:val="nil"/>
              <w:left w:val="single" w:sz="4" w:space="0" w:color="auto"/>
              <w:bottom w:val="nil"/>
              <w:right w:val="nil"/>
            </w:tcBorders>
            <w:shd w:val="clear" w:color="000000" w:fill="FFFFFF"/>
            <w:noWrap/>
            <w:vAlign w:val="center"/>
            <w:hideMark/>
          </w:tcPr>
          <w:p w14:paraId="2B5C6FEF"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7" w:type="pct"/>
            <w:tcBorders>
              <w:top w:val="nil"/>
              <w:left w:val="single" w:sz="4" w:space="0" w:color="auto"/>
              <w:bottom w:val="nil"/>
              <w:right w:val="nil"/>
            </w:tcBorders>
            <w:shd w:val="clear" w:color="000000" w:fill="FFFFFF"/>
            <w:noWrap/>
            <w:vAlign w:val="center"/>
            <w:hideMark/>
          </w:tcPr>
          <w:p w14:paraId="143EF81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311.020</w:t>
            </w:r>
          </w:p>
        </w:tc>
        <w:tc>
          <w:tcPr>
            <w:tcW w:w="508" w:type="pct"/>
            <w:tcBorders>
              <w:top w:val="nil"/>
              <w:left w:val="nil"/>
              <w:bottom w:val="nil"/>
              <w:right w:val="nil"/>
            </w:tcBorders>
            <w:shd w:val="clear" w:color="000000" w:fill="FFFFFF"/>
            <w:noWrap/>
            <w:vAlign w:val="center"/>
            <w:hideMark/>
          </w:tcPr>
          <w:p w14:paraId="4EC17E0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170.969</w:t>
            </w:r>
          </w:p>
        </w:tc>
        <w:tc>
          <w:tcPr>
            <w:tcW w:w="508" w:type="pct"/>
            <w:tcBorders>
              <w:top w:val="nil"/>
              <w:left w:val="nil"/>
              <w:bottom w:val="nil"/>
              <w:right w:val="nil"/>
            </w:tcBorders>
            <w:shd w:val="clear" w:color="000000" w:fill="FFFFFF"/>
            <w:noWrap/>
            <w:vAlign w:val="center"/>
            <w:hideMark/>
          </w:tcPr>
          <w:p w14:paraId="700B9D7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38.912</w:t>
            </w:r>
          </w:p>
        </w:tc>
        <w:tc>
          <w:tcPr>
            <w:tcW w:w="508" w:type="pct"/>
            <w:tcBorders>
              <w:top w:val="nil"/>
              <w:left w:val="nil"/>
              <w:bottom w:val="nil"/>
              <w:right w:val="nil"/>
            </w:tcBorders>
            <w:shd w:val="clear" w:color="000000" w:fill="FFFFFF"/>
            <w:noWrap/>
            <w:vAlign w:val="center"/>
            <w:hideMark/>
          </w:tcPr>
          <w:p w14:paraId="08A3D0E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7.814</w:t>
            </w:r>
          </w:p>
        </w:tc>
        <w:tc>
          <w:tcPr>
            <w:tcW w:w="508" w:type="pct"/>
            <w:tcBorders>
              <w:top w:val="nil"/>
              <w:left w:val="nil"/>
              <w:bottom w:val="nil"/>
              <w:right w:val="nil"/>
            </w:tcBorders>
            <w:shd w:val="clear" w:color="000000" w:fill="FFFFFF"/>
            <w:noWrap/>
            <w:vAlign w:val="center"/>
            <w:hideMark/>
          </w:tcPr>
          <w:p w14:paraId="0F928B5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765</w:t>
            </w:r>
          </w:p>
        </w:tc>
        <w:tc>
          <w:tcPr>
            <w:tcW w:w="511" w:type="pct"/>
            <w:tcBorders>
              <w:top w:val="nil"/>
              <w:left w:val="nil"/>
              <w:bottom w:val="nil"/>
              <w:right w:val="single" w:sz="4" w:space="0" w:color="auto"/>
            </w:tcBorders>
            <w:shd w:val="clear" w:color="000000" w:fill="FFFFFF"/>
            <w:noWrap/>
            <w:vAlign w:val="center"/>
            <w:hideMark/>
          </w:tcPr>
          <w:p w14:paraId="03F80C0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89" w:type="pct"/>
            <w:tcBorders>
              <w:top w:val="nil"/>
              <w:left w:val="nil"/>
              <w:bottom w:val="nil"/>
              <w:right w:val="nil"/>
            </w:tcBorders>
            <w:shd w:val="clear" w:color="000000" w:fill="FFFFFF"/>
            <w:noWrap/>
            <w:vAlign w:val="center"/>
            <w:hideMark/>
          </w:tcPr>
          <w:p w14:paraId="5DF33632"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529.492</w:t>
            </w:r>
          </w:p>
        </w:tc>
        <w:tc>
          <w:tcPr>
            <w:tcW w:w="477" w:type="pct"/>
            <w:tcBorders>
              <w:top w:val="nil"/>
              <w:left w:val="single" w:sz="4" w:space="0" w:color="auto"/>
              <w:bottom w:val="nil"/>
              <w:right w:val="single" w:sz="4" w:space="0" w:color="auto"/>
            </w:tcBorders>
            <w:shd w:val="clear" w:color="000000" w:fill="FFFFFF"/>
            <w:noWrap/>
            <w:vAlign w:val="center"/>
            <w:hideMark/>
          </w:tcPr>
          <w:p w14:paraId="5673167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r>
      <w:tr w:rsidR="00EE24E1" w:rsidRPr="00650EE4" w14:paraId="5C6F2EDF" w14:textId="77777777" w:rsidTr="004B0384">
        <w:tc>
          <w:tcPr>
            <w:tcW w:w="984" w:type="pct"/>
            <w:tcBorders>
              <w:top w:val="nil"/>
              <w:left w:val="single" w:sz="4" w:space="0" w:color="auto"/>
              <w:bottom w:val="nil"/>
              <w:right w:val="nil"/>
            </w:tcBorders>
            <w:shd w:val="clear" w:color="000000" w:fill="FFFFFF"/>
            <w:noWrap/>
            <w:vAlign w:val="center"/>
            <w:hideMark/>
          </w:tcPr>
          <w:p w14:paraId="2A8E8B51"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7" w:type="pct"/>
            <w:tcBorders>
              <w:top w:val="nil"/>
              <w:left w:val="single" w:sz="4" w:space="0" w:color="auto"/>
              <w:bottom w:val="nil"/>
              <w:right w:val="nil"/>
            </w:tcBorders>
            <w:shd w:val="clear" w:color="000000" w:fill="FFFFFF"/>
            <w:noWrap/>
            <w:vAlign w:val="center"/>
            <w:hideMark/>
          </w:tcPr>
          <w:p w14:paraId="3983796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31.140</w:t>
            </w:r>
          </w:p>
        </w:tc>
        <w:tc>
          <w:tcPr>
            <w:tcW w:w="508" w:type="pct"/>
            <w:tcBorders>
              <w:top w:val="nil"/>
              <w:left w:val="nil"/>
              <w:bottom w:val="nil"/>
              <w:right w:val="nil"/>
            </w:tcBorders>
            <w:shd w:val="clear" w:color="000000" w:fill="FFFFFF"/>
            <w:noWrap/>
            <w:vAlign w:val="center"/>
            <w:hideMark/>
          </w:tcPr>
          <w:p w14:paraId="03D5D34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5.146</w:t>
            </w:r>
          </w:p>
        </w:tc>
        <w:tc>
          <w:tcPr>
            <w:tcW w:w="508" w:type="pct"/>
            <w:tcBorders>
              <w:top w:val="nil"/>
              <w:left w:val="nil"/>
              <w:bottom w:val="nil"/>
              <w:right w:val="nil"/>
            </w:tcBorders>
            <w:shd w:val="clear" w:color="000000" w:fill="FFFFFF"/>
            <w:noWrap/>
            <w:vAlign w:val="center"/>
            <w:hideMark/>
          </w:tcPr>
          <w:p w14:paraId="3D179A6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4.393</w:t>
            </w:r>
          </w:p>
        </w:tc>
        <w:tc>
          <w:tcPr>
            <w:tcW w:w="508" w:type="pct"/>
            <w:tcBorders>
              <w:top w:val="nil"/>
              <w:left w:val="nil"/>
              <w:bottom w:val="nil"/>
              <w:right w:val="nil"/>
            </w:tcBorders>
            <w:shd w:val="clear" w:color="000000" w:fill="FFFFFF"/>
            <w:noWrap/>
            <w:vAlign w:val="center"/>
            <w:hideMark/>
          </w:tcPr>
          <w:p w14:paraId="4D8BE13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08" w:type="pct"/>
            <w:tcBorders>
              <w:top w:val="nil"/>
              <w:left w:val="nil"/>
              <w:bottom w:val="nil"/>
              <w:right w:val="nil"/>
            </w:tcBorders>
            <w:shd w:val="clear" w:color="000000" w:fill="FFFFFF"/>
            <w:noWrap/>
            <w:vAlign w:val="center"/>
            <w:hideMark/>
          </w:tcPr>
          <w:p w14:paraId="0A4C263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w:t>
            </w:r>
          </w:p>
        </w:tc>
        <w:tc>
          <w:tcPr>
            <w:tcW w:w="511" w:type="pct"/>
            <w:tcBorders>
              <w:top w:val="nil"/>
              <w:left w:val="nil"/>
              <w:bottom w:val="nil"/>
              <w:right w:val="single" w:sz="4" w:space="0" w:color="auto"/>
            </w:tcBorders>
            <w:shd w:val="clear" w:color="000000" w:fill="FFFFFF"/>
            <w:noWrap/>
            <w:vAlign w:val="center"/>
            <w:hideMark/>
          </w:tcPr>
          <w:p w14:paraId="2662018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89" w:type="pct"/>
            <w:tcBorders>
              <w:top w:val="nil"/>
              <w:left w:val="nil"/>
              <w:bottom w:val="nil"/>
              <w:right w:val="nil"/>
            </w:tcBorders>
            <w:shd w:val="clear" w:color="000000" w:fill="FFFFFF"/>
            <w:noWrap/>
            <w:vAlign w:val="center"/>
            <w:hideMark/>
          </w:tcPr>
          <w:p w14:paraId="18E0E505"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41.021</w:t>
            </w:r>
          </w:p>
        </w:tc>
        <w:tc>
          <w:tcPr>
            <w:tcW w:w="477" w:type="pct"/>
            <w:tcBorders>
              <w:top w:val="nil"/>
              <w:left w:val="single" w:sz="4" w:space="0" w:color="auto"/>
              <w:bottom w:val="nil"/>
              <w:right w:val="single" w:sz="4" w:space="0" w:color="auto"/>
            </w:tcBorders>
            <w:shd w:val="clear" w:color="000000" w:fill="FFFFFF"/>
            <w:noWrap/>
            <w:vAlign w:val="center"/>
            <w:hideMark/>
          </w:tcPr>
          <w:p w14:paraId="06BEAFE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r>
      <w:tr w:rsidR="00EE24E1" w:rsidRPr="00650EE4" w14:paraId="0D454F3E" w14:textId="77777777" w:rsidTr="004B0384">
        <w:tc>
          <w:tcPr>
            <w:tcW w:w="984" w:type="pct"/>
            <w:tcBorders>
              <w:top w:val="single" w:sz="4" w:space="0" w:color="auto"/>
              <w:left w:val="single" w:sz="4" w:space="0" w:color="auto"/>
              <w:bottom w:val="single" w:sz="4" w:space="0" w:color="auto"/>
              <w:right w:val="nil"/>
            </w:tcBorders>
            <w:shd w:val="clear" w:color="000000" w:fill="F2F2F2"/>
            <w:noWrap/>
            <w:vAlign w:val="center"/>
            <w:hideMark/>
          </w:tcPr>
          <w:p w14:paraId="306607D1" w14:textId="77777777" w:rsidR="00EE24E1" w:rsidRPr="00650EE4" w:rsidRDefault="00EE24E1" w:rsidP="00EE24E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7" w:type="pct"/>
            <w:tcBorders>
              <w:top w:val="single" w:sz="4" w:space="0" w:color="auto"/>
              <w:left w:val="single" w:sz="4" w:space="0" w:color="auto"/>
              <w:bottom w:val="single" w:sz="4" w:space="0" w:color="auto"/>
              <w:right w:val="nil"/>
            </w:tcBorders>
            <w:shd w:val="clear" w:color="000000" w:fill="F2F2F2"/>
            <w:noWrap/>
            <w:vAlign w:val="center"/>
            <w:hideMark/>
          </w:tcPr>
          <w:p w14:paraId="5546987E"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78.175</w:t>
            </w:r>
          </w:p>
        </w:tc>
        <w:tc>
          <w:tcPr>
            <w:tcW w:w="508" w:type="pct"/>
            <w:tcBorders>
              <w:top w:val="single" w:sz="4" w:space="0" w:color="auto"/>
              <w:left w:val="nil"/>
              <w:bottom w:val="single" w:sz="4" w:space="0" w:color="auto"/>
              <w:right w:val="nil"/>
            </w:tcBorders>
            <w:shd w:val="clear" w:color="000000" w:fill="F2F2F2"/>
            <w:noWrap/>
            <w:vAlign w:val="center"/>
            <w:hideMark/>
          </w:tcPr>
          <w:p w14:paraId="1055032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6.059</w:t>
            </w:r>
          </w:p>
        </w:tc>
        <w:tc>
          <w:tcPr>
            <w:tcW w:w="508" w:type="pct"/>
            <w:tcBorders>
              <w:top w:val="single" w:sz="4" w:space="0" w:color="auto"/>
              <w:left w:val="nil"/>
              <w:bottom w:val="single" w:sz="4" w:space="0" w:color="auto"/>
              <w:right w:val="nil"/>
            </w:tcBorders>
            <w:shd w:val="clear" w:color="000000" w:fill="F2F2F2"/>
            <w:noWrap/>
            <w:vAlign w:val="center"/>
            <w:hideMark/>
          </w:tcPr>
          <w:p w14:paraId="2865A4F0"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5.689</w:t>
            </w:r>
          </w:p>
        </w:tc>
        <w:tc>
          <w:tcPr>
            <w:tcW w:w="508" w:type="pct"/>
            <w:tcBorders>
              <w:top w:val="single" w:sz="4" w:space="0" w:color="auto"/>
              <w:left w:val="nil"/>
              <w:bottom w:val="single" w:sz="4" w:space="0" w:color="auto"/>
              <w:right w:val="nil"/>
            </w:tcBorders>
            <w:shd w:val="clear" w:color="000000" w:fill="F2F2F2"/>
            <w:noWrap/>
            <w:vAlign w:val="center"/>
            <w:hideMark/>
          </w:tcPr>
          <w:p w14:paraId="5E755B82"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713</w:t>
            </w:r>
          </w:p>
        </w:tc>
        <w:tc>
          <w:tcPr>
            <w:tcW w:w="508" w:type="pct"/>
            <w:tcBorders>
              <w:top w:val="single" w:sz="4" w:space="0" w:color="auto"/>
              <w:left w:val="nil"/>
              <w:bottom w:val="single" w:sz="4" w:space="0" w:color="auto"/>
              <w:right w:val="nil"/>
            </w:tcBorders>
            <w:shd w:val="clear" w:color="000000" w:fill="F2F2F2"/>
            <w:noWrap/>
            <w:vAlign w:val="center"/>
            <w:hideMark/>
          </w:tcPr>
          <w:p w14:paraId="57447FA3"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125</w:t>
            </w:r>
          </w:p>
        </w:tc>
        <w:tc>
          <w:tcPr>
            <w:tcW w:w="511" w:type="pct"/>
            <w:tcBorders>
              <w:top w:val="single" w:sz="4" w:space="0" w:color="auto"/>
              <w:left w:val="nil"/>
              <w:bottom w:val="single" w:sz="4" w:space="0" w:color="auto"/>
              <w:right w:val="single" w:sz="4" w:space="0" w:color="auto"/>
            </w:tcBorders>
            <w:shd w:val="clear" w:color="000000" w:fill="F2F2F2"/>
            <w:noWrap/>
            <w:vAlign w:val="center"/>
            <w:hideMark/>
          </w:tcPr>
          <w:p w14:paraId="79E18241"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w:t>
            </w:r>
          </w:p>
        </w:tc>
        <w:tc>
          <w:tcPr>
            <w:tcW w:w="489" w:type="pct"/>
            <w:tcBorders>
              <w:top w:val="single" w:sz="4" w:space="0" w:color="auto"/>
              <w:left w:val="nil"/>
              <w:bottom w:val="single" w:sz="4" w:space="0" w:color="auto"/>
              <w:right w:val="nil"/>
            </w:tcBorders>
            <w:shd w:val="clear" w:color="000000" w:fill="F2F2F2"/>
            <w:noWrap/>
            <w:vAlign w:val="center"/>
            <w:hideMark/>
          </w:tcPr>
          <w:p w14:paraId="5B4EE2FC"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90.770</w:t>
            </w:r>
          </w:p>
        </w:tc>
        <w:tc>
          <w:tcPr>
            <w:tcW w:w="47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66C29F" w14:textId="77777777" w:rsidR="00EE24E1" w:rsidRPr="00650EE4" w:rsidRDefault="00EE24E1" w:rsidP="00EE24E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w:t>
            </w:r>
          </w:p>
        </w:tc>
      </w:tr>
      <w:tr w:rsidR="00EE24E1" w:rsidRPr="00650EE4" w14:paraId="0D22A341" w14:textId="77777777" w:rsidTr="004B0384">
        <w:tc>
          <w:tcPr>
            <w:tcW w:w="984" w:type="pct"/>
            <w:tcBorders>
              <w:top w:val="nil"/>
              <w:left w:val="single" w:sz="4" w:space="0" w:color="auto"/>
              <w:bottom w:val="nil"/>
              <w:right w:val="nil"/>
            </w:tcBorders>
            <w:shd w:val="clear" w:color="000000" w:fill="FFFFFF"/>
            <w:noWrap/>
            <w:vAlign w:val="center"/>
            <w:hideMark/>
          </w:tcPr>
          <w:p w14:paraId="36FDAC34"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7" w:type="pct"/>
            <w:tcBorders>
              <w:top w:val="nil"/>
              <w:left w:val="single" w:sz="4" w:space="0" w:color="auto"/>
              <w:bottom w:val="nil"/>
              <w:right w:val="nil"/>
            </w:tcBorders>
            <w:shd w:val="clear" w:color="000000" w:fill="FFFFFF"/>
            <w:noWrap/>
            <w:vAlign w:val="center"/>
            <w:hideMark/>
          </w:tcPr>
          <w:p w14:paraId="3CC426F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44.552</w:t>
            </w:r>
          </w:p>
        </w:tc>
        <w:tc>
          <w:tcPr>
            <w:tcW w:w="508" w:type="pct"/>
            <w:tcBorders>
              <w:top w:val="nil"/>
              <w:left w:val="nil"/>
              <w:bottom w:val="nil"/>
              <w:right w:val="nil"/>
            </w:tcBorders>
            <w:shd w:val="clear" w:color="000000" w:fill="FFFFFF"/>
            <w:noWrap/>
            <w:vAlign w:val="center"/>
            <w:hideMark/>
          </w:tcPr>
          <w:p w14:paraId="4C170CD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2.091</w:t>
            </w:r>
          </w:p>
        </w:tc>
        <w:tc>
          <w:tcPr>
            <w:tcW w:w="508" w:type="pct"/>
            <w:tcBorders>
              <w:top w:val="nil"/>
              <w:left w:val="nil"/>
              <w:bottom w:val="nil"/>
              <w:right w:val="nil"/>
            </w:tcBorders>
            <w:shd w:val="clear" w:color="000000" w:fill="FFFFFF"/>
            <w:noWrap/>
            <w:vAlign w:val="center"/>
            <w:hideMark/>
          </w:tcPr>
          <w:p w14:paraId="2B55A3A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1.920</w:t>
            </w:r>
          </w:p>
        </w:tc>
        <w:tc>
          <w:tcPr>
            <w:tcW w:w="508" w:type="pct"/>
            <w:tcBorders>
              <w:top w:val="nil"/>
              <w:left w:val="nil"/>
              <w:bottom w:val="nil"/>
              <w:right w:val="nil"/>
            </w:tcBorders>
            <w:shd w:val="clear" w:color="000000" w:fill="FFFFFF"/>
            <w:noWrap/>
            <w:vAlign w:val="center"/>
            <w:hideMark/>
          </w:tcPr>
          <w:p w14:paraId="0F72F81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508" w:type="pct"/>
            <w:tcBorders>
              <w:top w:val="nil"/>
              <w:left w:val="nil"/>
              <w:bottom w:val="nil"/>
              <w:right w:val="nil"/>
            </w:tcBorders>
            <w:shd w:val="clear" w:color="000000" w:fill="FFFFFF"/>
            <w:noWrap/>
            <w:vAlign w:val="center"/>
            <w:hideMark/>
          </w:tcPr>
          <w:p w14:paraId="48A417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511" w:type="pct"/>
            <w:tcBorders>
              <w:top w:val="nil"/>
              <w:left w:val="nil"/>
              <w:bottom w:val="nil"/>
              <w:right w:val="single" w:sz="4" w:space="0" w:color="auto"/>
            </w:tcBorders>
            <w:shd w:val="clear" w:color="000000" w:fill="FFFFFF"/>
            <w:noWrap/>
            <w:vAlign w:val="center"/>
            <w:hideMark/>
          </w:tcPr>
          <w:p w14:paraId="5A39475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89" w:type="pct"/>
            <w:tcBorders>
              <w:top w:val="nil"/>
              <w:left w:val="nil"/>
              <w:bottom w:val="nil"/>
              <w:right w:val="nil"/>
            </w:tcBorders>
            <w:shd w:val="clear" w:color="000000" w:fill="FFFFFF"/>
            <w:noWrap/>
            <w:vAlign w:val="center"/>
            <w:hideMark/>
          </w:tcPr>
          <w:p w14:paraId="62737753"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48.775</w:t>
            </w:r>
          </w:p>
        </w:tc>
        <w:tc>
          <w:tcPr>
            <w:tcW w:w="477" w:type="pct"/>
            <w:tcBorders>
              <w:top w:val="nil"/>
              <w:left w:val="single" w:sz="4" w:space="0" w:color="auto"/>
              <w:bottom w:val="nil"/>
              <w:right w:val="single" w:sz="4" w:space="0" w:color="auto"/>
            </w:tcBorders>
            <w:shd w:val="clear" w:color="000000" w:fill="FFFFFF"/>
            <w:noWrap/>
            <w:vAlign w:val="center"/>
            <w:hideMark/>
          </w:tcPr>
          <w:p w14:paraId="02B5A25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EE24E1" w:rsidRPr="00650EE4" w14:paraId="47E719A9" w14:textId="77777777" w:rsidTr="00A5641B">
        <w:trPr>
          <w:trHeight w:val="59"/>
        </w:trPr>
        <w:tc>
          <w:tcPr>
            <w:tcW w:w="984" w:type="pct"/>
            <w:tcBorders>
              <w:top w:val="nil"/>
              <w:left w:val="single" w:sz="4" w:space="0" w:color="auto"/>
              <w:bottom w:val="nil"/>
              <w:right w:val="nil"/>
            </w:tcBorders>
            <w:shd w:val="clear" w:color="000000" w:fill="FFFFFF"/>
            <w:noWrap/>
            <w:vAlign w:val="center"/>
            <w:hideMark/>
          </w:tcPr>
          <w:p w14:paraId="04DDA373"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7" w:type="pct"/>
            <w:tcBorders>
              <w:top w:val="nil"/>
              <w:left w:val="single" w:sz="4" w:space="0" w:color="auto"/>
              <w:bottom w:val="nil"/>
              <w:right w:val="nil"/>
            </w:tcBorders>
            <w:shd w:val="clear" w:color="000000" w:fill="FFFFFF"/>
            <w:noWrap/>
            <w:vAlign w:val="center"/>
            <w:hideMark/>
          </w:tcPr>
          <w:p w14:paraId="45D42B0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9.085</w:t>
            </w:r>
          </w:p>
        </w:tc>
        <w:tc>
          <w:tcPr>
            <w:tcW w:w="508" w:type="pct"/>
            <w:tcBorders>
              <w:top w:val="nil"/>
              <w:left w:val="nil"/>
              <w:bottom w:val="nil"/>
              <w:right w:val="nil"/>
            </w:tcBorders>
            <w:shd w:val="clear" w:color="000000" w:fill="FFFFFF"/>
            <w:noWrap/>
            <w:vAlign w:val="center"/>
            <w:hideMark/>
          </w:tcPr>
          <w:p w14:paraId="7783F905"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689</w:t>
            </w:r>
          </w:p>
        </w:tc>
        <w:tc>
          <w:tcPr>
            <w:tcW w:w="508" w:type="pct"/>
            <w:tcBorders>
              <w:top w:val="nil"/>
              <w:left w:val="nil"/>
              <w:bottom w:val="nil"/>
              <w:right w:val="nil"/>
            </w:tcBorders>
            <w:shd w:val="clear" w:color="000000" w:fill="FFFFFF"/>
            <w:noWrap/>
            <w:vAlign w:val="center"/>
            <w:hideMark/>
          </w:tcPr>
          <w:p w14:paraId="1CF53EB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505</w:t>
            </w:r>
          </w:p>
        </w:tc>
        <w:tc>
          <w:tcPr>
            <w:tcW w:w="508" w:type="pct"/>
            <w:tcBorders>
              <w:top w:val="nil"/>
              <w:left w:val="nil"/>
              <w:bottom w:val="nil"/>
              <w:right w:val="nil"/>
            </w:tcBorders>
            <w:shd w:val="clear" w:color="000000" w:fill="FFFFFF"/>
            <w:noWrap/>
            <w:vAlign w:val="center"/>
            <w:hideMark/>
          </w:tcPr>
          <w:p w14:paraId="0772A1C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08" w:type="pct"/>
            <w:tcBorders>
              <w:top w:val="nil"/>
              <w:left w:val="nil"/>
              <w:bottom w:val="nil"/>
              <w:right w:val="nil"/>
            </w:tcBorders>
            <w:shd w:val="clear" w:color="000000" w:fill="FFFFFF"/>
            <w:noWrap/>
            <w:vAlign w:val="center"/>
            <w:hideMark/>
          </w:tcPr>
          <w:p w14:paraId="53B63AB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11" w:type="pct"/>
            <w:tcBorders>
              <w:top w:val="nil"/>
              <w:left w:val="nil"/>
              <w:bottom w:val="nil"/>
              <w:right w:val="single" w:sz="4" w:space="0" w:color="auto"/>
            </w:tcBorders>
            <w:shd w:val="clear" w:color="000000" w:fill="FFFFFF"/>
            <w:noWrap/>
            <w:vAlign w:val="center"/>
            <w:hideMark/>
          </w:tcPr>
          <w:p w14:paraId="10F696D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5F0621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10.377</w:t>
            </w:r>
          </w:p>
        </w:tc>
        <w:tc>
          <w:tcPr>
            <w:tcW w:w="477" w:type="pct"/>
            <w:tcBorders>
              <w:top w:val="nil"/>
              <w:left w:val="single" w:sz="4" w:space="0" w:color="auto"/>
              <w:bottom w:val="nil"/>
              <w:right w:val="single" w:sz="4" w:space="0" w:color="auto"/>
            </w:tcBorders>
            <w:shd w:val="clear" w:color="000000" w:fill="FFFFFF"/>
            <w:noWrap/>
            <w:vAlign w:val="center"/>
            <w:hideMark/>
          </w:tcPr>
          <w:p w14:paraId="093B6D9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r>
      <w:tr w:rsidR="00EE24E1" w:rsidRPr="00650EE4" w14:paraId="0728893E" w14:textId="77777777" w:rsidTr="004B0384">
        <w:tc>
          <w:tcPr>
            <w:tcW w:w="984" w:type="pct"/>
            <w:tcBorders>
              <w:top w:val="nil"/>
              <w:left w:val="single" w:sz="4" w:space="0" w:color="auto"/>
              <w:bottom w:val="nil"/>
              <w:right w:val="nil"/>
            </w:tcBorders>
            <w:shd w:val="clear" w:color="000000" w:fill="FFFFFF"/>
            <w:noWrap/>
            <w:vAlign w:val="center"/>
            <w:hideMark/>
          </w:tcPr>
          <w:p w14:paraId="07D034E6"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7" w:type="pct"/>
            <w:tcBorders>
              <w:top w:val="nil"/>
              <w:left w:val="single" w:sz="4" w:space="0" w:color="auto"/>
              <w:bottom w:val="nil"/>
              <w:right w:val="nil"/>
            </w:tcBorders>
            <w:shd w:val="clear" w:color="000000" w:fill="FFFFFF"/>
            <w:noWrap/>
            <w:vAlign w:val="center"/>
            <w:hideMark/>
          </w:tcPr>
          <w:p w14:paraId="598A207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3.743</w:t>
            </w:r>
          </w:p>
        </w:tc>
        <w:tc>
          <w:tcPr>
            <w:tcW w:w="508" w:type="pct"/>
            <w:tcBorders>
              <w:top w:val="nil"/>
              <w:left w:val="nil"/>
              <w:bottom w:val="nil"/>
              <w:right w:val="nil"/>
            </w:tcBorders>
            <w:shd w:val="clear" w:color="000000" w:fill="FFFFFF"/>
            <w:noWrap/>
            <w:vAlign w:val="center"/>
            <w:hideMark/>
          </w:tcPr>
          <w:p w14:paraId="230D397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634</w:t>
            </w:r>
          </w:p>
        </w:tc>
        <w:tc>
          <w:tcPr>
            <w:tcW w:w="508" w:type="pct"/>
            <w:tcBorders>
              <w:top w:val="nil"/>
              <w:left w:val="nil"/>
              <w:bottom w:val="nil"/>
              <w:right w:val="nil"/>
            </w:tcBorders>
            <w:shd w:val="clear" w:color="000000" w:fill="FFFFFF"/>
            <w:noWrap/>
            <w:vAlign w:val="center"/>
            <w:hideMark/>
          </w:tcPr>
          <w:p w14:paraId="4D61A2A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322</w:t>
            </w:r>
          </w:p>
        </w:tc>
        <w:tc>
          <w:tcPr>
            <w:tcW w:w="508" w:type="pct"/>
            <w:tcBorders>
              <w:top w:val="nil"/>
              <w:left w:val="nil"/>
              <w:bottom w:val="nil"/>
              <w:right w:val="nil"/>
            </w:tcBorders>
            <w:shd w:val="clear" w:color="000000" w:fill="FFFFFF"/>
            <w:noWrap/>
            <w:vAlign w:val="center"/>
            <w:hideMark/>
          </w:tcPr>
          <w:p w14:paraId="35AAC60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08" w:type="pct"/>
            <w:tcBorders>
              <w:top w:val="nil"/>
              <w:left w:val="nil"/>
              <w:bottom w:val="nil"/>
              <w:right w:val="nil"/>
            </w:tcBorders>
            <w:shd w:val="clear" w:color="000000" w:fill="FFFFFF"/>
            <w:noWrap/>
            <w:vAlign w:val="center"/>
            <w:hideMark/>
          </w:tcPr>
          <w:p w14:paraId="737AD13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11" w:type="pct"/>
            <w:tcBorders>
              <w:top w:val="nil"/>
              <w:left w:val="nil"/>
              <w:bottom w:val="nil"/>
              <w:right w:val="single" w:sz="4" w:space="0" w:color="auto"/>
            </w:tcBorders>
            <w:shd w:val="clear" w:color="000000" w:fill="FFFFFF"/>
            <w:noWrap/>
            <w:vAlign w:val="center"/>
            <w:hideMark/>
          </w:tcPr>
          <w:p w14:paraId="49B8A49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4B8FE417"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4.715</w:t>
            </w:r>
          </w:p>
        </w:tc>
        <w:tc>
          <w:tcPr>
            <w:tcW w:w="477" w:type="pct"/>
            <w:tcBorders>
              <w:top w:val="nil"/>
              <w:left w:val="single" w:sz="4" w:space="0" w:color="auto"/>
              <w:bottom w:val="nil"/>
              <w:right w:val="single" w:sz="4" w:space="0" w:color="auto"/>
            </w:tcBorders>
            <w:shd w:val="clear" w:color="000000" w:fill="FFFFFF"/>
            <w:noWrap/>
            <w:vAlign w:val="center"/>
            <w:hideMark/>
          </w:tcPr>
          <w:p w14:paraId="6A2E240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0,7%</w:t>
            </w:r>
          </w:p>
        </w:tc>
      </w:tr>
      <w:tr w:rsidR="00EE24E1" w:rsidRPr="00650EE4" w14:paraId="46F1AF0A" w14:textId="77777777" w:rsidTr="004B0384">
        <w:tc>
          <w:tcPr>
            <w:tcW w:w="984" w:type="pct"/>
            <w:tcBorders>
              <w:top w:val="nil"/>
              <w:left w:val="single" w:sz="4" w:space="0" w:color="auto"/>
              <w:bottom w:val="nil"/>
              <w:right w:val="nil"/>
            </w:tcBorders>
            <w:shd w:val="clear" w:color="000000" w:fill="FFFFFF"/>
            <w:noWrap/>
            <w:vAlign w:val="center"/>
            <w:hideMark/>
          </w:tcPr>
          <w:p w14:paraId="3925D68E"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7" w:type="pct"/>
            <w:tcBorders>
              <w:top w:val="nil"/>
              <w:left w:val="single" w:sz="4" w:space="0" w:color="auto"/>
              <w:bottom w:val="nil"/>
              <w:right w:val="nil"/>
            </w:tcBorders>
            <w:shd w:val="clear" w:color="000000" w:fill="FFFFFF"/>
            <w:noWrap/>
            <w:vAlign w:val="center"/>
            <w:hideMark/>
          </w:tcPr>
          <w:p w14:paraId="7BA4E6E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7.129</w:t>
            </w:r>
          </w:p>
        </w:tc>
        <w:tc>
          <w:tcPr>
            <w:tcW w:w="508" w:type="pct"/>
            <w:tcBorders>
              <w:top w:val="nil"/>
              <w:left w:val="nil"/>
              <w:bottom w:val="nil"/>
              <w:right w:val="nil"/>
            </w:tcBorders>
            <w:shd w:val="clear" w:color="000000" w:fill="FFFFFF"/>
            <w:noWrap/>
            <w:vAlign w:val="center"/>
            <w:hideMark/>
          </w:tcPr>
          <w:p w14:paraId="003B9D5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626</w:t>
            </w:r>
          </w:p>
        </w:tc>
        <w:tc>
          <w:tcPr>
            <w:tcW w:w="508" w:type="pct"/>
            <w:tcBorders>
              <w:top w:val="nil"/>
              <w:left w:val="nil"/>
              <w:bottom w:val="nil"/>
              <w:right w:val="nil"/>
            </w:tcBorders>
            <w:shd w:val="clear" w:color="000000" w:fill="FFFFFF"/>
            <w:noWrap/>
            <w:vAlign w:val="center"/>
            <w:hideMark/>
          </w:tcPr>
          <w:p w14:paraId="0A0FCFA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865</w:t>
            </w:r>
          </w:p>
        </w:tc>
        <w:tc>
          <w:tcPr>
            <w:tcW w:w="508" w:type="pct"/>
            <w:tcBorders>
              <w:top w:val="nil"/>
              <w:left w:val="nil"/>
              <w:bottom w:val="nil"/>
              <w:right w:val="nil"/>
            </w:tcBorders>
            <w:shd w:val="clear" w:color="000000" w:fill="FFFFFF"/>
            <w:noWrap/>
            <w:vAlign w:val="center"/>
            <w:hideMark/>
          </w:tcPr>
          <w:p w14:paraId="1B9ED4C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508" w:type="pct"/>
            <w:tcBorders>
              <w:top w:val="nil"/>
              <w:left w:val="nil"/>
              <w:bottom w:val="nil"/>
              <w:right w:val="nil"/>
            </w:tcBorders>
            <w:shd w:val="clear" w:color="000000" w:fill="FFFFFF"/>
            <w:noWrap/>
            <w:vAlign w:val="center"/>
            <w:hideMark/>
          </w:tcPr>
          <w:p w14:paraId="375494B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511" w:type="pct"/>
            <w:tcBorders>
              <w:top w:val="nil"/>
              <w:left w:val="nil"/>
              <w:bottom w:val="nil"/>
              <w:right w:val="single" w:sz="4" w:space="0" w:color="auto"/>
            </w:tcBorders>
            <w:shd w:val="clear" w:color="000000" w:fill="FFFFFF"/>
            <w:noWrap/>
            <w:vAlign w:val="center"/>
            <w:hideMark/>
          </w:tcPr>
          <w:p w14:paraId="42DB272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9" w:type="pct"/>
            <w:tcBorders>
              <w:top w:val="nil"/>
              <w:left w:val="nil"/>
              <w:bottom w:val="nil"/>
              <w:right w:val="nil"/>
            </w:tcBorders>
            <w:shd w:val="clear" w:color="000000" w:fill="FFFFFF"/>
            <w:noWrap/>
            <w:vAlign w:val="center"/>
            <w:hideMark/>
          </w:tcPr>
          <w:p w14:paraId="6C7A21DD"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8.760</w:t>
            </w:r>
          </w:p>
        </w:tc>
        <w:tc>
          <w:tcPr>
            <w:tcW w:w="477" w:type="pct"/>
            <w:tcBorders>
              <w:top w:val="nil"/>
              <w:left w:val="single" w:sz="4" w:space="0" w:color="auto"/>
              <w:bottom w:val="nil"/>
              <w:right w:val="single" w:sz="4" w:space="0" w:color="auto"/>
            </w:tcBorders>
            <w:shd w:val="clear" w:color="000000" w:fill="FFFFFF"/>
            <w:noWrap/>
            <w:vAlign w:val="center"/>
            <w:hideMark/>
          </w:tcPr>
          <w:p w14:paraId="247210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EE24E1" w:rsidRPr="00650EE4" w14:paraId="6CB868E6" w14:textId="77777777" w:rsidTr="004B0384">
        <w:tc>
          <w:tcPr>
            <w:tcW w:w="984" w:type="pct"/>
            <w:tcBorders>
              <w:top w:val="nil"/>
              <w:left w:val="single" w:sz="4" w:space="0" w:color="auto"/>
              <w:bottom w:val="nil"/>
              <w:right w:val="nil"/>
            </w:tcBorders>
            <w:shd w:val="clear" w:color="000000" w:fill="FFFFFF"/>
            <w:noWrap/>
            <w:vAlign w:val="center"/>
            <w:hideMark/>
          </w:tcPr>
          <w:p w14:paraId="40D4E6DA"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7" w:type="pct"/>
            <w:tcBorders>
              <w:top w:val="nil"/>
              <w:left w:val="single" w:sz="4" w:space="0" w:color="auto"/>
              <w:bottom w:val="nil"/>
              <w:right w:val="nil"/>
            </w:tcBorders>
            <w:shd w:val="clear" w:color="000000" w:fill="FFFFFF"/>
            <w:noWrap/>
            <w:vAlign w:val="center"/>
            <w:hideMark/>
          </w:tcPr>
          <w:p w14:paraId="42A9195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1.422</w:t>
            </w:r>
          </w:p>
        </w:tc>
        <w:tc>
          <w:tcPr>
            <w:tcW w:w="508" w:type="pct"/>
            <w:tcBorders>
              <w:top w:val="nil"/>
              <w:left w:val="nil"/>
              <w:bottom w:val="nil"/>
              <w:right w:val="nil"/>
            </w:tcBorders>
            <w:shd w:val="clear" w:color="000000" w:fill="FFFFFF"/>
            <w:noWrap/>
            <w:vAlign w:val="center"/>
            <w:hideMark/>
          </w:tcPr>
          <w:p w14:paraId="6C3D8713"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189</w:t>
            </w:r>
          </w:p>
        </w:tc>
        <w:tc>
          <w:tcPr>
            <w:tcW w:w="508" w:type="pct"/>
            <w:tcBorders>
              <w:top w:val="nil"/>
              <w:left w:val="nil"/>
              <w:bottom w:val="nil"/>
              <w:right w:val="nil"/>
            </w:tcBorders>
            <w:shd w:val="clear" w:color="000000" w:fill="FFFFFF"/>
            <w:noWrap/>
            <w:vAlign w:val="center"/>
            <w:hideMark/>
          </w:tcPr>
          <w:p w14:paraId="0F73E2C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221</w:t>
            </w:r>
          </w:p>
        </w:tc>
        <w:tc>
          <w:tcPr>
            <w:tcW w:w="508" w:type="pct"/>
            <w:tcBorders>
              <w:top w:val="nil"/>
              <w:left w:val="nil"/>
              <w:bottom w:val="nil"/>
              <w:right w:val="nil"/>
            </w:tcBorders>
            <w:shd w:val="clear" w:color="000000" w:fill="FFFFFF"/>
            <w:noWrap/>
            <w:vAlign w:val="center"/>
            <w:hideMark/>
          </w:tcPr>
          <w:p w14:paraId="6BCEF3E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08" w:type="pct"/>
            <w:tcBorders>
              <w:top w:val="nil"/>
              <w:left w:val="nil"/>
              <w:bottom w:val="nil"/>
              <w:right w:val="nil"/>
            </w:tcBorders>
            <w:shd w:val="clear" w:color="000000" w:fill="FFFFFF"/>
            <w:noWrap/>
            <w:vAlign w:val="center"/>
            <w:hideMark/>
          </w:tcPr>
          <w:p w14:paraId="7D6F02E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26CF8E5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9" w:type="pct"/>
            <w:tcBorders>
              <w:top w:val="nil"/>
              <w:left w:val="nil"/>
              <w:bottom w:val="nil"/>
              <w:right w:val="nil"/>
            </w:tcBorders>
            <w:shd w:val="clear" w:color="000000" w:fill="FFFFFF"/>
            <w:noWrap/>
            <w:vAlign w:val="center"/>
            <w:hideMark/>
          </w:tcPr>
          <w:p w14:paraId="039591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1.839</w:t>
            </w:r>
          </w:p>
        </w:tc>
        <w:tc>
          <w:tcPr>
            <w:tcW w:w="477" w:type="pct"/>
            <w:tcBorders>
              <w:top w:val="nil"/>
              <w:left w:val="single" w:sz="4" w:space="0" w:color="auto"/>
              <w:bottom w:val="nil"/>
              <w:right w:val="single" w:sz="4" w:space="0" w:color="auto"/>
            </w:tcBorders>
            <w:shd w:val="clear" w:color="000000" w:fill="FFFFFF"/>
            <w:noWrap/>
            <w:vAlign w:val="center"/>
            <w:hideMark/>
          </w:tcPr>
          <w:p w14:paraId="1BF6F8E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EE24E1" w:rsidRPr="00650EE4" w14:paraId="48E7A821" w14:textId="77777777" w:rsidTr="004B0384">
        <w:tc>
          <w:tcPr>
            <w:tcW w:w="984" w:type="pct"/>
            <w:tcBorders>
              <w:top w:val="nil"/>
              <w:left w:val="single" w:sz="4" w:space="0" w:color="auto"/>
              <w:bottom w:val="nil"/>
              <w:right w:val="nil"/>
            </w:tcBorders>
            <w:shd w:val="clear" w:color="000000" w:fill="FFFFFF"/>
            <w:noWrap/>
            <w:vAlign w:val="center"/>
            <w:hideMark/>
          </w:tcPr>
          <w:p w14:paraId="799D205C"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7" w:type="pct"/>
            <w:tcBorders>
              <w:top w:val="nil"/>
              <w:left w:val="single" w:sz="4" w:space="0" w:color="auto"/>
              <w:bottom w:val="nil"/>
              <w:right w:val="nil"/>
            </w:tcBorders>
            <w:shd w:val="clear" w:color="000000" w:fill="FFFFFF"/>
            <w:noWrap/>
            <w:vAlign w:val="center"/>
            <w:hideMark/>
          </w:tcPr>
          <w:p w14:paraId="1BEF5D5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4.474</w:t>
            </w:r>
          </w:p>
        </w:tc>
        <w:tc>
          <w:tcPr>
            <w:tcW w:w="508" w:type="pct"/>
            <w:tcBorders>
              <w:top w:val="nil"/>
              <w:left w:val="nil"/>
              <w:bottom w:val="nil"/>
              <w:right w:val="nil"/>
            </w:tcBorders>
            <w:shd w:val="clear" w:color="000000" w:fill="FFFFFF"/>
            <w:noWrap/>
            <w:vAlign w:val="center"/>
            <w:hideMark/>
          </w:tcPr>
          <w:p w14:paraId="48DC8615"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1.066</w:t>
            </w:r>
          </w:p>
        </w:tc>
        <w:tc>
          <w:tcPr>
            <w:tcW w:w="508" w:type="pct"/>
            <w:tcBorders>
              <w:top w:val="nil"/>
              <w:left w:val="nil"/>
              <w:bottom w:val="nil"/>
              <w:right w:val="nil"/>
            </w:tcBorders>
            <w:shd w:val="clear" w:color="000000" w:fill="FFFFFF"/>
            <w:noWrap/>
            <w:vAlign w:val="center"/>
            <w:hideMark/>
          </w:tcPr>
          <w:p w14:paraId="4F10A54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1.095</w:t>
            </w:r>
          </w:p>
        </w:tc>
        <w:tc>
          <w:tcPr>
            <w:tcW w:w="508" w:type="pct"/>
            <w:tcBorders>
              <w:top w:val="nil"/>
              <w:left w:val="nil"/>
              <w:bottom w:val="nil"/>
              <w:right w:val="nil"/>
            </w:tcBorders>
            <w:shd w:val="clear" w:color="000000" w:fill="FFFFFF"/>
            <w:noWrap/>
            <w:vAlign w:val="center"/>
            <w:hideMark/>
          </w:tcPr>
          <w:p w14:paraId="4CA2545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246</w:t>
            </w:r>
          </w:p>
        </w:tc>
        <w:tc>
          <w:tcPr>
            <w:tcW w:w="508" w:type="pct"/>
            <w:tcBorders>
              <w:top w:val="nil"/>
              <w:left w:val="nil"/>
              <w:bottom w:val="nil"/>
              <w:right w:val="nil"/>
            </w:tcBorders>
            <w:shd w:val="clear" w:color="000000" w:fill="FFFFFF"/>
            <w:noWrap/>
            <w:vAlign w:val="center"/>
            <w:hideMark/>
          </w:tcPr>
          <w:p w14:paraId="0A8B420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511" w:type="pct"/>
            <w:tcBorders>
              <w:top w:val="nil"/>
              <w:left w:val="nil"/>
              <w:bottom w:val="nil"/>
              <w:right w:val="single" w:sz="4" w:space="0" w:color="auto"/>
            </w:tcBorders>
            <w:shd w:val="clear" w:color="000000" w:fill="FFFFFF"/>
            <w:noWrap/>
            <w:vAlign w:val="center"/>
            <w:hideMark/>
          </w:tcPr>
          <w:p w14:paraId="1B7038D8"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9" w:type="pct"/>
            <w:tcBorders>
              <w:top w:val="nil"/>
              <w:left w:val="nil"/>
              <w:bottom w:val="nil"/>
              <w:right w:val="nil"/>
            </w:tcBorders>
            <w:shd w:val="clear" w:color="000000" w:fill="FFFFFF"/>
            <w:noWrap/>
            <w:vAlign w:val="center"/>
            <w:hideMark/>
          </w:tcPr>
          <w:p w14:paraId="3B418272"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6.900</w:t>
            </w:r>
          </w:p>
        </w:tc>
        <w:tc>
          <w:tcPr>
            <w:tcW w:w="477" w:type="pct"/>
            <w:tcBorders>
              <w:top w:val="nil"/>
              <w:left w:val="single" w:sz="4" w:space="0" w:color="auto"/>
              <w:bottom w:val="nil"/>
              <w:right w:val="single" w:sz="4" w:space="0" w:color="auto"/>
            </w:tcBorders>
            <w:shd w:val="clear" w:color="000000" w:fill="FFFFFF"/>
            <w:noWrap/>
            <w:vAlign w:val="center"/>
            <w:hideMark/>
          </w:tcPr>
          <w:p w14:paraId="5B36304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EE24E1" w:rsidRPr="00650EE4" w14:paraId="1577426B" w14:textId="77777777" w:rsidTr="004B0384">
        <w:tc>
          <w:tcPr>
            <w:tcW w:w="984" w:type="pct"/>
            <w:tcBorders>
              <w:top w:val="nil"/>
              <w:left w:val="single" w:sz="4" w:space="0" w:color="auto"/>
              <w:bottom w:val="nil"/>
              <w:right w:val="nil"/>
            </w:tcBorders>
            <w:shd w:val="clear" w:color="000000" w:fill="FFFFFF"/>
            <w:noWrap/>
            <w:vAlign w:val="center"/>
            <w:hideMark/>
          </w:tcPr>
          <w:p w14:paraId="7A29CFA1"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7" w:type="pct"/>
            <w:tcBorders>
              <w:top w:val="nil"/>
              <w:left w:val="single" w:sz="4" w:space="0" w:color="auto"/>
              <w:bottom w:val="nil"/>
              <w:right w:val="nil"/>
            </w:tcBorders>
            <w:shd w:val="clear" w:color="000000" w:fill="FFFFFF"/>
            <w:noWrap/>
            <w:vAlign w:val="center"/>
            <w:hideMark/>
          </w:tcPr>
          <w:p w14:paraId="310F44E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2.029</w:t>
            </w:r>
          </w:p>
        </w:tc>
        <w:tc>
          <w:tcPr>
            <w:tcW w:w="508" w:type="pct"/>
            <w:tcBorders>
              <w:top w:val="nil"/>
              <w:left w:val="nil"/>
              <w:bottom w:val="nil"/>
              <w:right w:val="nil"/>
            </w:tcBorders>
            <w:shd w:val="clear" w:color="000000" w:fill="FFFFFF"/>
            <w:noWrap/>
            <w:vAlign w:val="center"/>
            <w:hideMark/>
          </w:tcPr>
          <w:p w14:paraId="31D4389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155</w:t>
            </w:r>
          </w:p>
        </w:tc>
        <w:tc>
          <w:tcPr>
            <w:tcW w:w="508" w:type="pct"/>
            <w:tcBorders>
              <w:top w:val="nil"/>
              <w:left w:val="nil"/>
              <w:bottom w:val="nil"/>
              <w:right w:val="nil"/>
            </w:tcBorders>
            <w:shd w:val="clear" w:color="000000" w:fill="FFFFFF"/>
            <w:noWrap/>
            <w:vAlign w:val="center"/>
            <w:hideMark/>
          </w:tcPr>
          <w:p w14:paraId="358C332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w:t>
            </w:r>
          </w:p>
        </w:tc>
        <w:tc>
          <w:tcPr>
            <w:tcW w:w="508" w:type="pct"/>
            <w:tcBorders>
              <w:top w:val="nil"/>
              <w:left w:val="nil"/>
              <w:bottom w:val="nil"/>
              <w:right w:val="nil"/>
            </w:tcBorders>
            <w:shd w:val="clear" w:color="000000" w:fill="FFFFFF"/>
            <w:noWrap/>
            <w:vAlign w:val="center"/>
            <w:hideMark/>
          </w:tcPr>
          <w:p w14:paraId="5E9241E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8" w:type="pct"/>
            <w:tcBorders>
              <w:top w:val="nil"/>
              <w:left w:val="nil"/>
              <w:bottom w:val="nil"/>
              <w:right w:val="nil"/>
            </w:tcBorders>
            <w:shd w:val="clear" w:color="000000" w:fill="FFFFFF"/>
            <w:noWrap/>
            <w:vAlign w:val="center"/>
            <w:hideMark/>
          </w:tcPr>
          <w:p w14:paraId="2BF6BDEB"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11" w:type="pct"/>
            <w:tcBorders>
              <w:top w:val="nil"/>
              <w:left w:val="nil"/>
              <w:bottom w:val="nil"/>
              <w:right w:val="single" w:sz="4" w:space="0" w:color="auto"/>
            </w:tcBorders>
            <w:shd w:val="clear" w:color="000000" w:fill="FFFFFF"/>
            <w:noWrap/>
            <w:vAlign w:val="center"/>
            <w:hideMark/>
          </w:tcPr>
          <w:p w14:paraId="33E09E0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4B1BABEA"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2.341</w:t>
            </w:r>
          </w:p>
        </w:tc>
        <w:tc>
          <w:tcPr>
            <w:tcW w:w="477" w:type="pct"/>
            <w:tcBorders>
              <w:top w:val="nil"/>
              <w:left w:val="single" w:sz="4" w:space="0" w:color="auto"/>
              <w:bottom w:val="nil"/>
              <w:right w:val="single" w:sz="4" w:space="0" w:color="auto"/>
            </w:tcBorders>
            <w:shd w:val="clear" w:color="000000" w:fill="FFFFFF"/>
            <w:noWrap/>
            <w:vAlign w:val="center"/>
            <w:hideMark/>
          </w:tcPr>
          <w:p w14:paraId="7F9F186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r>
      <w:tr w:rsidR="00EE24E1" w:rsidRPr="00650EE4" w14:paraId="608C956A" w14:textId="77777777" w:rsidTr="004B0384">
        <w:tc>
          <w:tcPr>
            <w:tcW w:w="984" w:type="pct"/>
            <w:tcBorders>
              <w:top w:val="nil"/>
              <w:left w:val="single" w:sz="4" w:space="0" w:color="auto"/>
              <w:bottom w:val="nil"/>
              <w:right w:val="nil"/>
            </w:tcBorders>
            <w:shd w:val="clear" w:color="000000" w:fill="FFFFFF"/>
            <w:noWrap/>
            <w:vAlign w:val="center"/>
            <w:hideMark/>
          </w:tcPr>
          <w:p w14:paraId="1B3BBC0B"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7" w:type="pct"/>
            <w:tcBorders>
              <w:top w:val="nil"/>
              <w:left w:val="single" w:sz="4" w:space="0" w:color="auto"/>
              <w:bottom w:val="nil"/>
              <w:right w:val="nil"/>
            </w:tcBorders>
            <w:shd w:val="clear" w:color="000000" w:fill="FFFFFF"/>
            <w:noWrap/>
            <w:vAlign w:val="center"/>
            <w:hideMark/>
          </w:tcPr>
          <w:p w14:paraId="5DA9BC2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4.121</w:t>
            </w:r>
          </w:p>
        </w:tc>
        <w:tc>
          <w:tcPr>
            <w:tcW w:w="508" w:type="pct"/>
            <w:tcBorders>
              <w:top w:val="nil"/>
              <w:left w:val="nil"/>
              <w:bottom w:val="nil"/>
              <w:right w:val="nil"/>
            </w:tcBorders>
            <w:shd w:val="clear" w:color="000000" w:fill="FFFFFF"/>
            <w:noWrap/>
            <w:vAlign w:val="center"/>
            <w:hideMark/>
          </w:tcPr>
          <w:p w14:paraId="53A4DD7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411</w:t>
            </w:r>
          </w:p>
        </w:tc>
        <w:tc>
          <w:tcPr>
            <w:tcW w:w="508" w:type="pct"/>
            <w:tcBorders>
              <w:top w:val="nil"/>
              <w:left w:val="nil"/>
              <w:bottom w:val="nil"/>
              <w:right w:val="nil"/>
            </w:tcBorders>
            <w:shd w:val="clear" w:color="000000" w:fill="FFFFFF"/>
            <w:noWrap/>
            <w:vAlign w:val="center"/>
            <w:hideMark/>
          </w:tcPr>
          <w:p w14:paraId="76D022BF"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438</w:t>
            </w:r>
          </w:p>
        </w:tc>
        <w:tc>
          <w:tcPr>
            <w:tcW w:w="508" w:type="pct"/>
            <w:tcBorders>
              <w:top w:val="nil"/>
              <w:left w:val="nil"/>
              <w:bottom w:val="nil"/>
              <w:right w:val="nil"/>
            </w:tcBorders>
            <w:shd w:val="clear" w:color="000000" w:fill="FFFFFF"/>
            <w:noWrap/>
            <w:vAlign w:val="center"/>
            <w:hideMark/>
          </w:tcPr>
          <w:p w14:paraId="29D1EC6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w:t>
            </w:r>
          </w:p>
        </w:tc>
        <w:tc>
          <w:tcPr>
            <w:tcW w:w="508" w:type="pct"/>
            <w:tcBorders>
              <w:top w:val="nil"/>
              <w:left w:val="nil"/>
              <w:bottom w:val="nil"/>
              <w:right w:val="nil"/>
            </w:tcBorders>
            <w:shd w:val="clear" w:color="000000" w:fill="FFFFFF"/>
            <w:noWrap/>
            <w:vAlign w:val="center"/>
            <w:hideMark/>
          </w:tcPr>
          <w:p w14:paraId="7566FE5C"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11" w:type="pct"/>
            <w:tcBorders>
              <w:top w:val="nil"/>
              <w:left w:val="nil"/>
              <w:bottom w:val="nil"/>
              <w:right w:val="single" w:sz="4" w:space="0" w:color="auto"/>
            </w:tcBorders>
            <w:shd w:val="clear" w:color="000000" w:fill="FFFFFF"/>
            <w:noWrap/>
            <w:vAlign w:val="center"/>
            <w:hideMark/>
          </w:tcPr>
          <w:p w14:paraId="0B3912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nil"/>
              <w:right w:val="nil"/>
            </w:tcBorders>
            <w:shd w:val="clear" w:color="000000" w:fill="FFFFFF"/>
            <w:noWrap/>
            <w:vAlign w:val="center"/>
            <w:hideMark/>
          </w:tcPr>
          <w:p w14:paraId="278959E8"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5.059</w:t>
            </w:r>
          </w:p>
        </w:tc>
        <w:tc>
          <w:tcPr>
            <w:tcW w:w="477" w:type="pct"/>
            <w:tcBorders>
              <w:top w:val="nil"/>
              <w:left w:val="single" w:sz="4" w:space="0" w:color="auto"/>
              <w:bottom w:val="nil"/>
              <w:right w:val="single" w:sz="4" w:space="0" w:color="auto"/>
            </w:tcBorders>
            <w:shd w:val="clear" w:color="000000" w:fill="FFFFFF"/>
            <w:noWrap/>
            <w:vAlign w:val="center"/>
            <w:hideMark/>
          </w:tcPr>
          <w:p w14:paraId="5B4AD2F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EE24E1" w:rsidRPr="00650EE4" w14:paraId="4E944F08" w14:textId="77777777" w:rsidTr="004B0384">
        <w:tc>
          <w:tcPr>
            <w:tcW w:w="984" w:type="pct"/>
            <w:tcBorders>
              <w:top w:val="nil"/>
              <w:left w:val="single" w:sz="4" w:space="0" w:color="auto"/>
              <w:bottom w:val="nil"/>
              <w:right w:val="nil"/>
            </w:tcBorders>
            <w:shd w:val="clear" w:color="000000" w:fill="FFFFFF"/>
            <w:noWrap/>
            <w:vAlign w:val="center"/>
            <w:hideMark/>
          </w:tcPr>
          <w:p w14:paraId="0C4CE01F"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7" w:type="pct"/>
            <w:tcBorders>
              <w:top w:val="nil"/>
              <w:left w:val="single" w:sz="4" w:space="0" w:color="auto"/>
              <w:bottom w:val="single" w:sz="4" w:space="0" w:color="auto"/>
              <w:right w:val="nil"/>
            </w:tcBorders>
            <w:shd w:val="clear" w:color="000000" w:fill="FFFFFF"/>
            <w:noWrap/>
            <w:vAlign w:val="center"/>
            <w:hideMark/>
          </w:tcPr>
          <w:p w14:paraId="7C3ECC37"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1.620</w:t>
            </w:r>
          </w:p>
        </w:tc>
        <w:tc>
          <w:tcPr>
            <w:tcW w:w="508" w:type="pct"/>
            <w:tcBorders>
              <w:top w:val="nil"/>
              <w:left w:val="nil"/>
              <w:bottom w:val="single" w:sz="4" w:space="0" w:color="auto"/>
              <w:right w:val="nil"/>
            </w:tcBorders>
            <w:shd w:val="clear" w:color="000000" w:fill="FFFFFF"/>
            <w:noWrap/>
            <w:vAlign w:val="center"/>
            <w:hideMark/>
          </w:tcPr>
          <w:p w14:paraId="102D5AB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198</w:t>
            </w:r>
          </w:p>
        </w:tc>
        <w:tc>
          <w:tcPr>
            <w:tcW w:w="508" w:type="pct"/>
            <w:tcBorders>
              <w:top w:val="nil"/>
              <w:left w:val="nil"/>
              <w:bottom w:val="single" w:sz="4" w:space="0" w:color="auto"/>
              <w:right w:val="nil"/>
            </w:tcBorders>
            <w:shd w:val="clear" w:color="000000" w:fill="FFFFFF"/>
            <w:noWrap/>
            <w:vAlign w:val="center"/>
            <w:hideMark/>
          </w:tcPr>
          <w:p w14:paraId="36FDAD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176</w:t>
            </w:r>
          </w:p>
        </w:tc>
        <w:tc>
          <w:tcPr>
            <w:tcW w:w="508" w:type="pct"/>
            <w:tcBorders>
              <w:top w:val="nil"/>
              <w:left w:val="nil"/>
              <w:bottom w:val="single" w:sz="4" w:space="0" w:color="auto"/>
              <w:right w:val="nil"/>
            </w:tcBorders>
            <w:shd w:val="clear" w:color="000000" w:fill="FFFFFF"/>
            <w:noWrap/>
            <w:vAlign w:val="center"/>
            <w:hideMark/>
          </w:tcPr>
          <w:p w14:paraId="3D08B3C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08" w:type="pct"/>
            <w:tcBorders>
              <w:top w:val="nil"/>
              <w:left w:val="nil"/>
              <w:bottom w:val="single" w:sz="4" w:space="0" w:color="auto"/>
              <w:right w:val="nil"/>
            </w:tcBorders>
            <w:shd w:val="clear" w:color="000000" w:fill="FFFFFF"/>
            <w:noWrap/>
            <w:vAlign w:val="center"/>
            <w:hideMark/>
          </w:tcPr>
          <w:p w14:paraId="11E4BBB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11" w:type="pct"/>
            <w:tcBorders>
              <w:top w:val="nil"/>
              <w:left w:val="nil"/>
              <w:bottom w:val="single" w:sz="4" w:space="0" w:color="auto"/>
              <w:right w:val="single" w:sz="4" w:space="0" w:color="auto"/>
            </w:tcBorders>
            <w:shd w:val="clear" w:color="000000" w:fill="FFFFFF"/>
            <w:noWrap/>
            <w:vAlign w:val="center"/>
            <w:hideMark/>
          </w:tcPr>
          <w:p w14:paraId="0F025C10"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nil"/>
              <w:left w:val="nil"/>
              <w:bottom w:val="single" w:sz="4" w:space="0" w:color="auto"/>
              <w:right w:val="nil"/>
            </w:tcBorders>
            <w:shd w:val="clear" w:color="000000" w:fill="FFFFFF"/>
            <w:noWrap/>
            <w:vAlign w:val="center"/>
            <w:hideMark/>
          </w:tcPr>
          <w:p w14:paraId="68927999"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2.004</w:t>
            </w:r>
          </w:p>
        </w:tc>
        <w:tc>
          <w:tcPr>
            <w:tcW w:w="477" w:type="pct"/>
            <w:tcBorders>
              <w:top w:val="nil"/>
              <w:left w:val="single" w:sz="4" w:space="0" w:color="auto"/>
              <w:bottom w:val="single" w:sz="4" w:space="0" w:color="auto"/>
              <w:right w:val="single" w:sz="4" w:space="0" w:color="auto"/>
            </w:tcBorders>
            <w:shd w:val="clear" w:color="000000" w:fill="FFFFFF"/>
            <w:noWrap/>
            <w:vAlign w:val="center"/>
            <w:hideMark/>
          </w:tcPr>
          <w:p w14:paraId="564FCDBA"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r>
      <w:tr w:rsidR="00EE24E1" w:rsidRPr="00650EE4" w14:paraId="3F3C7340" w14:textId="77777777" w:rsidTr="004B0384">
        <w:tc>
          <w:tcPr>
            <w:tcW w:w="984" w:type="pct"/>
            <w:tcBorders>
              <w:top w:val="single" w:sz="4" w:space="0" w:color="auto"/>
              <w:left w:val="single" w:sz="4" w:space="0" w:color="auto"/>
              <w:bottom w:val="nil"/>
              <w:right w:val="single" w:sz="4" w:space="0" w:color="auto"/>
            </w:tcBorders>
            <w:shd w:val="clear" w:color="000000" w:fill="FFFFFF"/>
            <w:noWrap/>
            <w:vAlign w:val="center"/>
            <w:hideMark/>
          </w:tcPr>
          <w:p w14:paraId="2AA8C66A" w14:textId="77777777" w:rsidR="00EE24E1" w:rsidRPr="00650EE4" w:rsidRDefault="00EE24E1" w:rsidP="00EE24E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7" w:type="pct"/>
            <w:tcBorders>
              <w:top w:val="nil"/>
              <w:left w:val="nil"/>
              <w:bottom w:val="nil"/>
              <w:right w:val="nil"/>
            </w:tcBorders>
            <w:shd w:val="clear" w:color="000000" w:fill="FFFFFF"/>
            <w:noWrap/>
            <w:vAlign w:val="center"/>
            <w:hideMark/>
          </w:tcPr>
          <w:p w14:paraId="27D0A88D"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420.335</w:t>
            </w:r>
          </w:p>
        </w:tc>
        <w:tc>
          <w:tcPr>
            <w:tcW w:w="508" w:type="pct"/>
            <w:tcBorders>
              <w:top w:val="nil"/>
              <w:left w:val="nil"/>
              <w:bottom w:val="nil"/>
              <w:right w:val="nil"/>
            </w:tcBorders>
            <w:shd w:val="clear" w:color="000000" w:fill="FFFFFF"/>
            <w:noWrap/>
            <w:vAlign w:val="center"/>
            <w:hideMark/>
          </w:tcPr>
          <w:p w14:paraId="0ADEED1C"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182.175</w:t>
            </w:r>
          </w:p>
        </w:tc>
        <w:tc>
          <w:tcPr>
            <w:tcW w:w="508" w:type="pct"/>
            <w:tcBorders>
              <w:top w:val="nil"/>
              <w:left w:val="nil"/>
              <w:bottom w:val="nil"/>
              <w:right w:val="nil"/>
            </w:tcBorders>
            <w:shd w:val="clear" w:color="000000" w:fill="FFFFFF"/>
            <w:noWrap/>
            <w:vAlign w:val="center"/>
            <w:hideMark/>
          </w:tcPr>
          <w:p w14:paraId="253B146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48.994</w:t>
            </w:r>
          </w:p>
        </w:tc>
        <w:tc>
          <w:tcPr>
            <w:tcW w:w="508" w:type="pct"/>
            <w:tcBorders>
              <w:top w:val="nil"/>
              <w:left w:val="nil"/>
              <w:bottom w:val="nil"/>
              <w:right w:val="nil"/>
            </w:tcBorders>
            <w:shd w:val="clear" w:color="000000" w:fill="FFFFFF"/>
            <w:noWrap/>
            <w:vAlign w:val="center"/>
            <w:hideMark/>
          </w:tcPr>
          <w:p w14:paraId="66899278"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8.790</w:t>
            </w:r>
          </w:p>
        </w:tc>
        <w:tc>
          <w:tcPr>
            <w:tcW w:w="508" w:type="pct"/>
            <w:tcBorders>
              <w:top w:val="nil"/>
              <w:left w:val="nil"/>
              <w:bottom w:val="nil"/>
              <w:right w:val="nil"/>
            </w:tcBorders>
            <w:shd w:val="clear" w:color="000000" w:fill="FFFFFF"/>
            <w:noWrap/>
            <w:vAlign w:val="center"/>
            <w:hideMark/>
          </w:tcPr>
          <w:p w14:paraId="46C4FF81"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962</w:t>
            </w:r>
          </w:p>
        </w:tc>
        <w:tc>
          <w:tcPr>
            <w:tcW w:w="511" w:type="pct"/>
            <w:tcBorders>
              <w:top w:val="nil"/>
              <w:left w:val="nil"/>
              <w:bottom w:val="nil"/>
              <w:right w:val="single" w:sz="4" w:space="0" w:color="auto"/>
            </w:tcBorders>
            <w:shd w:val="clear" w:color="000000" w:fill="FFFFFF"/>
            <w:noWrap/>
            <w:vAlign w:val="center"/>
            <w:hideMark/>
          </w:tcPr>
          <w:p w14:paraId="0E8ABFA6"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w:t>
            </w:r>
          </w:p>
        </w:tc>
        <w:tc>
          <w:tcPr>
            <w:tcW w:w="489" w:type="pct"/>
            <w:tcBorders>
              <w:top w:val="nil"/>
              <w:left w:val="nil"/>
              <w:bottom w:val="nil"/>
              <w:right w:val="nil"/>
            </w:tcBorders>
            <w:shd w:val="clear" w:color="000000" w:fill="FFFFFF"/>
            <w:noWrap/>
            <w:vAlign w:val="center"/>
            <w:hideMark/>
          </w:tcPr>
          <w:p w14:paraId="7BE6F73A" w14:textId="77777777" w:rsidR="00EE24E1" w:rsidRPr="00650EE4" w:rsidRDefault="00EE24E1" w:rsidP="00EE24E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661.283</w:t>
            </w:r>
          </w:p>
        </w:tc>
        <w:tc>
          <w:tcPr>
            <w:tcW w:w="477" w:type="pct"/>
            <w:tcBorders>
              <w:top w:val="nil"/>
              <w:left w:val="single" w:sz="4" w:space="0" w:color="auto"/>
              <w:bottom w:val="nil"/>
              <w:right w:val="single" w:sz="4" w:space="0" w:color="auto"/>
            </w:tcBorders>
            <w:shd w:val="clear" w:color="000000" w:fill="FFFFFF"/>
            <w:noWrap/>
            <w:vAlign w:val="center"/>
            <w:hideMark/>
          </w:tcPr>
          <w:p w14:paraId="66A7678D"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EE24E1" w:rsidRPr="00650EE4" w14:paraId="2163D8AF" w14:textId="77777777" w:rsidTr="004B0384">
        <w:tc>
          <w:tcPr>
            <w:tcW w:w="98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1E2EBA"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7" w:type="pct"/>
            <w:tcBorders>
              <w:top w:val="single" w:sz="4" w:space="0" w:color="auto"/>
              <w:left w:val="nil"/>
              <w:bottom w:val="single" w:sz="4" w:space="0" w:color="auto"/>
              <w:right w:val="nil"/>
            </w:tcBorders>
            <w:shd w:val="clear" w:color="000000" w:fill="FFFFFF"/>
            <w:noWrap/>
            <w:vAlign w:val="center"/>
            <w:hideMark/>
          </w:tcPr>
          <w:p w14:paraId="59F34C31"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w:t>
            </w:r>
          </w:p>
        </w:tc>
        <w:tc>
          <w:tcPr>
            <w:tcW w:w="508" w:type="pct"/>
            <w:tcBorders>
              <w:top w:val="single" w:sz="4" w:space="0" w:color="auto"/>
              <w:left w:val="nil"/>
              <w:bottom w:val="single" w:sz="4" w:space="0" w:color="auto"/>
              <w:right w:val="nil"/>
            </w:tcBorders>
            <w:shd w:val="clear" w:color="000000" w:fill="FFFFFF"/>
            <w:noWrap/>
            <w:vAlign w:val="center"/>
            <w:hideMark/>
          </w:tcPr>
          <w:p w14:paraId="65BEDD9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08" w:type="pct"/>
            <w:tcBorders>
              <w:top w:val="single" w:sz="4" w:space="0" w:color="auto"/>
              <w:left w:val="nil"/>
              <w:bottom w:val="single" w:sz="4" w:space="0" w:color="auto"/>
              <w:right w:val="nil"/>
            </w:tcBorders>
            <w:shd w:val="clear" w:color="000000" w:fill="FFFFFF"/>
            <w:noWrap/>
            <w:vAlign w:val="center"/>
            <w:hideMark/>
          </w:tcPr>
          <w:p w14:paraId="664822B4"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8" w:type="pct"/>
            <w:tcBorders>
              <w:top w:val="single" w:sz="4" w:space="0" w:color="auto"/>
              <w:left w:val="nil"/>
              <w:bottom w:val="single" w:sz="4" w:space="0" w:color="auto"/>
              <w:right w:val="nil"/>
            </w:tcBorders>
            <w:shd w:val="clear" w:color="000000" w:fill="FFFFFF"/>
            <w:noWrap/>
            <w:vAlign w:val="center"/>
            <w:hideMark/>
          </w:tcPr>
          <w:p w14:paraId="78683159"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8" w:type="pct"/>
            <w:tcBorders>
              <w:top w:val="single" w:sz="4" w:space="0" w:color="auto"/>
              <w:left w:val="nil"/>
              <w:bottom w:val="single" w:sz="4" w:space="0" w:color="auto"/>
              <w:right w:val="nil"/>
            </w:tcBorders>
            <w:shd w:val="clear" w:color="000000" w:fill="FFFFFF"/>
            <w:noWrap/>
            <w:vAlign w:val="center"/>
            <w:hideMark/>
          </w:tcPr>
          <w:p w14:paraId="503A1AFE"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single" w:sz="4" w:space="0" w:color="auto"/>
              <w:left w:val="nil"/>
              <w:bottom w:val="single" w:sz="4" w:space="0" w:color="auto"/>
              <w:right w:val="single" w:sz="4" w:space="0" w:color="auto"/>
            </w:tcBorders>
            <w:shd w:val="clear" w:color="000000" w:fill="FFFFFF"/>
            <w:noWrap/>
            <w:vAlign w:val="center"/>
            <w:hideMark/>
          </w:tcPr>
          <w:p w14:paraId="602A5F42"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9" w:type="pct"/>
            <w:tcBorders>
              <w:top w:val="single" w:sz="4" w:space="0" w:color="auto"/>
              <w:left w:val="nil"/>
              <w:bottom w:val="single" w:sz="4" w:space="0" w:color="auto"/>
              <w:right w:val="nil"/>
            </w:tcBorders>
            <w:shd w:val="clear" w:color="000000" w:fill="FFFFFF"/>
            <w:noWrap/>
            <w:vAlign w:val="center"/>
            <w:hideMark/>
          </w:tcPr>
          <w:p w14:paraId="549550C6" w14:textId="77777777" w:rsidR="00EE24E1" w:rsidRPr="00650EE4" w:rsidRDefault="00EE24E1" w:rsidP="00EE24E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48A80C" w14:textId="77777777" w:rsidR="00EE24E1" w:rsidRPr="00650EE4" w:rsidRDefault="00EE24E1" w:rsidP="00EE24E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4A4C91AF" w14:textId="5737B5E7" w:rsidR="00CA07B0" w:rsidRPr="00650EE4" w:rsidRDefault="00CA07B0" w:rsidP="001A209D">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7B0B57" w:rsidRPr="00650EE4">
        <w:rPr>
          <w:rFonts w:ascii="Times New Roman" w:eastAsia="Times New Roman" w:hAnsi="Times New Roman"/>
          <w:i/>
          <w:color w:val="000000" w:themeColor="text1"/>
          <w:sz w:val="20"/>
          <w:szCs w:val="20"/>
        </w:rPr>
        <w:t>Studijos autoriai</w:t>
      </w:r>
    </w:p>
    <w:p w14:paraId="767DB09A" w14:textId="77777777" w:rsidR="00CA07B0" w:rsidRPr="00650EE4" w:rsidRDefault="00CA07B0" w:rsidP="00CA07B0">
      <w:pPr>
        <w:pStyle w:val="BodyText"/>
        <w:jc w:val="both"/>
        <w:rPr>
          <w:rFonts w:ascii="Times New Roman" w:hAnsi="Times New Roman"/>
          <w:color w:val="000000" w:themeColor="text1"/>
          <w:sz w:val="20"/>
          <w:szCs w:val="20"/>
          <w:lang w:val="lt-LT"/>
        </w:rPr>
      </w:pPr>
    </w:p>
    <w:p w14:paraId="0FC22B66" w14:textId="4A83F6A1" w:rsidR="00CD4824"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1" w:name="_Toc59094198"/>
      <w:r w:rsidR="00F25C65">
        <w:t>15</w:t>
      </w:r>
      <w:r w:rsidRPr="00650EE4">
        <w:rPr>
          <w:noProof w:val="0"/>
        </w:rPr>
        <w:fldChar w:fldCharType="end"/>
      </w:r>
      <w:r w:rsidR="0070585A" w:rsidRPr="00650EE4">
        <w:rPr>
          <w:noProof w:val="0"/>
        </w:rPr>
        <w:t xml:space="preserve"> lentelė</w:t>
      </w:r>
      <w:r w:rsidR="00CD4824" w:rsidRPr="00650EE4">
        <w:rPr>
          <w:noProof w:val="0"/>
        </w:rPr>
        <w:t xml:space="preserve">. Pastatų fondas pagal </w:t>
      </w:r>
      <w:r w:rsidR="00314B0A" w:rsidRPr="00650EE4">
        <w:rPr>
          <w:noProof w:val="0"/>
        </w:rPr>
        <w:t>energinio naudingumo</w:t>
      </w:r>
      <w:r w:rsidR="00CD4824" w:rsidRPr="00650EE4">
        <w:rPr>
          <w:noProof w:val="0"/>
        </w:rPr>
        <w:t xml:space="preserve"> klasę (</w:t>
      </w:r>
      <w:r w:rsidR="004748E0" w:rsidRPr="00650EE4">
        <w:rPr>
          <w:noProof w:val="0"/>
        </w:rPr>
        <w:t>tūkst. m</w:t>
      </w:r>
      <w:r w:rsidR="004748E0" w:rsidRPr="00650EE4">
        <w:rPr>
          <w:noProof w:val="0"/>
          <w:vertAlign w:val="superscript"/>
        </w:rPr>
        <w:t>2</w:t>
      </w:r>
      <w:r w:rsidR="004748E0" w:rsidRPr="00650EE4">
        <w:rPr>
          <w:noProof w:val="0"/>
        </w:rPr>
        <w:t>)</w:t>
      </w:r>
      <w:bookmarkEnd w:id="41"/>
    </w:p>
    <w:tbl>
      <w:tblPr>
        <w:tblW w:w="5000" w:type="pct"/>
        <w:tblLook w:val="04A0" w:firstRow="1" w:lastRow="0" w:firstColumn="1" w:lastColumn="0" w:noHBand="0" w:noVBand="1"/>
      </w:tblPr>
      <w:tblGrid>
        <w:gridCol w:w="2058"/>
        <w:gridCol w:w="1058"/>
        <w:gridCol w:w="1059"/>
        <w:gridCol w:w="1059"/>
        <w:gridCol w:w="1059"/>
        <w:gridCol w:w="1059"/>
        <w:gridCol w:w="1063"/>
        <w:gridCol w:w="1017"/>
        <w:gridCol w:w="988"/>
      </w:tblGrid>
      <w:tr w:rsidR="00FC7D65" w:rsidRPr="00650EE4" w14:paraId="66C329D8" w14:textId="77777777" w:rsidTr="004B0384">
        <w:tc>
          <w:tcPr>
            <w:tcW w:w="98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D40C941"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9759689" w14:textId="11C1FDB4" w:rsidR="00FC7D65" w:rsidRPr="00650EE4" w:rsidRDefault="00D90413"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FC7D65" w:rsidRPr="00650EE4">
              <w:rPr>
                <w:rFonts w:ascii="Times New Roman" w:eastAsia="Times New Roman" w:hAnsi="Times New Roman"/>
                <w:b/>
                <w:bCs/>
                <w:sz w:val="20"/>
                <w:szCs w:val="20"/>
              </w:rPr>
              <w:t>klasė</w:t>
            </w:r>
          </w:p>
        </w:tc>
        <w:tc>
          <w:tcPr>
            <w:tcW w:w="488" w:type="pct"/>
            <w:vMerge w:val="restart"/>
            <w:tcBorders>
              <w:top w:val="single" w:sz="4" w:space="0" w:color="auto"/>
              <w:left w:val="nil"/>
              <w:bottom w:val="single" w:sz="4" w:space="0" w:color="000000"/>
              <w:right w:val="nil"/>
            </w:tcBorders>
            <w:shd w:val="clear" w:color="000000" w:fill="FFFFFF"/>
            <w:vAlign w:val="center"/>
            <w:hideMark/>
          </w:tcPr>
          <w:p w14:paraId="1F1CCA08"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E7F5A97"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FC7D65" w:rsidRPr="00650EE4" w14:paraId="3C2E5F9D" w14:textId="77777777" w:rsidTr="004B0384">
        <w:tc>
          <w:tcPr>
            <w:tcW w:w="988" w:type="pct"/>
            <w:vMerge/>
            <w:tcBorders>
              <w:top w:val="single" w:sz="4" w:space="0" w:color="auto"/>
              <w:left w:val="single" w:sz="4" w:space="0" w:color="auto"/>
              <w:bottom w:val="single" w:sz="4" w:space="0" w:color="000000"/>
              <w:right w:val="nil"/>
            </w:tcBorders>
            <w:vAlign w:val="center"/>
            <w:hideMark/>
          </w:tcPr>
          <w:p w14:paraId="68293F40" w14:textId="77777777" w:rsidR="00FC7D65" w:rsidRPr="00650EE4" w:rsidRDefault="00FC7D65" w:rsidP="00FC7D65">
            <w:pPr>
              <w:spacing w:line="240" w:lineRule="auto"/>
              <w:rPr>
                <w:rFonts w:ascii="Times New Roman" w:eastAsia="Times New Roman" w:hAnsi="Times New Roman"/>
                <w:b/>
                <w:bCs/>
                <w:sz w:val="20"/>
                <w:szCs w:val="20"/>
              </w:rPr>
            </w:pPr>
          </w:p>
        </w:tc>
        <w:tc>
          <w:tcPr>
            <w:tcW w:w="508" w:type="pct"/>
            <w:tcBorders>
              <w:top w:val="nil"/>
              <w:left w:val="single" w:sz="4" w:space="0" w:color="auto"/>
              <w:bottom w:val="single" w:sz="4" w:space="0" w:color="auto"/>
              <w:right w:val="nil"/>
            </w:tcBorders>
            <w:shd w:val="clear" w:color="000000" w:fill="FFFFFF"/>
            <w:vAlign w:val="center"/>
            <w:hideMark/>
          </w:tcPr>
          <w:p w14:paraId="116C56CA" w14:textId="2DE7138D" w:rsidR="00FC7D65" w:rsidRPr="00650EE4" w:rsidRDefault="009C5269"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044A4360"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300771FF"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28AD1F5A"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14987FC3"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0" w:type="pct"/>
            <w:tcBorders>
              <w:top w:val="nil"/>
              <w:left w:val="nil"/>
              <w:bottom w:val="single" w:sz="4" w:space="0" w:color="auto"/>
              <w:right w:val="single" w:sz="4" w:space="0" w:color="auto"/>
            </w:tcBorders>
            <w:shd w:val="clear" w:color="000000" w:fill="FFFFFF"/>
            <w:vAlign w:val="center"/>
            <w:hideMark/>
          </w:tcPr>
          <w:p w14:paraId="396A1AEE" w14:textId="77777777" w:rsidR="00FC7D65" w:rsidRPr="00650EE4" w:rsidRDefault="00FC7D65" w:rsidP="00FC7D6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vMerge/>
            <w:tcBorders>
              <w:top w:val="single" w:sz="4" w:space="0" w:color="auto"/>
              <w:left w:val="nil"/>
              <w:bottom w:val="single" w:sz="4" w:space="0" w:color="000000"/>
              <w:right w:val="nil"/>
            </w:tcBorders>
            <w:vAlign w:val="center"/>
            <w:hideMark/>
          </w:tcPr>
          <w:p w14:paraId="3697F40E" w14:textId="77777777" w:rsidR="00FC7D65" w:rsidRPr="00650EE4" w:rsidRDefault="00FC7D65" w:rsidP="00FC7D65">
            <w:pPr>
              <w:spacing w:line="240" w:lineRule="auto"/>
              <w:rPr>
                <w:rFonts w:ascii="Times New Roman" w:eastAsia="Times New Roman" w:hAnsi="Times New Roman"/>
                <w:b/>
                <w:bCs/>
                <w:sz w:val="20"/>
                <w:szCs w:val="20"/>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7E7A7D85" w14:textId="77777777" w:rsidR="00FC7D65" w:rsidRPr="00650EE4" w:rsidRDefault="00FC7D65" w:rsidP="00FC7D65">
            <w:pPr>
              <w:spacing w:line="240" w:lineRule="auto"/>
              <w:rPr>
                <w:rFonts w:ascii="Times New Roman" w:eastAsia="Times New Roman" w:hAnsi="Times New Roman"/>
                <w:b/>
                <w:bCs/>
                <w:sz w:val="20"/>
                <w:szCs w:val="20"/>
              </w:rPr>
            </w:pPr>
          </w:p>
        </w:tc>
      </w:tr>
      <w:tr w:rsidR="00FC7D65" w:rsidRPr="00650EE4" w14:paraId="46CE6902" w14:textId="77777777" w:rsidTr="004B0384">
        <w:tc>
          <w:tcPr>
            <w:tcW w:w="988" w:type="pct"/>
            <w:tcBorders>
              <w:top w:val="nil"/>
              <w:left w:val="single" w:sz="4" w:space="0" w:color="auto"/>
              <w:bottom w:val="single" w:sz="4" w:space="0" w:color="auto"/>
              <w:right w:val="nil"/>
            </w:tcBorders>
            <w:shd w:val="clear" w:color="000000" w:fill="F2F2F2"/>
            <w:noWrap/>
            <w:vAlign w:val="center"/>
            <w:hideMark/>
          </w:tcPr>
          <w:p w14:paraId="5A16CD18" w14:textId="77777777" w:rsidR="00FC7D65" w:rsidRPr="00650EE4" w:rsidRDefault="00FC7D65" w:rsidP="00FC7D6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8" w:type="pct"/>
            <w:tcBorders>
              <w:top w:val="nil"/>
              <w:left w:val="single" w:sz="4" w:space="0" w:color="auto"/>
              <w:bottom w:val="single" w:sz="4" w:space="0" w:color="auto"/>
              <w:right w:val="nil"/>
            </w:tcBorders>
            <w:shd w:val="clear" w:color="000000" w:fill="F2F2F2"/>
            <w:noWrap/>
            <w:vAlign w:val="center"/>
            <w:hideMark/>
          </w:tcPr>
          <w:p w14:paraId="37C7015D"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79.926</w:t>
            </w:r>
          </w:p>
        </w:tc>
        <w:tc>
          <w:tcPr>
            <w:tcW w:w="508" w:type="pct"/>
            <w:tcBorders>
              <w:top w:val="nil"/>
              <w:left w:val="nil"/>
              <w:bottom w:val="single" w:sz="4" w:space="0" w:color="auto"/>
              <w:right w:val="nil"/>
            </w:tcBorders>
            <w:shd w:val="clear" w:color="000000" w:fill="F2F2F2"/>
            <w:noWrap/>
            <w:vAlign w:val="center"/>
            <w:hideMark/>
          </w:tcPr>
          <w:p w14:paraId="688C18FC"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31.571</w:t>
            </w:r>
          </w:p>
        </w:tc>
        <w:tc>
          <w:tcPr>
            <w:tcW w:w="508" w:type="pct"/>
            <w:tcBorders>
              <w:top w:val="nil"/>
              <w:left w:val="nil"/>
              <w:bottom w:val="single" w:sz="4" w:space="0" w:color="auto"/>
              <w:right w:val="nil"/>
            </w:tcBorders>
            <w:shd w:val="clear" w:color="000000" w:fill="F2F2F2"/>
            <w:noWrap/>
            <w:vAlign w:val="center"/>
            <w:hideMark/>
          </w:tcPr>
          <w:p w14:paraId="61A7715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15.501</w:t>
            </w:r>
          </w:p>
        </w:tc>
        <w:tc>
          <w:tcPr>
            <w:tcW w:w="508" w:type="pct"/>
            <w:tcBorders>
              <w:top w:val="nil"/>
              <w:left w:val="nil"/>
              <w:bottom w:val="single" w:sz="4" w:space="0" w:color="auto"/>
              <w:right w:val="nil"/>
            </w:tcBorders>
            <w:shd w:val="clear" w:color="000000" w:fill="F2F2F2"/>
            <w:noWrap/>
            <w:vAlign w:val="center"/>
            <w:hideMark/>
          </w:tcPr>
          <w:p w14:paraId="6FB3B86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1.698</w:t>
            </w:r>
          </w:p>
        </w:tc>
        <w:tc>
          <w:tcPr>
            <w:tcW w:w="508" w:type="pct"/>
            <w:tcBorders>
              <w:top w:val="nil"/>
              <w:left w:val="nil"/>
              <w:bottom w:val="single" w:sz="4" w:space="0" w:color="auto"/>
              <w:right w:val="nil"/>
            </w:tcBorders>
            <w:shd w:val="clear" w:color="000000" w:fill="F2F2F2"/>
            <w:noWrap/>
            <w:vAlign w:val="center"/>
            <w:hideMark/>
          </w:tcPr>
          <w:p w14:paraId="5CB5F7D2"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283</w:t>
            </w:r>
          </w:p>
        </w:tc>
        <w:tc>
          <w:tcPr>
            <w:tcW w:w="510" w:type="pct"/>
            <w:tcBorders>
              <w:top w:val="nil"/>
              <w:left w:val="nil"/>
              <w:bottom w:val="single" w:sz="4" w:space="0" w:color="auto"/>
              <w:right w:val="single" w:sz="4" w:space="0" w:color="auto"/>
            </w:tcBorders>
            <w:shd w:val="clear" w:color="000000" w:fill="F2F2F2"/>
            <w:noWrap/>
            <w:vAlign w:val="center"/>
            <w:hideMark/>
          </w:tcPr>
          <w:p w14:paraId="4BF11A5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488" w:type="pct"/>
            <w:tcBorders>
              <w:top w:val="nil"/>
              <w:left w:val="nil"/>
              <w:bottom w:val="single" w:sz="4" w:space="0" w:color="auto"/>
              <w:right w:val="nil"/>
            </w:tcBorders>
            <w:shd w:val="clear" w:color="000000" w:fill="F2F2F2"/>
            <w:noWrap/>
            <w:vAlign w:val="center"/>
            <w:hideMark/>
          </w:tcPr>
          <w:p w14:paraId="7B8B65E5"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76" w:type="pct"/>
            <w:tcBorders>
              <w:top w:val="nil"/>
              <w:left w:val="single" w:sz="4" w:space="0" w:color="auto"/>
              <w:bottom w:val="single" w:sz="4" w:space="0" w:color="auto"/>
              <w:right w:val="single" w:sz="4" w:space="0" w:color="auto"/>
            </w:tcBorders>
            <w:shd w:val="clear" w:color="000000" w:fill="F2F2F2"/>
            <w:noWrap/>
            <w:vAlign w:val="center"/>
            <w:hideMark/>
          </w:tcPr>
          <w:p w14:paraId="2DD1058B"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FC7D65" w:rsidRPr="00650EE4" w14:paraId="2F31EF72" w14:textId="77777777" w:rsidTr="004B0384">
        <w:tc>
          <w:tcPr>
            <w:tcW w:w="988" w:type="pct"/>
            <w:tcBorders>
              <w:top w:val="nil"/>
              <w:left w:val="single" w:sz="4" w:space="0" w:color="auto"/>
              <w:bottom w:val="nil"/>
              <w:right w:val="nil"/>
            </w:tcBorders>
            <w:shd w:val="clear" w:color="000000" w:fill="FFFFFF"/>
            <w:noWrap/>
            <w:vAlign w:val="center"/>
            <w:hideMark/>
          </w:tcPr>
          <w:p w14:paraId="779F3E73"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8" w:type="pct"/>
            <w:tcBorders>
              <w:top w:val="nil"/>
              <w:left w:val="single" w:sz="4" w:space="0" w:color="auto"/>
              <w:bottom w:val="nil"/>
              <w:right w:val="nil"/>
            </w:tcBorders>
            <w:shd w:val="clear" w:color="000000" w:fill="FFFFFF"/>
            <w:noWrap/>
            <w:vAlign w:val="center"/>
            <w:hideMark/>
          </w:tcPr>
          <w:p w14:paraId="332BC1F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37.687</w:t>
            </w:r>
          </w:p>
        </w:tc>
        <w:tc>
          <w:tcPr>
            <w:tcW w:w="508" w:type="pct"/>
            <w:tcBorders>
              <w:top w:val="nil"/>
              <w:left w:val="nil"/>
              <w:bottom w:val="nil"/>
              <w:right w:val="nil"/>
            </w:tcBorders>
            <w:shd w:val="clear" w:color="000000" w:fill="FFFFFF"/>
            <w:noWrap/>
            <w:vAlign w:val="center"/>
            <w:hideMark/>
          </w:tcPr>
          <w:p w14:paraId="30BD8BE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23.728</w:t>
            </w:r>
          </w:p>
        </w:tc>
        <w:tc>
          <w:tcPr>
            <w:tcW w:w="508" w:type="pct"/>
            <w:tcBorders>
              <w:top w:val="nil"/>
              <w:left w:val="nil"/>
              <w:bottom w:val="nil"/>
              <w:right w:val="nil"/>
            </w:tcBorders>
            <w:shd w:val="clear" w:color="000000" w:fill="FFFFFF"/>
            <w:noWrap/>
            <w:vAlign w:val="center"/>
            <w:hideMark/>
          </w:tcPr>
          <w:p w14:paraId="72AE09D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6.866</w:t>
            </w:r>
          </w:p>
        </w:tc>
        <w:tc>
          <w:tcPr>
            <w:tcW w:w="508" w:type="pct"/>
            <w:tcBorders>
              <w:top w:val="nil"/>
              <w:left w:val="nil"/>
              <w:bottom w:val="nil"/>
              <w:right w:val="nil"/>
            </w:tcBorders>
            <w:shd w:val="clear" w:color="000000" w:fill="FFFFFF"/>
            <w:noWrap/>
            <w:vAlign w:val="center"/>
            <w:hideMark/>
          </w:tcPr>
          <w:p w14:paraId="19BB876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1.141</w:t>
            </w:r>
          </w:p>
        </w:tc>
        <w:tc>
          <w:tcPr>
            <w:tcW w:w="508" w:type="pct"/>
            <w:tcBorders>
              <w:top w:val="nil"/>
              <w:left w:val="nil"/>
              <w:bottom w:val="nil"/>
              <w:right w:val="nil"/>
            </w:tcBorders>
            <w:shd w:val="clear" w:color="000000" w:fill="FFFFFF"/>
            <w:noWrap/>
            <w:vAlign w:val="center"/>
            <w:hideMark/>
          </w:tcPr>
          <w:p w14:paraId="4A45F9E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115</w:t>
            </w:r>
          </w:p>
        </w:tc>
        <w:tc>
          <w:tcPr>
            <w:tcW w:w="510" w:type="pct"/>
            <w:tcBorders>
              <w:top w:val="nil"/>
              <w:left w:val="nil"/>
              <w:bottom w:val="nil"/>
              <w:right w:val="single" w:sz="4" w:space="0" w:color="auto"/>
            </w:tcBorders>
            <w:shd w:val="clear" w:color="000000" w:fill="FFFFFF"/>
            <w:noWrap/>
            <w:vAlign w:val="center"/>
            <w:hideMark/>
          </w:tcPr>
          <w:p w14:paraId="7990959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3AC8968E"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76" w:type="pct"/>
            <w:tcBorders>
              <w:top w:val="nil"/>
              <w:left w:val="single" w:sz="4" w:space="0" w:color="auto"/>
              <w:bottom w:val="nil"/>
              <w:right w:val="single" w:sz="4" w:space="0" w:color="auto"/>
            </w:tcBorders>
            <w:shd w:val="clear" w:color="000000" w:fill="FFFFFF"/>
            <w:noWrap/>
            <w:vAlign w:val="center"/>
            <w:hideMark/>
          </w:tcPr>
          <w:p w14:paraId="3C449C6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FC7D65" w:rsidRPr="00650EE4" w14:paraId="486F707D" w14:textId="77777777" w:rsidTr="004B0384">
        <w:tc>
          <w:tcPr>
            <w:tcW w:w="988" w:type="pct"/>
            <w:tcBorders>
              <w:top w:val="nil"/>
              <w:left w:val="single" w:sz="4" w:space="0" w:color="auto"/>
              <w:bottom w:val="nil"/>
              <w:right w:val="nil"/>
            </w:tcBorders>
            <w:shd w:val="clear" w:color="000000" w:fill="FFFFFF"/>
            <w:noWrap/>
            <w:vAlign w:val="center"/>
            <w:hideMark/>
          </w:tcPr>
          <w:p w14:paraId="29BBA6D5"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8" w:type="pct"/>
            <w:tcBorders>
              <w:top w:val="nil"/>
              <w:left w:val="single" w:sz="4" w:space="0" w:color="auto"/>
              <w:bottom w:val="nil"/>
              <w:right w:val="nil"/>
            </w:tcBorders>
            <w:shd w:val="clear" w:color="000000" w:fill="FFFFFF"/>
            <w:noWrap/>
            <w:vAlign w:val="center"/>
            <w:hideMark/>
          </w:tcPr>
          <w:p w14:paraId="1EFBF89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42.239</w:t>
            </w:r>
          </w:p>
        </w:tc>
        <w:tc>
          <w:tcPr>
            <w:tcW w:w="508" w:type="pct"/>
            <w:tcBorders>
              <w:top w:val="nil"/>
              <w:left w:val="nil"/>
              <w:bottom w:val="nil"/>
              <w:right w:val="nil"/>
            </w:tcBorders>
            <w:shd w:val="clear" w:color="000000" w:fill="FFFFFF"/>
            <w:noWrap/>
            <w:vAlign w:val="center"/>
            <w:hideMark/>
          </w:tcPr>
          <w:p w14:paraId="437DAAE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7.843</w:t>
            </w:r>
          </w:p>
        </w:tc>
        <w:tc>
          <w:tcPr>
            <w:tcW w:w="508" w:type="pct"/>
            <w:tcBorders>
              <w:top w:val="nil"/>
              <w:left w:val="nil"/>
              <w:bottom w:val="nil"/>
              <w:right w:val="nil"/>
            </w:tcBorders>
            <w:shd w:val="clear" w:color="000000" w:fill="FFFFFF"/>
            <w:noWrap/>
            <w:vAlign w:val="center"/>
            <w:hideMark/>
          </w:tcPr>
          <w:p w14:paraId="471324A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8.634</w:t>
            </w:r>
          </w:p>
        </w:tc>
        <w:tc>
          <w:tcPr>
            <w:tcW w:w="508" w:type="pct"/>
            <w:tcBorders>
              <w:top w:val="nil"/>
              <w:left w:val="nil"/>
              <w:bottom w:val="nil"/>
              <w:right w:val="nil"/>
            </w:tcBorders>
            <w:shd w:val="clear" w:color="000000" w:fill="FFFFFF"/>
            <w:noWrap/>
            <w:vAlign w:val="center"/>
            <w:hideMark/>
          </w:tcPr>
          <w:p w14:paraId="447223B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508" w:type="pct"/>
            <w:tcBorders>
              <w:top w:val="nil"/>
              <w:left w:val="nil"/>
              <w:bottom w:val="nil"/>
              <w:right w:val="nil"/>
            </w:tcBorders>
            <w:shd w:val="clear" w:color="000000" w:fill="FFFFFF"/>
            <w:noWrap/>
            <w:vAlign w:val="center"/>
            <w:hideMark/>
          </w:tcPr>
          <w:p w14:paraId="69D0DF6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510" w:type="pct"/>
            <w:tcBorders>
              <w:top w:val="nil"/>
              <w:left w:val="nil"/>
              <w:bottom w:val="nil"/>
              <w:right w:val="single" w:sz="4" w:space="0" w:color="auto"/>
            </w:tcBorders>
            <w:shd w:val="clear" w:color="000000" w:fill="FFFFFF"/>
            <w:noWrap/>
            <w:vAlign w:val="center"/>
            <w:hideMark/>
          </w:tcPr>
          <w:p w14:paraId="0D18181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88" w:type="pct"/>
            <w:tcBorders>
              <w:top w:val="nil"/>
              <w:left w:val="nil"/>
              <w:bottom w:val="nil"/>
              <w:right w:val="nil"/>
            </w:tcBorders>
            <w:shd w:val="clear" w:color="000000" w:fill="FFFFFF"/>
            <w:noWrap/>
            <w:vAlign w:val="center"/>
            <w:hideMark/>
          </w:tcPr>
          <w:p w14:paraId="705FF1E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76" w:type="pct"/>
            <w:tcBorders>
              <w:top w:val="nil"/>
              <w:left w:val="single" w:sz="4" w:space="0" w:color="auto"/>
              <w:bottom w:val="nil"/>
              <w:right w:val="single" w:sz="4" w:space="0" w:color="auto"/>
            </w:tcBorders>
            <w:shd w:val="clear" w:color="000000" w:fill="FFFFFF"/>
            <w:noWrap/>
            <w:vAlign w:val="center"/>
            <w:hideMark/>
          </w:tcPr>
          <w:p w14:paraId="2BCF3D4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FC7D65" w:rsidRPr="00650EE4" w14:paraId="29CBBCC1" w14:textId="77777777" w:rsidTr="004B0384">
        <w:tc>
          <w:tcPr>
            <w:tcW w:w="98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63B4A1E" w14:textId="77777777" w:rsidR="00FC7D65" w:rsidRPr="00650EE4" w:rsidRDefault="00FC7D65" w:rsidP="00FC7D6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8" w:type="pct"/>
            <w:tcBorders>
              <w:top w:val="single" w:sz="4" w:space="0" w:color="auto"/>
              <w:left w:val="nil"/>
              <w:bottom w:val="single" w:sz="4" w:space="0" w:color="auto"/>
              <w:right w:val="nil"/>
            </w:tcBorders>
            <w:shd w:val="clear" w:color="000000" w:fill="F2F2F2"/>
            <w:noWrap/>
            <w:vAlign w:val="center"/>
            <w:hideMark/>
          </w:tcPr>
          <w:p w14:paraId="5B975184"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52.809</w:t>
            </w:r>
          </w:p>
        </w:tc>
        <w:tc>
          <w:tcPr>
            <w:tcW w:w="508" w:type="pct"/>
            <w:tcBorders>
              <w:top w:val="single" w:sz="4" w:space="0" w:color="auto"/>
              <w:left w:val="nil"/>
              <w:bottom w:val="single" w:sz="4" w:space="0" w:color="auto"/>
              <w:right w:val="nil"/>
            </w:tcBorders>
            <w:shd w:val="clear" w:color="000000" w:fill="F2F2F2"/>
            <w:noWrap/>
            <w:vAlign w:val="center"/>
            <w:hideMark/>
          </w:tcPr>
          <w:p w14:paraId="571F0F17"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7.895</w:t>
            </w:r>
          </w:p>
        </w:tc>
        <w:tc>
          <w:tcPr>
            <w:tcW w:w="508" w:type="pct"/>
            <w:tcBorders>
              <w:top w:val="single" w:sz="4" w:space="0" w:color="auto"/>
              <w:left w:val="nil"/>
              <w:bottom w:val="single" w:sz="4" w:space="0" w:color="auto"/>
              <w:right w:val="nil"/>
            </w:tcBorders>
            <w:shd w:val="clear" w:color="000000" w:fill="F2F2F2"/>
            <w:noWrap/>
            <w:vAlign w:val="center"/>
            <w:hideMark/>
          </w:tcPr>
          <w:p w14:paraId="5D92D2E6"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10.024</w:t>
            </w:r>
          </w:p>
        </w:tc>
        <w:tc>
          <w:tcPr>
            <w:tcW w:w="508" w:type="pct"/>
            <w:tcBorders>
              <w:top w:val="single" w:sz="4" w:space="0" w:color="auto"/>
              <w:left w:val="nil"/>
              <w:bottom w:val="single" w:sz="4" w:space="0" w:color="auto"/>
              <w:right w:val="nil"/>
            </w:tcBorders>
            <w:shd w:val="clear" w:color="000000" w:fill="F2F2F2"/>
            <w:noWrap/>
            <w:vAlign w:val="center"/>
            <w:hideMark/>
          </w:tcPr>
          <w:p w14:paraId="64B1B0D2"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1.345</w:t>
            </w:r>
          </w:p>
        </w:tc>
        <w:tc>
          <w:tcPr>
            <w:tcW w:w="508" w:type="pct"/>
            <w:tcBorders>
              <w:top w:val="single" w:sz="4" w:space="0" w:color="auto"/>
              <w:left w:val="nil"/>
              <w:bottom w:val="single" w:sz="4" w:space="0" w:color="auto"/>
              <w:right w:val="nil"/>
            </w:tcBorders>
            <w:shd w:val="clear" w:color="000000" w:fill="F2F2F2"/>
            <w:noWrap/>
            <w:vAlign w:val="center"/>
            <w:hideMark/>
          </w:tcPr>
          <w:p w14:paraId="0FD95E6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501</w:t>
            </w:r>
          </w:p>
        </w:tc>
        <w:tc>
          <w:tcPr>
            <w:tcW w:w="510" w:type="pct"/>
            <w:tcBorders>
              <w:top w:val="single" w:sz="4" w:space="0" w:color="auto"/>
              <w:left w:val="nil"/>
              <w:bottom w:val="single" w:sz="4" w:space="0" w:color="auto"/>
              <w:right w:val="single" w:sz="4" w:space="0" w:color="auto"/>
            </w:tcBorders>
            <w:shd w:val="clear" w:color="000000" w:fill="F2F2F2"/>
            <w:noWrap/>
            <w:vAlign w:val="center"/>
            <w:hideMark/>
          </w:tcPr>
          <w:p w14:paraId="21066CE8"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96</w:t>
            </w:r>
          </w:p>
        </w:tc>
        <w:tc>
          <w:tcPr>
            <w:tcW w:w="488" w:type="pct"/>
            <w:tcBorders>
              <w:top w:val="single" w:sz="4" w:space="0" w:color="auto"/>
              <w:left w:val="nil"/>
              <w:bottom w:val="single" w:sz="4" w:space="0" w:color="auto"/>
              <w:right w:val="nil"/>
            </w:tcBorders>
            <w:shd w:val="clear" w:color="000000" w:fill="F2F2F2"/>
            <w:noWrap/>
            <w:vAlign w:val="center"/>
            <w:hideMark/>
          </w:tcPr>
          <w:p w14:paraId="0E8CC691"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AA6AB0" w14:textId="77777777" w:rsidR="00FC7D65" w:rsidRPr="00650EE4" w:rsidRDefault="00FC7D65" w:rsidP="00FC7D6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FC7D65" w:rsidRPr="00650EE4" w14:paraId="5FA5B5F8" w14:textId="77777777" w:rsidTr="004B0384">
        <w:tc>
          <w:tcPr>
            <w:tcW w:w="988" w:type="pct"/>
            <w:tcBorders>
              <w:top w:val="nil"/>
              <w:left w:val="single" w:sz="4" w:space="0" w:color="auto"/>
              <w:bottom w:val="nil"/>
              <w:right w:val="nil"/>
            </w:tcBorders>
            <w:shd w:val="clear" w:color="000000" w:fill="FFFFFF"/>
            <w:noWrap/>
            <w:vAlign w:val="center"/>
            <w:hideMark/>
          </w:tcPr>
          <w:p w14:paraId="0814F14A"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8" w:type="pct"/>
            <w:tcBorders>
              <w:top w:val="nil"/>
              <w:left w:val="single" w:sz="4" w:space="0" w:color="auto"/>
              <w:bottom w:val="nil"/>
              <w:right w:val="nil"/>
            </w:tcBorders>
            <w:shd w:val="clear" w:color="000000" w:fill="FFFFFF"/>
            <w:noWrap/>
            <w:vAlign w:val="center"/>
            <w:hideMark/>
          </w:tcPr>
          <w:p w14:paraId="267947B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29.135</w:t>
            </w:r>
          </w:p>
        </w:tc>
        <w:tc>
          <w:tcPr>
            <w:tcW w:w="508" w:type="pct"/>
            <w:tcBorders>
              <w:top w:val="nil"/>
              <w:left w:val="nil"/>
              <w:bottom w:val="nil"/>
              <w:right w:val="nil"/>
            </w:tcBorders>
            <w:shd w:val="clear" w:color="000000" w:fill="FFFFFF"/>
            <w:noWrap/>
            <w:vAlign w:val="center"/>
            <w:hideMark/>
          </w:tcPr>
          <w:p w14:paraId="15C0712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1.962</w:t>
            </w:r>
          </w:p>
        </w:tc>
        <w:tc>
          <w:tcPr>
            <w:tcW w:w="508" w:type="pct"/>
            <w:tcBorders>
              <w:top w:val="nil"/>
              <w:left w:val="nil"/>
              <w:bottom w:val="nil"/>
              <w:right w:val="nil"/>
            </w:tcBorders>
            <w:shd w:val="clear" w:color="000000" w:fill="FFFFFF"/>
            <w:noWrap/>
            <w:vAlign w:val="center"/>
            <w:hideMark/>
          </w:tcPr>
          <w:p w14:paraId="12C09CF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3.534</w:t>
            </w:r>
          </w:p>
        </w:tc>
        <w:tc>
          <w:tcPr>
            <w:tcW w:w="508" w:type="pct"/>
            <w:tcBorders>
              <w:top w:val="nil"/>
              <w:left w:val="nil"/>
              <w:bottom w:val="nil"/>
              <w:right w:val="nil"/>
            </w:tcBorders>
            <w:shd w:val="clear" w:color="000000" w:fill="FFFFFF"/>
            <w:noWrap/>
            <w:vAlign w:val="center"/>
            <w:hideMark/>
          </w:tcPr>
          <w:p w14:paraId="0252560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w:t>
            </w:r>
          </w:p>
        </w:tc>
        <w:tc>
          <w:tcPr>
            <w:tcW w:w="508" w:type="pct"/>
            <w:tcBorders>
              <w:top w:val="nil"/>
              <w:left w:val="nil"/>
              <w:bottom w:val="nil"/>
              <w:right w:val="nil"/>
            </w:tcBorders>
            <w:shd w:val="clear" w:color="000000" w:fill="FFFFFF"/>
            <w:noWrap/>
            <w:vAlign w:val="center"/>
            <w:hideMark/>
          </w:tcPr>
          <w:p w14:paraId="2BBAD0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10" w:type="pct"/>
            <w:tcBorders>
              <w:top w:val="nil"/>
              <w:left w:val="nil"/>
              <w:bottom w:val="nil"/>
              <w:right w:val="single" w:sz="4" w:space="0" w:color="auto"/>
            </w:tcBorders>
            <w:shd w:val="clear" w:color="000000" w:fill="FFFFFF"/>
            <w:noWrap/>
            <w:vAlign w:val="center"/>
            <w:hideMark/>
          </w:tcPr>
          <w:p w14:paraId="38E4C5B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88" w:type="pct"/>
            <w:tcBorders>
              <w:top w:val="nil"/>
              <w:left w:val="nil"/>
              <w:bottom w:val="nil"/>
              <w:right w:val="nil"/>
            </w:tcBorders>
            <w:shd w:val="clear" w:color="000000" w:fill="FFFFFF"/>
            <w:noWrap/>
            <w:vAlign w:val="center"/>
            <w:hideMark/>
          </w:tcPr>
          <w:p w14:paraId="3B8286F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76" w:type="pct"/>
            <w:tcBorders>
              <w:top w:val="nil"/>
              <w:left w:val="single" w:sz="4" w:space="0" w:color="auto"/>
              <w:bottom w:val="nil"/>
              <w:right w:val="single" w:sz="4" w:space="0" w:color="auto"/>
            </w:tcBorders>
            <w:shd w:val="clear" w:color="000000" w:fill="FFFFFF"/>
            <w:noWrap/>
            <w:vAlign w:val="center"/>
            <w:hideMark/>
          </w:tcPr>
          <w:p w14:paraId="1980075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FC7D65" w:rsidRPr="00650EE4" w14:paraId="6FAA7D65" w14:textId="77777777" w:rsidTr="004B0384">
        <w:tc>
          <w:tcPr>
            <w:tcW w:w="988" w:type="pct"/>
            <w:tcBorders>
              <w:top w:val="nil"/>
              <w:left w:val="single" w:sz="4" w:space="0" w:color="auto"/>
              <w:bottom w:val="nil"/>
              <w:right w:val="nil"/>
            </w:tcBorders>
            <w:shd w:val="clear" w:color="000000" w:fill="FFFFFF"/>
            <w:noWrap/>
            <w:vAlign w:val="center"/>
            <w:hideMark/>
          </w:tcPr>
          <w:p w14:paraId="7342DB7C"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8" w:type="pct"/>
            <w:tcBorders>
              <w:top w:val="nil"/>
              <w:left w:val="single" w:sz="4" w:space="0" w:color="auto"/>
              <w:bottom w:val="nil"/>
              <w:right w:val="nil"/>
            </w:tcBorders>
            <w:shd w:val="clear" w:color="000000" w:fill="FFFFFF"/>
            <w:noWrap/>
            <w:vAlign w:val="center"/>
            <w:hideMark/>
          </w:tcPr>
          <w:p w14:paraId="66EB0F9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7.438</w:t>
            </w:r>
          </w:p>
        </w:tc>
        <w:tc>
          <w:tcPr>
            <w:tcW w:w="508" w:type="pct"/>
            <w:tcBorders>
              <w:top w:val="nil"/>
              <w:left w:val="nil"/>
              <w:bottom w:val="nil"/>
              <w:right w:val="nil"/>
            </w:tcBorders>
            <w:shd w:val="clear" w:color="000000" w:fill="FFFFFF"/>
            <w:noWrap/>
            <w:vAlign w:val="center"/>
            <w:hideMark/>
          </w:tcPr>
          <w:p w14:paraId="62C120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1.167</w:t>
            </w:r>
          </w:p>
        </w:tc>
        <w:tc>
          <w:tcPr>
            <w:tcW w:w="508" w:type="pct"/>
            <w:tcBorders>
              <w:top w:val="nil"/>
              <w:left w:val="nil"/>
              <w:bottom w:val="nil"/>
              <w:right w:val="nil"/>
            </w:tcBorders>
            <w:shd w:val="clear" w:color="000000" w:fill="FFFFFF"/>
            <w:noWrap/>
            <w:vAlign w:val="center"/>
            <w:hideMark/>
          </w:tcPr>
          <w:p w14:paraId="260FF92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900</w:t>
            </w:r>
          </w:p>
        </w:tc>
        <w:tc>
          <w:tcPr>
            <w:tcW w:w="508" w:type="pct"/>
            <w:tcBorders>
              <w:top w:val="nil"/>
              <w:left w:val="nil"/>
              <w:bottom w:val="nil"/>
              <w:right w:val="nil"/>
            </w:tcBorders>
            <w:shd w:val="clear" w:color="000000" w:fill="FFFFFF"/>
            <w:noWrap/>
            <w:vAlign w:val="center"/>
            <w:hideMark/>
          </w:tcPr>
          <w:p w14:paraId="4DD6E2C7"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482</w:t>
            </w:r>
          </w:p>
        </w:tc>
        <w:tc>
          <w:tcPr>
            <w:tcW w:w="508" w:type="pct"/>
            <w:tcBorders>
              <w:top w:val="nil"/>
              <w:left w:val="nil"/>
              <w:bottom w:val="nil"/>
              <w:right w:val="nil"/>
            </w:tcBorders>
            <w:shd w:val="clear" w:color="000000" w:fill="FFFFFF"/>
            <w:noWrap/>
            <w:vAlign w:val="center"/>
            <w:hideMark/>
          </w:tcPr>
          <w:p w14:paraId="47C6C54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10" w:type="pct"/>
            <w:tcBorders>
              <w:top w:val="nil"/>
              <w:left w:val="nil"/>
              <w:bottom w:val="nil"/>
              <w:right w:val="single" w:sz="4" w:space="0" w:color="auto"/>
            </w:tcBorders>
            <w:shd w:val="clear" w:color="000000" w:fill="FFFFFF"/>
            <w:noWrap/>
            <w:vAlign w:val="center"/>
            <w:hideMark/>
          </w:tcPr>
          <w:p w14:paraId="2F8C397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3184AAC6"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76" w:type="pct"/>
            <w:tcBorders>
              <w:top w:val="nil"/>
              <w:left w:val="single" w:sz="4" w:space="0" w:color="auto"/>
              <w:bottom w:val="nil"/>
              <w:right w:val="single" w:sz="4" w:space="0" w:color="auto"/>
            </w:tcBorders>
            <w:shd w:val="clear" w:color="000000" w:fill="FFFFFF"/>
            <w:noWrap/>
            <w:vAlign w:val="center"/>
            <w:hideMark/>
          </w:tcPr>
          <w:p w14:paraId="4998380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FC7D65" w:rsidRPr="00650EE4" w14:paraId="010EA014" w14:textId="77777777" w:rsidTr="004B0384">
        <w:tc>
          <w:tcPr>
            <w:tcW w:w="988" w:type="pct"/>
            <w:tcBorders>
              <w:top w:val="nil"/>
              <w:left w:val="single" w:sz="4" w:space="0" w:color="auto"/>
              <w:bottom w:val="nil"/>
              <w:right w:val="nil"/>
            </w:tcBorders>
            <w:shd w:val="clear" w:color="000000" w:fill="FFFFFF"/>
            <w:noWrap/>
            <w:vAlign w:val="center"/>
            <w:hideMark/>
          </w:tcPr>
          <w:p w14:paraId="7A997A82"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8" w:type="pct"/>
            <w:tcBorders>
              <w:top w:val="nil"/>
              <w:left w:val="single" w:sz="4" w:space="0" w:color="auto"/>
              <w:bottom w:val="nil"/>
              <w:right w:val="nil"/>
            </w:tcBorders>
            <w:shd w:val="clear" w:color="000000" w:fill="FFFFFF"/>
            <w:noWrap/>
            <w:vAlign w:val="center"/>
            <w:hideMark/>
          </w:tcPr>
          <w:p w14:paraId="6CFDBFF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5.455</w:t>
            </w:r>
          </w:p>
        </w:tc>
        <w:tc>
          <w:tcPr>
            <w:tcW w:w="508" w:type="pct"/>
            <w:tcBorders>
              <w:top w:val="nil"/>
              <w:left w:val="nil"/>
              <w:bottom w:val="nil"/>
              <w:right w:val="nil"/>
            </w:tcBorders>
            <w:shd w:val="clear" w:color="000000" w:fill="FFFFFF"/>
            <w:noWrap/>
            <w:vAlign w:val="center"/>
            <w:hideMark/>
          </w:tcPr>
          <w:p w14:paraId="5DB95DF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1.938</w:t>
            </w:r>
          </w:p>
        </w:tc>
        <w:tc>
          <w:tcPr>
            <w:tcW w:w="508" w:type="pct"/>
            <w:tcBorders>
              <w:top w:val="nil"/>
              <w:left w:val="nil"/>
              <w:bottom w:val="nil"/>
              <w:right w:val="nil"/>
            </w:tcBorders>
            <w:shd w:val="clear" w:color="000000" w:fill="FFFFFF"/>
            <w:noWrap/>
            <w:vAlign w:val="center"/>
            <w:hideMark/>
          </w:tcPr>
          <w:p w14:paraId="2B5779D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1.081</w:t>
            </w:r>
          </w:p>
        </w:tc>
        <w:tc>
          <w:tcPr>
            <w:tcW w:w="508" w:type="pct"/>
            <w:tcBorders>
              <w:top w:val="nil"/>
              <w:left w:val="nil"/>
              <w:bottom w:val="nil"/>
              <w:right w:val="nil"/>
            </w:tcBorders>
            <w:shd w:val="clear" w:color="000000" w:fill="FFFFFF"/>
            <w:noWrap/>
            <w:vAlign w:val="center"/>
            <w:hideMark/>
          </w:tcPr>
          <w:p w14:paraId="55EB140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nil"/>
              <w:left w:val="nil"/>
              <w:bottom w:val="nil"/>
              <w:right w:val="nil"/>
            </w:tcBorders>
            <w:shd w:val="clear" w:color="000000" w:fill="FFFFFF"/>
            <w:noWrap/>
            <w:vAlign w:val="center"/>
            <w:hideMark/>
          </w:tcPr>
          <w:p w14:paraId="366B932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10" w:type="pct"/>
            <w:tcBorders>
              <w:top w:val="nil"/>
              <w:left w:val="nil"/>
              <w:bottom w:val="nil"/>
              <w:right w:val="single" w:sz="4" w:space="0" w:color="auto"/>
            </w:tcBorders>
            <w:shd w:val="clear" w:color="000000" w:fill="FFFFFF"/>
            <w:noWrap/>
            <w:vAlign w:val="center"/>
            <w:hideMark/>
          </w:tcPr>
          <w:p w14:paraId="57FA084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2E1B7676"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76" w:type="pct"/>
            <w:tcBorders>
              <w:top w:val="nil"/>
              <w:left w:val="single" w:sz="4" w:space="0" w:color="auto"/>
              <w:bottom w:val="nil"/>
              <w:right w:val="single" w:sz="4" w:space="0" w:color="auto"/>
            </w:tcBorders>
            <w:shd w:val="clear" w:color="000000" w:fill="FFFFFF"/>
            <w:noWrap/>
            <w:vAlign w:val="center"/>
            <w:hideMark/>
          </w:tcPr>
          <w:p w14:paraId="6E9C665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FC7D65" w:rsidRPr="00650EE4" w14:paraId="32BD278B" w14:textId="77777777" w:rsidTr="004B0384">
        <w:tc>
          <w:tcPr>
            <w:tcW w:w="988" w:type="pct"/>
            <w:tcBorders>
              <w:top w:val="nil"/>
              <w:left w:val="single" w:sz="4" w:space="0" w:color="auto"/>
              <w:bottom w:val="nil"/>
              <w:right w:val="nil"/>
            </w:tcBorders>
            <w:shd w:val="clear" w:color="000000" w:fill="FFFFFF"/>
            <w:noWrap/>
            <w:vAlign w:val="center"/>
            <w:hideMark/>
          </w:tcPr>
          <w:p w14:paraId="291FC09C"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8" w:type="pct"/>
            <w:tcBorders>
              <w:top w:val="nil"/>
              <w:left w:val="single" w:sz="4" w:space="0" w:color="auto"/>
              <w:bottom w:val="nil"/>
              <w:right w:val="nil"/>
            </w:tcBorders>
            <w:shd w:val="clear" w:color="000000" w:fill="FFFFFF"/>
            <w:noWrap/>
            <w:vAlign w:val="center"/>
            <w:hideMark/>
          </w:tcPr>
          <w:p w14:paraId="422CF3F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3.493</w:t>
            </w:r>
          </w:p>
        </w:tc>
        <w:tc>
          <w:tcPr>
            <w:tcW w:w="508" w:type="pct"/>
            <w:tcBorders>
              <w:top w:val="nil"/>
              <w:left w:val="nil"/>
              <w:bottom w:val="nil"/>
              <w:right w:val="nil"/>
            </w:tcBorders>
            <w:shd w:val="clear" w:color="000000" w:fill="FFFFFF"/>
            <w:noWrap/>
            <w:vAlign w:val="center"/>
            <w:hideMark/>
          </w:tcPr>
          <w:p w14:paraId="51993C0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984</w:t>
            </w:r>
          </w:p>
        </w:tc>
        <w:tc>
          <w:tcPr>
            <w:tcW w:w="508" w:type="pct"/>
            <w:tcBorders>
              <w:top w:val="nil"/>
              <w:left w:val="nil"/>
              <w:bottom w:val="nil"/>
              <w:right w:val="nil"/>
            </w:tcBorders>
            <w:shd w:val="clear" w:color="000000" w:fill="FFFFFF"/>
            <w:noWrap/>
            <w:vAlign w:val="center"/>
            <w:hideMark/>
          </w:tcPr>
          <w:p w14:paraId="7EA0346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2.386</w:t>
            </w:r>
          </w:p>
        </w:tc>
        <w:tc>
          <w:tcPr>
            <w:tcW w:w="508" w:type="pct"/>
            <w:tcBorders>
              <w:top w:val="nil"/>
              <w:left w:val="nil"/>
              <w:bottom w:val="nil"/>
              <w:right w:val="nil"/>
            </w:tcBorders>
            <w:shd w:val="clear" w:color="000000" w:fill="FFFFFF"/>
            <w:noWrap/>
            <w:vAlign w:val="center"/>
            <w:hideMark/>
          </w:tcPr>
          <w:p w14:paraId="630824A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105</w:t>
            </w:r>
          </w:p>
        </w:tc>
        <w:tc>
          <w:tcPr>
            <w:tcW w:w="508" w:type="pct"/>
            <w:tcBorders>
              <w:top w:val="nil"/>
              <w:left w:val="nil"/>
              <w:bottom w:val="nil"/>
              <w:right w:val="nil"/>
            </w:tcBorders>
            <w:shd w:val="clear" w:color="000000" w:fill="FFFFFF"/>
            <w:noWrap/>
            <w:vAlign w:val="center"/>
            <w:hideMark/>
          </w:tcPr>
          <w:p w14:paraId="4A73A3B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10" w:type="pct"/>
            <w:tcBorders>
              <w:top w:val="nil"/>
              <w:left w:val="nil"/>
              <w:bottom w:val="nil"/>
              <w:right w:val="single" w:sz="4" w:space="0" w:color="auto"/>
            </w:tcBorders>
            <w:shd w:val="clear" w:color="000000" w:fill="FFFFFF"/>
            <w:noWrap/>
            <w:vAlign w:val="center"/>
            <w:hideMark/>
          </w:tcPr>
          <w:p w14:paraId="515B828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3EAB955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76" w:type="pct"/>
            <w:tcBorders>
              <w:top w:val="nil"/>
              <w:left w:val="single" w:sz="4" w:space="0" w:color="auto"/>
              <w:bottom w:val="nil"/>
              <w:right w:val="single" w:sz="4" w:space="0" w:color="auto"/>
            </w:tcBorders>
            <w:shd w:val="clear" w:color="000000" w:fill="FFFFFF"/>
            <w:noWrap/>
            <w:vAlign w:val="center"/>
            <w:hideMark/>
          </w:tcPr>
          <w:p w14:paraId="578C0C3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FC7D65" w:rsidRPr="00650EE4" w14:paraId="01C831B9" w14:textId="77777777" w:rsidTr="004B0384">
        <w:tc>
          <w:tcPr>
            <w:tcW w:w="988" w:type="pct"/>
            <w:tcBorders>
              <w:top w:val="nil"/>
              <w:left w:val="single" w:sz="4" w:space="0" w:color="auto"/>
              <w:bottom w:val="nil"/>
              <w:right w:val="nil"/>
            </w:tcBorders>
            <w:shd w:val="clear" w:color="000000" w:fill="FFFFFF"/>
            <w:noWrap/>
            <w:vAlign w:val="center"/>
            <w:hideMark/>
          </w:tcPr>
          <w:p w14:paraId="1DA2D49E"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8" w:type="pct"/>
            <w:tcBorders>
              <w:top w:val="nil"/>
              <w:left w:val="single" w:sz="4" w:space="0" w:color="auto"/>
              <w:bottom w:val="nil"/>
              <w:right w:val="nil"/>
            </w:tcBorders>
            <w:shd w:val="clear" w:color="000000" w:fill="FFFFFF"/>
            <w:noWrap/>
            <w:vAlign w:val="center"/>
            <w:hideMark/>
          </w:tcPr>
          <w:p w14:paraId="0AC3721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1.655</w:t>
            </w:r>
          </w:p>
        </w:tc>
        <w:tc>
          <w:tcPr>
            <w:tcW w:w="508" w:type="pct"/>
            <w:tcBorders>
              <w:top w:val="nil"/>
              <w:left w:val="nil"/>
              <w:bottom w:val="nil"/>
              <w:right w:val="nil"/>
            </w:tcBorders>
            <w:shd w:val="clear" w:color="000000" w:fill="FFFFFF"/>
            <w:noWrap/>
            <w:vAlign w:val="center"/>
            <w:hideMark/>
          </w:tcPr>
          <w:p w14:paraId="06FBA04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619</w:t>
            </w:r>
          </w:p>
        </w:tc>
        <w:tc>
          <w:tcPr>
            <w:tcW w:w="508" w:type="pct"/>
            <w:tcBorders>
              <w:top w:val="nil"/>
              <w:left w:val="nil"/>
              <w:bottom w:val="nil"/>
              <w:right w:val="nil"/>
            </w:tcBorders>
            <w:shd w:val="clear" w:color="000000" w:fill="FFFFFF"/>
            <w:noWrap/>
            <w:vAlign w:val="center"/>
            <w:hideMark/>
          </w:tcPr>
          <w:p w14:paraId="7E40ED81"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669</w:t>
            </w:r>
          </w:p>
        </w:tc>
        <w:tc>
          <w:tcPr>
            <w:tcW w:w="508" w:type="pct"/>
            <w:tcBorders>
              <w:top w:val="nil"/>
              <w:left w:val="nil"/>
              <w:bottom w:val="nil"/>
              <w:right w:val="nil"/>
            </w:tcBorders>
            <w:shd w:val="clear" w:color="000000" w:fill="FFFFFF"/>
            <w:noWrap/>
            <w:vAlign w:val="center"/>
            <w:hideMark/>
          </w:tcPr>
          <w:p w14:paraId="1BE457A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8" w:type="pct"/>
            <w:tcBorders>
              <w:top w:val="nil"/>
              <w:left w:val="nil"/>
              <w:bottom w:val="nil"/>
              <w:right w:val="nil"/>
            </w:tcBorders>
            <w:shd w:val="clear" w:color="000000" w:fill="FFFFFF"/>
            <w:noWrap/>
            <w:vAlign w:val="center"/>
            <w:hideMark/>
          </w:tcPr>
          <w:p w14:paraId="2203DA8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0" w:type="pct"/>
            <w:tcBorders>
              <w:top w:val="nil"/>
              <w:left w:val="nil"/>
              <w:bottom w:val="nil"/>
              <w:right w:val="single" w:sz="4" w:space="0" w:color="auto"/>
            </w:tcBorders>
            <w:shd w:val="clear" w:color="000000" w:fill="FFFFFF"/>
            <w:noWrap/>
            <w:vAlign w:val="center"/>
            <w:hideMark/>
          </w:tcPr>
          <w:p w14:paraId="08E2D7E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181FD4F"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76" w:type="pct"/>
            <w:tcBorders>
              <w:top w:val="nil"/>
              <w:left w:val="single" w:sz="4" w:space="0" w:color="auto"/>
              <w:bottom w:val="nil"/>
              <w:right w:val="single" w:sz="4" w:space="0" w:color="auto"/>
            </w:tcBorders>
            <w:shd w:val="clear" w:color="000000" w:fill="FFFFFF"/>
            <w:noWrap/>
            <w:vAlign w:val="center"/>
            <w:hideMark/>
          </w:tcPr>
          <w:p w14:paraId="72DF763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FC7D65" w:rsidRPr="00650EE4" w14:paraId="1FD71FDF" w14:textId="77777777" w:rsidTr="004B0384">
        <w:tc>
          <w:tcPr>
            <w:tcW w:w="988" w:type="pct"/>
            <w:tcBorders>
              <w:top w:val="nil"/>
              <w:left w:val="single" w:sz="4" w:space="0" w:color="auto"/>
              <w:bottom w:val="nil"/>
              <w:right w:val="nil"/>
            </w:tcBorders>
            <w:shd w:val="clear" w:color="000000" w:fill="FFFFFF"/>
            <w:noWrap/>
            <w:vAlign w:val="center"/>
            <w:hideMark/>
          </w:tcPr>
          <w:p w14:paraId="78283555"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8" w:type="pct"/>
            <w:tcBorders>
              <w:top w:val="nil"/>
              <w:left w:val="single" w:sz="4" w:space="0" w:color="auto"/>
              <w:bottom w:val="nil"/>
              <w:right w:val="nil"/>
            </w:tcBorders>
            <w:shd w:val="clear" w:color="000000" w:fill="FFFFFF"/>
            <w:noWrap/>
            <w:vAlign w:val="center"/>
            <w:hideMark/>
          </w:tcPr>
          <w:p w14:paraId="399307C0"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1.262</w:t>
            </w:r>
          </w:p>
        </w:tc>
        <w:tc>
          <w:tcPr>
            <w:tcW w:w="508" w:type="pct"/>
            <w:tcBorders>
              <w:top w:val="nil"/>
              <w:left w:val="nil"/>
              <w:bottom w:val="nil"/>
              <w:right w:val="nil"/>
            </w:tcBorders>
            <w:shd w:val="clear" w:color="000000" w:fill="FFFFFF"/>
            <w:noWrap/>
            <w:vAlign w:val="center"/>
            <w:hideMark/>
          </w:tcPr>
          <w:p w14:paraId="589D23B2"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483</w:t>
            </w:r>
          </w:p>
        </w:tc>
        <w:tc>
          <w:tcPr>
            <w:tcW w:w="508" w:type="pct"/>
            <w:tcBorders>
              <w:top w:val="nil"/>
              <w:left w:val="nil"/>
              <w:bottom w:val="nil"/>
              <w:right w:val="nil"/>
            </w:tcBorders>
            <w:shd w:val="clear" w:color="000000" w:fill="FFFFFF"/>
            <w:noWrap/>
            <w:vAlign w:val="center"/>
            <w:hideMark/>
          </w:tcPr>
          <w:p w14:paraId="1F6F406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595</w:t>
            </w:r>
          </w:p>
        </w:tc>
        <w:tc>
          <w:tcPr>
            <w:tcW w:w="508" w:type="pct"/>
            <w:tcBorders>
              <w:top w:val="nil"/>
              <w:left w:val="nil"/>
              <w:bottom w:val="nil"/>
              <w:right w:val="nil"/>
            </w:tcBorders>
            <w:shd w:val="clear" w:color="000000" w:fill="FFFFFF"/>
            <w:noWrap/>
            <w:vAlign w:val="center"/>
            <w:hideMark/>
          </w:tcPr>
          <w:p w14:paraId="0A076A7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8" w:type="pct"/>
            <w:tcBorders>
              <w:top w:val="nil"/>
              <w:left w:val="nil"/>
              <w:bottom w:val="nil"/>
              <w:right w:val="nil"/>
            </w:tcBorders>
            <w:shd w:val="clear" w:color="000000" w:fill="FFFFFF"/>
            <w:noWrap/>
            <w:vAlign w:val="center"/>
            <w:hideMark/>
          </w:tcPr>
          <w:p w14:paraId="598D35E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10" w:type="pct"/>
            <w:tcBorders>
              <w:top w:val="nil"/>
              <w:left w:val="nil"/>
              <w:bottom w:val="nil"/>
              <w:right w:val="single" w:sz="4" w:space="0" w:color="auto"/>
            </w:tcBorders>
            <w:shd w:val="clear" w:color="000000" w:fill="FFFFFF"/>
            <w:noWrap/>
            <w:vAlign w:val="center"/>
            <w:hideMark/>
          </w:tcPr>
          <w:p w14:paraId="19596F0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17053B68"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76" w:type="pct"/>
            <w:tcBorders>
              <w:top w:val="nil"/>
              <w:left w:val="single" w:sz="4" w:space="0" w:color="auto"/>
              <w:bottom w:val="nil"/>
              <w:right w:val="single" w:sz="4" w:space="0" w:color="auto"/>
            </w:tcBorders>
            <w:shd w:val="clear" w:color="000000" w:fill="FFFFFF"/>
            <w:noWrap/>
            <w:vAlign w:val="center"/>
            <w:hideMark/>
          </w:tcPr>
          <w:p w14:paraId="3EC4D2C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FC7D65" w:rsidRPr="00650EE4" w14:paraId="34592D34" w14:textId="77777777" w:rsidTr="004B0384">
        <w:tc>
          <w:tcPr>
            <w:tcW w:w="988" w:type="pct"/>
            <w:tcBorders>
              <w:top w:val="nil"/>
              <w:left w:val="single" w:sz="4" w:space="0" w:color="auto"/>
              <w:bottom w:val="nil"/>
              <w:right w:val="nil"/>
            </w:tcBorders>
            <w:shd w:val="clear" w:color="000000" w:fill="FFFFFF"/>
            <w:noWrap/>
            <w:vAlign w:val="center"/>
            <w:hideMark/>
          </w:tcPr>
          <w:p w14:paraId="1AEE5FFE"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8" w:type="pct"/>
            <w:tcBorders>
              <w:top w:val="nil"/>
              <w:left w:val="single" w:sz="4" w:space="0" w:color="auto"/>
              <w:bottom w:val="nil"/>
              <w:right w:val="nil"/>
            </w:tcBorders>
            <w:shd w:val="clear" w:color="000000" w:fill="FFFFFF"/>
            <w:noWrap/>
            <w:vAlign w:val="center"/>
            <w:hideMark/>
          </w:tcPr>
          <w:p w14:paraId="45E54CA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1.819</w:t>
            </w:r>
          </w:p>
        </w:tc>
        <w:tc>
          <w:tcPr>
            <w:tcW w:w="508" w:type="pct"/>
            <w:tcBorders>
              <w:top w:val="nil"/>
              <w:left w:val="nil"/>
              <w:bottom w:val="nil"/>
              <w:right w:val="nil"/>
            </w:tcBorders>
            <w:shd w:val="clear" w:color="000000" w:fill="FFFFFF"/>
            <w:noWrap/>
            <w:vAlign w:val="center"/>
            <w:hideMark/>
          </w:tcPr>
          <w:p w14:paraId="08BB1B3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258</w:t>
            </w:r>
          </w:p>
        </w:tc>
        <w:tc>
          <w:tcPr>
            <w:tcW w:w="508" w:type="pct"/>
            <w:tcBorders>
              <w:top w:val="nil"/>
              <w:left w:val="nil"/>
              <w:bottom w:val="nil"/>
              <w:right w:val="nil"/>
            </w:tcBorders>
            <w:shd w:val="clear" w:color="000000" w:fill="FFFFFF"/>
            <w:noWrap/>
            <w:vAlign w:val="center"/>
            <w:hideMark/>
          </w:tcPr>
          <w:p w14:paraId="0D0F86F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08" w:type="pct"/>
            <w:tcBorders>
              <w:top w:val="nil"/>
              <w:left w:val="nil"/>
              <w:bottom w:val="nil"/>
              <w:right w:val="nil"/>
            </w:tcBorders>
            <w:shd w:val="clear" w:color="000000" w:fill="FFFFFF"/>
            <w:noWrap/>
            <w:vAlign w:val="center"/>
            <w:hideMark/>
          </w:tcPr>
          <w:p w14:paraId="27BA5D5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08" w:type="pct"/>
            <w:tcBorders>
              <w:top w:val="nil"/>
              <w:left w:val="nil"/>
              <w:bottom w:val="nil"/>
              <w:right w:val="nil"/>
            </w:tcBorders>
            <w:shd w:val="clear" w:color="000000" w:fill="FFFFFF"/>
            <w:noWrap/>
            <w:vAlign w:val="center"/>
            <w:hideMark/>
          </w:tcPr>
          <w:p w14:paraId="339CC79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10" w:type="pct"/>
            <w:tcBorders>
              <w:top w:val="nil"/>
              <w:left w:val="nil"/>
              <w:bottom w:val="nil"/>
              <w:right w:val="single" w:sz="4" w:space="0" w:color="auto"/>
            </w:tcBorders>
            <w:shd w:val="clear" w:color="000000" w:fill="FFFFFF"/>
            <w:noWrap/>
            <w:vAlign w:val="center"/>
            <w:hideMark/>
          </w:tcPr>
          <w:p w14:paraId="20A21A5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05DA3D3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76" w:type="pct"/>
            <w:tcBorders>
              <w:top w:val="nil"/>
              <w:left w:val="single" w:sz="4" w:space="0" w:color="auto"/>
              <w:bottom w:val="nil"/>
              <w:right w:val="single" w:sz="4" w:space="0" w:color="auto"/>
            </w:tcBorders>
            <w:shd w:val="clear" w:color="000000" w:fill="FFFFFF"/>
            <w:noWrap/>
            <w:vAlign w:val="center"/>
            <w:hideMark/>
          </w:tcPr>
          <w:p w14:paraId="206A981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C7D65" w:rsidRPr="00650EE4" w14:paraId="41AD10F5" w14:textId="77777777" w:rsidTr="004B0384">
        <w:tc>
          <w:tcPr>
            <w:tcW w:w="988" w:type="pct"/>
            <w:tcBorders>
              <w:top w:val="nil"/>
              <w:left w:val="single" w:sz="4" w:space="0" w:color="auto"/>
              <w:bottom w:val="nil"/>
              <w:right w:val="nil"/>
            </w:tcBorders>
            <w:shd w:val="clear" w:color="000000" w:fill="FFFFFF"/>
            <w:noWrap/>
            <w:vAlign w:val="center"/>
            <w:hideMark/>
          </w:tcPr>
          <w:p w14:paraId="5C27F9FB"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8" w:type="pct"/>
            <w:tcBorders>
              <w:top w:val="nil"/>
              <w:left w:val="single" w:sz="4" w:space="0" w:color="auto"/>
              <w:bottom w:val="nil"/>
              <w:right w:val="nil"/>
            </w:tcBorders>
            <w:shd w:val="clear" w:color="000000" w:fill="FFFFFF"/>
            <w:noWrap/>
            <w:vAlign w:val="center"/>
            <w:hideMark/>
          </w:tcPr>
          <w:p w14:paraId="04AE071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1.619</w:t>
            </w:r>
          </w:p>
        </w:tc>
        <w:tc>
          <w:tcPr>
            <w:tcW w:w="508" w:type="pct"/>
            <w:tcBorders>
              <w:top w:val="nil"/>
              <w:left w:val="nil"/>
              <w:bottom w:val="nil"/>
              <w:right w:val="nil"/>
            </w:tcBorders>
            <w:shd w:val="clear" w:color="000000" w:fill="FFFFFF"/>
            <w:noWrap/>
            <w:vAlign w:val="center"/>
            <w:hideMark/>
          </w:tcPr>
          <w:p w14:paraId="2352252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508" w:type="pct"/>
            <w:tcBorders>
              <w:top w:val="nil"/>
              <w:left w:val="nil"/>
              <w:bottom w:val="nil"/>
              <w:right w:val="nil"/>
            </w:tcBorders>
            <w:shd w:val="clear" w:color="000000" w:fill="FFFFFF"/>
            <w:noWrap/>
            <w:vAlign w:val="center"/>
            <w:hideMark/>
          </w:tcPr>
          <w:p w14:paraId="21689E1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08" w:type="pct"/>
            <w:tcBorders>
              <w:top w:val="nil"/>
              <w:left w:val="nil"/>
              <w:bottom w:val="nil"/>
              <w:right w:val="nil"/>
            </w:tcBorders>
            <w:shd w:val="clear" w:color="000000" w:fill="FFFFFF"/>
            <w:noWrap/>
            <w:vAlign w:val="center"/>
            <w:hideMark/>
          </w:tcPr>
          <w:p w14:paraId="4586A0E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508" w:type="pct"/>
            <w:tcBorders>
              <w:top w:val="nil"/>
              <w:left w:val="nil"/>
              <w:bottom w:val="nil"/>
              <w:right w:val="nil"/>
            </w:tcBorders>
            <w:shd w:val="clear" w:color="000000" w:fill="FFFFFF"/>
            <w:noWrap/>
            <w:vAlign w:val="center"/>
            <w:hideMark/>
          </w:tcPr>
          <w:p w14:paraId="58D81DCD"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10" w:type="pct"/>
            <w:tcBorders>
              <w:top w:val="nil"/>
              <w:left w:val="nil"/>
              <w:bottom w:val="nil"/>
              <w:right w:val="single" w:sz="4" w:space="0" w:color="auto"/>
            </w:tcBorders>
            <w:shd w:val="clear" w:color="000000" w:fill="FFFFFF"/>
            <w:noWrap/>
            <w:vAlign w:val="center"/>
            <w:hideMark/>
          </w:tcPr>
          <w:p w14:paraId="75FC37C8"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67F4EC97"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76" w:type="pct"/>
            <w:tcBorders>
              <w:top w:val="nil"/>
              <w:left w:val="single" w:sz="4" w:space="0" w:color="auto"/>
              <w:bottom w:val="nil"/>
              <w:right w:val="single" w:sz="4" w:space="0" w:color="auto"/>
            </w:tcBorders>
            <w:shd w:val="clear" w:color="000000" w:fill="FFFFFF"/>
            <w:noWrap/>
            <w:vAlign w:val="center"/>
            <w:hideMark/>
          </w:tcPr>
          <w:p w14:paraId="3A253D4A"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FC7D65" w:rsidRPr="00650EE4" w14:paraId="366DC513" w14:textId="77777777" w:rsidTr="004B0384">
        <w:tc>
          <w:tcPr>
            <w:tcW w:w="988" w:type="pct"/>
            <w:tcBorders>
              <w:top w:val="nil"/>
              <w:left w:val="single" w:sz="4" w:space="0" w:color="auto"/>
              <w:bottom w:val="nil"/>
              <w:right w:val="nil"/>
            </w:tcBorders>
            <w:shd w:val="clear" w:color="000000" w:fill="FFFFFF"/>
            <w:noWrap/>
            <w:vAlign w:val="center"/>
            <w:hideMark/>
          </w:tcPr>
          <w:p w14:paraId="27704F03"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8" w:type="pct"/>
            <w:tcBorders>
              <w:top w:val="nil"/>
              <w:left w:val="single" w:sz="4" w:space="0" w:color="auto"/>
              <w:bottom w:val="single" w:sz="4" w:space="0" w:color="auto"/>
              <w:right w:val="nil"/>
            </w:tcBorders>
            <w:shd w:val="clear" w:color="000000" w:fill="FFFFFF"/>
            <w:noWrap/>
            <w:vAlign w:val="center"/>
            <w:hideMark/>
          </w:tcPr>
          <w:p w14:paraId="1A93EEEC"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932</w:t>
            </w:r>
          </w:p>
        </w:tc>
        <w:tc>
          <w:tcPr>
            <w:tcW w:w="508" w:type="pct"/>
            <w:tcBorders>
              <w:top w:val="nil"/>
              <w:left w:val="nil"/>
              <w:bottom w:val="single" w:sz="4" w:space="0" w:color="auto"/>
              <w:right w:val="nil"/>
            </w:tcBorders>
            <w:shd w:val="clear" w:color="000000" w:fill="FFFFFF"/>
            <w:noWrap/>
            <w:vAlign w:val="center"/>
            <w:hideMark/>
          </w:tcPr>
          <w:p w14:paraId="38419C7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264</w:t>
            </w:r>
          </w:p>
        </w:tc>
        <w:tc>
          <w:tcPr>
            <w:tcW w:w="508" w:type="pct"/>
            <w:tcBorders>
              <w:top w:val="nil"/>
              <w:left w:val="nil"/>
              <w:bottom w:val="single" w:sz="4" w:space="0" w:color="auto"/>
              <w:right w:val="nil"/>
            </w:tcBorders>
            <w:shd w:val="clear" w:color="000000" w:fill="FFFFFF"/>
            <w:noWrap/>
            <w:vAlign w:val="center"/>
            <w:hideMark/>
          </w:tcPr>
          <w:p w14:paraId="481D4F8F"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08" w:type="pct"/>
            <w:tcBorders>
              <w:top w:val="nil"/>
              <w:left w:val="nil"/>
              <w:bottom w:val="single" w:sz="4" w:space="0" w:color="auto"/>
              <w:right w:val="nil"/>
            </w:tcBorders>
            <w:shd w:val="clear" w:color="000000" w:fill="FFFFFF"/>
            <w:noWrap/>
            <w:vAlign w:val="center"/>
            <w:hideMark/>
          </w:tcPr>
          <w:p w14:paraId="27820D3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08" w:type="pct"/>
            <w:tcBorders>
              <w:top w:val="nil"/>
              <w:left w:val="nil"/>
              <w:bottom w:val="single" w:sz="4" w:space="0" w:color="auto"/>
              <w:right w:val="nil"/>
            </w:tcBorders>
            <w:shd w:val="clear" w:color="000000" w:fill="FFFFFF"/>
            <w:noWrap/>
            <w:vAlign w:val="center"/>
            <w:hideMark/>
          </w:tcPr>
          <w:p w14:paraId="4342093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10" w:type="pct"/>
            <w:tcBorders>
              <w:top w:val="nil"/>
              <w:left w:val="nil"/>
              <w:bottom w:val="single" w:sz="4" w:space="0" w:color="auto"/>
              <w:right w:val="single" w:sz="4" w:space="0" w:color="auto"/>
            </w:tcBorders>
            <w:shd w:val="clear" w:color="000000" w:fill="FFFFFF"/>
            <w:noWrap/>
            <w:vAlign w:val="center"/>
            <w:hideMark/>
          </w:tcPr>
          <w:p w14:paraId="57695894"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single" w:sz="4" w:space="0" w:color="auto"/>
              <w:right w:val="nil"/>
            </w:tcBorders>
            <w:shd w:val="clear" w:color="000000" w:fill="FFFFFF"/>
            <w:noWrap/>
            <w:vAlign w:val="center"/>
            <w:hideMark/>
          </w:tcPr>
          <w:p w14:paraId="7F78036C"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76" w:type="pct"/>
            <w:tcBorders>
              <w:top w:val="nil"/>
              <w:left w:val="single" w:sz="4" w:space="0" w:color="auto"/>
              <w:bottom w:val="single" w:sz="4" w:space="0" w:color="auto"/>
              <w:right w:val="single" w:sz="4" w:space="0" w:color="auto"/>
            </w:tcBorders>
            <w:shd w:val="clear" w:color="000000" w:fill="FFFFFF"/>
            <w:noWrap/>
            <w:vAlign w:val="center"/>
            <w:hideMark/>
          </w:tcPr>
          <w:p w14:paraId="3A28486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FC7D65" w:rsidRPr="00650EE4" w14:paraId="1D714743" w14:textId="77777777" w:rsidTr="004B0384">
        <w:tc>
          <w:tcPr>
            <w:tcW w:w="988" w:type="pct"/>
            <w:tcBorders>
              <w:top w:val="single" w:sz="4" w:space="0" w:color="auto"/>
              <w:left w:val="single" w:sz="4" w:space="0" w:color="auto"/>
              <w:bottom w:val="nil"/>
              <w:right w:val="single" w:sz="4" w:space="0" w:color="auto"/>
            </w:tcBorders>
            <w:shd w:val="clear" w:color="000000" w:fill="FFFFFF"/>
            <w:noWrap/>
            <w:vAlign w:val="center"/>
            <w:hideMark/>
          </w:tcPr>
          <w:p w14:paraId="2C2E2BD7" w14:textId="77777777" w:rsidR="00FC7D65" w:rsidRPr="00650EE4" w:rsidRDefault="00FC7D65" w:rsidP="00FC7D6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8" w:type="pct"/>
            <w:tcBorders>
              <w:top w:val="nil"/>
              <w:left w:val="nil"/>
              <w:bottom w:val="nil"/>
              <w:right w:val="nil"/>
            </w:tcBorders>
            <w:shd w:val="clear" w:color="000000" w:fill="FFFFFF"/>
            <w:noWrap/>
            <w:vAlign w:val="center"/>
            <w:hideMark/>
          </w:tcPr>
          <w:p w14:paraId="0254AAF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132.735</w:t>
            </w:r>
          </w:p>
        </w:tc>
        <w:tc>
          <w:tcPr>
            <w:tcW w:w="508" w:type="pct"/>
            <w:tcBorders>
              <w:top w:val="nil"/>
              <w:left w:val="nil"/>
              <w:bottom w:val="nil"/>
              <w:right w:val="nil"/>
            </w:tcBorders>
            <w:shd w:val="clear" w:color="000000" w:fill="FFFFFF"/>
            <w:noWrap/>
            <w:vAlign w:val="center"/>
            <w:hideMark/>
          </w:tcPr>
          <w:p w14:paraId="052F0FF0"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39.466</w:t>
            </w:r>
          </w:p>
        </w:tc>
        <w:tc>
          <w:tcPr>
            <w:tcW w:w="508" w:type="pct"/>
            <w:tcBorders>
              <w:top w:val="nil"/>
              <w:left w:val="nil"/>
              <w:bottom w:val="nil"/>
              <w:right w:val="nil"/>
            </w:tcBorders>
            <w:shd w:val="clear" w:color="000000" w:fill="FFFFFF"/>
            <w:noWrap/>
            <w:vAlign w:val="center"/>
            <w:hideMark/>
          </w:tcPr>
          <w:p w14:paraId="79830DA1"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25.524</w:t>
            </w:r>
          </w:p>
        </w:tc>
        <w:tc>
          <w:tcPr>
            <w:tcW w:w="508" w:type="pct"/>
            <w:tcBorders>
              <w:top w:val="nil"/>
              <w:left w:val="nil"/>
              <w:bottom w:val="nil"/>
              <w:right w:val="nil"/>
            </w:tcBorders>
            <w:shd w:val="clear" w:color="000000" w:fill="FFFFFF"/>
            <w:noWrap/>
            <w:vAlign w:val="center"/>
            <w:hideMark/>
          </w:tcPr>
          <w:p w14:paraId="33AEC71A"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3.043</w:t>
            </w:r>
          </w:p>
        </w:tc>
        <w:tc>
          <w:tcPr>
            <w:tcW w:w="508" w:type="pct"/>
            <w:tcBorders>
              <w:top w:val="nil"/>
              <w:left w:val="nil"/>
              <w:bottom w:val="nil"/>
              <w:right w:val="nil"/>
            </w:tcBorders>
            <w:shd w:val="clear" w:color="000000" w:fill="FFFFFF"/>
            <w:noWrap/>
            <w:vAlign w:val="center"/>
            <w:hideMark/>
          </w:tcPr>
          <w:p w14:paraId="5318F11C"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784</w:t>
            </w:r>
          </w:p>
        </w:tc>
        <w:tc>
          <w:tcPr>
            <w:tcW w:w="510" w:type="pct"/>
            <w:tcBorders>
              <w:top w:val="nil"/>
              <w:left w:val="nil"/>
              <w:bottom w:val="nil"/>
              <w:right w:val="single" w:sz="4" w:space="0" w:color="auto"/>
            </w:tcBorders>
            <w:shd w:val="clear" w:color="000000" w:fill="FFFFFF"/>
            <w:noWrap/>
            <w:vAlign w:val="center"/>
            <w:hideMark/>
          </w:tcPr>
          <w:p w14:paraId="7EE68FA4"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120</w:t>
            </w:r>
          </w:p>
        </w:tc>
        <w:tc>
          <w:tcPr>
            <w:tcW w:w="488" w:type="pct"/>
            <w:tcBorders>
              <w:top w:val="nil"/>
              <w:left w:val="nil"/>
              <w:bottom w:val="nil"/>
              <w:right w:val="nil"/>
            </w:tcBorders>
            <w:shd w:val="clear" w:color="000000" w:fill="FFFFFF"/>
            <w:noWrap/>
            <w:vAlign w:val="center"/>
            <w:hideMark/>
          </w:tcPr>
          <w:p w14:paraId="6E2189ED" w14:textId="77777777" w:rsidR="00FC7D65" w:rsidRPr="00650EE4" w:rsidRDefault="00FC7D65" w:rsidP="00FC7D6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76" w:type="pct"/>
            <w:tcBorders>
              <w:top w:val="nil"/>
              <w:left w:val="single" w:sz="4" w:space="0" w:color="auto"/>
              <w:bottom w:val="nil"/>
              <w:right w:val="single" w:sz="4" w:space="0" w:color="auto"/>
            </w:tcBorders>
            <w:shd w:val="clear" w:color="000000" w:fill="FFFFFF"/>
            <w:noWrap/>
            <w:vAlign w:val="center"/>
            <w:hideMark/>
          </w:tcPr>
          <w:p w14:paraId="17B532F9"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FC7D65" w:rsidRPr="00650EE4" w14:paraId="3F5C82F1" w14:textId="77777777" w:rsidTr="004B0384">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C78FC9"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8" w:type="pct"/>
            <w:tcBorders>
              <w:top w:val="single" w:sz="4" w:space="0" w:color="auto"/>
              <w:left w:val="nil"/>
              <w:bottom w:val="single" w:sz="4" w:space="0" w:color="auto"/>
              <w:right w:val="nil"/>
            </w:tcBorders>
            <w:shd w:val="clear" w:color="000000" w:fill="FFFFFF"/>
            <w:noWrap/>
            <w:vAlign w:val="center"/>
            <w:hideMark/>
          </w:tcPr>
          <w:p w14:paraId="0BE3DF93"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508" w:type="pct"/>
            <w:tcBorders>
              <w:top w:val="single" w:sz="4" w:space="0" w:color="auto"/>
              <w:left w:val="nil"/>
              <w:bottom w:val="single" w:sz="4" w:space="0" w:color="auto"/>
              <w:right w:val="nil"/>
            </w:tcBorders>
            <w:shd w:val="clear" w:color="000000" w:fill="FFFFFF"/>
            <w:noWrap/>
            <w:vAlign w:val="center"/>
            <w:hideMark/>
          </w:tcPr>
          <w:p w14:paraId="4004BDCE"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8" w:type="pct"/>
            <w:tcBorders>
              <w:top w:val="single" w:sz="4" w:space="0" w:color="auto"/>
              <w:left w:val="nil"/>
              <w:bottom w:val="single" w:sz="4" w:space="0" w:color="auto"/>
              <w:right w:val="nil"/>
            </w:tcBorders>
            <w:shd w:val="clear" w:color="000000" w:fill="FFFFFF"/>
            <w:noWrap/>
            <w:vAlign w:val="center"/>
            <w:hideMark/>
          </w:tcPr>
          <w:p w14:paraId="10F2528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single" w:sz="4" w:space="0" w:color="auto"/>
              <w:left w:val="nil"/>
              <w:bottom w:val="single" w:sz="4" w:space="0" w:color="auto"/>
              <w:right w:val="nil"/>
            </w:tcBorders>
            <w:shd w:val="clear" w:color="000000" w:fill="FFFFFF"/>
            <w:noWrap/>
            <w:vAlign w:val="center"/>
            <w:hideMark/>
          </w:tcPr>
          <w:p w14:paraId="3B5555A5"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8" w:type="pct"/>
            <w:tcBorders>
              <w:top w:val="single" w:sz="4" w:space="0" w:color="auto"/>
              <w:left w:val="nil"/>
              <w:bottom w:val="single" w:sz="4" w:space="0" w:color="auto"/>
              <w:right w:val="nil"/>
            </w:tcBorders>
            <w:shd w:val="clear" w:color="000000" w:fill="FFFFFF"/>
            <w:noWrap/>
            <w:vAlign w:val="center"/>
            <w:hideMark/>
          </w:tcPr>
          <w:p w14:paraId="53C368CB"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14:paraId="0A980306"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single" w:sz="4" w:space="0" w:color="auto"/>
              <w:left w:val="nil"/>
              <w:bottom w:val="single" w:sz="4" w:space="0" w:color="auto"/>
              <w:right w:val="nil"/>
            </w:tcBorders>
            <w:shd w:val="clear" w:color="000000" w:fill="FFFFFF"/>
            <w:noWrap/>
            <w:vAlign w:val="center"/>
            <w:hideMark/>
          </w:tcPr>
          <w:p w14:paraId="04B8B767" w14:textId="77777777" w:rsidR="00FC7D65" w:rsidRPr="00650EE4" w:rsidRDefault="00FC7D65" w:rsidP="00FC7D6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60A310" w14:textId="77777777" w:rsidR="00FC7D65" w:rsidRPr="00650EE4" w:rsidRDefault="00FC7D65" w:rsidP="00FC7D6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746100D" w14:textId="382FAAA7" w:rsidR="00CD4824" w:rsidRPr="00650EE4" w:rsidRDefault="00632C0B" w:rsidP="001A209D">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7B0B57" w:rsidRPr="00650EE4">
        <w:rPr>
          <w:rFonts w:ascii="Times New Roman" w:eastAsia="Times New Roman" w:hAnsi="Times New Roman"/>
          <w:i/>
          <w:color w:val="000000" w:themeColor="text1"/>
          <w:sz w:val="20"/>
          <w:szCs w:val="20"/>
        </w:rPr>
        <w:t>Studijos autoriai</w:t>
      </w:r>
    </w:p>
    <w:p w14:paraId="40A831B8" w14:textId="77777777" w:rsidR="008F3EF7" w:rsidRPr="00650EE4" w:rsidRDefault="008F3EF7" w:rsidP="00A842F0">
      <w:pPr>
        <w:spacing w:line="240" w:lineRule="auto"/>
        <w:jc w:val="both"/>
        <w:rPr>
          <w:rFonts w:ascii="Times New Roman" w:hAnsi="Times New Roman"/>
          <w:color w:val="000000" w:themeColor="text1"/>
          <w:szCs w:val="22"/>
        </w:rPr>
      </w:pPr>
    </w:p>
    <w:p w14:paraId="166313C4" w14:textId="6F0D6554" w:rsidR="00A842F0" w:rsidRPr="00650EE4" w:rsidRDefault="00D92B70" w:rsidP="00A842F0">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Agreguoti p</w:t>
      </w:r>
      <w:r w:rsidR="00A842F0" w:rsidRPr="00650EE4">
        <w:rPr>
          <w:rFonts w:ascii="Times New Roman" w:hAnsi="Times New Roman"/>
          <w:color w:val="000000" w:themeColor="text1"/>
          <w:szCs w:val="22"/>
        </w:rPr>
        <w:t>astatų fondo duomenys pagal energinio naudingumo klasę pateikiami paveiksle žemiau.</w:t>
      </w:r>
    </w:p>
    <w:p w14:paraId="504C029F" w14:textId="071C78F1" w:rsidR="004B0F90"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42" w:name="_Toc59094254"/>
      <w:r w:rsidR="00F25C65">
        <w:t>5</w:t>
      </w:r>
      <w:r w:rsidRPr="00650EE4">
        <w:rPr>
          <w:noProof w:val="0"/>
        </w:rPr>
        <w:fldChar w:fldCharType="end"/>
      </w:r>
      <w:r w:rsidR="00171B61" w:rsidRPr="00650EE4">
        <w:rPr>
          <w:noProof w:val="0"/>
        </w:rPr>
        <w:t xml:space="preserve"> paveikslas</w:t>
      </w:r>
      <w:r w:rsidR="004B0F90" w:rsidRPr="00650EE4">
        <w:rPr>
          <w:noProof w:val="0"/>
        </w:rPr>
        <w:t>. Pastatų fondas pagal energ</w:t>
      </w:r>
      <w:r w:rsidR="008E30A3" w:rsidRPr="00650EE4">
        <w:rPr>
          <w:noProof w:val="0"/>
        </w:rPr>
        <w:t>inio naudingumo</w:t>
      </w:r>
      <w:r w:rsidR="004B0F90" w:rsidRPr="00650EE4">
        <w:rPr>
          <w:noProof w:val="0"/>
        </w:rPr>
        <w:t xml:space="preserve"> klasę (agreguotas)</w:t>
      </w:r>
      <w:bookmarkEnd w:id="4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0"/>
      </w:tblGrid>
      <w:tr w:rsidR="002039D8" w:rsidRPr="00650EE4" w14:paraId="178FDB1D" w14:textId="77777777" w:rsidTr="00234179">
        <w:trPr>
          <w:trHeight w:val="3628"/>
        </w:trPr>
        <w:tc>
          <w:tcPr>
            <w:tcW w:w="5000" w:type="pct"/>
          </w:tcPr>
          <w:p w14:paraId="33E5F25E" w14:textId="77CFE375" w:rsidR="008C5FA9" w:rsidRPr="00650EE4" w:rsidRDefault="004B71A9" w:rsidP="004B71A9">
            <w:pPr>
              <w:spacing w:before="60"/>
              <w:rPr>
                <w:rFonts w:ascii="Times New Roman" w:eastAsia="Times New Roman" w:hAnsi="Times New Roman"/>
                <w:i/>
                <w:color w:val="000000" w:themeColor="text1"/>
                <w:sz w:val="20"/>
                <w:szCs w:val="28"/>
              </w:rPr>
            </w:pPr>
            <w:r w:rsidRPr="00650EE4">
              <w:rPr>
                <w:rFonts w:ascii="Times New Roman" w:hAnsi="Times New Roman"/>
                <w:noProof/>
                <w:lang w:eastAsia="lt-LT"/>
              </w:rPr>
              <w:drawing>
                <wp:inline distT="0" distB="0" distL="0" distR="0" wp14:anchorId="001DDD54" wp14:editId="14C0970A">
                  <wp:extent cx="3014980" cy="2179955"/>
                  <wp:effectExtent l="0" t="0" r="13970" b="10795"/>
                  <wp:docPr id="23" name="Chart 2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650EE4">
              <w:rPr>
                <w:rFonts w:ascii="Times New Roman" w:hAnsi="Times New Roman"/>
                <w:noProof/>
                <w:lang w:eastAsia="lt-LT"/>
              </w:rPr>
              <w:drawing>
                <wp:inline distT="0" distB="0" distL="0" distR="0" wp14:anchorId="7D55EFD2" wp14:editId="64DE46D8">
                  <wp:extent cx="3256280" cy="2186305"/>
                  <wp:effectExtent l="0" t="0" r="1270" b="4445"/>
                  <wp:docPr id="24" name="Chart 2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A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2039D8" w:rsidRPr="00650EE4">
              <w:rPr>
                <w:rFonts w:ascii="Times New Roman" w:eastAsia="Times New Roman" w:hAnsi="Times New Roman"/>
                <w:i/>
                <w:color w:val="000000" w:themeColor="text1"/>
                <w:sz w:val="20"/>
                <w:szCs w:val="28"/>
              </w:rPr>
              <w:t xml:space="preserve"> </w:t>
            </w:r>
          </w:p>
        </w:tc>
      </w:tr>
    </w:tbl>
    <w:p w14:paraId="473EB353" w14:textId="2CF20234" w:rsidR="008E30A3" w:rsidRPr="00650EE4" w:rsidRDefault="001A209D" w:rsidP="008E30A3">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w:t>
      </w:r>
      <w:r w:rsidR="008E30A3" w:rsidRPr="00650EE4">
        <w:rPr>
          <w:rFonts w:ascii="Times New Roman" w:eastAsia="Times New Roman" w:hAnsi="Times New Roman"/>
          <w:i/>
          <w:color w:val="000000" w:themeColor="text1"/>
          <w:sz w:val="20"/>
          <w:szCs w:val="28"/>
        </w:rPr>
        <w:t xml:space="preserve"> duomenys (2019.12.31)</w:t>
      </w:r>
    </w:p>
    <w:p w14:paraId="4EECEF78" w14:textId="7313F968" w:rsidR="00CA07B0" w:rsidRPr="00650EE4" w:rsidRDefault="001A209D" w:rsidP="001A209D">
      <w:pPr>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Apibendrinant </w:t>
      </w:r>
      <w:r w:rsidR="00CA07B0" w:rsidRPr="00650EE4">
        <w:rPr>
          <w:rFonts w:ascii="Times New Roman" w:hAnsi="Times New Roman"/>
          <w:color w:val="000000" w:themeColor="text1"/>
          <w:szCs w:val="22"/>
        </w:rPr>
        <w:t>aukščiau pate</w:t>
      </w:r>
      <w:r w:rsidR="008E42DB" w:rsidRPr="00650EE4">
        <w:rPr>
          <w:rFonts w:ascii="Times New Roman" w:hAnsi="Times New Roman"/>
          <w:color w:val="000000" w:themeColor="text1"/>
          <w:szCs w:val="22"/>
        </w:rPr>
        <w:t>i</w:t>
      </w:r>
      <w:r w:rsidR="00CA07B0" w:rsidRPr="00650EE4">
        <w:rPr>
          <w:rFonts w:ascii="Times New Roman" w:hAnsi="Times New Roman"/>
          <w:color w:val="000000" w:themeColor="text1"/>
          <w:szCs w:val="22"/>
        </w:rPr>
        <w:t>ktus duomenis galima pastebėti, kad:</w:t>
      </w:r>
    </w:p>
    <w:p w14:paraId="3C6F92C2" w14:textId="2D0A0F68" w:rsidR="00CA07B0" w:rsidRPr="00650EE4" w:rsidRDefault="001A209D" w:rsidP="00AA4A63">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2/3 (</w:t>
      </w:r>
      <w:r w:rsidR="004748E0" w:rsidRPr="00650EE4">
        <w:rPr>
          <w:rFonts w:ascii="Times New Roman" w:hAnsi="Times New Roman"/>
          <w:color w:val="000000" w:themeColor="text1"/>
          <w:szCs w:val="22"/>
        </w:rPr>
        <w:t>6</w:t>
      </w:r>
      <w:r w:rsidR="00CA07B0" w:rsidRPr="00650EE4">
        <w:rPr>
          <w:rFonts w:ascii="Times New Roman" w:hAnsi="Times New Roman"/>
          <w:color w:val="000000" w:themeColor="text1"/>
          <w:szCs w:val="22"/>
        </w:rPr>
        <w:t>6 proc.</w:t>
      </w:r>
      <w:r w:rsidRPr="00650EE4">
        <w:rPr>
          <w:rFonts w:ascii="Times New Roman" w:hAnsi="Times New Roman"/>
          <w:color w:val="000000" w:themeColor="text1"/>
          <w:szCs w:val="22"/>
        </w:rPr>
        <w:t>)</w:t>
      </w:r>
      <w:r w:rsidR="00CA07B0" w:rsidRPr="00650EE4">
        <w:rPr>
          <w:rFonts w:ascii="Times New Roman" w:hAnsi="Times New Roman"/>
          <w:color w:val="000000" w:themeColor="text1"/>
          <w:szCs w:val="22"/>
        </w:rPr>
        <w:t xml:space="preserve"> </w:t>
      </w:r>
      <w:r w:rsidR="00D92B70">
        <w:rPr>
          <w:rFonts w:ascii="Times New Roman" w:hAnsi="Times New Roman"/>
          <w:color w:val="000000" w:themeColor="text1"/>
          <w:szCs w:val="22"/>
        </w:rPr>
        <w:t>p</w:t>
      </w:r>
      <w:r w:rsidR="002B685E" w:rsidRPr="00650EE4">
        <w:rPr>
          <w:rFonts w:ascii="Times New Roman" w:hAnsi="Times New Roman"/>
          <w:color w:val="000000" w:themeColor="text1"/>
          <w:szCs w:val="22"/>
        </w:rPr>
        <w:t xml:space="preserve">astatų fondo ploto sudaro </w:t>
      </w:r>
      <w:r w:rsidRPr="00650EE4">
        <w:rPr>
          <w:rFonts w:ascii="Times New Roman" w:hAnsi="Times New Roman"/>
          <w:color w:val="000000" w:themeColor="text1"/>
          <w:szCs w:val="22"/>
        </w:rPr>
        <w:t>žemesnės nei C energinio naudingumo klasės pastatai</w:t>
      </w:r>
      <w:r w:rsidR="008640CF" w:rsidRPr="00650EE4">
        <w:rPr>
          <w:rFonts w:ascii="Times New Roman" w:hAnsi="Times New Roman"/>
          <w:color w:val="000000" w:themeColor="text1"/>
          <w:szCs w:val="22"/>
        </w:rPr>
        <w:t xml:space="preserve">. </w:t>
      </w:r>
      <w:r w:rsidR="00412B94" w:rsidRPr="00650EE4">
        <w:rPr>
          <w:rFonts w:ascii="Times New Roman" w:hAnsi="Times New Roman"/>
          <w:color w:val="000000" w:themeColor="text1"/>
          <w:szCs w:val="22"/>
        </w:rPr>
        <w:t xml:space="preserve">Šis segmentas yra prioritetinis IRS kontekste. </w:t>
      </w:r>
    </w:p>
    <w:p w14:paraId="5ABD8702" w14:textId="259B9A14" w:rsidR="002B685E" w:rsidRPr="00650EE4" w:rsidRDefault="004748E0" w:rsidP="00AA4A63">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2</w:t>
      </w:r>
      <w:r w:rsidR="00412B94" w:rsidRPr="00650EE4">
        <w:rPr>
          <w:rFonts w:ascii="Times New Roman" w:hAnsi="Times New Roman"/>
          <w:color w:val="000000" w:themeColor="text1"/>
          <w:szCs w:val="22"/>
        </w:rPr>
        <w:t>0</w:t>
      </w:r>
      <w:r w:rsidR="002B685E" w:rsidRPr="00650EE4">
        <w:rPr>
          <w:rFonts w:ascii="Times New Roman" w:hAnsi="Times New Roman"/>
          <w:color w:val="000000" w:themeColor="text1"/>
          <w:szCs w:val="22"/>
        </w:rPr>
        <w:t xml:space="preserve"> </w:t>
      </w:r>
      <w:r w:rsidR="00CA07B0" w:rsidRPr="00650EE4">
        <w:rPr>
          <w:rFonts w:ascii="Times New Roman" w:hAnsi="Times New Roman"/>
          <w:color w:val="000000" w:themeColor="text1"/>
          <w:szCs w:val="22"/>
        </w:rPr>
        <w:t xml:space="preserve">proc. </w:t>
      </w:r>
      <w:r w:rsidR="00D92B70">
        <w:rPr>
          <w:rFonts w:ascii="Times New Roman" w:hAnsi="Times New Roman"/>
          <w:color w:val="000000" w:themeColor="text1"/>
          <w:szCs w:val="22"/>
        </w:rPr>
        <w:t>p</w:t>
      </w:r>
      <w:r w:rsidR="002B685E" w:rsidRPr="00650EE4">
        <w:rPr>
          <w:rFonts w:ascii="Times New Roman" w:hAnsi="Times New Roman"/>
          <w:color w:val="000000" w:themeColor="text1"/>
          <w:szCs w:val="22"/>
        </w:rPr>
        <w:t xml:space="preserve">astatų fondo ploto </w:t>
      </w:r>
      <w:r w:rsidR="00CA07B0" w:rsidRPr="00650EE4">
        <w:rPr>
          <w:rFonts w:ascii="Times New Roman" w:hAnsi="Times New Roman"/>
          <w:color w:val="000000" w:themeColor="text1"/>
          <w:szCs w:val="22"/>
        </w:rPr>
        <w:t xml:space="preserve">sudaro </w:t>
      </w:r>
      <w:r w:rsidR="00412B94" w:rsidRPr="00650EE4">
        <w:rPr>
          <w:rFonts w:ascii="Times New Roman" w:hAnsi="Times New Roman"/>
          <w:color w:val="000000" w:themeColor="text1"/>
          <w:szCs w:val="22"/>
        </w:rPr>
        <w:t>C energinio naudingumo klasės pastatai. Šis segmentas nėra prioritetinis trumpalaikėje perspektyvoje, tačiau yra pakankamai reikšmingas ir gali būti svarbus ilgalaikėje perspektyvoje</w:t>
      </w:r>
      <w:r w:rsidR="008B6B3B" w:rsidRPr="00650EE4">
        <w:rPr>
          <w:rFonts w:ascii="Times New Roman" w:hAnsi="Times New Roman"/>
          <w:color w:val="000000" w:themeColor="text1"/>
          <w:szCs w:val="22"/>
        </w:rPr>
        <w:t>.</w:t>
      </w:r>
    </w:p>
    <w:p w14:paraId="1F5DF26C" w14:textId="50BAFD7E" w:rsidR="00CA07B0" w:rsidRPr="00650EE4" w:rsidRDefault="002B685E" w:rsidP="00D95E92">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1</w:t>
      </w:r>
      <w:r w:rsidR="00412B94" w:rsidRPr="00650EE4">
        <w:rPr>
          <w:rFonts w:ascii="Times New Roman" w:hAnsi="Times New Roman"/>
          <w:color w:val="000000" w:themeColor="text1"/>
          <w:szCs w:val="22"/>
        </w:rPr>
        <w:t>4</w:t>
      </w:r>
      <w:r w:rsidR="00D92B70">
        <w:rPr>
          <w:rFonts w:ascii="Times New Roman" w:hAnsi="Times New Roman"/>
          <w:color w:val="000000" w:themeColor="text1"/>
          <w:szCs w:val="22"/>
        </w:rPr>
        <w:t xml:space="preserve"> proc. p</w:t>
      </w:r>
      <w:r w:rsidRPr="00650EE4">
        <w:rPr>
          <w:rFonts w:ascii="Times New Roman" w:hAnsi="Times New Roman"/>
          <w:color w:val="000000" w:themeColor="text1"/>
          <w:szCs w:val="22"/>
        </w:rPr>
        <w:t xml:space="preserve">astatų fondo ploto sudaro </w:t>
      </w:r>
      <w:r w:rsidR="008B6B3B" w:rsidRPr="00650EE4">
        <w:rPr>
          <w:rFonts w:ascii="Times New Roman" w:hAnsi="Times New Roman"/>
          <w:color w:val="000000" w:themeColor="text1"/>
          <w:szCs w:val="22"/>
        </w:rPr>
        <w:t>pastatai su B ar aukštesne ENK</w:t>
      </w:r>
      <w:r w:rsidR="00E87C05" w:rsidRPr="00650EE4">
        <w:rPr>
          <w:rFonts w:ascii="Times New Roman" w:hAnsi="Times New Roman"/>
          <w:color w:val="000000" w:themeColor="text1"/>
          <w:szCs w:val="22"/>
        </w:rPr>
        <w:t xml:space="preserve">. </w:t>
      </w:r>
    </w:p>
    <w:p w14:paraId="26C99B2D" w14:textId="1A8B616C" w:rsidR="00497971" w:rsidRPr="00650EE4" w:rsidRDefault="00497971" w:rsidP="00D95E92">
      <w:pPr>
        <w:pStyle w:val="BodyText"/>
        <w:jc w:val="both"/>
        <w:rPr>
          <w:rFonts w:ascii="Times New Roman" w:hAnsi="Times New Roman"/>
          <w:color w:val="000000" w:themeColor="text1"/>
          <w:szCs w:val="22"/>
          <w:lang w:val="lt-LT"/>
        </w:rPr>
      </w:pPr>
    </w:p>
    <w:p w14:paraId="694B5DAD" w14:textId="5D1D8B13" w:rsidR="00C050E2" w:rsidRPr="00650EE4" w:rsidRDefault="007D712B" w:rsidP="00C45739">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43" w:name="_Toc59107508"/>
      <w:r w:rsidRPr="00650EE4">
        <w:rPr>
          <w:rFonts w:ascii="Times New Roman" w:hAnsi="Times New Roman"/>
          <w:color w:val="auto"/>
          <w:sz w:val="24"/>
          <w:szCs w:val="24"/>
          <w:lang w:val="lt-LT"/>
        </w:rPr>
        <w:t>P</w:t>
      </w:r>
      <w:r w:rsidR="009F54BF" w:rsidRPr="00650EE4">
        <w:rPr>
          <w:rFonts w:ascii="Times New Roman" w:hAnsi="Times New Roman"/>
          <w:color w:val="auto"/>
          <w:sz w:val="24"/>
          <w:szCs w:val="24"/>
          <w:lang w:val="lt-LT"/>
        </w:rPr>
        <w:t>astatų fondo e</w:t>
      </w:r>
      <w:r w:rsidR="00D464D7" w:rsidRPr="00650EE4">
        <w:rPr>
          <w:rFonts w:ascii="Times New Roman" w:hAnsi="Times New Roman"/>
          <w:color w:val="auto"/>
          <w:sz w:val="24"/>
          <w:szCs w:val="24"/>
          <w:lang w:val="lt-LT"/>
        </w:rPr>
        <w:t xml:space="preserve">nergijos </w:t>
      </w:r>
      <w:r w:rsidR="009F54BF" w:rsidRPr="00650EE4">
        <w:rPr>
          <w:rFonts w:ascii="Times New Roman" w:hAnsi="Times New Roman"/>
          <w:color w:val="auto"/>
          <w:sz w:val="24"/>
          <w:szCs w:val="24"/>
          <w:lang w:val="lt-LT"/>
        </w:rPr>
        <w:t>vartojimas</w:t>
      </w:r>
      <w:bookmarkEnd w:id="43"/>
    </w:p>
    <w:p w14:paraId="7F5EAF72" w14:textId="74D9AE25" w:rsidR="006902B3" w:rsidRPr="00650EE4" w:rsidRDefault="007A52B6" w:rsidP="00412B94">
      <w:pPr>
        <w:jc w:val="both"/>
        <w:rPr>
          <w:rFonts w:ascii="Times New Roman" w:hAnsi="Times New Roman"/>
          <w:color w:val="000000" w:themeColor="text1"/>
          <w:szCs w:val="22"/>
        </w:rPr>
      </w:pPr>
      <w:r>
        <w:rPr>
          <w:rFonts w:ascii="Times New Roman" w:hAnsi="Times New Roman"/>
          <w:color w:val="000000" w:themeColor="text1"/>
          <w:szCs w:val="22"/>
        </w:rPr>
        <w:t>Šiame skyriuje pateikiama p</w:t>
      </w:r>
      <w:r w:rsidR="006902B3" w:rsidRPr="00650EE4">
        <w:rPr>
          <w:rFonts w:ascii="Times New Roman" w:hAnsi="Times New Roman"/>
          <w:color w:val="000000" w:themeColor="text1"/>
          <w:szCs w:val="22"/>
        </w:rPr>
        <w:t xml:space="preserve">astatų fondo </w:t>
      </w:r>
      <w:r w:rsidR="007E337B" w:rsidRPr="00650EE4">
        <w:rPr>
          <w:rFonts w:ascii="Times New Roman" w:hAnsi="Times New Roman"/>
          <w:color w:val="000000" w:themeColor="text1"/>
          <w:szCs w:val="22"/>
        </w:rPr>
        <w:t xml:space="preserve">galutinės ir </w:t>
      </w:r>
      <w:r w:rsidR="00F60E58" w:rsidRPr="00650EE4">
        <w:rPr>
          <w:rFonts w:ascii="Times New Roman" w:hAnsi="Times New Roman"/>
          <w:color w:val="000000" w:themeColor="text1"/>
          <w:szCs w:val="22"/>
        </w:rPr>
        <w:t xml:space="preserve">pirminės </w:t>
      </w:r>
      <w:r w:rsidR="006902B3" w:rsidRPr="00650EE4">
        <w:rPr>
          <w:rFonts w:ascii="Times New Roman" w:hAnsi="Times New Roman"/>
          <w:color w:val="000000" w:themeColor="text1"/>
          <w:szCs w:val="22"/>
        </w:rPr>
        <w:t xml:space="preserve">energijos vartojimo apžvalga. </w:t>
      </w:r>
      <w:r w:rsidR="0088190D" w:rsidRPr="00650EE4">
        <w:rPr>
          <w:rFonts w:ascii="Times New Roman" w:hAnsi="Times New Roman"/>
          <w:color w:val="000000" w:themeColor="text1"/>
          <w:szCs w:val="22"/>
        </w:rPr>
        <w:t>Remiantis PEND, pastatų energijos vartojimui išreikšti naudojama</w:t>
      </w:r>
      <w:r w:rsidR="000E6E95" w:rsidRPr="00650EE4">
        <w:rPr>
          <w:rFonts w:ascii="Times New Roman" w:hAnsi="Times New Roman"/>
          <w:color w:val="000000" w:themeColor="text1"/>
          <w:szCs w:val="22"/>
        </w:rPr>
        <w:t xml:space="preserve">s pastatų </w:t>
      </w:r>
      <w:r w:rsidR="0088190D" w:rsidRPr="00650EE4">
        <w:rPr>
          <w:rFonts w:ascii="Times New Roman" w:hAnsi="Times New Roman"/>
          <w:color w:val="000000" w:themeColor="text1"/>
          <w:szCs w:val="22"/>
        </w:rPr>
        <w:t>energinis naudingumas, kuris išreiškiamas „suvartojamos pirminės energijos skaitiniu rodikliu (kilovatvalandėmis (</w:t>
      </w:r>
      <w:proofErr w:type="spellStart"/>
      <w:r w:rsidR="0088190D" w:rsidRPr="00650EE4">
        <w:rPr>
          <w:rFonts w:ascii="Times New Roman" w:hAnsi="Times New Roman"/>
          <w:color w:val="000000" w:themeColor="text1"/>
          <w:szCs w:val="22"/>
        </w:rPr>
        <w:t>kWh</w:t>
      </w:r>
      <w:proofErr w:type="spellEnd"/>
      <w:r w:rsidR="0088190D" w:rsidRPr="00650EE4">
        <w:rPr>
          <w:rFonts w:ascii="Times New Roman" w:hAnsi="Times New Roman"/>
          <w:color w:val="000000" w:themeColor="text1"/>
          <w:szCs w:val="22"/>
        </w:rPr>
        <w:t>) vienam kvadratiniam metrui (m</w:t>
      </w:r>
      <w:r w:rsidR="0088190D" w:rsidRPr="00650EE4">
        <w:rPr>
          <w:rFonts w:ascii="Times New Roman" w:hAnsi="Times New Roman"/>
          <w:color w:val="000000" w:themeColor="text1"/>
          <w:szCs w:val="22"/>
          <w:vertAlign w:val="superscript"/>
        </w:rPr>
        <w:t>2</w:t>
      </w:r>
      <w:r w:rsidR="0088190D" w:rsidRPr="00650EE4">
        <w:rPr>
          <w:rFonts w:ascii="Times New Roman" w:hAnsi="Times New Roman"/>
          <w:color w:val="000000" w:themeColor="text1"/>
          <w:szCs w:val="22"/>
        </w:rPr>
        <w:t>) per metus)“</w:t>
      </w:r>
      <w:r w:rsidR="0088190D" w:rsidRPr="00650EE4">
        <w:rPr>
          <w:rStyle w:val="FootnoteReference"/>
          <w:rFonts w:ascii="Times New Roman" w:hAnsi="Times New Roman"/>
          <w:color w:val="000000" w:themeColor="text1"/>
          <w:szCs w:val="22"/>
        </w:rPr>
        <w:footnoteReference w:id="6"/>
      </w:r>
      <w:r w:rsidR="0088190D" w:rsidRPr="00650EE4">
        <w:rPr>
          <w:rFonts w:ascii="Times New Roman" w:hAnsi="Times New Roman"/>
          <w:color w:val="000000" w:themeColor="text1"/>
          <w:szCs w:val="22"/>
        </w:rPr>
        <w:t>.</w:t>
      </w:r>
    </w:p>
    <w:p w14:paraId="4B733ECB" w14:textId="77777777" w:rsidR="002A5C25" w:rsidRPr="00650EE4" w:rsidRDefault="002A5C25" w:rsidP="00412B94">
      <w:pPr>
        <w:jc w:val="both"/>
        <w:rPr>
          <w:rFonts w:ascii="Times New Roman" w:hAnsi="Times New Roman"/>
          <w:color w:val="000000" w:themeColor="text1"/>
          <w:szCs w:val="22"/>
        </w:rPr>
      </w:pPr>
    </w:p>
    <w:p w14:paraId="6EF39DD1" w14:textId="49728811" w:rsidR="007E337B" w:rsidRPr="00650EE4" w:rsidRDefault="00C80AF0" w:rsidP="00412B94">
      <w:pPr>
        <w:spacing w:line="240" w:lineRule="auto"/>
        <w:jc w:val="both"/>
        <w:rPr>
          <w:rFonts w:ascii="Times New Roman" w:hAnsi="Times New Roman"/>
          <w:color w:val="auto"/>
          <w:szCs w:val="22"/>
        </w:rPr>
      </w:pPr>
      <w:r w:rsidRPr="00650EE4">
        <w:rPr>
          <w:rFonts w:ascii="Times New Roman" w:hAnsi="Times New Roman"/>
          <w:color w:val="000000" w:themeColor="text1"/>
          <w:szCs w:val="22"/>
        </w:rPr>
        <w:t>Pastatų vartojamos energijos</w:t>
      </w:r>
      <w:r w:rsidR="00935EF6" w:rsidRPr="00650EE4">
        <w:rPr>
          <w:rFonts w:ascii="Times New Roman" w:hAnsi="Times New Roman"/>
          <w:color w:val="000000" w:themeColor="text1"/>
          <w:szCs w:val="22"/>
        </w:rPr>
        <w:t xml:space="preserve"> (energinio naudingumo)</w:t>
      </w:r>
      <w:r w:rsidRPr="00650EE4">
        <w:rPr>
          <w:rFonts w:ascii="Times New Roman" w:hAnsi="Times New Roman"/>
          <w:color w:val="000000" w:themeColor="text1"/>
          <w:szCs w:val="22"/>
        </w:rPr>
        <w:t xml:space="preserve"> apskaičiavimas yra</w:t>
      </w:r>
      <w:r w:rsidR="00A45646" w:rsidRPr="00650EE4">
        <w:rPr>
          <w:rFonts w:ascii="Times New Roman" w:hAnsi="Times New Roman"/>
          <w:color w:val="000000" w:themeColor="text1"/>
          <w:szCs w:val="22"/>
        </w:rPr>
        <w:t xml:space="preserve"> bazinis renovacijos modeliavimo </w:t>
      </w:r>
      <w:r w:rsidR="007E337B" w:rsidRPr="00650EE4">
        <w:rPr>
          <w:rFonts w:ascii="Times New Roman" w:hAnsi="Times New Roman"/>
          <w:color w:val="000000" w:themeColor="text1"/>
          <w:szCs w:val="22"/>
        </w:rPr>
        <w:t xml:space="preserve">ir strategijos rengimo </w:t>
      </w:r>
      <w:r w:rsidR="00A45646" w:rsidRPr="00650EE4">
        <w:rPr>
          <w:rFonts w:ascii="Times New Roman" w:hAnsi="Times New Roman"/>
          <w:color w:val="000000" w:themeColor="text1"/>
          <w:szCs w:val="22"/>
        </w:rPr>
        <w:t xml:space="preserve">etapas. </w:t>
      </w:r>
      <w:r w:rsidR="00A45646" w:rsidRPr="00650EE4">
        <w:rPr>
          <w:rFonts w:ascii="Times New Roman" w:hAnsi="Times New Roman"/>
          <w:color w:val="auto"/>
          <w:szCs w:val="22"/>
        </w:rPr>
        <w:t xml:space="preserve">Atsižvelgiant į </w:t>
      </w:r>
      <w:r w:rsidR="00E71C63" w:rsidRPr="00650EE4">
        <w:rPr>
          <w:rFonts w:ascii="Times New Roman" w:hAnsi="Times New Roman"/>
          <w:color w:val="auto"/>
          <w:szCs w:val="22"/>
        </w:rPr>
        <w:t>jo</w:t>
      </w:r>
      <w:r w:rsidR="00A45646" w:rsidRPr="00650EE4">
        <w:rPr>
          <w:rFonts w:ascii="Times New Roman" w:hAnsi="Times New Roman"/>
          <w:color w:val="auto"/>
          <w:szCs w:val="22"/>
        </w:rPr>
        <w:t xml:space="preserve"> rezultatus, vėle</w:t>
      </w:r>
      <w:r w:rsidR="00720169" w:rsidRPr="00650EE4">
        <w:rPr>
          <w:rFonts w:ascii="Times New Roman" w:hAnsi="Times New Roman"/>
          <w:color w:val="auto"/>
          <w:szCs w:val="22"/>
        </w:rPr>
        <w:t>s</w:t>
      </w:r>
      <w:r w:rsidR="00A45646" w:rsidRPr="00650EE4">
        <w:rPr>
          <w:rFonts w:ascii="Times New Roman" w:hAnsi="Times New Roman"/>
          <w:color w:val="auto"/>
          <w:szCs w:val="22"/>
        </w:rPr>
        <w:t xml:space="preserve">niuose etapuose </w:t>
      </w:r>
      <w:r w:rsidR="007E337B" w:rsidRPr="00650EE4">
        <w:rPr>
          <w:rFonts w:ascii="Times New Roman" w:hAnsi="Times New Roman"/>
          <w:color w:val="auto"/>
          <w:szCs w:val="22"/>
        </w:rPr>
        <w:t>vertinam</w:t>
      </w:r>
      <w:r w:rsidR="00E71C63" w:rsidRPr="00650EE4">
        <w:rPr>
          <w:rFonts w:ascii="Times New Roman" w:hAnsi="Times New Roman"/>
          <w:color w:val="auto"/>
          <w:szCs w:val="22"/>
        </w:rPr>
        <w:t>i</w:t>
      </w:r>
      <w:r w:rsidR="007E337B" w:rsidRPr="00650EE4">
        <w:rPr>
          <w:rFonts w:ascii="Times New Roman" w:hAnsi="Times New Roman"/>
          <w:color w:val="auto"/>
          <w:szCs w:val="22"/>
        </w:rPr>
        <w:t xml:space="preserve"> ekonomiškai efektyviausi renovacijos </w:t>
      </w:r>
      <w:r w:rsidR="00E71C63" w:rsidRPr="00650EE4">
        <w:rPr>
          <w:rFonts w:ascii="Times New Roman" w:hAnsi="Times New Roman"/>
          <w:color w:val="auto"/>
          <w:szCs w:val="22"/>
        </w:rPr>
        <w:t>būdai</w:t>
      </w:r>
      <w:r w:rsidR="007E337B" w:rsidRPr="00650EE4">
        <w:rPr>
          <w:rFonts w:ascii="Times New Roman" w:hAnsi="Times New Roman"/>
          <w:color w:val="auto"/>
          <w:szCs w:val="22"/>
        </w:rPr>
        <w:t xml:space="preserve"> (žr. </w:t>
      </w:r>
      <w:r w:rsidR="009C5BEC">
        <w:rPr>
          <w:rFonts w:ascii="Times New Roman" w:hAnsi="Times New Roman"/>
          <w:color w:val="auto"/>
          <w:szCs w:val="22"/>
        </w:rPr>
        <w:t>2</w:t>
      </w:r>
      <w:r w:rsidR="007E337B" w:rsidRPr="00650EE4">
        <w:rPr>
          <w:rFonts w:ascii="Times New Roman" w:hAnsi="Times New Roman"/>
          <w:color w:val="auto"/>
          <w:szCs w:val="22"/>
        </w:rPr>
        <w:t xml:space="preserve"> skyrių), nustatomi renovacijos tikslai (žr. </w:t>
      </w:r>
      <w:r w:rsidR="009C5BEC">
        <w:rPr>
          <w:rFonts w:ascii="Times New Roman" w:hAnsi="Times New Roman"/>
          <w:color w:val="auto"/>
          <w:szCs w:val="22"/>
        </w:rPr>
        <w:t>4</w:t>
      </w:r>
      <w:r w:rsidR="007E337B" w:rsidRPr="00650EE4">
        <w:rPr>
          <w:rFonts w:ascii="Times New Roman" w:hAnsi="Times New Roman"/>
          <w:color w:val="auto"/>
          <w:szCs w:val="22"/>
        </w:rPr>
        <w:t xml:space="preserve"> skyrių), </w:t>
      </w:r>
      <w:r w:rsidR="007E337B" w:rsidRPr="00650EE4">
        <w:rPr>
          <w:rFonts w:ascii="Times New Roman" w:hAnsi="Times New Roman"/>
          <w:color w:val="000000" w:themeColor="text1"/>
          <w:szCs w:val="22"/>
        </w:rPr>
        <w:t xml:space="preserve">siūlomos renovacijos strategijos įgyvendinimo priemonės (žr. </w:t>
      </w:r>
      <w:r w:rsidR="009C5BEC">
        <w:rPr>
          <w:rFonts w:ascii="Times New Roman" w:hAnsi="Times New Roman"/>
          <w:color w:val="000000" w:themeColor="text1"/>
          <w:szCs w:val="22"/>
        </w:rPr>
        <w:t>5</w:t>
      </w:r>
      <w:r w:rsidR="007E337B" w:rsidRPr="00650EE4">
        <w:rPr>
          <w:rFonts w:ascii="Times New Roman" w:hAnsi="Times New Roman"/>
          <w:color w:val="000000" w:themeColor="text1"/>
          <w:szCs w:val="22"/>
        </w:rPr>
        <w:t xml:space="preserve"> skyrių).</w:t>
      </w:r>
    </w:p>
    <w:p w14:paraId="24BE49D4" w14:textId="036257FA" w:rsidR="007E337B" w:rsidRPr="00650EE4" w:rsidRDefault="007E337B" w:rsidP="00412B94">
      <w:pPr>
        <w:spacing w:line="240" w:lineRule="auto"/>
        <w:jc w:val="both"/>
        <w:rPr>
          <w:rFonts w:ascii="Times New Roman" w:hAnsi="Times New Roman"/>
          <w:color w:val="000000" w:themeColor="text1"/>
          <w:szCs w:val="22"/>
        </w:rPr>
      </w:pPr>
    </w:p>
    <w:p w14:paraId="627BCC98" w14:textId="41C4384F" w:rsidR="006902B3" w:rsidRPr="00650EE4" w:rsidRDefault="0088190D" w:rsidP="00412B94">
      <w:pPr>
        <w:spacing w:line="240" w:lineRule="auto"/>
        <w:jc w:val="both"/>
        <w:rPr>
          <w:rFonts w:ascii="Times New Roman" w:eastAsia="Times New Roman" w:hAnsi="Times New Roman"/>
          <w:color w:val="500050"/>
          <w:szCs w:val="22"/>
          <w:shd w:val="clear" w:color="auto" w:fill="FFFFFF"/>
        </w:rPr>
      </w:pPr>
      <w:r w:rsidRPr="00650EE4">
        <w:rPr>
          <w:rFonts w:ascii="Times New Roman" w:hAnsi="Times New Roman"/>
          <w:color w:val="000000" w:themeColor="text1"/>
          <w:szCs w:val="22"/>
        </w:rPr>
        <w:t xml:space="preserve">Remiantis PEND, įprastas pastatų energijos vartojimas apima energiją, vartojamą patalpų šildymo, patalpų vėsinimo, buitinio karšto vandens, vėdinimo, įmontuoto apšvietimo ir kitų techninių pastato sistemų reikmėms. </w:t>
      </w:r>
      <w:r w:rsidR="007C33E0" w:rsidRPr="00650EE4">
        <w:rPr>
          <w:rFonts w:ascii="Times New Roman" w:hAnsi="Times New Roman"/>
          <w:color w:val="000000" w:themeColor="text1"/>
          <w:szCs w:val="22"/>
        </w:rPr>
        <w:t>Pagal energijos pobūdį, p</w:t>
      </w:r>
      <w:r w:rsidR="006902B3" w:rsidRPr="00650EE4">
        <w:rPr>
          <w:rFonts w:ascii="Times New Roman" w:eastAsia="Times New Roman" w:hAnsi="Times New Roman"/>
          <w:szCs w:val="22"/>
          <w:shd w:val="clear" w:color="auto" w:fill="FFFFFF"/>
        </w:rPr>
        <w:t>astatų fondo energijos vartojimą</w:t>
      </w:r>
      <w:r w:rsidRPr="00650EE4">
        <w:rPr>
          <w:rFonts w:ascii="Times New Roman" w:eastAsia="Times New Roman" w:hAnsi="Times New Roman"/>
          <w:szCs w:val="22"/>
          <w:shd w:val="clear" w:color="auto" w:fill="FFFFFF"/>
        </w:rPr>
        <w:t xml:space="preserve"> </w:t>
      </w:r>
      <w:r w:rsidR="006902B3" w:rsidRPr="00650EE4">
        <w:rPr>
          <w:rFonts w:ascii="Times New Roman" w:eastAsia="Times New Roman" w:hAnsi="Times New Roman"/>
          <w:szCs w:val="22"/>
          <w:shd w:val="clear" w:color="auto" w:fill="FFFFFF"/>
        </w:rPr>
        <w:t>sudaro</w:t>
      </w:r>
      <w:r w:rsidR="00A45646" w:rsidRPr="00650EE4">
        <w:rPr>
          <w:rFonts w:ascii="Times New Roman" w:eastAsia="Times New Roman" w:hAnsi="Times New Roman"/>
          <w:szCs w:val="22"/>
          <w:shd w:val="clear" w:color="auto" w:fill="FFFFFF"/>
        </w:rPr>
        <w:t xml:space="preserve"> trys esminia</w:t>
      </w:r>
      <w:r w:rsidR="00E71C63" w:rsidRPr="00650EE4">
        <w:rPr>
          <w:rFonts w:ascii="Times New Roman" w:eastAsia="Times New Roman" w:hAnsi="Times New Roman"/>
          <w:szCs w:val="22"/>
          <w:shd w:val="clear" w:color="auto" w:fill="FFFFFF"/>
        </w:rPr>
        <w:t>i</w:t>
      </w:r>
      <w:r w:rsidR="00A45646" w:rsidRPr="00650EE4">
        <w:rPr>
          <w:rFonts w:ascii="Times New Roman" w:eastAsia="Times New Roman" w:hAnsi="Times New Roman"/>
          <w:szCs w:val="22"/>
          <w:shd w:val="clear" w:color="auto" w:fill="FFFFFF"/>
        </w:rPr>
        <w:t xml:space="preserve"> komponentai</w:t>
      </w:r>
      <w:r w:rsidR="006902B3" w:rsidRPr="00650EE4">
        <w:rPr>
          <w:rFonts w:ascii="Times New Roman" w:eastAsia="Times New Roman" w:hAnsi="Times New Roman"/>
          <w:szCs w:val="22"/>
          <w:shd w:val="clear" w:color="auto" w:fill="FFFFFF"/>
        </w:rPr>
        <w:t>:</w:t>
      </w:r>
    </w:p>
    <w:p w14:paraId="4264CC58" w14:textId="5CD7370C" w:rsidR="006902B3" w:rsidRPr="00650EE4" w:rsidRDefault="00D92B70" w:rsidP="005F63D6">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6902B3" w:rsidRPr="00650EE4">
        <w:rPr>
          <w:rFonts w:ascii="Times New Roman" w:hAnsi="Times New Roman"/>
          <w:color w:val="000000" w:themeColor="text1"/>
          <w:szCs w:val="22"/>
        </w:rPr>
        <w:t xml:space="preserve">iluminė energija </w:t>
      </w:r>
      <w:r w:rsidR="00D36EEC" w:rsidRPr="00650EE4">
        <w:rPr>
          <w:rFonts w:ascii="Times New Roman" w:hAnsi="Times New Roman"/>
          <w:color w:val="000000" w:themeColor="text1"/>
          <w:szCs w:val="22"/>
        </w:rPr>
        <w:t xml:space="preserve">pastatui </w:t>
      </w:r>
      <w:r w:rsidR="006902B3" w:rsidRPr="00650EE4">
        <w:rPr>
          <w:rFonts w:ascii="Times New Roman" w:hAnsi="Times New Roman"/>
          <w:color w:val="000000" w:themeColor="text1"/>
          <w:szCs w:val="22"/>
        </w:rPr>
        <w:t>šildy</w:t>
      </w:r>
      <w:r w:rsidR="00D36EEC" w:rsidRPr="00650EE4">
        <w:rPr>
          <w:rFonts w:ascii="Times New Roman" w:hAnsi="Times New Roman"/>
          <w:color w:val="000000" w:themeColor="text1"/>
          <w:szCs w:val="22"/>
        </w:rPr>
        <w:t>ti</w:t>
      </w:r>
      <w:r w:rsidR="006902B3" w:rsidRPr="00650EE4">
        <w:rPr>
          <w:rFonts w:ascii="Times New Roman" w:hAnsi="Times New Roman"/>
          <w:color w:val="000000" w:themeColor="text1"/>
          <w:szCs w:val="22"/>
        </w:rPr>
        <w:t>;</w:t>
      </w:r>
    </w:p>
    <w:p w14:paraId="30001FBD" w14:textId="6F941CB2" w:rsidR="006902B3" w:rsidRPr="00650EE4" w:rsidRDefault="00D92B70" w:rsidP="00F60E5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6902B3" w:rsidRPr="00650EE4">
        <w:rPr>
          <w:rFonts w:ascii="Times New Roman" w:hAnsi="Times New Roman"/>
          <w:color w:val="000000" w:themeColor="text1"/>
          <w:szCs w:val="22"/>
        </w:rPr>
        <w:t>iluminė energija karštam vandeniui</w:t>
      </w:r>
      <w:r w:rsidR="00D36EEC" w:rsidRPr="00650EE4">
        <w:rPr>
          <w:rFonts w:ascii="Times New Roman" w:hAnsi="Times New Roman"/>
          <w:color w:val="000000" w:themeColor="text1"/>
          <w:szCs w:val="22"/>
        </w:rPr>
        <w:t xml:space="preserve"> ruošti</w:t>
      </w:r>
      <w:r w:rsidR="006902B3" w:rsidRPr="00650EE4">
        <w:rPr>
          <w:rFonts w:ascii="Times New Roman" w:hAnsi="Times New Roman"/>
          <w:color w:val="000000" w:themeColor="text1"/>
          <w:szCs w:val="22"/>
        </w:rPr>
        <w:t>;</w:t>
      </w:r>
    </w:p>
    <w:p w14:paraId="0FCE725A" w14:textId="300ABCF4" w:rsidR="006902B3" w:rsidRPr="00650EE4" w:rsidRDefault="00D92B70" w:rsidP="00332BCF">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e</w:t>
      </w:r>
      <w:r w:rsidR="006902B3" w:rsidRPr="00650EE4">
        <w:rPr>
          <w:rFonts w:ascii="Times New Roman" w:hAnsi="Times New Roman"/>
          <w:color w:val="000000" w:themeColor="text1"/>
          <w:szCs w:val="22"/>
        </w:rPr>
        <w:t>lektros energija.</w:t>
      </w:r>
    </w:p>
    <w:p w14:paraId="0875E5E2" w14:textId="77777777" w:rsidR="00412B94" w:rsidRPr="00650EE4" w:rsidRDefault="00412B94" w:rsidP="0088190D">
      <w:pPr>
        <w:pStyle w:val="Pagrindinispaprastastekstas"/>
        <w:rPr>
          <w:rFonts w:ascii="Times New Roman" w:hAnsi="Times New Roman"/>
          <w:color w:val="000000" w:themeColor="text1"/>
          <w:szCs w:val="22"/>
        </w:rPr>
      </w:pPr>
    </w:p>
    <w:p w14:paraId="507549EB" w14:textId="198BCBC0" w:rsidR="000666AF" w:rsidRPr="00650EE4" w:rsidRDefault="0088190D" w:rsidP="008143FF">
      <w:pPr>
        <w:jc w:val="both"/>
        <w:rPr>
          <w:rFonts w:ascii="Times New Roman" w:hAnsi="Times New Roman"/>
          <w:color w:val="000000" w:themeColor="text1"/>
          <w:szCs w:val="22"/>
        </w:rPr>
      </w:pPr>
      <w:r w:rsidRPr="00650EE4">
        <w:rPr>
          <w:rFonts w:ascii="Times New Roman" w:hAnsi="Times New Roman"/>
          <w:color w:val="000000" w:themeColor="text1"/>
          <w:szCs w:val="22"/>
        </w:rPr>
        <w:t>PEND</w:t>
      </w:r>
      <w:r w:rsidR="0018397D" w:rsidRPr="00650EE4">
        <w:rPr>
          <w:rFonts w:ascii="Times New Roman" w:hAnsi="Times New Roman"/>
          <w:color w:val="000000" w:themeColor="text1"/>
          <w:szCs w:val="22"/>
        </w:rPr>
        <w:t xml:space="preserve"> numato</w:t>
      </w:r>
      <w:r w:rsidRPr="00650EE4">
        <w:rPr>
          <w:rFonts w:ascii="Times New Roman" w:hAnsi="Times New Roman"/>
          <w:color w:val="000000" w:themeColor="text1"/>
          <w:szCs w:val="22"/>
        </w:rPr>
        <w:t xml:space="preserve">, </w:t>
      </w:r>
      <w:r w:rsidR="0018397D" w:rsidRPr="00650EE4">
        <w:rPr>
          <w:rFonts w:ascii="Times New Roman" w:hAnsi="Times New Roman"/>
          <w:color w:val="000000" w:themeColor="text1"/>
          <w:szCs w:val="22"/>
        </w:rPr>
        <w:t>kad IRS gali būti pateikiamas</w:t>
      </w:r>
      <w:r w:rsidRPr="00650EE4">
        <w:rPr>
          <w:rFonts w:ascii="Times New Roman" w:hAnsi="Times New Roman"/>
          <w:color w:val="000000" w:themeColor="text1"/>
          <w:szCs w:val="22"/>
        </w:rPr>
        <w:t xml:space="preserve"> </w:t>
      </w:r>
      <w:r w:rsidR="0018397D" w:rsidRPr="00650EE4">
        <w:rPr>
          <w:rFonts w:ascii="Times New Roman" w:hAnsi="Times New Roman"/>
          <w:color w:val="000000" w:themeColor="text1"/>
          <w:szCs w:val="22"/>
        </w:rPr>
        <w:t xml:space="preserve">faktinis arba skaičiuotinas </w:t>
      </w:r>
      <w:r w:rsidR="00A52AF9" w:rsidRPr="00650EE4">
        <w:rPr>
          <w:rFonts w:ascii="Times New Roman" w:hAnsi="Times New Roman"/>
          <w:color w:val="000000" w:themeColor="text1"/>
          <w:szCs w:val="22"/>
        </w:rPr>
        <w:t>pastatų fondo energijos vartojimas</w:t>
      </w:r>
      <w:r w:rsidR="0018397D" w:rsidRPr="00650EE4">
        <w:rPr>
          <w:rFonts w:ascii="Times New Roman" w:hAnsi="Times New Roman"/>
          <w:color w:val="000000" w:themeColor="text1"/>
          <w:szCs w:val="22"/>
        </w:rPr>
        <w:t xml:space="preserve"> (t.y. </w:t>
      </w:r>
      <w:r w:rsidRPr="00650EE4">
        <w:rPr>
          <w:rFonts w:ascii="Times New Roman" w:hAnsi="Times New Roman"/>
          <w:color w:val="000000" w:themeColor="text1"/>
          <w:szCs w:val="22"/>
        </w:rPr>
        <w:t>išmatuotas arba apskaičiuotas</w:t>
      </w:r>
      <w:r w:rsidR="0018397D" w:rsidRPr="00650EE4">
        <w:rPr>
          <w:rFonts w:ascii="Times New Roman" w:hAnsi="Times New Roman"/>
          <w:color w:val="000000" w:themeColor="text1"/>
          <w:szCs w:val="22"/>
        </w:rPr>
        <w:t>)</w:t>
      </w:r>
      <w:r w:rsidR="00A52AF9" w:rsidRPr="00650EE4">
        <w:rPr>
          <w:rFonts w:ascii="Times New Roman" w:hAnsi="Times New Roman"/>
          <w:color w:val="000000" w:themeColor="text1"/>
          <w:szCs w:val="22"/>
        </w:rPr>
        <w:t xml:space="preserve">. </w:t>
      </w:r>
      <w:r w:rsidR="006D65CB">
        <w:rPr>
          <w:rFonts w:ascii="Times New Roman" w:hAnsi="Times New Roman"/>
          <w:color w:val="000000" w:themeColor="text1"/>
          <w:szCs w:val="22"/>
        </w:rPr>
        <w:t>Strategijoje</w:t>
      </w:r>
      <w:r w:rsidR="00D92B70">
        <w:rPr>
          <w:rFonts w:ascii="Times New Roman" w:hAnsi="Times New Roman"/>
          <w:color w:val="000000" w:themeColor="text1"/>
          <w:szCs w:val="22"/>
        </w:rPr>
        <w:t xml:space="preserve"> buvo vertinamas skaičiuotinas p</w:t>
      </w:r>
      <w:r w:rsidR="000666AF" w:rsidRPr="00650EE4">
        <w:rPr>
          <w:rFonts w:ascii="Times New Roman" w:hAnsi="Times New Roman"/>
          <w:color w:val="000000" w:themeColor="text1"/>
          <w:szCs w:val="22"/>
        </w:rPr>
        <w:t>astatų fondo energijos vartojimas</w:t>
      </w:r>
      <w:r w:rsidR="00A52AF9" w:rsidRPr="00650EE4">
        <w:rPr>
          <w:rFonts w:ascii="Times New Roman" w:hAnsi="Times New Roman"/>
          <w:color w:val="000000" w:themeColor="text1"/>
          <w:szCs w:val="22"/>
        </w:rPr>
        <w:t xml:space="preserve">. </w:t>
      </w:r>
    </w:p>
    <w:p w14:paraId="0A3AAFC6" w14:textId="384D0571" w:rsidR="00A52AF9" w:rsidRPr="00650EE4" w:rsidRDefault="00A52AF9" w:rsidP="00412B94">
      <w:pPr>
        <w:jc w:val="both"/>
        <w:rPr>
          <w:rFonts w:ascii="Times New Roman" w:hAnsi="Times New Roman"/>
          <w:color w:val="000000" w:themeColor="text1"/>
          <w:szCs w:val="22"/>
        </w:rPr>
      </w:pPr>
    </w:p>
    <w:p w14:paraId="3A1F88D5" w14:textId="77777777" w:rsidR="00D92B70" w:rsidRDefault="00D92B70">
      <w:pPr>
        <w:spacing w:after="240"/>
        <w:rPr>
          <w:rFonts w:ascii="Times New Roman" w:eastAsiaTheme="minorHAnsi" w:hAnsi="Times New Roman"/>
          <w:bCs/>
          <w:i/>
          <w:color w:val="000000" w:themeColor="text1"/>
          <w:sz w:val="20"/>
          <w:szCs w:val="20"/>
        </w:rPr>
      </w:pPr>
      <w:r>
        <w:br w:type="page"/>
      </w:r>
    </w:p>
    <w:p w14:paraId="49537EC5" w14:textId="26FFB06A" w:rsidR="001566E1"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44" w:name="_Toc59094255"/>
      <w:r w:rsidR="00F25C65">
        <w:t>6</w:t>
      </w:r>
      <w:r w:rsidRPr="00650EE4">
        <w:rPr>
          <w:noProof w:val="0"/>
        </w:rPr>
        <w:fldChar w:fldCharType="end"/>
      </w:r>
      <w:r w:rsidR="00171B61" w:rsidRPr="00650EE4">
        <w:rPr>
          <w:noProof w:val="0"/>
        </w:rPr>
        <w:t xml:space="preserve"> paveikslas</w:t>
      </w:r>
      <w:r w:rsidR="001566E1" w:rsidRPr="00650EE4">
        <w:rPr>
          <w:noProof w:val="0"/>
        </w:rPr>
        <w:t xml:space="preserve">. </w:t>
      </w:r>
      <w:r w:rsidR="00F60E58" w:rsidRPr="00650EE4">
        <w:rPr>
          <w:noProof w:val="0"/>
        </w:rPr>
        <w:t>Tipinio daugiabučio pirminės</w:t>
      </w:r>
      <w:r w:rsidR="001566E1" w:rsidRPr="00650EE4">
        <w:rPr>
          <w:noProof w:val="0"/>
        </w:rPr>
        <w:t xml:space="preserve"> energijos vartojimo </w:t>
      </w:r>
      <w:r w:rsidR="00F60E58" w:rsidRPr="00650EE4">
        <w:rPr>
          <w:noProof w:val="0"/>
        </w:rPr>
        <w:t>palyginimas</w:t>
      </w:r>
      <w:r w:rsidR="001566E1" w:rsidRPr="00650EE4">
        <w:rPr>
          <w:noProof w:val="0"/>
        </w:rPr>
        <w:t xml:space="preserve">, </w:t>
      </w:r>
      <w:proofErr w:type="spellStart"/>
      <w:r w:rsidR="001566E1" w:rsidRPr="00650EE4">
        <w:rPr>
          <w:noProof w:val="0"/>
        </w:rPr>
        <w:t>kWh</w:t>
      </w:r>
      <w:proofErr w:type="spellEnd"/>
      <w:r w:rsidR="001566E1" w:rsidRPr="00650EE4">
        <w:rPr>
          <w:noProof w:val="0"/>
        </w:rPr>
        <w:t>/m</w:t>
      </w:r>
      <w:r w:rsidR="001566E1" w:rsidRPr="00650EE4">
        <w:rPr>
          <w:noProof w:val="0"/>
          <w:vertAlign w:val="superscript"/>
        </w:rPr>
        <w:t>2</w:t>
      </w:r>
      <w:r w:rsidR="001566E1" w:rsidRPr="00650EE4">
        <w:rPr>
          <w:noProof w:val="0"/>
        </w:rPr>
        <w:t>/metus</w:t>
      </w:r>
      <w:bookmarkEnd w:id="4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7"/>
        <w:gridCol w:w="5097"/>
      </w:tblGrid>
      <w:tr w:rsidR="001566E1" w:rsidRPr="00650EE4" w14:paraId="5640D9C4" w14:textId="77777777" w:rsidTr="00234179">
        <w:tc>
          <w:tcPr>
            <w:tcW w:w="5097" w:type="dxa"/>
          </w:tcPr>
          <w:p w14:paraId="15E4F290" w14:textId="4C6C5B41" w:rsidR="001566E1" w:rsidRPr="00650EE4" w:rsidRDefault="004B71A9" w:rsidP="004B71A9">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6B5BAA9F" wp14:editId="55467EA7">
                  <wp:extent cx="2999232" cy="1836115"/>
                  <wp:effectExtent l="0" t="0" r="10795" b="12065"/>
                  <wp:docPr id="69" name="Chart 6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544CE6B-860A-49B4-AC7F-A5D1CB99D0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c>
          <w:tcPr>
            <w:tcW w:w="5097" w:type="dxa"/>
          </w:tcPr>
          <w:p w14:paraId="0B3A4A4B" w14:textId="73F5A21B" w:rsidR="001566E1" w:rsidRPr="00650EE4" w:rsidRDefault="004B71A9" w:rsidP="006902B3">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3158C951" wp14:editId="1F1DD571">
                  <wp:extent cx="2801721" cy="1806854"/>
                  <wp:effectExtent l="0" t="0" r="17780" b="22225"/>
                  <wp:docPr id="71" name="Chart 7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D2D19D-D7C8-457F-975A-EBD2306388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52E71C45" w14:textId="72CF71D2" w:rsidR="006902B3" w:rsidRPr="00650EE4" w:rsidRDefault="006902B3" w:rsidP="00234179">
      <w:pPr>
        <w:spacing w:line="240" w:lineRule="auto"/>
        <w:jc w:val="both"/>
        <w:rPr>
          <w:rFonts w:ascii="Times New Roman" w:eastAsia="Times New Roman" w:hAnsi="Times New Roman"/>
          <w:i/>
          <w:color w:val="000000" w:themeColor="text1"/>
          <w:sz w:val="20"/>
          <w:szCs w:val="28"/>
        </w:rPr>
      </w:pPr>
      <w:bookmarkStart w:id="45" w:name="_Hlk55970211"/>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bookmarkEnd w:id="45"/>
    <w:p w14:paraId="07345677" w14:textId="5CB97E22" w:rsidR="006902B3" w:rsidRPr="00650EE4" w:rsidRDefault="006902B3" w:rsidP="006902B3">
      <w:pPr>
        <w:spacing w:line="240" w:lineRule="auto"/>
        <w:rPr>
          <w:rFonts w:ascii="Times New Roman" w:hAnsi="Times New Roman"/>
          <w:color w:val="000000" w:themeColor="text1"/>
          <w:szCs w:val="22"/>
        </w:rPr>
      </w:pPr>
    </w:p>
    <w:p w14:paraId="5C711E7F" w14:textId="79A71139" w:rsidR="007C7F99" w:rsidRDefault="007C7F99" w:rsidP="007C7F99">
      <w:pPr>
        <w:shd w:val="clear" w:color="auto" w:fill="FFFFFF"/>
        <w:spacing w:line="240" w:lineRule="auto"/>
        <w:jc w:val="both"/>
        <w:rPr>
          <w:rFonts w:ascii="Times New Roman" w:eastAsia="Times New Roman" w:hAnsi="Times New Roman"/>
          <w:color w:val="222222"/>
          <w:szCs w:val="22"/>
        </w:rPr>
      </w:pPr>
      <w:r w:rsidRPr="00650EE4">
        <w:rPr>
          <w:rFonts w:ascii="Times New Roman" w:hAnsi="Times New Roman"/>
          <w:color w:val="000000" w:themeColor="text1"/>
          <w:szCs w:val="22"/>
        </w:rPr>
        <w:t xml:space="preserve">Pastato pirminės energijos vartojimas reikšmingai priklauso nuo pastato energinio naudingumo klasės. </w:t>
      </w:r>
      <w:r w:rsidRPr="00650EE4">
        <w:rPr>
          <w:rFonts w:ascii="Times New Roman" w:eastAsia="Times New Roman" w:hAnsi="Times New Roman"/>
          <w:color w:val="222222"/>
          <w:szCs w:val="22"/>
        </w:rPr>
        <w:t>Paveiksle aukščiau pateikiamas tipinio daugiabučio (statybos metai: 1961-1992 m., vietovė: miestas, plotas: 1000-5000 m</w:t>
      </w:r>
      <w:r w:rsidRPr="00650EE4">
        <w:rPr>
          <w:rFonts w:ascii="Times New Roman" w:eastAsia="Times New Roman" w:hAnsi="Times New Roman"/>
          <w:color w:val="222222"/>
          <w:szCs w:val="22"/>
          <w:vertAlign w:val="superscript"/>
        </w:rPr>
        <w:t>2</w:t>
      </w:r>
      <w:r w:rsidRPr="00650EE4">
        <w:rPr>
          <w:rFonts w:ascii="Times New Roman" w:eastAsia="Times New Roman" w:hAnsi="Times New Roman"/>
          <w:color w:val="222222"/>
          <w:szCs w:val="22"/>
        </w:rPr>
        <w:t>, šilumos šaltinis pastatui šildyti ir karštam vandeniui ruošti – CŠT) žemiausios ir aukščiausios energinio naudingumo klasės palyginimas.</w:t>
      </w:r>
    </w:p>
    <w:p w14:paraId="130F99F7" w14:textId="77777777" w:rsidR="003E0C4E" w:rsidRPr="00650EE4" w:rsidRDefault="003E0C4E" w:rsidP="007C7F99">
      <w:pPr>
        <w:shd w:val="clear" w:color="auto" w:fill="FFFFFF"/>
        <w:spacing w:line="240" w:lineRule="auto"/>
        <w:jc w:val="both"/>
        <w:rPr>
          <w:rFonts w:ascii="Times New Roman" w:eastAsia="Times New Roman" w:hAnsi="Times New Roman"/>
          <w:color w:val="222222"/>
          <w:szCs w:val="22"/>
        </w:rPr>
      </w:pPr>
    </w:p>
    <w:p w14:paraId="5C334B16" w14:textId="7FCF5E5E" w:rsidR="00515036" w:rsidRPr="00650EE4" w:rsidRDefault="00A3293C" w:rsidP="006F1166">
      <w:pPr>
        <w:spacing w:after="120" w:line="240" w:lineRule="auto"/>
        <w:jc w:val="both"/>
        <w:rPr>
          <w:rFonts w:ascii="Times New Roman" w:hAnsi="Times New Roman"/>
          <w:color w:val="000000" w:themeColor="text1"/>
          <w:szCs w:val="22"/>
        </w:rPr>
      </w:pPr>
      <w:r w:rsidRPr="00650EE4">
        <w:rPr>
          <w:rFonts w:ascii="Times New Roman" w:hAnsi="Times New Roman"/>
          <w:color w:val="auto"/>
          <w:szCs w:val="22"/>
        </w:rPr>
        <w:t>G</w:t>
      </w:r>
      <w:r w:rsidR="006902B3" w:rsidRPr="00650EE4">
        <w:rPr>
          <w:rFonts w:ascii="Times New Roman" w:hAnsi="Times New Roman"/>
          <w:color w:val="auto"/>
          <w:szCs w:val="22"/>
        </w:rPr>
        <w:t>alima pastebėti, kad</w:t>
      </w:r>
      <w:r w:rsidR="00EC598D" w:rsidRPr="00650EE4">
        <w:rPr>
          <w:rFonts w:ascii="Times New Roman" w:hAnsi="Times New Roman"/>
          <w:color w:val="auto"/>
          <w:szCs w:val="22"/>
        </w:rPr>
        <w:t xml:space="preserve"> d</w:t>
      </w:r>
      <w:r w:rsidR="003D2C3A" w:rsidRPr="00650EE4">
        <w:rPr>
          <w:rFonts w:ascii="Times New Roman" w:hAnsi="Times New Roman"/>
          <w:color w:val="000000" w:themeColor="text1"/>
          <w:szCs w:val="22"/>
        </w:rPr>
        <w:t>idžiausias potencialas siekiant pirminės energijos suta</w:t>
      </w:r>
      <w:r w:rsidRPr="00650EE4">
        <w:rPr>
          <w:rFonts w:ascii="Times New Roman" w:hAnsi="Times New Roman"/>
          <w:color w:val="000000" w:themeColor="text1"/>
          <w:szCs w:val="22"/>
        </w:rPr>
        <w:t>u</w:t>
      </w:r>
      <w:r w:rsidR="003D2C3A" w:rsidRPr="00650EE4">
        <w:rPr>
          <w:rFonts w:ascii="Times New Roman" w:hAnsi="Times New Roman"/>
          <w:color w:val="000000" w:themeColor="text1"/>
          <w:szCs w:val="22"/>
        </w:rPr>
        <w:t>pymo</w:t>
      </w:r>
      <w:r w:rsidRPr="00650EE4">
        <w:rPr>
          <w:rFonts w:ascii="Times New Roman" w:hAnsi="Times New Roman"/>
          <w:color w:val="000000" w:themeColor="text1"/>
          <w:szCs w:val="22"/>
        </w:rPr>
        <w:t>, vertinant tiek santykiniu tiek absoliučiu dydžiais,</w:t>
      </w:r>
      <w:r w:rsidR="003D2C3A" w:rsidRPr="00650EE4">
        <w:rPr>
          <w:rFonts w:ascii="Times New Roman" w:hAnsi="Times New Roman"/>
          <w:color w:val="000000" w:themeColor="text1"/>
          <w:szCs w:val="22"/>
        </w:rPr>
        <w:t xml:space="preserve"> yra šildymo vartojim</w:t>
      </w:r>
      <w:r w:rsidR="00EC598D" w:rsidRPr="00650EE4">
        <w:rPr>
          <w:rFonts w:ascii="Times New Roman" w:hAnsi="Times New Roman"/>
          <w:color w:val="000000" w:themeColor="text1"/>
          <w:szCs w:val="22"/>
        </w:rPr>
        <w:t>e (</w:t>
      </w:r>
      <w:r w:rsidR="003D2C3A" w:rsidRPr="00650EE4">
        <w:rPr>
          <w:rFonts w:ascii="Times New Roman" w:hAnsi="Times New Roman"/>
          <w:color w:val="000000" w:themeColor="text1"/>
          <w:szCs w:val="22"/>
        </w:rPr>
        <w:t xml:space="preserve">vartojimo skirtumas tarp </w:t>
      </w:r>
      <w:r w:rsidR="003D2C3A" w:rsidRPr="00650EE4">
        <w:rPr>
          <w:rFonts w:ascii="Times New Roman" w:eastAsia="Times New Roman" w:hAnsi="Times New Roman"/>
          <w:color w:val="222222"/>
          <w:szCs w:val="22"/>
        </w:rPr>
        <w:t>žemiausios ir aukščiausios energinio naudingumo klasės</w:t>
      </w:r>
      <w:r w:rsidR="003D2C3A" w:rsidRPr="00650EE4">
        <w:rPr>
          <w:rFonts w:ascii="Times New Roman" w:hAnsi="Times New Roman"/>
          <w:color w:val="222222"/>
          <w:szCs w:val="22"/>
        </w:rPr>
        <w:t xml:space="preserve"> sudaro ~86 p</w:t>
      </w:r>
      <w:r w:rsidR="00EC598D" w:rsidRPr="00650EE4">
        <w:rPr>
          <w:rFonts w:ascii="Times New Roman" w:hAnsi="Times New Roman"/>
          <w:color w:val="222222"/>
          <w:szCs w:val="22"/>
        </w:rPr>
        <w:t>roc.) ir k</w:t>
      </w:r>
      <w:r w:rsidR="003D2C3A" w:rsidRPr="00650EE4">
        <w:rPr>
          <w:rFonts w:ascii="Times New Roman" w:hAnsi="Times New Roman"/>
          <w:color w:val="000000" w:themeColor="text1"/>
          <w:szCs w:val="22"/>
        </w:rPr>
        <w:t xml:space="preserve">aršto </w:t>
      </w:r>
      <w:r w:rsidR="00EC598D" w:rsidRPr="00650EE4">
        <w:rPr>
          <w:rFonts w:ascii="Times New Roman" w:hAnsi="Times New Roman"/>
          <w:color w:val="000000" w:themeColor="text1"/>
          <w:szCs w:val="22"/>
        </w:rPr>
        <w:t>vandens vartojime (</w:t>
      </w:r>
      <w:r w:rsidRPr="00650EE4">
        <w:rPr>
          <w:rFonts w:ascii="Times New Roman" w:hAnsi="Times New Roman"/>
          <w:color w:val="000000" w:themeColor="text1"/>
          <w:szCs w:val="22"/>
        </w:rPr>
        <w:t>~31 proc.).</w:t>
      </w:r>
    </w:p>
    <w:p w14:paraId="10DBE6A3" w14:textId="2C85DC97" w:rsidR="00515036" w:rsidRPr="00650EE4" w:rsidRDefault="00A3293C" w:rsidP="00507AC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PEND numato, kad vertinant</w:t>
      </w:r>
      <w:r w:rsidR="00515036"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energijos </w:t>
      </w:r>
      <w:r w:rsidR="00515036" w:rsidRPr="00650EE4">
        <w:rPr>
          <w:rFonts w:ascii="Times New Roman" w:hAnsi="Times New Roman"/>
          <w:color w:val="000000" w:themeColor="text1"/>
          <w:szCs w:val="22"/>
        </w:rPr>
        <w:t xml:space="preserve">vartojimo </w:t>
      </w:r>
      <w:r w:rsidRPr="00650EE4">
        <w:rPr>
          <w:rFonts w:ascii="Times New Roman" w:hAnsi="Times New Roman"/>
          <w:color w:val="000000" w:themeColor="text1"/>
          <w:szCs w:val="22"/>
        </w:rPr>
        <w:t>apimtis</w:t>
      </w:r>
      <w:r w:rsidR="00B762BC"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tiksli</w:t>
      </w:r>
      <w:r w:rsidR="00B762BC" w:rsidRPr="00650EE4">
        <w:rPr>
          <w:rFonts w:ascii="Times New Roman" w:hAnsi="Times New Roman"/>
          <w:color w:val="000000" w:themeColor="text1"/>
          <w:szCs w:val="22"/>
        </w:rPr>
        <w:t>nga</w:t>
      </w:r>
      <w:r w:rsidR="00515036" w:rsidRPr="00650EE4">
        <w:rPr>
          <w:rFonts w:ascii="Times New Roman" w:hAnsi="Times New Roman"/>
          <w:color w:val="000000" w:themeColor="text1"/>
          <w:szCs w:val="22"/>
        </w:rPr>
        <w:t xml:space="preserve"> atsižvelgti į šalies klimatines zonas </w:t>
      </w:r>
      <w:r w:rsidRPr="00650EE4">
        <w:rPr>
          <w:rFonts w:ascii="Times New Roman" w:hAnsi="Times New Roman"/>
          <w:color w:val="000000" w:themeColor="text1"/>
          <w:szCs w:val="22"/>
        </w:rPr>
        <w:t xml:space="preserve">ir jų įtaką energijos vartojimui (tiek kiek taikytina), žr. skyrių žemiau. </w:t>
      </w:r>
    </w:p>
    <w:p w14:paraId="5510A793" w14:textId="3755D736" w:rsidR="00A45646" w:rsidRPr="00650EE4" w:rsidRDefault="00A45646" w:rsidP="00370FCC">
      <w:pPr>
        <w:rPr>
          <w:rFonts w:ascii="Times New Roman" w:eastAsia="Times New Roman" w:hAnsi="Times New Roman"/>
          <w:b/>
          <w:bCs/>
          <w:color w:val="000000" w:themeColor="text1"/>
          <w:kern w:val="32"/>
          <w:szCs w:val="22"/>
        </w:rPr>
      </w:pPr>
    </w:p>
    <w:p w14:paraId="629300FB" w14:textId="77777777" w:rsidR="00A3293C" w:rsidRPr="00650EE4" w:rsidRDefault="00A3293C" w:rsidP="00370FCC">
      <w:pPr>
        <w:rPr>
          <w:rFonts w:ascii="Times New Roman" w:eastAsia="Times New Roman" w:hAnsi="Times New Roman"/>
          <w:b/>
          <w:bCs/>
          <w:color w:val="000000" w:themeColor="text1"/>
          <w:kern w:val="32"/>
          <w:szCs w:val="22"/>
        </w:rPr>
      </w:pPr>
    </w:p>
    <w:p w14:paraId="4E83CDD6" w14:textId="5D4EA424" w:rsidR="00D95A6C" w:rsidRPr="00650EE4" w:rsidRDefault="00D95A6C" w:rsidP="00023B00">
      <w:pPr>
        <w:pStyle w:val="Antrastes31"/>
        <w:numPr>
          <w:ilvl w:val="2"/>
          <w:numId w:val="4"/>
        </w:numPr>
        <w:spacing w:before="0"/>
        <w:ind w:left="720" w:hanging="720"/>
        <w:rPr>
          <w:rFonts w:ascii="Times New Roman" w:hAnsi="Times New Roman"/>
          <w:color w:val="000000" w:themeColor="text1"/>
          <w:sz w:val="24"/>
          <w:szCs w:val="24"/>
          <w:lang w:val="lt-LT"/>
        </w:rPr>
      </w:pPr>
      <w:bookmarkStart w:id="46" w:name="_Toc59107509"/>
      <w:r w:rsidRPr="00650EE4">
        <w:rPr>
          <w:rFonts w:ascii="Times New Roman" w:hAnsi="Times New Roman"/>
          <w:color w:val="000000" w:themeColor="text1"/>
          <w:sz w:val="24"/>
          <w:szCs w:val="24"/>
          <w:lang w:val="lt-LT"/>
        </w:rPr>
        <w:t>Klimat</w:t>
      </w:r>
      <w:r w:rsidR="000772EA" w:rsidRPr="00650EE4">
        <w:rPr>
          <w:rFonts w:ascii="Times New Roman" w:hAnsi="Times New Roman"/>
          <w:color w:val="000000" w:themeColor="text1"/>
          <w:sz w:val="24"/>
          <w:szCs w:val="24"/>
          <w:lang w:val="lt-LT"/>
        </w:rPr>
        <w:t>inės sąlygo</w:t>
      </w:r>
      <w:r w:rsidR="00507AC9" w:rsidRPr="00650EE4">
        <w:rPr>
          <w:rFonts w:ascii="Times New Roman" w:hAnsi="Times New Roman"/>
          <w:color w:val="000000" w:themeColor="text1"/>
          <w:sz w:val="24"/>
          <w:szCs w:val="24"/>
          <w:lang w:val="lt-LT"/>
        </w:rPr>
        <w:t>s</w:t>
      </w:r>
      <w:bookmarkEnd w:id="46"/>
    </w:p>
    <w:p w14:paraId="28DC3EE6" w14:textId="55D5F20B" w:rsidR="00370FCC" w:rsidRPr="00650EE4" w:rsidRDefault="00370FCC" w:rsidP="00507AC9">
      <w:pPr>
        <w:pStyle w:val="Pagrindinispaprastastekstas"/>
        <w:spacing w:after="120"/>
        <w:rPr>
          <w:rFonts w:ascii="Times New Roman" w:hAnsi="Times New Roman"/>
          <w:b/>
          <w:szCs w:val="22"/>
        </w:rPr>
      </w:pPr>
      <w:r w:rsidRPr="00650EE4">
        <w:rPr>
          <w:rFonts w:ascii="Times New Roman" w:hAnsi="Times New Roman"/>
          <w:b/>
          <w:szCs w:val="22"/>
        </w:rPr>
        <w:t xml:space="preserve">Esama situacija </w:t>
      </w:r>
    </w:p>
    <w:p w14:paraId="4A528692" w14:textId="1D73107D" w:rsidR="006864EF" w:rsidRPr="00650EE4" w:rsidRDefault="00D95A6C" w:rsidP="006864EF">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Lietuva yra vėsiojo vidutinio klimato zonoje su</w:t>
      </w:r>
      <w:r w:rsidR="00ED75C7" w:rsidRPr="00650EE4">
        <w:rPr>
          <w:rFonts w:ascii="Times New Roman" w:hAnsi="Times New Roman"/>
          <w:color w:val="000000" w:themeColor="text1"/>
          <w:szCs w:val="22"/>
        </w:rPr>
        <w:t xml:space="preserve"> vidutinio </w:t>
      </w:r>
      <w:proofErr w:type="spellStart"/>
      <w:r w:rsidR="00ED75C7" w:rsidRPr="00650EE4">
        <w:rPr>
          <w:rFonts w:ascii="Times New Roman" w:hAnsi="Times New Roman"/>
          <w:color w:val="000000" w:themeColor="text1"/>
          <w:szCs w:val="22"/>
        </w:rPr>
        <w:t>šiltumo</w:t>
      </w:r>
      <w:proofErr w:type="spellEnd"/>
      <w:r w:rsidR="00ED75C7" w:rsidRPr="00650EE4">
        <w:rPr>
          <w:rFonts w:ascii="Times New Roman" w:hAnsi="Times New Roman"/>
          <w:color w:val="000000" w:themeColor="text1"/>
          <w:szCs w:val="22"/>
        </w:rPr>
        <w:t xml:space="preserve"> vasaromis ir</w:t>
      </w:r>
      <w:r w:rsidRPr="00650EE4">
        <w:rPr>
          <w:rFonts w:ascii="Times New Roman" w:hAnsi="Times New Roman"/>
          <w:color w:val="000000" w:themeColor="text1"/>
          <w:szCs w:val="22"/>
        </w:rPr>
        <w:t xml:space="preserve"> vidutinio šaltumo žiemomis. Vidutinė liepos mėnesio temperatūra yra apie 17 ° šilumos, žiemą – apie 5 ° šalčio.</w:t>
      </w:r>
      <w:r w:rsidR="00EF58E5"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Skirtumas tarp temperatūrų vidurkio yra apie 20 °C. </w:t>
      </w:r>
      <w:r w:rsidR="006864EF" w:rsidRPr="00650EE4">
        <w:rPr>
          <w:rFonts w:ascii="Times New Roman" w:hAnsi="Times New Roman"/>
          <w:color w:val="000000" w:themeColor="text1"/>
          <w:szCs w:val="22"/>
        </w:rPr>
        <w:t>Nors v</w:t>
      </w:r>
      <w:r w:rsidR="00ED75C7" w:rsidRPr="00650EE4">
        <w:rPr>
          <w:rFonts w:ascii="Times New Roman" w:hAnsi="Times New Roman"/>
          <w:color w:val="000000" w:themeColor="text1"/>
          <w:szCs w:val="22"/>
        </w:rPr>
        <w:t xml:space="preserve">isa Lietuvos teritorija patenka į vėsiojo vidutinio klimato zoną, tačiau šalies vakarinė dalis yra veikiama Baltijos jūros, </w:t>
      </w:r>
      <w:r w:rsidR="006864EF" w:rsidRPr="00650EE4">
        <w:rPr>
          <w:rFonts w:ascii="Times New Roman" w:hAnsi="Times New Roman"/>
          <w:color w:val="000000" w:themeColor="text1"/>
          <w:szCs w:val="22"/>
        </w:rPr>
        <w:t>kur</w:t>
      </w:r>
      <w:r w:rsidR="00ED75C7" w:rsidRPr="00650EE4">
        <w:rPr>
          <w:rFonts w:ascii="Times New Roman" w:hAnsi="Times New Roman"/>
          <w:color w:val="000000" w:themeColor="text1"/>
          <w:szCs w:val="22"/>
        </w:rPr>
        <w:t xml:space="preserve"> fiksuojamas didesnis metinis kritulių kiekis ir vėjo greitis bei didesnė vidutinė metinė oro temperatūra nei likusioje šalies teritorijoje. </w:t>
      </w:r>
      <w:r w:rsidR="006864EF" w:rsidRPr="00650EE4">
        <w:rPr>
          <w:rFonts w:ascii="Times New Roman" w:hAnsi="Times New Roman"/>
          <w:color w:val="000000" w:themeColor="text1"/>
          <w:szCs w:val="22"/>
        </w:rPr>
        <w:t xml:space="preserve">Vakarinėje šalies dalyje esanti pastatų fondo dalis sudaro apie 11% viso pastatų fondo ploto (žr. lentelę žemiau). </w:t>
      </w:r>
    </w:p>
    <w:p w14:paraId="5B016189" w14:textId="77777777" w:rsidR="006864EF" w:rsidRPr="00650EE4" w:rsidRDefault="006864EF" w:rsidP="006864EF">
      <w:pPr>
        <w:rPr>
          <w:rFonts w:ascii="Times New Roman" w:eastAsiaTheme="minorHAnsi" w:hAnsi="Times New Roman"/>
          <w:b/>
          <w:bCs/>
          <w:color w:val="000000" w:themeColor="text1"/>
          <w:szCs w:val="22"/>
        </w:rPr>
      </w:pPr>
    </w:p>
    <w:p w14:paraId="5F079E15" w14:textId="2EA75CAB" w:rsidR="006864EF" w:rsidRPr="00650EE4" w:rsidRDefault="006864EF"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47" w:name="_Toc59094199"/>
      <w:r w:rsidR="00F25C65">
        <w:t>16</w:t>
      </w:r>
      <w:r w:rsidRPr="00650EE4">
        <w:rPr>
          <w:noProof w:val="0"/>
        </w:rPr>
        <w:fldChar w:fldCharType="end"/>
      </w:r>
      <w:r w:rsidRPr="00650EE4">
        <w:rPr>
          <w:noProof w:val="0"/>
        </w:rPr>
        <w:t xml:space="preserve"> lentelė. Vakarų Lietuvos pastatų fondo dalis</w:t>
      </w:r>
      <w:bookmarkEnd w:id="47"/>
    </w:p>
    <w:tbl>
      <w:tblPr>
        <w:tblW w:w="5000" w:type="pct"/>
        <w:tblCellMar>
          <w:left w:w="0" w:type="dxa"/>
          <w:right w:w="0" w:type="dxa"/>
        </w:tblCellMar>
        <w:tblLook w:val="04A0" w:firstRow="1" w:lastRow="0" w:firstColumn="1" w:lastColumn="0" w:noHBand="0" w:noVBand="1"/>
      </w:tblPr>
      <w:tblGrid>
        <w:gridCol w:w="2210"/>
        <w:gridCol w:w="1230"/>
        <w:gridCol w:w="1250"/>
        <w:gridCol w:w="1792"/>
        <w:gridCol w:w="1343"/>
        <w:gridCol w:w="1686"/>
        <w:gridCol w:w="723"/>
      </w:tblGrid>
      <w:tr w:rsidR="006864EF" w:rsidRPr="00650EE4" w14:paraId="18BB033B" w14:textId="77777777" w:rsidTr="002770C4">
        <w:trPr>
          <w:cantSplit/>
          <w:tblHeader/>
        </w:trPr>
        <w:tc>
          <w:tcPr>
            <w:tcW w:w="2200" w:type="dxa"/>
            <w:vMerge w:val="restart"/>
            <w:tcBorders>
              <w:top w:val="single" w:sz="4" w:space="0" w:color="auto"/>
              <w:left w:val="single" w:sz="4" w:space="0" w:color="auto"/>
              <w:bottom w:val="single" w:sz="4" w:space="0" w:color="auto"/>
              <w:right w:val="single" w:sz="4" w:space="0" w:color="auto"/>
            </w:tcBorders>
            <w:shd w:val="clear" w:color="000000" w:fill="FFFFFF"/>
            <w:tcMar>
              <w:top w:w="15" w:type="dxa"/>
              <w:left w:w="15" w:type="dxa"/>
              <w:bottom w:w="0" w:type="dxa"/>
              <w:right w:w="15" w:type="dxa"/>
            </w:tcMar>
            <w:vAlign w:val="center"/>
            <w:hideMark/>
          </w:tcPr>
          <w:p w14:paraId="42487940" w14:textId="77777777" w:rsidR="006864EF" w:rsidRPr="00650EE4" w:rsidRDefault="006864EF" w:rsidP="00FC50F8">
            <w:pPr>
              <w:jc w:val="center"/>
              <w:rPr>
                <w:rFonts w:ascii="Times New Roman" w:eastAsia="Times New Roman" w:hAnsi="Times New Roman"/>
                <w:b/>
                <w:bCs/>
                <w:sz w:val="20"/>
                <w:szCs w:val="20"/>
              </w:rPr>
            </w:pPr>
            <w:r w:rsidRPr="00650EE4">
              <w:rPr>
                <w:rFonts w:ascii="Times New Roman" w:hAnsi="Times New Roman"/>
                <w:b/>
                <w:bCs/>
                <w:sz w:val="20"/>
                <w:szCs w:val="20"/>
              </w:rPr>
              <w:t>Grupė</w:t>
            </w:r>
          </w:p>
        </w:tc>
        <w:tc>
          <w:tcPr>
            <w:tcW w:w="7984" w:type="dxa"/>
            <w:gridSpan w:val="6"/>
            <w:tcBorders>
              <w:top w:val="single" w:sz="4" w:space="0" w:color="auto"/>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1605C1F"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Vakarų Lietuva</w:t>
            </w:r>
          </w:p>
        </w:tc>
      </w:tr>
      <w:tr w:rsidR="006864EF" w:rsidRPr="00650EE4" w14:paraId="0A81E802" w14:textId="77777777" w:rsidTr="002770C4">
        <w:trPr>
          <w:cantSplit/>
          <w:tblHeader/>
        </w:trPr>
        <w:tc>
          <w:tcPr>
            <w:tcW w:w="2200" w:type="dxa"/>
            <w:vMerge/>
            <w:tcBorders>
              <w:top w:val="single" w:sz="8" w:space="0" w:color="000000"/>
              <w:left w:val="single" w:sz="4" w:space="0" w:color="auto"/>
              <w:bottom w:val="single" w:sz="4" w:space="0" w:color="auto"/>
              <w:right w:val="single" w:sz="4" w:space="0" w:color="auto"/>
            </w:tcBorders>
            <w:vAlign w:val="center"/>
            <w:hideMark/>
          </w:tcPr>
          <w:p w14:paraId="5977AC8C" w14:textId="77777777" w:rsidR="006864EF" w:rsidRPr="00650EE4" w:rsidRDefault="006864EF" w:rsidP="00FC50F8">
            <w:pPr>
              <w:rPr>
                <w:rFonts w:ascii="Times New Roman" w:hAnsi="Times New Roman"/>
                <w:b/>
                <w:bCs/>
                <w:sz w:val="20"/>
                <w:szCs w:val="20"/>
              </w:rPr>
            </w:pPr>
          </w:p>
        </w:tc>
        <w:tc>
          <w:tcPr>
            <w:tcW w:w="1224"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F2366F3"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Skaičius</w:t>
            </w:r>
          </w:p>
        </w:tc>
        <w:tc>
          <w:tcPr>
            <w:tcW w:w="1244"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C316E49"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c>
          <w:tcPr>
            <w:tcW w:w="1783"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3F60E9F2"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Bendras plotas</w:t>
            </w:r>
          </w:p>
        </w:tc>
        <w:tc>
          <w:tcPr>
            <w:tcW w:w="133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3FBB379"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c>
          <w:tcPr>
            <w:tcW w:w="1678"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A20D22A"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Šildomas plotas</w:t>
            </w:r>
          </w:p>
        </w:tc>
        <w:tc>
          <w:tcPr>
            <w:tcW w:w="719" w:type="dxa"/>
            <w:tcBorders>
              <w:top w:val="single" w:sz="4" w:space="0" w:color="auto"/>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82B91B8" w14:textId="77777777" w:rsidR="006864EF" w:rsidRPr="00650EE4" w:rsidRDefault="006864EF" w:rsidP="00FC50F8">
            <w:pPr>
              <w:jc w:val="center"/>
              <w:rPr>
                <w:rFonts w:ascii="Times New Roman" w:hAnsi="Times New Roman"/>
                <w:b/>
                <w:bCs/>
                <w:sz w:val="20"/>
                <w:szCs w:val="20"/>
              </w:rPr>
            </w:pPr>
            <w:r w:rsidRPr="00650EE4">
              <w:rPr>
                <w:rFonts w:ascii="Times New Roman" w:hAnsi="Times New Roman"/>
                <w:b/>
                <w:bCs/>
                <w:sz w:val="20"/>
                <w:szCs w:val="20"/>
              </w:rPr>
              <w:t>%</w:t>
            </w:r>
          </w:p>
        </w:tc>
      </w:tr>
      <w:tr w:rsidR="006864EF" w:rsidRPr="00650EE4" w14:paraId="55C86F99" w14:textId="77777777" w:rsidTr="002770C4">
        <w:trPr>
          <w:cantSplit/>
          <w:tblHeader/>
        </w:trPr>
        <w:tc>
          <w:tcPr>
            <w:tcW w:w="220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34AE55FD" w14:textId="77777777" w:rsidR="006864EF" w:rsidRPr="00650EE4" w:rsidRDefault="006864EF" w:rsidP="00FC50F8">
            <w:pPr>
              <w:rPr>
                <w:rFonts w:ascii="Times New Roman" w:hAnsi="Times New Roman"/>
                <w:b/>
                <w:bCs/>
                <w:color w:val="auto"/>
                <w:sz w:val="20"/>
                <w:szCs w:val="20"/>
              </w:rPr>
            </w:pPr>
            <w:r w:rsidRPr="00650EE4">
              <w:rPr>
                <w:rFonts w:ascii="Times New Roman" w:hAnsi="Times New Roman"/>
                <w:b/>
                <w:bCs/>
                <w:color w:val="auto"/>
                <w:sz w:val="20"/>
                <w:szCs w:val="20"/>
              </w:rPr>
              <w:t>1.Gyvenamieji</w:t>
            </w:r>
          </w:p>
        </w:tc>
        <w:tc>
          <w:tcPr>
            <w:tcW w:w="1224"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1F25ACC5"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49.800  </w:t>
            </w:r>
          </w:p>
        </w:tc>
        <w:tc>
          <w:tcPr>
            <w:tcW w:w="1244"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0361BD97" w14:textId="77777777" w:rsidR="006864EF" w:rsidRPr="00650EE4" w:rsidRDefault="006864EF" w:rsidP="00FC50F8">
            <w:pPr>
              <w:jc w:val="right"/>
              <w:rPr>
                <w:rFonts w:ascii="Times New Roman" w:hAnsi="Times New Roman"/>
                <w:b/>
                <w:bCs/>
                <w:color w:val="auto"/>
                <w:sz w:val="20"/>
                <w:szCs w:val="20"/>
              </w:rPr>
            </w:pPr>
          </w:p>
        </w:tc>
        <w:tc>
          <w:tcPr>
            <w:tcW w:w="1783"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57B2E9EC"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14.096</w:t>
            </w:r>
          </w:p>
        </w:tc>
        <w:tc>
          <w:tcPr>
            <w:tcW w:w="1336"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05C4F90D"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67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709313ED"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55.988 </w:t>
            </w:r>
          </w:p>
        </w:tc>
        <w:tc>
          <w:tcPr>
            <w:tcW w:w="71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557071BE"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r>
      <w:tr w:rsidR="006864EF" w:rsidRPr="00650EE4" w14:paraId="123CB6B3"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56E17CD"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1.1.Individualūs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B93D76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44.621</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1BC8D8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98D28C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6.479</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761A2B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7AB690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5.229</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5E9B7C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r>
      <w:tr w:rsidR="006864EF" w:rsidRPr="00650EE4" w14:paraId="138AC962" w14:textId="77777777" w:rsidTr="002770C4">
        <w:trPr>
          <w:cantSplit/>
          <w:tblHeader/>
        </w:trPr>
        <w:tc>
          <w:tcPr>
            <w:tcW w:w="220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E399D3C"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1.2.Daugiabučiai</w:t>
            </w:r>
          </w:p>
        </w:tc>
        <w:tc>
          <w:tcPr>
            <w:tcW w:w="1224"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351E71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5.179</w:t>
            </w:r>
          </w:p>
        </w:tc>
        <w:tc>
          <w:tcPr>
            <w:tcW w:w="124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81AD3C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c>
          <w:tcPr>
            <w:tcW w:w="1783"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783AD67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7.617</w:t>
            </w:r>
          </w:p>
        </w:tc>
        <w:tc>
          <w:tcPr>
            <w:tcW w:w="133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441E83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c>
          <w:tcPr>
            <w:tcW w:w="1678"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76A2A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6.138</w:t>
            </w:r>
          </w:p>
        </w:tc>
        <w:tc>
          <w:tcPr>
            <w:tcW w:w="719"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54AD99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13%</w:t>
            </w:r>
          </w:p>
        </w:tc>
      </w:tr>
      <w:tr w:rsidR="006864EF" w:rsidRPr="00650EE4" w14:paraId="3B78DB0C" w14:textId="77777777" w:rsidTr="002770C4">
        <w:trPr>
          <w:cantSplit/>
          <w:tblHeader/>
        </w:trPr>
        <w:tc>
          <w:tcPr>
            <w:tcW w:w="2200"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4E5C5F4F" w14:textId="77777777" w:rsidR="006864EF" w:rsidRPr="00650EE4" w:rsidRDefault="006864EF" w:rsidP="00FC50F8">
            <w:pPr>
              <w:rPr>
                <w:rFonts w:ascii="Times New Roman" w:hAnsi="Times New Roman"/>
                <w:b/>
                <w:bCs/>
                <w:color w:val="auto"/>
                <w:sz w:val="20"/>
                <w:szCs w:val="20"/>
              </w:rPr>
            </w:pPr>
            <w:r w:rsidRPr="00650EE4">
              <w:rPr>
                <w:rFonts w:ascii="Times New Roman" w:hAnsi="Times New Roman"/>
                <w:b/>
                <w:bCs/>
                <w:color w:val="auto"/>
                <w:sz w:val="20"/>
                <w:szCs w:val="20"/>
              </w:rPr>
              <w:t>2.Negyvenamieji</w:t>
            </w:r>
          </w:p>
        </w:tc>
        <w:tc>
          <w:tcPr>
            <w:tcW w:w="1224"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48C14812"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12.406 </w:t>
            </w:r>
          </w:p>
        </w:tc>
        <w:tc>
          <w:tcPr>
            <w:tcW w:w="1244"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39F6A35F"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783" w:type="dxa"/>
            <w:tcBorders>
              <w:top w:val="single" w:sz="4" w:space="0" w:color="auto"/>
              <w:left w:val="single" w:sz="4" w:space="0" w:color="auto"/>
              <w:bottom w:val="nil"/>
              <w:right w:val="nil"/>
            </w:tcBorders>
            <w:shd w:val="clear" w:color="000000" w:fill="F2F2F2"/>
            <w:noWrap/>
            <w:tcMar>
              <w:top w:w="15" w:type="dxa"/>
              <w:left w:w="15" w:type="dxa"/>
              <w:bottom w:w="0" w:type="dxa"/>
              <w:right w:w="15" w:type="dxa"/>
            </w:tcMar>
            <w:vAlign w:val="center"/>
            <w:hideMark/>
          </w:tcPr>
          <w:p w14:paraId="45E63C44"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8.421 </w:t>
            </w:r>
          </w:p>
        </w:tc>
        <w:tc>
          <w:tcPr>
            <w:tcW w:w="1336" w:type="dxa"/>
            <w:tcBorders>
              <w:top w:val="single" w:sz="4" w:space="0" w:color="auto"/>
              <w:left w:val="nil"/>
              <w:bottom w:val="nil"/>
              <w:right w:val="single" w:sz="4" w:space="0" w:color="auto"/>
            </w:tcBorders>
            <w:shd w:val="clear" w:color="000000" w:fill="F2F2F2"/>
            <w:noWrap/>
            <w:tcMar>
              <w:top w:w="15" w:type="dxa"/>
              <w:left w:w="15" w:type="dxa"/>
              <w:bottom w:w="0" w:type="dxa"/>
              <w:right w:w="15" w:type="dxa"/>
            </w:tcMar>
            <w:vAlign w:val="center"/>
            <w:hideMark/>
          </w:tcPr>
          <w:p w14:paraId="2CA2E4DB"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c>
          <w:tcPr>
            <w:tcW w:w="1678"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00326B79"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xml:space="preserve">29.721 </w:t>
            </w:r>
          </w:p>
        </w:tc>
        <w:tc>
          <w:tcPr>
            <w:tcW w:w="719" w:type="dxa"/>
            <w:tcBorders>
              <w:top w:val="single" w:sz="4" w:space="0" w:color="auto"/>
              <w:left w:val="single" w:sz="4" w:space="0" w:color="auto"/>
              <w:bottom w:val="nil"/>
              <w:right w:val="single" w:sz="4" w:space="0" w:color="auto"/>
            </w:tcBorders>
            <w:shd w:val="clear" w:color="000000" w:fill="F2F2F2"/>
            <w:noWrap/>
            <w:tcMar>
              <w:top w:w="15" w:type="dxa"/>
              <w:left w:w="15" w:type="dxa"/>
              <w:bottom w:w="0" w:type="dxa"/>
              <w:right w:w="15" w:type="dxa"/>
            </w:tcMar>
            <w:vAlign w:val="center"/>
            <w:hideMark/>
          </w:tcPr>
          <w:p w14:paraId="2951A021" w14:textId="77777777" w:rsidR="006864EF" w:rsidRPr="00650EE4" w:rsidRDefault="006864EF" w:rsidP="00FC50F8">
            <w:pPr>
              <w:jc w:val="right"/>
              <w:rPr>
                <w:rFonts w:ascii="Times New Roman" w:hAnsi="Times New Roman"/>
                <w:b/>
                <w:bCs/>
                <w:color w:val="auto"/>
                <w:sz w:val="20"/>
                <w:szCs w:val="20"/>
              </w:rPr>
            </w:pPr>
            <w:r w:rsidRPr="00650EE4">
              <w:rPr>
                <w:rFonts w:ascii="Times New Roman" w:hAnsi="Times New Roman"/>
                <w:b/>
                <w:bCs/>
                <w:color w:val="auto"/>
                <w:sz w:val="20"/>
                <w:szCs w:val="20"/>
              </w:rPr>
              <w:t> </w:t>
            </w:r>
          </w:p>
        </w:tc>
      </w:tr>
      <w:tr w:rsidR="006864EF" w:rsidRPr="00650EE4" w14:paraId="7F417324"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678210B"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2.1.Pramonės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99879F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5.757</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98CB45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5EED70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3.811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6BCF412"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9EC5B6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3.811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B7AC0C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r>
      <w:tr w:rsidR="006864EF" w:rsidRPr="00650EE4" w14:paraId="751953C6"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CEB33C7"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2.2.Administraciniai</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362E0AF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1.135</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F67B65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8CB172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993</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5244DE9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371BCDA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993</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0AE2DA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r>
      <w:tr w:rsidR="006864EF" w:rsidRPr="00650EE4" w14:paraId="27A86F0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67AFCE69"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2.3.Mokslo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E8E792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476</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1ACB5D7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10%</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6CD2E7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911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087D5B3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C20EC6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911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2618FCD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r>
      <w:tr w:rsidR="006864EF" w:rsidRPr="00650EE4" w14:paraId="48525C54"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3B8AF8C"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2.4.Prekybos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F334A5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988</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DB7426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A7AFA4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847</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AE04A9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99B342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847</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22DF66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2035FF1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AACE1FA"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2.5.Gydymo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7565F70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217</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3C2C51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211209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363</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261BEAAB"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806633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363</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819C8B7"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4AD8C8A7"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288747E"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2.6.Kultūros</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57E9DCC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262</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41C7209F"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4%</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F3B504D"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201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18459F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D7C10D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201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1B9F56FC"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8%</w:t>
            </w:r>
          </w:p>
        </w:tc>
      </w:tr>
      <w:tr w:rsidR="006864EF" w:rsidRPr="00650EE4" w14:paraId="4039BF8B"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799696F7"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2.7.Apgyvendinimo</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212A7BF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2.581</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75E189EA"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110%</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6874CD2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791</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63EED71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35%</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CBE4E3E"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791</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BCC85E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35%</w:t>
            </w:r>
          </w:p>
        </w:tc>
      </w:tr>
      <w:tr w:rsidR="006864EF" w:rsidRPr="00650EE4" w14:paraId="326F3715" w14:textId="77777777" w:rsidTr="002770C4">
        <w:trPr>
          <w:cantSplit/>
          <w:tblHeader/>
        </w:trPr>
        <w:tc>
          <w:tcPr>
            <w:tcW w:w="2200"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0275FC0F"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2.8.Paslaugų</w:t>
            </w:r>
          </w:p>
        </w:tc>
        <w:tc>
          <w:tcPr>
            <w:tcW w:w="1224"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035386A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754</w:t>
            </w:r>
          </w:p>
        </w:tc>
        <w:tc>
          <w:tcPr>
            <w:tcW w:w="1244"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6612E74"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15%</w:t>
            </w:r>
          </w:p>
        </w:tc>
        <w:tc>
          <w:tcPr>
            <w:tcW w:w="1783" w:type="dxa"/>
            <w:tcBorders>
              <w:top w:val="nil"/>
              <w:left w:val="single" w:sz="4" w:space="0" w:color="auto"/>
              <w:bottom w:val="nil"/>
              <w:right w:val="nil"/>
            </w:tcBorders>
            <w:shd w:val="clear" w:color="000000" w:fill="FFFFFF"/>
            <w:noWrap/>
            <w:tcMar>
              <w:top w:w="15" w:type="dxa"/>
              <w:left w:w="15" w:type="dxa"/>
              <w:bottom w:w="0" w:type="dxa"/>
              <w:right w:w="15" w:type="dxa"/>
            </w:tcMar>
            <w:vAlign w:val="center"/>
            <w:hideMark/>
          </w:tcPr>
          <w:p w14:paraId="493FDFB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306</w:t>
            </w:r>
          </w:p>
        </w:tc>
        <w:tc>
          <w:tcPr>
            <w:tcW w:w="1336" w:type="dxa"/>
            <w:tcBorders>
              <w:top w:val="nil"/>
              <w:left w:val="nil"/>
              <w:bottom w:val="nil"/>
              <w:right w:val="single" w:sz="4" w:space="0" w:color="auto"/>
            </w:tcBorders>
            <w:shd w:val="clear" w:color="000000" w:fill="FFFFFF"/>
            <w:noWrap/>
            <w:tcMar>
              <w:top w:w="15" w:type="dxa"/>
              <w:left w:w="15" w:type="dxa"/>
              <w:bottom w:w="0" w:type="dxa"/>
              <w:right w:w="15" w:type="dxa"/>
            </w:tcMar>
            <w:vAlign w:val="center"/>
            <w:hideMark/>
          </w:tcPr>
          <w:p w14:paraId="32756D6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14%</w:t>
            </w:r>
          </w:p>
        </w:tc>
        <w:tc>
          <w:tcPr>
            <w:tcW w:w="1678"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5DF2FC08"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306</w:t>
            </w:r>
          </w:p>
        </w:tc>
        <w:tc>
          <w:tcPr>
            <w:tcW w:w="719" w:type="dxa"/>
            <w:tcBorders>
              <w:top w:val="nil"/>
              <w:left w:val="single" w:sz="4" w:space="0" w:color="auto"/>
              <w:bottom w:val="nil"/>
              <w:right w:val="single" w:sz="4" w:space="0" w:color="auto"/>
            </w:tcBorders>
            <w:shd w:val="clear" w:color="000000" w:fill="FFFFFF"/>
            <w:noWrap/>
            <w:tcMar>
              <w:top w:w="15" w:type="dxa"/>
              <w:left w:w="15" w:type="dxa"/>
              <w:bottom w:w="0" w:type="dxa"/>
              <w:right w:w="15" w:type="dxa"/>
            </w:tcMar>
            <w:vAlign w:val="center"/>
            <w:hideMark/>
          </w:tcPr>
          <w:p w14:paraId="4DBBA329"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14%</w:t>
            </w:r>
          </w:p>
        </w:tc>
      </w:tr>
      <w:tr w:rsidR="006864EF" w:rsidRPr="00650EE4" w14:paraId="6C9CA663" w14:textId="77777777" w:rsidTr="002770C4">
        <w:trPr>
          <w:cantSplit/>
          <w:tblHeader/>
        </w:trPr>
        <w:tc>
          <w:tcPr>
            <w:tcW w:w="2200"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6FA0FCA3" w14:textId="77777777" w:rsidR="006864EF" w:rsidRPr="00650EE4" w:rsidRDefault="006864EF" w:rsidP="00FC50F8">
            <w:pPr>
              <w:rPr>
                <w:rFonts w:ascii="Times New Roman" w:hAnsi="Times New Roman"/>
                <w:sz w:val="20"/>
                <w:szCs w:val="20"/>
              </w:rPr>
            </w:pPr>
            <w:r w:rsidRPr="00650EE4">
              <w:rPr>
                <w:rFonts w:ascii="Times New Roman" w:hAnsi="Times New Roman"/>
                <w:sz w:val="20"/>
                <w:szCs w:val="20"/>
              </w:rPr>
              <w:t>2.9.Kita</w:t>
            </w:r>
          </w:p>
        </w:tc>
        <w:tc>
          <w:tcPr>
            <w:tcW w:w="1224"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0E08FB85"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236</w:t>
            </w:r>
          </w:p>
        </w:tc>
        <w:tc>
          <w:tcPr>
            <w:tcW w:w="1244"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9A5CC00"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783" w:type="dxa"/>
            <w:tcBorders>
              <w:top w:val="nil"/>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388FD5B2"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196</w:t>
            </w:r>
          </w:p>
        </w:tc>
        <w:tc>
          <w:tcPr>
            <w:tcW w:w="1336" w:type="dxa"/>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0105E243"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c>
          <w:tcPr>
            <w:tcW w:w="1678"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59C5DA96"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196</w:t>
            </w:r>
          </w:p>
        </w:tc>
        <w:tc>
          <w:tcPr>
            <w:tcW w:w="719"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165F99D1" w14:textId="77777777" w:rsidR="006864EF" w:rsidRPr="00650EE4" w:rsidRDefault="006864EF" w:rsidP="00FC50F8">
            <w:pPr>
              <w:jc w:val="right"/>
              <w:rPr>
                <w:rFonts w:ascii="Times New Roman" w:hAnsi="Times New Roman"/>
                <w:sz w:val="20"/>
                <w:szCs w:val="20"/>
              </w:rPr>
            </w:pPr>
            <w:r w:rsidRPr="00650EE4">
              <w:rPr>
                <w:rFonts w:ascii="Times New Roman" w:hAnsi="Times New Roman"/>
                <w:sz w:val="20"/>
                <w:szCs w:val="20"/>
              </w:rPr>
              <w:t>12%</w:t>
            </w:r>
          </w:p>
        </w:tc>
      </w:tr>
      <w:tr w:rsidR="006864EF" w:rsidRPr="00650EE4" w14:paraId="2769A142" w14:textId="77777777" w:rsidTr="002770C4">
        <w:trPr>
          <w:cantSplit/>
          <w:tblHeader/>
        </w:trPr>
        <w:tc>
          <w:tcPr>
            <w:tcW w:w="2200"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0A81E66" w14:textId="77777777" w:rsidR="006864EF" w:rsidRPr="00650EE4" w:rsidRDefault="006864EF" w:rsidP="00FC50F8">
            <w:pPr>
              <w:rPr>
                <w:rFonts w:ascii="Times New Roman" w:hAnsi="Times New Roman"/>
                <w:b/>
                <w:bCs/>
                <w:sz w:val="20"/>
                <w:szCs w:val="20"/>
              </w:rPr>
            </w:pPr>
            <w:r w:rsidRPr="00650EE4">
              <w:rPr>
                <w:rFonts w:ascii="Times New Roman" w:hAnsi="Times New Roman"/>
                <w:b/>
                <w:bCs/>
                <w:sz w:val="20"/>
                <w:szCs w:val="20"/>
              </w:rPr>
              <w:t>Iš viso</w:t>
            </w:r>
          </w:p>
        </w:tc>
        <w:tc>
          <w:tcPr>
            <w:tcW w:w="1224" w:type="dxa"/>
            <w:tcBorders>
              <w:top w:val="single" w:sz="4" w:space="0" w:color="auto"/>
              <w:left w:val="single" w:sz="8" w:space="0" w:color="auto"/>
              <w:bottom w:val="single" w:sz="4" w:space="0" w:color="auto"/>
              <w:right w:val="nil"/>
            </w:tcBorders>
            <w:shd w:val="clear" w:color="000000" w:fill="FFFFFF"/>
            <w:noWrap/>
            <w:tcMar>
              <w:top w:w="15" w:type="dxa"/>
              <w:left w:w="15" w:type="dxa"/>
              <w:bottom w:w="0" w:type="dxa"/>
              <w:right w:w="15" w:type="dxa"/>
            </w:tcMar>
            <w:vAlign w:val="center"/>
            <w:hideMark/>
          </w:tcPr>
          <w:p w14:paraId="5CA30166"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62.206</w:t>
            </w:r>
          </w:p>
        </w:tc>
        <w:tc>
          <w:tcPr>
            <w:tcW w:w="1244"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747997CB"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9%</w:t>
            </w:r>
          </w:p>
        </w:tc>
        <w:tc>
          <w:tcPr>
            <w:tcW w:w="1783"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77C13C9B"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 xml:space="preserve">              22.517 </w:t>
            </w:r>
          </w:p>
        </w:tc>
        <w:tc>
          <w:tcPr>
            <w:tcW w:w="1336"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4B3EFBDF"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11%</w:t>
            </w:r>
          </w:p>
        </w:tc>
        <w:tc>
          <w:tcPr>
            <w:tcW w:w="1678" w:type="dxa"/>
            <w:tcBorders>
              <w:top w:val="single" w:sz="4" w:space="0" w:color="auto"/>
              <w:left w:val="single" w:sz="4" w:space="0" w:color="auto"/>
              <w:bottom w:val="single" w:sz="4" w:space="0" w:color="auto"/>
              <w:right w:val="nil"/>
            </w:tcBorders>
            <w:shd w:val="clear" w:color="000000" w:fill="FFFFFF"/>
            <w:noWrap/>
            <w:tcMar>
              <w:top w:w="15" w:type="dxa"/>
              <w:left w:w="15" w:type="dxa"/>
              <w:bottom w:w="0" w:type="dxa"/>
              <w:right w:w="15" w:type="dxa"/>
            </w:tcMar>
            <w:vAlign w:val="center"/>
            <w:hideMark/>
          </w:tcPr>
          <w:p w14:paraId="4A5173B3"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19.788</w:t>
            </w:r>
          </w:p>
        </w:tc>
        <w:tc>
          <w:tcPr>
            <w:tcW w:w="719" w:type="dxa"/>
            <w:tcBorders>
              <w:top w:val="single" w:sz="4" w:space="0" w:color="auto"/>
              <w:left w:val="nil"/>
              <w:bottom w:val="single" w:sz="4" w:space="0" w:color="auto"/>
              <w:right w:val="single" w:sz="4" w:space="0" w:color="auto"/>
            </w:tcBorders>
            <w:shd w:val="clear" w:color="000000" w:fill="FFFFFF"/>
            <w:noWrap/>
            <w:tcMar>
              <w:top w:w="15" w:type="dxa"/>
              <w:left w:w="15" w:type="dxa"/>
              <w:bottom w:w="0" w:type="dxa"/>
              <w:right w:w="15" w:type="dxa"/>
            </w:tcMar>
            <w:vAlign w:val="center"/>
            <w:hideMark/>
          </w:tcPr>
          <w:p w14:paraId="31D08421" w14:textId="77777777" w:rsidR="006864EF" w:rsidRPr="00650EE4" w:rsidRDefault="006864EF" w:rsidP="00FC50F8">
            <w:pPr>
              <w:jc w:val="right"/>
              <w:rPr>
                <w:rFonts w:ascii="Times New Roman" w:hAnsi="Times New Roman"/>
                <w:b/>
                <w:bCs/>
                <w:sz w:val="20"/>
                <w:szCs w:val="20"/>
              </w:rPr>
            </w:pPr>
            <w:r w:rsidRPr="00650EE4">
              <w:rPr>
                <w:rFonts w:ascii="Times New Roman" w:hAnsi="Times New Roman"/>
                <w:b/>
                <w:bCs/>
                <w:sz w:val="20"/>
                <w:szCs w:val="20"/>
              </w:rPr>
              <w:t>11%</w:t>
            </w:r>
          </w:p>
        </w:tc>
      </w:tr>
    </w:tbl>
    <w:p w14:paraId="1A5C2E74" w14:textId="2A2B3526" w:rsidR="006864EF" w:rsidRPr="00650EE4" w:rsidRDefault="006864EF" w:rsidP="00332BCF">
      <w:pPr>
        <w:spacing w:line="240" w:lineRule="auto"/>
        <w:jc w:val="both"/>
        <w:rPr>
          <w:rFonts w:ascii="Times New Roman" w:eastAsia="Times New Roman" w:hAnsi="Times New Roman"/>
          <w:i/>
          <w:iCs/>
          <w:color w:val="000000" w:themeColor="text1"/>
          <w:sz w:val="20"/>
          <w:szCs w:val="20"/>
        </w:rPr>
      </w:pPr>
      <w:r w:rsidRPr="00650EE4">
        <w:rPr>
          <w:rFonts w:ascii="Times New Roman" w:hAnsi="Times New Roman"/>
          <w:i/>
          <w:iCs/>
          <w:color w:val="000000" w:themeColor="text1"/>
          <w:sz w:val="20"/>
          <w:szCs w:val="20"/>
        </w:rPr>
        <w:t xml:space="preserve">Šaltinis: </w:t>
      </w:r>
      <w:r w:rsidRPr="00650EE4">
        <w:rPr>
          <w:rFonts w:ascii="Times New Roman" w:eastAsia="Times New Roman" w:hAnsi="Times New Roman"/>
          <w:i/>
          <w:iCs/>
          <w:color w:val="000000" w:themeColor="text1"/>
          <w:sz w:val="20"/>
          <w:szCs w:val="20"/>
        </w:rPr>
        <w:t>Studijos</w:t>
      </w:r>
      <w:r w:rsidR="006D65CB">
        <w:rPr>
          <w:rFonts w:ascii="Times New Roman" w:eastAsia="Times New Roman" w:hAnsi="Times New Roman"/>
          <w:i/>
          <w:iCs/>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iCs/>
          <w:color w:val="000000" w:themeColor="text1"/>
          <w:sz w:val="20"/>
          <w:szCs w:val="20"/>
        </w:rPr>
        <w:t xml:space="preserve"> autoriai</w:t>
      </w:r>
    </w:p>
    <w:p w14:paraId="1A189FF8" w14:textId="77777777" w:rsidR="00CF687A" w:rsidRPr="00650EE4" w:rsidRDefault="00CF687A" w:rsidP="00FC50F8">
      <w:pPr>
        <w:spacing w:line="240" w:lineRule="auto"/>
        <w:jc w:val="both"/>
        <w:rPr>
          <w:rFonts w:ascii="Times New Roman" w:hAnsi="Times New Roman"/>
          <w:color w:val="000000" w:themeColor="text1"/>
          <w:szCs w:val="22"/>
        </w:rPr>
      </w:pPr>
    </w:p>
    <w:p w14:paraId="68596E5D" w14:textId="35538850" w:rsidR="00FC50F8" w:rsidRPr="00650EE4" w:rsidRDefault="00FC50F8" w:rsidP="00FC50F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Nors vakarinėje šalies dalyje juntama Baltijos jūros įtaka klimatui, pastatų energijos vartojimas nuo likusios šalies dalies skiriasi tik 2 proc. ribose</w:t>
      </w:r>
      <w:r w:rsidRPr="00650EE4">
        <w:rPr>
          <w:rStyle w:val="FootnoteReference"/>
          <w:rFonts w:ascii="Times New Roman" w:hAnsi="Times New Roman"/>
          <w:color w:val="000000" w:themeColor="text1"/>
          <w:szCs w:val="22"/>
        </w:rPr>
        <w:footnoteReference w:id="7"/>
      </w:r>
      <w:r w:rsidRPr="00650EE4">
        <w:rPr>
          <w:rFonts w:ascii="Times New Roman" w:hAnsi="Times New Roman"/>
          <w:color w:val="000000" w:themeColor="text1"/>
          <w:szCs w:val="22"/>
        </w:rPr>
        <w:t>. Kadangi skirtumai tarp vakarinės ir likusios šalies dalies energijos vartojimo nėra reikšmingi</w:t>
      </w:r>
      <w:r w:rsidR="00AB34ED" w:rsidRPr="00650EE4">
        <w:rPr>
          <w:rFonts w:ascii="Times New Roman" w:hAnsi="Times New Roman"/>
          <w:color w:val="000000" w:themeColor="text1"/>
          <w:szCs w:val="22"/>
        </w:rPr>
        <w:t xml:space="preserve">, o šiluminės energijos sąnaudos pastatui šildyti </w:t>
      </w:r>
      <w:r w:rsidR="004B71A9">
        <w:rPr>
          <w:rFonts w:ascii="Times New Roman" w:hAnsi="Times New Roman"/>
          <w:color w:val="000000" w:themeColor="text1"/>
          <w:szCs w:val="22"/>
        </w:rPr>
        <w:t>imamos</w:t>
      </w:r>
      <w:r w:rsidR="00AB34ED" w:rsidRPr="00650EE4">
        <w:rPr>
          <w:rFonts w:ascii="Times New Roman" w:hAnsi="Times New Roman"/>
          <w:color w:val="000000" w:themeColor="text1"/>
          <w:szCs w:val="22"/>
        </w:rPr>
        <w:t xml:space="preserve"> iš SPSC PEN sertifikatų registrų bazės, kurių skaičiavimo metodikoje naudojami vidutiniai Lietuvos klimato parametrai, </w:t>
      </w:r>
      <w:r w:rsidRPr="00650EE4">
        <w:rPr>
          <w:rFonts w:ascii="Times New Roman" w:hAnsi="Times New Roman"/>
          <w:color w:val="000000" w:themeColor="text1"/>
          <w:szCs w:val="22"/>
        </w:rPr>
        <w:t xml:space="preserve">visa Lietuvos teritorija ir IRS kontekste vertinama kaip viena klimatinė zona. </w:t>
      </w:r>
    </w:p>
    <w:p w14:paraId="1BDC2A8F" w14:textId="77777777" w:rsidR="00FC50F8" w:rsidRPr="00650EE4" w:rsidRDefault="00FC50F8" w:rsidP="00FC50F8">
      <w:pPr>
        <w:spacing w:line="240" w:lineRule="auto"/>
        <w:jc w:val="both"/>
        <w:rPr>
          <w:rFonts w:ascii="Times New Roman" w:eastAsia="Times New Roman" w:hAnsi="Times New Roman"/>
          <w:i/>
          <w:iCs/>
          <w:color w:val="000000" w:themeColor="text1"/>
          <w:sz w:val="20"/>
          <w:szCs w:val="20"/>
        </w:rPr>
      </w:pPr>
    </w:p>
    <w:p w14:paraId="548F908E" w14:textId="03DFBA72" w:rsidR="00D95A6C"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48" w:name="_Toc59094256"/>
      <w:r w:rsidR="00F25C65">
        <w:t>7</w:t>
      </w:r>
      <w:r w:rsidRPr="00650EE4">
        <w:rPr>
          <w:noProof w:val="0"/>
        </w:rPr>
        <w:fldChar w:fldCharType="end"/>
      </w:r>
      <w:r w:rsidR="00192D95" w:rsidRPr="00650EE4">
        <w:rPr>
          <w:noProof w:val="0"/>
        </w:rPr>
        <w:t xml:space="preserve"> paveikslas</w:t>
      </w:r>
      <w:r w:rsidR="00D95A6C" w:rsidRPr="00650EE4">
        <w:rPr>
          <w:noProof w:val="0"/>
        </w:rPr>
        <w:t xml:space="preserve">. Šildymo ir vėsinimo </w:t>
      </w:r>
      <w:proofErr w:type="spellStart"/>
      <w:r w:rsidR="00D95A6C" w:rsidRPr="00650EE4">
        <w:rPr>
          <w:noProof w:val="0"/>
        </w:rPr>
        <w:t>dienolaipsnių</w:t>
      </w:r>
      <w:proofErr w:type="spellEnd"/>
      <w:r w:rsidR="00D95A6C" w:rsidRPr="00650EE4">
        <w:rPr>
          <w:noProof w:val="0"/>
        </w:rPr>
        <w:t xml:space="preserve"> stebėtos tendencijos EEE šalyse</w:t>
      </w:r>
      <w:bookmarkEnd w:id="48"/>
    </w:p>
    <w:p w14:paraId="22A98848" w14:textId="77777777" w:rsidR="00D95A6C" w:rsidRPr="00650EE4" w:rsidRDefault="00D95A6C" w:rsidP="00D95A6C">
      <w:pPr>
        <w:spacing w:line="240" w:lineRule="auto"/>
        <w:rPr>
          <w:rFonts w:ascii="Times New Roman" w:hAnsi="Times New Roman"/>
          <w:color w:val="000000" w:themeColor="text1"/>
          <w:sz w:val="24"/>
          <w:szCs w:val="24"/>
        </w:rPr>
      </w:pPr>
      <w:r w:rsidRPr="00650EE4">
        <w:rPr>
          <w:rFonts w:ascii="Times New Roman" w:hAnsi="Times New Roman"/>
          <w:noProof/>
          <w:lang w:eastAsia="lt-LT"/>
        </w:rPr>
        <w:drawing>
          <wp:inline distT="0" distB="0" distL="0" distR="0" wp14:anchorId="61B20539" wp14:editId="692B54AB">
            <wp:extent cx="5950429" cy="3864711"/>
            <wp:effectExtent l="19050" t="19050" r="12700" b="215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50429" cy="3864711"/>
                    </a:xfrm>
                    <a:prstGeom prst="rect">
                      <a:avLst/>
                    </a:prstGeom>
                    <a:noFill/>
                    <a:ln>
                      <a:solidFill>
                        <a:schemeClr val="tx1"/>
                      </a:solidFill>
                    </a:ln>
                  </pic:spPr>
                </pic:pic>
              </a:graphicData>
            </a:graphic>
          </wp:inline>
        </w:drawing>
      </w:r>
    </w:p>
    <w:p w14:paraId="5CDDECD3" w14:textId="3E8549E6" w:rsidR="00D95A6C" w:rsidRPr="00650EE4" w:rsidRDefault="00D95A6C" w:rsidP="00D95A6C">
      <w:pPr>
        <w:spacing w:line="240" w:lineRule="auto"/>
        <w:rPr>
          <w:rFonts w:ascii="Times New Roman" w:hAnsi="Times New Roman"/>
          <w:i/>
          <w:iCs/>
          <w:color w:val="0070C0"/>
          <w:sz w:val="20"/>
          <w:szCs w:val="20"/>
        </w:rPr>
      </w:pPr>
      <w:r w:rsidRPr="00650EE4">
        <w:rPr>
          <w:rFonts w:ascii="Times New Roman" w:hAnsi="Times New Roman"/>
          <w:i/>
          <w:iCs/>
          <w:color w:val="000000" w:themeColor="text1"/>
          <w:sz w:val="20"/>
          <w:szCs w:val="20"/>
        </w:rPr>
        <w:t>Šaltinis: Europos aplinkos agentūra,</w:t>
      </w:r>
      <w:r w:rsidR="003E0C4E" w:rsidRPr="003E0C4E">
        <w:t xml:space="preserve"> </w:t>
      </w:r>
      <w:hyperlink r:id="rId37" w:history="1">
        <w:r w:rsidR="003E0C4E" w:rsidRPr="00650EE4">
          <w:rPr>
            <w:rStyle w:val="Hyperlink"/>
            <w:rFonts w:ascii="Times New Roman" w:hAnsi="Times New Roman"/>
            <w:i/>
            <w:iCs/>
            <w:color w:val="0070C0"/>
            <w:sz w:val="20"/>
            <w:szCs w:val="20"/>
          </w:rPr>
          <w:t>https://www.eea.europa.eu/data-and-maps/figures/trend-in-heating-and-cooling-1</w:t>
        </w:r>
      </w:hyperlink>
      <w:r w:rsidR="003E0C4E">
        <w:rPr>
          <w:rFonts w:ascii="Times New Roman" w:hAnsi="Times New Roman"/>
          <w:i/>
          <w:iCs/>
          <w:color w:val="0070C0"/>
          <w:sz w:val="20"/>
          <w:szCs w:val="20"/>
        </w:rPr>
        <w:t xml:space="preserve"> </w:t>
      </w:r>
      <w:r w:rsidRPr="00650EE4">
        <w:rPr>
          <w:rFonts w:ascii="Times New Roman" w:hAnsi="Times New Roman"/>
          <w:i/>
          <w:iCs/>
          <w:color w:val="0070C0"/>
          <w:sz w:val="20"/>
          <w:szCs w:val="20"/>
        </w:rPr>
        <w:t xml:space="preserve"> </w:t>
      </w:r>
    </w:p>
    <w:p w14:paraId="48D33D1C" w14:textId="77777777" w:rsidR="00D95A6C" w:rsidRPr="00650EE4" w:rsidRDefault="00D95A6C" w:rsidP="00D95A6C">
      <w:pPr>
        <w:spacing w:line="240" w:lineRule="auto"/>
        <w:rPr>
          <w:rFonts w:ascii="Times New Roman" w:hAnsi="Times New Roman"/>
          <w:color w:val="000000" w:themeColor="text1"/>
          <w:szCs w:val="22"/>
        </w:rPr>
      </w:pPr>
    </w:p>
    <w:p w14:paraId="7DF27D94" w14:textId="7160CB5B" w:rsidR="00370FCC" w:rsidRPr="00650EE4" w:rsidRDefault="00370FCC" w:rsidP="00507AC9">
      <w:pPr>
        <w:pStyle w:val="Pagrindinispaprastastekstas"/>
        <w:spacing w:after="120"/>
        <w:rPr>
          <w:rFonts w:ascii="Times New Roman" w:hAnsi="Times New Roman"/>
          <w:b/>
          <w:szCs w:val="22"/>
        </w:rPr>
      </w:pPr>
      <w:r w:rsidRPr="00650EE4">
        <w:rPr>
          <w:rFonts w:ascii="Times New Roman" w:hAnsi="Times New Roman"/>
          <w:b/>
          <w:szCs w:val="22"/>
        </w:rPr>
        <w:t xml:space="preserve">Klimato kaitos prognozė </w:t>
      </w:r>
    </w:p>
    <w:p w14:paraId="7ADEA594" w14:textId="1FDAEB3C" w:rsidR="00AB34ED" w:rsidRPr="00650EE4" w:rsidRDefault="00AB34ED" w:rsidP="00370FC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Remiantis septintuoju Lietuvos Nacionaliniu pranešimu Jungtinių Tautų bendrosios klimato kaitos konvencijai prognozuojama, kad vidutinė maksimali ir minimali oro temperatūra XXI amžiuje Lietuvoje augs. Remiantis klimato prognozių studija, didžiausias vidutinės oro temperatūros kilimas numatomas šaltuoju metų laiku. </w:t>
      </w:r>
      <w:r w:rsidR="00C367FD" w:rsidRPr="00650EE4">
        <w:rPr>
          <w:rFonts w:ascii="Times New Roman" w:hAnsi="Times New Roman"/>
          <w:color w:val="000000" w:themeColor="text1"/>
          <w:szCs w:val="22"/>
          <w:lang w:val="lt-LT"/>
        </w:rPr>
        <w:t>Lietuvoje</w:t>
      </w:r>
      <w:r w:rsidRPr="00650EE4">
        <w:rPr>
          <w:rFonts w:ascii="Times New Roman" w:hAnsi="Times New Roman"/>
          <w:color w:val="000000" w:themeColor="text1"/>
          <w:szCs w:val="22"/>
          <w:lang w:val="lt-LT"/>
        </w:rPr>
        <w:t xml:space="preserve"> vidutinė oro temperatūra iki 2100 m. gali pakilti 1,5 – 5.1 °C, o atskirais mėnesiais šiaurės rytų Lietuvoje ir iki 7 °C. 2035 m. vidutinė oro temperatūra visoje </w:t>
      </w:r>
      <w:r w:rsidR="00C367FD" w:rsidRPr="00650EE4">
        <w:rPr>
          <w:rFonts w:ascii="Times New Roman" w:hAnsi="Times New Roman"/>
          <w:color w:val="000000" w:themeColor="text1"/>
          <w:szCs w:val="22"/>
          <w:lang w:val="lt-LT"/>
        </w:rPr>
        <w:t>Lietuvoje</w:t>
      </w:r>
      <w:r w:rsidRPr="00650EE4">
        <w:rPr>
          <w:rFonts w:ascii="Times New Roman" w:hAnsi="Times New Roman"/>
          <w:color w:val="000000" w:themeColor="text1"/>
          <w:szCs w:val="22"/>
          <w:lang w:val="lt-LT"/>
        </w:rPr>
        <w:t xml:space="preserve"> gali pakilti 1,1 – 1,4 °C.  Taip pat prognozuojama, kad šalti periodai (kai minimali oro temperatūra ≤ -20°C) pasitaikys tik sausio-vasario mėnesiais,</w:t>
      </w:r>
    </w:p>
    <w:p w14:paraId="21D232A8" w14:textId="77777777" w:rsidR="00AB34ED" w:rsidRPr="00650EE4" w:rsidRDefault="00AB34ED" w:rsidP="00370FCC">
      <w:pPr>
        <w:pStyle w:val="BodyText"/>
        <w:spacing w:line="240" w:lineRule="auto"/>
        <w:jc w:val="both"/>
        <w:rPr>
          <w:rFonts w:ascii="Times New Roman" w:hAnsi="Times New Roman"/>
          <w:color w:val="000000" w:themeColor="text1"/>
          <w:szCs w:val="22"/>
          <w:lang w:val="lt-LT"/>
        </w:rPr>
      </w:pPr>
    </w:p>
    <w:p w14:paraId="011FFEDB" w14:textId="7E165BFA" w:rsidR="00515036" w:rsidRPr="00650EE4" w:rsidRDefault="00AB34ED" w:rsidP="00751F8C">
      <w:pPr>
        <w:spacing w:after="24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Šylant klimatui, vidutinės oro temperatūros pokytis lems pirminės energijos pastatuose vartojimo sumažėjimą. Į šį faktorių atsižvelgta modeliuojant pirminės energijos vartojimo kitimo prognozę (žr. </w:t>
      </w:r>
      <w:r w:rsidR="006D65CB">
        <w:rPr>
          <w:rFonts w:ascii="Times New Roman" w:hAnsi="Times New Roman"/>
          <w:color w:val="000000" w:themeColor="text1"/>
          <w:szCs w:val="22"/>
        </w:rPr>
        <w:t>5</w:t>
      </w:r>
      <w:r w:rsidRPr="00650EE4">
        <w:rPr>
          <w:rFonts w:ascii="Times New Roman" w:hAnsi="Times New Roman"/>
          <w:color w:val="000000" w:themeColor="text1"/>
          <w:szCs w:val="22"/>
        </w:rPr>
        <w:t>.1.1 skyrių).</w:t>
      </w:r>
    </w:p>
    <w:p w14:paraId="63B8FE2B" w14:textId="656B6B80" w:rsidR="00540DBD" w:rsidRPr="00650EE4" w:rsidRDefault="00540DBD" w:rsidP="00023B00">
      <w:pPr>
        <w:pStyle w:val="Antrastes31"/>
        <w:numPr>
          <w:ilvl w:val="2"/>
          <w:numId w:val="4"/>
        </w:numPr>
        <w:spacing w:before="0"/>
        <w:ind w:left="720" w:hanging="720"/>
        <w:rPr>
          <w:rFonts w:ascii="Times New Roman" w:hAnsi="Times New Roman"/>
          <w:color w:val="000000" w:themeColor="text1"/>
          <w:sz w:val="24"/>
          <w:szCs w:val="24"/>
          <w:lang w:val="lt-LT"/>
        </w:rPr>
      </w:pPr>
      <w:bookmarkStart w:id="49" w:name="_Toc59107510"/>
      <w:r w:rsidRPr="00650EE4">
        <w:rPr>
          <w:rFonts w:ascii="Times New Roman" w:hAnsi="Times New Roman"/>
          <w:color w:val="000000" w:themeColor="text1"/>
          <w:sz w:val="24"/>
          <w:szCs w:val="24"/>
          <w:lang w:val="lt-LT"/>
        </w:rPr>
        <w:t>Šilum</w:t>
      </w:r>
      <w:r w:rsidR="00D83347" w:rsidRPr="00650EE4">
        <w:rPr>
          <w:rFonts w:ascii="Times New Roman" w:hAnsi="Times New Roman"/>
          <w:color w:val="000000" w:themeColor="text1"/>
          <w:sz w:val="24"/>
          <w:szCs w:val="24"/>
          <w:lang w:val="lt-LT"/>
        </w:rPr>
        <w:t>inė</w:t>
      </w:r>
      <w:r w:rsidRPr="00650EE4">
        <w:rPr>
          <w:rFonts w:ascii="Times New Roman" w:hAnsi="Times New Roman"/>
          <w:color w:val="000000" w:themeColor="text1"/>
          <w:sz w:val="24"/>
          <w:szCs w:val="24"/>
          <w:lang w:val="lt-LT"/>
        </w:rPr>
        <w:t>s energijos</w:t>
      </w:r>
      <w:r w:rsidR="00AD3A59" w:rsidRPr="00650EE4">
        <w:rPr>
          <w:rFonts w:ascii="Times New Roman" w:hAnsi="Times New Roman"/>
          <w:color w:val="000000" w:themeColor="text1"/>
          <w:sz w:val="24"/>
          <w:szCs w:val="24"/>
          <w:lang w:val="lt-LT"/>
        </w:rPr>
        <w:t xml:space="preserve"> </w:t>
      </w:r>
      <w:r w:rsidR="00171CE3" w:rsidRPr="00650EE4">
        <w:rPr>
          <w:rFonts w:ascii="Times New Roman" w:hAnsi="Times New Roman"/>
          <w:color w:val="000000" w:themeColor="text1"/>
          <w:sz w:val="24"/>
          <w:szCs w:val="24"/>
          <w:lang w:val="lt-LT"/>
        </w:rPr>
        <w:t xml:space="preserve">pastato </w:t>
      </w:r>
      <w:r w:rsidR="00AD3A59" w:rsidRPr="00650EE4">
        <w:rPr>
          <w:rFonts w:ascii="Times New Roman" w:hAnsi="Times New Roman"/>
          <w:color w:val="000000" w:themeColor="text1"/>
          <w:sz w:val="24"/>
          <w:szCs w:val="24"/>
          <w:lang w:val="lt-LT"/>
        </w:rPr>
        <w:t>šildymui</w:t>
      </w:r>
      <w:r w:rsidRPr="00650EE4">
        <w:rPr>
          <w:rFonts w:ascii="Times New Roman" w:hAnsi="Times New Roman"/>
          <w:color w:val="000000" w:themeColor="text1"/>
          <w:sz w:val="24"/>
          <w:szCs w:val="24"/>
          <w:lang w:val="lt-LT"/>
        </w:rPr>
        <w:t xml:space="preserve"> vartojimas</w:t>
      </w:r>
      <w:bookmarkEnd w:id="49"/>
      <w:r w:rsidR="00D62920" w:rsidRPr="00650EE4">
        <w:rPr>
          <w:rFonts w:ascii="Times New Roman" w:hAnsi="Times New Roman"/>
          <w:color w:val="000000" w:themeColor="text1"/>
          <w:sz w:val="24"/>
          <w:szCs w:val="24"/>
          <w:lang w:val="lt-LT"/>
        </w:rPr>
        <w:t xml:space="preserve"> </w:t>
      </w:r>
    </w:p>
    <w:p w14:paraId="100ED8AD" w14:textId="1FFC4D27" w:rsidR="00A45646" w:rsidRPr="00650EE4" w:rsidRDefault="00A45646" w:rsidP="00A45646">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Šiluminės energijos sąnaudos </w:t>
      </w:r>
      <w:r w:rsidR="009E0A0F" w:rsidRPr="00650EE4">
        <w:rPr>
          <w:rFonts w:ascii="Times New Roman" w:hAnsi="Times New Roman"/>
          <w:color w:val="000000" w:themeColor="text1"/>
          <w:szCs w:val="22"/>
          <w:lang w:val="lt-LT"/>
        </w:rPr>
        <w:t>pastatui šildyti</w:t>
      </w:r>
      <w:r w:rsidRPr="00650EE4">
        <w:rPr>
          <w:rFonts w:ascii="Times New Roman" w:hAnsi="Times New Roman"/>
          <w:color w:val="000000" w:themeColor="text1"/>
          <w:szCs w:val="22"/>
          <w:lang w:val="lt-LT"/>
        </w:rPr>
        <w:t xml:space="preserve"> apima:</w:t>
      </w:r>
    </w:p>
    <w:p w14:paraId="249B2C2E" w14:textId="7226634F"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sąnaudas dėl pastato atitvarų nuostolių;</w:t>
      </w:r>
    </w:p>
    <w:p w14:paraId="6FFAB78D" w14:textId="73D2AF84" w:rsidR="00A45646" w:rsidRPr="00650EE4" w:rsidRDefault="006560B4" w:rsidP="00A45646">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 xml:space="preserve">iluminės energijos sąnaudas dėl pastato natūralaus ir mechaninio vėdinimo, dėl </w:t>
      </w:r>
      <w:proofErr w:type="spellStart"/>
      <w:r w:rsidR="00A45646" w:rsidRPr="00650EE4">
        <w:rPr>
          <w:rFonts w:ascii="Times New Roman" w:hAnsi="Times New Roman"/>
          <w:color w:val="000000" w:themeColor="text1"/>
          <w:szCs w:val="22"/>
        </w:rPr>
        <w:t>infiltracijos</w:t>
      </w:r>
      <w:proofErr w:type="spellEnd"/>
      <w:r w:rsidR="00A45646" w:rsidRPr="00650EE4">
        <w:rPr>
          <w:rFonts w:ascii="Times New Roman" w:hAnsi="Times New Roman"/>
          <w:color w:val="000000" w:themeColor="text1"/>
          <w:szCs w:val="22"/>
        </w:rPr>
        <w:t xml:space="preserve"> bei durų varstymo.</w:t>
      </w:r>
    </w:p>
    <w:p w14:paraId="78D1801D" w14:textId="77777777" w:rsidR="00A45646" w:rsidRPr="00650EE4" w:rsidRDefault="00A45646" w:rsidP="00A45646">
      <w:pPr>
        <w:pStyle w:val="Pagrindinispaprastastekstas"/>
        <w:rPr>
          <w:rFonts w:ascii="Times New Roman" w:hAnsi="Times New Roman"/>
          <w:color w:val="000000" w:themeColor="text1"/>
          <w:szCs w:val="22"/>
        </w:rPr>
      </w:pPr>
    </w:p>
    <w:p w14:paraId="2F6F88FE" w14:textId="77777777" w:rsidR="00A24B66" w:rsidRPr="00650EE4" w:rsidRDefault="00A24B66" w:rsidP="00D37763">
      <w:pPr>
        <w:pStyle w:val="BodyText"/>
        <w:spacing w:line="240" w:lineRule="auto"/>
        <w:jc w:val="both"/>
        <w:rPr>
          <w:rFonts w:ascii="Times New Roman" w:hAnsi="Times New Roman"/>
          <w:color w:val="000000" w:themeColor="text1"/>
          <w:szCs w:val="22"/>
          <w:lang w:val="lt-LT"/>
        </w:rPr>
      </w:pPr>
    </w:p>
    <w:p w14:paraId="497F3DF4" w14:textId="2643FD35" w:rsidR="00612397" w:rsidRPr="00650EE4" w:rsidRDefault="00612397" w:rsidP="00D37763">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Lentelėje žemiau pateikiamas </w:t>
      </w:r>
      <w:r w:rsidR="004962BD" w:rsidRPr="00650EE4">
        <w:rPr>
          <w:rFonts w:ascii="Times New Roman" w:hAnsi="Times New Roman"/>
          <w:color w:val="000000" w:themeColor="text1"/>
          <w:szCs w:val="22"/>
          <w:lang w:val="lt-LT"/>
        </w:rPr>
        <w:t xml:space="preserve">skaičiuotinas </w:t>
      </w:r>
      <w:r w:rsidR="006560B4">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astatų fondo metini</w:t>
      </w:r>
      <w:r w:rsidR="00BF41F4"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šiluminės energijos </w:t>
      </w:r>
      <w:r w:rsidR="00954D06" w:rsidRPr="00650EE4">
        <w:rPr>
          <w:rFonts w:ascii="Times New Roman" w:hAnsi="Times New Roman"/>
          <w:color w:val="000000" w:themeColor="text1"/>
          <w:szCs w:val="22"/>
          <w:lang w:val="lt-LT"/>
        </w:rPr>
        <w:t xml:space="preserve">pastato </w:t>
      </w:r>
      <w:r w:rsidRPr="00650EE4">
        <w:rPr>
          <w:rFonts w:ascii="Times New Roman" w:hAnsi="Times New Roman"/>
          <w:color w:val="000000" w:themeColor="text1"/>
          <w:szCs w:val="22"/>
          <w:lang w:val="lt-LT"/>
        </w:rPr>
        <w:t>šildymui vartojimas pagal energ</w:t>
      </w:r>
      <w:r w:rsidR="00BF41F4" w:rsidRPr="00650EE4">
        <w:rPr>
          <w:rFonts w:ascii="Times New Roman" w:hAnsi="Times New Roman"/>
          <w:color w:val="000000" w:themeColor="text1"/>
          <w:szCs w:val="22"/>
          <w:lang w:val="lt-LT"/>
        </w:rPr>
        <w:t>inio naudingumo</w:t>
      </w:r>
      <w:r w:rsidRPr="00650EE4">
        <w:rPr>
          <w:rFonts w:ascii="Times New Roman" w:hAnsi="Times New Roman"/>
          <w:color w:val="000000" w:themeColor="text1"/>
          <w:szCs w:val="22"/>
          <w:lang w:val="lt-LT"/>
        </w:rPr>
        <w:t xml:space="preserve"> klasę, </w:t>
      </w:r>
      <w:proofErr w:type="spellStart"/>
      <w:r w:rsidRPr="00650EE4">
        <w:rPr>
          <w:rFonts w:ascii="Times New Roman" w:hAnsi="Times New Roman"/>
          <w:color w:val="000000" w:themeColor="text1"/>
          <w:szCs w:val="22"/>
          <w:lang w:val="lt-LT"/>
        </w:rPr>
        <w:t>GWh</w:t>
      </w:r>
      <w:proofErr w:type="spellEnd"/>
      <w:r w:rsidRPr="00650EE4">
        <w:rPr>
          <w:rFonts w:ascii="Times New Roman" w:hAnsi="Times New Roman"/>
          <w:color w:val="000000" w:themeColor="text1"/>
          <w:szCs w:val="22"/>
          <w:lang w:val="lt-LT"/>
        </w:rPr>
        <w:t xml:space="preserve">. </w:t>
      </w:r>
    </w:p>
    <w:p w14:paraId="0B06DC10" w14:textId="3178A5C3" w:rsidR="004D3013" w:rsidRPr="00650EE4" w:rsidRDefault="004D3013" w:rsidP="00D37763">
      <w:pPr>
        <w:spacing w:line="240" w:lineRule="auto"/>
        <w:jc w:val="both"/>
        <w:rPr>
          <w:rFonts w:ascii="Times New Roman" w:hAnsi="Times New Roman"/>
          <w:color w:val="000000" w:themeColor="text1"/>
          <w:szCs w:val="22"/>
        </w:rPr>
      </w:pPr>
    </w:p>
    <w:p w14:paraId="2134FAF3" w14:textId="47A3A1BC" w:rsidR="004D3013"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0" w:name="_Toc59094200"/>
      <w:r w:rsidR="00F25C65">
        <w:t>17</w:t>
      </w:r>
      <w:r w:rsidRPr="00650EE4">
        <w:rPr>
          <w:noProof w:val="0"/>
        </w:rPr>
        <w:fldChar w:fldCharType="end"/>
      </w:r>
      <w:r w:rsidR="001E6DEB" w:rsidRPr="00650EE4">
        <w:rPr>
          <w:noProof w:val="0"/>
        </w:rPr>
        <w:t xml:space="preserve"> lentelė</w:t>
      </w:r>
      <w:r w:rsidR="004D3013" w:rsidRPr="00650EE4">
        <w:rPr>
          <w:noProof w:val="0"/>
        </w:rPr>
        <w:t>. Pastatų fondo šiluminės energijos</w:t>
      </w:r>
      <w:r w:rsidR="00D94126" w:rsidRPr="00650EE4">
        <w:rPr>
          <w:noProof w:val="0"/>
        </w:rPr>
        <w:t xml:space="preserve"> pastato</w:t>
      </w:r>
      <w:r w:rsidR="004D3013" w:rsidRPr="00650EE4">
        <w:rPr>
          <w:noProof w:val="0"/>
        </w:rPr>
        <w:t xml:space="preserve"> šildymui vartojimas pagal </w:t>
      </w:r>
      <w:r w:rsidR="009209CF" w:rsidRPr="00650EE4">
        <w:rPr>
          <w:noProof w:val="0"/>
        </w:rPr>
        <w:t>ENK</w:t>
      </w:r>
      <w:r w:rsidR="004D3013" w:rsidRPr="00650EE4">
        <w:rPr>
          <w:noProof w:val="0"/>
        </w:rPr>
        <w:t xml:space="preserve"> (</w:t>
      </w:r>
      <w:proofErr w:type="spellStart"/>
      <w:r w:rsidR="004D3013" w:rsidRPr="00650EE4">
        <w:rPr>
          <w:noProof w:val="0"/>
        </w:rPr>
        <w:t>GWh</w:t>
      </w:r>
      <w:proofErr w:type="spellEnd"/>
      <w:r w:rsidR="004D3013" w:rsidRPr="00650EE4">
        <w:rPr>
          <w:noProof w:val="0"/>
        </w:rPr>
        <w:t>)</w:t>
      </w:r>
      <w:bookmarkEnd w:id="50"/>
    </w:p>
    <w:tbl>
      <w:tblPr>
        <w:tblW w:w="5000" w:type="pct"/>
        <w:tblLook w:val="04A0" w:firstRow="1" w:lastRow="0" w:firstColumn="1" w:lastColumn="0" w:noHBand="0" w:noVBand="1"/>
      </w:tblPr>
      <w:tblGrid>
        <w:gridCol w:w="1910"/>
        <w:gridCol w:w="1097"/>
        <w:gridCol w:w="1098"/>
        <w:gridCol w:w="1098"/>
        <w:gridCol w:w="1098"/>
        <w:gridCol w:w="1098"/>
        <w:gridCol w:w="1100"/>
        <w:gridCol w:w="971"/>
        <w:gridCol w:w="950"/>
      </w:tblGrid>
      <w:tr w:rsidR="00A41E21" w:rsidRPr="00650EE4" w14:paraId="4FD9705E" w14:textId="77777777" w:rsidTr="00B95CC6">
        <w:tc>
          <w:tcPr>
            <w:tcW w:w="91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6C1902A0"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61"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686AA71" w14:textId="60B8389B"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w:t>
            </w:r>
            <w:r w:rsidR="0058602A" w:rsidRPr="00650EE4">
              <w:rPr>
                <w:rFonts w:ascii="Times New Roman" w:eastAsia="Times New Roman" w:hAnsi="Times New Roman"/>
                <w:b/>
                <w:bCs/>
                <w:sz w:val="20"/>
                <w:szCs w:val="20"/>
              </w:rPr>
              <w:t>inio naudingumo</w:t>
            </w:r>
            <w:r w:rsidRPr="00650EE4">
              <w:rPr>
                <w:rFonts w:ascii="Times New Roman" w:eastAsia="Times New Roman" w:hAnsi="Times New Roman"/>
                <w:b/>
                <w:bCs/>
                <w:sz w:val="20"/>
                <w:szCs w:val="20"/>
              </w:rPr>
              <w:t xml:space="preserve"> klasė</w:t>
            </w:r>
          </w:p>
        </w:tc>
        <w:tc>
          <w:tcPr>
            <w:tcW w:w="466" w:type="pct"/>
            <w:vMerge w:val="restart"/>
            <w:tcBorders>
              <w:top w:val="single" w:sz="4" w:space="0" w:color="auto"/>
              <w:left w:val="nil"/>
              <w:bottom w:val="single" w:sz="4" w:space="0" w:color="000000"/>
              <w:right w:val="nil"/>
            </w:tcBorders>
            <w:shd w:val="clear" w:color="000000" w:fill="FFFFFF"/>
            <w:vAlign w:val="center"/>
            <w:hideMark/>
          </w:tcPr>
          <w:p w14:paraId="47455D5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5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B1A6D21"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A41E21" w:rsidRPr="00650EE4" w14:paraId="52D35798" w14:textId="77777777" w:rsidTr="00B95CC6">
        <w:tc>
          <w:tcPr>
            <w:tcW w:w="916" w:type="pct"/>
            <w:vMerge/>
            <w:tcBorders>
              <w:top w:val="single" w:sz="4" w:space="0" w:color="auto"/>
              <w:left w:val="single" w:sz="4" w:space="0" w:color="auto"/>
              <w:bottom w:val="single" w:sz="4" w:space="0" w:color="000000"/>
              <w:right w:val="nil"/>
            </w:tcBorders>
            <w:vAlign w:val="center"/>
            <w:hideMark/>
          </w:tcPr>
          <w:p w14:paraId="63B896C5" w14:textId="77777777" w:rsidR="00A41E21" w:rsidRPr="00650EE4" w:rsidRDefault="00A41E21" w:rsidP="00A41E21">
            <w:pPr>
              <w:spacing w:line="240" w:lineRule="auto"/>
              <w:rPr>
                <w:rFonts w:ascii="Times New Roman" w:eastAsia="Times New Roman" w:hAnsi="Times New Roman"/>
                <w:b/>
                <w:bCs/>
                <w:sz w:val="20"/>
                <w:szCs w:val="20"/>
              </w:rPr>
            </w:pPr>
          </w:p>
        </w:tc>
        <w:tc>
          <w:tcPr>
            <w:tcW w:w="526" w:type="pct"/>
            <w:tcBorders>
              <w:top w:val="nil"/>
              <w:left w:val="single" w:sz="4" w:space="0" w:color="auto"/>
              <w:bottom w:val="single" w:sz="4" w:space="0" w:color="auto"/>
              <w:right w:val="nil"/>
            </w:tcBorders>
            <w:shd w:val="clear" w:color="000000" w:fill="FFFFFF"/>
            <w:vAlign w:val="center"/>
            <w:hideMark/>
          </w:tcPr>
          <w:p w14:paraId="3B7CEE7D" w14:textId="5B6DC1F7" w:rsidR="00A41E21" w:rsidRPr="00650EE4" w:rsidRDefault="006A724E"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27" w:type="pct"/>
            <w:tcBorders>
              <w:top w:val="nil"/>
              <w:left w:val="nil"/>
              <w:bottom w:val="single" w:sz="4" w:space="0" w:color="auto"/>
              <w:right w:val="nil"/>
            </w:tcBorders>
            <w:shd w:val="clear" w:color="000000" w:fill="FFFFFF"/>
            <w:vAlign w:val="center"/>
            <w:hideMark/>
          </w:tcPr>
          <w:p w14:paraId="42D612F8"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27" w:type="pct"/>
            <w:tcBorders>
              <w:top w:val="nil"/>
              <w:left w:val="nil"/>
              <w:bottom w:val="single" w:sz="4" w:space="0" w:color="auto"/>
              <w:right w:val="nil"/>
            </w:tcBorders>
            <w:shd w:val="clear" w:color="000000" w:fill="FFFFFF"/>
            <w:vAlign w:val="center"/>
            <w:hideMark/>
          </w:tcPr>
          <w:p w14:paraId="29A27A9A"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27" w:type="pct"/>
            <w:tcBorders>
              <w:top w:val="nil"/>
              <w:left w:val="nil"/>
              <w:bottom w:val="single" w:sz="4" w:space="0" w:color="auto"/>
              <w:right w:val="nil"/>
            </w:tcBorders>
            <w:shd w:val="clear" w:color="000000" w:fill="FFFFFF"/>
            <w:vAlign w:val="center"/>
            <w:hideMark/>
          </w:tcPr>
          <w:p w14:paraId="59463CDC"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7" w:type="pct"/>
            <w:tcBorders>
              <w:top w:val="nil"/>
              <w:left w:val="nil"/>
              <w:bottom w:val="single" w:sz="4" w:space="0" w:color="auto"/>
              <w:right w:val="nil"/>
            </w:tcBorders>
            <w:shd w:val="clear" w:color="000000" w:fill="FFFFFF"/>
            <w:vAlign w:val="center"/>
            <w:hideMark/>
          </w:tcPr>
          <w:p w14:paraId="7699B8BB"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8" w:type="pct"/>
            <w:tcBorders>
              <w:top w:val="nil"/>
              <w:left w:val="nil"/>
              <w:bottom w:val="single" w:sz="4" w:space="0" w:color="auto"/>
              <w:right w:val="single" w:sz="4" w:space="0" w:color="auto"/>
            </w:tcBorders>
            <w:shd w:val="clear" w:color="000000" w:fill="FFFFFF"/>
            <w:vAlign w:val="center"/>
            <w:hideMark/>
          </w:tcPr>
          <w:p w14:paraId="0250E4F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66" w:type="pct"/>
            <w:vMerge/>
            <w:tcBorders>
              <w:top w:val="single" w:sz="4" w:space="0" w:color="auto"/>
              <w:left w:val="nil"/>
              <w:bottom w:val="single" w:sz="4" w:space="0" w:color="000000"/>
              <w:right w:val="nil"/>
            </w:tcBorders>
            <w:vAlign w:val="center"/>
            <w:hideMark/>
          </w:tcPr>
          <w:p w14:paraId="746C4AC4" w14:textId="77777777" w:rsidR="00A41E21" w:rsidRPr="00650EE4" w:rsidRDefault="00A41E21" w:rsidP="00A41E21">
            <w:pPr>
              <w:spacing w:line="240" w:lineRule="auto"/>
              <w:rPr>
                <w:rFonts w:ascii="Times New Roman" w:eastAsia="Times New Roman" w:hAnsi="Times New Roman"/>
                <w:b/>
                <w:bCs/>
                <w:sz w:val="20"/>
                <w:szCs w:val="20"/>
              </w:rPr>
            </w:pPr>
          </w:p>
        </w:tc>
        <w:tc>
          <w:tcPr>
            <w:tcW w:w="457" w:type="pct"/>
            <w:vMerge/>
            <w:tcBorders>
              <w:top w:val="single" w:sz="4" w:space="0" w:color="auto"/>
              <w:left w:val="single" w:sz="4" w:space="0" w:color="auto"/>
              <w:bottom w:val="single" w:sz="4" w:space="0" w:color="000000"/>
              <w:right w:val="single" w:sz="4" w:space="0" w:color="auto"/>
            </w:tcBorders>
            <w:vAlign w:val="center"/>
            <w:hideMark/>
          </w:tcPr>
          <w:p w14:paraId="797D3125" w14:textId="77777777" w:rsidR="00A41E21" w:rsidRPr="00650EE4" w:rsidRDefault="00A41E21" w:rsidP="00A41E21">
            <w:pPr>
              <w:spacing w:line="240" w:lineRule="auto"/>
              <w:rPr>
                <w:rFonts w:ascii="Times New Roman" w:eastAsia="Times New Roman" w:hAnsi="Times New Roman"/>
                <w:b/>
                <w:bCs/>
                <w:sz w:val="20"/>
                <w:szCs w:val="20"/>
              </w:rPr>
            </w:pPr>
          </w:p>
        </w:tc>
      </w:tr>
      <w:tr w:rsidR="00E02F48" w:rsidRPr="00650EE4" w14:paraId="0681F3A6" w14:textId="77777777" w:rsidTr="00B95CC6">
        <w:tc>
          <w:tcPr>
            <w:tcW w:w="916" w:type="pct"/>
            <w:tcBorders>
              <w:top w:val="nil"/>
              <w:left w:val="single" w:sz="4" w:space="0" w:color="auto"/>
              <w:bottom w:val="single" w:sz="4" w:space="0" w:color="auto"/>
              <w:right w:val="nil"/>
            </w:tcBorders>
            <w:shd w:val="clear" w:color="000000" w:fill="F2F2F2"/>
            <w:noWrap/>
            <w:vAlign w:val="center"/>
            <w:hideMark/>
          </w:tcPr>
          <w:p w14:paraId="10D44580"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6" w:type="pct"/>
            <w:tcBorders>
              <w:top w:val="nil"/>
              <w:left w:val="single" w:sz="4" w:space="0" w:color="auto"/>
              <w:bottom w:val="single" w:sz="4" w:space="0" w:color="auto"/>
              <w:right w:val="nil"/>
            </w:tcBorders>
            <w:shd w:val="clear" w:color="000000" w:fill="F2F2F2"/>
            <w:noWrap/>
            <w:vAlign w:val="center"/>
            <w:hideMark/>
          </w:tcPr>
          <w:p w14:paraId="3A7B0CD4"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10.517</w:t>
            </w:r>
          </w:p>
        </w:tc>
        <w:tc>
          <w:tcPr>
            <w:tcW w:w="527" w:type="pct"/>
            <w:tcBorders>
              <w:top w:val="nil"/>
              <w:left w:val="nil"/>
              <w:bottom w:val="single" w:sz="4" w:space="0" w:color="auto"/>
              <w:right w:val="nil"/>
            </w:tcBorders>
            <w:shd w:val="clear" w:color="000000" w:fill="F2F2F2"/>
            <w:noWrap/>
            <w:vAlign w:val="center"/>
            <w:hideMark/>
          </w:tcPr>
          <w:p w14:paraId="1DA7E5E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2.085</w:t>
            </w:r>
          </w:p>
        </w:tc>
        <w:tc>
          <w:tcPr>
            <w:tcW w:w="527" w:type="pct"/>
            <w:tcBorders>
              <w:top w:val="nil"/>
              <w:left w:val="nil"/>
              <w:bottom w:val="single" w:sz="4" w:space="0" w:color="auto"/>
              <w:right w:val="nil"/>
            </w:tcBorders>
            <w:shd w:val="clear" w:color="000000" w:fill="F2F2F2"/>
            <w:noWrap/>
            <w:vAlign w:val="center"/>
            <w:hideMark/>
          </w:tcPr>
          <w:p w14:paraId="4D2A997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w:t>
            </w:r>
          </w:p>
        </w:tc>
        <w:tc>
          <w:tcPr>
            <w:tcW w:w="527" w:type="pct"/>
            <w:tcBorders>
              <w:top w:val="nil"/>
              <w:left w:val="nil"/>
              <w:bottom w:val="single" w:sz="4" w:space="0" w:color="auto"/>
              <w:right w:val="nil"/>
            </w:tcBorders>
            <w:shd w:val="clear" w:color="000000" w:fill="F2F2F2"/>
            <w:noWrap/>
            <w:vAlign w:val="center"/>
            <w:hideMark/>
          </w:tcPr>
          <w:p w14:paraId="764D606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65</w:t>
            </w:r>
          </w:p>
        </w:tc>
        <w:tc>
          <w:tcPr>
            <w:tcW w:w="527" w:type="pct"/>
            <w:tcBorders>
              <w:top w:val="nil"/>
              <w:left w:val="nil"/>
              <w:bottom w:val="single" w:sz="4" w:space="0" w:color="auto"/>
              <w:right w:val="nil"/>
            </w:tcBorders>
            <w:shd w:val="clear" w:color="000000" w:fill="F2F2F2"/>
            <w:noWrap/>
            <w:vAlign w:val="center"/>
            <w:hideMark/>
          </w:tcPr>
          <w:p w14:paraId="1179811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w:t>
            </w:r>
          </w:p>
        </w:tc>
        <w:tc>
          <w:tcPr>
            <w:tcW w:w="528" w:type="pct"/>
            <w:tcBorders>
              <w:top w:val="nil"/>
              <w:left w:val="nil"/>
              <w:bottom w:val="single" w:sz="4" w:space="0" w:color="auto"/>
              <w:right w:val="single" w:sz="4" w:space="0" w:color="auto"/>
            </w:tcBorders>
            <w:shd w:val="clear" w:color="000000" w:fill="F2F2F2"/>
            <w:noWrap/>
            <w:vAlign w:val="center"/>
            <w:hideMark/>
          </w:tcPr>
          <w:p w14:paraId="7D5AA92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66" w:type="pct"/>
            <w:tcBorders>
              <w:top w:val="nil"/>
              <w:left w:val="nil"/>
              <w:bottom w:val="single" w:sz="4" w:space="0" w:color="auto"/>
              <w:right w:val="nil"/>
            </w:tcBorders>
            <w:shd w:val="clear" w:color="000000" w:fill="F2F2F2"/>
            <w:noWrap/>
            <w:vAlign w:val="center"/>
            <w:hideMark/>
          </w:tcPr>
          <w:p w14:paraId="1A18D7F3"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13.473</w:t>
            </w:r>
          </w:p>
        </w:tc>
        <w:tc>
          <w:tcPr>
            <w:tcW w:w="457" w:type="pct"/>
            <w:tcBorders>
              <w:top w:val="nil"/>
              <w:left w:val="single" w:sz="4" w:space="0" w:color="auto"/>
              <w:bottom w:val="single" w:sz="4" w:space="0" w:color="auto"/>
              <w:right w:val="single" w:sz="4" w:space="0" w:color="auto"/>
            </w:tcBorders>
            <w:shd w:val="clear" w:color="000000" w:fill="F2F2F2"/>
            <w:noWrap/>
            <w:vAlign w:val="center"/>
            <w:hideMark/>
          </w:tcPr>
          <w:p w14:paraId="46214C8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67%</w:t>
            </w:r>
          </w:p>
        </w:tc>
      </w:tr>
      <w:tr w:rsidR="00A41E21" w:rsidRPr="00650EE4" w14:paraId="2D42FD60" w14:textId="77777777" w:rsidTr="00B95CC6">
        <w:tc>
          <w:tcPr>
            <w:tcW w:w="916" w:type="pct"/>
            <w:tcBorders>
              <w:top w:val="nil"/>
              <w:left w:val="single" w:sz="4" w:space="0" w:color="auto"/>
              <w:bottom w:val="nil"/>
              <w:right w:val="nil"/>
            </w:tcBorders>
            <w:shd w:val="clear" w:color="000000" w:fill="FFFFFF"/>
            <w:noWrap/>
            <w:vAlign w:val="center"/>
            <w:hideMark/>
          </w:tcPr>
          <w:p w14:paraId="426CCC8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6" w:type="pct"/>
            <w:tcBorders>
              <w:top w:val="nil"/>
              <w:left w:val="single" w:sz="4" w:space="0" w:color="auto"/>
              <w:bottom w:val="nil"/>
              <w:right w:val="nil"/>
            </w:tcBorders>
            <w:shd w:val="clear" w:color="000000" w:fill="FFFFFF"/>
            <w:noWrap/>
            <w:vAlign w:val="center"/>
            <w:hideMark/>
          </w:tcPr>
          <w:p w14:paraId="62EFD4E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6.811</w:t>
            </w:r>
          </w:p>
        </w:tc>
        <w:tc>
          <w:tcPr>
            <w:tcW w:w="527" w:type="pct"/>
            <w:tcBorders>
              <w:top w:val="nil"/>
              <w:left w:val="nil"/>
              <w:bottom w:val="nil"/>
              <w:right w:val="nil"/>
            </w:tcBorders>
            <w:shd w:val="clear" w:color="000000" w:fill="FFFFFF"/>
            <w:noWrap/>
            <w:vAlign w:val="center"/>
            <w:hideMark/>
          </w:tcPr>
          <w:p w14:paraId="25C764A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1.743</w:t>
            </w:r>
          </w:p>
        </w:tc>
        <w:tc>
          <w:tcPr>
            <w:tcW w:w="527" w:type="pct"/>
            <w:tcBorders>
              <w:top w:val="nil"/>
              <w:left w:val="nil"/>
              <w:bottom w:val="nil"/>
              <w:right w:val="nil"/>
            </w:tcBorders>
            <w:shd w:val="clear" w:color="000000" w:fill="FFFFFF"/>
            <w:noWrap/>
            <w:vAlign w:val="center"/>
            <w:hideMark/>
          </w:tcPr>
          <w:p w14:paraId="6D6E3AF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527" w:type="pct"/>
            <w:tcBorders>
              <w:top w:val="nil"/>
              <w:left w:val="nil"/>
              <w:bottom w:val="nil"/>
              <w:right w:val="nil"/>
            </w:tcBorders>
            <w:shd w:val="clear" w:color="000000" w:fill="FFFFFF"/>
            <w:noWrap/>
            <w:vAlign w:val="center"/>
            <w:hideMark/>
          </w:tcPr>
          <w:p w14:paraId="38D98B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56</w:t>
            </w:r>
          </w:p>
        </w:tc>
        <w:tc>
          <w:tcPr>
            <w:tcW w:w="527" w:type="pct"/>
            <w:tcBorders>
              <w:top w:val="nil"/>
              <w:left w:val="nil"/>
              <w:bottom w:val="nil"/>
              <w:right w:val="nil"/>
            </w:tcBorders>
            <w:shd w:val="clear" w:color="000000" w:fill="FFFFFF"/>
            <w:noWrap/>
            <w:vAlign w:val="center"/>
            <w:hideMark/>
          </w:tcPr>
          <w:p w14:paraId="0CD7B80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28" w:type="pct"/>
            <w:tcBorders>
              <w:top w:val="nil"/>
              <w:left w:val="nil"/>
              <w:bottom w:val="nil"/>
              <w:right w:val="single" w:sz="4" w:space="0" w:color="auto"/>
            </w:tcBorders>
            <w:shd w:val="clear" w:color="000000" w:fill="FFFFFF"/>
            <w:noWrap/>
            <w:vAlign w:val="center"/>
            <w:hideMark/>
          </w:tcPr>
          <w:p w14:paraId="4ABB284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0905EA5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9.089</w:t>
            </w:r>
          </w:p>
        </w:tc>
        <w:tc>
          <w:tcPr>
            <w:tcW w:w="457" w:type="pct"/>
            <w:tcBorders>
              <w:top w:val="nil"/>
              <w:left w:val="single" w:sz="4" w:space="0" w:color="auto"/>
              <w:bottom w:val="nil"/>
              <w:right w:val="single" w:sz="4" w:space="0" w:color="auto"/>
            </w:tcBorders>
            <w:shd w:val="clear" w:color="000000" w:fill="FFFFFF"/>
            <w:noWrap/>
            <w:vAlign w:val="center"/>
            <w:hideMark/>
          </w:tcPr>
          <w:p w14:paraId="42FADED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r>
      <w:tr w:rsidR="00A41E21" w:rsidRPr="00650EE4" w14:paraId="172A6360" w14:textId="77777777" w:rsidTr="00B95CC6">
        <w:tc>
          <w:tcPr>
            <w:tcW w:w="916" w:type="pct"/>
            <w:tcBorders>
              <w:top w:val="nil"/>
              <w:left w:val="single" w:sz="4" w:space="0" w:color="auto"/>
              <w:bottom w:val="nil"/>
              <w:right w:val="nil"/>
            </w:tcBorders>
            <w:shd w:val="clear" w:color="000000" w:fill="FFFFFF"/>
            <w:noWrap/>
            <w:vAlign w:val="center"/>
            <w:hideMark/>
          </w:tcPr>
          <w:p w14:paraId="7DFF129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6" w:type="pct"/>
            <w:tcBorders>
              <w:top w:val="nil"/>
              <w:left w:val="single" w:sz="4" w:space="0" w:color="auto"/>
              <w:bottom w:val="nil"/>
              <w:right w:val="nil"/>
            </w:tcBorders>
            <w:shd w:val="clear" w:color="000000" w:fill="FFFFFF"/>
            <w:noWrap/>
            <w:vAlign w:val="center"/>
            <w:hideMark/>
          </w:tcPr>
          <w:p w14:paraId="3D79B02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3.706</w:t>
            </w:r>
          </w:p>
        </w:tc>
        <w:tc>
          <w:tcPr>
            <w:tcW w:w="527" w:type="pct"/>
            <w:tcBorders>
              <w:top w:val="nil"/>
              <w:left w:val="nil"/>
              <w:bottom w:val="nil"/>
              <w:right w:val="nil"/>
            </w:tcBorders>
            <w:shd w:val="clear" w:color="000000" w:fill="FFFFFF"/>
            <w:noWrap/>
            <w:vAlign w:val="center"/>
            <w:hideMark/>
          </w:tcPr>
          <w:p w14:paraId="0066CA8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342</w:t>
            </w:r>
          </w:p>
        </w:tc>
        <w:tc>
          <w:tcPr>
            <w:tcW w:w="527" w:type="pct"/>
            <w:tcBorders>
              <w:top w:val="nil"/>
              <w:left w:val="nil"/>
              <w:bottom w:val="nil"/>
              <w:right w:val="nil"/>
            </w:tcBorders>
            <w:shd w:val="clear" w:color="000000" w:fill="FFFFFF"/>
            <w:noWrap/>
            <w:vAlign w:val="center"/>
            <w:hideMark/>
          </w:tcPr>
          <w:p w14:paraId="0273EC5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325</w:t>
            </w:r>
          </w:p>
        </w:tc>
        <w:tc>
          <w:tcPr>
            <w:tcW w:w="527" w:type="pct"/>
            <w:tcBorders>
              <w:top w:val="nil"/>
              <w:left w:val="nil"/>
              <w:bottom w:val="nil"/>
              <w:right w:val="nil"/>
            </w:tcBorders>
            <w:shd w:val="clear" w:color="000000" w:fill="FFFFFF"/>
            <w:noWrap/>
            <w:vAlign w:val="center"/>
            <w:hideMark/>
          </w:tcPr>
          <w:p w14:paraId="343E9CE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27" w:type="pct"/>
            <w:tcBorders>
              <w:top w:val="nil"/>
              <w:left w:val="nil"/>
              <w:bottom w:val="nil"/>
              <w:right w:val="nil"/>
            </w:tcBorders>
            <w:shd w:val="clear" w:color="000000" w:fill="FFFFFF"/>
            <w:noWrap/>
            <w:vAlign w:val="center"/>
            <w:hideMark/>
          </w:tcPr>
          <w:p w14:paraId="6115FCD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23924B4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E5F436E"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4.384</w:t>
            </w:r>
          </w:p>
        </w:tc>
        <w:tc>
          <w:tcPr>
            <w:tcW w:w="457" w:type="pct"/>
            <w:tcBorders>
              <w:top w:val="nil"/>
              <w:left w:val="single" w:sz="4" w:space="0" w:color="auto"/>
              <w:bottom w:val="nil"/>
              <w:right w:val="single" w:sz="4" w:space="0" w:color="auto"/>
            </w:tcBorders>
            <w:shd w:val="clear" w:color="000000" w:fill="FFFFFF"/>
            <w:noWrap/>
            <w:vAlign w:val="center"/>
            <w:hideMark/>
          </w:tcPr>
          <w:p w14:paraId="67AA9BD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r>
      <w:tr w:rsidR="00E02F48" w:rsidRPr="00650EE4" w14:paraId="48FAF493" w14:textId="77777777" w:rsidTr="00B95CC6">
        <w:tc>
          <w:tcPr>
            <w:tcW w:w="916" w:type="pct"/>
            <w:tcBorders>
              <w:top w:val="single" w:sz="4" w:space="0" w:color="auto"/>
              <w:left w:val="single" w:sz="4" w:space="0" w:color="auto"/>
              <w:bottom w:val="single" w:sz="4" w:space="0" w:color="auto"/>
              <w:right w:val="nil"/>
            </w:tcBorders>
            <w:shd w:val="clear" w:color="000000" w:fill="F2F2F2"/>
            <w:noWrap/>
            <w:vAlign w:val="center"/>
            <w:hideMark/>
          </w:tcPr>
          <w:p w14:paraId="5033178A"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6" w:type="pct"/>
            <w:tcBorders>
              <w:top w:val="single" w:sz="4" w:space="0" w:color="auto"/>
              <w:left w:val="single" w:sz="4" w:space="0" w:color="auto"/>
              <w:bottom w:val="single" w:sz="4" w:space="0" w:color="auto"/>
              <w:right w:val="nil"/>
            </w:tcBorders>
            <w:shd w:val="clear" w:color="000000" w:fill="F2F2F2"/>
            <w:noWrap/>
            <w:vAlign w:val="center"/>
            <w:hideMark/>
          </w:tcPr>
          <w:p w14:paraId="531AF5C7"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5.728</w:t>
            </w:r>
          </w:p>
        </w:tc>
        <w:tc>
          <w:tcPr>
            <w:tcW w:w="527" w:type="pct"/>
            <w:tcBorders>
              <w:top w:val="single" w:sz="4" w:space="0" w:color="auto"/>
              <w:left w:val="nil"/>
              <w:bottom w:val="single" w:sz="4" w:space="0" w:color="auto"/>
              <w:right w:val="nil"/>
            </w:tcBorders>
            <w:shd w:val="clear" w:color="000000" w:fill="F2F2F2"/>
            <w:noWrap/>
            <w:vAlign w:val="center"/>
            <w:hideMark/>
          </w:tcPr>
          <w:p w14:paraId="4C53BBA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464</w:t>
            </w:r>
          </w:p>
        </w:tc>
        <w:tc>
          <w:tcPr>
            <w:tcW w:w="527" w:type="pct"/>
            <w:tcBorders>
              <w:top w:val="single" w:sz="4" w:space="0" w:color="auto"/>
              <w:left w:val="nil"/>
              <w:bottom w:val="single" w:sz="4" w:space="0" w:color="auto"/>
              <w:right w:val="nil"/>
            </w:tcBorders>
            <w:shd w:val="clear" w:color="000000" w:fill="F2F2F2"/>
            <w:noWrap/>
            <w:vAlign w:val="center"/>
            <w:hideMark/>
          </w:tcPr>
          <w:p w14:paraId="435369E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424</w:t>
            </w:r>
          </w:p>
        </w:tc>
        <w:tc>
          <w:tcPr>
            <w:tcW w:w="527" w:type="pct"/>
            <w:tcBorders>
              <w:top w:val="single" w:sz="4" w:space="0" w:color="auto"/>
              <w:left w:val="nil"/>
              <w:bottom w:val="single" w:sz="4" w:space="0" w:color="auto"/>
              <w:right w:val="nil"/>
            </w:tcBorders>
            <w:shd w:val="clear" w:color="000000" w:fill="F2F2F2"/>
            <w:noWrap/>
            <w:vAlign w:val="center"/>
            <w:hideMark/>
          </w:tcPr>
          <w:p w14:paraId="7213D55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38</w:t>
            </w:r>
          </w:p>
        </w:tc>
        <w:tc>
          <w:tcPr>
            <w:tcW w:w="527" w:type="pct"/>
            <w:tcBorders>
              <w:top w:val="single" w:sz="4" w:space="0" w:color="auto"/>
              <w:left w:val="nil"/>
              <w:bottom w:val="single" w:sz="4" w:space="0" w:color="auto"/>
              <w:right w:val="nil"/>
            </w:tcBorders>
            <w:shd w:val="clear" w:color="000000" w:fill="F2F2F2"/>
            <w:noWrap/>
            <w:vAlign w:val="center"/>
            <w:hideMark/>
          </w:tcPr>
          <w:p w14:paraId="7DECF49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w:t>
            </w:r>
          </w:p>
        </w:tc>
        <w:tc>
          <w:tcPr>
            <w:tcW w:w="528" w:type="pct"/>
            <w:tcBorders>
              <w:top w:val="single" w:sz="4" w:space="0" w:color="auto"/>
              <w:left w:val="nil"/>
              <w:bottom w:val="single" w:sz="4" w:space="0" w:color="auto"/>
              <w:right w:val="single" w:sz="4" w:space="0" w:color="auto"/>
            </w:tcBorders>
            <w:shd w:val="clear" w:color="000000" w:fill="F2F2F2"/>
            <w:noWrap/>
            <w:vAlign w:val="center"/>
            <w:hideMark/>
          </w:tcPr>
          <w:p w14:paraId="06708B32"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466" w:type="pct"/>
            <w:tcBorders>
              <w:top w:val="single" w:sz="4" w:space="0" w:color="auto"/>
              <w:left w:val="nil"/>
              <w:bottom w:val="single" w:sz="4" w:space="0" w:color="auto"/>
              <w:right w:val="nil"/>
            </w:tcBorders>
            <w:shd w:val="clear" w:color="000000" w:fill="F2F2F2"/>
            <w:noWrap/>
            <w:vAlign w:val="center"/>
            <w:hideMark/>
          </w:tcPr>
          <w:p w14:paraId="2698A926"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6.670</w:t>
            </w:r>
          </w:p>
        </w:tc>
        <w:tc>
          <w:tcPr>
            <w:tcW w:w="45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99DE22F"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33%</w:t>
            </w:r>
          </w:p>
        </w:tc>
      </w:tr>
      <w:tr w:rsidR="00A41E21" w:rsidRPr="00650EE4" w14:paraId="0ACFFBF8" w14:textId="77777777" w:rsidTr="00B95CC6">
        <w:tc>
          <w:tcPr>
            <w:tcW w:w="916" w:type="pct"/>
            <w:tcBorders>
              <w:top w:val="nil"/>
              <w:left w:val="single" w:sz="4" w:space="0" w:color="auto"/>
              <w:bottom w:val="nil"/>
              <w:right w:val="nil"/>
            </w:tcBorders>
            <w:shd w:val="clear" w:color="000000" w:fill="FFFFFF"/>
            <w:noWrap/>
            <w:vAlign w:val="center"/>
            <w:hideMark/>
          </w:tcPr>
          <w:p w14:paraId="5E857A8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6" w:type="pct"/>
            <w:tcBorders>
              <w:top w:val="nil"/>
              <w:left w:val="single" w:sz="4" w:space="0" w:color="auto"/>
              <w:bottom w:val="nil"/>
              <w:right w:val="nil"/>
            </w:tcBorders>
            <w:shd w:val="clear" w:color="000000" w:fill="FFFFFF"/>
            <w:noWrap/>
            <w:vAlign w:val="center"/>
            <w:hideMark/>
          </w:tcPr>
          <w:p w14:paraId="41BA5FB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3.475</w:t>
            </w:r>
          </w:p>
        </w:tc>
        <w:tc>
          <w:tcPr>
            <w:tcW w:w="527" w:type="pct"/>
            <w:tcBorders>
              <w:top w:val="nil"/>
              <w:left w:val="nil"/>
              <w:bottom w:val="nil"/>
              <w:right w:val="nil"/>
            </w:tcBorders>
            <w:shd w:val="clear" w:color="000000" w:fill="FFFFFF"/>
            <w:noWrap/>
            <w:vAlign w:val="center"/>
            <w:hideMark/>
          </w:tcPr>
          <w:p w14:paraId="25F5CA3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120</w:t>
            </w:r>
          </w:p>
        </w:tc>
        <w:tc>
          <w:tcPr>
            <w:tcW w:w="527" w:type="pct"/>
            <w:tcBorders>
              <w:top w:val="nil"/>
              <w:left w:val="nil"/>
              <w:bottom w:val="nil"/>
              <w:right w:val="nil"/>
            </w:tcBorders>
            <w:shd w:val="clear" w:color="000000" w:fill="FFFFFF"/>
            <w:noWrap/>
            <w:vAlign w:val="center"/>
            <w:hideMark/>
          </w:tcPr>
          <w:p w14:paraId="615A78D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527" w:type="pct"/>
            <w:tcBorders>
              <w:top w:val="nil"/>
              <w:left w:val="nil"/>
              <w:bottom w:val="nil"/>
              <w:right w:val="nil"/>
            </w:tcBorders>
            <w:shd w:val="clear" w:color="000000" w:fill="FFFFFF"/>
            <w:noWrap/>
            <w:vAlign w:val="center"/>
            <w:hideMark/>
          </w:tcPr>
          <w:p w14:paraId="66D9BA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27" w:type="pct"/>
            <w:tcBorders>
              <w:top w:val="nil"/>
              <w:left w:val="nil"/>
              <w:bottom w:val="nil"/>
              <w:right w:val="nil"/>
            </w:tcBorders>
            <w:shd w:val="clear" w:color="000000" w:fill="FFFFFF"/>
            <w:noWrap/>
            <w:vAlign w:val="center"/>
            <w:hideMark/>
          </w:tcPr>
          <w:p w14:paraId="49D677C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28" w:type="pct"/>
            <w:tcBorders>
              <w:top w:val="nil"/>
              <w:left w:val="nil"/>
              <w:bottom w:val="nil"/>
              <w:right w:val="single" w:sz="4" w:space="0" w:color="auto"/>
            </w:tcBorders>
            <w:shd w:val="clear" w:color="000000" w:fill="FFFFFF"/>
            <w:noWrap/>
            <w:vAlign w:val="center"/>
            <w:hideMark/>
          </w:tcPr>
          <w:p w14:paraId="43BE153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66" w:type="pct"/>
            <w:tcBorders>
              <w:top w:val="nil"/>
              <w:left w:val="nil"/>
              <w:bottom w:val="nil"/>
              <w:right w:val="nil"/>
            </w:tcBorders>
            <w:shd w:val="clear" w:color="000000" w:fill="FFFFFF"/>
            <w:noWrap/>
            <w:vAlign w:val="center"/>
            <w:hideMark/>
          </w:tcPr>
          <w:p w14:paraId="6E40A57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3.784</w:t>
            </w:r>
          </w:p>
        </w:tc>
        <w:tc>
          <w:tcPr>
            <w:tcW w:w="457" w:type="pct"/>
            <w:tcBorders>
              <w:top w:val="nil"/>
              <w:left w:val="single" w:sz="4" w:space="0" w:color="auto"/>
              <w:bottom w:val="nil"/>
              <w:right w:val="single" w:sz="4" w:space="0" w:color="auto"/>
            </w:tcBorders>
            <w:shd w:val="clear" w:color="000000" w:fill="FFFFFF"/>
            <w:noWrap/>
            <w:vAlign w:val="center"/>
            <w:hideMark/>
          </w:tcPr>
          <w:p w14:paraId="4119835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r>
      <w:tr w:rsidR="00A41E21" w:rsidRPr="00650EE4" w14:paraId="3355366B" w14:textId="77777777" w:rsidTr="00B95CC6">
        <w:tc>
          <w:tcPr>
            <w:tcW w:w="916" w:type="pct"/>
            <w:tcBorders>
              <w:top w:val="nil"/>
              <w:left w:val="single" w:sz="4" w:space="0" w:color="auto"/>
              <w:bottom w:val="nil"/>
              <w:right w:val="nil"/>
            </w:tcBorders>
            <w:shd w:val="clear" w:color="000000" w:fill="FFFFFF"/>
            <w:noWrap/>
            <w:vAlign w:val="center"/>
            <w:hideMark/>
          </w:tcPr>
          <w:p w14:paraId="68021363"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6" w:type="pct"/>
            <w:tcBorders>
              <w:top w:val="nil"/>
              <w:left w:val="single" w:sz="4" w:space="0" w:color="auto"/>
              <w:bottom w:val="nil"/>
              <w:right w:val="nil"/>
            </w:tcBorders>
            <w:shd w:val="clear" w:color="000000" w:fill="FFFFFF"/>
            <w:noWrap/>
            <w:vAlign w:val="center"/>
            <w:hideMark/>
          </w:tcPr>
          <w:p w14:paraId="32AEA2F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710</w:t>
            </w:r>
          </w:p>
        </w:tc>
        <w:tc>
          <w:tcPr>
            <w:tcW w:w="527" w:type="pct"/>
            <w:tcBorders>
              <w:top w:val="nil"/>
              <w:left w:val="nil"/>
              <w:bottom w:val="nil"/>
              <w:right w:val="nil"/>
            </w:tcBorders>
            <w:shd w:val="clear" w:color="000000" w:fill="FFFFFF"/>
            <w:noWrap/>
            <w:vAlign w:val="center"/>
            <w:hideMark/>
          </w:tcPr>
          <w:p w14:paraId="70ADD98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527" w:type="pct"/>
            <w:tcBorders>
              <w:top w:val="nil"/>
              <w:left w:val="nil"/>
              <w:bottom w:val="nil"/>
              <w:right w:val="nil"/>
            </w:tcBorders>
            <w:shd w:val="clear" w:color="000000" w:fill="FFFFFF"/>
            <w:noWrap/>
            <w:vAlign w:val="center"/>
            <w:hideMark/>
          </w:tcPr>
          <w:p w14:paraId="58800CE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27" w:type="pct"/>
            <w:tcBorders>
              <w:top w:val="nil"/>
              <w:left w:val="nil"/>
              <w:bottom w:val="nil"/>
              <w:right w:val="nil"/>
            </w:tcBorders>
            <w:shd w:val="clear" w:color="000000" w:fill="FFFFFF"/>
            <w:noWrap/>
            <w:vAlign w:val="center"/>
            <w:hideMark/>
          </w:tcPr>
          <w:p w14:paraId="437BDE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27" w:type="pct"/>
            <w:tcBorders>
              <w:top w:val="nil"/>
              <w:left w:val="nil"/>
              <w:bottom w:val="nil"/>
              <w:right w:val="nil"/>
            </w:tcBorders>
            <w:shd w:val="clear" w:color="000000" w:fill="FFFFFF"/>
            <w:noWrap/>
            <w:vAlign w:val="center"/>
            <w:hideMark/>
          </w:tcPr>
          <w:p w14:paraId="0215788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0CBD9A7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60DB0B97"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828</w:t>
            </w:r>
          </w:p>
        </w:tc>
        <w:tc>
          <w:tcPr>
            <w:tcW w:w="457" w:type="pct"/>
            <w:tcBorders>
              <w:top w:val="nil"/>
              <w:left w:val="single" w:sz="4" w:space="0" w:color="auto"/>
              <w:bottom w:val="nil"/>
              <w:right w:val="single" w:sz="4" w:space="0" w:color="auto"/>
            </w:tcBorders>
            <w:shd w:val="clear" w:color="000000" w:fill="FFFFFF"/>
            <w:noWrap/>
            <w:vAlign w:val="center"/>
            <w:hideMark/>
          </w:tcPr>
          <w:p w14:paraId="4E587A3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A41E21" w:rsidRPr="00650EE4" w14:paraId="653585C1" w14:textId="77777777" w:rsidTr="00B95CC6">
        <w:tc>
          <w:tcPr>
            <w:tcW w:w="916" w:type="pct"/>
            <w:tcBorders>
              <w:top w:val="nil"/>
              <w:left w:val="single" w:sz="4" w:space="0" w:color="auto"/>
              <w:bottom w:val="nil"/>
              <w:right w:val="nil"/>
            </w:tcBorders>
            <w:shd w:val="clear" w:color="000000" w:fill="FFFFFF"/>
            <w:noWrap/>
            <w:vAlign w:val="center"/>
            <w:hideMark/>
          </w:tcPr>
          <w:p w14:paraId="671587AD"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6" w:type="pct"/>
            <w:tcBorders>
              <w:top w:val="nil"/>
              <w:left w:val="single" w:sz="4" w:space="0" w:color="auto"/>
              <w:bottom w:val="nil"/>
              <w:right w:val="nil"/>
            </w:tcBorders>
            <w:shd w:val="clear" w:color="000000" w:fill="FFFFFF"/>
            <w:noWrap/>
            <w:vAlign w:val="center"/>
            <w:hideMark/>
          </w:tcPr>
          <w:p w14:paraId="4002EBC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517</w:t>
            </w:r>
          </w:p>
        </w:tc>
        <w:tc>
          <w:tcPr>
            <w:tcW w:w="527" w:type="pct"/>
            <w:tcBorders>
              <w:top w:val="nil"/>
              <w:left w:val="nil"/>
              <w:bottom w:val="nil"/>
              <w:right w:val="nil"/>
            </w:tcBorders>
            <w:shd w:val="clear" w:color="000000" w:fill="FFFFFF"/>
            <w:noWrap/>
            <w:vAlign w:val="center"/>
            <w:hideMark/>
          </w:tcPr>
          <w:p w14:paraId="4B1B719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112</w:t>
            </w:r>
          </w:p>
        </w:tc>
        <w:tc>
          <w:tcPr>
            <w:tcW w:w="527" w:type="pct"/>
            <w:tcBorders>
              <w:top w:val="nil"/>
              <w:left w:val="nil"/>
              <w:bottom w:val="nil"/>
              <w:right w:val="nil"/>
            </w:tcBorders>
            <w:shd w:val="clear" w:color="000000" w:fill="FFFFFF"/>
            <w:noWrap/>
            <w:vAlign w:val="center"/>
            <w:hideMark/>
          </w:tcPr>
          <w:p w14:paraId="76E2120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527" w:type="pct"/>
            <w:tcBorders>
              <w:top w:val="nil"/>
              <w:left w:val="nil"/>
              <w:bottom w:val="nil"/>
              <w:right w:val="nil"/>
            </w:tcBorders>
            <w:shd w:val="clear" w:color="000000" w:fill="FFFFFF"/>
            <w:noWrap/>
            <w:vAlign w:val="center"/>
            <w:hideMark/>
          </w:tcPr>
          <w:p w14:paraId="59D9DA9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15A413C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5298486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71DB82F"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674</w:t>
            </w:r>
          </w:p>
        </w:tc>
        <w:tc>
          <w:tcPr>
            <w:tcW w:w="457" w:type="pct"/>
            <w:tcBorders>
              <w:top w:val="nil"/>
              <w:left w:val="single" w:sz="4" w:space="0" w:color="auto"/>
              <w:bottom w:val="nil"/>
              <w:right w:val="single" w:sz="4" w:space="0" w:color="auto"/>
            </w:tcBorders>
            <w:shd w:val="clear" w:color="000000" w:fill="FFFFFF"/>
            <w:noWrap/>
            <w:vAlign w:val="center"/>
            <w:hideMark/>
          </w:tcPr>
          <w:p w14:paraId="0A2FC2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A41E21" w:rsidRPr="00650EE4" w14:paraId="6E6A4CF7" w14:textId="77777777" w:rsidTr="00B95CC6">
        <w:tc>
          <w:tcPr>
            <w:tcW w:w="916" w:type="pct"/>
            <w:tcBorders>
              <w:top w:val="nil"/>
              <w:left w:val="single" w:sz="4" w:space="0" w:color="auto"/>
              <w:bottom w:val="nil"/>
              <w:right w:val="nil"/>
            </w:tcBorders>
            <w:shd w:val="clear" w:color="000000" w:fill="FFFFFF"/>
            <w:noWrap/>
            <w:vAlign w:val="center"/>
            <w:hideMark/>
          </w:tcPr>
          <w:p w14:paraId="51592D0E"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6" w:type="pct"/>
            <w:tcBorders>
              <w:top w:val="nil"/>
              <w:left w:val="single" w:sz="4" w:space="0" w:color="auto"/>
              <w:bottom w:val="nil"/>
              <w:right w:val="nil"/>
            </w:tcBorders>
            <w:shd w:val="clear" w:color="000000" w:fill="FFFFFF"/>
            <w:noWrap/>
            <w:vAlign w:val="center"/>
            <w:hideMark/>
          </w:tcPr>
          <w:p w14:paraId="65225A2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333</w:t>
            </w:r>
          </w:p>
        </w:tc>
        <w:tc>
          <w:tcPr>
            <w:tcW w:w="527" w:type="pct"/>
            <w:tcBorders>
              <w:top w:val="nil"/>
              <w:left w:val="nil"/>
              <w:bottom w:val="nil"/>
              <w:right w:val="nil"/>
            </w:tcBorders>
            <w:shd w:val="clear" w:color="000000" w:fill="FFFFFF"/>
            <w:noWrap/>
            <w:vAlign w:val="center"/>
            <w:hideMark/>
          </w:tcPr>
          <w:p w14:paraId="71E9BC3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27" w:type="pct"/>
            <w:tcBorders>
              <w:top w:val="nil"/>
              <w:left w:val="nil"/>
              <w:bottom w:val="nil"/>
              <w:right w:val="nil"/>
            </w:tcBorders>
            <w:shd w:val="clear" w:color="000000" w:fill="FFFFFF"/>
            <w:noWrap/>
            <w:vAlign w:val="center"/>
            <w:hideMark/>
          </w:tcPr>
          <w:p w14:paraId="2EE5BA2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527" w:type="pct"/>
            <w:tcBorders>
              <w:top w:val="nil"/>
              <w:left w:val="nil"/>
              <w:bottom w:val="nil"/>
              <w:right w:val="nil"/>
            </w:tcBorders>
            <w:shd w:val="clear" w:color="000000" w:fill="FFFFFF"/>
            <w:noWrap/>
            <w:vAlign w:val="center"/>
            <w:hideMark/>
          </w:tcPr>
          <w:p w14:paraId="3E2465D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7" w:type="pct"/>
            <w:tcBorders>
              <w:top w:val="nil"/>
              <w:left w:val="nil"/>
              <w:bottom w:val="nil"/>
              <w:right w:val="nil"/>
            </w:tcBorders>
            <w:shd w:val="clear" w:color="000000" w:fill="FFFFFF"/>
            <w:noWrap/>
            <w:vAlign w:val="center"/>
            <w:hideMark/>
          </w:tcPr>
          <w:p w14:paraId="15635E2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8" w:type="pct"/>
            <w:tcBorders>
              <w:top w:val="nil"/>
              <w:left w:val="nil"/>
              <w:bottom w:val="nil"/>
              <w:right w:val="single" w:sz="4" w:space="0" w:color="auto"/>
            </w:tcBorders>
            <w:shd w:val="clear" w:color="000000" w:fill="FFFFFF"/>
            <w:noWrap/>
            <w:vAlign w:val="center"/>
            <w:hideMark/>
          </w:tcPr>
          <w:p w14:paraId="20205D8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14B0EFF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493</w:t>
            </w:r>
          </w:p>
        </w:tc>
        <w:tc>
          <w:tcPr>
            <w:tcW w:w="457" w:type="pct"/>
            <w:tcBorders>
              <w:top w:val="nil"/>
              <w:left w:val="single" w:sz="4" w:space="0" w:color="auto"/>
              <w:bottom w:val="nil"/>
              <w:right w:val="single" w:sz="4" w:space="0" w:color="auto"/>
            </w:tcBorders>
            <w:shd w:val="clear" w:color="000000" w:fill="FFFFFF"/>
            <w:noWrap/>
            <w:vAlign w:val="center"/>
            <w:hideMark/>
          </w:tcPr>
          <w:p w14:paraId="62F1B99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r>
      <w:tr w:rsidR="00A41E21" w:rsidRPr="00650EE4" w14:paraId="54E1AB75" w14:textId="77777777" w:rsidTr="00B95CC6">
        <w:tc>
          <w:tcPr>
            <w:tcW w:w="916" w:type="pct"/>
            <w:tcBorders>
              <w:top w:val="nil"/>
              <w:left w:val="single" w:sz="4" w:space="0" w:color="auto"/>
              <w:bottom w:val="nil"/>
              <w:right w:val="nil"/>
            </w:tcBorders>
            <w:shd w:val="clear" w:color="000000" w:fill="FFFFFF"/>
            <w:noWrap/>
            <w:vAlign w:val="center"/>
            <w:hideMark/>
          </w:tcPr>
          <w:p w14:paraId="7F17A1E1"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6" w:type="pct"/>
            <w:tcBorders>
              <w:top w:val="nil"/>
              <w:left w:val="single" w:sz="4" w:space="0" w:color="auto"/>
              <w:bottom w:val="nil"/>
              <w:right w:val="nil"/>
            </w:tcBorders>
            <w:shd w:val="clear" w:color="000000" w:fill="FFFFFF"/>
            <w:noWrap/>
            <w:vAlign w:val="center"/>
            <w:hideMark/>
          </w:tcPr>
          <w:p w14:paraId="48AA223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158</w:t>
            </w:r>
          </w:p>
        </w:tc>
        <w:tc>
          <w:tcPr>
            <w:tcW w:w="527" w:type="pct"/>
            <w:tcBorders>
              <w:top w:val="nil"/>
              <w:left w:val="nil"/>
              <w:bottom w:val="nil"/>
              <w:right w:val="nil"/>
            </w:tcBorders>
            <w:shd w:val="clear" w:color="000000" w:fill="FFFFFF"/>
            <w:noWrap/>
            <w:vAlign w:val="center"/>
            <w:hideMark/>
          </w:tcPr>
          <w:p w14:paraId="41EF33A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527" w:type="pct"/>
            <w:tcBorders>
              <w:top w:val="nil"/>
              <w:left w:val="nil"/>
              <w:bottom w:val="nil"/>
              <w:right w:val="nil"/>
            </w:tcBorders>
            <w:shd w:val="clear" w:color="000000" w:fill="FFFFFF"/>
            <w:noWrap/>
            <w:vAlign w:val="center"/>
            <w:hideMark/>
          </w:tcPr>
          <w:p w14:paraId="109C824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27" w:type="pct"/>
            <w:tcBorders>
              <w:top w:val="nil"/>
              <w:left w:val="nil"/>
              <w:bottom w:val="nil"/>
              <w:right w:val="nil"/>
            </w:tcBorders>
            <w:shd w:val="clear" w:color="000000" w:fill="FFFFFF"/>
            <w:noWrap/>
            <w:vAlign w:val="center"/>
            <w:hideMark/>
          </w:tcPr>
          <w:p w14:paraId="5F3FA38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27707C6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216174E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2CDA013"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222</w:t>
            </w:r>
          </w:p>
        </w:tc>
        <w:tc>
          <w:tcPr>
            <w:tcW w:w="457" w:type="pct"/>
            <w:tcBorders>
              <w:top w:val="nil"/>
              <w:left w:val="single" w:sz="4" w:space="0" w:color="auto"/>
              <w:bottom w:val="nil"/>
              <w:right w:val="single" w:sz="4" w:space="0" w:color="auto"/>
            </w:tcBorders>
            <w:shd w:val="clear" w:color="000000" w:fill="FFFFFF"/>
            <w:noWrap/>
            <w:vAlign w:val="center"/>
            <w:hideMark/>
          </w:tcPr>
          <w:p w14:paraId="1582C58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A41E21" w:rsidRPr="00650EE4" w14:paraId="07A39AFA" w14:textId="77777777" w:rsidTr="00B95CC6">
        <w:tc>
          <w:tcPr>
            <w:tcW w:w="916" w:type="pct"/>
            <w:tcBorders>
              <w:top w:val="nil"/>
              <w:left w:val="single" w:sz="4" w:space="0" w:color="auto"/>
              <w:bottom w:val="nil"/>
              <w:right w:val="nil"/>
            </w:tcBorders>
            <w:shd w:val="clear" w:color="000000" w:fill="FFFFFF"/>
            <w:noWrap/>
            <w:vAlign w:val="center"/>
            <w:hideMark/>
          </w:tcPr>
          <w:p w14:paraId="707B7D4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6" w:type="pct"/>
            <w:tcBorders>
              <w:top w:val="nil"/>
              <w:left w:val="single" w:sz="4" w:space="0" w:color="auto"/>
              <w:bottom w:val="nil"/>
              <w:right w:val="nil"/>
            </w:tcBorders>
            <w:shd w:val="clear" w:color="000000" w:fill="FFFFFF"/>
            <w:noWrap/>
            <w:vAlign w:val="center"/>
            <w:hideMark/>
          </w:tcPr>
          <w:p w14:paraId="4C82A5A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120</w:t>
            </w:r>
          </w:p>
        </w:tc>
        <w:tc>
          <w:tcPr>
            <w:tcW w:w="527" w:type="pct"/>
            <w:tcBorders>
              <w:top w:val="nil"/>
              <w:left w:val="nil"/>
              <w:bottom w:val="nil"/>
              <w:right w:val="nil"/>
            </w:tcBorders>
            <w:shd w:val="clear" w:color="000000" w:fill="FFFFFF"/>
            <w:noWrap/>
            <w:vAlign w:val="center"/>
            <w:hideMark/>
          </w:tcPr>
          <w:p w14:paraId="4B18BC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527" w:type="pct"/>
            <w:tcBorders>
              <w:top w:val="nil"/>
              <w:left w:val="nil"/>
              <w:bottom w:val="nil"/>
              <w:right w:val="nil"/>
            </w:tcBorders>
            <w:shd w:val="clear" w:color="000000" w:fill="FFFFFF"/>
            <w:noWrap/>
            <w:vAlign w:val="center"/>
            <w:hideMark/>
          </w:tcPr>
          <w:p w14:paraId="0F12975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527" w:type="pct"/>
            <w:tcBorders>
              <w:top w:val="nil"/>
              <w:left w:val="nil"/>
              <w:bottom w:val="nil"/>
              <w:right w:val="nil"/>
            </w:tcBorders>
            <w:shd w:val="clear" w:color="000000" w:fill="FFFFFF"/>
            <w:noWrap/>
            <w:vAlign w:val="center"/>
            <w:hideMark/>
          </w:tcPr>
          <w:p w14:paraId="5745E19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27" w:type="pct"/>
            <w:tcBorders>
              <w:top w:val="nil"/>
              <w:left w:val="nil"/>
              <w:bottom w:val="nil"/>
              <w:right w:val="nil"/>
            </w:tcBorders>
            <w:shd w:val="clear" w:color="000000" w:fill="FFFFFF"/>
            <w:noWrap/>
            <w:vAlign w:val="center"/>
            <w:hideMark/>
          </w:tcPr>
          <w:p w14:paraId="2EED368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8" w:type="pct"/>
            <w:tcBorders>
              <w:top w:val="nil"/>
              <w:left w:val="nil"/>
              <w:bottom w:val="nil"/>
              <w:right w:val="single" w:sz="4" w:space="0" w:color="auto"/>
            </w:tcBorders>
            <w:shd w:val="clear" w:color="000000" w:fill="FFFFFF"/>
            <w:noWrap/>
            <w:vAlign w:val="center"/>
            <w:hideMark/>
          </w:tcPr>
          <w:p w14:paraId="5D51A17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1FAD77C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175</w:t>
            </w:r>
          </w:p>
        </w:tc>
        <w:tc>
          <w:tcPr>
            <w:tcW w:w="457" w:type="pct"/>
            <w:tcBorders>
              <w:top w:val="nil"/>
              <w:left w:val="single" w:sz="4" w:space="0" w:color="auto"/>
              <w:bottom w:val="nil"/>
              <w:right w:val="single" w:sz="4" w:space="0" w:color="auto"/>
            </w:tcBorders>
            <w:shd w:val="clear" w:color="000000" w:fill="FFFFFF"/>
            <w:noWrap/>
            <w:vAlign w:val="center"/>
            <w:hideMark/>
          </w:tcPr>
          <w:p w14:paraId="5CD8E3A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A41E21" w:rsidRPr="00650EE4" w14:paraId="75A6CE6E" w14:textId="77777777" w:rsidTr="00B95CC6">
        <w:tc>
          <w:tcPr>
            <w:tcW w:w="916" w:type="pct"/>
            <w:tcBorders>
              <w:top w:val="nil"/>
              <w:left w:val="single" w:sz="4" w:space="0" w:color="auto"/>
              <w:bottom w:val="nil"/>
              <w:right w:val="nil"/>
            </w:tcBorders>
            <w:shd w:val="clear" w:color="000000" w:fill="FFFFFF"/>
            <w:noWrap/>
            <w:vAlign w:val="center"/>
            <w:hideMark/>
          </w:tcPr>
          <w:p w14:paraId="2A7D199A"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6" w:type="pct"/>
            <w:tcBorders>
              <w:top w:val="nil"/>
              <w:left w:val="single" w:sz="4" w:space="0" w:color="auto"/>
              <w:bottom w:val="nil"/>
              <w:right w:val="nil"/>
            </w:tcBorders>
            <w:shd w:val="clear" w:color="000000" w:fill="FFFFFF"/>
            <w:noWrap/>
            <w:vAlign w:val="center"/>
            <w:hideMark/>
          </w:tcPr>
          <w:p w14:paraId="1C4BE5F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172</w:t>
            </w:r>
          </w:p>
        </w:tc>
        <w:tc>
          <w:tcPr>
            <w:tcW w:w="527" w:type="pct"/>
            <w:tcBorders>
              <w:top w:val="nil"/>
              <w:left w:val="nil"/>
              <w:bottom w:val="nil"/>
              <w:right w:val="nil"/>
            </w:tcBorders>
            <w:shd w:val="clear" w:color="000000" w:fill="FFFFFF"/>
            <w:noWrap/>
            <w:vAlign w:val="center"/>
            <w:hideMark/>
          </w:tcPr>
          <w:p w14:paraId="26C0FC7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nil"/>
              <w:right w:val="nil"/>
            </w:tcBorders>
            <w:shd w:val="clear" w:color="000000" w:fill="FFFFFF"/>
            <w:noWrap/>
            <w:vAlign w:val="center"/>
            <w:hideMark/>
          </w:tcPr>
          <w:p w14:paraId="54A2E1C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27" w:type="pct"/>
            <w:tcBorders>
              <w:top w:val="nil"/>
              <w:left w:val="nil"/>
              <w:bottom w:val="nil"/>
              <w:right w:val="nil"/>
            </w:tcBorders>
            <w:shd w:val="clear" w:color="000000" w:fill="FFFFFF"/>
            <w:noWrap/>
            <w:vAlign w:val="center"/>
            <w:hideMark/>
          </w:tcPr>
          <w:p w14:paraId="07BCB37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nil"/>
              <w:right w:val="nil"/>
            </w:tcBorders>
            <w:shd w:val="clear" w:color="000000" w:fill="FFFFFF"/>
            <w:noWrap/>
            <w:vAlign w:val="center"/>
            <w:hideMark/>
          </w:tcPr>
          <w:p w14:paraId="6D3D8EB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6D99861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35BAA27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195</w:t>
            </w:r>
          </w:p>
        </w:tc>
        <w:tc>
          <w:tcPr>
            <w:tcW w:w="457" w:type="pct"/>
            <w:tcBorders>
              <w:top w:val="nil"/>
              <w:left w:val="single" w:sz="4" w:space="0" w:color="auto"/>
              <w:bottom w:val="nil"/>
              <w:right w:val="single" w:sz="4" w:space="0" w:color="auto"/>
            </w:tcBorders>
            <w:shd w:val="clear" w:color="000000" w:fill="FFFFFF"/>
            <w:noWrap/>
            <w:vAlign w:val="center"/>
            <w:hideMark/>
          </w:tcPr>
          <w:p w14:paraId="53F83F7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r>
      <w:tr w:rsidR="00A41E21" w:rsidRPr="00650EE4" w14:paraId="0E5D64FC" w14:textId="77777777" w:rsidTr="00B95CC6">
        <w:tc>
          <w:tcPr>
            <w:tcW w:w="916" w:type="pct"/>
            <w:tcBorders>
              <w:top w:val="nil"/>
              <w:left w:val="single" w:sz="4" w:space="0" w:color="auto"/>
              <w:bottom w:val="nil"/>
              <w:right w:val="nil"/>
            </w:tcBorders>
            <w:shd w:val="clear" w:color="000000" w:fill="FFFFFF"/>
            <w:noWrap/>
            <w:vAlign w:val="center"/>
            <w:hideMark/>
          </w:tcPr>
          <w:p w14:paraId="1B4A3FE2"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6" w:type="pct"/>
            <w:tcBorders>
              <w:top w:val="nil"/>
              <w:left w:val="single" w:sz="4" w:space="0" w:color="auto"/>
              <w:bottom w:val="nil"/>
              <w:right w:val="nil"/>
            </w:tcBorders>
            <w:shd w:val="clear" w:color="000000" w:fill="FFFFFF"/>
            <w:noWrap/>
            <w:vAlign w:val="center"/>
            <w:hideMark/>
          </w:tcPr>
          <w:p w14:paraId="0A81869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154</w:t>
            </w:r>
          </w:p>
        </w:tc>
        <w:tc>
          <w:tcPr>
            <w:tcW w:w="527" w:type="pct"/>
            <w:tcBorders>
              <w:top w:val="nil"/>
              <w:left w:val="nil"/>
              <w:bottom w:val="nil"/>
              <w:right w:val="nil"/>
            </w:tcBorders>
            <w:shd w:val="clear" w:color="000000" w:fill="FFFFFF"/>
            <w:noWrap/>
            <w:vAlign w:val="center"/>
            <w:hideMark/>
          </w:tcPr>
          <w:p w14:paraId="2614046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7" w:type="pct"/>
            <w:tcBorders>
              <w:top w:val="nil"/>
              <w:left w:val="nil"/>
              <w:bottom w:val="nil"/>
              <w:right w:val="nil"/>
            </w:tcBorders>
            <w:shd w:val="clear" w:color="000000" w:fill="FFFFFF"/>
            <w:noWrap/>
            <w:vAlign w:val="center"/>
            <w:hideMark/>
          </w:tcPr>
          <w:p w14:paraId="68F99ED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27" w:type="pct"/>
            <w:tcBorders>
              <w:top w:val="nil"/>
              <w:left w:val="nil"/>
              <w:bottom w:val="nil"/>
              <w:right w:val="nil"/>
            </w:tcBorders>
            <w:shd w:val="clear" w:color="000000" w:fill="FFFFFF"/>
            <w:noWrap/>
            <w:vAlign w:val="center"/>
            <w:hideMark/>
          </w:tcPr>
          <w:p w14:paraId="4B4F532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7" w:type="pct"/>
            <w:tcBorders>
              <w:top w:val="nil"/>
              <w:left w:val="nil"/>
              <w:bottom w:val="nil"/>
              <w:right w:val="nil"/>
            </w:tcBorders>
            <w:shd w:val="clear" w:color="000000" w:fill="FFFFFF"/>
            <w:noWrap/>
            <w:vAlign w:val="center"/>
            <w:hideMark/>
          </w:tcPr>
          <w:p w14:paraId="3D35F0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nil"/>
              <w:right w:val="single" w:sz="4" w:space="0" w:color="auto"/>
            </w:tcBorders>
            <w:shd w:val="clear" w:color="000000" w:fill="FFFFFF"/>
            <w:noWrap/>
            <w:vAlign w:val="center"/>
            <w:hideMark/>
          </w:tcPr>
          <w:p w14:paraId="59484B9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nil"/>
              <w:right w:val="nil"/>
            </w:tcBorders>
            <w:shd w:val="clear" w:color="000000" w:fill="FFFFFF"/>
            <w:noWrap/>
            <w:vAlign w:val="center"/>
            <w:hideMark/>
          </w:tcPr>
          <w:p w14:paraId="4587CFC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180</w:t>
            </w:r>
          </w:p>
        </w:tc>
        <w:tc>
          <w:tcPr>
            <w:tcW w:w="457" w:type="pct"/>
            <w:tcBorders>
              <w:top w:val="nil"/>
              <w:left w:val="single" w:sz="4" w:space="0" w:color="auto"/>
              <w:bottom w:val="nil"/>
              <w:right w:val="single" w:sz="4" w:space="0" w:color="auto"/>
            </w:tcBorders>
            <w:shd w:val="clear" w:color="000000" w:fill="FFFFFF"/>
            <w:noWrap/>
            <w:vAlign w:val="center"/>
            <w:hideMark/>
          </w:tcPr>
          <w:p w14:paraId="063A871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A41E21" w:rsidRPr="00650EE4" w14:paraId="0B487D7A" w14:textId="77777777" w:rsidTr="00B95CC6">
        <w:tc>
          <w:tcPr>
            <w:tcW w:w="916" w:type="pct"/>
            <w:tcBorders>
              <w:top w:val="nil"/>
              <w:left w:val="single" w:sz="4" w:space="0" w:color="auto"/>
              <w:bottom w:val="nil"/>
              <w:right w:val="nil"/>
            </w:tcBorders>
            <w:shd w:val="clear" w:color="000000" w:fill="FFFFFF"/>
            <w:noWrap/>
            <w:vAlign w:val="center"/>
            <w:hideMark/>
          </w:tcPr>
          <w:p w14:paraId="2FF7D30B"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6" w:type="pct"/>
            <w:tcBorders>
              <w:top w:val="nil"/>
              <w:left w:val="single" w:sz="4" w:space="0" w:color="auto"/>
              <w:bottom w:val="single" w:sz="4" w:space="0" w:color="auto"/>
              <w:right w:val="nil"/>
            </w:tcBorders>
            <w:shd w:val="clear" w:color="000000" w:fill="FFFFFF"/>
            <w:noWrap/>
            <w:vAlign w:val="center"/>
            <w:hideMark/>
          </w:tcPr>
          <w:p w14:paraId="5168090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88</w:t>
            </w:r>
          </w:p>
        </w:tc>
        <w:tc>
          <w:tcPr>
            <w:tcW w:w="527" w:type="pct"/>
            <w:tcBorders>
              <w:top w:val="nil"/>
              <w:left w:val="nil"/>
              <w:bottom w:val="single" w:sz="4" w:space="0" w:color="auto"/>
              <w:right w:val="nil"/>
            </w:tcBorders>
            <w:shd w:val="clear" w:color="000000" w:fill="FFFFFF"/>
            <w:noWrap/>
            <w:vAlign w:val="center"/>
            <w:hideMark/>
          </w:tcPr>
          <w:p w14:paraId="1F2EA4E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single" w:sz="4" w:space="0" w:color="auto"/>
              <w:right w:val="nil"/>
            </w:tcBorders>
            <w:shd w:val="clear" w:color="000000" w:fill="FFFFFF"/>
            <w:noWrap/>
            <w:vAlign w:val="center"/>
            <w:hideMark/>
          </w:tcPr>
          <w:p w14:paraId="5B78686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27" w:type="pct"/>
            <w:tcBorders>
              <w:top w:val="nil"/>
              <w:left w:val="nil"/>
              <w:bottom w:val="single" w:sz="4" w:space="0" w:color="auto"/>
              <w:right w:val="nil"/>
            </w:tcBorders>
            <w:shd w:val="clear" w:color="000000" w:fill="FFFFFF"/>
            <w:noWrap/>
            <w:vAlign w:val="center"/>
            <w:hideMark/>
          </w:tcPr>
          <w:p w14:paraId="354A7D1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7" w:type="pct"/>
            <w:tcBorders>
              <w:top w:val="nil"/>
              <w:left w:val="nil"/>
              <w:bottom w:val="single" w:sz="4" w:space="0" w:color="auto"/>
              <w:right w:val="nil"/>
            </w:tcBorders>
            <w:shd w:val="clear" w:color="000000" w:fill="FFFFFF"/>
            <w:noWrap/>
            <w:vAlign w:val="center"/>
            <w:hideMark/>
          </w:tcPr>
          <w:p w14:paraId="05AD488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nil"/>
              <w:left w:val="nil"/>
              <w:bottom w:val="single" w:sz="4" w:space="0" w:color="auto"/>
              <w:right w:val="single" w:sz="4" w:space="0" w:color="auto"/>
            </w:tcBorders>
            <w:shd w:val="clear" w:color="000000" w:fill="FFFFFF"/>
            <w:noWrap/>
            <w:vAlign w:val="center"/>
            <w:hideMark/>
          </w:tcPr>
          <w:p w14:paraId="63C50C5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nil"/>
              <w:left w:val="nil"/>
              <w:bottom w:val="single" w:sz="4" w:space="0" w:color="auto"/>
              <w:right w:val="nil"/>
            </w:tcBorders>
            <w:shd w:val="clear" w:color="000000" w:fill="FFFFFF"/>
            <w:noWrap/>
            <w:vAlign w:val="center"/>
            <w:hideMark/>
          </w:tcPr>
          <w:p w14:paraId="1977F5A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w:t>
            </w:r>
          </w:p>
        </w:tc>
        <w:tc>
          <w:tcPr>
            <w:tcW w:w="457" w:type="pct"/>
            <w:tcBorders>
              <w:top w:val="nil"/>
              <w:left w:val="single" w:sz="4" w:space="0" w:color="auto"/>
              <w:bottom w:val="single" w:sz="4" w:space="0" w:color="auto"/>
              <w:right w:val="single" w:sz="4" w:space="0" w:color="auto"/>
            </w:tcBorders>
            <w:shd w:val="clear" w:color="000000" w:fill="FFFFFF"/>
            <w:noWrap/>
            <w:vAlign w:val="center"/>
            <w:hideMark/>
          </w:tcPr>
          <w:p w14:paraId="2A188F9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0,6%</w:t>
            </w:r>
          </w:p>
        </w:tc>
      </w:tr>
      <w:tr w:rsidR="00A41E21" w:rsidRPr="00650EE4" w14:paraId="6E944213" w14:textId="77777777" w:rsidTr="00B95CC6">
        <w:tc>
          <w:tcPr>
            <w:tcW w:w="916" w:type="pct"/>
            <w:tcBorders>
              <w:top w:val="single" w:sz="4" w:space="0" w:color="auto"/>
              <w:left w:val="single" w:sz="4" w:space="0" w:color="auto"/>
              <w:bottom w:val="nil"/>
              <w:right w:val="single" w:sz="4" w:space="0" w:color="auto"/>
            </w:tcBorders>
            <w:shd w:val="clear" w:color="000000" w:fill="FFFFFF"/>
            <w:noWrap/>
            <w:vAlign w:val="center"/>
            <w:hideMark/>
          </w:tcPr>
          <w:p w14:paraId="770275F4" w14:textId="77777777" w:rsidR="00A41E21" w:rsidRPr="00650EE4" w:rsidRDefault="00A41E21" w:rsidP="00A41E2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6" w:type="pct"/>
            <w:tcBorders>
              <w:top w:val="nil"/>
              <w:left w:val="nil"/>
              <w:bottom w:val="nil"/>
              <w:right w:val="nil"/>
            </w:tcBorders>
            <w:shd w:val="clear" w:color="000000" w:fill="FFFFFF"/>
            <w:noWrap/>
            <w:vAlign w:val="center"/>
            <w:hideMark/>
          </w:tcPr>
          <w:p w14:paraId="3473FA2B"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16.245</w:t>
            </w:r>
          </w:p>
        </w:tc>
        <w:tc>
          <w:tcPr>
            <w:tcW w:w="527" w:type="pct"/>
            <w:tcBorders>
              <w:top w:val="nil"/>
              <w:left w:val="nil"/>
              <w:bottom w:val="nil"/>
              <w:right w:val="nil"/>
            </w:tcBorders>
            <w:shd w:val="clear" w:color="000000" w:fill="FFFFFF"/>
            <w:noWrap/>
            <w:vAlign w:val="center"/>
            <w:hideMark/>
          </w:tcPr>
          <w:p w14:paraId="6051061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2.549</w:t>
            </w:r>
          </w:p>
        </w:tc>
        <w:tc>
          <w:tcPr>
            <w:tcW w:w="527" w:type="pct"/>
            <w:tcBorders>
              <w:top w:val="nil"/>
              <w:left w:val="nil"/>
              <w:bottom w:val="nil"/>
              <w:right w:val="nil"/>
            </w:tcBorders>
            <w:shd w:val="clear" w:color="000000" w:fill="FFFFFF"/>
            <w:noWrap/>
            <w:vAlign w:val="center"/>
            <w:hideMark/>
          </w:tcPr>
          <w:p w14:paraId="1F6331E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1.222</w:t>
            </w:r>
          </w:p>
        </w:tc>
        <w:tc>
          <w:tcPr>
            <w:tcW w:w="527" w:type="pct"/>
            <w:tcBorders>
              <w:top w:val="nil"/>
              <w:left w:val="nil"/>
              <w:bottom w:val="nil"/>
              <w:right w:val="nil"/>
            </w:tcBorders>
            <w:shd w:val="clear" w:color="000000" w:fill="FFFFFF"/>
            <w:noWrap/>
            <w:vAlign w:val="center"/>
            <w:hideMark/>
          </w:tcPr>
          <w:p w14:paraId="3B7DBEA3"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w:t>
            </w:r>
          </w:p>
        </w:tc>
        <w:tc>
          <w:tcPr>
            <w:tcW w:w="527" w:type="pct"/>
            <w:tcBorders>
              <w:top w:val="nil"/>
              <w:left w:val="nil"/>
              <w:bottom w:val="nil"/>
              <w:right w:val="nil"/>
            </w:tcBorders>
            <w:shd w:val="clear" w:color="000000" w:fill="FFFFFF"/>
            <w:noWrap/>
            <w:vAlign w:val="center"/>
            <w:hideMark/>
          </w:tcPr>
          <w:p w14:paraId="62073FA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19</w:t>
            </w:r>
          </w:p>
        </w:tc>
        <w:tc>
          <w:tcPr>
            <w:tcW w:w="528" w:type="pct"/>
            <w:tcBorders>
              <w:top w:val="nil"/>
              <w:left w:val="nil"/>
              <w:bottom w:val="nil"/>
              <w:right w:val="single" w:sz="4" w:space="0" w:color="auto"/>
            </w:tcBorders>
            <w:shd w:val="clear" w:color="000000" w:fill="FFFFFF"/>
            <w:noWrap/>
            <w:vAlign w:val="center"/>
            <w:hideMark/>
          </w:tcPr>
          <w:p w14:paraId="4B215AE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w:t>
            </w:r>
          </w:p>
        </w:tc>
        <w:tc>
          <w:tcPr>
            <w:tcW w:w="466" w:type="pct"/>
            <w:tcBorders>
              <w:top w:val="nil"/>
              <w:left w:val="nil"/>
              <w:bottom w:val="nil"/>
              <w:right w:val="nil"/>
            </w:tcBorders>
            <w:shd w:val="clear" w:color="000000" w:fill="FFFFFF"/>
            <w:noWrap/>
            <w:vAlign w:val="center"/>
            <w:hideMark/>
          </w:tcPr>
          <w:p w14:paraId="59A95870"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20.143</w:t>
            </w:r>
          </w:p>
        </w:tc>
        <w:tc>
          <w:tcPr>
            <w:tcW w:w="457" w:type="pct"/>
            <w:tcBorders>
              <w:top w:val="nil"/>
              <w:left w:val="single" w:sz="4" w:space="0" w:color="auto"/>
              <w:bottom w:val="nil"/>
              <w:right w:val="single" w:sz="4" w:space="0" w:color="auto"/>
            </w:tcBorders>
            <w:shd w:val="clear" w:color="000000" w:fill="FFFFFF"/>
            <w:noWrap/>
            <w:vAlign w:val="center"/>
            <w:hideMark/>
          </w:tcPr>
          <w:p w14:paraId="50B2989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A41E21" w:rsidRPr="00650EE4" w14:paraId="6F3B2451" w14:textId="77777777" w:rsidTr="00B95CC6">
        <w:tc>
          <w:tcPr>
            <w:tcW w:w="91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B7CAB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6" w:type="pct"/>
            <w:tcBorders>
              <w:top w:val="single" w:sz="4" w:space="0" w:color="auto"/>
              <w:left w:val="nil"/>
              <w:bottom w:val="single" w:sz="4" w:space="0" w:color="auto"/>
              <w:right w:val="nil"/>
            </w:tcBorders>
            <w:shd w:val="clear" w:color="000000" w:fill="FFFFFF"/>
            <w:noWrap/>
            <w:vAlign w:val="center"/>
            <w:hideMark/>
          </w:tcPr>
          <w:p w14:paraId="4DE8930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27" w:type="pct"/>
            <w:tcBorders>
              <w:top w:val="single" w:sz="4" w:space="0" w:color="auto"/>
              <w:left w:val="nil"/>
              <w:bottom w:val="single" w:sz="4" w:space="0" w:color="auto"/>
              <w:right w:val="nil"/>
            </w:tcBorders>
            <w:shd w:val="clear" w:color="000000" w:fill="FFFFFF"/>
            <w:noWrap/>
            <w:vAlign w:val="center"/>
            <w:hideMark/>
          </w:tcPr>
          <w:p w14:paraId="6E5DC83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7" w:type="pct"/>
            <w:tcBorders>
              <w:top w:val="single" w:sz="4" w:space="0" w:color="auto"/>
              <w:left w:val="nil"/>
              <w:bottom w:val="single" w:sz="4" w:space="0" w:color="auto"/>
              <w:right w:val="nil"/>
            </w:tcBorders>
            <w:shd w:val="clear" w:color="000000" w:fill="FFFFFF"/>
            <w:noWrap/>
            <w:vAlign w:val="center"/>
            <w:hideMark/>
          </w:tcPr>
          <w:p w14:paraId="1ED5C65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27" w:type="pct"/>
            <w:tcBorders>
              <w:top w:val="single" w:sz="4" w:space="0" w:color="auto"/>
              <w:left w:val="nil"/>
              <w:bottom w:val="single" w:sz="4" w:space="0" w:color="auto"/>
              <w:right w:val="nil"/>
            </w:tcBorders>
            <w:shd w:val="clear" w:color="000000" w:fill="FFFFFF"/>
            <w:noWrap/>
            <w:vAlign w:val="center"/>
            <w:hideMark/>
          </w:tcPr>
          <w:p w14:paraId="0A259BB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7" w:type="pct"/>
            <w:tcBorders>
              <w:top w:val="single" w:sz="4" w:space="0" w:color="auto"/>
              <w:left w:val="nil"/>
              <w:bottom w:val="single" w:sz="4" w:space="0" w:color="auto"/>
              <w:right w:val="nil"/>
            </w:tcBorders>
            <w:shd w:val="clear" w:color="000000" w:fill="FFFFFF"/>
            <w:noWrap/>
            <w:vAlign w:val="center"/>
            <w:hideMark/>
          </w:tcPr>
          <w:p w14:paraId="5FD2AAB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28" w:type="pct"/>
            <w:tcBorders>
              <w:top w:val="single" w:sz="4" w:space="0" w:color="auto"/>
              <w:left w:val="nil"/>
              <w:bottom w:val="single" w:sz="4" w:space="0" w:color="auto"/>
              <w:right w:val="single" w:sz="4" w:space="0" w:color="auto"/>
            </w:tcBorders>
            <w:shd w:val="clear" w:color="000000" w:fill="FFFFFF"/>
            <w:noWrap/>
            <w:vAlign w:val="center"/>
            <w:hideMark/>
          </w:tcPr>
          <w:p w14:paraId="2FEC316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6" w:type="pct"/>
            <w:tcBorders>
              <w:top w:val="single" w:sz="4" w:space="0" w:color="auto"/>
              <w:left w:val="nil"/>
              <w:bottom w:val="single" w:sz="4" w:space="0" w:color="auto"/>
              <w:right w:val="nil"/>
            </w:tcBorders>
            <w:shd w:val="clear" w:color="000000" w:fill="FFFFFF"/>
            <w:noWrap/>
            <w:vAlign w:val="center"/>
            <w:hideMark/>
          </w:tcPr>
          <w:p w14:paraId="132F3C9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5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344B58"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53F2524D" w14:textId="25BA25AA" w:rsidR="00E02F48" w:rsidRPr="00650EE4" w:rsidRDefault="00E02F48" w:rsidP="00E02F48">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0C1FD1" w:rsidRPr="00650EE4">
        <w:rPr>
          <w:rFonts w:ascii="Times New Roman" w:eastAsia="Times New Roman" w:hAnsi="Times New Roman"/>
          <w:i/>
          <w:color w:val="000000" w:themeColor="text1"/>
          <w:sz w:val="20"/>
          <w:szCs w:val="20"/>
        </w:rPr>
        <w:t>S</w:t>
      </w:r>
      <w:r w:rsidRPr="00650EE4">
        <w:rPr>
          <w:rFonts w:ascii="Times New Roman" w:eastAsia="Times New Roman" w:hAnsi="Times New Roman"/>
          <w:i/>
          <w:color w:val="000000" w:themeColor="text1"/>
          <w:sz w:val="20"/>
          <w:szCs w:val="20"/>
        </w:rPr>
        <w:t>tudijos</w:t>
      </w:r>
      <w:r w:rsidR="006D65CB">
        <w:rPr>
          <w:rFonts w:ascii="Times New Roman" w:eastAsia="Times New Roman" w:hAnsi="Times New Roman"/>
          <w:i/>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687C6A7A" w14:textId="77777777" w:rsidR="004D3013" w:rsidRPr="00650EE4" w:rsidRDefault="004D3013" w:rsidP="00BC0EB4">
      <w:pPr>
        <w:pStyle w:val="Antrastes31"/>
        <w:numPr>
          <w:ilvl w:val="0"/>
          <w:numId w:val="0"/>
        </w:numPr>
        <w:tabs>
          <w:tab w:val="left" w:pos="851"/>
        </w:tabs>
        <w:spacing w:before="0" w:after="0"/>
        <w:jc w:val="left"/>
        <w:outlineLvl w:val="9"/>
        <w:rPr>
          <w:rFonts w:ascii="Times New Roman" w:hAnsi="Times New Roman"/>
          <w:color w:val="000000" w:themeColor="text1"/>
          <w:sz w:val="22"/>
          <w:szCs w:val="22"/>
          <w:lang w:val="lt-LT"/>
        </w:rPr>
      </w:pPr>
    </w:p>
    <w:p w14:paraId="080DC4E8" w14:textId="7697C10A" w:rsidR="004D3013" w:rsidRPr="00650EE4" w:rsidRDefault="00D45F5F" w:rsidP="00D547F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w:t>
      </w:r>
      <w:r w:rsidR="004D3013" w:rsidRPr="00650EE4">
        <w:rPr>
          <w:rFonts w:ascii="Times New Roman" w:hAnsi="Times New Roman"/>
          <w:color w:val="000000" w:themeColor="text1"/>
          <w:szCs w:val="22"/>
        </w:rPr>
        <w:t>pibendrinant aukščiau pateiktus duomenis galima pastebėti, kad:</w:t>
      </w:r>
    </w:p>
    <w:p w14:paraId="67819CFB" w14:textId="2C522232" w:rsidR="00B012A2" w:rsidRPr="00650EE4" w:rsidRDefault="00B012A2"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Gyvenamieji pastatai vartoja 2/3 (67 proc.) visos </w:t>
      </w:r>
      <w:r w:rsidR="006560B4">
        <w:rPr>
          <w:rFonts w:ascii="Times New Roman" w:hAnsi="Times New Roman"/>
          <w:color w:val="000000" w:themeColor="text1"/>
          <w:szCs w:val="22"/>
        </w:rPr>
        <w:t>p</w:t>
      </w:r>
      <w:r w:rsidR="002F3825" w:rsidRPr="00650EE4">
        <w:rPr>
          <w:rFonts w:ascii="Times New Roman" w:hAnsi="Times New Roman"/>
          <w:color w:val="000000" w:themeColor="text1"/>
          <w:szCs w:val="22"/>
        </w:rPr>
        <w:t xml:space="preserve">astatų fondo </w:t>
      </w:r>
      <w:r w:rsidRPr="00650EE4">
        <w:rPr>
          <w:rFonts w:ascii="Times New Roman" w:hAnsi="Times New Roman"/>
          <w:color w:val="000000" w:themeColor="text1"/>
          <w:szCs w:val="22"/>
        </w:rPr>
        <w:t>šiluminės energijos</w:t>
      </w:r>
      <w:r w:rsidR="00AE74D8" w:rsidRPr="00650EE4">
        <w:rPr>
          <w:rFonts w:ascii="Times New Roman" w:hAnsi="Times New Roman"/>
          <w:color w:val="000000" w:themeColor="text1"/>
          <w:szCs w:val="22"/>
        </w:rPr>
        <w:t xml:space="preserve"> pastato</w:t>
      </w:r>
      <w:r w:rsidRPr="00650EE4">
        <w:rPr>
          <w:rFonts w:ascii="Times New Roman" w:hAnsi="Times New Roman"/>
          <w:color w:val="000000" w:themeColor="text1"/>
          <w:szCs w:val="22"/>
        </w:rPr>
        <w:t xml:space="preserve"> šildymui</w:t>
      </w:r>
      <w:r w:rsidR="002F3825" w:rsidRPr="00650EE4">
        <w:rPr>
          <w:rFonts w:ascii="Times New Roman" w:hAnsi="Times New Roman"/>
          <w:color w:val="000000" w:themeColor="text1"/>
          <w:szCs w:val="22"/>
        </w:rPr>
        <w:t>. 45 proc. vartoja individualūs gyvenamieji namai, 22 proc. vartoja daugiabučiai</w:t>
      </w:r>
      <w:r w:rsidRPr="00650EE4">
        <w:rPr>
          <w:rFonts w:ascii="Times New Roman" w:hAnsi="Times New Roman"/>
          <w:color w:val="000000" w:themeColor="text1"/>
          <w:szCs w:val="22"/>
        </w:rPr>
        <w:t>;</w:t>
      </w:r>
    </w:p>
    <w:p w14:paraId="06630BB8" w14:textId="2CF3F06A" w:rsidR="002F3825" w:rsidRPr="00650EE4" w:rsidRDefault="00565000"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4/5 (</w:t>
      </w:r>
      <w:r w:rsidR="002F3825" w:rsidRPr="00650EE4">
        <w:rPr>
          <w:rFonts w:ascii="Times New Roman" w:hAnsi="Times New Roman"/>
          <w:color w:val="000000" w:themeColor="text1"/>
          <w:szCs w:val="22"/>
        </w:rPr>
        <w:t>81 proc.</w:t>
      </w:r>
      <w:r w:rsidRPr="00650EE4">
        <w:rPr>
          <w:rFonts w:ascii="Times New Roman" w:hAnsi="Times New Roman"/>
          <w:color w:val="000000" w:themeColor="text1"/>
          <w:szCs w:val="22"/>
        </w:rPr>
        <w:t>)</w:t>
      </w:r>
      <w:r w:rsidR="006560B4">
        <w:rPr>
          <w:rFonts w:ascii="Times New Roman" w:hAnsi="Times New Roman"/>
          <w:color w:val="000000" w:themeColor="text1"/>
          <w:szCs w:val="22"/>
        </w:rPr>
        <w:t xml:space="preserve"> visos p</w:t>
      </w:r>
      <w:r w:rsidR="002F3825" w:rsidRPr="00650EE4">
        <w:rPr>
          <w:rFonts w:ascii="Times New Roman" w:hAnsi="Times New Roman"/>
          <w:color w:val="000000" w:themeColor="text1"/>
          <w:szCs w:val="22"/>
        </w:rPr>
        <w:t>astatų fondo šiluminės energijos</w:t>
      </w:r>
      <w:r w:rsidR="00951FBE" w:rsidRPr="00650EE4">
        <w:rPr>
          <w:rFonts w:ascii="Times New Roman" w:hAnsi="Times New Roman"/>
          <w:color w:val="000000" w:themeColor="text1"/>
          <w:szCs w:val="22"/>
        </w:rPr>
        <w:t xml:space="preserve"> pastato</w:t>
      </w:r>
      <w:r w:rsidR="002F3825" w:rsidRPr="00650EE4">
        <w:rPr>
          <w:rFonts w:ascii="Times New Roman" w:hAnsi="Times New Roman"/>
          <w:color w:val="000000" w:themeColor="text1"/>
          <w:szCs w:val="22"/>
        </w:rPr>
        <w:t xml:space="preserve"> šildymui vartoja žemesnės nei C energinio naudingumo klasės pastatai. Reikšmingiausias vartojimas šiame segmente yra individualūs namai (34 proc</w:t>
      </w:r>
      <w:r w:rsidR="00DA30DF" w:rsidRPr="00650EE4">
        <w:rPr>
          <w:rFonts w:ascii="Times New Roman" w:hAnsi="Times New Roman"/>
          <w:color w:val="000000" w:themeColor="text1"/>
          <w:szCs w:val="22"/>
        </w:rPr>
        <w:t>.</w:t>
      </w:r>
      <w:r w:rsidR="002F3825" w:rsidRPr="00650EE4">
        <w:rPr>
          <w:rFonts w:ascii="Times New Roman" w:hAnsi="Times New Roman"/>
          <w:color w:val="000000" w:themeColor="text1"/>
          <w:szCs w:val="22"/>
        </w:rPr>
        <w:t xml:space="preserve">), daugiabučiai (18 proc.) ir pramonės pastatai (17 proc.); </w:t>
      </w:r>
    </w:p>
    <w:p w14:paraId="042A369D" w14:textId="2112D987" w:rsidR="002F3825" w:rsidRPr="00650EE4" w:rsidRDefault="00565000" w:rsidP="00D0316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Atitinkamai, žemesnės nei C energinio naudingumo klasės gyvenamieji pastatai vartojantys dau</w:t>
      </w:r>
      <w:r w:rsidR="006560B4">
        <w:rPr>
          <w:rFonts w:ascii="Times New Roman" w:hAnsi="Times New Roman"/>
          <w:color w:val="000000" w:themeColor="text1"/>
          <w:szCs w:val="22"/>
        </w:rPr>
        <w:t>giau nei pusę (52 proc.) visos p</w:t>
      </w:r>
      <w:r w:rsidRPr="00650EE4">
        <w:rPr>
          <w:rFonts w:ascii="Times New Roman" w:hAnsi="Times New Roman"/>
          <w:color w:val="000000" w:themeColor="text1"/>
          <w:szCs w:val="22"/>
        </w:rPr>
        <w:t>astatų fondo šiluminės energijos</w:t>
      </w:r>
      <w:r w:rsidR="00951FBE" w:rsidRPr="00650EE4">
        <w:rPr>
          <w:rFonts w:ascii="Times New Roman" w:hAnsi="Times New Roman"/>
          <w:color w:val="000000" w:themeColor="text1"/>
          <w:szCs w:val="22"/>
        </w:rPr>
        <w:t xml:space="preserve"> pastato</w:t>
      </w:r>
      <w:r w:rsidRPr="00650EE4">
        <w:rPr>
          <w:rFonts w:ascii="Times New Roman" w:hAnsi="Times New Roman"/>
          <w:color w:val="000000" w:themeColor="text1"/>
          <w:szCs w:val="22"/>
        </w:rPr>
        <w:t xml:space="preserve"> šildymui, vertinami kaip prioritetinis segmentas IRS kontekste. </w:t>
      </w:r>
    </w:p>
    <w:p w14:paraId="25B40C5E" w14:textId="77777777" w:rsidR="002C6987" w:rsidRPr="00650EE4" w:rsidRDefault="002C6987" w:rsidP="00F14548">
      <w:pPr>
        <w:pStyle w:val="Pagrindinispaprastastekstas"/>
        <w:spacing w:after="60"/>
        <w:rPr>
          <w:rFonts w:ascii="Times New Roman" w:hAnsi="Times New Roman"/>
          <w:b/>
          <w:bCs/>
          <w:color w:val="000000" w:themeColor="text1"/>
          <w:kern w:val="32"/>
          <w:szCs w:val="22"/>
        </w:rPr>
      </w:pPr>
    </w:p>
    <w:p w14:paraId="508AF26A" w14:textId="4B3D9A30" w:rsidR="00D95A6C" w:rsidRPr="00650EE4" w:rsidRDefault="00D95A6C" w:rsidP="00D95A6C">
      <w:pPr>
        <w:pStyle w:val="Antrastes31"/>
        <w:numPr>
          <w:ilvl w:val="2"/>
          <w:numId w:val="4"/>
        </w:numPr>
        <w:spacing w:before="120"/>
        <w:ind w:left="720" w:hanging="720"/>
        <w:rPr>
          <w:rFonts w:ascii="Times New Roman" w:hAnsi="Times New Roman"/>
          <w:color w:val="000000" w:themeColor="text1"/>
          <w:sz w:val="24"/>
          <w:szCs w:val="24"/>
          <w:lang w:val="lt-LT"/>
        </w:rPr>
      </w:pPr>
      <w:bookmarkStart w:id="51" w:name="_Toc59107511"/>
      <w:r w:rsidRPr="00650EE4">
        <w:rPr>
          <w:rFonts w:ascii="Times New Roman" w:hAnsi="Times New Roman"/>
          <w:color w:val="000000" w:themeColor="text1"/>
          <w:sz w:val="24"/>
          <w:szCs w:val="24"/>
          <w:lang w:val="lt-LT"/>
        </w:rPr>
        <w:t>Šilum</w:t>
      </w:r>
      <w:r w:rsidR="00C36898" w:rsidRPr="00650EE4">
        <w:rPr>
          <w:rFonts w:ascii="Times New Roman" w:hAnsi="Times New Roman"/>
          <w:color w:val="000000" w:themeColor="text1"/>
          <w:sz w:val="24"/>
          <w:szCs w:val="24"/>
          <w:lang w:val="lt-LT"/>
        </w:rPr>
        <w:t>inė</w:t>
      </w:r>
      <w:r w:rsidRPr="00650EE4">
        <w:rPr>
          <w:rFonts w:ascii="Times New Roman" w:hAnsi="Times New Roman"/>
          <w:color w:val="000000" w:themeColor="text1"/>
          <w:sz w:val="24"/>
          <w:szCs w:val="24"/>
          <w:lang w:val="lt-LT"/>
        </w:rPr>
        <w:t xml:space="preserve">s energijos </w:t>
      </w:r>
      <w:r w:rsidR="00AD3A59" w:rsidRPr="00650EE4">
        <w:rPr>
          <w:rFonts w:ascii="Times New Roman" w:hAnsi="Times New Roman"/>
          <w:color w:val="000000" w:themeColor="text1"/>
          <w:sz w:val="24"/>
          <w:szCs w:val="24"/>
          <w:lang w:val="lt-LT"/>
        </w:rPr>
        <w:t xml:space="preserve">karštam vandeniui ruošti </w:t>
      </w:r>
      <w:r w:rsidRPr="00650EE4">
        <w:rPr>
          <w:rFonts w:ascii="Times New Roman" w:hAnsi="Times New Roman"/>
          <w:color w:val="000000" w:themeColor="text1"/>
          <w:sz w:val="24"/>
          <w:szCs w:val="24"/>
          <w:lang w:val="lt-LT"/>
        </w:rPr>
        <w:t>vartojimas</w:t>
      </w:r>
      <w:bookmarkEnd w:id="51"/>
    </w:p>
    <w:p w14:paraId="0EE72C38" w14:textId="77777777" w:rsidR="00A45646" w:rsidRPr="00650EE4" w:rsidRDefault="00A45646" w:rsidP="00A45646">
      <w:pPr>
        <w:shd w:val="clear" w:color="auto" w:fill="FFFFFF"/>
        <w:spacing w:after="120" w:line="240" w:lineRule="auto"/>
        <w:rPr>
          <w:rFonts w:ascii="Times New Roman" w:eastAsia="Times New Roman" w:hAnsi="Times New Roman"/>
          <w:color w:val="222222"/>
          <w:szCs w:val="22"/>
        </w:rPr>
      </w:pPr>
      <w:r w:rsidRPr="00650EE4">
        <w:rPr>
          <w:rFonts w:ascii="Times New Roman" w:eastAsia="Times New Roman" w:hAnsi="Times New Roman"/>
          <w:color w:val="222222"/>
          <w:szCs w:val="22"/>
        </w:rPr>
        <w:t>Šiluminės </w:t>
      </w:r>
      <w:bookmarkStart w:id="52" w:name="OLE_LINK1"/>
      <w:r w:rsidRPr="00650EE4">
        <w:rPr>
          <w:rFonts w:ascii="Times New Roman" w:eastAsia="Times New Roman" w:hAnsi="Times New Roman"/>
          <w:color w:val="222222"/>
          <w:szCs w:val="22"/>
        </w:rPr>
        <w:t>energijos poreikis</w:t>
      </w:r>
      <w:bookmarkEnd w:id="52"/>
      <w:r w:rsidRPr="00650EE4">
        <w:rPr>
          <w:rFonts w:ascii="Times New Roman" w:eastAsia="Times New Roman" w:hAnsi="Times New Roman"/>
          <w:color w:val="222222"/>
          <w:szCs w:val="22"/>
        </w:rPr>
        <w:t xml:space="preserve"> karštam vandeniui apima:</w:t>
      </w:r>
    </w:p>
    <w:p w14:paraId="55980C8D" w14:textId="231BEF1A"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A45646" w:rsidRPr="00650EE4">
        <w:rPr>
          <w:rFonts w:ascii="Times New Roman" w:hAnsi="Times New Roman"/>
          <w:color w:val="000000" w:themeColor="text1"/>
          <w:szCs w:val="22"/>
        </w:rPr>
        <w:t>astato šilumos šaltinio šiluminės energijos sąnaud</w:t>
      </w:r>
      <w:r w:rsidR="00951FBE"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 xml:space="preserve">s karštam vandeniui </w:t>
      </w:r>
      <w:r w:rsidR="00951FBE" w:rsidRPr="00650EE4">
        <w:rPr>
          <w:rFonts w:ascii="Times New Roman" w:hAnsi="Times New Roman"/>
          <w:color w:val="000000" w:themeColor="text1"/>
          <w:szCs w:val="22"/>
        </w:rPr>
        <w:t>ruošti</w:t>
      </w:r>
      <w:r w:rsidR="00A45646" w:rsidRPr="00650EE4">
        <w:rPr>
          <w:rFonts w:ascii="Times New Roman" w:hAnsi="Times New Roman"/>
          <w:color w:val="000000" w:themeColor="text1"/>
          <w:szCs w:val="22"/>
        </w:rPr>
        <w:t>;</w:t>
      </w:r>
    </w:p>
    <w:p w14:paraId="45265D81" w14:textId="6AACF16F"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w:t>
      </w:r>
      <w:r w:rsidR="00951FBE"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s šilumos nuostoli</w:t>
      </w:r>
      <w:r w:rsidR="00951FBE" w:rsidRPr="00650EE4">
        <w:rPr>
          <w:rFonts w:ascii="Times New Roman" w:hAnsi="Times New Roman"/>
          <w:color w:val="000000" w:themeColor="text1"/>
          <w:szCs w:val="22"/>
        </w:rPr>
        <w:t>ų</w:t>
      </w:r>
      <w:r w:rsidR="00A45646" w:rsidRPr="00650EE4">
        <w:rPr>
          <w:rFonts w:ascii="Times New Roman" w:hAnsi="Times New Roman"/>
          <w:color w:val="000000" w:themeColor="text1"/>
          <w:szCs w:val="22"/>
        </w:rPr>
        <w:t xml:space="preserve"> vamzdynuose tarp karšto vandens gamybos įrenginio ir paskirstymo stovų;</w:t>
      </w:r>
    </w:p>
    <w:p w14:paraId="6BDE075C" w14:textId="1939FBA3"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A45646" w:rsidRPr="00650EE4">
        <w:rPr>
          <w:rFonts w:ascii="Times New Roman" w:hAnsi="Times New Roman"/>
          <w:color w:val="000000" w:themeColor="text1"/>
          <w:szCs w:val="22"/>
        </w:rPr>
        <w:t>iluminės energijos sąnaud</w:t>
      </w:r>
      <w:r w:rsidR="003F03E5" w:rsidRPr="00650EE4">
        <w:rPr>
          <w:rFonts w:ascii="Times New Roman" w:hAnsi="Times New Roman"/>
          <w:color w:val="000000" w:themeColor="text1"/>
          <w:szCs w:val="22"/>
        </w:rPr>
        <w:t>a</w:t>
      </w:r>
      <w:r w:rsidR="00A45646" w:rsidRPr="00650EE4">
        <w:rPr>
          <w:rFonts w:ascii="Times New Roman" w:hAnsi="Times New Roman"/>
          <w:color w:val="000000" w:themeColor="text1"/>
          <w:szCs w:val="22"/>
        </w:rPr>
        <w:t>s šilumos</w:t>
      </w:r>
      <w:r w:rsidR="001342A5" w:rsidRPr="00650EE4">
        <w:rPr>
          <w:rFonts w:ascii="Times New Roman" w:hAnsi="Times New Roman"/>
          <w:color w:val="000000" w:themeColor="text1"/>
          <w:szCs w:val="22"/>
        </w:rPr>
        <w:t xml:space="preserve"> dėl</w:t>
      </w:r>
      <w:r w:rsidR="00A45646" w:rsidRPr="00650EE4">
        <w:rPr>
          <w:rFonts w:ascii="Times New Roman" w:hAnsi="Times New Roman"/>
          <w:color w:val="000000" w:themeColor="text1"/>
          <w:szCs w:val="22"/>
        </w:rPr>
        <w:t xml:space="preserve"> </w:t>
      </w:r>
      <w:r w:rsidR="001342A5" w:rsidRPr="00650EE4">
        <w:rPr>
          <w:rFonts w:ascii="Times New Roman" w:hAnsi="Times New Roman"/>
          <w:color w:val="000000" w:themeColor="text1"/>
          <w:szCs w:val="22"/>
        </w:rPr>
        <w:t xml:space="preserve">nuostolių </w:t>
      </w:r>
      <w:r w:rsidR="00A45646" w:rsidRPr="00650EE4">
        <w:rPr>
          <w:rFonts w:ascii="Times New Roman" w:hAnsi="Times New Roman"/>
          <w:color w:val="000000" w:themeColor="text1"/>
          <w:szCs w:val="22"/>
        </w:rPr>
        <w:t>karšto vandens paskirstymo stovų vamzdynuose;</w:t>
      </w:r>
    </w:p>
    <w:p w14:paraId="3FCD4B09" w14:textId="188405D5" w:rsidR="00A45646" w:rsidRPr="00650EE4" w:rsidRDefault="00A45646" w:rsidP="00A45646">
      <w:pPr>
        <w:pStyle w:val="Pagrindinispaprastastekstas"/>
        <w:numPr>
          <w:ilvl w:val="0"/>
          <w:numId w:val="10"/>
        </w:numPr>
        <w:ind w:left="714" w:hanging="357"/>
        <w:rPr>
          <w:rFonts w:ascii="Times New Roman" w:hAnsi="Times New Roman"/>
          <w:color w:val="000000" w:themeColor="text1"/>
          <w:szCs w:val="22"/>
        </w:rPr>
      </w:pPr>
      <w:r w:rsidRPr="00650EE4">
        <w:rPr>
          <w:rFonts w:ascii="Times New Roman" w:hAnsi="Times New Roman"/>
          <w:color w:val="000000" w:themeColor="text1"/>
          <w:szCs w:val="22"/>
        </w:rPr>
        <w:t>šiluminės energijos sąnaud</w:t>
      </w:r>
      <w:r w:rsidR="003F03E5" w:rsidRPr="00650EE4">
        <w:rPr>
          <w:rFonts w:ascii="Times New Roman" w:hAnsi="Times New Roman"/>
          <w:color w:val="000000" w:themeColor="text1"/>
          <w:szCs w:val="22"/>
        </w:rPr>
        <w:t>a</w:t>
      </w:r>
      <w:r w:rsidRPr="00650EE4">
        <w:rPr>
          <w:rFonts w:ascii="Times New Roman" w:hAnsi="Times New Roman"/>
          <w:color w:val="000000" w:themeColor="text1"/>
          <w:szCs w:val="22"/>
        </w:rPr>
        <w:t>s</w:t>
      </w:r>
      <w:r w:rsidR="003F03E5" w:rsidRPr="00650EE4">
        <w:rPr>
          <w:rFonts w:ascii="Times New Roman" w:hAnsi="Times New Roman"/>
          <w:color w:val="000000" w:themeColor="text1"/>
          <w:szCs w:val="22"/>
        </w:rPr>
        <w:t xml:space="preserve"> dėl</w:t>
      </w:r>
      <w:r w:rsidRPr="00650EE4">
        <w:rPr>
          <w:rFonts w:ascii="Times New Roman" w:hAnsi="Times New Roman"/>
          <w:color w:val="000000" w:themeColor="text1"/>
          <w:szCs w:val="22"/>
        </w:rPr>
        <w:t xml:space="preserve"> šilumos nuostoli</w:t>
      </w:r>
      <w:r w:rsidR="003F03E5"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karšto vandens patalpų skirstomuosiuose vamzdynuose.</w:t>
      </w:r>
    </w:p>
    <w:p w14:paraId="0BF52BA6" w14:textId="77777777" w:rsidR="00401563" w:rsidRPr="00650EE4" w:rsidRDefault="00401563" w:rsidP="005C7E0C">
      <w:pPr>
        <w:pStyle w:val="BodyText"/>
        <w:spacing w:line="240" w:lineRule="auto"/>
        <w:jc w:val="both"/>
        <w:rPr>
          <w:rFonts w:ascii="Times New Roman" w:hAnsi="Times New Roman"/>
          <w:color w:val="000000" w:themeColor="text1"/>
          <w:szCs w:val="22"/>
          <w:lang w:val="lt-LT"/>
        </w:rPr>
      </w:pPr>
    </w:p>
    <w:p w14:paraId="79641BA3" w14:textId="7503C9CB" w:rsidR="00963049" w:rsidRPr="00650EE4" w:rsidRDefault="00963049" w:rsidP="005C7E0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Lentelėje žemiau pateikiamas</w:t>
      </w:r>
      <w:r w:rsidR="00AA07E0" w:rsidRPr="00650EE4">
        <w:rPr>
          <w:rFonts w:ascii="Times New Roman" w:hAnsi="Times New Roman"/>
          <w:color w:val="000000" w:themeColor="text1"/>
          <w:szCs w:val="22"/>
          <w:lang w:val="lt-LT"/>
        </w:rPr>
        <w:t xml:space="preserve"> skaičiuotinas </w:t>
      </w:r>
      <w:r w:rsidR="007A52B6">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 xml:space="preserve">astatų fondo metinis šiluminės energijos karštam vandeniui </w:t>
      </w:r>
      <w:r w:rsidR="0015420E" w:rsidRPr="00650EE4">
        <w:rPr>
          <w:rFonts w:ascii="Times New Roman" w:hAnsi="Times New Roman"/>
          <w:color w:val="000000" w:themeColor="text1"/>
          <w:szCs w:val="22"/>
          <w:lang w:val="lt-LT"/>
        </w:rPr>
        <w:t xml:space="preserve">ruošti </w:t>
      </w:r>
      <w:r w:rsidRPr="00650EE4">
        <w:rPr>
          <w:rFonts w:ascii="Times New Roman" w:hAnsi="Times New Roman"/>
          <w:color w:val="000000" w:themeColor="text1"/>
          <w:szCs w:val="22"/>
          <w:lang w:val="lt-LT"/>
        </w:rPr>
        <w:t xml:space="preserve">vartojimas pagal </w:t>
      </w:r>
      <w:r w:rsidR="00E02F48" w:rsidRPr="00650EE4">
        <w:rPr>
          <w:rFonts w:ascii="Times New Roman" w:hAnsi="Times New Roman"/>
          <w:color w:val="000000" w:themeColor="text1"/>
          <w:szCs w:val="22"/>
          <w:lang w:val="lt-LT"/>
        </w:rPr>
        <w:t>energinio naudingumo</w:t>
      </w:r>
      <w:r w:rsidRPr="00650EE4">
        <w:rPr>
          <w:rFonts w:ascii="Times New Roman" w:hAnsi="Times New Roman"/>
          <w:color w:val="000000" w:themeColor="text1"/>
          <w:szCs w:val="22"/>
          <w:lang w:val="lt-LT"/>
        </w:rPr>
        <w:t xml:space="preserve"> klasę, </w:t>
      </w:r>
      <w:proofErr w:type="spellStart"/>
      <w:r w:rsidRPr="00650EE4">
        <w:rPr>
          <w:rFonts w:ascii="Times New Roman" w:hAnsi="Times New Roman"/>
          <w:color w:val="000000" w:themeColor="text1"/>
          <w:szCs w:val="22"/>
          <w:lang w:val="lt-LT"/>
        </w:rPr>
        <w:t>GWh</w:t>
      </w:r>
      <w:proofErr w:type="spellEnd"/>
      <w:r w:rsidRPr="00650EE4">
        <w:rPr>
          <w:rFonts w:ascii="Times New Roman" w:hAnsi="Times New Roman"/>
          <w:color w:val="000000" w:themeColor="text1"/>
          <w:szCs w:val="22"/>
          <w:lang w:val="lt-LT"/>
        </w:rPr>
        <w:t xml:space="preserve">. </w:t>
      </w:r>
    </w:p>
    <w:p w14:paraId="36D5969E" w14:textId="77777777" w:rsidR="00AA07E0" w:rsidRPr="00650EE4" w:rsidRDefault="00AA07E0" w:rsidP="005C7E0C">
      <w:pPr>
        <w:pStyle w:val="BodyText"/>
        <w:spacing w:line="240" w:lineRule="auto"/>
        <w:jc w:val="both"/>
        <w:rPr>
          <w:rFonts w:ascii="Times New Roman" w:hAnsi="Times New Roman"/>
          <w:color w:val="000000" w:themeColor="text1"/>
          <w:szCs w:val="22"/>
          <w:lang w:val="lt-LT"/>
        </w:rPr>
      </w:pPr>
    </w:p>
    <w:p w14:paraId="143C1E41" w14:textId="77777777" w:rsidR="003E0C4E" w:rsidRDefault="003E0C4E">
      <w:pPr>
        <w:spacing w:after="240"/>
        <w:rPr>
          <w:rFonts w:ascii="Times New Roman" w:eastAsiaTheme="minorHAnsi" w:hAnsi="Times New Roman"/>
          <w:bCs/>
          <w:i/>
          <w:color w:val="000000" w:themeColor="text1"/>
          <w:sz w:val="20"/>
          <w:szCs w:val="20"/>
        </w:rPr>
      </w:pPr>
      <w:r>
        <w:br w:type="page"/>
      </w:r>
    </w:p>
    <w:p w14:paraId="14F210B2" w14:textId="74EF1D18" w:rsidR="00731DB0"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53" w:name="_Toc59094201"/>
      <w:r w:rsidR="00F25C65">
        <w:t>18</w:t>
      </w:r>
      <w:r w:rsidRPr="00650EE4">
        <w:rPr>
          <w:noProof w:val="0"/>
        </w:rPr>
        <w:fldChar w:fldCharType="end"/>
      </w:r>
      <w:r w:rsidR="008316A2" w:rsidRPr="00650EE4">
        <w:rPr>
          <w:noProof w:val="0"/>
        </w:rPr>
        <w:t xml:space="preserve"> lentelė. Pastatų fondo šiluminės </w:t>
      </w:r>
      <w:r w:rsidR="00244F38" w:rsidRPr="00650EE4">
        <w:rPr>
          <w:noProof w:val="0"/>
        </w:rPr>
        <w:t>energijos vartojimas</w:t>
      </w:r>
      <w:r w:rsidR="008316A2" w:rsidRPr="00650EE4">
        <w:rPr>
          <w:noProof w:val="0"/>
        </w:rPr>
        <w:t xml:space="preserve"> karštam vande</w:t>
      </w:r>
      <w:r w:rsidR="00401563" w:rsidRPr="00650EE4">
        <w:rPr>
          <w:noProof w:val="0"/>
        </w:rPr>
        <w:t xml:space="preserve">niui </w:t>
      </w:r>
      <w:r w:rsidR="008B7B06" w:rsidRPr="00650EE4">
        <w:rPr>
          <w:noProof w:val="0"/>
        </w:rPr>
        <w:t>ruošti</w:t>
      </w:r>
      <w:r w:rsidR="00401563" w:rsidRPr="00650EE4">
        <w:rPr>
          <w:noProof w:val="0"/>
        </w:rPr>
        <w:t xml:space="preserve"> pagal </w:t>
      </w:r>
      <w:r w:rsidR="009209CF" w:rsidRPr="00650EE4">
        <w:rPr>
          <w:noProof w:val="0"/>
        </w:rPr>
        <w:t>ENK</w:t>
      </w:r>
      <w:r w:rsidR="008316A2" w:rsidRPr="00650EE4">
        <w:rPr>
          <w:noProof w:val="0"/>
        </w:rPr>
        <w:t xml:space="preserve"> (</w:t>
      </w:r>
      <w:proofErr w:type="spellStart"/>
      <w:r w:rsidR="008316A2" w:rsidRPr="00650EE4">
        <w:rPr>
          <w:noProof w:val="0"/>
        </w:rPr>
        <w:t>GWh</w:t>
      </w:r>
      <w:proofErr w:type="spellEnd"/>
      <w:r w:rsidR="008316A2" w:rsidRPr="00650EE4">
        <w:rPr>
          <w:noProof w:val="0"/>
        </w:rPr>
        <w:t>)</w:t>
      </w:r>
      <w:bookmarkEnd w:id="53"/>
    </w:p>
    <w:tbl>
      <w:tblPr>
        <w:tblW w:w="5000" w:type="pct"/>
        <w:tblLook w:val="04A0" w:firstRow="1" w:lastRow="0" w:firstColumn="1" w:lastColumn="0" w:noHBand="0" w:noVBand="1"/>
      </w:tblPr>
      <w:tblGrid>
        <w:gridCol w:w="2154"/>
        <w:gridCol w:w="1113"/>
        <w:gridCol w:w="1113"/>
        <w:gridCol w:w="1113"/>
        <w:gridCol w:w="1113"/>
        <w:gridCol w:w="1113"/>
        <w:gridCol w:w="969"/>
        <w:gridCol w:w="871"/>
        <w:gridCol w:w="861"/>
      </w:tblGrid>
      <w:tr w:rsidR="00A41E21" w:rsidRPr="00650EE4" w14:paraId="488206DC" w14:textId="77777777" w:rsidTr="00775C15">
        <w:tc>
          <w:tcPr>
            <w:tcW w:w="1034"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44047F65"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35"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7B9812DD" w14:textId="5FD1D149" w:rsidR="00A41E21" w:rsidRPr="00650EE4" w:rsidRDefault="00E02F48"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w:t>
            </w:r>
            <w:r w:rsidR="00A41E21" w:rsidRPr="00650EE4">
              <w:rPr>
                <w:rFonts w:ascii="Times New Roman" w:eastAsia="Times New Roman" w:hAnsi="Times New Roman"/>
                <w:b/>
                <w:bCs/>
                <w:sz w:val="20"/>
                <w:szCs w:val="20"/>
              </w:rPr>
              <w:t xml:space="preserve"> klasė</w:t>
            </w:r>
          </w:p>
        </w:tc>
        <w:tc>
          <w:tcPr>
            <w:tcW w:w="418" w:type="pct"/>
            <w:vMerge w:val="restart"/>
            <w:tcBorders>
              <w:top w:val="single" w:sz="4" w:space="0" w:color="auto"/>
              <w:left w:val="nil"/>
              <w:bottom w:val="single" w:sz="4" w:space="0" w:color="000000"/>
              <w:right w:val="nil"/>
            </w:tcBorders>
            <w:shd w:val="clear" w:color="000000" w:fill="FFFFFF"/>
            <w:vAlign w:val="center"/>
            <w:hideMark/>
          </w:tcPr>
          <w:p w14:paraId="1418ABF0"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13"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188CF36"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A41E21" w:rsidRPr="00650EE4" w14:paraId="6EDCF865" w14:textId="77777777" w:rsidTr="00775C15">
        <w:tc>
          <w:tcPr>
            <w:tcW w:w="1034" w:type="pct"/>
            <w:vMerge/>
            <w:tcBorders>
              <w:top w:val="single" w:sz="4" w:space="0" w:color="auto"/>
              <w:left w:val="single" w:sz="4" w:space="0" w:color="auto"/>
              <w:bottom w:val="single" w:sz="4" w:space="0" w:color="000000"/>
              <w:right w:val="nil"/>
            </w:tcBorders>
            <w:vAlign w:val="center"/>
            <w:hideMark/>
          </w:tcPr>
          <w:p w14:paraId="3F4E0143" w14:textId="77777777" w:rsidR="00A41E21" w:rsidRPr="00650EE4" w:rsidRDefault="00A41E21" w:rsidP="00A41E21">
            <w:pPr>
              <w:spacing w:line="240" w:lineRule="auto"/>
              <w:rPr>
                <w:rFonts w:ascii="Times New Roman" w:eastAsia="Times New Roman" w:hAnsi="Times New Roman"/>
                <w:b/>
                <w:bCs/>
                <w:sz w:val="20"/>
                <w:szCs w:val="20"/>
              </w:rPr>
            </w:pPr>
          </w:p>
        </w:tc>
        <w:tc>
          <w:tcPr>
            <w:tcW w:w="534" w:type="pct"/>
            <w:tcBorders>
              <w:top w:val="nil"/>
              <w:left w:val="single" w:sz="4" w:space="0" w:color="auto"/>
              <w:bottom w:val="single" w:sz="4" w:space="0" w:color="auto"/>
              <w:right w:val="nil"/>
            </w:tcBorders>
            <w:shd w:val="clear" w:color="000000" w:fill="FFFFFF"/>
            <w:vAlign w:val="center"/>
            <w:hideMark/>
          </w:tcPr>
          <w:p w14:paraId="2E932AED" w14:textId="16CD682B" w:rsidR="00A41E21" w:rsidRPr="00650EE4" w:rsidRDefault="007F357E"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w:t>
            </w:r>
            <w:r w:rsidR="00A41E21" w:rsidRPr="00650EE4">
              <w:rPr>
                <w:rFonts w:ascii="Times New Roman" w:eastAsia="Times New Roman" w:hAnsi="Times New Roman"/>
                <w:b/>
                <w:bCs/>
                <w:sz w:val="20"/>
                <w:szCs w:val="20"/>
              </w:rPr>
              <w:t>D</w:t>
            </w:r>
          </w:p>
        </w:tc>
        <w:tc>
          <w:tcPr>
            <w:tcW w:w="534" w:type="pct"/>
            <w:tcBorders>
              <w:top w:val="nil"/>
              <w:left w:val="nil"/>
              <w:bottom w:val="single" w:sz="4" w:space="0" w:color="auto"/>
              <w:right w:val="nil"/>
            </w:tcBorders>
            <w:shd w:val="clear" w:color="000000" w:fill="FFFFFF"/>
            <w:vAlign w:val="center"/>
            <w:hideMark/>
          </w:tcPr>
          <w:p w14:paraId="5EE299CA"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34" w:type="pct"/>
            <w:tcBorders>
              <w:top w:val="nil"/>
              <w:left w:val="nil"/>
              <w:bottom w:val="single" w:sz="4" w:space="0" w:color="auto"/>
              <w:right w:val="nil"/>
            </w:tcBorders>
            <w:shd w:val="clear" w:color="000000" w:fill="FFFFFF"/>
            <w:vAlign w:val="center"/>
            <w:hideMark/>
          </w:tcPr>
          <w:p w14:paraId="3632D677"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34" w:type="pct"/>
            <w:tcBorders>
              <w:top w:val="nil"/>
              <w:left w:val="nil"/>
              <w:bottom w:val="single" w:sz="4" w:space="0" w:color="auto"/>
              <w:right w:val="nil"/>
            </w:tcBorders>
            <w:shd w:val="clear" w:color="000000" w:fill="FFFFFF"/>
            <w:vAlign w:val="center"/>
            <w:hideMark/>
          </w:tcPr>
          <w:p w14:paraId="575A6547"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34" w:type="pct"/>
            <w:tcBorders>
              <w:top w:val="nil"/>
              <w:left w:val="nil"/>
              <w:bottom w:val="single" w:sz="4" w:space="0" w:color="auto"/>
              <w:right w:val="nil"/>
            </w:tcBorders>
            <w:shd w:val="clear" w:color="000000" w:fill="FFFFFF"/>
            <w:vAlign w:val="center"/>
            <w:hideMark/>
          </w:tcPr>
          <w:p w14:paraId="41EC2AA9"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64" w:type="pct"/>
            <w:tcBorders>
              <w:top w:val="nil"/>
              <w:left w:val="nil"/>
              <w:bottom w:val="single" w:sz="4" w:space="0" w:color="auto"/>
              <w:right w:val="single" w:sz="4" w:space="0" w:color="auto"/>
            </w:tcBorders>
            <w:shd w:val="clear" w:color="000000" w:fill="FFFFFF"/>
            <w:vAlign w:val="center"/>
            <w:hideMark/>
          </w:tcPr>
          <w:p w14:paraId="1C2D7561" w14:textId="77777777" w:rsidR="00A41E21" w:rsidRPr="00650EE4" w:rsidRDefault="00A41E21" w:rsidP="00A41E2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18" w:type="pct"/>
            <w:vMerge/>
            <w:tcBorders>
              <w:top w:val="single" w:sz="4" w:space="0" w:color="auto"/>
              <w:left w:val="nil"/>
              <w:bottom w:val="single" w:sz="4" w:space="0" w:color="000000"/>
              <w:right w:val="nil"/>
            </w:tcBorders>
            <w:vAlign w:val="center"/>
            <w:hideMark/>
          </w:tcPr>
          <w:p w14:paraId="16FCD7DE" w14:textId="77777777" w:rsidR="00A41E21" w:rsidRPr="00650EE4" w:rsidRDefault="00A41E21" w:rsidP="00A41E21">
            <w:pPr>
              <w:spacing w:line="240" w:lineRule="auto"/>
              <w:rPr>
                <w:rFonts w:ascii="Times New Roman" w:eastAsia="Times New Roman" w:hAnsi="Times New Roman"/>
                <w:b/>
                <w:bCs/>
                <w:sz w:val="20"/>
                <w:szCs w:val="20"/>
              </w:rPr>
            </w:pPr>
          </w:p>
        </w:tc>
        <w:tc>
          <w:tcPr>
            <w:tcW w:w="413" w:type="pct"/>
            <w:vMerge/>
            <w:tcBorders>
              <w:top w:val="single" w:sz="4" w:space="0" w:color="auto"/>
              <w:left w:val="single" w:sz="4" w:space="0" w:color="auto"/>
              <w:bottom w:val="single" w:sz="4" w:space="0" w:color="000000"/>
              <w:right w:val="single" w:sz="4" w:space="0" w:color="auto"/>
            </w:tcBorders>
            <w:vAlign w:val="center"/>
            <w:hideMark/>
          </w:tcPr>
          <w:p w14:paraId="7CF21A04" w14:textId="77777777" w:rsidR="00A41E21" w:rsidRPr="00650EE4" w:rsidRDefault="00A41E21" w:rsidP="00A41E21">
            <w:pPr>
              <w:spacing w:line="240" w:lineRule="auto"/>
              <w:rPr>
                <w:rFonts w:ascii="Times New Roman" w:eastAsia="Times New Roman" w:hAnsi="Times New Roman"/>
                <w:b/>
                <w:bCs/>
                <w:sz w:val="20"/>
                <w:szCs w:val="20"/>
              </w:rPr>
            </w:pPr>
          </w:p>
        </w:tc>
      </w:tr>
      <w:tr w:rsidR="00A41E21" w:rsidRPr="00650EE4" w14:paraId="30A5AEEA" w14:textId="77777777" w:rsidTr="00775C15">
        <w:tc>
          <w:tcPr>
            <w:tcW w:w="1034" w:type="pct"/>
            <w:tcBorders>
              <w:top w:val="nil"/>
              <w:left w:val="single" w:sz="4" w:space="0" w:color="auto"/>
              <w:bottom w:val="single" w:sz="4" w:space="0" w:color="auto"/>
              <w:right w:val="single" w:sz="4" w:space="0" w:color="auto"/>
            </w:tcBorders>
            <w:shd w:val="clear" w:color="000000" w:fill="F2F2F2"/>
            <w:noWrap/>
            <w:vAlign w:val="center"/>
            <w:hideMark/>
          </w:tcPr>
          <w:p w14:paraId="2E323F17"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34" w:type="pct"/>
            <w:tcBorders>
              <w:top w:val="nil"/>
              <w:left w:val="nil"/>
              <w:bottom w:val="single" w:sz="4" w:space="0" w:color="auto"/>
              <w:right w:val="nil"/>
            </w:tcBorders>
            <w:shd w:val="clear" w:color="000000" w:fill="F2F2F2"/>
            <w:noWrap/>
            <w:vAlign w:val="center"/>
            <w:hideMark/>
          </w:tcPr>
          <w:p w14:paraId="58AB2DB2"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2.885</w:t>
            </w:r>
          </w:p>
        </w:tc>
        <w:tc>
          <w:tcPr>
            <w:tcW w:w="534" w:type="pct"/>
            <w:tcBorders>
              <w:top w:val="nil"/>
              <w:left w:val="nil"/>
              <w:bottom w:val="single" w:sz="4" w:space="0" w:color="auto"/>
              <w:right w:val="nil"/>
            </w:tcBorders>
            <w:shd w:val="clear" w:color="000000" w:fill="F2F2F2"/>
            <w:noWrap/>
            <w:vAlign w:val="center"/>
            <w:hideMark/>
          </w:tcPr>
          <w:p w14:paraId="3A04E56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608</w:t>
            </w:r>
          </w:p>
        </w:tc>
        <w:tc>
          <w:tcPr>
            <w:tcW w:w="534" w:type="pct"/>
            <w:tcBorders>
              <w:top w:val="nil"/>
              <w:left w:val="nil"/>
              <w:bottom w:val="single" w:sz="4" w:space="0" w:color="auto"/>
              <w:right w:val="nil"/>
            </w:tcBorders>
            <w:shd w:val="clear" w:color="000000" w:fill="F2F2F2"/>
            <w:noWrap/>
            <w:vAlign w:val="center"/>
            <w:hideMark/>
          </w:tcPr>
          <w:p w14:paraId="68E23F51"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442</w:t>
            </w:r>
          </w:p>
        </w:tc>
        <w:tc>
          <w:tcPr>
            <w:tcW w:w="534" w:type="pct"/>
            <w:tcBorders>
              <w:top w:val="nil"/>
              <w:left w:val="nil"/>
              <w:bottom w:val="single" w:sz="4" w:space="0" w:color="auto"/>
              <w:right w:val="nil"/>
            </w:tcBorders>
            <w:shd w:val="clear" w:color="000000" w:fill="F2F2F2"/>
            <w:noWrap/>
            <w:vAlign w:val="center"/>
            <w:hideMark/>
          </w:tcPr>
          <w:p w14:paraId="4AA3F385"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40</w:t>
            </w:r>
          </w:p>
        </w:tc>
        <w:tc>
          <w:tcPr>
            <w:tcW w:w="534" w:type="pct"/>
            <w:tcBorders>
              <w:top w:val="nil"/>
              <w:left w:val="nil"/>
              <w:bottom w:val="single" w:sz="4" w:space="0" w:color="auto"/>
              <w:right w:val="nil"/>
            </w:tcBorders>
            <w:shd w:val="clear" w:color="000000" w:fill="F2F2F2"/>
            <w:noWrap/>
            <w:vAlign w:val="center"/>
            <w:hideMark/>
          </w:tcPr>
          <w:p w14:paraId="0EC22124"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w:t>
            </w:r>
          </w:p>
        </w:tc>
        <w:tc>
          <w:tcPr>
            <w:tcW w:w="464" w:type="pct"/>
            <w:tcBorders>
              <w:top w:val="nil"/>
              <w:left w:val="nil"/>
              <w:bottom w:val="single" w:sz="4" w:space="0" w:color="auto"/>
              <w:right w:val="single" w:sz="4" w:space="0" w:color="auto"/>
            </w:tcBorders>
            <w:shd w:val="clear" w:color="000000" w:fill="F2F2F2"/>
            <w:noWrap/>
            <w:vAlign w:val="center"/>
            <w:hideMark/>
          </w:tcPr>
          <w:p w14:paraId="487E242A"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w:t>
            </w:r>
          </w:p>
        </w:tc>
        <w:tc>
          <w:tcPr>
            <w:tcW w:w="418" w:type="pct"/>
            <w:tcBorders>
              <w:top w:val="nil"/>
              <w:left w:val="nil"/>
              <w:bottom w:val="single" w:sz="4" w:space="0" w:color="auto"/>
              <w:right w:val="nil"/>
            </w:tcBorders>
            <w:shd w:val="clear" w:color="000000" w:fill="F2F2F2"/>
            <w:noWrap/>
            <w:vAlign w:val="center"/>
            <w:hideMark/>
          </w:tcPr>
          <w:p w14:paraId="2A3E410A"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3.984</w:t>
            </w:r>
          </w:p>
        </w:tc>
        <w:tc>
          <w:tcPr>
            <w:tcW w:w="413" w:type="pct"/>
            <w:tcBorders>
              <w:top w:val="nil"/>
              <w:left w:val="single" w:sz="4" w:space="0" w:color="auto"/>
              <w:bottom w:val="single" w:sz="4" w:space="0" w:color="auto"/>
              <w:right w:val="single" w:sz="4" w:space="0" w:color="auto"/>
            </w:tcBorders>
            <w:shd w:val="clear" w:color="000000" w:fill="F2F2F2"/>
            <w:noWrap/>
            <w:vAlign w:val="center"/>
            <w:hideMark/>
          </w:tcPr>
          <w:p w14:paraId="3151F80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47%</w:t>
            </w:r>
          </w:p>
        </w:tc>
      </w:tr>
      <w:tr w:rsidR="00A41E21" w:rsidRPr="00650EE4" w14:paraId="4A88A95F" w14:textId="77777777" w:rsidTr="00775C15">
        <w:tc>
          <w:tcPr>
            <w:tcW w:w="1034" w:type="pct"/>
            <w:tcBorders>
              <w:top w:val="nil"/>
              <w:left w:val="single" w:sz="4" w:space="0" w:color="auto"/>
              <w:bottom w:val="nil"/>
              <w:right w:val="nil"/>
            </w:tcBorders>
            <w:shd w:val="clear" w:color="000000" w:fill="FFFFFF"/>
            <w:noWrap/>
            <w:vAlign w:val="center"/>
            <w:hideMark/>
          </w:tcPr>
          <w:p w14:paraId="5F341695"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34" w:type="pct"/>
            <w:tcBorders>
              <w:top w:val="nil"/>
              <w:left w:val="single" w:sz="4" w:space="0" w:color="auto"/>
              <w:bottom w:val="nil"/>
              <w:right w:val="nil"/>
            </w:tcBorders>
            <w:shd w:val="clear" w:color="000000" w:fill="FFFFFF"/>
            <w:noWrap/>
            <w:vAlign w:val="center"/>
            <w:hideMark/>
          </w:tcPr>
          <w:p w14:paraId="6C53283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472</w:t>
            </w:r>
          </w:p>
        </w:tc>
        <w:tc>
          <w:tcPr>
            <w:tcW w:w="534" w:type="pct"/>
            <w:tcBorders>
              <w:top w:val="nil"/>
              <w:left w:val="nil"/>
              <w:bottom w:val="nil"/>
              <w:right w:val="nil"/>
            </w:tcBorders>
            <w:shd w:val="clear" w:color="000000" w:fill="FFFFFF"/>
            <w:noWrap/>
            <w:vAlign w:val="center"/>
            <w:hideMark/>
          </w:tcPr>
          <w:p w14:paraId="4D3AE13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310</w:t>
            </w:r>
          </w:p>
        </w:tc>
        <w:tc>
          <w:tcPr>
            <w:tcW w:w="534" w:type="pct"/>
            <w:tcBorders>
              <w:top w:val="nil"/>
              <w:left w:val="nil"/>
              <w:bottom w:val="nil"/>
              <w:right w:val="nil"/>
            </w:tcBorders>
            <w:shd w:val="clear" w:color="000000" w:fill="FFFFFF"/>
            <w:noWrap/>
            <w:vAlign w:val="center"/>
            <w:hideMark/>
          </w:tcPr>
          <w:p w14:paraId="66DF7C0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34" w:type="pct"/>
            <w:tcBorders>
              <w:top w:val="nil"/>
              <w:left w:val="nil"/>
              <w:bottom w:val="nil"/>
              <w:right w:val="nil"/>
            </w:tcBorders>
            <w:shd w:val="clear" w:color="000000" w:fill="FFFFFF"/>
            <w:noWrap/>
            <w:vAlign w:val="center"/>
            <w:hideMark/>
          </w:tcPr>
          <w:p w14:paraId="26A72D4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534" w:type="pct"/>
            <w:tcBorders>
              <w:top w:val="nil"/>
              <w:left w:val="nil"/>
              <w:bottom w:val="nil"/>
              <w:right w:val="nil"/>
            </w:tcBorders>
            <w:shd w:val="clear" w:color="000000" w:fill="FFFFFF"/>
            <w:noWrap/>
            <w:vAlign w:val="center"/>
            <w:hideMark/>
          </w:tcPr>
          <w:p w14:paraId="7681EBB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64" w:type="pct"/>
            <w:tcBorders>
              <w:top w:val="nil"/>
              <w:left w:val="nil"/>
              <w:bottom w:val="nil"/>
              <w:right w:val="single" w:sz="4" w:space="0" w:color="auto"/>
            </w:tcBorders>
            <w:shd w:val="clear" w:color="000000" w:fill="FFFFFF"/>
            <w:noWrap/>
            <w:vAlign w:val="center"/>
            <w:hideMark/>
          </w:tcPr>
          <w:p w14:paraId="713CB84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1764BBE"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908</w:t>
            </w:r>
          </w:p>
        </w:tc>
        <w:tc>
          <w:tcPr>
            <w:tcW w:w="413" w:type="pct"/>
            <w:tcBorders>
              <w:top w:val="nil"/>
              <w:left w:val="single" w:sz="4" w:space="0" w:color="auto"/>
              <w:bottom w:val="nil"/>
              <w:right w:val="single" w:sz="4" w:space="0" w:color="auto"/>
            </w:tcBorders>
            <w:shd w:val="clear" w:color="000000" w:fill="FFFFFF"/>
            <w:noWrap/>
            <w:vAlign w:val="center"/>
            <w:hideMark/>
          </w:tcPr>
          <w:p w14:paraId="72448AA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A41E21" w:rsidRPr="00650EE4" w14:paraId="5098CACA" w14:textId="77777777" w:rsidTr="00AF03E9">
        <w:trPr>
          <w:trHeight w:val="121"/>
        </w:trPr>
        <w:tc>
          <w:tcPr>
            <w:tcW w:w="1034" w:type="pct"/>
            <w:tcBorders>
              <w:top w:val="nil"/>
              <w:left w:val="single" w:sz="4" w:space="0" w:color="auto"/>
              <w:bottom w:val="nil"/>
              <w:right w:val="nil"/>
            </w:tcBorders>
            <w:shd w:val="clear" w:color="000000" w:fill="FFFFFF"/>
            <w:noWrap/>
            <w:vAlign w:val="center"/>
            <w:hideMark/>
          </w:tcPr>
          <w:p w14:paraId="77D68709"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34" w:type="pct"/>
            <w:tcBorders>
              <w:top w:val="nil"/>
              <w:left w:val="single" w:sz="4" w:space="0" w:color="auto"/>
              <w:bottom w:val="nil"/>
              <w:right w:val="nil"/>
            </w:tcBorders>
            <w:shd w:val="clear" w:color="000000" w:fill="FFFFFF"/>
            <w:noWrap/>
            <w:vAlign w:val="center"/>
            <w:hideMark/>
          </w:tcPr>
          <w:p w14:paraId="7C07693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2.414</w:t>
            </w:r>
          </w:p>
        </w:tc>
        <w:tc>
          <w:tcPr>
            <w:tcW w:w="534" w:type="pct"/>
            <w:tcBorders>
              <w:top w:val="nil"/>
              <w:left w:val="nil"/>
              <w:bottom w:val="nil"/>
              <w:right w:val="nil"/>
            </w:tcBorders>
            <w:shd w:val="clear" w:color="000000" w:fill="FFFFFF"/>
            <w:noWrap/>
            <w:vAlign w:val="center"/>
            <w:hideMark/>
          </w:tcPr>
          <w:p w14:paraId="435B5FA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298</w:t>
            </w:r>
          </w:p>
        </w:tc>
        <w:tc>
          <w:tcPr>
            <w:tcW w:w="534" w:type="pct"/>
            <w:tcBorders>
              <w:top w:val="nil"/>
              <w:left w:val="nil"/>
              <w:bottom w:val="nil"/>
              <w:right w:val="nil"/>
            </w:tcBorders>
            <w:shd w:val="clear" w:color="000000" w:fill="FFFFFF"/>
            <w:noWrap/>
            <w:vAlign w:val="center"/>
            <w:hideMark/>
          </w:tcPr>
          <w:p w14:paraId="237093C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336</w:t>
            </w:r>
          </w:p>
        </w:tc>
        <w:tc>
          <w:tcPr>
            <w:tcW w:w="534" w:type="pct"/>
            <w:tcBorders>
              <w:top w:val="nil"/>
              <w:left w:val="nil"/>
              <w:bottom w:val="nil"/>
              <w:right w:val="nil"/>
            </w:tcBorders>
            <w:shd w:val="clear" w:color="000000" w:fill="FFFFFF"/>
            <w:noWrap/>
            <w:vAlign w:val="center"/>
            <w:hideMark/>
          </w:tcPr>
          <w:p w14:paraId="30E32A6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534" w:type="pct"/>
            <w:tcBorders>
              <w:top w:val="nil"/>
              <w:left w:val="nil"/>
              <w:bottom w:val="nil"/>
              <w:right w:val="nil"/>
            </w:tcBorders>
            <w:shd w:val="clear" w:color="000000" w:fill="FFFFFF"/>
            <w:noWrap/>
            <w:vAlign w:val="center"/>
            <w:hideMark/>
          </w:tcPr>
          <w:p w14:paraId="15DE0F0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64" w:type="pct"/>
            <w:tcBorders>
              <w:top w:val="nil"/>
              <w:left w:val="nil"/>
              <w:bottom w:val="nil"/>
              <w:right w:val="single" w:sz="4" w:space="0" w:color="auto"/>
            </w:tcBorders>
            <w:shd w:val="clear" w:color="000000" w:fill="FFFFFF"/>
            <w:noWrap/>
            <w:vAlign w:val="center"/>
            <w:hideMark/>
          </w:tcPr>
          <w:p w14:paraId="02F34B1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18" w:type="pct"/>
            <w:tcBorders>
              <w:top w:val="nil"/>
              <w:left w:val="nil"/>
              <w:bottom w:val="nil"/>
              <w:right w:val="nil"/>
            </w:tcBorders>
            <w:shd w:val="clear" w:color="000000" w:fill="FFFFFF"/>
            <w:noWrap/>
            <w:vAlign w:val="center"/>
            <w:hideMark/>
          </w:tcPr>
          <w:p w14:paraId="4A93CEF9"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3.076</w:t>
            </w:r>
          </w:p>
        </w:tc>
        <w:tc>
          <w:tcPr>
            <w:tcW w:w="413" w:type="pct"/>
            <w:tcBorders>
              <w:top w:val="nil"/>
              <w:left w:val="single" w:sz="4" w:space="0" w:color="auto"/>
              <w:bottom w:val="nil"/>
              <w:right w:val="single" w:sz="4" w:space="0" w:color="auto"/>
            </w:tcBorders>
            <w:shd w:val="clear" w:color="000000" w:fill="FFFFFF"/>
            <w:noWrap/>
            <w:vAlign w:val="center"/>
            <w:hideMark/>
          </w:tcPr>
          <w:p w14:paraId="237813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r>
      <w:tr w:rsidR="00A41E21" w:rsidRPr="00650EE4" w14:paraId="7B698464" w14:textId="77777777" w:rsidTr="00775C15">
        <w:tc>
          <w:tcPr>
            <w:tcW w:w="1034" w:type="pct"/>
            <w:tcBorders>
              <w:top w:val="single" w:sz="4" w:space="0" w:color="auto"/>
              <w:left w:val="single" w:sz="4" w:space="0" w:color="auto"/>
              <w:bottom w:val="single" w:sz="4" w:space="0" w:color="auto"/>
              <w:right w:val="nil"/>
            </w:tcBorders>
            <w:shd w:val="clear" w:color="000000" w:fill="F2F2F2"/>
            <w:noWrap/>
            <w:vAlign w:val="center"/>
            <w:hideMark/>
          </w:tcPr>
          <w:p w14:paraId="10A87E87" w14:textId="77777777" w:rsidR="00A41E21" w:rsidRPr="00650EE4" w:rsidRDefault="00A41E21" w:rsidP="00A41E21">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34" w:type="pct"/>
            <w:tcBorders>
              <w:top w:val="single" w:sz="4" w:space="0" w:color="auto"/>
              <w:left w:val="single" w:sz="4" w:space="0" w:color="auto"/>
              <w:bottom w:val="single" w:sz="4" w:space="0" w:color="auto"/>
              <w:right w:val="nil"/>
            </w:tcBorders>
            <w:shd w:val="clear" w:color="000000" w:fill="F2F2F2"/>
            <w:noWrap/>
            <w:vAlign w:val="center"/>
            <w:hideMark/>
          </w:tcPr>
          <w:p w14:paraId="2B0ABE0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3.666</w:t>
            </w:r>
          </w:p>
        </w:tc>
        <w:tc>
          <w:tcPr>
            <w:tcW w:w="534" w:type="pct"/>
            <w:tcBorders>
              <w:top w:val="single" w:sz="4" w:space="0" w:color="auto"/>
              <w:left w:val="nil"/>
              <w:bottom w:val="single" w:sz="4" w:space="0" w:color="auto"/>
              <w:right w:val="nil"/>
            </w:tcBorders>
            <w:shd w:val="clear" w:color="000000" w:fill="F2F2F2"/>
            <w:noWrap/>
            <w:vAlign w:val="center"/>
            <w:hideMark/>
          </w:tcPr>
          <w:p w14:paraId="56293390"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353</w:t>
            </w:r>
          </w:p>
        </w:tc>
        <w:tc>
          <w:tcPr>
            <w:tcW w:w="534" w:type="pct"/>
            <w:tcBorders>
              <w:top w:val="single" w:sz="4" w:space="0" w:color="auto"/>
              <w:left w:val="nil"/>
              <w:bottom w:val="single" w:sz="4" w:space="0" w:color="auto"/>
              <w:right w:val="nil"/>
            </w:tcBorders>
            <w:shd w:val="clear" w:color="000000" w:fill="F2F2F2"/>
            <w:noWrap/>
            <w:vAlign w:val="center"/>
            <w:hideMark/>
          </w:tcPr>
          <w:p w14:paraId="05AC026B"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417</w:t>
            </w:r>
          </w:p>
        </w:tc>
        <w:tc>
          <w:tcPr>
            <w:tcW w:w="534" w:type="pct"/>
            <w:tcBorders>
              <w:top w:val="single" w:sz="4" w:space="0" w:color="auto"/>
              <w:left w:val="nil"/>
              <w:bottom w:val="single" w:sz="4" w:space="0" w:color="auto"/>
              <w:right w:val="nil"/>
            </w:tcBorders>
            <w:shd w:val="clear" w:color="000000" w:fill="F2F2F2"/>
            <w:noWrap/>
            <w:vAlign w:val="center"/>
            <w:hideMark/>
          </w:tcPr>
          <w:p w14:paraId="32E573F3"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49</w:t>
            </w:r>
          </w:p>
        </w:tc>
        <w:tc>
          <w:tcPr>
            <w:tcW w:w="534" w:type="pct"/>
            <w:tcBorders>
              <w:top w:val="single" w:sz="4" w:space="0" w:color="auto"/>
              <w:left w:val="nil"/>
              <w:bottom w:val="single" w:sz="4" w:space="0" w:color="auto"/>
              <w:right w:val="nil"/>
            </w:tcBorders>
            <w:shd w:val="clear" w:color="000000" w:fill="F2F2F2"/>
            <w:noWrap/>
            <w:vAlign w:val="center"/>
            <w:hideMark/>
          </w:tcPr>
          <w:p w14:paraId="279E0A25"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w:t>
            </w:r>
          </w:p>
        </w:tc>
        <w:tc>
          <w:tcPr>
            <w:tcW w:w="464" w:type="pct"/>
            <w:tcBorders>
              <w:top w:val="single" w:sz="4" w:space="0" w:color="auto"/>
              <w:left w:val="nil"/>
              <w:bottom w:val="single" w:sz="4" w:space="0" w:color="auto"/>
              <w:right w:val="single" w:sz="4" w:space="0" w:color="auto"/>
            </w:tcBorders>
            <w:shd w:val="clear" w:color="000000" w:fill="F2F2F2"/>
            <w:noWrap/>
            <w:vAlign w:val="center"/>
            <w:hideMark/>
          </w:tcPr>
          <w:p w14:paraId="74F7F140"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w:t>
            </w:r>
          </w:p>
        </w:tc>
        <w:tc>
          <w:tcPr>
            <w:tcW w:w="418" w:type="pct"/>
            <w:tcBorders>
              <w:top w:val="single" w:sz="4" w:space="0" w:color="auto"/>
              <w:left w:val="nil"/>
              <w:bottom w:val="single" w:sz="4" w:space="0" w:color="auto"/>
              <w:right w:val="nil"/>
            </w:tcBorders>
            <w:shd w:val="clear" w:color="000000" w:fill="F2F2F2"/>
            <w:noWrap/>
            <w:vAlign w:val="center"/>
            <w:hideMark/>
          </w:tcPr>
          <w:p w14:paraId="66EF0CD9"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4.508</w:t>
            </w:r>
          </w:p>
        </w:tc>
        <w:tc>
          <w:tcPr>
            <w:tcW w:w="413"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BCCD08C" w14:textId="77777777" w:rsidR="00A41E21" w:rsidRPr="00650EE4" w:rsidRDefault="00A41E21" w:rsidP="00A41E2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53%</w:t>
            </w:r>
          </w:p>
        </w:tc>
      </w:tr>
      <w:tr w:rsidR="00A41E21" w:rsidRPr="00650EE4" w14:paraId="6AA81199" w14:textId="77777777" w:rsidTr="00775C15">
        <w:tc>
          <w:tcPr>
            <w:tcW w:w="1034" w:type="pct"/>
            <w:tcBorders>
              <w:top w:val="nil"/>
              <w:left w:val="single" w:sz="4" w:space="0" w:color="auto"/>
              <w:bottom w:val="nil"/>
              <w:right w:val="nil"/>
            </w:tcBorders>
            <w:shd w:val="clear" w:color="000000" w:fill="FFFFFF"/>
            <w:noWrap/>
            <w:vAlign w:val="center"/>
            <w:hideMark/>
          </w:tcPr>
          <w:p w14:paraId="1A08E226"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34" w:type="pct"/>
            <w:tcBorders>
              <w:top w:val="nil"/>
              <w:left w:val="single" w:sz="4" w:space="0" w:color="auto"/>
              <w:bottom w:val="nil"/>
              <w:right w:val="nil"/>
            </w:tcBorders>
            <w:shd w:val="clear" w:color="000000" w:fill="FFFFFF"/>
            <w:noWrap/>
            <w:vAlign w:val="center"/>
            <w:hideMark/>
          </w:tcPr>
          <w:p w14:paraId="61D87BF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1.504</w:t>
            </w:r>
          </w:p>
        </w:tc>
        <w:tc>
          <w:tcPr>
            <w:tcW w:w="534" w:type="pct"/>
            <w:tcBorders>
              <w:top w:val="nil"/>
              <w:left w:val="nil"/>
              <w:bottom w:val="nil"/>
              <w:right w:val="nil"/>
            </w:tcBorders>
            <w:shd w:val="clear" w:color="000000" w:fill="FFFFFF"/>
            <w:noWrap/>
            <w:vAlign w:val="center"/>
            <w:hideMark/>
          </w:tcPr>
          <w:p w14:paraId="4919448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w:t>
            </w:r>
          </w:p>
        </w:tc>
        <w:tc>
          <w:tcPr>
            <w:tcW w:w="534" w:type="pct"/>
            <w:tcBorders>
              <w:top w:val="nil"/>
              <w:left w:val="nil"/>
              <w:bottom w:val="nil"/>
              <w:right w:val="nil"/>
            </w:tcBorders>
            <w:shd w:val="clear" w:color="000000" w:fill="FFFFFF"/>
            <w:noWrap/>
            <w:vAlign w:val="center"/>
            <w:hideMark/>
          </w:tcPr>
          <w:p w14:paraId="6966713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534" w:type="pct"/>
            <w:tcBorders>
              <w:top w:val="nil"/>
              <w:left w:val="nil"/>
              <w:bottom w:val="nil"/>
              <w:right w:val="nil"/>
            </w:tcBorders>
            <w:shd w:val="clear" w:color="000000" w:fill="FFFFFF"/>
            <w:noWrap/>
            <w:vAlign w:val="center"/>
            <w:hideMark/>
          </w:tcPr>
          <w:p w14:paraId="1A122F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34" w:type="pct"/>
            <w:tcBorders>
              <w:top w:val="nil"/>
              <w:left w:val="nil"/>
              <w:bottom w:val="nil"/>
              <w:right w:val="nil"/>
            </w:tcBorders>
            <w:shd w:val="clear" w:color="000000" w:fill="FFFFFF"/>
            <w:noWrap/>
            <w:vAlign w:val="center"/>
            <w:hideMark/>
          </w:tcPr>
          <w:p w14:paraId="46A52C3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64" w:type="pct"/>
            <w:tcBorders>
              <w:top w:val="nil"/>
              <w:left w:val="nil"/>
              <w:bottom w:val="nil"/>
              <w:right w:val="single" w:sz="4" w:space="0" w:color="auto"/>
            </w:tcBorders>
            <w:shd w:val="clear" w:color="000000" w:fill="FFFFFF"/>
            <w:noWrap/>
            <w:vAlign w:val="center"/>
            <w:hideMark/>
          </w:tcPr>
          <w:p w14:paraId="499F2AC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18" w:type="pct"/>
            <w:tcBorders>
              <w:top w:val="nil"/>
              <w:left w:val="nil"/>
              <w:bottom w:val="nil"/>
              <w:right w:val="nil"/>
            </w:tcBorders>
            <w:shd w:val="clear" w:color="000000" w:fill="FFFFFF"/>
            <w:noWrap/>
            <w:vAlign w:val="center"/>
            <w:hideMark/>
          </w:tcPr>
          <w:p w14:paraId="7A38EF7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1.645</w:t>
            </w:r>
          </w:p>
        </w:tc>
        <w:tc>
          <w:tcPr>
            <w:tcW w:w="413" w:type="pct"/>
            <w:tcBorders>
              <w:top w:val="nil"/>
              <w:left w:val="single" w:sz="4" w:space="0" w:color="auto"/>
              <w:bottom w:val="nil"/>
              <w:right w:val="single" w:sz="4" w:space="0" w:color="auto"/>
            </w:tcBorders>
            <w:shd w:val="clear" w:color="000000" w:fill="FFFFFF"/>
            <w:noWrap/>
            <w:vAlign w:val="center"/>
            <w:hideMark/>
          </w:tcPr>
          <w:p w14:paraId="75481DB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r>
      <w:tr w:rsidR="00A41E21" w:rsidRPr="00650EE4" w14:paraId="7B5AA264" w14:textId="77777777" w:rsidTr="00775C15">
        <w:tc>
          <w:tcPr>
            <w:tcW w:w="1034" w:type="pct"/>
            <w:tcBorders>
              <w:top w:val="nil"/>
              <w:left w:val="single" w:sz="4" w:space="0" w:color="auto"/>
              <w:bottom w:val="nil"/>
              <w:right w:val="nil"/>
            </w:tcBorders>
            <w:shd w:val="clear" w:color="000000" w:fill="FFFFFF"/>
            <w:noWrap/>
            <w:vAlign w:val="center"/>
            <w:hideMark/>
          </w:tcPr>
          <w:p w14:paraId="4CB815FD"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34" w:type="pct"/>
            <w:tcBorders>
              <w:top w:val="nil"/>
              <w:left w:val="single" w:sz="4" w:space="0" w:color="auto"/>
              <w:bottom w:val="nil"/>
              <w:right w:val="nil"/>
            </w:tcBorders>
            <w:shd w:val="clear" w:color="000000" w:fill="FFFFFF"/>
            <w:noWrap/>
            <w:vAlign w:val="center"/>
            <w:hideMark/>
          </w:tcPr>
          <w:p w14:paraId="4D306AF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647</w:t>
            </w:r>
          </w:p>
        </w:tc>
        <w:tc>
          <w:tcPr>
            <w:tcW w:w="534" w:type="pct"/>
            <w:tcBorders>
              <w:top w:val="nil"/>
              <w:left w:val="nil"/>
              <w:bottom w:val="nil"/>
              <w:right w:val="nil"/>
            </w:tcBorders>
            <w:shd w:val="clear" w:color="000000" w:fill="FFFFFF"/>
            <w:noWrap/>
            <w:vAlign w:val="center"/>
            <w:hideMark/>
          </w:tcPr>
          <w:p w14:paraId="558480B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534" w:type="pct"/>
            <w:tcBorders>
              <w:top w:val="nil"/>
              <w:left w:val="nil"/>
              <w:bottom w:val="nil"/>
              <w:right w:val="nil"/>
            </w:tcBorders>
            <w:shd w:val="clear" w:color="000000" w:fill="FFFFFF"/>
            <w:noWrap/>
            <w:vAlign w:val="center"/>
            <w:hideMark/>
          </w:tcPr>
          <w:p w14:paraId="5749BC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w:t>
            </w:r>
          </w:p>
        </w:tc>
        <w:tc>
          <w:tcPr>
            <w:tcW w:w="534" w:type="pct"/>
            <w:tcBorders>
              <w:top w:val="nil"/>
              <w:left w:val="nil"/>
              <w:bottom w:val="nil"/>
              <w:right w:val="nil"/>
            </w:tcBorders>
            <w:shd w:val="clear" w:color="000000" w:fill="FFFFFF"/>
            <w:noWrap/>
            <w:vAlign w:val="center"/>
            <w:hideMark/>
          </w:tcPr>
          <w:p w14:paraId="42D3342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534" w:type="pct"/>
            <w:tcBorders>
              <w:top w:val="nil"/>
              <w:left w:val="nil"/>
              <w:bottom w:val="nil"/>
              <w:right w:val="nil"/>
            </w:tcBorders>
            <w:shd w:val="clear" w:color="000000" w:fill="FFFFFF"/>
            <w:noWrap/>
            <w:vAlign w:val="center"/>
            <w:hideMark/>
          </w:tcPr>
          <w:p w14:paraId="3B85A31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64" w:type="pct"/>
            <w:tcBorders>
              <w:top w:val="nil"/>
              <w:left w:val="nil"/>
              <w:bottom w:val="nil"/>
              <w:right w:val="single" w:sz="4" w:space="0" w:color="auto"/>
            </w:tcBorders>
            <w:shd w:val="clear" w:color="000000" w:fill="FFFFFF"/>
            <w:noWrap/>
            <w:vAlign w:val="center"/>
            <w:hideMark/>
          </w:tcPr>
          <w:p w14:paraId="10CDEBF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6E32BD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765</w:t>
            </w:r>
          </w:p>
        </w:tc>
        <w:tc>
          <w:tcPr>
            <w:tcW w:w="413" w:type="pct"/>
            <w:tcBorders>
              <w:top w:val="nil"/>
              <w:left w:val="single" w:sz="4" w:space="0" w:color="auto"/>
              <w:bottom w:val="nil"/>
              <w:right w:val="single" w:sz="4" w:space="0" w:color="auto"/>
            </w:tcBorders>
            <w:shd w:val="clear" w:color="000000" w:fill="FFFFFF"/>
            <w:noWrap/>
            <w:vAlign w:val="center"/>
            <w:hideMark/>
          </w:tcPr>
          <w:p w14:paraId="1414C1C7"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r>
      <w:tr w:rsidR="00A41E21" w:rsidRPr="00650EE4" w14:paraId="49A5358E" w14:textId="77777777" w:rsidTr="00775C15">
        <w:tc>
          <w:tcPr>
            <w:tcW w:w="1034" w:type="pct"/>
            <w:tcBorders>
              <w:top w:val="nil"/>
              <w:left w:val="single" w:sz="4" w:space="0" w:color="auto"/>
              <w:bottom w:val="nil"/>
              <w:right w:val="nil"/>
            </w:tcBorders>
            <w:shd w:val="clear" w:color="000000" w:fill="FFFFFF"/>
            <w:noWrap/>
            <w:vAlign w:val="center"/>
            <w:hideMark/>
          </w:tcPr>
          <w:p w14:paraId="5F14D1E2"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34" w:type="pct"/>
            <w:tcBorders>
              <w:top w:val="nil"/>
              <w:left w:val="single" w:sz="4" w:space="0" w:color="auto"/>
              <w:bottom w:val="nil"/>
              <w:right w:val="nil"/>
            </w:tcBorders>
            <w:shd w:val="clear" w:color="000000" w:fill="FFFFFF"/>
            <w:noWrap/>
            <w:vAlign w:val="center"/>
            <w:hideMark/>
          </w:tcPr>
          <w:p w14:paraId="3CC4B92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462</w:t>
            </w:r>
          </w:p>
        </w:tc>
        <w:tc>
          <w:tcPr>
            <w:tcW w:w="534" w:type="pct"/>
            <w:tcBorders>
              <w:top w:val="nil"/>
              <w:left w:val="nil"/>
              <w:bottom w:val="nil"/>
              <w:right w:val="nil"/>
            </w:tcBorders>
            <w:shd w:val="clear" w:color="000000" w:fill="FFFFFF"/>
            <w:noWrap/>
            <w:vAlign w:val="center"/>
            <w:hideMark/>
          </w:tcPr>
          <w:p w14:paraId="6200A04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534" w:type="pct"/>
            <w:tcBorders>
              <w:top w:val="nil"/>
              <w:left w:val="nil"/>
              <w:bottom w:val="nil"/>
              <w:right w:val="nil"/>
            </w:tcBorders>
            <w:shd w:val="clear" w:color="000000" w:fill="FFFFFF"/>
            <w:noWrap/>
            <w:vAlign w:val="center"/>
            <w:hideMark/>
          </w:tcPr>
          <w:p w14:paraId="4D12A99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34" w:type="pct"/>
            <w:tcBorders>
              <w:top w:val="nil"/>
              <w:left w:val="nil"/>
              <w:bottom w:val="nil"/>
              <w:right w:val="nil"/>
            </w:tcBorders>
            <w:shd w:val="clear" w:color="000000" w:fill="FFFFFF"/>
            <w:noWrap/>
            <w:vAlign w:val="center"/>
            <w:hideMark/>
          </w:tcPr>
          <w:p w14:paraId="6000530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nil"/>
              <w:right w:val="nil"/>
            </w:tcBorders>
            <w:shd w:val="clear" w:color="000000" w:fill="FFFFFF"/>
            <w:noWrap/>
            <w:vAlign w:val="center"/>
            <w:hideMark/>
          </w:tcPr>
          <w:p w14:paraId="077F1416"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nil"/>
              <w:right w:val="single" w:sz="4" w:space="0" w:color="auto"/>
            </w:tcBorders>
            <w:shd w:val="clear" w:color="000000" w:fill="FFFFFF"/>
            <w:noWrap/>
            <w:vAlign w:val="center"/>
            <w:hideMark/>
          </w:tcPr>
          <w:p w14:paraId="313234D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6E229D7B"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590</w:t>
            </w:r>
          </w:p>
        </w:tc>
        <w:tc>
          <w:tcPr>
            <w:tcW w:w="413" w:type="pct"/>
            <w:tcBorders>
              <w:top w:val="nil"/>
              <w:left w:val="single" w:sz="4" w:space="0" w:color="auto"/>
              <w:bottom w:val="nil"/>
              <w:right w:val="single" w:sz="4" w:space="0" w:color="auto"/>
            </w:tcBorders>
            <w:shd w:val="clear" w:color="000000" w:fill="FFFFFF"/>
            <w:noWrap/>
            <w:vAlign w:val="center"/>
            <w:hideMark/>
          </w:tcPr>
          <w:p w14:paraId="4100756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6,9%</w:t>
            </w:r>
          </w:p>
        </w:tc>
      </w:tr>
      <w:tr w:rsidR="00A41E21" w:rsidRPr="00650EE4" w14:paraId="09A0C6B5" w14:textId="77777777" w:rsidTr="00775C15">
        <w:tc>
          <w:tcPr>
            <w:tcW w:w="1034" w:type="pct"/>
            <w:tcBorders>
              <w:top w:val="nil"/>
              <w:left w:val="single" w:sz="4" w:space="0" w:color="auto"/>
              <w:bottom w:val="nil"/>
              <w:right w:val="nil"/>
            </w:tcBorders>
            <w:shd w:val="clear" w:color="000000" w:fill="FFFFFF"/>
            <w:noWrap/>
            <w:vAlign w:val="center"/>
            <w:hideMark/>
          </w:tcPr>
          <w:p w14:paraId="62045E74"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34" w:type="pct"/>
            <w:tcBorders>
              <w:top w:val="nil"/>
              <w:left w:val="single" w:sz="4" w:space="0" w:color="auto"/>
              <w:bottom w:val="nil"/>
              <w:right w:val="nil"/>
            </w:tcBorders>
            <w:shd w:val="clear" w:color="000000" w:fill="FFFFFF"/>
            <w:noWrap/>
            <w:vAlign w:val="center"/>
            <w:hideMark/>
          </w:tcPr>
          <w:p w14:paraId="5CA8681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303</w:t>
            </w:r>
          </w:p>
        </w:tc>
        <w:tc>
          <w:tcPr>
            <w:tcW w:w="534" w:type="pct"/>
            <w:tcBorders>
              <w:top w:val="nil"/>
              <w:left w:val="nil"/>
              <w:bottom w:val="nil"/>
              <w:right w:val="nil"/>
            </w:tcBorders>
            <w:shd w:val="clear" w:color="000000" w:fill="FFFFFF"/>
            <w:noWrap/>
            <w:vAlign w:val="center"/>
            <w:hideMark/>
          </w:tcPr>
          <w:p w14:paraId="43AF614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534" w:type="pct"/>
            <w:tcBorders>
              <w:top w:val="nil"/>
              <w:left w:val="nil"/>
              <w:bottom w:val="nil"/>
              <w:right w:val="nil"/>
            </w:tcBorders>
            <w:shd w:val="clear" w:color="000000" w:fill="FFFFFF"/>
            <w:noWrap/>
            <w:vAlign w:val="center"/>
            <w:hideMark/>
          </w:tcPr>
          <w:p w14:paraId="3A32B4F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w:t>
            </w:r>
          </w:p>
        </w:tc>
        <w:tc>
          <w:tcPr>
            <w:tcW w:w="534" w:type="pct"/>
            <w:tcBorders>
              <w:top w:val="nil"/>
              <w:left w:val="nil"/>
              <w:bottom w:val="nil"/>
              <w:right w:val="nil"/>
            </w:tcBorders>
            <w:shd w:val="clear" w:color="000000" w:fill="FFFFFF"/>
            <w:noWrap/>
            <w:vAlign w:val="center"/>
            <w:hideMark/>
          </w:tcPr>
          <w:p w14:paraId="4655EE2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534" w:type="pct"/>
            <w:tcBorders>
              <w:top w:val="nil"/>
              <w:left w:val="nil"/>
              <w:bottom w:val="nil"/>
              <w:right w:val="nil"/>
            </w:tcBorders>
            <w:shd w:val="clear" w:color="000000" w:fill="FFFFFF"/>
            <w:noWrap/>
            <w:vAlign w:val="center"/>
            <w:hideMark/>
          </w:tcPr>
          <w:p w14:paraId="699D45D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64" w:type="pct"/>
            <w:tcBorders>
              <w:top w:val="nil"/>
              <w:left w:val="nil"/>
              <w:bottom w:val="nil"/>
              <w:right w:val="single" w:sz="4" w:space="0" w:color="auto"/>
            </w:tcBorders>
            <w:shd w:val="clear" w:color="000000" w:fill="FFFFFF"/>
            <w:noWrap/>
            <w:vAlign w:val="center"/>
            <w:hideMark/>
          </w:tcPr>
          <w:p w14:paraId="518E6CB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5FED166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462</w:t>
            </w:r>
          </w:p>
        </w:tc>
        <w:tc>
          <w:tcPr>
            <w:tcW w:w="413" w:type="pct"/>
            <w:tcBorders>
              <w:top w:val="nil"/>
              <w:left w:val="single" w:sz="4" w:space="0" w:color="auto"/>
              <w:bottom w:val="nil"/>
              <w:right w:val="single" w:sz="4" w:space="0" w:color="auto"/>
            </w:tcBorders>
            <w:shd w:val="clear" w:color="000000" w:fill="FFFFFF"/>
            <w:noWrap/>
            <w:vAlign w:val="center"/>
            <w:hideMark/>
          </w:tcPr>
          <w:p w14:paraId="25820FB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w:t>
            </w:r>
          </w:p>
        </w:tc>
      </w:tr>
      <w:tr w:rsidR="00A41E21" w:rsidRPr="00650EE4" w14:paraId="712EC652" w14:textId="77777777" w:rsidTr="00775C15">
        <w:tc>
          <w:tcPr>
            <w:tcW w:w="1034" w:type="pct"/>
            <w:tcBorders>
              <w:top w:val="nil"/>
              <w:left w:val="single" w:sz="4" w:space="0" w:color="auto"/>
              <w:bottom w:val="nil"/>
              <w:right w:val="nil"/>
            </w:tcBorders>
            <w:shd w:val="clear" w:color="000000" w:fill="FFFFFF"/>
            <w:noWrap/>
            <w:vAlign w:val="center"/>
            <w:hideMark/>
          </w:tcPr>
          <w:p w14:paraId="77F3B337"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34" w:type="pct"/>
            <w:tcBorders>
              <w:top w:val="nil"/>
              <w:left w:val="single" w:sz="4" w:space="0" w:color="auto"/>
              <w:bottom w:val="nil"/>
              <w:right w:val="nil"/>
            </w:tcBorders>
            <w:shd w:val="clear" w:color="000000" w:fill="FFFFFF"/>
            <w:noWrap/>
            <w:vAlign w:val="center"/>
            <w:hideMark/>
          </w:tcPr>
          <w:p w14:paraId="5B2F3E4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173</w:t>
            </w:r>
          </w:p>
        </w:tc>
        <w:tc>
          <w:tcPr>
            <w:tcW w:w="534" w:type="pct"/>
            <w:tcBorders>
              <w:top w:val="nil"/>
              <w:left w:val="nil"/>
              <w:bottom w:val="nil"/>
              <w:right w:val="nil"/>
            </w:tcBorders>
            <w:shd w:val="clear" w:color="000000" w:fill="FFFFFF"/>
            <w:noWrap/>
            <w:vAlign w:val="center"/>
            <w:hideMark/>
          </w:tcPr>
          <w:p w14:paraId="3E7579B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34" w:type="pct"/>
            <w:tcBorders>
              <w:top w:val="nil"/>
              <w:left w:val="nil"/>
              <w:bottom w:val="nil"/>
              <w:right w:val="nil"/>
            </w:tcBorders>
            <w:shd w:val="clear" w:color="000000" w:fill="FFFFFF"/>
            <w:noWrap/>
            <w:vAlign w:val="center"/>
            <w:hideMark/>
          </w:tcPr>
          <w:p w14:paraId="3BCB63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534" w:type="pct"/>
            <w:tcBorders>
              <w:top w:val="nil"/>
              <w:left w:val="nil"/>
              <w:bottom w:val="nil"/>
              <w:right w:val="nil"/>
            </w:tcBorders>
            <w:shd w:val="clear" w:color="000000" w:fill="FFFFFF"/>
            <w:noWrap/>
            <w:vAlign w:val="center"/>
            <w:hideMark/>
          </w:tcPr>
          <w:p w14:paraId="04BCE4C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nil"/>
              <w:right w:val="nil"/>
            </w:tcBorders>
            <w:shd w:val="clear" w:color="000000" w:fill="FFFFFF"/>
            <w:noWrap/>
            <w:vAlign w:val="center"/>
            <w:hideMark/>
          </w:tcPr>
          <w:p w14:paraId="5DA09D5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nil"/>
              <w:left w:val="nil"/>
              <w:bottom w:val="nil"/>
              <w:right w:val="single" w:sz="4" w:space="0" w:color="auto"/>
            </w:tcBorders>
            <w:shd w:val="clear" w:color="000000" w:fill="FFFFFF"/>
            <w:noWrap/>
            <w:vAlign w:val="center"/>
            <w:hideMark/>
          </w:tcPr>
          <w:p w14:paraId="75C0517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6E032E88"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252</w:t>
            </w:r>
          </w:p>
        </w:tc>
        <w:tc>
          <w:tcPr>
            <w:tcW w:w="413" w:type="pct"/>
            <w:tcBorders>
              <w:top w:val="nil"/>
              <w:left w:val="single" w:sz="4" w:space="0" w:color="auto"/>
              <w:bottom w:val="nil"/>
              <w:right w:val="single" w:sz="4" w:space="0" w:color="auto"/>
            </w:tcBorders>
            <w:shd w:val="clear" w:color="000000" w:fill="FFFFFF"/>
            <w:noWrap/>
            <w:vAlign w:val="center"/>
            <w:hideMark/>
          </w:tcPr>
          <w:p w14:paraId="0B1CF6A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A41E21" w:rsidRPr="00650EE4" w14:paraId="3F8971E7" w14:textId="77777777" w:rsidTr="00775C15">
        <w:tc>
          <w:tcPr>
            <w:tcW w:w="1034" w:type="pct"/>
            <w:tcBorders>
              <w:top w:val="nil"/>
              <w:left w:val="single" w:sz="4" w:space="0" w:color="auto"/>
              <w:bottom w:val="nil"/>
              <w:right w:val="nil"/>
            </w:tcBorders>
            <w:shd w:val="clear" w:color="000000" w:fill="FFFFFF"/>
            <w:noWrap/>
            <w:vAlign w:val="center"/>
            <w:hideMark/>
          </w:tcPr>
          <w:p w14:paraId="2A7B2257"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34" w:type="pct"/>
            <w:tcBorders>
              <w:top w:val="nil"/>
              <w:left w:val="single" w:sz="4" w:space="0" w:color="auto"/>
              <w:bottom w:val="nil"/>
              <w:right w:val="nil"/>
            </w:tcBorders>
            <w:shd w:val="clear" w:color="000000" w:fill="FFFFFF"/>
            <w:noWrap/>
            <w:vAlign w:val="center"/>
            <w:hideMark/>
          </w:tcPr>
          <w:p w14:paraId="50E1227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w:t>
            </w:r>
          </w:p>
        </w:tc>
        <w:tc>
          <w:tcPr>
            <w:tcW w:w="534" w:type="pct"/>
            <w:tcBorders>
              <w:top w:val="nil"/>
              <w:left w:val="nil"/>
              <w:bottom w:val="nil"/>
              <w:right w:val="nil"/>
            </w:tcBorders>
            <w:shd w:val="clear" w:color="000000" w:fill="FFFFFF"/>
            <w:noWrap/>
            <w:vAlign w:val="center"/>
            <w:hideMark/>
          </w:tcPr>
          <w:p w14:paraId="67F43EA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45</w:t>
            </w:r>
          </w:p>
        </w:tc>
        <w:tc>
          <w:tcPr>
            <w:tcW w:w="534" w:type="pct"/>
            <w:tcBorders>
              <w:top w:val="nil"/>
              <w:left w:val="nil"/>
              <w:bottom w:val="nil"/>
              <w:right w:val="nil"/>
            </w:tcBorders>
            <w:shd w:val="clear" w:color="000000" w:fill="FFFFFF"/>
            <w:noWrap/>
            <w:vAlign w:val="center"/>
            <w:hideMark/>
          </w:tcPr>
          <w:p w14:paraId="20140CB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534" w:type="pct"/>
            <w:tcBorders>
              <w:top w:val="nil"/>
              <w:left w:val="nil"/>
              <w:bottom w:val="nil"/>
              <w:right w:val="nil"/>
            </w:tcBorders>
            <w:shd w:val="clear" w:color="000000" w:fill="FFFFFF"/>
            <w:noWrap/>
            <w:vAlign w:val="center"/>
            <w:hideMark/>
          </w:tcPr>
          <w:p w14:paraId="3C39B5D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34" w:type="pct"/>
            <w:tcBorders>
              <w:top w:val="nil"/>
              <w:left w:val="nil"/>
              <w:bottom w:val="nil"/>
              <w:right w:val="nil"/>
            </w:tcBorders>
            <w:shd w:val="clear" w:color="000000" w:fill="FFFFFF"/>
            <w:noWrap/>
            <w:vAlign w:val="center"/>
            <w:hideMark/>
          </w:tcPr>
          <w:p w14:paraId="0D0179E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64" w:type="pct"/>
            <w:tcBorders>
              <w:top w:val="nil"/>
              <w:left w:val="nil"/>
              <w:bottom w:val="nil"/>
              <w:right w:val="single" w:sz="4" w:space="0" w:color="auto"/>
            </w:tcBorders>
            <w:shd w:val="clear" w:color="000000" w:fill="FFFFFF"/>
            <w:noWrap/>
            <w:vAlign w:val="center"/>
            <w:hideMark/>
          </w:tcPr>
          <w:p w14:paraId="0CAF793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2CA70C6"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243</w:t>
            </w:r>
          </w:p>
        </w:tc>
        <w:tc>
          <w:tcPr>
            <w:tcW w:w="413" w:type="pct"/>
            <w:tcBorders>
              <w:top w:val="nil"/>
              <w:left w:val="single" w:sz="4" w:space="0" w:color="auto"/>
              <w:bottom w:val="nil"/>
              <w:right w:val="single" w:sz="4" w:space="0" w:color="auto"/>
            </w:tcBorders>
            <w:shd w:val="clear" w:color="000000" w:fill="FFFFFF"/>
            <w:noWrap/>
            <w:vAlign w:val="center"/>
            <w:hideMark/>
          </w:tcPr>
          <w:p w14:paraId="6B55397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A41E21" w:rsidRPr="00650EE4" w14:paraId="4DAB84D8" w14:textId="77777777" w:rsidTr="00775C15">
        <w:tc>
          <w:tcPr>
            <w:tcW w:w="1034" w:type="pct"/>
            <w:tcBorders>
              <w:top w:val="nil"/>
              <w:left w:val="single" w:sz="4" w:space="0" w:color="auto"/>
              <w:bottom w:val="nil"/>
              <w:right w:val="nil"/>
            </w:tcBorders>
            <w:shd w:val="clear" w:color="000000" w:fill="FFFFFF"/>
            <w:noWrap/>
            <w:vAlign w:val="center"/>
            <w:hideMark/>
          </w:tcPr>
          <w:p w14:paraId="16E37A45"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34" w:type="pct"/>
            <w:tcBorders>
              <w:top w:val="nil"/>
              <w:left w:val="single" w:sz="4" w:space="0" w:color="auto"/>
              <w:bottom w:val="nil"/>
              <w:right w:val="nil"/>
            </w:tcBorders>
            <w:shd w:val="clear" w:color="000000" w:fill="FFFFFF"/>
            <w:noWrap/>
            <w:vAlign w:val="center"/>
            <w:hideMark/>
          </w:tcPr>
          <w:p w14:paraId="2FD66A4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157</w:t>
            </w:r>
          </w:p>
        </w:tc>
        <w:tc>
          <w:tcPr>
            <w:tcW w:w="534" w:type="pct"/>
            <w:tcBorders>
              <w:top w:val="nil"/>
              <w:left w:val="nil"/>
              <w:bottom w:val="nil"/>
              <w:right w:val="nil"/>
            </w:tcBorders>
            <w:shd w:val="clear" w:color="000000" w:fill="FFFFFF"/>
            <w:noWrap/>
            <w:vAlign w:val="center"/>
            <w:hideMark/>
          </w:tcPr>
          <w:p w14:paraId="4FB71A8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4" w:type="pct"/>
            <w:tcBorders>
              <w:top w:val="nil"/>
              <w:left w:val="nil"/>
              <w:bottom w:val="nil"/>
              <w:right w:val="nil"/>
            </w:tcBorders>
            <w:shd w:val="clear" w:color="000000" w:fill="FFFFFF"/>
            <w:noWrap/>
            <w:vAlign w:val="center"/>
            <w:hideMark/>
          </w:tcPr>
          <w:p w14:paraId="3E80870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34" w:type="pct"/>
            <w:tcBorders>
              <w:top w:val="nil"/>
              <w:left w:val="nil"/>
              <w:bottom w:val="nil"/>
              <w:right w:val="nil"/>
            </w:tcBorders>
            <w:shd w:val="clear" w:color="000000" w:fill="FFFFFF"/>
            <w:noWrap/>
            <w:vAlign w:val="center"/>
            <w:hideMark/>
          </w:tcPr>
          <w:p w14:paraId="63C7F76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34" w:type="pct"/>
            <w:tcBorders>
              <w:top w:val="nil"/>
              <w:left w:val="nil"/>
              <w:bottom w:val="nil"/>
              <w:right w:val="nil"/>
            </w:tcBorders>
            <w:shd w:val="clear" w:color="000000" w:fill="FFFFFF"/>
            <w:noWrap/>
            <w:vAlign w:val="center"/>
            <w:hideMark/>
          </w:tcPr>
          <w:p w14:paraId="096BBDB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nil"/>
              <w:left w:val="nil"/>
              <w:bottom w:val="nil"/>
              <w:right w:val="single" w:sz="4" w:space="0" w:color="auto"/>
            </w:tcBorders>
            <w:shd w:val="clear" w:color="000000" w:fill="FFFFFF"/>
            <w:noWrap/>
            <w:vAlign w:val="center"/>
            <w:hideMark/>
          </w:tcPr>
          <w:p w14:paraId="0559899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56FF5E16"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177</w:t>
            </w:r>
          </w:p>
        </w:tc>
        <w:tc>
          <w:tcPr>
            <w:tcW w:w="413" w:type="pct"/>
            <w:tcBorders>
              <w:top w:val="nil"/>
              <w:left w:val="single" w:sz="4" w:space="0" w:color="auto"/>
              <w:bottom w:val="nil"/>
              <w:right w:val="single" w:sz="4" w:space="0" w:color="auto"/>
            </w:tcBorders>
            <w:shd w:val="clear" w:color="000000" w:fill="FFFFFF"/>
            <w:noWrap/>
            <w:vAlign w:val="center"/>
            <w:hideMark/>
          </w:tcPr>
          <w:p w14:paraId="1DC946B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r>
      <w:tr w:rsidR="00A41E21" w:rsidRPr="00650EE4" w14:paraId="186EEAC0" w14:textId="77777777" w:rsidTr="00775C15">
        <w:tc>
          <w:tcPr>
            <w:tcW w:w="1034" w:type="pct"/>
            <w:tcBorders>
              <w:top w:val="nil"/>
              <w:left w:val="single" w:sz="4" w:space="0" w:color="auto"/>
              <w:bottom w:val="nil"/>
              <w:right w:val="nil"/>
            </w:tcBorders>
            <w:shd w:val="clear" w:color="000000" w:fill="FFFFFF"/>
            <w:noWrap/>
            <w:vAlign w:val="center"/>
            <w:hideMark/>
          </w:tcPr>
          <w:p w14:paraId="4814378C"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34" w:type="pct"/>
            <w:tcBorders>
              <w:top w:val="nil"/>
              <w:left w:val="single" w:sz="4" w:space="0" w:color="auto"/>
              <w:bottom w:val="nil"/>
              <w:right w:val="nil"/>
            </w:tcBorders>
            <w:shd w:val="clear" w:color="000000" w:fill="FFFFFF"/>
            <w:noWrap/>
            <w:vAlign w:val="center"/>
            <w:hideMark/>
          </w:tcPr>
          <w:p w14:paraId="4AA3D0F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34" w:type="pct"/>
            <w:tcBorders>
              <w:top w:val="nil"/>
              <w:left w:val="nil"/>
              <w:bottom w:val="nil"/>
              <w:right w:val="nil"/>
            </w:tcBorders>
            <w:shd w:val="clear" w:color="000000" w:fill="FFFFFF"/>
            <w:noWrap/>
            <w:vAlign w:val="center"/>
            <w:hideMark/>
          </w:tcPr>
          <w:p w14:paraId="0994B58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34" w:type="pct"/>
            <w:tcBorders>
              <w:top w:val="nil"/>
              <w:left w:val="nil"/>
              <w:bottom w:val="nil"/>
              <w:right w:val="nil"/>
            </w:tcBorders>
            <w:shd w:val="clear" w:color="000000" w:fill="FFFFFF"/>
            <w:noWrap/>
            <w:vAlign w:val="center"/>
            <w:hideMark/>
          </w:tcPr>
          <w:p w14:paraId="2903CF8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34" w:type="pct"/>
            <w:tcBorders>
              <w:top w:val="nil"/>
              <w:left w:val="nil"/>
              <w:bottom w:val="nil"/>
              <w:right w:val="nil"/>
            </w:tcBorders>
            <w:shd w:val="clear" w:color="000000" w:fill="FFFFFF"/>
            <w:noWrap/>
            <w:vAlign w:val="center"/>
            <w:hideMark/>
          </w:tcPr>
          <w:p w14:paraId="123E758C"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34" w:type="pct"/>
            <w:tcBorders>
              <w:top w:val="nil"/>
              <w:left w:val="nil"/>
              <w:bottom w:val="nil"/>
              <w:right w:val="nil"/>
            </w:tcBorders>
            <w:shd w:val="clear" w:color="000000" w:fill="FFFFFF"/>
            <w:noWrap/>
            <w:vAlign w:val="center"/>
            <w:hideMark/>
          </w:tcPr>
          <w:p w14:paraId="0130321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nil"/>
              <w:right w:val="single" w:sz="4" w:space="0" w:color="auto"/>
            </w:tcBorders>
            <w:shd w:val="clear" w:color="000000" w:fill="FFFFFF"/>
            <w:noWrap/>
            <w:vAlign w:val="center"/>
            <w:hideMark/>
          </w:tcPr>
          <w:p w14:paraId="30FF2321"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nil"/>
              <w:right w:val="nil"/>
            </w:tcBorders>
            <w:shd w:val="clear" w:color="000000" w:fill="FFFFFF"/>
            <w:noWrap/>
            <w:vAlign w:val="center"/>
            <w:hideMark/>
          </w:tcPr>
          <w:p w14:paraId="46F3835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w:t>
            </w:r>
          </w:p>
        </w:tc>
        <w:tc>
          <w:tcPr>
            <w:tcW w:w="413" w:type="pct"/>
            <w:tcBorders>
              <w:top w:val="nil"/>
              <w:left w:val="single" w:sz="4" w:space="0" w:color="auto"/>
              <w:bottom w:val="nil"/>
              <w:right w:val="single" w:sz="4" w:space="0" w:color="auto"/>
            </w:tcBorders>
            <w:shd w:val="clear" w:color="000000" w:fill="FFFFFF"/>
            <w:noWrap/>
            <w:vAlign w:val="center"/>
            <w:hideMark/>
          </w:tcPr>
          <w:p w14:paraId="0702FB4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r>
      <w:tr w:rsidR="00A41E21" w:rsidRPr="00650EE4" w14:paraId="457C7338" w14:textId="77777777" w:rsidTr="00775C15">
        <w:tc>
          <w:tcPr>
            <w:tcW w:w="1034" w:type="pct"/>
            <w:tcBorders>
              <w:top w:val="nil"/>
              <w:left w:val="single" w:sz="4" w:space="0" w:color="auto"/>
              <w:bottom w:val="nil"/>
              <w:right w:val="nil"/>
            </w:tcBorders>
            <w:shd w:val="clear" w:color="000000" w:fill="FFFFFF"/>
            <w:noWrap/>
            <w:vAlign w:val="center"/>
            <w:hideMark/>
          </w:tcPr>
          <w:p w14:paraId="7230894F"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34" w:type="pct"/>
            <w:tcBorders>
              <w:top w:val="nil"/>
              <w:left w:val="single" w:sz="4" w:space="0" w:color="auto"/>
              <w:bottom w:val="single" w:sz="4" w:space="0" w:color="auto"/>
              <w:right w:val="nil"/>
            </w:tcBorders>
            <w:shd w:val="clear" w:color="000000" w:fill="FFFFFF"/>
            <w:noWrap/>
            <w:vAlign w:val="center"/>
            <w:hideMark/>
          </w:tcPr>
          <w:p w14:paraId="4B10996E"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34" w:type="pct"/>
            <w:tcBorders>
              <w:top w:val="nil"/>
              <w:left w:val="nil"/>
              <w:bottom w:val="single" w:sz="4" w:space="0" w:color="auto"/>
              <w:right w:val="nil"/>
            </w:tcBorders>
            <w:shd w:val="clear" w:color="000000" w:fill="FFFFFF"/>
            <w:noWrap/>
            <w:vAlign w:val="center"/>
            <w:hideMark/>
          </w:tcPr>
          <w:p w14:paraId="56DAE302"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534" w:type="pct"/>
            <w:tcBorders>
              <w:top w:val="nil"/>
              <w:left w:val="nil"/>
              <w:bottom w:val="single" w:sz="4" w:space="0" w:color="auto"/>
              <w:right w:val="nil"/>
            </w:tcBorders>
            <w:shd w:val="clear" w:color="000000" w:fill="FFFFFF"/>
            <w:noWrap/>
            <w:vAlign w:val="center"/>
            <w:hideMark/>
          </w:tcPr>
          <w:p w14:paraId="26439999"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534" w:type="pct"/>
            <w:tcBorders>
              <w:top w:val="nil"/>
              <w:left w:val="nil"/>
              <w:bottom w:val="single" w:sz="4" w:space="0" w:color="auto"/>
              <w:right w:val="nil"/>
            </w:tcBorders>
            <w:shd w:val="clear" w:color="000000" w:fill="FFFFFF"/>
            <w:noWrap/>
            <w:vAlign w:val="center"/>
            <w:hideMark/>
          </w:tcPr>
          <w:p w14:paraId="0A683C35"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nil"/>
              <w:left w:val="nil"/>
              <w:bottom w:val="single" w:sz="4" w:space="0" w:color="auto"/>
              <w:right w:val="nil"/>
            </w:tcBorders>
            <w:shd w:val="clear" w:color="000000" w:fill="FFFFFF"/>
            <w:noWrap/>
            <w:vAlign w:val="center"/>
            <w:hideMark/>
          </w:tcPr>
          <w:p w14:paraId="5BDA6484"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64" w:type="pct"/>
            <w:tcBorders>
              <w:top w:val="nil"/>
              <w:left w:val="nil"/>
              <w:bottom w:val="single" w:sz="4" w:space="0" w:color="auto"/>
              <w:right w:val="single" w:sz="4" w:space="0" w:color="auto"/>
            </w:tcBorders>
            <w:shd w:val="clear" w:color="000000" w:fill="FFFFFF"/>
            <w:noWrap/>
            <w:vAlign w:val="center"/>
            <w:hideMark/>
          </w:tcPr>
          <w:p w14:paraId="644EFCAF"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nil"/>
              <w:left w:val="nil"/>
              <w:bottom w:val="single" w:sz="4" w:space="0" w:color="auto"/>
              <w:right w:val="nil"/>
            </w:tcBorders>
            <w:shd w:val="clear" w:color="000000" w:fill="FFFFFF"/>
            <w:noWrap/>
            <w:vAlign w:val="center"/>
            <w:hideMark/>
          </w:tcPr>
          <w:p w14:paraId="4540B285"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154</w:t>
            </w:r>
          </w:p>
        </w:tc>
        <w:tc>
          <w:tcPr>
            <w:tcW w:w="413" w:type="pct"/>
            <w:tcBorders>
              <w:top w:val="nil"/>
              <w:left w:val="single" w:sz="4" w:space="0" w:color="auto"/>
              <w:bottom w:val="single" w:sz="4" w:space="0" w:color="auto"/>
              <w:right w:val="single" w:sz="4" w:space="0" w:color="auto"/>
            </w:tcBorders>
            <w:shd w:val="clear" w:color="000000" w:fill="FFFFFF"/>
            <w:noWrap/>
            <w:vAlign w:val="center"/>
            <w:hideMark/>
          </w:tcPr>
          <w:p w14:paraId="5E0D7633"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A41E21" w:rsidRPr="00650EE4" w14:paraId="2CE812AC" w14:textId="77777777" w:rsidTr="00775C15">
        <w:tc>
          <w:tcPr>
            <w:tcW w:w="1034" w:type="pct"/>
            <w:tcBorders>
              <w:top w:val="single" w:sz="4" w:space="0" w:color="auto"/>
              <w:left w:val="single" w:sz="4" w:space="0" w:color="auto"/>
              <w:bottom w:val="nil"/>
              <w:right w:val="single" w:sz="4" w:space="0" w:color="auto"/>
            </w:tcBorders>
            <w:shd w:val="clear" w:color="000000" w:fill="FFFFFF"/>
            <w:noWrap/>
            <w:vAlign w:val="center"/>
            <w:hideMark/>
          </w:tcPr>
          <w:p w14:paraId="525D0C60" w14:textId="77777777" w:rsidR="00A41E21" w:rsidRPr="00650EE4" w:rsidRDefault="00A41E21" w:rsidP="00A41E2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34" w:type="pct"/>
            <w:tcBorders>
              <w:top w:val="nil"/>
              <w:left w:val="nil"/>
              <w:bottom w:val="nil"/>
              <w:right w:val="nil"/>
            </w:tcBorders>
            <w:shd w:val="clear" w:color="000000" w:fill="FFFFFF"/>
            <w:noWrap/>
            <w:vAlign w:val="center"/>
            <w:hideMark/>
          </w:tcPr>
          <w:p w14:paraId="56B0A154"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6.552</w:t>
            </w:r>
          </w:p>
        </w:tc>
        <w:tc>
          <w:tcPr>
            <w:tcW w:w="534" w:type="pct"/>
            <w:tcBorders>
              <w:top w:val="nil"/>
              <w:left w:val="nil"/>
              <w:bottom w:val="nil"/>
              <w:right w:val="nil"/>
            </w:tcBorders>
            <w:shd w:val="clear" w:color="000000" w:fill="FFFFFF"/>
            <w:noWrap/>
            <w:vAlign w:val="center"/>
            <w:hideMark/>
          </w:tcPr>
          <w:p w14:paraId="512A0747"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961</w:t>
            </w:r>
          </w:p>
        </w:tc>
        <w:tc>
          <w:tcPr>
            <w:tcW w:w="534" w:type="pct"/>
            <w:tcBorders>
              <w:top w:val="nil"/>
              <w:left w:val="nil"/>
              <w:bottom w:val="nil"/>
              <w:right w:val="nil"/>
            </w:tcBorders>
            <w:shd w:val="clear" w:color="000000" w:fill="FFFFFF"/>
            <w:noWrap/>
            <w:vAlign w:val="center"/>
            <w:hideMark/>
          </w:tcPr>
          <w:p w14:paraId="546620FC"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860</w:t>
            </w:r>
          </w:p>
        </w:tc>
        <w:tc>
          <w:tcPr>
            <w:tcW w:w="534" w:type="pct"/>
            <w:tcBorders>
              <w:top w:val="nil"/>
              <w:left w:val="nil"/>
              <w:bottom w:val="nil"/>
              <w:right w:val="nil"/>
            </w:tcBorders>
            <w:shd w:val="clear" w:color="000000" w:fill="FFFFFF"/>
            <w:noWrap/>
            <w:vAlign w:val="center"/>
            <w:hideMark/>
          </w:tcPr>
          <w:p w14:paraId="6D0C367D"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89</w:t>
            </w:r>
          </w:p>
        </w:tc>
        <w:tc>
          <w:tcPr>
            <w:tcW w:w="534" w:type="pct"/>
            <w:tcBorders>
              <w:top w:val="nil"/>
              <w:left w:val="nil"/>
              <w:bottom w:val="nil"/>
              <w:right w:val="nil"/>
            </w:tcBorders>
            <w:shd w:val="clear" w:color="000000" w:fill="FFFFFF"/>
            <w:noWrap/>
            <w:vAlign w:val="center"/>
            <w:hideMark/>
          </w:tcPr>
          <w:p w14:paraId="08935C8A"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w:t>
            </w:r>
          </w:p>
        </w:tc>
        <w:tc>
          <w:tcPr>
            <w:tcW w:w="464" w:type="pct"/>
            <w:tcBorders>
              <w:top w:val="nil"/>
              <w:left w:val="nil"/>
              <w:bottom w:val="nil"/>
              <w:right w:val="single" w:sz="4" w:space="0" w:color="auto"/>
            </w:tcBorders>
            <w:shd w:val="clear" w:color="000000" w:fill="FFFFFF"/>
            <w:noWrap/>
            <w:vAlign w:val="center"/>
            <w:hideMark/>
          </w:tcPr>
          <w:p w14:paraId="1851C8D1"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w:t>
            </w:r>
          </w:p>
        </w:tc>
        <w:tc>
          <w:tcPr>
            <w:tcW w:w="418" w:type="pct"/>
            <w:tcBorders>
              <w:top w:val="nil"/>
              <w:left w:val="nil"/>
              <w:bottom w:val="nil"/>
              <w:right w:val="nil"/>
            </w:tcBorders>
            <w:shd w:val="clear" w:color="000000" w:fill="FFFFFF"/>
            <w:noWrap/>
            <w:vAlign w:val="center"/>
            <w:hideMark/>
          </w:tcPr>
          <w:p w14:paraId="1491B3A0" w14:textId="77777777" w:rsidR="00A41E21" w:rsidRPr="00650EE4" w:rsidRDefault="00A41E21" w:rsidP="00A41E2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8.492</w:t>
            </w:r>
          </w:p>
        </w:tc>
        <w:tc>
          <w:tcPr>
            <w:tcW w:w="413" w:type="pct"/>
            <w:tcBorders>
              <w:top w:val="nil"/>
              <w:left w:val="single" w:sz="4" w:space="0" w:color="auto"/>
              <w:bottom w:val="nil"/>
              <w:right w:val="single" w:sz="4" w:space="0" w:color="auto"/>
            </w:tcBorders>
            <w:shd w:val="clear" w:color="000000" w:fill="FFFFFF"/>
            <w:noWrap/>
            <w:vAlign w:val="center"/>
            <w:hideMark/>
          </w:tcPr>
          <w:p w14:paraId="34A4AF5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A41E21" w:rsidRPr="00650EE4" w14:paraId="022B694B" w14:textId="77777777" w:rsidTr="00775C15">
        <w:tc>
          <w:tcPr>
            <w:tcW w:w="103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11771"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34" w:type="pct"/>
            <w:tcBorders>
              <w:top w:val="single" w:sz="4" w:space="0" w:color="auto"/>
              <w:left w:val="nil"/>
              <w:bottom w:val="single" w:sz="4" w:space="0" w:color="auto"/>
              <w:right w:val="nil"/>
            </w:tcBorders>
            <w:shd w:val="clear" w:color="000000" w:fill="FFFFFF"/>
            <w:noWrap/>
            <w:vAlign w:val="center"/>
            <w:hideMark/>
          </w:tcPr>
          <w:p w14:paraId="368D246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34" w:type="pct"/>
            <w:tcBorders>
              <w:top w:val="single" w:sz="4" w:space="0" w:color="auto"/>
              <w:left w:val="nil"/>
              <w:bottom w:val="single" w:sz="4" w:space="0" w:color="auto"/>
              <w:right w:val="nil"/>
            </w:tcBorders>
            <w:shd w:val="clear" w:color="000000" w:fill="FFFFFF"/>
            <w:noWrap/>
            <w:vAlign w:val="center"/>
            <w:hideMark/>
          </w:tcPr>
          <w:p w14:paraId="5FBAD298"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4" w:type="pct"/>
            <w:tcBorders>
              <w:top w:val="single" w:sz="4" w:space="0" w:color="auto"/>
              <w:left w:val="nil"/>
              <w:bottom w:val="single" w:sz="4" w:space="0" w:color="auto"/>
              <w:right w:val="nil"/>
            </w:tcBorders>
            <w:shd w:val="clear" w:color="000000" w:fill="FFFFFF"/>
            <w:noWrap/>
            <w:vAlign w:val="center"/>
            <w:hideMark/>
          </w:tcPr>
          <w:p w14:paraId="1D2DF420"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34" w:type="pct"/>
            <w:tcBorders>
              <w:top w:val="single" w:sz="4" w:space="0" w:color="auto"/>
              <w:left w:val="nil"/>
              <w:bottom w:val="single" w:sz="4" w:space="0" w:color="auto"/>
              <w:right w:val="nil"/>
            </w:tcBorders>
            <w:shd w:val="clear" w:color="000000" w:fill="FFFFFF"/>
            <w:noWrap/>
            <w:vAlign w:val="center"/>
            <w:hideMark/>
          </w:tcPr>
          <w:p w14:paraId="06FB407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4" w:type="pct"/>
            <w:tcBorders>
              <w:top w:val="single" w:sz="4" w:space="0" w:color="auto"/>
              <w:left w:val="nil"/>
              <w:bottom w:val="single" w:sz="4" w:space="0" w:color="auto"/>
              <w:right w:val="nil"/>
            </w:tcBorders>
            <w:shd w:val="clear" w:color="000000" w:fill="FFFFFF"/>
            <w:noWrap/>
            <w:vAlign w:val="center"/>
            <w:hideMark/>
          </w:tcPr>
          <w:p w14:paraId="6FE53B6B"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64" w:type="pct"/>
            <w:tcBorders>
              <w:top w:val="single" w:sz="4" w:space="0" w:color="auto"/>
              <w:left w:val="nil"/>
              <w:bottom w:val="single" w:sz="4" w:space="0" w:color="auto"/>
              <w:right w:val="single" w:sz="4" w:space="0" w:color="auto"/>
            </w:tcBorders>
            <w:shd w:val="clear" w:color="000000" w:fill="FFFFFF"/>
            <w:noWrap/>
            <w:vAlign w:val="center"/>
            <w:hideMark/>
          </w:tcPr>
          <w:p w14:paraId="4825736D"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18" w:type="pct"/>
            <w:tcBorders>
              <w:top w:val="single" w:sz="4" w:space="0" w:color="auto"/>
              <w:left w:val="nil"/>
              <w:bottom w:val="single" w:sz="4" w:space="0" w:color="auto"/>
              <w:right w:val="nil"/>
            </w:tcBorders>
            <w:shd w:val="clear" w:color="000000" w:fill="FFFFFF"/>
            <w:noWrap/>
            <w:vAlign w:val="center"/>
            <w:hideMark/>
          </w:tcPr>
          <w:p w14:paraId="5FCA0AAA" w14:textId="77777777" w:rsidR="00A41E21" w:rsidRPr="00650EE4" w:rsidRDefault="00A41E21" w:rsidP="00A41E2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1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081570" w14:textId="77777777" w:rsidR="00A41E21" w:rsidRPr="00650EE4" w:rsidRDefault="00A41E21" w:rsidP="00A41E2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0A7A2862" w14:textId="6E916D80" w:rsidR="005B14CD" w:rsidRPr="00650EE4" w:rsidRDefault="00731DB0" w:rsidP="00731DB0">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682B9E" w:rsidRPr="00650EE4">
        <w:rPr>
          <w:rFonts w:ascii="Times New Roman" w:eastAsia="Times New Roman" w:hAnsi="Times New Roman"/>
          <w:i/>
          <w:color w:val="000000" w:themeColor="text1"/>
          <w:sz w:val="20"/>
          <w:szCs w:val="20"/>
        </w:rPr>
        <w:t>S</w:t>
      </w:r>
      <w:r w:rsidR="003E0FC5" w:rsidRPr="00650EE4">
        <w:rPr>
          <w:rFonts w:ascii="Times New Roman" w:eastAsia="Times New Roman" w:hAnsi="Times New Roman"/>
          <w:i/>
          <w:color w:val="000000" w:themeColor="text1"/>
          <w:sz w:val="20"/>
          <w:szCs w:val="20"/>
        </w:rPr>
        <w:t>tudijos</w:t>
      </w:r>
      <w:r w:rsidR="006D65CB">
        <w:rPr>
          <w:rFonts w:ascii="Times New Roman" w:eastAsia="Times New Roman" w:hAnsi="Times New Roman"/>
          <w:i/>
          <w:color w:val="000000" w:themeColor="text1"/>
          <w:sz w:val="20"/>
          <w:szCs w:val="20"/>
        </w:rPr>
        <w:t xml:space="preserve"> </w:t>
      </w:r>
      <w:r w:rsidR="006D65CB">
        <w:rPr>
          <w:rFonts w:ascii="Times New Roman" w:hAnsi="Times New Roman"/>
          <w:i/>
          <w:iCs/>
          <w:color w:val="auto"/>
          <w:sz w:val="20"/>
          <w:szCs w:val="20"/>
        </w:rPr>
        <w:t>Lietuvos ilgalaikei renovacijos strategijai parengti</w:t>
      </w:r>
      <w:r w:rsidR="003E0FC5" w:rsidRPr="00650EE4">
        <w:rPr>
          <w:rFonts w:ascii="Times New Roman" w:eastAsia="Times New Roman" w:hAnsi="Times New Roman"/>
          <w:i/>
          <w:color w:val="000000" w:themeColor="text1"/>
          <w:sz w:val="20"/>
          <w:szCs w:val="20"/>
        </w:rPr>
        <w:t xml:space="preserve"> autoriai</w:t>
      </w:r>
    </w:p>
    <w:p w14:paraId="3613DE63" w14:textId="77777777" w:rsidR="00AF03E9" w:rsidRPr="00650EE4" w:rsidRDefault="00AF03E9" w:rsidP="005C7021">
      <w:pPr>
        <w:spacing w:line="240" w:lineRule="auto"/>
        <w:jc w:val="both"/>
        <w:rPr>
          <w:rFonts w:ascii="Times New Roman" w:hAnsi="Times New Roman"/>
          <w:color w:val="000000" w:themeColor="text1"/>
          <w:szCs w:val="22"/>
        </w:rPr>
      </w:pPr>
    </w:p>
    <w:p w14:paraId="5D4F3913" w14:textId="5C7C8FA1" w:rsidR="005C7021" w:rsidRDefault="002278FB" w:rsidP="005C702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Paveiks</w:t>
      </w:r>
      <w:r w:rsidR="006560B4">
        <w:rPr>
          <w:rFonts w:ascii="Times New Roman" w:hAnsi="Times New Roman"/>
          <w:color w:val="000000" w:themeColor="text1"/>
          <w:szCs w:val="22"/>
        </w:rPr>
        <w:t>le žemiau pateikiami agreguoti p</w:t>
      </w:r>
      <w:r w:rsidRPr="00650EE4">
        <w:rPr>
          <w:rFonts w:ascii="Times New Roman" w:hAnsi="Times New Roman"/>
          <w:color w:val="000000" w:themeColor="text1"/>
          <w:szCs w:val="22"/>
        </w:rPr>
        <w:t>astatų fondo duomenys pagal šiluminės energijos vartojimą.</w:t>
      </w:r>
    </w:p>
    <w:p w14:paraId="3A2CDAD0" w14:textId="77777777" w:rsidR="006560B4" w:rsidRPr="00650EE4" w:rsidRDefault="006560B4" w:rsidP="005C7021">
      <w:pPr>
        <w:spacing w:line="240" w:lineRule="auto"/>
        <w:jc w:val="both"/>
        <w:rPr>
          <w:rFonts w:ascii="Times New Roman" w:eastAsiaTheme="minorHAnsi" w:hAnsi="Times New Roman"/>
          <w:bCs/>
          <w:i/>
          <w:color w:val="000000" w:themeColor="text1"/>
          <w:sz w:val="20"/>
          <w:szCs w:val="20"/>
        </w:rPr>
      </w:pPr>
    </w:p>
    <w:p w14:paraId="3681EAA8" w14:textId="2F6FB3F8" w:rsidR="004B3933"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54" w:name="_Toc59094257"/>
      <w:r w:rsidR="00F25C65">
        <w:t>8</w:t>
      </w:r>
      <w:r w:rsidRPr="00650EE4">
        <w:rPr>
          <w:noProof w:val="0"/>
        </w:rPr>
        <w:fldChar w:fldCharType="end"/>
      </w:r>
      <w:r w:rsidR="004B3933" w:rsidRPr="00650EE4">
        <w:rPr>
          <w:noProof w:val="0"/>
        </w:rPr>
        <w:t xml:space="preserve"> paveikslas. Pastatų fondo šiluminės energijos vartojimas (agreguotas) (</w:t>
      </w:r>
      <w:proofErr w:type="spellStart"/>
      <w:r w:rsidR="004B3933" w:rsidRPr="00650EE4">
        <w:rPr>
          <w:noProof w:val="0"/>
        </w:rPr>
        <w:t>GWh</w:t>
      </w:r>
      <w:proofErr w:type="spellEnd"/>
      <w:r w:rsidR="004B3933" w:rsidRPr="00650EE4">
        <w:rPr>
          <w:noProof w:val="0"/>
        </w:rPr>
        <w:t>/metus)</w:t>
      </w:r>
      <w:bookmarkEnd w:id="54"/>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66"/>
        <w:gridCol w:w="5136"/>
      </w:tblGrid>
      <w:tr w:rsidR="00FB5BEB" w:rsidRPr="00650EE4" w14:paraId="3E09B24D" w14:textId="77777777" w:rsidTr="00FB5BEB">
        <w:tc>
          <w:tcPr>
            <w:tcW w:w="5068" w:type="dxa"/>
          </w:tcPr>
          <w:p w14:paraId="255B00C4" w14:textId="1B313D63" w:rsidR="002278FB" w:rsidRPr="00650EE4" w:rsidRDefault="00DA63F0" w:rsidP="00C421FC">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4B0CBB35" wp14:editId="4276BB97">
                  <wp:extent cx="3132162" cy="1929130"/>
                  <wp:effectExtent l="0" t="0" r="11430" b="13970"/>
                  <wp:docPr id="17" name="Chart 1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924802F-BE7E-43D0-B5FC-C811419A66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136" w:type="dxa"/>
          </w:tcPr>
          <w:p w14:paraId="2F39233D" w14:textId="5BD7E531" w:rsidR="002278FB" w:rsidRPr="00650EE4" w:rsidRDefault="00DA63F0" w:rsidP="00C421FC">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0480718E" wp14:editId="4E910583">
                  <wp:extent cx="3118514" cy="1929130"/>
                  <wp:effectExtent l="0" t="0" r="5715" b="13970"/>
                  <wp:docPr id="13" name="Chart 13">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459CA1-09B0-406B-A1F7-05583DF67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2603C62B" w14:textId="3CF25A89" w:rsidR="00AD6967" w:rsidRPr="00650EE4" w:rsidRDefault="00AD6967" w:rsidP="00AD6967">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61E18FEA" w14:textId="77777777" w:rsidR="002278FB" w:rsidRPr="00650EE4" w:rsidRDefault="002278FB" w:rsidP="002278FB">
      <w:pPr>
        <w:spacing w:line="240" w:lineRule="auto"/>
        <w:jc w:val="both"/>
        <w:rPr>
          <w:rFonts w:ascii="Times New Roman" w:hAnsi="Times New Roman"/>
          <w:color w:val="000000" w:themeColor="text1"/>
          <w:szCs w:val="22"/>
        </w:rPr>
      </w:pPr>
    </w:p>
    <w:p w14:paraId="40502BAF" w14:textId="3CED9B9C" w:rsidR="00401563" w:rsidRPr="00650EE4" w:rsidRDefault="00401563" w:rsidP="00401563">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6EF3AB3A" w14:textId="22DCB23F" w:rsidR="004D6F9E" w:rsidRPr="00650EE4" w:rsidRDefault="006560B4" w:rsidP="004D6F9E">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3/4 (77 proc.) visos p</w:t>
      </w:r>
      <w:r w:rsidR="004D6F9E" w:rsidRPr="00650EE4">
        <w:rPr>
          <w:rFonts w:ascii="Times New Roman" w:hAnsi="Times New Roman"/>
          <w:color w:val="000000" w:themeColor="text1"/>
          <w:szCs w:val="22"/>
        </w:rPr>
        <w:t>astatų fondo šiluminės energijos karštam vandeniui ruošti vartoja žemesnės nei C energinio naudingumo klasės pastatai. Reikšmingiausias vartojimas šiame segmente yra daugiabučiai (28</w:t>
      </w:r>
      <w:r w:rsidR="00AF03E9" w:rsidRPr="00650EE4">
        <w:rPr>
          <w:rFonts w:ascii="Times New Roman" w:hAnsi="Times New Roman"/>
          <w:color w:val="000000" w:themeColor="text1"/>
          <w:szCs w:val="22"/>
        </w:rPr>
        <w:t> </w:t>
      </w:r>
      <w:r w:rsidR="004D6F9E" w:rsidRPr="00650EE4">
        <w:rPr>
          <w:rFonts w:ascii="Times New Roman" w:hAnsi="Times New Roman"/>
          <w:color w:val="000000" w:themeColor="text1"/>
          <w:szCs w:val="22"/>
        </w:rPr>
        <w:t xml:space="preserve">proc.) ir kitos negyvenamosios paskirties pastatai (25 proc.); </w:t>
      </w:r>
    </w:p>
    <w:p w14:paraId="415E42F3" w14:textId="62C81997" w:rsidR="00A24DF1" w:rsidRPr="00650EE4" w:rsidRDefault="006560B4" w:rsidP="00A24D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s</w:t>
      </w:r>
      <w:r w:rsidR="00A24DF1" w:rsidRPr="00650EE4">
        <w:rPr>
          <w:rFonts w:ascii="Times New Roman" w:hAnsi="Times New Roman"/>
          <w:color w:val="000000" w:themeColor="text1"/>
          <w:szCs w:val="22"/>
        </w:rPr>
        <w:t>uminės šiluminės energijos karštam vandeniui ruošti vartojimas sudaro</w:t>
      </w:r>
      <w:r w:rsidR="00195100" w:rsidRPr="00650EE4">
        <w:rPr>
          <w:rFonts w:ascii="Times New Roman" w:hAnsi="Times New Roman"/>
          <w:color w:val="000000" w:themeColor="text1"/>
          <w:szCs w:val="22"/>
        </w:rPr>
        <w:t xml:space="preserve"> 30% viso šiluminės energijos vartojimo, tačiau reikšmingai skiriasi tarp pastatų paskirčių</w:t>
      </w:r>
      <w:r>
        <w:rPr>
          <w:rFonts w:ascii="Times New Roman" w:hAnsi="Times New Roman"/>
          <w:color w:val="000000" w:themeColor="text1"/>
          <w:szCs w:val="22"/>
        </w:rPr>
        <w:t>;</w:t>
      </w:r>
    </w:p>
    <w:p w14:paraId="482171C4" w14:textId="2E5AF2F2" w:rsidR="00A24DF1" w:rsidRPr="00650EE4" w:rsidRDefault="006560B4" w:rsidP="00A24D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A24DF1" w:rsidRPr="00650EE4">
        <w:rPr>
          <w:rFonts w:ascii="Times New Roman" w:hAnsi="Times New Roman"/>
          <w:color w:val="000000" w:themeColor="text1"/>
          <w:szCs w:val="22"/>
        </w:rPr>
        <w:t xml:space="preserve">ndividualūs pastatai </w:t>
      </w:r>
      <w:r w:rsidR="00195100" w:rsidRPr="00650EE4">
        <w:rPr>
          <w:rFonts w:ascii="Times New Roman" w:hAnsi="Times New Roman"/>
          <w:color w:val="000000" w:themeColor="text1"/>
          <w:szCs w:val="22"/>
        </w:rPr>
        <w:t xml:space="preserve">karštam vandeniui ruošti </w:t>
      </w:r>
      <w:r w:rsidR="00A24DF1" w:rsidRPr="00650EE4">
        <w:rPr>
          <w:rFonts w:ascii="Times New Roman" w:hAnsi="Times New Roman"/>
          <w:color w:val="000000" w:themeColor="text1"/>
          <w:szCs w:val="22"/>
        </w:rPr>
        <w:t xml:space="preserve">vartoja </w:t>
      </w:r>
      <w:r w:rsidR="00195100" w:rsidRPr="00650EE4">
        <w:rPr>
          <w:rFonts w:ascii="Times New Roman" w:hAnsi="Times New Roman"/>
          <w:color w:val="000000" w:themeColor="text1"/>
          <w:szCs w:val="22"/>
        </w:rPr>
        <w:t xml:space="preserve">tik 1/10 (9 proc.) dalį šiluminės energijos. Tuo tarpu </w:t>
      </w:r>
      <w:r w:rsidR="004D6F9E" w:rsidRPr="00650EE4">
        <w:rPr>
          <w:rFonts w:ascii="Times New Roman" w:hAnsi="Times New Roman"/>
          <w:color w:val="000000" w:themeColor="text1"/>
          <w:szCs w:val="22"/>
        </w:rPr>
        <w:t xml:space="preserve">pramonės pastatai – 30%, daugiabučiai – </w:t>
      </w:r>
      <w:r w:rsidR="00BC322C" w:rsidRPr="00650EE4">
        <w:rPr>
          <w:rFonts w:ascii="Times New Roman" w:hAnsi="Times New Roman"/>
          <w:color w:val="000000" w:themeColor="text1"/>
          <w:szCs w:val="22"/>
        </w:rPr>
        <w:t>41%, kiti negyvenamieji – 50%.</w:t>
      </w:r>
    </w:p>
    <w:p w14:paraId="0068C792" w14:textId="77777777" w:rsidR="00401563" w:rsidRPr="00650EE4" w:rsidRDefault="00401563" w:rsidP="00D547F0">
      <w:pPr>
        <w:pStyle w:val="Pagrindinispaprastastekstas"/>
        <w:rPr>
          <w:rFonts w:ascii="Times New Roman" w:hAnsi="Times New Roman"/>
          <w:color w:val="000000" w:themeColor="text1"/>
          <w:szCs w:val="22"/>
        </w:rPr>
      </w:pPr>
    </w:p>
    <w:p w14:paraId="5732B973" w14:textId="1C0FD8CA" w:rsidR="007E53CA" w:rsidRPr="00650EE4" w:rsidRDefault="007E53CA" w:rsidP="007E53CA">
      <w:pPr>
        <w:pStyle w:val="Antrastes31"/>
        <w:numPr>
          <w:ilvl w:val="2"/>
          <w:numId w:val="4"/>
        </w:numPr>
        <w:spacing w:before="120"/>
        <w:ind w:left="720" w:hanging="720"/>
        <w:rPr>
          <w:rFonts w:ascii="Times New Roman" w:hAnsi="Times New Roman"/>
          <w:color w:val="000000" w:themeColor="text1"/>
          <w:sz w:val="24"/>
          <w:szCs w:val="24"/>
          <w:lang w:val="lt-LT"/>
        </w:rPr>
      </w:pPr>
      <w:bookmarkStart w:id="55" w:name="_Toc59107512"/>
      <w:r w:rsidRPr="00650EE4">
        <w:rPr>
          <w:rFonts w:ascii="Times New Roman" w:hAnsi="Times New Roman"/>
          <w:color w:val="000000" w:themeColor="text1"/>
          <w:sz w:val="24"/>
          <w:szCs w:val="24"/>
          <w:lang w:val="lt-LT"/>
        </w:rPr>
        <w:t>Elektros energijos vartojimas</w:t>
      </w:r>
      <w:bookmarkEnd w:id="55"/>
    </w:p>
    <w:p w14:paraId="66EF4B44" w14:textId="73F6EFE9" w:rsidR="00A45646" w:rsidRPr="00650EE4" w:rsidRDefault="00A45646" w:rsidP="00A45646">
      <w:pPr>
        <w:shd w:val="clear" w:color="auto" w:fill="FFFFFF"/>
        <w:spacing w:after="120" w:line="240" w:lineRule="auto"/>
        <w:rPr>
          <w:rFonts w:ascii="Times New Roman" w:eastAsia="Times New Roman" w:hAnsi="Times New Roman"/>
          <w:color w:val="222222"/>
          <w:szCs w:val="22"/>
        </w:rPr>
      </w:pPr>
      <w:r w:rsidRPr="00650EE4">
        <w:rPr>
          <w:rFonts w:ascii="Times New Roman" w:eastAsia="Times New Roman" w:hAnsi="Times New Roman"/>
          <w:color w:val="222222"/>
          <w:szCs w:val="22"/>
        </w:rPr>
        <w:t>Elektros energijos sąnaudos apima:</w:t>
      </w:r>
    </w:p>
    <w:p w14:paraId="05274ECB" w14:textId="5CE8B9BA"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apšvietimui;</w:t>
      </w:r>
    </w:p>
    <w:p w14:paraId="5006621D" w14:textId="4F07FFAD"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prietaisams pastate;</w:t>
      </w:r>
    </w:p>
    <w:p w14:paraId="1FEEDE5C" w14:textId="7255F223"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energijos sąnaudos ne pastate (su pastato naudojimu susijusioms reikmėms);</w:t>
      </w:r>
    </w:p>
    <w:p w14:paraId="29D53183" w14:textId="6B6930AE"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v</w:t>
      </w:r>
      <w:r w:rsidR="00A45646" w:rsidRPr="00650EE4">
        <w:rPr>
          <w:rFonts w:ascii="Times New Roman" w:hAnsi="Times New Roman"/>
          <w:color w:val="000000" w:themeColor="text1"/>
          <w:szCs w:val="22"/>
        </w:rPr>
        <w:t>ėdinimo įrenginių elektros energijos sąnaudos (jei yra vėdinimas);</w:t>
      </w:r>
    </w:p>
    <w:p w14:paraId="72D92A01" w14:textId="107E09D5"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A45646" w:rsidRPr="00650EE4">
        <w:rPr>
          <w:rFonts w:ascii="Times New Roman" w:hAnsi="Times New Roman"/>
          <w:color w:val="000000" w:themeColor="text1"/>
          <w:szCs w:val="22"/>
        </w:rPr>
        <w:t>lektros sąnaudos vėsinimui;</w:t>
      </w:r>
    </w:p>
    <w:p w14:paraId="102D6A24" w14:textId="53035C9D" w:rsidR="00A45646" w:rsidRPr="00650EE4" w:rsidRDefault="006560B4" w:rsidP="00A4564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lastRenderedPageBreak/>
        <w:t>s</w:t>
      </w:r>
      <w:r w:rsidR="00A45646" w:rsidRPr="00650EE4">
        <w:rPr>
          <w:rFonts w:ascii="Times New Roman" w:hAnsi="Times New Roman"/>
          <w:color w:val="000000" w:themeColor="text1"/>
          <w:szCs w:val="22"/>
        </w:rPr>
        <w:t>uminės pastate suvartotas elektros energijos sąnaudos;</w:t>
      </w:r>
    </w:p>
    <w:p w14:paraId="394DB1A2" w14:textId="2C708550" w:rsidR="00A45646" w:rsidRPr="00650EE4" w:rsidRDefault="006560B4" w:rsidP="00A45646">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s</w:t>
      </w:r>
      <w:r w:rsidR="00A45646" w:rsidRPr="00650EE4">
        <w:rPr>
          <w:rFonts w:ascii="Times New Roman" w:hAnsi="Times New Roman"/>
          <w:color w:val="000000" w:themeColor="text1"/>
          <w:szCs w:val="22"/>
        </w:rPr>
        <w:t>uminės pastate suvartotas elektros energijos sąnaudos (be vėdinimo).</w:t>
      </w:r>
    </w:p>
    <w:p w14:paraId="39C21D6A" w14:textId="77777777" w:rsidR="00A45646" w:rsidRPr="00650EE4" w:rsidRDefault="00A45646" w:rsidP="0072798C">
      <w:pPr>
        <w:pStyle w:val="BodyText"/>
        <w:spacing w:line="240" w:lineRule="auto"/>
        <w:jc w:val="both"/>
        <w:rPr>
          <w:rFonts w:ascii="Times New Roman" w:hAnsi="Times New Roman"/>
          <w:color w:val="000000" w:themeColor="text1"/>
          <w:szCs w:val="22"/>
          <w:lang w:val="lt-LT"/>
        </w:rPr>
      </w:pPr>
    </w:p>
    <w:p w14:paraId="3C478C09" w14:textId="2DF01410" w:rsidR="0072798C" w:rsidRPr="00650EE4" w:rsidRDefault="00401563" w:rsidP="0072798C">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fondo metinis elektros</w:t>
      </w:r>
      <w:r w:rsidR="0072798C" w:rsidRPr="00650EE4">
        <w:rPr>
          <w:rFonts w:ascii="Times New Roman" w:hAnsi="Times New Roman"/>
          <w:color w:val="000000" w:themeColor="text1"/>
          <w:szCs w:val="22"/>
          <w:lang w:val="lt-LT"/>
        </w:rPr>
        <w:t xml:space="preserve"> energijos vartojimas</w:t>
      </w:r>
      <w:r w:rsidR="00B51159" w:rsidRPr="00650EE4">
        <w:rPr>
          <w:rFonts w:ascii="Times New Roman" w:hAnsi="Times New Roman"/>
          <w:color w:val="000000" w:themeColor="text1"/>
          <w:szCs w:val="22"/>
          <w:lang w:val="lt-LT"/>
        </w:rPr>
        <w:t>,</w:t>
      </w:r>
      <w:r w:rsidR="0072798C" w:rsidRPr="00650EE4">
        <w:rPr>
          <w:rFonts w:ascii="Times New Roman" w:hAnsi="Times New Roman"/>
          <w:color w:val="000000" w:themeColor="text1"/>
          <w:szCs w:val="22"/>
          <w:lang w:val="lt-LT"/>
        </w:rPr>
        <w:t xml:space="preserve"> pagal e</w:t>
      </w:r>
      <w:r w:rsidR="00B51159" w:rsidRPr="00650EE4">
        <w:rPr>
          <w:rFonts w:ascii="Times New Roman" w:hAnsi="Times New Roman"/>
          <w:color w:val="000000" w:themeColor="text1"/>
          <w:szCs w:val="22"/>
          <w:lang w:val="lt-LT"/>
        </w:rPr>
        <w:t>nerginio naudingumo klasę, pateikiamas lentelėje žemiau.</w:t>
      </w:r>
    </w:p>
    <w:p w14:paraId="52070FCA" w14:textId="77777777" w:rsidR="00B51159" w:rsidRPr="00650EE4" w:rsidRDefault="00B51159" w:rsidP="0072798C">
      <w:pPr>
        <w:pStyle w:val="BodyText"/>
        <w:spacing w:line="240" w:lineRule="auto"/>
        <w:jc w:val="both"/>
        <w:rPr>
          <w:rFonts w:ascii="Times New Roman" w:hAnsi="Times New Roman"/>
          <w:color w:val="000000" w:themeColor="text1"/>
          <w:szCs w:val="22"/>
          <w:lang w:val="lt-LT"/>
        </w:rPr>
      </w:pPr>
    </w:p>
    <w:p w14:paraId="2F875952" w14:textId="44F565D1" w:rsidR="005750CC"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6" w:name="_Toc59094202"/>
      <w:r w:rsidR="00F25C65">
        <w:t>19</w:t>
      </w:r>
      <w:r w:rsidRPr="00650EE4">
        <w:rPr>
          <w:noProof w:val="0"/>
        </w:rPr>
        <w:fldChar w:fldCharType="end"/>
      </w:r>
      <w:r w:rsidR="005750CC" w:rsidRPr="00650EE4">
        <w:rPr>
          <w:noProof w:val="0"/>
        </w:rPr>
        <w:t xml:space="preserve"> lentelė. Pastatų fondo elektros ener</w:t>
      </w:r>
      <w:r w:rsidR="00401563" w:rsidRPr="00650EE4">
        <w:rPr>
          <w:noProof w:val="0"/>
        </w:rPr>
        <w:t xml:space="preserve">gijos vartojimas pagal </w:t>
      </w:r>
      <w:r w:rsidR="009209CF" w:rsidRPr="00650EE4">
        <w:rPr>
          <w:noProof w:val="0"/>
        </w:rPr>
        <w:t>ENK</w:t>
      </w:r>
      <w:r w:rsidR="005750CC" w:rsidRPr="00650EE4">
        <w:rPr>
          <w:noProof w:val="0"/>
        </w:rPr>
        <w:t xml:space="preserve"> (</w:t>
      </w:r>
      <w:proofErr w:type="spellStart"/>
      <w:r w:rsidR="005750CC" w:rsidRPr="00650EE4">
        <w:rPr>
          <w:noProof w:val="0"/>
        </w:rPr>
        <w:t>GWh</w:t>
      </w:r>
      <w:proofErr w:type="spellEnd"/>
      <w:r w:rsidR="005750CC" w:rsidRPr="00650EE4">
        <w:rPr>
          <w:noProof w:val="0"/>
        </w:rPr>
        <w:t>)</w:t>
      </w:r>
      <w:bookmarkEnd w:id="56"/>
    </w:p>
    <w:tbl>
      <w:tblPr>
        <w:tblW w:w="5000" w:type="pct"/>
        <w:tblLook w:val="04A0" w:firstRow="1" w:lastRow="0" w:firstColumn="1" w:lastColumn="0" w:noHBand="0" w:noVBand="1"/>
      </w:tblPr>
      <w:tblGrid>
        <w:gridCol w:w="2118"/>
        <w:gridCol w:w="1038"/>
        <w:gridCol w:w="1038"/>
        <w:gridCol w:w="1038"/>
        <w:gridCol w:w="1038"/>
        <w:gridCol w:w="1038"/>
        <w:gridCol w:w="1040"/>
        <w:gridCol w:w="1038"/>
        <w:gridCol w:w="1034"/>
      </w:tblGrid>
      <w:tr w:rsidR="00732FB5" w:rsidRPr="00650EE4" w14:paraId="6A5D7EDA" w14:textId="77777777" w:rsidTr="00271F93">
        <w:tc>
          <w:tcPr>
            <w:tcW w:w="1017"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2D0BA3A9"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989"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9245F7" w14:textId="32F51429" w:rsidR="00732FB5" w:rsidRPr="00650EE4" w:rsidRDefault="00E02F48"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732FB5" w:rsidRPr="00650EE4">
              <w:rPr>
                <w:rFonts w:ascii="Times New Roman" w:eastAsia="Times New Roman" w:hAnsi="Times New Roman"/>
                <w:b/>
                <w:bCs/>
                <w:sz w:val="20"/>
                <w:szCs w:val="20"/>
              </w:rPr>
              <w:t>klasė</w:t>
            </w:r>
          </w:p>
        </w:tc>
        <w:tc>
          <w:tcPr>
            <w:tcW w:w="498" w:type="pct"/>
            <w:vMerge w:val="restart"/>
            <w:tcBorders>
              <w:top w:val="single" w:sz="4" w:space="0" w:color="auto"/>
              <w:left w:val="nil"/>
              <w:bottom w:val="single" w:sz="4" w:space="0" w:color="000000"/>
              <w:right w:val="nil"/>
            </w:tcBorders>
            <w:shd w:val="clear" w:color="000000" w:fill="FFFFFF"/>
            <w:vAlign w:val="center"/>
            <w:hideMark/>
          </w:tcPr>
          <w:p w14:paraId="3092D7B8"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C6A7029"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732FB5" w:rsidRPr="00650EE4" w14:paraId="3E4E6698" w14:textId="77777777" w:rsidTr="00271F93">
        <w:tc>
          <w:tcPr>
            <w:tcW w:w="1017" w:type="pct"/>
            <w:vMerge/>
            <w:tcBorders>
              <w:top w:val="single" w:sz="4" w:space="0" w:color="auto"/>
              <w:left w:val="single" w:sz="4" w:space="0" w:color="auto"/>
              <w:bottom w:val="single" w:sz="4" w:space="0" w:color="000000"/>
              <w:right w:val="nil"/>
            </w:tcBorders>
            <w:vAlign w:val="center"/>
            <w:hideMark/>
          </w:tcPr>
          <w:p w14:paraId="1FD8669C" w14:textId="77777777" w:rsidR="00732FB5" w:rsidRPr="00650EE4" w:rsidRDefault="00732FB5" w:rsidP="00732FB5">
            <w:pPr>
              <w:spacing w:line="240" w:lineRule="auto"/>
              <w:rPr>
                <w:rFonts w:ascii="Times New Roman" w:eastAsia="Times New Roman" w:hAnsi="Times New Roman"/>
                <w:b/>
                <w:bCs/>
                <w:sz w:val="20"/>
                <w:szCs w:val="20"/>
              </w:rPr>
            </w:pPr>
          </w:p>
        </w:tc>
        <w:tc>
          <w:tcPr>
            <w:tcW w:w="498" w:type="pct"/>
            <w:tcBorders>
              <w:top w:val="nil"/>
              <w:left w:val="single" w:sz="4" w:space="0" w:color="auto"/>
              <w:bottom w:val="single" w:sz="4" w:space="0" w:color="auto"/>
              <w:right w:val="nil"/>
            </w:tcBorders>
            <w:shd w:val="clear" w:color="000000" w:fill="FFFFFF"/>
            <w:vAlign w:val="center"/>
            <w:hideMark/>
          </w:tcPr>
          <w:p w14:paraId="4BE53A59" w14:textId="5B1ACCE7" w:rsidR="00732FB5" w:rsidRPr="00650EE4" w:rsidRDefault="007F357E"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498" w:type="pct"/>
            <w:tcBorders>
              <w:top w:val="nil"/>
              <w:left w:val="nil"/>
              <w:bottom w:val="single" w:sz="4" w:space="0" w:color="auto"/>
              <w:right w:val="nil"/>
            </w:tcBorders>
            <w:shd w:val="clear" w:color="000000" w:fill="FFFFFF"/>
            <w:vAlign w:val="center"/>
            <w:hideMark/>
          </w:tcPr>
          <w:p w14:paraId="33FC53B5"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498" w:type="pct"/>
            <w:tcBorders>
              <w:top w:val="nil"/>
              <w:left w:val="nil"/>
              <w:bottom w:val="single" w:sz="4" w:space="0" w:color="auto"/>
              <w:right w:val="nil"/>
            </w:tcBorders>
            <w:shd w:val="clear" w:color="000000" w:fill="FFFFFF"/>
            <w:vAlign w:val="center"/>
            <w:hideMark/>
          </w:tcPr>
          <w:p w14:paraId="72240564"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498" w:type="pct"/>
            <w:tcBorders>
              <w:top w:val="nil"/>
              <w:left w:val="nil"/>
              <w:bottom w:val="single" w:sz="4" w:space="0" w:color="auto"/>
              <w:right w:val="nil"/>
            </w:tcBorders>
            <w:shd w:val="clear" w:color="000000" w:fill="FFFFFF"/>
            <w:vAlign w:val="center"/>
            <w:hideMark/>
          </w:tcPr>
          <w:p w14:paraId="6AEFC7D5"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8" w:type="pct"/>
            <w:tcBorders>
              <w:top w:val="nil"/>
              <w:left w:val="nil"/>
              <w:bottom w:val="single" w:sz="4" w:space="0" w:color="auto"/>
              <w:right w:val="nil"/>
            </w:tcBorders>
            <w:shd w:val="clear" w:color="000000" w:fill="FFFFFF"/>
            <w:vAlign w:val="center"/>
            <w:hideMark/>
          </w:tcPr>
          <w:p w14:paraId="0BD235FC"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9" w:type="pct"/>
            <w:tcBorders>
              <w:top w:val="nil"/>
              <w:left w:val="nil"/>
              <w:bottom w:val="single" w:sz="4" w:space="0" w:color="auto"/>
              <w:right w:val="single" w:sz="4" w:space="0" w:color="auto"/>
            </w:tcBorders>
            <w:shd w:val="clear" w:color="000000" w:fill="FFFFFF"/>
            <w:vAlign w:val="center"/>
            <w:hideMark/>
          </w:tcPr>
          <w:p w14:paraId="1A6DC4E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98" w:type="pct"/>
            <w:vMerge/>
            <w:tcBorders>
              <w:top w:val="single" w:sz="4" w:space="0" w:color="auto"/>
              <w:left w:val="nil"/>
              <w:bottom w:val="single" w:sz="4" w:space="0" w:color="000000"/>
              <w:right w:val="nil"/>
            </w:tcBorders>
            <w:vAlign w:val="center"/>
            <w:hideMark/>
          </w:tcPr>
          <w:p w14:paraId="0027F99D" w14:textId="77777777" w:rsidR="00732FB5" w:rsidRPr="00650EE4" w:rsidRDefault="00732FB5" w:rsidP="00732FB5">
            <w:pPr>
              <w:spacing w:line="240" w:lineRule="auto"/>
              <w:rPr>
                <w:rFonts w:ascii="Times New Roman" w:eastAsia="Times New Roman" w:hAnsi="Times New Roman"/>
                <w:b/>
                <w:bCs/>
                <w:sz w:val="20"/>
                <w:szCs w:val="20"/>
              </w:rPr>
            </w:pPr>
          </w:p>
        </w:tc>
        <w:tc>
          <w:tcPr>
            <w:tcW w:w="496" w:type="pct"/>
            <w:vMerge/>
            <w:tcBorders>
              <w:top w:val="single" w:sz="4" w:space="0" w:color="auto"/>
              <w:left w:val="single" w:sz="4" w:space="0" w:color="auto"/>
              <w:bottom w:val="single" w:sz="4" w:space="0" w:color="000000"/>
              <w:right w:val="single" w:sz="4" w:space="0" w:color="auto"/>
            </w:tcBorders>
            <w:vAlign w:val="center"/>
            <w:hideMark/>
          </w:tcPr>
          <w:p w14:paraId="189F9CC8" w14:textId="77777777" w:rsidR="00732FB5" w:rsidRPr="00650EE4" w:rsidRDefault="00732FB5" w:rsidP="00732FB5">
            <w:pPr>
              <w:spacing w:line="240" w:lineRule="auto"/>
              <w:rPr>
                <w:rFonts w:ascii="Times New Roman" w:eastAsia="Times New Roman" w:hAnsi="Times New Roman"/>
                <w:b/>
                <w:bCs/>
                <w:sz w:val="20"/>
                <w:szCs w:val="20"/>
              </w:rPr>
            </w:pPr>
          </w:p>
        </w:tc>
      </w:tr>
      <w:tr w:rsidR="004C3307" w:rsidRPr="00650EE4" w14:paraId="3A4D7294" w14:textId="77777777" w:rsidTr="00271F93">
        <w:tc>
          <w:tcPr>
            <w:tcW w:w="1017" w:type="pct"/>
            <w:tcBorders>
              <w:top w:val="nil"/>
              <w:left w:val="single" w:sz="4" w:space="0" w:color="auto"/>
              <w:bottom w:val="single" w:sz="4" w:space="0" w:color="auto"/>
              <w:right w:val="single" w:sz="4" w:space="0" w:color="auto"/>
            </w:tcBorders>
            <w:shd w:val="clear" w:color="000000" w:fill="F2F2F2"/>
            <w:noWrap/>
            <w:vAlign w:val="center"/>
            <w:hideMark/>
          </w:tcPr>
          <w:p w14:paraId="60C2B76E"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98" w:type="pct"/>
            <w:tcBorders>
              <w:top w:val="nil"/>
              <w:left w:val="nil"/>
              <w:bottom w:val="single" w:sz="4" w:space="0" w:color="auto"/>
              <w:right w:val="nil"/>
            </w:tcBorders>
            <w:shd w:val="clear" w:color="000000" w:fill="F2F2F2"/>
            <w:noWrap/>
            <w:vAlign w:val="center"/>
            <w:hideMark/>
          </w:tcPr>
          <w:p w14:paraId="2903DDB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1.057</w:t>
            </w:r>
          </w:p>
        </w:tc>
        <w:tc>
          <w:tcPr>
            <w:tcW w:w="498" w:type="pct"/>
            <w:tcBorders>
              <w:top w:val="nil"/>
              <w:left w:val="nil"/>
              <w:bottom w:val="single" w:sz="4" w:space="0" w:color="auto"/>
              <w:right w:val="nil"/>
            </w:tcBorders>
            <w:shd w:val="clear" w:color="000000" w:fill="F2F2F2"/>
            <w:noWrap/>
            <w:vAlign w:val="center"/>
            <w:hideMark/>
          </w:tcPr>
          <w:p w14:paraId="145C83E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362</w:t>
            </w:r>
          </w:p>
        </w:tc>
        <w:tc>
          <w:tcPr>
            <w:tcW w:w="498" w:type="pct"/>
            <w:tcBorders>
              <w:top w:val="nil"/>
              <w:left w:val="nil"/>
              <w:bottom w:val="single" w:sz="4" w:space="0" w:color="auto"/>
              <w:right w:val="nil"/>
            </w:tcBorders>
            <w:shd w:val="clear" w:color="000000" w:fill="F2F2F2"/>
            <w:noWrap/>
            <w:vAlign w:val="center"/>
            <w:hideMark/>
          </w:tcPr>
          <w:p w14:paraId="3C3CFC0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227</w:t>
            </w:r>
          </w:p>
        </w:tc>
        <w:tc>
          <w:tcPr>
            <w:tcW w:w="498" w:type="pct"/>
            <w:tcBorders>
              <w:top w:val="nil"/>
              <w:left w:val="nil"/>
              <w:bottom w:val="single" w:sz="4" w:space="0" w:color="auto"/>
              <w:right w:val="nil"/>
            </w:tcBorders>
            <w:shd w:val="clear" w:color="000000" w:fill="F2F2F2"/>
            <w:noWrap/>
            <w:vAlign w:val="center"/>
            <w:hideMark/>
          </w:tcPr>
          <w:p w14:paraId="0A9D5A7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w:t>
            </w:r>
          </w:p>
        </w:tc>
        <w:tc>
          <w:tcPr>
            <w:tcW w:w="498" w:type="pct"/>
            <w:tcBorders>
              <w:top w:val="nil"/>
              <w:left w:val="nil"/>
              <w:bottom w:val="single" w:sz="4" w:space="0" w:color="auto"/>
              <w:right w:val="nil"/>
            </w:tcBorders>
            <w:shd w:val="clear" w:color="000000" w:fill="F2F2F2"/>
            <w:noWrap/>
            <w:vAlign w:val="center"/>
            <w:hideMark/>
          </w:tcPr>
          <w:p w14:paraId="51A4F487"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499" w:type="pct"/>
            <w:tcBorders>
              <w:top w:val="nil"/>
              <w:left w:val="nil"/>
              <w:bottom w:val="single" w:sz="4" w:space="0" w:color="auto"/>
              <w:right w:val="single" w:sz="4" w:space="0" w:color="auto"/>
            </w:tcBorders>
            <w:shd w:val="clear" w:color="000000" w:fill="F2F2F2"/>
            <w:noWrap/>
            <w:vAlign w:val="center"/>
            <w:hideMark/>
          </w:tcPr>
          <w:p w14:paraId="4045C2B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98" w:type="pct"/>
            <w:tcBorders>
              <w:top w:val="nil"/>
              <w:left w:val="nil"/>
              <w:bottom w:val="single" w:sz="4" w:space="0" w:color="auto"/>
              <w:right w:val="nil"/>
            </w:tcBorders>
            <w:shd w:val="clear" w:color="000000" w:fill="F2F2F2"/>
            <w:noWrap/>
            <w:vAlign w:val="center"/>
            <w:hideMark/>
          </w:tcPr>
          <w:p w14:paraId="4F4B16D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1.675</w:t>
            </w:r>
          </w:p>
        </w:tc>
        <w:tc>
          <w:tcPr>
            <w:tcW w:w="496" w:type="pct"/>
            <w:tcBorders>
              <w:top w:val="nil"/>
              <w:left w:val="single" w:sz="4" w:space="0" w:color="auto"/>
              <w:bottom w:val="single" w:sz="4" w:space="0" w:color="auto"/>
              <w:right w:val="single" w:sz="4" w:space="0" w:color="auto"/>
            </w:tcBorders>
            <w:shd w:val="clear" w:color="000000" w:fill="F2F2F2"/>
            <w:noWrap/>
            <w:vAlign w:val="center"/>
            <w:hideMark/>
          </w:tcPr>
          <w:p w14:paraId="0EB7C00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66%</w:t>
            </w:r>
          </w:p>
        </w:tc>
      </w:tr>
      <w:tr w:rsidR="00732FB5" w:rsidRPr="00650EE4" w14:paraId="3B0C49CD" w14:textId="77777777" w:rsidTr="00271F93">
        <w:tc>
          <w:tcPr>
            <w:tcW w:w="1017" w:type="pct"/>
            <w:tcBorders>
              <w:top w:val="nil"/>
              <w:left w:val="single" w:sz="4" w:space="0" w:color="auto"/>
              <w:bottom w:val="nil"/>
              <w:right w:val="nil"/>
            </w:tcBorders>
            <w:shd w:val="clear" w:color="000000" w:fill="FFFFFF"/>
            <w:noWrap/>
            <w:vAlign w:val="center"/>
            <w:hideMark/>
          </w:tcPr>
          <w:p w14:paraId="4831628B"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98" w:type="pct"/>
            <w:tcBorders>
              <w:top w:val="nil"/>
              <w:left w:val="single" w:sz="4" w:space="0" w:color="auto"/>
              <w:bottom w:val="nil"/>
              <w:right w:val="nil"/>
            </w:tcBorders>
            <w:shd w:val="clear" w:color="000000" w:fill="FFFFFF"/>
            <w:noWrap/>
            <w:vAlign w:val="center"/>
            <w:hideMark/>
          </w:tcPr>
          <w:p w14:paraId="299E52F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498" w:type="pct"/>
            <w:tcBorders>
              <w:top w:val="nil"/>
              <w:left w:val="nil"/>
              <w:bottom w:val="nil"/>
              <w:right w:val="nil"/>
            </w:tcBorders>
            <w:shd w:val="clear" w:color="000000" w:fill="FFFFFF"/>
            <w:noWrap/>
            <w:vAlign w:val="center"/>
            <w:hideMark/>
          </w:tcPr>
          <w:p w14:paraId="39E20A8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498" w:type="pct"/>
            <w:tcBorders>
              <w:top w:val="nil"/>
              <w:left w:val="nil"/>
              <w:bottom w:val="nil"/>
              <w:right w:val="nil"/>
            </w:tcBorders>
            <w:shd w:val="clear" w:color="000000" w:fill="FFFFFF"/>
            <w:noWrap/>
            <w:vAlign w:val="center"/>
            <w:hideMark/>
          </w:tcPr>
          <w:p w14:paraId="2FBB92D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80</w:t>
            </w:r>
          </w:p>
        </w:tc>
        <w:tc>
          <w:tcPr>
            <w:tcW w:w="498" w:type="pct"/>
            <w:tcBorders>
              <w:top w:val="nil"/>
              <w:left w:val="nil"/>
              <w:bottom w:val="nil"/>
              <w:right w:val="nil"/>
            </w:tcBorders>
            <w:shd w:val="clear" w:color="000000" w:fill="FFFFFF"/>
            <w:noWrap/>
            <w:vAlign w:val="center"/>
            <w:hideMark/>
          </w:tcPr>
          <w:p w14:paraId="49FE521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nil"/>
              <w:left w:val="nil"/>
              <w:bottom w:val="nil"/>
              <w:right w:val="nil"/>
            </w:tcBorders>
            <w:shd w:val="clear" w:color="000000" w:fill="FFFFFF"/>
            <w:noWrap/>
            <w:vAlign w:val="center"/>
            <w:hideMark/>
          </w:tcPr>
          <w:p w14:paraId="3C9F6D4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9" w:type="pct"/>
            <w:tcBorders>
              <w:top w:val="nil"/>
              <w:left w:val="nil"/>
              <w:bottom w:val="nil"/>
              <w:right w:val="single" w:sz="4" w:space="0" w:color="auto"/>
            </w:tcBorders>
            <w:shd w:val="clear" w:color="000000" w:fill="FFFFFF"/>
            <w:noWrap/>
            <w:vAlign w:val="center"/>
            <w:hideMark/>
          </w:tcPr>
          <w:p w14:paraId="4B31315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393E8E94"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684</w:t>
            </w:r>
          </w:p>
        </w:tc>
        <w:tc>
          <w:tcPr>
            <w:tcW w:w="496" w:type="pct"/>
            <w:tcBorders>
              <w:top w:val="nil"/>
              <w:left w:val="single" w:sz="4" w:space="0" w:color="auto"/>
              <w:bottom w:val="nil"/>
              <w:right w:val="single" w:sz="4" w:space="0" w:color="auto"/>
            </w:tcBorders>
            <w:shd w:val="clear" w:color="000000" w:fill="FFFFFF"/>
            <w:noWrap/>
            <w:vAlign w:val="center"/>
            <w:hideMark/>
          </w:tcPr>
          <w:p w14:paraId="2FF0918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r>
      <w:tr w:rsidR="00732FB5" w:rsidRPr="00650EE4" w14:paraId="6634B478" w14:textId="77777777" w:rsidTr="00271F93">
        <w:tc>
          <w:tcPr>
            <w:tcW w:w="1017" w:type="pct"/>
            <w:tcBorders>
              <w:top w:val="nil"/>
              <w:left w:val="single" w:sz="4" w:space="0" w:color="auto"/>
              <w:bottom w:val="nil"/>
              <w:right w:val="nil"/>
            </w:tcBorders>
            <w:shd w:val="clear" w:color="000000" w:fill="FFFFFF"/>
            <w:noWrap/>
            <w:vAlign w:val="center"/>
            <w:hideMark/>
          </w:tcPr>
          <w:p w14:paraId="6178222D"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98" w:type="pct"/>
            <w:tcBorders>
              <w:top w:val="nil"/>
              <w:left w:val="single" w:sz="4" w:space="0" w:color="auto"/>
              <w:bottom w:val="nil"/>
              <w:right w:val="nil"/>
            </w:tcBorders>
            <w:shd w:val="clear" w:color="000000" w:fill="FFFFFF"/>
            <w:noWrap/>
            <w:vAlign w:val="center"/>
            <w:hideMark/>
          </w:tcPr>
          <w:p w14:paraId="58C3F6F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702</w:t>
            </w:r>
          </w:p>
        </w:tc>
        <w:tc>
          <w:tcPr>
            <w:tcW w:w="498" w:type="pct"/>
            <w:tcBorders>
              <w:top w:val="nil"/>
              <w:left w:val="nil"/>
              <w:bottom w:val="nil"/>
              <w:right w:val="nil"/>
            </w:tcBorders>
            <w:shd w:val="clear" w:color="000000" w:fill="FFFFFF"/>
            <w:noWrap/>
            <w:vAlign w:val="center"/>
            <w:hideMark/>
          </w:tcPr>
          <w:p w14:paraId="70E6E4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129</w:t>
            </w:r>
          </w:p>
        </w:tc>
        <w:tc>
          <w:tcPr>
            <w:tcW w:w="498" w:type="pct"/>
            <w:tcBorders>
              <w:top w:val="nil"/>
              <w:left w:val="nil"/>
              <w:bottom w:val="nil"/>
              <w:right w:val="nil"/>
            </w:tcBorders>
            <w:shd w:val="clear" w:color="000000" w:fill="FFFFFF"/>
            <w:noWrap/>
            <w:vAlign w:val="center"/>
            <w:hideMark/>
          </w:tcPr>
          <w:p w14:paraId="64E59D9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147</w:t>
            </w:r>
          </w:p>
        </w:tc>
        <w:tc>
          <w:tcPr>
            <w:tcW w:w="498" w:type="pct"/>
            <w:tcBorders>
              <w:top w:val="nil"/>
              <w:left w:val="nil"/>
              <w:bottom w:val="nil"/>
              <w:right w:val="nil"/>
            </w:tcBorders>
            <w:shd w:val="clear" w:color="000000" w:fill="FFFFFF"/>
            <w:noWrap/>
            <w:vAlign w:val="center"/>
            <w:hideMark/>
          </w:tcPr>
          <w:p w14:paraId="57DA839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8" w:type="pct"/>
            <w:tcBorders>
              <w:top w:val="nil"/>
              <w:left w:val="nil"/>
              <w:bottom w:val="nil"/>
              <w:right w:val="nil"/>
            </w:tcBorders>
            <w:shd w:val="clear" w:color="000000" w:fill="FFFFFF"/>
            <w:noWrap/>
            <w:vAlign w:val="center"/>
            <w:hideMark/>
          </w:tcPr>
          <w:p w14:paraId="74F70F5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9" w:type="pct"/>
            <w:tcBorders>
              <w:top w:val="nil"/>
              <w:left w:val="nil"/>
              <w:bottom w:val="nil"/>
              <w:right w:val="single" w:sz="4" w:space="0" w:color="auto"/>
            </w:tcBorders>
            <w:shd w:val="clear" w:color="000000" w:fill="FFFFFF"/>
            <w:noWrap/>
            <w:vAlign w:val="center"/>
            <w:hideMark/>
          </w:tcPr>
          <w:p w14:paraId="45158F5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67290918"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991</w:t>
            </w:r>
          </w:p>
        </w:tc>
        <w:tc>
          <w:tcPr>
            <w:tcW w:w="496" w:type="pct"/>
            <w:tcBorders>
              <w:top w:val="nil"/>
              <w:left w:val="single" w:sz="4" w:space="0" w:color="auto"/>
              <w:bottom w:val="nil"/>
              <w:right w:val="single" w:sz="4" w:space="0" w:color="auto"/>
            </w:tcBorders>
            <w:shd w:val="clear" w:color="000000" w:fill="FFFFFF"/>
            <w:noWrap/>
            <w:vAlign w:val="center"/>
            <w:hideMark/>
          </w:tcPr>
          <w:p w14:paraId="2C4ECDA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4C3307" w:rsidRPr="00650EE4" w14:paraId="67EEDCCA" w14:textId="77777777" w:rsidTr="00271F93">
        <w:tc>
          <w:tcPr>
            <w:tcW w:w="101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EFC44E6"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98" w:type="pct"/>
            <w:tcBorders>
              <w:top w:val="single" w:sz="4" w:space="0" w:color="auto"/>
              <w:left w:val="nil"/>
              <w:bottom w:val="single" w:sz="4" w:space="0" w:color="auto"/>
              <w:right w:val="nil"/>
            </w:tcBorders>
            <w:shd w:val="clear" w:color="000000" w:fill="F2F2F2"/>
            <w:noWrap/>
            <w:vAlign w:val="center"/>
            <w:hideMark/>
          </w:tcPr>
          <w:p w14:paraId="7EEBF53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622</w:t>
            </w:r>
          </w:p>
        </w:tc>
        <w:tc>
          <w:tcPr>
            <w:tcW w:w="498" w:type="pct"/>
            <w:tcBorders>
              <w:top w:val="single" w:sz="4" w:space="0" w:color="auto"/>
              <w:left w:val="nil"/>
              <w:bottom w:val="single" w:sz="4" w:space="0" w:color="auto"/>
              <w:right w:val="nil"/>
            </w:tcBorders>
            <w:shd w:val="clear" w:color="000000" w:fill="F2F2F2"/>
            <w:noWrap/>
            <w:vAlign w:val="center"/>
            <w:hideMark/>
          </w:tcPr>
          <w:p w14:paraId="3D2AE14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95</w:t>
            </w:r>
          </w:p>
        </w:tc>
        <w:tc>
          <w:tcPr>
            <w:tcW w:w="498" w:type="pct"/>
            <w:tcBorders>
              <w:top w:val="single" w:sz="4" w:space="0" w:color="auto"/>
              <w:left w:val="nil"/>
              <w:bottom w:val="single" w:sz="4" w:space="0" w:color="auto"/>
              <w:right w:val="nil"/>
            </w:tcBorders>
            <w:shd w:val="clear" w:color="000000" w:fill="F2F2F2"/>
            <w:noWrap/>
            <w:vAlign w:val="center"/>
            <w:hideMark/>
          </w:tcPr>
          <w:p w14:paraId="311201F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w:t>
            </w:r>
          </w:p>
        </w:tc>
        <w:tc>
          <w:tcPr>
            <w:tcW w:w="498" w:type="pct"/>
            <w:tcBorders>
              <w:top w:val="single" w:sz="4" w:space="0" w:color="auto"/>
              <w:left w:val="nil"/>
              <w:bottom w:val="single" w:sz="4" w:space="0" w:color="auto"/>
              <w:right w:val="nil"/>
            </w:tcBorders>
            <w:shd w:val="clear" w:color="000000" w:fill="F2F2F2"/>
            <w:noWrap/>
            <w:vAlign w:val="center"/>
            <w:hideMark/>
          </w:tcPr>
          <w:p w14:paraId="1AE1528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w:t>
            </w:r>
          </w:p>
        </w:tc>
        <w:tc>
          <w:tcPr>
            <w:tcW w:w="498" w:type="pct"/>
            <w:tcBorders>
              <w:top w:val="single" w:sz="4" w:space="0" w:color="auto"/>
              <w:left w:val="nil"/>
              <w:bottom w:val="single" w:sz="4" w:space="0" w:color="auto"/>
              <w:right w:val="nil"/>
            </w:tcBorders>
            <w:shd w:val="clear" w:color="000000" w:fill="F2F2F2"/>
            <w:noWrap/>
            <w:vAlign w:val="center"/>
            <w:hideMark/>
          </w:tcPr>
          <w:p w14:paraId="5127753B"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w:t>
            </w:r>
          </w:p>
        </w:tc>
        <w:tc>
          <w:tcPr>
            <w:tcW w:w="499" w:type="pct"/>
            <w:tcBorders>
              <w:top w:val="single" w:sz="4" w:space="0" w:color="auto"/>
              <w:left w:val="nil"/>
              <w:bottom w:val="single" w:sz="4" w:space="0" w:color="auto"/>
              <w:right w:val="single" w:sz="4" w:space="0" w:color="auto"/>
            </w:tcBorders>
            <w:shd w:val="clear" w:color="000000" w:fill="F2F2F2"/>
            <w:noWrap/>
            <w:vAlign w:val="center"/>
            <w:hideMark/>
          </w:tcPr>
          <w:p w14:paraId="71C94C1F"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98" w:type="pct"/>
            <w:tcBorders>
              <w:top w:val="single" w:sz="4" w:space="0" w:color="auto"/>
              <w:left w:val="nil"/>
              <w:bottom w:val="single" w:sz="4" w:space="0" w:color="auto"/>
              <w:right w:val="nil"/>
            </w:tcBorders>
            <w:shd w:val="clear" w:color="000000" w:fill="F2F2F2"/>
            <w:noWrap/>
            <w:vAlign w:val="center"/>
            <w:hideMark/>
          </w:tcPr>
          <w:p w14:paraId="527A2C7C"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873</w:t>
            </w:r>
          </w:p>
        </w:tc>
        <w:tc>
          <w:tcPr>
            <w:tcW w:w="49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09683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34%</w:t>
            </w:r>
          </w:p>
        </w:tc>
      </w:tr>
      <w:tr w:rsidR="00732FB5" w:rsidRPr="00650EE4" w14:paraId="50DA400B" w14:textId="77777777" w:rsidTr="00271F93">
        <w:tc>
          <w:tcPr>
            <w:tcW w:w="1017" w:type="pct"/>
            <w:tcBorders>
              <w:top w:val="nil"/>
              <w:left w:val="single" w:sz="4" w:space="0" w:color="auto"/>
              <w:bottom w:val="nil"/>
              <w:right w:val="nil"/>
            </w:tcBorders>
            <w:shd w:val="clear" w:color="000000" w:fill="FFFFFF"/>
            <w:noWrap/>
            <w:vAlign w:val="center"/>
            <w:hideMark/>
          </w:tcPr>
          <w:p w14:paraId="51992C0A"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98" w:type="pct"/>
            <w:tcBorders>
              <w:top w:val="nil"/>
              <w:left w:val="single" w:sz="4" w:space="0" w:color="auto"/>
              <w:bottom w:val="nil"/>
              <w:right w:val="nil"/>
            </w:tcBorders>
            <w:shd w:val="clear" w:color="000000" w:fill="FFFFFF"/>
            <w:noWrap/>
            <w:vAlign w:val="center"/>
            <w:hideMark/>
          </w:tcPr>
          <w:p w14:paraId="7C3B62B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334</w:t>
            </w:r>
          </w:p>
        </w:tc>
        <w:tc>
          <w:tcPr>
            <w:tcW w:w="498" w:type="pct"/>
            <w:tcBorders>
              <w:top w:val="nil"/>
              <w:left w:val="nil"/>
              <w:bottom w:val="nil"/>
              <w:right w:val="nil"/>
            </w:tcBorders>
            <w:shd w:val="clear" w:color="000000" w:fill="FFFFFF"/>
            <w:noWrap/>
            <w:vAlign w:val="center"/>
            <w:hideMark/>
          </w:tcPr>
          <w:p w14:paraId="0D479DB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0F7B349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w:t>
            </w:r>
          </w:p>
        </w:tc>
        <w:tc>
          <w:tcPr>
            <w:tcW w:w="498" w:type="pct"/>
            <w:tcBorders>
              <w:top w:val="nil"/>
              <w:left w:val="nil"/>
              <w:bottom w:val="nil"/>
              <w:right w:val="nil"/>
            </w:tcBorders>
            <w:shd w:val="clear" w:color="000000" w:fill="FFFFFF"/>
            <w:noWrap/>
            <w:vAlign w:val="center"/>
            <w:hideMark/>
          </w:tcPr>
          <w:p w14:paraId="049DC2B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98" w:type="pct"/>
            <w:tcBorders>
              <w:top w:val="nil"/>
              <w:left w:val="nil"/>
              <w:bottom w:val="nil"/>
              <w:right w:val="nil"/>
            </w:tcBorders>
            <w:shd w:val="clear" w:color="000000" w:fill="FFFFFF"/>
            <w:noWrap/>
            <w:vAlign w:val="center"/>
            <w:hideMark/>
          </w:tcPr>
          <w:p w14:paraId="334417B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564D84A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8" w:type="pct"/>
            <w:tcBorders>
              <w:top w:val="nil"/>
              <w:left w:val="nil"/>
              <w:bottom w:val="nil"/>
              <w:right w:val="nil"/>
            </w:tcBorders>
            <w:shd w:val="clear" w:color="000000" w:fill="FFFFFF"/>
            <w:noWrap/>
            <w:vAlign w:val="center"/>
            <w:hideMark/>
          </w:tcPr>
          <w:p w14:paraId="76E763C4"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413</w:t>
            </w:r>
          </w:p>
        </w:tc>
        <w:tc>
          <w:tcPr>
            <w:tcW w:w="496" w:type="pct"/>
            <w:tcBorders>
              <w:top w:val="nil"/>
              <w:left w:val="single" w:sz="4" w:space="0" w:color="auto"/>
              <w:bottom w:val="nil"/>
              <w:right w:val="single" w:sz="4" w:space="0" w:color="auto"/>
            </w:tcBorders>
            <w:shd w:val="clear" w:color="000000" w:fill="FFFFFF"/>
            <w:noWrap/>
            <w:vAlign w:val="center"/>
            <w:hideMark/>
          </w:tcPr>
          <w:p w14:paraId="25EB59A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732FB5" w:rsidRPr="00650EE4" w14:paraId="286FA30A" w14:textId="77777777" w:rsidTr="00271F93">
        <w:tc>
          <w:tcPr>
            <w:tcW w:w="1017" w:type="pct"/>
            <w:tcBorders>
              <w:top w:val="nil"/>
              <w:left w:val="single" w:sz="4" w:space="0" w:color="auto"/>
              <w:bottom w:val="nil"/>
              <w:right w:val="nil"/>
            </w:tcBorders>
            <w:shd w:val="clear" w:color="000000" w:fill="FFFFFF"/>
            <w:noWrap/>
            <w:vAlign w:val="center"/>
            <w:hideMark/>
          </w:tcPr>
          <w:p w14:paraId="5FD7B591"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98" w:type="pct"/>
            <w:tcBorders>
              <w:top w:val="nil"/>
              <w:left w:val="single" w:sz="4" w:space="0" w:color="auto"/>
              <w:bottom w:val="nil"/>
              <w:right w:val="nil"/>
            </w:tcBorders>
            <w:shd w:val="clear" w:color="000000" w:fill="FFFFFF"/>
            <w:noWrap/>
            <w:vAlign w:val="center"/>
            <w:hideMark/>
          </w:tcPr>
          <w:p w14:paraId="715D782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101</w:t>
            </w:r>
          </w:p>
        </w:tc>
        <w:tc>
          <w:tcPr>
            <w:tcW w:w="498" w:type="pct"/>
            <w:tcBorders>
              <w:top w:val="nil"/>
              <w:left w:val="nil"/>
              <w:bottom w:val="nil"/>
              <w:right w:val="nil"/>
            </w:tcBorders>
            <w:shd w:val="clear" w:color="000000" w:fill="FFFFFF"/>
            <w:noWrap/>
            <w:vAlign w:val="center"/>
            <w:hideMark/>
          </w:tcPr>
          <w:p w14:paraId="29D67EE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8" w:type="pct"/>
            <w:tcBorders>
              <w:top w:val="nil"/>
              <w:left w:val="nil"/>
              <w:bottom w:val="nil"/>
              <w:right w:val="nil"/>
            </w:tcBorders>
            <w:shd w:val="clear" w:color="000000" w:fill="FFFFFF"/>
            <w:noWrap/>
            <w:vAlign w:val="center"/>
            <w:hideMark/>
          </w:tcPr>
          <w:p w14:paraId="24CE3F0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98" w:type="pct"/>
            <w:tcBorders>
              <w:top w:val="nil"/>
              <w:left w:val="nil"/>
              <w:bottom w:val="nil"/>
              <w:right w:val="nil"/>
            </w:tcBorders>
            <w:shd w:val="clear" w:color="000000" w:fill="FFFFFF"/>
            <w:noWrap/>
            <w:vAlign w:val="center"/>
            <w:hideMark/>
          </w:tcPr>
          <w:p w14:paraId="1753C4D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498" w:type="pct"/>
            <w:tcBorders>
              <w:top w:val="nil"/>
              <w:left w:val="nil"/>
              <w:bottom w:val="nil"/>
              <w:right w:val="nil"/>
            </w:tcBorders>
            <w:shd w:val="clear" w:color="000000" w:fill="FFFFFF"/>
            <w:noWrap/>
            <w:vAlign w:val="center"/>
            <w:hideMark/>
          </w:tcPr>
          <w:p w14:paraId="03B3E7F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27D5CE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072697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139</w:t>
            </w:r>
          </w:p>
        </w:tc>
        <w:tc>
          <w:tcPr>
            <w:tcW w:w="496" w:type="pct"/>
            <w:tcBorders>
              <w:top w:val="nil"/>
              <w:left w:val="single" w:sz="4" w:space="0" w:color="auto"/>
              <w:bottom w:val="nil"/>
              <w:right w:val="single" w:sz="4" w:space="0" w:color="auto"/>
            </w:tcBorders>
            <w:shd w:val="clear" w:color="000000" w:fill="FFFFFF"/>
            <w:noWrap/>
            <w:vAlign w:val="center"/>
            <w:hideMark/>
          </w:tcPr>
          <w:p w14:paraId="5045FF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732FB5" w:rsidRPr="00650EE4" w14:paraId="31919395" w14:textId="77777777" w:rsidTr="00271F93">
        <w:tc>
          <w:tcPr>
            <w:tcW w:w="1017" w:type="pct"/>
            <w:tcBorders>
              <w:top w:val="nil"/>
              <w:left w:val="single" w:sz="4" w:space="0" w:color="auto"/>
              <w:bottom w:val="nil"/>
              <w:right w:val="nil"/>
            </w:tcBorders>
            <w:shd w:val="clear" w:color="000000" w:fill="FFFFFF"/>
            <w:noWrap/>
            <w:vAlign w:val="center"/>
            <w:hideMark/>
          </w:tcPr>
          <w:p w14:paraId="5DCE79C4"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98" w:type="pct"/>
            <w:tcBorders>
              <w:top w:val="nil"/>
              <w:left w:val="single" w:sz="4" w:space="0" w:color="auto"/>
              <w:bottom w:val="nil"/>
              <w:right w:val="nil"/>
            </w:tcBorders>
            <w:shd w:val="clear" w:color="000000" w:fill="FFFFFF"/>
            <w:noWrap/>
            <w:vAlign w:val="center"/>
            <w:hideMark/>
          </w:tcPr>
          <w:p w14:paraId="55224AD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498" w:type="pct"/>
            <w:tcBorders>
              <w:top w:val="nil"/>
              <w:left w:val="nil"/>
              <w:bottom w:val="nil"/>
              <w:right w:val="nil"/>
            </w:tcBorders>
            <w:shd w:val="clear" w:color="000000" w:fill="FFFFFF"/>
            <w:noWrap/>
            <w:vAlign w:val="center"/>
            <w:hideMark/>
          </w:tcPr>
          <w:p w14:paraId="1F9CFC0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nil"/>
              <w:left w:val="nil"/>
              <w:bottom w:val="nil"/>
              <w:right w:val="nil"/>
            </w:tcBorders>
            <w:shd w:val="clear" w:color="000000" w:fill="FFFFFF"/>
            <w:noWrap/>
            <w:vAlign w:val="center"/>
            <w:hideMark/>
          </w:tcPr>
          <w:p w14:paraId="647CA88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98" w:type="pct"/>
            <w:tcBorders>
              <w:top w:val="nil"/>
              <w:left w:val="nil"/>
              <w:bottom w:val="nil"/>
              <w:right w:val="nil"/>
            </w:tcBorders>
            <w:shd w:val="clear" w:color="000000" w:fill="FFFFFF"/>
            <w:noWrap/>
            <w:vAlign w:val="center"/>
            <w:hideMark/>
          </w:tcPr>
          <w:p w14:paraId="1D5A07A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21E5606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77AF054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1069B2A2"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w:t>
            </w:r>
          </w:p>
        </w:tc>
        <w:tc>
          <w:tcPr>
            <w:tcW w:w="496" w:type="pct"/>
            <w:tcBorders>
              <w:top w:val="nil"/>
              <w:left w:val="single" w:sz="4" w:space="0" w:color="auto"/>
              <w:bottom w:val="nil"/>
              <w:right w:val="single" w:sz="4" w:space="0" w:color="auto"/>
            </w:tcBorders>
            <w:shd w:val="clear" w:color="000000" w:fill="FFFFFF"/>
            <w:noWrap/>
            <w:vAlign w:val="center"/>
            <w:hideMark/>
          </w:tcPr>
          <w:p w14:paraId="41F6BBD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r>
      <w:tr w:rsidR="00732FB5" w:rsidRPr="00650EE4" w14:paraId="0E39CD1E" w14:textId="77777777" w:rsidTr="00271F93">
        <w:tc>
          <w:tcPr>
            <w:tcW w:w="1017" w:type="pct"/>
            <w:tcBorders>
              <w:top w:val="nil"/>
              <w:left w:val="single" w:sz="4" w:space="0" w:color="auto"/>
              <w:bottom w:val="nil"/>
              <w:right w:val="nil"/>
            </w:tcBorders>
            <w:shd w:val="clear" w:color="000000" w:fill="FFFFFF"/>
            <w:noWrap/>
            <w:vAlign w:val="center"/>
            <w:hideMark/>
          </w:tcPr>
          <w:p w14:paraId="38D7787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98" w:type="pct"/>
            <w:tcBorders>
              <w:top w:val="nil"/>
              <w:left w:val="single" w:sz="4" w:space="0" w:color="auto"/>
              <w:bottom w:val="nil"/>
              <w:right w:val="nil"/>
            </w:tcBorders>
            <w:shd w:val="clear" w:color="000000" w:fill="FFFFFF"/>
            <w:noWrap/>
            <w:vAlign w:val="center"/>
            <w:hideMark/>
          </w:tcPr>
          <w:p w14:paraId="3D3670E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498" w:type="pct"/>
            <w:tcBorders>
              <w:top w:val="nil"/>
              <w:left w:val="nil"/>
              <w:bottom w:val="nil"/>
              <w:right w:val="nil"/>
            </w:tcBorders>
            <w:shd w:val="clear" w:color="000000" w:fill="FFFFFF"/>
            <w:noWrap/>
            <w:vAlign w:val="center"/>
            <w:hideMark/>
          </w:tcPr>
          <w:p w14:paraId="6C966D2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498" w:type="pct"/>
            <w:tcBorders>
              <w:top w:val="nil"/>
              <w:left w:val="nil"/>
              <w:bottom w:val="nil"/>
              <w:right w:val="nil"/>
            </w:tcBorders>
            <w:shd w:val="clear" w:color="000000" w:fill="FFFFFF"/>
            <w:noWrap/>
            <w:vAlign w:val="center"/>
            <w:hideMark/>
          </w:tcPr>
          <w:p w14:paraId="61E5D7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498" w:type="pct"/>
            <w:tcBorders>
              <w:top w:val="nil"/>
              <w:left w:val="nil"/>
              <w:bottom w:val="nil"/>
              <w:right w:val="nil"/>
            </w:tcBorders>
            <w:shd w:val="clear" w:color="000000" w:fill="FFFFFF"/>
            <w:noWrap/>
            <w:vAlign w:val="center"/>
            <w:hideMark/>
          </w:tcPr>
          <w:p w14:paraId="498504F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nil"/>
              <w:left w:val="nil"/>
              <w:bottom w:val="nil"/>
              <w:right w:val="nil"/>
            </w:tcBorders>
            <w:shd w:val="clear" w:color="000000" w:fill="FFFFFF"/>
            <w:noWrap/>
            <w:vAlign w:val="center"/>
            <w:hideMark/>
          </w:tcPr>
          <w:p w14:paraId="0F1BAE2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9" w:type="pct"/>
            <w:tcBorders>
              <w:top w:val="nil"/>
              <w:left w:val="nil"/>
              <w:bottom w:val="nil"/>
              <w:right w:val="single" w:sz="4" w:space="0" w:color="auto"/>
            </w:tcBorders>
            <w:shd w:val="clear" w:color="000000" w:fill="FFFFFF"/>
            <w:noWrap/>
            <w:vAlign w:val="center"/>
            <w:hideMark/>
          </w:tcPr>
          <w:p w14:paraId="33F4D9C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3533EF8"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104</w:t>
            </w:r>
          </w:p>
        </w:tc>
        <w:tc>
          <w:tcPr>
            <w:tcW w:w="496" w:type="pct"/>
            <w:tcBorders>
              <w:top w:val="nil"/>
              <w:left w:val="single" w:sz="4" w:space="0" w:color="auto"/>
              <w:bottom w:val="nil"/>
              <w:right w:val="single" w:sz="4" w:space="0" w:color="auto"/>
            </w:tcBorders>
            <w:shd w:val="clear" w:color="000000" w:fill="FFFFFF"/>
            <w:noWrap/>
            <w:vAlign w:val="center"/>
            <w:hideMark/>
          </w:tcPr>
          <w:p w14:paraId="3BA3993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r>
      <w:tr w:rsidR="00732FB5" w:rsidRPr="00650EE4" w14:paraId="1E5BA2E7" w14:textId="77777777" w:rsidTr="00271F93">
        <w:tc>
          <w:tcPr>
            <w:tcW w:w="1017" w:type="pct"/>
            <w:tcBorders>
              <w:top w:val="nil"/>
              <w:left w:val="single" w:sz="4" w:space="0" w:color="auto"/>
              <w:bottom w:val="nil"/>
              <w:right w:val="nil"/>
            </w:tcBorders>
            <w:shd w:val="clear" w:color="000000" w:fill="FFFFFF"/>
            <w:noWrap/>
            <w:vAlign w:val="center"/>
            <w:hideMark/>
          </w:tcPr>
          <w:p w14:paraId="5A7EAE3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98" w:type="pct"/>
            <w:tcBorders>
              <w:top w:val="nil"/>
              <w:left w:val="single" w:sz="4" w:space="0" w:color="auto"/>
              <w:bottom w:val="nil"/>
              <w:right w:val="nil"/>
            </w:tcBorders>
            <w:shd w:val="clear" w:color="000000" w:fill="FFFFFF"/>
            <w:noWrap/>
            <w:vAlign w:val="center"/>
            <w:hideMark/>
          </w:tcPr>
          <w:p w14:paraId="48EE8EA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02E2B31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498" w:type="pct"/>
            <w:tcBorders>
              <w:top w:val="nil"/>
              <w:left w:val="nil"/>
              <w:bottom w:val="nil"/>
              <w:right w:val="nil"/>
            </w:tcBorders>
            <w:shd w:val="clear" w:color="000000" w:fill="FFFFFF"/>
            <w:noWrap/>
            <w:vAlign w:val="center"/>
            <w:hideMark/>
          </w:tcPr>
          <w:p w14:paraId="4DFD7C2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498" w:type="pct"/>
            <w:tcBorders>
              <w:top w:val="nil"/>
              <w:left w:val="nil"/>
              <w:bottom w:val="nil"/>
              <w:right w:val="nil"/>
            </w:tcBorders>
            <w:shd w:val="clear" w:color="000000" w:fill="FFFFFF"/>
            <w:noWrap/>
            <w:vAlign w:val="center"/>
            <w:hideMark/>
          </w:tcPr>
          <w:p w14:paraId="1091D01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44E9225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3ED6C2C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4FFB83C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43</w:t>
            </w:r>
          </w:p>
        </w:tc>
        <w:tc>
          <w:tcPr>
            <w:tcW w:w="496" w:type="pct"/>
            <w:tcBorders>
              <w:top w:val="nil"/>
              <w:left w:val="single" w:sz="4" w:space="0" w:color="auto"/>
              <w:bottom w:val="nil"/>
              <w:right w:val="single" w:sz="4" w:space="0" w:color="auto"/>
            </w:tcBorders>
            <w:shd w:val="clear" w:color="000000" w:fill="FFFFFF"/>
            <w:noWrap/>
            <w:vAlign w:val="center"/>
            <w:hideMark/>
          </w:tcPr>
          <w:p w14:paraId="7EFBD65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r>
      <w:tr w:rsidR="00732FB5" w:rsidRPr="00650EE4" w14:paraId="03B64DC0" w14:textId="77777777" w:rsidTr="00271F93">
        <w:tc>
          <w:tcPr>
            <w:tcW w:w="1017" w:type="pct"/>
            <w:tcBorders>
              <w:top w:val="nil"/>
              <w:left w:val="single" w:sz="4" w:space="0" w:color="auto"/>
              <w:bottom w:val="nil"/>
              <w:right w:val="nil"/>
            </w:tcBorders>
            <w:shd w:val="clear" w:color="000000" w:fill="FFFFFF"/>
            <w:noWrap/>
            <w:vAlign w:val="center"/>
            <w:hideMark/>
          </w:tcPr>
          <w:p w14:paraId="3C8527C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98" w:type="pct"/>
            <w:tcBorders>
              <w:top w:val="nil"/>
              <w:left w:val="single" w:sz="4" w:space="0" w:color="auto"/>
              <w:bottom w:val="nil"/>
              <w:right w:val="nil"/>
            </w:tcBorders>
            <w:shd w:val="clear" w:color="000000" w:fill="FFFFFF"/>
            <w:noWrap/>
            <w:vAlign w:val="center"/>
            <w:hideMark/>
          </w:tcPr>
          <w:p w14:paraId="5B54999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98" w:type="pct"/>
            <w:tcBorders>
              <w:top w:val="nil"/>
              <w:left w:val="nil"/>
              <w:bottom w:val="nil"/>
              <w:right w:val="nil"/>
            </w:tcBorders>
            <w:shd w:val="clear" w:color="000000" w:fill="FFFFFF"/>
            <w:noWrap/>
            <w:vAlign w:val="center"/>
            <w:hideMark/>
          </w:tcPr>
          <w:p w14:paraId="5794556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98" w:type="pct"/>
            <w:tcBorders>
              <w:top w:val="nil"/>
              <w:left w:val="nil"/>
              <w:bottom w:val="nil"/>
              <w:right w:val="nil"/>
            </w:tcBorders>
            <w:shd w:val="clear" w:color="000000" w:fill="FFFFFF"/>
            <w:noWrap/>
            <w:vAlign w:val="center"/>
            <w:hideMark/>
          </w:tcPr>
          <w:p w14:paraId="709DF2D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498" w:type="pct"/>
            <w:tcBorders>
              <w:top w:val="nil"/>
              <w:left w:val="nil"/>
              <w:bottom w:val="nil"/>
              <w:right w:val="nil"/>
            </w:tcBorders>
            <w:shd w:val="clear" w:color="000000" w:fill="FFFFFF"/>
            <w:noWrap/>
            <w:vAlign w:val="center"/>
            <w:hideMark/>
          </w:tcPr>
          <w:p w14:paraId="7679FD7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nil"/>
              <w:left w:val="nil"/>
              <w:bottom w:val="nil"/>
              <w:right w:val="nil"/>
            </w:tcBorders>
            <w:shd w:val="clear" w:color="000000" w:fill="FFFFFF"/>
            <w:noWrap/>
            <w:vAlign w:val="center"/>
            <w:hideMark/>
          </w:tcPr>
          <w:p w14:paraId="40FCC21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99" w:type="pct"/>
            <w:tcBorders>
              <w:top w:val="nil"/>
              <w:left w:val="nil"/>
              <w:bottom w:val="nil"/>
              <w:right w:val="single" w:sz="4" w:space="0" w:color="auto"/>
            </w:tcBorders>
            <w:shd w:val="clear" w:color="000000" w:fill="FFFFFF"/>
            <w:noWrap/>
            <w:vAlign w:val="center"/>
            <w:hideMark/>
          </w:tcPr>
          <w:p w14:paraId="3BAE2DA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2419C525"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w:t>
            </w:r>
          </w:p>
        </w:tc>
        <w:tc>
          <w:tcPr>
            <w:tcW w:w="496" w:type="pct"/>
            <w:tcBorders>
              <w:top w:val="nil"/>
              <w:left w:val="single" w:sz="4" w:space="0" w:color="auto"/>
              <w:bottom w:val="nil"/>
              <w:right w:val="single" w:sz="4" w:space="0" w:color="auto"/>
            </w:tcBorders>
            <w:shd w:val="clear" w:color="000000" w:fill="FFFFFF"/>
            <w:noWrap/>
            <w:vAlign w:val="center"/>
            <w:hideMark/>
          </w:tcPr>
          <w:p w14:paraId="0BACEAB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732FB5" w:rsidRPr="00650EE4" w14:paraId="4723D8E6" w14:textId="77777777" w:rsidTr="00271F93">
        <w:tc>
          <w:tcPr>
            <w:tcW w:w="1017" w:type="pct"/>
            <w:tcBorders>
              <w:top w:val="nil"/>
              <w:left w:val="single" w:sz="4" w:space="0" w:color="auto"/>
              <w:bottom w:val="nil"/>
              <w:right w:val="nil"/>
            </w:tcBorders>
            <w:shd w:val="clear" w:color="000000" w:fill="FFFFFF"/>
            <w:noWrap/>
            <w:vAlign w:val="center"/>
            <w:hideMark/>
          </w:tcPr>
          <w:p w14:paraId="03D1603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98" w:type="pct"/>
            <w:tcBorders>
              <w:top w:val="nil"/>
              <w:left w:val="single" w:sz="4" w:space="0" w:color="auto"/>
              <w:bottom w:val="nil"/>
              <w:right w:val="nil"/>
            </w:tcBorders>
            <w:shd w:val="clear" w:color="000000" w:fill="FFFFFF"/>
            <w:noWrap/>
            <w:vAlign w:val="center"/>
            <w:hideMark/>
          </w:tcPr>
          <w:p w14:paraId="12660BC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498" w:type="pct"/>
            <w:tcBorders>
              <w:top w:val="nil"/>
              <w:left w:val="nil"/>
              <w:bottom w:val="nil"/>
              <w:right w:val="nil"/>
            </w:tcBorders>
            <w:shd w:val="clear" w:color="000000" w:fill="FFFFFF"/>
            <w:noWrap/>
            <w:vAlign w:val="center"/>
            <w:hideMark/>
          </w:tcPr>
          <w:p w14:paraId="6FDEC8A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nil"/>
              <w:right w:val="nil"/>
            </w:tcBorders>
            <w:shd w:val="clear" w:color="000000" w:fill="FFFFFF"/>
            <w:noWrap/>
            <w:vAlign w:val="center"/>
            <w:hideMark/>
          </w:tcPr>
          <w:p w14:paraId="50C4961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8" w:type="pct"/>
            <w:tcBorders>
              <w:top w:val="nil"/>
              <w:left w:val="nil"/>
              <w:bottom w:val="nil"/>
              <w:right w:val="nil"/>
            </w:tcBorders>
            <w:shd w:val="clear" w:color="000000" w:fill="FFFFFF"/>
            <w:noWrap/>
            <w:vAlign w:val="center"/>
            <w:hideMark/>
          </w:tcPr>
          <w:p w14:paraId="20BDFD7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33B2932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64C42AD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54AC549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w:t>
            </w:r>
          </w:p>
        </w:tc>
        <w:tc>
          <w:tcPr>
            <w:tcW w:w="496" w:type="pct"/>
            <w:tcBorders>
              <w:top w:val="nil"/>
              <w:left w:val="single" w:sz="4" w:space="0" w:color="auto"/>
              <w:bottom w:val="nil"/>
              <w:right w:val="single" w:sz="4" w:space="0" w:color="auto"/>
            </w:tcBorders>
            <w:shd w:val="clear" w:color="000000" w:fill="FFFFFF"/>
            <w:noWrap/>
            <w:vAlign w:val="center"/>
            <w:hideMark/>
          </w:tcPr>
          <w:p w14:paraId="72371B6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3F46F3BC" w14:textId="77777777" w:rsidTr="00271F93">
        <w:tc>
          <w:tcPr>
            <w:tcW w:w="1017" w:type="pct"/>
            <w:tcBorders>
              <w:top w:val="nil"/>
              <w:left w:val="single" w:sz="4" w:space="0" w:color="auto"/>
              <w:bottom w:val="nil"/>
              <w:right w:val="nil"/>
            </w:tcBorders>
            <w:shd w:val="clear" w:color="000000" w:fill="FFFFFF"/>
            <w:noWrap/>
            <w:vAlign w:val="center"/>
            <w:hideMark/>
          </w:tcPr>
          <w:p w14:paraId="4544C14D"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98" w:type="pct"/>
            <w:tcBorders>
              <w:top w:val="nil"/>
              <w:left w:val="single" w:sz="4" w:space="0" w:color="auto"/>
              <w:bottom w:val="nil"/>
              <w:right w:val="nil"/>
            </w:tcBorders>
            <w:shd w:val="clear" w:color="000000" w:fill="FFFFFF"/>
            <w:noWrap/>
            <w:vAlign w:val="center"/>
            <w:hideMark/>
          </w:tcPr>
          <w:p w14:paraId="79B8875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98" w:type="pct"/>
            <w:tcBorders>
              <w:top w:val="nil"/>
              <w:left w:val="nil"/>
              <w:bottom w:val="nil"/>
              <w:right w:val="nil"/>
            </w:tcBorders>
            <w:shd w:val="clear" w:color="000000" w:fill="FFFFFF"/>
            <w:noWrap/>
            <w:vAlign w:val="center"/>
            <w:hideMark/>
          </w:tcPr>
          <w:p w14:paraId="372C91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98" w:type="pct"/>
            <w:tcBorders>
              <w:top w:val="nil"/>
              <w:left w:val="nil"/>
              <w:bottom w:val="nil"/>
              <w:right w:val="nil"/>
            </w:tcBorders>
            <w:shd w:val="clear" w:color="000000" w:fill="FFFFFF"/>
            <w:noWrap/>
            <w:vAlign w:val="center"/>
            <w:hideMark/>
          </w:tcPr>
          <w:p w14:paraId="43E93CC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nil"/>
              <w:right w:val="nil"/>
            </w:tcBorders>
            <w:shd w:val="clear" w:color="000000" w:fill="FFFFFF"/>
            <w:noWrap/>
            <w:vAlign w:val="center"/>
            <w:hideMark/>
          </w:tcPr>
          <w:p w14:paraId="65CC612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6CB8C38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nil"/>
              <w:right w:val="single" w:sz="4" w:space="0" w:color="auto"/>
            </w:tcBorders>
            <w:shd w:val="clear" w:color="000000" w:fill="FFFFFF"/>
            <w:noWrap/>
            <w:vAlign w:val="center"/>
            <w:hideMark/>
          </w:tcPr>
          <w:p w14:paraId="073102A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nil"/>
              <w:right w:val="nil"/>
            </w:tcBorders>
            <w:shd w:val="clear" w:color="000000" w:fill="FFFFFF"/>
            <w:noWrap/>
            <w:vAlign w:val="center"/>
            <w:hideMark/>
          </w:tcPr>
          <w:p w14:paraId="7E3EC183"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w:t>
            </w:r>
          </w:p>
        </w:tc>
        <w:tc>
          <w:tcPr>
            <w:tcW w:w="496" w:type="pct"/>
            <w:tcBorders>
              <w:top w:val="nil"/>
              <w:left w:val="single" w:sz="4" w:space="0" w:color="auto"/>
              <w:bottom w:val="nil"/>
              <w:right w:val="single" w:sz="4" w:space="0" w:color="auto"/>
            </w:tcBorders>
            <w:shd w:val="clear" w:color="000000" w:fill="FFFFFF"/>
            <w:noWrap/>
            <w:vAlign w:val="center"/>
            <w:hideMark/>
          </w:tcPr>
          <w:p w14:paraId="4892B56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7EAFC806" w14:textId="77777777" w:rsidTr="00271F93">
        <w:tc>
          <w:tcPr>
            <w:tcW w:w="1017" w:type="pct"/>
            <w:tcBorders>
              <w:top w:val="nil"/>
              <w:left w:val="single" w:sz="4" w:space="0" w:color="auto"/>
              <w:bottom w:val="nil"/>
              <w:right w:val="nil"/>
            </w:tcBorders>
            <w:shd w:val="clear" w:color="000000" w:fill="FFFFFF"/>
            <w:noWrap/>
            <w:vAlign w:val="center"/>
            <w:hideMark/>
          </w:tcPr>
          <w:p w14:paraId="200144A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98" w:type="pct"/>
            <w:tcBorders>
              <w:top w:val="nil"/>
              <w:left w:val="single" w:sz="4" w:space="0" w:color="auto"/>
              <w:bottom w:val="single" w:sz="4" w:space="0" w:color="auto"/>
              <w:right w:val="nil"/>
            </w:tcBorders>
            <w:shd w:val="clear" w:color="000000" w:fill="FFFFFF"/>
            <w:noWrap/>
            <w:vAlign w:val="center"/>
            <w:hideMark/>
          </w:tcPr>
          <w:p w14:paraId="6BB4380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98" w:type="pct"/>
            <w:tcBorders>
              <w:top w:val="nil"/>
              <w:left w:val="nil"/>
              <w:bottom w:val="single" w:sz="4" w:space="0" w:color="auto"/>
              <w:right w:val="nil"/>
            </w:tcBorders>
            <w:shd w:val="clear" w:color="000000" w:fill="FFFFFF"/>
            <w:noWrap/>
            <w:vAlign w:val="center"/>
            <w:hideMark/>
          </w:tcPr>
          <w:p w14:paraId="7BD536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98" w:type="pct"/>
            <w:tcBorders>
              <w:top w:val="nil"/>
              <w:left w:val="nil"/>
              <w:bottom w:val="single" w:sz="4" w:space="0" w:color="auto"/>
              <w:right w:val="nil"/>
            </w:tcBorders>
            <w:shd w:val="clear" w:color="000000" w:fill="FFFFFF"/>
            <w:noWrap/>
            <w:vAlign w:val="center"/>
            <w:hideMark/>
          </w:tcPr>
          <w:p w14:paraId="3DA0AE5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498" w:type="pct"/>
            <w:tcBorders>
              <w:top w:val="nil"/>
              <w:left w:val="nil"/>
              <w:bottom w:val="single" w:sz="4" w:space="0" w:color="auto"/>
              <w:right w:val="nil"/>
            </w:tcBorders>
            <w:shd w:val="clear" w:color="000000" w:fill="FFFFFF"/>
            <w:noWrap/>
            <w:vAlign w:val="center"/>
            <w:hideMark/>
          </w:tcPr>
          <w:p w14:paraId="584E4CA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single" w:sz="4" w:space="0" w:color="auto"/>
              <w:right w:val="nil"/>
            </w:tcBorders>
            <w:shd w:val="clear" w:color="000000" w:fill="FFFFFF"/>
            <w:noWrap/>
            <w:vAlign w:val="center"/>
            <w:hideMark/>
          </w:tcPr>
          <w:p w14:paraId="4EDF69D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nil"/>
              <w:left w:val="nil"/>
              <w:bottom w:val="single" w:sz="4" w:space="0" w:color="auto"/>
              <w:right w:val="single" w:sz="4" w:space="0" w:color="auto"/>
            </w:tcBorders>
            <w:shd w:val="clear" w:color="000000" w:fill="FFFFFF"/>
            <w:noWrap/>
            <w:vAlign w:val="center"/>
            <w:hideMark/>
          </w:tcPr>
          <w:p w14:paraId="6BEC991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nil"/>
              <w:left w:val="nil"/>
              <w:bottom w:val="single" w:sz="4" w:space="0" w:color="auto"/>
              <w:right w:val="nil"/>
            </w:tcBorders>
            <w:shd w:val="clear" w:color="000000" w:fill="FFFFFF"/>
            <w:noWrap/>
            <w:vAlign w:val="center"/>
            <w:hideMark/>
          </w:tcPr>
          <w:p w14:paraId="6EBA4A2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w:t>
            </w:r>
          </w:p>
        </w:tc>
        <w:tc>
          <w:tcPr>
            <w:tcW w:w="496" w:type="pct"/>
            <w:tcBorders>
              <w:top w:val="nil"/>
              <w:left w:val="single" w:sz="4" w:space="0" w:color="auto"/>
              <w:bottom w:val="single" w:sz="4" w:space="0" w:color="auto"/>
              <w:right w:val="single" w:sz="4" w:space="0" w:color="auto"/>
            </w:tcBorders>
            <w:shd w:val="clear" w:color="000000" w:fill="FFFFFF"/>
            <w:noWrap/>
            <w:vAlign w:val="center"/>
            <w:hideMark/>
          </w:tcPr>
          <w:p w14:paraId="7BBC37A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732FB5" w:rsidRPr="00650EE4" w14:paraId="23FD8294" w14:textId="77777777" w:rsidTr="00271F93">
        <w:tc>
          <w:tcPr>
            <w:tcW w:w="1017" w:type="pct"/>
            <w:tcBorders>
              <w:top w:val="single" w:sz="4" w:space="0" w:color="auto"/>
              <w:left w:val="single" w:sz="4" w:space="0" w:color="auto"/>
              <w:bottom w:val="nil"/>
              <w:right w:val="single" w:sz="4" w:space="0" w:color="auto"/>
            </w:tcBorders>
            <w:shd w:val="clear" w:color="000000" w:fill="FFFFFF"/>
            <w:noWrap/>
            <w:vAlign w:val="center"/>
            <w:hideMark/>
          </w:tcPr>
          <w:p w14:paraId="38997D99" w14:textId="77777777" w:rsidR="00732FB5" w:rsidRPr="00650EE4" w:rsidRDefault="00732FB5" w:rsidP="00732FB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98" w:type="pct"/>
            <w:tcBorders>
              <w:top w:val="nil"/>
              <w:left w:val="nil"/>
              <w:bottom w:val="nil"/>
              <w:right w:val="nil"/>
            </w:tcBorders>
            <w:shd w:val="clear" w:color="000000" w:fill="FFFFFF"/>
            <w:noWrap/>
            <w:vAlign w:val="center"/>
            <w:hideMark/>
          </w:tcPr>
          <w:p w14:paraId="7374345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1.679</w:t>
            </w:r>
          </w:p>
        </w:tc>
        <w:tc>
          <w:tcPr>
            <w:tcW w:w="498" w:type="pct"/>
            <w:tcBorders>
              <w:top w:val="nil"/>
              <w:left w:val="nil"/>
              <w:bottom w:val="nil"/>
              <w:right w:val="nil"/>
            </w:tcBorders>
            <w:shd w:val="clear" w:color="000000" w:fill="FFFFFF"/>
            <w:noWrap/>
            <w:vAlign w:val="center"/>
            <w:hideMark/>
          </w:tcPr>
          <w:p w14:paraId="4C07EA2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457</w:t>
            </w:r>
          </w:p>
        </w:tc>
        <w:tc>
          <w:tcPr>
            <w:tcW w:w="498" w:type="pct"/>
            <w:tcBorders>
              <w:top w:val="nil"/>
              <w:left w:val="nil"/>
              <w:bottom w:val="nil"/>
              <w:right w:val="nil"/>
            </w:tcBorders>
            <w:shd w:val="clear" w:color="000000" w:fill="FFFFFF"/>
            <w:noWrap/>
            <w:vAlign w:val="center"/>
            <w:hideMark/>
          </w:tcPr>
          <w:p w14:paraId="66AFD022"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356</w:t>
            </w:r>
          </w:p>
        </w:tc>
        <w:tc>
          <w:tcPr>
            <w:tcW w:w="498" w:type="pct"/>
            <w:tcBorders>
              <w:top w:val="nil"/>
              <w:left w:val="nil"/>
              <w:bottom w:val="nil"/>
              <w:right w:val="nil"/>
            </w:tcBorders>
            <w:shd w:val="clear" w:color="000000" w:fill="FFFFFF"/>
            <w:noWrap/>
            <w:vAlign w:val="center"/>
            <w:hideMark/>
          </w:tcPr>
          <w:p w14:paraId="01D09800"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42</w:t>
            </w:r>
          </w:p>
        </w:tc>
        <w:tc>
          <w:tcPr>
            <w:tcW w:w="498" w:type="pct"/>
            <w:tcBorders>
              <w:top w:val="nil"/>
              <w:left w:val="nil"/>
              <w:bottom w:val="nil"/>
              <w:right w:val="nil"/>
            </w:tcBorders>
            <w:shd w:val="clear" w:color="000000" w:fill="FFFFFF"/>
            <w:noWrap/>
            <w:vAlign w:val="center"/>
            <w:hideMark/>
          </w:tcPr>
          <w:p w14:paraId="3A63DDD7"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w:t>
            </w:r>
          </w:p>
        </w:tc>
        <w:tc>
          <w:tcPr>
            <w:tcW w:w="499" w:type="pct"/>
            <w:tcBorders>
              <w:top w:val="nil"/>
              <w:left w:val="nil"/>
              <w:bottom w:val="nil"/>
              <w:right w:val="single" w:sz="4" w:space="0" w:color="auto"/>
            </w:tcBorders>
            <w:shd w:val="clear" w:color="000000" w:fill="FFFFFF"/>
            <w:noWrap/>
            <w:vAlign w:val="center"/>
            <w:hideMark/>
          </w:tcPr>
          <w:p w14:paraId="2442508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w:t>
            </w:r>
          </w:p>
        </w:tc>
        <w:tc>
          <w:tcPr>
            <w:tcW w:w="498" w:type="pct"/>
            <w:tcBorders>
              <w:top w:val="nil"/>
              <w:left w:val="nil"/>
              <w:bottom w:val="nil"/>
              <w:right w:val="nil"/>
            </w:tcBorders>
            <w:shd w:val="clear" w:color="000000" w:fill="FFFFFF"/>
            <w:noWrap/>
            <w:vAlign w:val="center"/>
            <w:hideMark/>
          </w:tcPr>
          <w:p w14:paraId="1F18509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2.547</w:t>
            </w:r>
          </w:p>
        </w:tc>
        <w:tc>
          <w:tcPr>
            <w:tcW w:w="496" w:type="pct"/>
            <w:tcBorders>
              <w:top w:val="nil"/>
              <w:left w:val="single" w:sz="4" w:space="0" w:color="auto"/>
              <w:bottom w:val="nil"/>
              <w:right w:val="single" w:sz="4" w:space="0" w:color="auto"/>
            </w:tcBorders>
            <w:shd w:val="clear" w:color="000000" w:fill="FFFFFF"/>
            <w:noWrap/>
            <w:vAlign w:val="center"/>
            <w:hideMark/>
          </w:tcPr>
          <w:p w14:paraId="02D7986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732FB5" w:rsidRPr="00650EE4" w14:paraId="5E8CC4F7" w14:textId="77777777" w:rsidTr="00271F93">
        <w:tc>
          <w:tcPr>
            <w:tcW w:w="101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872A3B"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98" w:type="pct"/>
            <w:tcBorders>
              <w:top w:val="single" w:sz="4" w:space="0" w:color="auto"/>
              <w:left w:val="nil"/>
              <w:bottom w:val="single" w:sz="4" w:space="0" w:color="auto"/>
              <w:right w:val="nil"/>
            </w:tcBorders>
            <w:shd w:val="clear" w:color="000000" w:fill="FFFFFF"/>
            <w:noWrap/>
            <w:vAlign w:val="center"/>
            <w:hideMark/>
          </w:tcPr>
          <w:p w14:paraId="0F6BE85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498" w:type="pct"/>
            <w:tcBorders>
              <w:top w:val="single" w:sz="4" w:space="0" w:color="auto"/>
              <w:left w:val="nil"/>
              <w:bottom w:val="single" w:sz="4" w:space="0" w:color="auto"/>
              <w:right w:val="nil"/>
            </w:tcBorders>
            <w:shd w:val="clear" w:color="000000" w:fill="FFFFFF"/>
            <w:noWrap/>
            <w:vAlign w:val="center"/>
            <w:hideMark/>
          </w:tcPr>
          <w:p w14:paraId="39BCE8F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498" w:type="pct"/>
            <w:tcBorders>
              <w:top w:val="single" w:sz="4" w:space="0" w:color="auto"/>
              <w:left w:val="nil"/>
              <w:bottom w:val="single" w:sz="4" w:space="0" w:color="auto"/>
              <w:right w:val="nil"/>
            </w:tcBorders>
            <w:shd w:val="clear" w:color="000000" w:fill="FFFFFF"/>
            <w:noWrap/>
            <w:vAlign w:val="center"/>
            <w:hideMark/>
          </w:tcPr>
          <w:p w14:paraId="1F42D8C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498" w:type="pct"/>
            <w:tcBorders>
              <w:top w:val="single" w:sz="4" w:space="0" w:color="auto"/>
              <w:left w:val="nil"/>
              <w:bottom w:val="single" w:sz="4" w:space="0" w:color="auto"/>
              <w:right w:val="nil"/>
            </w:tcBorders>
            <w:shd w:val="clear" w:color="000000" w:fill="FFFFFF"/>
            <w:noWrap/>
            <w:vAlign w:val="center"/>
            <w:hideMark/>
          </w:tcPr>
          <w:p w14:paraId="6283EE5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98" w:type="pct"/>
            <w:tcBorders>
              <w:top w:val="single" w:sz="4" w:space="0" w:color="auto"/>
              <w:left w:val="nil"/>
              <w:bottom w:val="single" w:sz="4" w:space="0" w:color="auto"/>
              <w:right w:val="nil"/>
            </w:tcBorders>
            <w:shd w:val="clear" w:color="000000" w:fill="FFFFFF"/>
            <w:noWrap/>
            <w:vAlign w:val="center"/>
            <w:hideMark/>
          </w:tcPr>
          <w:p w14:paraId="7A5C40F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9" w:type="pct"/>
            <w:tcBorders>
              <w:top w:val="single" w:sz="4" w:space="0" w:color="auto"/>
              <w:left w:val="nil"/>
              <w:bottom w:val="single" w:sz="4" w:space="0" w:color="auto"/>
              <w:right w:val="single" w:sz="4" w:space="0" w:color="auto"/>
            </w:tcBorders>
            <w:shd w:val="clear" w:color="000000" w:fill="FFFFFF"/>
            <w:noWrap/>
            <w:vAlign w:val="center"/>
            <w:hideMark/>
          </w:tcPr>
          <w:p w14:paraId="40356C7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98" w:type="pct"/>
            <w:tcBorders>
              <w:top w:val="single" w:sz="4" w:space="0" w:color="auto"/>
              <w:left w:val="nil"/>
              <w:bottom w:val="single" w:sz="4" w:space="0" w:color="auto"/>
              <w:right w:val="nil"/>
            </w:tcBorders>
            <w:shd w:val="clear" w:color="000000" w:fill="FFFFFF"/>
            <w:noWrap/>
            <w:vAlign w:val="center"/>
            <w:hideMark/>
          </w:tcPr>
          <w:p w14:paraId="5C8F138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9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D1D5F"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787C21E" w14:textId="529CC1D5" w:rsidR="004C3307" w:rsidRPr="00650EE4" w:rsidRDefault="00C53D30" w:rsidP="00C53D30">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w:t>
      </w:r>
      <w:r w:rsidR="004C3307" w:rsidRPr="00650EE4">
        <w:rPr>
          <w:rFonts w:ascii="Times New Roman" w:eastAsia="Times New Roman" w:hAnsi="Times New Roman"/>
          <w:i/>
          <w:color w:val="000000" w:themeColor="text1"/>
          <w:sz w:val="20"/>
          <w:szCs w:val="20"/>
        </w:rPr>
        <w:t xml:space="preserve">tudijos </w:t>
      </w:r>
      <w:r w:rsidR="006D65CB">
        <w:rPr>
          <w:rFonts w:ascii="Times New Roman" w:hAnsi="Times New Roman"/>
          <w:i/>
          <w:iCs/>
          <w:color w:val="auto"/>
          <w:sz w:val="20"/>
          <w:szCs w:val="20"/>
        </w:rPr>
        <w:t>Lietuvos ilgalaikei renovacijos strategijai parengti</w:t>
      </w:r>
      <w:r w:rsidR="006D65CB" w:rsidRPr="00650EE4">
        <w:rPr>
          <w:rFonts w:ascii="Times New Roman" w:eastAsia="Times New Roman" w:hAnsi="Times New Roman"/>
          <w:i/>
          <w:color w:val="000000" w:themeColor="text1"/>
          <w:sz w:val="20"/>
          <w:szCs w:val="20"/>
        </w:rPr>
        <w:t xml:space="preserve"> </w:t>
      </w:r>
      <w:r w:rsidR="004C3307" w:rsidRPr="00650EE4">
        <w:rPr>
          <w:rFonts w:ascii="Times New Roman" w:eastAsia="Times New Roman" w:hAnsi="Times New Roman"/>
          <w:i/>
          <w:color w:val="000000" w:themeColor="text1"/>
          <w:sz w:val="20"/>
          <w:szCs w:val="20"/>
        </w:rPr>
        <w:t>autoriai</w:t>
      </w:r>
    </w:p>
    <w:p w14:paraId="124D0621" w14:textId="050AB351" w:rsidR="00F86E9E" w:rsidRPr="00650EE4" w:rsidRDefault="00F86E9E">
      <w:pPr>
        <w:spacing w:line="240" w:lineRule="auto"/>
        <w:jc w:val="both"/>
        <w:rPr>
          <w:rFonts w:ascii="Times New Roman" w:hAnsi="Times New Roman"/>
          <w:color w:val="000000" w:themeColor="text1"/>
          <w:szCs w:val="22"/>
        </w:rPr>
      </w:pPr>
    </w:p>
    <w:p w14:paraId="005A13E0" w14:textId="77777777" w:rsidR="008B41F1" w:rsidRPr="00650EE4" w:rsidRDefault="008B41F1" w:rsidP="008B41F1">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AB930B9" w14:textId="21172499" w:rsidR="008B41F1" w:rsidRPr="00650EE4" w:rsidRDefault="003E0C4E" w:rsidP="008B41F1">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8B41F1" w:rsidRPr="00650EE4">
        <w:rPr>
          <w:rFonts w:ascii="Times New Roman" w:hAnsi="Times New Roman"/>
          <w:color w:val="000000" w:themeColor="text1"/>
          <w:szCs w:val="22"/>
        </w:rPr>
        <w:t>astatų fondo elektros energijos vartojimas yra 11 kartų mažesnis u</w:t>
      </w:r>
      <w:r>
        <w:rPr>
          <w:rFonts w:ascii="Times New Roman" w:hAnsi="Times New Roman"/>
          <w:color w:val="000000" w:themeColor="text1"/>
          <w:szCs w:val="22"/>
        </w:rPr>
        <w:t>ž šiluminės energijos vartojimą;</w:t>
      </w:r>
      <w:r w:rsidR="008B41F1" w:rsidRPr="00650EE4">
        <w:rPr>
          <w:rFonts w:ascii="Times New Roman" w:hAnsi="Times New Roman"/>
          <w:color w:val="000000" w:themeColor="text1"/>
          <w:szCs w:val="22"/>
        </w:rPr>
        <w:t xml:space="preserve"> </w:t>
      </w:r>
    </w:p>
    <w:p w14:paraId="2296E0D1" w14:textId="3196C4BB" w:rsidR="008B41F1" w:rsidRPr="00650EE4" w:rsidRDefault="003E0C4E" w:rsidP="00DE1BBF">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t</w:t>
      </w:r>
      <w:r w:rsidR="008B41F1" w:rsidRPr="00650EE4">
        <w:rPr>
          <w:rFonts w:ascii="Times New Roman" w:hAnsi="Times New Roman"/>
          <w:color w:val="000000" w:themeColor="text1"/>
          <w:szCs w:val="22"/>
        </w:rPr>
        <w:t xml:space="preserve">radicinės renovacijos priemonės </w:t>
      </w:r>
      <w:r w:rsidR="00462BD8" w:rsidRPr="00650EE4">
        <w:rPr>
          <w:rFonts w:ascii="Times New Roman" w:hAnsi="Times New Roman"/>
          <w:color w:val="000000" w:themeColor="text1"/>
          <w:szCs w:val="22"/>
        </w:rPr>
        <w:t>reikšmingiausiai lemia šiluminės energijos vartojimo mažėjimą</w:t>
      </w:r>
      <w:r w:rsidR="00724D08" w:rsidRPr="00650EE4">
        <w:rPr>
          <w:rFonts w:ascii="Times New Roman" w:hAnsi="Times New Roman"/>
          <w:color w:val="000000" w:themeColor="text1"/>
          <w:szCs w:val="22"/>
        </w:rPr>
        <w:t>.</w:t>
      </w:r>
    </w:p>
    <w:p w14:paraId="3079DD66" w14:textId="77777777" w:rsidR="008B41F1" w:rsidRPr="00650EE4" w:rsidRDefault="008B41F1">
      <w:pPr>
        <w:spacing w:line="240" w:lineRule="auto"/>
        <w:jc w:val="both"/>
        <w:rPr>
          <w:rFonts w:ascii="Times New Roman" w:hAnsi="Times New Roman"/>
          <w:color w:val="000000" w:themeColor="text1"/>
          <w:szCs w:val="22"/>
        </w:rPr>
      </w:pPr>
    </w:p>
    <w:p w14:paraId="46CDAE9B" w14:textId="1F8ABB26" w:rsidR="008B41F1" w:rsidRPr="00650EE4" w:rsidRDefault="008B41F1" w:rsidP="008B41F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Paveiks</w:t>
      </w:r>
      <w:r w:rsidR="007A52B6">
        <w:rPr>
          <w:rFonts w:ascii="Times New Roman" w:hAnsi="Times New Roman"/>
          <w:color w:val="000000" w:themeColor="text1"/>
          <w:szCs w:val="22"/>
        </w:rPr>
        <w:t>le žemiau pateikiami agreguoti p</w:t>
      </w:r>
      <w:r w:rsidRPr="00650EE4">
        <w:rPr>
          <w:rFonts w:ascii="Times New Roman" w:hAnsi="Times New Roman"/>
          <w:color w:val="000000" w:themeColor="text1"/>
          <w:szCs w:val="22"/>
        </w:rPr>
        <w:t>astatų fondo duomenys pagal patiektos energijos vartojimą.</w:t>
      </w:r>
    </w:p>
    <w:p w14:paraId="489F8017" w14:textId="006FF275" w:rsidR="00586DBA" w:rsidRPr="00650EE4" w:rsidRDefault="00586DBA" w:rsidP="0099057C">
      <w:pPr>
        <w:rPr>
          <w:rFonts w:ascii="Times New Roman" w:eastAsiaTheme="minorHAnsi" w:hAnsi="Times New Roman"/>
          <w:bCs/>
          <w:i/>
          <w:color w:val="000000" w:themeColor="text1"/>
          <w:sz w:val="20"/>
          <w:szCs w:val="20"/>
        </w:rPr>
      </w:pPr>
    </w:p>
    <w:p w14:paraId="14CBC8F9" w14:textId="6FD478DD" w:rsidR="008B41F1"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57" w:name="_Toc59094258"/>
      <w:r w:rsidR="00F25C65">
        <w:t>9</w:t>
      </w:r>
      <w:r w:rsidRPr="00650EE4">
        <w:rPr>
          <w:noProof w:val="0"/>
        </w:rPr>
        <w:fldChar w:fldCharType="end"/>
      </w:r>
      <w:r w:rsidR="008B41F1" w:rsidRPr="00650EE4">
        <w:rPr>
          <w:noProof w:val="0"/>
        </w:rPr>
        <w:t xml:space="preserve"> paveikslas. Pastatų fondo šiluminės energijos vartojimas (agreguotas) (</w:t>
      </w:r>
      <w:proofErr w:type="spellStart"/>
      <w:r w:rsidR="008B41F1" w:rsidRPr="00650EE4">
        <w:rPr>
          <w:noProof w:val="0"/>
        </w:rPr>
        <w:t>GWh</w:t>
      </w:r>
      <w:proofErr w:type="spellEnd"/>
      <w:r w:rsidR="008B41F1" w:rsidRPr="00650EE4">
        <w:rPr>
          <w:noProof w:val="0"/>
        </w:rPr>
        <w:t>/metus)</w:t>
      </w:r>
      <w:bookmarkEnd w:id="5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316"/>
      </w:tblGrid>
      <w:tr w:rsidR="008B41F1" w:rsidRPr="00650EE4" w14:paraId="1DDF6AC3" w14:textId="77777777" w:rsidTr="008B41F1">
        <w:tc>
          <w:tcPr>
            <w:tcW w:w="5068" w:type="dxa"/>
          </w:tcPr>
          <w:p w14:paraId="68E9A7A9" w14:textId="4AA299EA" w:rsidR="008B41F1" w:rsidRPr="00650EE4" w:rsidRDefault="008B41F1" w:rsidP="00DE1BBF">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5AF788C3" wp14:editId="4DFBAC53">
                  <wp:extent cx="3057099" cy="1929130"/>
                  <wp:effectExtent l="0" t="0" r="10160" b="13970"/>
                  <wp:docPr id="21" name="Chart 2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CD58C31F-4E41-457D-9B1B-BA06304C4A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136" w:type="dxa"/>
          </w:tcPr>
          <w:p w14:paraId="66D1E8DE" w14:textId="608C4897" w:rsidR="008B41F1" w:rsidRPr="00650EE4" w:rsidRDefault="00DA63F0" w:rsidP="00DE1BBF">
            <w:pPr>
              <w:rPr>
                <w:rFonts w:ascii="Times New Roman" w:eastAsia="Times New Roman" w:hAnsi="Times New Roman"/>
                <w:color w:val="222222"/>
                <w:sz w:val="24"/>
                <w:szCs w:val="24"/>
              </w:rPr>
            </w:pPr>
            <w:r w:rsidRPr="00650EE4">
              <w:rPr>
                <w:rFonts w:ascii="Times New Roman" w:hAnsi="Times New Roman"/>
                <w:noProof/>
                <w:lang w:eastAsia="lt-LT"/>
              </w:rPr>
              <w:drawing>
                <wp:inline distT="0" distB="0" distL="0" distR="0" wp14:anchorId="00C9C384" wp14:editId="65C8BB5D">
                  <wp:extent cx="3233319" cy="1929130"/>
                  <wp:effectExtent l="0" t="0" r="5715" b="13970"/>
                  <wp:docPr id="36" name="Chart 3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569896-8E01-40B3-BA6A-915289F278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1F0F73B6" w14:textId="36CE0884" w:rsidR="008B41F1" w:rsidRPr="00650EE4" w:rsidRDefault="008B41F1" w:rsidP="008B41F1">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6D65CB">
        <w:rPr>
          <w:rFonts w:ascii="Times New Roman" w:eastAsia="Times New Roman" w:hAnsi="Times New Roman"/>
          <w:i/>
          <w:color w:val="000000" w:themeColor="text1"/>
          <w:sz w:val="20"/>
          <w:szCs w:val="28"/>
        </w:rPr>
        <w:t xml:space="preserve"> </w:t>
      </w:r>
      <w:r w:rsidR="006D65C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6ECC0FE1" w14:textId="77777777" w:rsidR="008B41F1" w:rsidRPr="00650EE4" w:rsidRDefault="008B41F1" w:rsidP="00885C16">
      <w:pPr>
        <w:jc w:val="both"/>
        <w:rPr>
          <w:rFonts w:ascii="Times New Roman" w:eastAsia="Times New Roman" w:hAnsi="Times New Roman"/>
          <w:b/>
          <w:bCs/>
          <w:color w:val="000000" w:themeColor="text1"/>
          <w:kern w:val="32"/>
          <w:szCs w:val="22"/>
        </w:rPr>
      </w:pPr>
    </w:p>
    <w:p w14:paraId="3CE29C78" w14:textId="77777777" w:rsidR="001447D2" w:rsidRPr="00650EE4" w:rsidRDefault="001447D2" w:rsidP="00885C16">
      <w:pPr>
        <w:jc w:val="both"/>
        <w:rPr>
          <w:rFonts w:ascii="Times New Roman" w:eastAsia="Times New Roman" w:hAnsi="Times New Roman"/>
          <w:b/>
          <w:bCs/>
          <w:color w:val="000000" w:themeColor="text1"/>
          <w:kern w:val="32"/>
          <w:szCs w:val="22"/>
        </w:rPr>
      </w:pPr>
    </w:p>
    <w:p w14:paraId="7F15106C" w14:textId="6198551C" w:rsidR="00F86E9E" w:rsidRPr="00650EE4" w:rsidRDefault="00F86E9E" w:rsidP="00885C16">
      <w:pPr>
        <w:pStyle w:val="Antrastes31"/>
        <w:numPr>
          <w:ilvl w:val="2"/>
          <w:numId w:val="4"/>
        </w:numPr>
        <w:spacing w:before="0"/>
        <w:ind w:left="720" w:hanging="720"/>
        <w:rPr>
          <w:rFonts w:ascii="Times New Roman" w:hAnsi="Times New Roman"/>
          <w:color w:val="000000" w:themeColor="text1"/>
          <w:sz w:val="24"/>
          <w:szCs w:val="24"/>
          <w:lang w:val="lt-LT"/>
        </w:rPr>
      </w:pPr>
      <w:bookmarkStart w:id="58" w:name="_Toc59107513"/>
      <w:r w:rsidRPr="00650EE4">
        <w:rPr>
          <w:rFonts w:ascii="Times New Roman" w:hAnsi="Times New Roman"/>
          <w:color w:val="000000" w:themeColor="text1"/>
          <w:sz w:val="24"/>
          <w:szCs w:val="24"/>
          <w:lang w:val="lt-LT"/>
        </w:rPr>
        <w:t>Pirminės energijos vartojimas</w:t>
      </w:r>
      <w:bookmarkEnd w:id="58"/>
    </w:p>
    <w:p w14:paraId="26D7E810" w14:textId="4B6AEB52" w:rsidR="008E5F7F" w:rsidRPr="00650EE4" w:rsidRDefault="00BB7886" w:rsidP="00711B91">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w:t>
      </w:r>
      <w:r w:rsidR="008E5F7F" w:rsidRPr="00650EE4">
        <w:rPr>
          <w:rFonts w:ascii="Times New Roman" w:hAnsi="Times New Roman"/>
          <w:color w:val="000000" w:themeColor="text1"/>
          <w:szCs w:val="22"/>
          <w:lang w:val="lt-LT"/>
        </w:rPr>
        <w:t xml:space="preserve">ndo pirminės energijos vartojimo </w:t>
      </w:r>
      <w:r w:rsidR="007A14CE" w:rsidRPr="00650EE4">
        <w:rPr>
          <w:rFonts w:ascii="Times New Roman" w:hAnsi="Times New Roman"/>
          <w:color w:val="000000" w:themeColor="text1"/>
          <w:szCs w:val="22"/>
          <w:lang w:val="lt-LT"/>
        </w:rPr>
        <w:t>duomenys buvo apskaičiuoti kiekvienam pastatų etalonui, naudojant duomenis apie</w:t>
      </w:r>
      <w:r w:rsidR="008E5F7F" w:rsidRPr="00650EE4">
        <w:rPr>
          <w:rFonts w:ascii="Times New Roman" w:hAnsi="Times New Roman"/>
          <w:color w:val="000000" w:themeColor="text1"/>
          <w:szCs w:val="22"/>
          <w:lang w:val="lt-LT"/>
        </w:rPr>
        <w:t>:</w:t>
      </w:r>
    </w:p>
    <w:p w14:paraId="170C2C97" w14:textId="04763912" w:rsidR="008B4642" w:rsidRPr="00650EE4" w:rsidRDefault="003E0C4E" w:rsidP="008B4642">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š</w:t>
      </w:r>
      <w:r w:rsidR="00DF56FF" w:rsidRPr="00650EE4">
        <w:rPr>
          <w:rFonts w:ascii="Times New Roman" w:hAnsi="Times New Roman"/>
          <w:color w:val="000000" w:themeColor="text1"/>
          <w:szCs w:val="22"/>
        </w:rPr>
        <w:t xml:space="preserve">iluminės ir elektros </w:t>
      </w:r>
      <w:r w:rsidR="0070685C" w:rsidRPr="00650EE4">
        <w:rPr>
          <w:rFonts w:ascii="Times New Roman" w:hAnsi="Times New Roman"/>
          <w:color w:val="000000" w:themeColor="text1"/>
          <w:szCs w:val="22"/>
        </w:rPr>
        <w:t>e</w:t>
      </w:r>
      <w:r w:rsidR="008B4642" w:rsidRPr="00650EE4">
        <w:rPr>
          <w:rFonts w:ascii="Times New Roman" w:hAnsi="Times New Roman"/>
          <w:color w:val="000000" w:themeColor="text1"/>
          <w:szCs w:val="22"/>
        </w:rPr>
        <w:t xml:space="preserve">nergijos vartojimą (žr. </w:t>
      </w:r>
      <w:r w:rsidR="006D65CB">
        <w:rPr>
          <w:rFonts w:ascii="Times New Roman" w:hAnsi="Times New Roman"/>
          <w:color w:val="000000" w:themeColor="text1"/>
          <w:szCs w:val="22"/>
        </w:rPr>
        <w:t>1</w:t>
      </w:r>
      <w:r w:rsidR="008B4642" w:rsidRPr="00650EE4">
        <w:rPr>
          <w:rFonts w:ascii="Times New Roman" w:hAnsi="Times New Roman"/>
          <w:color w:val="000000" w:themeColor="text1"/>
          <w:szCs w:val="22"/>
        </w:rPr>
        <w:t>.2.2.-</w:t>
      </w:r>
      <w:r w:rsidR="006D65CB">
        <w:rPr>
          <w:rFonts w:ascii="Times New Roman" w:hAnsi="Times New Roman"/>
          <w:color w:val="000000" w:themeColor="text1"/>
          <w:szCs w:val="22"/>
        </w:rPr>
        <w:t>1</w:t>
      </w:r>
      <w:r>
        <w:rPr>
          <w:rFonts w:ascii="Times New Roman" w:hAnsi="Times New Roman"/>
          <w:color w:val="000000" w:themeColor="text1"/>
          <w:szCs w:val="22"/>
        </w:rPr>
        <w:t>.2.4. skyrius);</w:t>
      </w:r>
    </w:p>
    <w:p w14:paraId="4ABBA3C6" w14:textId="0E89CBF9" w:rsidR="008E5F7F" w:rsidRPr="00650EE4" w:rsidRDefault="003E0C4E"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B7886" w:rsidRPr="00650EE4">
        <w:rPr>
          <w:rFonts w:ascii="Times New Roman" w:hAnsi="Times New Roman"/>
          <w:color w:val="000000" w:themeColor="text1"/>
          <w:szCs w:val="22"/>
        </w:rPr>
        <w:t xml:space="preserve">irminį </w:t>
      </w:r>
      <w:r w:rsidR="008E5F7F" w:rsidRPr="00650EE4">
        <w:rPr>
          <w:rFonts w:ascii="Times New Roman" w:hAnsi="Times New Roman"/>
          <w:color w:val="000000" w:themeColor="text1"/>
          <w:szCs w:val="22"/>
        </w:rPr>
        <w:t xml:space="preserve">energijos šaltinį (kuro rūšį) t.y. </w:t>
      </w:r>
      <w:r w:rsidR="007A52B6">
        <w:rPr>
          <w:rFonts w:ascii="Times New Roman" w:hAnsi="Times New Roman"/>
          <w:color w:val="000000" w:themeColor="text1"/>
          <w:szCs w:val="22"/>
        </w:rPr>
        <w:t>p</w:t>
      </w:r>
      <w:r w:rsidR="00BB7886" w:rsidRPr="00650EE4">
        <w:rPr>
          <w:rFonts w:ascii="Times New Roman" w:hAnsi="Times New Roman"/>
          <w:color w:val="000000" w:themeColor="text1"/>
          <w:szCs w:val="22"/>
        </w:rPr>
        <w:t>astatų fondo energijos gamybos struktūrą</w:t>
      </w:r>
      <w:r w:rsidR="007A14CE" w:rsidRPr="00650EE4">
        <w:rPr>
          <w:rFonts w:ascii="Times New Roman" w:hAnsi="Times New Roman"/>
          <w:color w:val="000000" w:themeColor="text1"/>
          <w:szCs w:val="22"/>
        </w:rPr>
        <w:t xml:space="preserve"> (žr. žemiau)</w:t>
      </w:r>
      <w:r>
        <w:rPr>
          <w:rFonts w:ascii="Times New Roman" w:hAnsi="Times New Roman"/>
          <w:color w:val="000000" w:themeColor="text1"/>
          <w:szCs w:val="22"/>
        </w:rPr>
        <w:t>;</w:t>
      </w:r>
    </w:p>
    <w:p w14:paraId="635EAC03" w14:textId="025EA231" w:rsidR="008817DF" w:rsidRPr="00650EE4" w:rsidRDefault="003E0C4E" w:rsidP="008817DF">
      <w:pPr>
        <w:pStyle w:val="Pagrindinispaprastastekstas"/>
        <w:numPr>
          <w:ilvl w:val="0"/>
          <w:numId w:val="10"/>
        </w:numPr>
        <w:spacing w:before="120" w:after="60"/>
        <w:rPr>
          <w:rFonts w:ascii="Times New Roman" w:hAnsi="Times New Roman"/>
          <w:color w:val="000000" w:themeColor="text1"/>
          <w:szCs w:val="22"/>
        </w:rPr>
      </w:pPr>
      <w:r>
        <w:rPr>
          <w:rFonts w:ascii="Times New Roman" w:hAnsi="Times New Roman"/>
          <w:color w:val="000000" w:themeColor="text1"/>
          <w:szCs w:val="22"/>
        </w:rPr>
        <w:lastRenderedPageBreak/>
        <w:t>e</w:t>
      </w:r>
      <w:r w:rsidR="008817DF" w:rsidRPr="00650EE4">
        <w:rPr>
          <w:rFonts w:ascii="Times New Roman" w:hAnsi="Times New Roman"/>
          <w:color w:val="000000" w:themeColor="text1"/>
          <w:szCs w:val="22"/>
        </w:rPr>
        <w:t xml:space="preserve">nergijos gamybai naudojamų energijos šaltinių </w:t>
      </w:r>
      <w:r w:rsidR="00C367FD" w:rsidRPr="00650EE4">
        <w:rPr>
          <w:rFonts w:ascii="Times New Roman" w:hAnsi="Times New Roman"/>
          <w:color w:val="000000" w:themeColor="text1"/>
          <w:szCs w:val="22"/>
        </w:rPr>
        <w:t>neatsinaujinančios</w:t>
      </w:r>
      <w:r w:rsidR="008817DF" w:rsidRPr="00650EE4">
        <w:rPr>
          <w:rFonts w:ascii="Times New Roman" w:hAnsi="Times New Roman"/>
          <w:color w:val="000000" w:themeColor="text1"/>
          <w:szCs w:val="22"/>
        </w:rPr>
        <w:t xml:space="preserve"> pirminės energijos, atsinaujinančios pirminės energijos ir CO2 emisijų faktorius</w:t>
      </w:r>
      <w:r w:rsidR="007A14CE" w:rsidRPr="00650EE4">
        <w:rPr>
          <w:rFonts w:ascii="Times New Roman" w:hAnsi="Times New Roman"/>
          <w:color w:val="000000" w:themeColor="text1"/>
          <w:szCs w:val="22"/>
        </w:rPr>
        <w:t xml:space="preserve"> (žr. žemiau)</w:t>
      </w:r>
      <w:r w:rsidR="008817DF" w:rsidRPr="00650EE4">
        <w:rPr>
          <w:rFonts w:ascii="Times New Roman" w:hAnsi="Times New Roman"/>
          <w:color w:val="000000" w:themeColor="text1"/>
          <w:szCs w:val="22"/>
        </w:rPr>
        <w:t>.</w:t>
      </w:r>
    </w:p>
    <w:p w14:paraId="5D452D2A" w14:textId="77777777" w:rsidR="00BB7886" w:rsidRPr="00650EE4" w:rsidRDefault="00BB7886" w:rsidP="0047724C">
      <w:pPr>
        <w:pStyle w:val="BodyText"/>
        <w:jc w:val="both"/>
        <w:rPr>
          <w:rFonts w:ascii="Times New Roman" w:hAnsi="Times New Roman"/>
          <w:color w:val="000000" w:themeColor="text1"/>
          <w:szCs w:val="22"/>
          <w:lang w:val="lt-LT"/>
        </w:rPr>
      </w:pPr>
    </w:p>
    <w:p w14:paraId="5C8DC40D" w14:textId="77CEEDDF" w:rsidR="00BB7886" w:rsidRPr="00650EE4" w:rsidRDefault="00BB7886" w:rsidP="001447D2">
      <w:pPr>
        <w:spacing w:after="120"/>
        <w:rPr>
          <w:rFonts w:ascii="Times New Roman" w:hAnsi="Times New Roman"/>
          <w:b/>
          <w:szCs w:val="22"/>
        </w:rPr>
      </w:pPr>
      <w:r w:rsidRPr="00650EE4">
        <w:rPr>
          <w:rFonts w:ascii="Times New Roman" w:hAnsi="Times New Roman"/>
          <w:b/>
          <w:szCs w:val="22"/>
        </w:rPr>
        <w:t>Pastatų fondo energijos gamybos struktūra</w:t>
      </w:r>
      <w:r w:rsidR="00E27E49" w:rsidRPr="00650EE4">
        <w:rPr>
          <w:rFonts w:ascii="Times New Roman" w:hAnsi="Times New Roman"/>
          <w:b/>
          <w:szCs w:val="22"/>
        </w:rPr>
        <w:t xml:space="preserve"> ir faktoriai</w:t>
      </w:r>
    </w:p>
    <w:p w14:paraId="03C440AE" w14:textId="73C8C3FA" w:rsidR="008E5F7F" w:rsidRPr="00650EE4" w:rsidRDefault="0007355D" w:rsidP="00711B91">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050ED5">
        <w:rPr>
          <w:rFonts w:ascii="Times New Roman" w:hAnsi="Times New Roman"/>
          <w:color w:val="000000" w:themeColor="text1"/>
          <w:szCs w:val="22"/>
          <w:lang w:val="lt-LT"/>
        </w:rPr>
        <w:t>ustatant p</w:t>
      </w:r>
      <w:r w:rsidR="00C53D30" w:rsidRPr="00650EE4">
        <w:rPr>
          <w:rFonts w:ascii="Times New Roman" w:hAnsi="Times New Roman"/>
          <w:color w:val="000000" w:themeColor="text1"/>
          <w:szCs w:val="22"/>
          <w:lang w:val="lt-LT"/>
        </w:rPr>
        <w:t xml:space="preserve">astatų fondo energijos </w:t>
      </w:r>
      <w:r w:rsidR="00522C53" w:rsidRPr="00650EE4">
        <w:rPr>
          <w:rFonts w:ascii="Times New Roman" w:hAnsi="Times New Roman"/>
          <w:color w:val="000000" w:themeColor="text1"/>
          <w:szCs w:val="22"/>
          <w:lang w:val="lt-LT"/>
        </w:rPr>
        <w:t>gamybos</w:t>
      </w:r>
      <w:r w:rsidR="00C53D30" w:rsidRPr="00650EE4">
        <w:rPr>
          <w:rFonts w:ascii="Times New Roman" w:hAnsi="Times New Roman"/>
          <w:color w:val="000000" w:themeColor="text1"/>
          <w:szCs w:val="22"/>
          <w:lang w:val="lt-LT"/>
        </w:rPr>
        <w:t xml:space="preserve"> struktūrą </w:t>
      </w:r>
      <w:r w:rsidR="008E5F7F" w:rsidRPr="00650EE4">
        <w:rPr>
          <w:rFonts w:ascii="Times New Roman" w:hAnsi="Times New Roman"/>
          <w:color w:val="000000" w:themeColor="text1"/>
          <w:szCs w:val="22"/>
          <w:lang w:val="lt-LT"/>
        </w:rPr>
        <w:t xml:space="preserve">buvo naudojami: </w:t>
      </w:r>
    </w:p>
    <w:p w14:paraId="484B366C" w14:textId="14271613" w:rsidR="004D3C06" w:rsidRPr="00650EE4" w:rsidRDefault="00050ED5"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4D3C06" w:rsidRPr="00650EE4">
        <w:rPr>
          <w:rFonts w:ascii="Times New Roman" w:hAnsi="Times New Roman"/>
          <w:color w:val="000000" w:themeColor="text1"/>
          <w:szCs w:val="22"/>
        </w:rPr>
        <w:t>augiabučių paskirties pastatams, prijungtiems prie CŠT – NT registro duomenys;</w:t>
      </w:r>
    </w:p>
    <w:p w14:paraId="4A33BBA3" w14:textId="66A3EE2A" w:rsidR="00711B91" w:rsidRPr="00650EE4" w:rsidRDefault="00050ED5" w:rsidP="008E5F7F">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statistikos departamento m</w:t>
      </w:r>
      <w:r w:rsidR="00711B91" w:rsidRPr="00650EE4">
        <w:rPr>
          <w:rFonts w:ascii="Times New Roman" w:hAnsi="Times New Roman"/>
          <w:color w:val="000000" w:themeColor="text1"/>
          <w:szCs w:val="22"/>
        </w:rPr>
        <w:t>etinio ene</w:t>
      </w:r>
      <w:r w:rsidR="008E5F7F" w:rsidRPr="00650EE4">
        <w:rPr>
          <w:rFonts w:ascii="Times New Roman" w:hAnsi="Times New Roman"/>
          <w:color w:val="000000" w:themeColor="text1"/>
          <w:szCs w:val="22"/>
        </w:rPr>
        <w:t>rgijos ir kuro balanso duomenys</w:t>
      </w:r>
      <w:r w:rsidR="004E61CB" w:rsidRPr="00650EE4">
        <w:rPr>
          <w:rFonts w:ascii="Times New Roman" w:hAnsi="Times New Roman"/>
          <w:color w:val="000000" w:themeColor="text1"/>
          <w:szCs w:val="22"/>
        </w:rPr>
        <w:t>.</w:t>
      </w:r>
    </w:p>
    <w:p w14:paraId="5389747D" w14:textId="77777777" w:rsidR="00C53D30" w:rsidRPr="00650EE4" w:rsidRDefault="00C53D30" w:rsidP="00462BD8">
      <w:pPr>
        <w:pStyle w:val="Pagrindinispaprastastekstas"/>
        <w:rPr>
          <w:rFonts w:ascii="Times New Roman" w:hAnsi="Times New Roman"/>
          <w:color w:val="000000" w:themeColor="text1"/>
          <w:szCs w:val="22"/>
        </w:rPr>
      </w:pPr>
    </w:p>
    <w:p w14:paraId="7E2C649D" w14:textId="2996568F" w:rsidR="00711B9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59" w:name="_Toc59094203"/>
      <w:r w:rsidR="00F25C65">
        <w:t>20</w:t>
      </w:r>
      <w:r w:rsidRPr="00650EE4">
        <w:rPr>
          <w:noProof w:val="0"/>
        </w:rPr>
        <w:fldChar w:fldCharType="end"/>
      </w:r>
      <w:r w:rsidR="00711B91" w:rsidRPr="00650EE4">
        <w:rPr>
          <w:noProof w:val="0"/>
        </w:rPr>
        <w:t xml:space="preserve"> lentelė. </w:t>
      </w:r>
      <w:r w:rsidR="00C53D30" w:rsidRPr="00650EE4">
        <w:rPr>
          <w:noProof w:val="0"/>
        </w:rPr>
        <w:t>Pastatų fondo š</w:t>
      </w:r>
      <w:r w:rsidR="00711B91" w:rsidRPr="00650EE4">
        <w:rPr>
          <w:noProof w:val="0"/>
        </w:rPr>
        <w:t>iluminės energijos gamybos struktūra</w:t>
      </w:r>
      <w:bookmarkEnd w:id="59"/>
    </w:p>
    <w:tbl>
      <w:tblPr>
        <w:tblW w:w="5000" w:type="pct"/>
        <w:tblLook w:val="04A0" w:firstRow="1" w:lastRow="0" w:firstColumn="1" w:lastColumn="0" w:noHBand="0" w:noVBand="1"/>
      </w:tblPr>
      <w:tblGrid>
        <w:gridCol w:w="2024"/>
        <w:gridCol w:w="1159"/>
        <w:gridCol w:w="1014"/>
        <w:gridCol w:w="1159"/>
        <w:gridCol w:w="1594"/>
        <w:gridCol w:w="1015"/>
        <w:gridCol w:w="2455"/>
      </w:tblGrid>
      <w:tr w:rsidR="00711B91" w:rsidRPr="00650EE4" w14:paraId="21CE3B6F" w14:textId="77777777" w:rsidTr="00F45BD1">
        <w:tc>
          <w:tcPr>
            <w:tcW w:w="1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EB1C6A" w14:textId="77777777" w:rsidR="00711B91" w:rsidRPr="00650EE4" w:rsidRDefault="00711B91" w:rsidP="00711B91">
            <w:pPr>
              <w:spacing w:line="240" w:lineRule="auto"/>
              <w:jc w:val="center"/>
              <w:rPr>
                <w:rFonts w:ascii="Times New Roman" w:eastAsia="Times New Roman" w:hAnsi="Times New Roman"/>
                <w:b/>
                <w:bCs/>
                <w:sz w:val="20"/>
                <w:szCs w:val="20"/>
                <w:lang w:eastAsia="lt-LT"/>
              </w:rPr>
            </w:pPr>
            <w:bookmarkStart w:id="60" w:name="_Hlk51919915"/>
            <w:r w:rsidRPr="00650EE4">
              <w:rPr>
                <w:rFonts w:ascii="Times New Roman" w:eastAsia="Times New Roman" w:hAnsi="Times New Roman"/>
                <w:b/>
                <w:bCs/>
                <w:sz w:val="20"/>
                <w:szCs w:val="20"/>
                <w:lang w:eastAsia="lt-LT"/>
              </w:rPr>
              <w:t>Paskirtis</w:t>
            </w:r>
          </w:p>
        </w:tc>
        <w:tc>
          <w:tcPr>
            <w:tcW w:w="5812" w:type="dxa"/>
            <w:gridSpan w:val="5"/>
            <w:tcBorders>
              <w:top w:val="single" w:sz="4" w:space="0" w:color="auto"/>
              <w:left w:val="nil"/>
              <w:bottom w:val="single" w:sz="4" w:space="0" w:color="auto"/>
              <w:right w:val="single" w:sz="4" w:space="0" w:color="auto"/>
            </w:tcBorders>
            <w:shd w:val="clear" w:color="000000" w:fill="FFFFFF"/>
            <w:noWrap/>
            <w:vAlign w:val="center"/>
            <w:hideMark/>
          </w:tcPr>
          <w:p w14:paraId="49ADDADC"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Šaltiniai</w:t>
            </w:r>
          </w:p>
        </w:tc>
        <w:tc>
          <w:tcPr>
            <w:tcW w:w="2402"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20749"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Komentaras</w:t>
            </w:r>
          </w:p>
        </w:tc>
      </w:tr>
      <w:tr w:rsidR="00711B91" w:rsidRPr="00650EE4" w14:paraId="74A7C037" w14:textId="77777777" w:rsidTr="00F45BD1">
        <w:tc>
          <w:tcPr>
            <w:tcW w:w="1980" w:type="dxa"/>
            <w:vMerge/>
            <w:tcBorders>
              <w:top w:val="single" w:sz="4" w:space="0" w:color="auto"/>
              <w:left w:val="single" w:sz="4" w:space="0" w:color="auto"/>
              <w:bottom w:val="single" w:sz="4" w:space="0" w:color="auto"/>
              <w:right w:val="single" w:sz="4" w:space="0" w:color="auto"/>
            </w:tcBorders>
            <w:vAlign w:val="center"/>
            <w:hideMark/>
          </w:tcPr>
          <w:p w14:paraId="7FCAE8D6" w14:textId="77777777" w:rsidR="00711B91" w:rsidRPr="00650EE4" w:rsidRDefault="00711B91" w:rsidP="00711B91">
            <w:pPr>
              <w:spacing w:line="240" w:lineRule="auto"/>
              <w:rPr>
                <w:rFonts w:ascii="Times New Roman" w:eastAsia="Times New Roman" w:hAnsi="Times New Roman"/>
                <w:b/>
                <w:bCs/>
                <w:sz w:val="20"/>
                <w:szCs w:val="20"/>
                <w:lang w:eastAsia="lt-LT"/>
              </w:rPr>
            </w:pPr>
          </w:p>
        </w:tc>
        <w:tc>
          <w:tcPr>
            <w:tcW w:w="1134" w:type="dxa"/>
            <w:tcBorders>
              <w:top w:val="nil"/>
              <w:left w:val="nil"/>
              <w:bottom w:val="single" w:sz="4" w:space="0" w:color="auto"/>
              <w:right w:val="single" w:sz="4" w:space="0" w:color="auto"/>
            </w:tcBorders>
            <w:shd w:val="clear" w:color="000000" w:fill="FFFFFF"/>
            <w:vAlign w:val="center"/>
            <w:hideMark/>
          </w:tcPr>
          <w:p w14:paraId="26535FF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CŠT</w:t>
            </w:r>
          </w:p>
        </w:tc>
        <w:tc>
          <w:tcPr>
            <w:tcW w:w="992" w:type="dxa"/>
            <w:tcBorders>
              <w:top w:val="nil"/>
              <w:left w:val="nil"/>
              <w:bottom w:val="single" w:sz="4" w:space="0" w:color="auto"/>
              <w:right w:val="single" w:sz="4" w:space="0" w:color="auto"/>
            </w:tcBorders>
            <w:shd w:val="clear" w:color="000000" w:fill="FFFFFF"/>
            <w:vAlign w:val="center"/>
            <w:hideMark/>
          </w:tcPr>
          <w:p w14:paraId="67946050"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Dujos</w:t>
            </w:r>
          </w:p>
        </w:tc>
        <w:tc>
          <w:tcPr>
            <w:tcW w:w="1134" w:type="dxa"/>
            <w:tcBorders>
              <w:top w:val="nil"/>
              <w:left w:val="nil"/>
              <w:bottom w:val="single" w:sz="4" w:space="0" w:color="auto"/>
              <w:right w:val="single" w:sz="4" w:space="0" w:color="auto"/>
            </w:tcBorders>
            <w:shd w:val="clear" w:color="000000" w:fill="FFFFFF"/>
            <w:vAlign w:val="center"/>
            <w:hideMark/>
          </w:tcPr>
          <w:p w14:paraId="423FCD0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Biokuras</w:t>
            </w:r>
          </w:p>
        </w:tc>
        <w:tc>
          <w:tcPr>
            <w:tcW w:w="1559" w:type="dxa"/>
            <w:tcBorders>
              <w:top w:val="nil"/>
              <w:left w:val="nil"/>
              <w:bottom w:val="single" w:sz="4" w:space="0" w:color="auto"/>
              <w:right w:val="single" w:sz="4" w:space="0" w:color="auto"/>
            </w:tcBorders>
            <w:shd w:val="clear" w:color="000000" w:fill="FFFFFF"/>
            <w:vAlign w:val="center"/>
            <w:hideMark/>
          </w:tcPr>
          <w:p w14:paraId="24A88771"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Kita (ne AEI)</w:t>
            </w:r>
          </w:p>
        </w:tc>
        <w:tc>
          <w:tcPr>
            <w:tcW w:w="993" w:type="dxa"/>
            <w:tcBorders>
              <w:top w:val="nil"/>
              <w:left w:val="nil"/>
              <w:bottom w:val="single" w:sz="4" w:space="0" w:color="auto"/>
              <w:right w:val="single" w:sz="4" w:space="0" w:color="auto"/>
            </w:tcBorders>
            <w:shd w:val="clear" w:color="000000" w:fill="FFFFFF"/>
            <w:vAlign w:val="center"/>
            <w:hideMark/>
          </w:tcPr>
          <w:p w14:paraId="7060B8FD" w14:textId="77777777" w:rsidR="00711B91" w:rsidRPr="00650EE4" w:rsidRDefault="00711B91" w:rsidP="00711B9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Elektra</w:t>
            </w:r>
          </w:p>
        </w:tc>
        <w:tc>
          <w:tcPr>
            <w:tcW w:w="2402" w:type="dxa"/>
            <w:vMerge/>
            <w:tcBorders>
              <w:top w:val="single" w:sz="4" w:space="0" w:color="auto"/>
              <w:left w:val="single" w:sz="4" w:space="0" w:color="auto"/>
              <w:bottom w:val="single" w:sz="4" w:space="0" w:color="auto"/>
              <w:right w:val="single" w:sz="4" w:space="0" w:color="auto"/>
            </w:tcBorders>
            <w:vAlign w:val="center"/>
            <w:hideMark/>
          </w:tcPr>
          <w:p w14:paraId="49A5B1ED" w14:textId="77777777" w:rsidR="00711B91" w:rsidRPr="00650EE4" w:rsidRDefault="00711B91" w:rsidP="00711B91">
            <w:pPr>
              <w:spacing w:line="240" w:lineRule="auto"/>
              <w:rPr>
                <w:rFonts w:ascii="Times New Roman" w:eastAsia="Times New Roman" w:hAnsi="Times New Roman"/>
                <w:b/>
                <w:bCs/>
                <w:color w:val="auto"/>
                <w:sz w:val="20"/>
                <w:szCs w:val="20"/>
                <w:lang w:eastAsia="lt-LT"/>
              </w:rPr>
            </w:pPr>
          </w:p>
        </w:tc>
      </w:tr>
      <w:tr w:rsidR="00711B91" w:rsidRPr="00650EE4" w14:paraId="3E631433"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6285E621"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Daugiabučiai</w:t>
            </w:r>
          </w:p>
        </w:tc>
        <w:tc>
          <w:tcPr>
            <w:tcW w:w="1134" w:type="dxa"/>
            <w:tcBorders>
              <w:top w:val="nil"/>
              <w:left w:val="nil"/>
              <w:bottom w:val="single" w:sz="4" w:space="0" w:color="auto"/>
              <w:right w:val="single" w:sz="4" w:space="0" w:color="auto"/>
            </w:tcBorders>
            <w:shd w:val="clear" w:color="000000" w:fill="FFFFFF"/>
            <w:noWrap/>
            <w:vAlign w:val="bottom"/>
            <w:hideMark/>
          </w:tcPr>
          <w:p w14:paraId="45DA6C6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677DCB9D"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5FF92D3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42%</w:t>
            </w:r>
          </w:p>
        </w:tc>
        <w:tc>
          <w:tcPr>
            <w:tcW w:w="1559" w:type="dxa"/>
            <w:tcBorders>
              <w:top w:val="nil"/>
              <w:left w:val="nil"/>
              <w:bottom w:val="single" w:sz="4" w:space="0" w:color="auto"/>
              <w:right w:val="single" w:sz="4" w:space="0" w:color="auto"/>
            </w:tcBorders>
            <w:shd w:val="clear" w:color="000000" w:fill="FFFFFF"/>
            <w:noWrap/>
            <w:vAlign w:val="bottom"/>
            <w:hideMark/>
          </w:tcPr>
          <w:p w14:paraId="75484F0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21%</w:t>
            </w:r>
          </w:p>
        </w:tc>
        <w:tc>
          <w:tcPr>
            <w:tcW w:w="993" w:type="dxa"/>
            <w:tcBorders>
              <w:top w:val="nil"/>
              <w:left w:val="nil"/>
              <w:bottom w:val="single" w:sz="4" w:space="0" w:color="auto"/>
              <w:right w:val="single" w:sz="4" w:space="0" w:color="auto"/>
            </w:tcBorders>
            <w:shd w:val="clear" w:color="000000" w:fill="FFFFFF"/>
            <w:noWrap/>
            <w:vAlign w:val="bottom"/>
            <w:hideMark/>
          </w:tcPr>
          <w:p w14:paraId="720C944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67A19F24" w14:textId="454495CC" w:rsidR="00711B91" w:rsidRPr="00650EE4" w:rsidRDefault="00E27E49"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N</w:t>
            </w:r>
            <w:r w:rsidR="00711B91" w:rsidRPr="00650EE4">
              <w:rPr>
                <w:rFonts w:ascii="Times New Roman" w:eastAsia="Times New Roman" w:hAnsi="Times New Roman"/>
                <w:color w:val="auto"/>
                <w:sz w:val="20"/>
                <w:szCs w:val="20"/>
                <w:lang w:eastAsia="lt-LT"/>
              </w:rPr>
              <w:t>eprijungtiems prie CŠT</w:t>
            </w:r>
          </w:p>
        </w:tc>
      </w:tr>
      <w:tr w:rsidR="00711B91" w:rsidRPr="00650EE4" w14:paraId="42D7F4AF"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7A0AC67C"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Individualūs</w:t>
            </w:r>
          </w:p>
        </w:tc>
        <w:tc>
          <w:tcPr>
            <w:tcW w:w="1134" w:type="dxa"/>
            <w:tcBorders>
              <w:top w:val="nil"/>
              <w:left w:val="nil"/>
              <w:bottom w:val="single" w:sz="4" w:space="0" w:color="auto"/>
              <w:right w:val="single" w:sz="4" w:space="0" w:color="auto"/>
            </w:tcBorders>
            <w:shd w:val="clear" w:color="000000" w:fill="FFFFFF"/>
            <w:noWrap/>
            <w:vAlign w:val="bottom"/>
            <w:hideMark/>
          </w:tcPr>
          <w:p w14:paraId="0A6D7AB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992" w:type="dxa"/>
            <w:tcBorders>
              <w:top w:val="nil"/>
              <w:left w:val="nil"/>
              <w:bottom w:val="single" w:sz="4" w:space="0" w:color="auto"/>
              <w:right w:val="single" w:sz="4" w:space="0" w:color="auto"/>
            </w:tcBorders>
            <w:shd w:val="clear" w:color="000000" w:fill="FFFFFF"/>
            <w:noWrap/>
            <w:vAlign w:val="bottom"/>
            <w:hideMark/>
          </w:tcPr>
          <w:p w14:paraId="25094EBE"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1134" w:type="dxa"/>
            <w:tcBorders>
              <w:top w:val="nil"/>
              <w:left w:val="nil"/>
              <w:bottom w:val="single" w:sz="4" w:space="0" w:color="auto"/>
              <w:right w:val="single" w:sz="4" w:space="0" w:color="auto"/>
            </w:tcBorders>
            <w:shd w:val="clear" w:color="000000" w:fill="FFFFFF"/>
            <w:noWrap/>
            <w:vAlign w:val="bottom"/>
            <w:hideMark/>
          </w:tcPr>
          <w:p w14:paraId="711E9275"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42%</w:t>
            </w:r>
          </w:p>
        </w:tc>
        <w:tc>
          <w:tcPr>
            <w:tcW w:w="1559" w:type="dxa"/>
            <w:tcBorders>
              <w:top w:val="nil"/>
              <w:left w:val="nil"/>
              <w:bottom w:val="single" w:sz="4" w:space="0" w:color="auto"/>
              <w:right w:val="single" w:sz="4" w:space="0" w:color="auto"/>
            </w:tcBorders>
            <w:shd w:val="clear" w:color="000000" w:fill="FFFFFF"/>
            <w:noWrap/>
            <w:vAlign w:val="bottom"/>
            <w:hideMark/>
          </w:tcPr>
          <w:p w14:paraId="3CE57EA0"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21%</w:t>
            </w:r>
          </w:p>
        </w:tc>
        <w:tc>
          <w:tcPr>
            <w:tcW w:w="993" w:type="dxa"/>
            <w:tcBorders>
              <w:top w:val="nil"/>
              <w:left w:val="nil"/>
              <w:bottom w:val="single" w:sz="4" w:space="0" w:color="auto"/>
              <w:right w:val="single" w:sz="4" w:space="0" w:color="auto"/>
            </w:tcBorders>
            <w:shd w:val="clear" w:color="000000" w:fill="FFFFFF"/>
            <w:noWrap/>
            <w:vAlign w:val="bottom"/>
            <w:hideMark/>
          </w:tcPr>
          <w:p w14:paraId="4B379E2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2FBB6329"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r w:rsidR="00711B91" w:rsidRPr="00650EE4" w14:paraId="43270B49"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71D2C0C7"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Pramonės</w:t>
            </w:r>
          </w:p>
        </w:tc>
        <w:tc>
          <w:tcPr>
            <w:tcW w:w="1134" w:type="dxa"/>
            <w:tcBorders>
              <w:top w:val="nil"/>
              <w:left w:val="nil"/>
              <w:bottom w:val="single" w:sz="4" w:space="0" w:color="auto"/>
              <w:right w:val="single" w:sz="4" w:space="0" w:color="auto"/>
            </w:tcBorders>
            <w:shd w:val="clear" w:color="000000" w:fill="FFFFFF"/>
            <w:noWrap/>
            <w:vAlign w:val="bottom"/>
            <w:hideMark/>
          </w:tcPr>
          <w:p w14:paraId="3D3A7F04"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23%</w:t>
            </w:r>
          </w:p>
        </w:tc>
        <w:tc>
          <w:tcPr>
            <w:tcW w:w="992" w:type="dxa"/>
            <w:tcBorders>
              <w:top w:val="nil"/>
              <w:left w:val="nil"/>
              <w:bottom w:val="single" w:sz="4" w:space="0" w:color="auto"/>
              <w:right w:val="single" w:sz="4" w:space="0" w:color="auto"/>
            </w:tcBorders>
            <w:shd w:val="clear" w:color="000000" w:fill="FFFFFF"/>
            <w:noWrap/>
            <w:vAlign w:val="bottom"/>
            <w:hideMark/>
          </w:tcPr>
          <w:p w14:paraId="08278583"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w:t>
            </w:r>
          </w:p>
        </w:tc>
        <w:tc>
          <w:tcPr>
            <w:tcW w:w="1134" w:type="dxa"/>
            <w:tcBorders>
              <w:top w:val="nil"/>
              <w:left w:val="nil"/>
              <w:bottom w:val="single" w:sz="4" w:space="0" w:color="auto"/>
              <w:right w:val="single" w:sz="4" w:space="0" w:color="auto"/>
            </w:tcBorders>
            <w:shd w:val="clear" w:color="000000" w:fill="FFFFFF"/>
            <w:noWrap/>
            <w:vAlign w:val="bottom"/>
            <w:hideMark/>
          </w:tcPr>
          <w:p w14:paraId="6F39A9E2"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w:t>
            </w:r>
          </w:p>
        </w:tc>
        <w:tc>
          <w:tcPr>
            <w:tcW w:w="1559" w:type="dxa"/>
            <w:tcBorders>
              <w:top w:val="nil"/>
              <w:left w:val="nil"/>
              <w:bottom w:val="single" w:sz="4" w:space="0" w:color="auto"/>
              <w:right w:val="single" w:sz="4" w:space="0" w:color="auto"/>
            </w:tcBorders>
            <w:shd w:val="clear" w:color="000000" w:fill="FFFFFF"/>
            <w:noWrap/>
            <w:vAlign w:val="bottom"/>
            <w:hideMark/>
          </w:tcPr>
          <w:p w14:paraId="12374541"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17%</w:t>
            </w:r>
          </w:p>
        </w:tc>
        <w:tc>
          <w:tcPr>
            <w:tcW w:w="993" w:type="dxa"/>
            <w:tcBorders>
              <w:top w:val="nil"/>
              <w:left w:val="nil"/>
              <w:bottom w:val="single" w:sz="4" w:space="0" w:color="auto"/>
              <w:right w:val="single" w:sz="4" w:space="0" w:color="auto"/>
            </w:tcBorders>
            <w:shd w:val="clear" w:color="000000" w:fill="FFFFFF"/>
            <w:noWrap/>
            <w:vAlign w:val="bottom"/>
            <w:hideMark/>
          </w:tcPr>
          <w:p w14:paraId="6D6895B8"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60449C24"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r w:rsidR="00711B91" w:rsidRPr="00650EE4" w14:paraId="3D3192E1" w14:textId="77777777" w:rsidTr="00F45BD1">
        <w:tc>
          <w:tcPr>
            <w:tcW w:w="1980" w:type="dxa"/>
            <w:tcBorders>
              <w:top w:val="nil"/>
              <w:left w:val="single" w:sz="4" w:space="0" w:color="auto"/>
              <w:bottom w:val="single" w:sz="4" w:space="0" w:color="auto"/>
              <w:right w:val="single" w:sz="4" w:space="0" w:color="auto"/>
            </w:tcBorders>
            <w:shd w:val="clear" w:color="000000" w:fill="FFFFFF"/>
            <w:noWrap/>
            <w:hideMark/>
          </w:tcPr>
          <w:p w14:paraId="4BE8D32C" w14:textId="77777777" w:rsidR="00711B91" w:rsidRPr="00650EE4" w:rsidRDefault="00711B91" w:rsidP="00711B9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134" w:type="dxa"/>
            <w:tcBorders>
              <w:top w:val="nil"/>
              <w:left w:val="nil"/>
              <w:bottom w:val="single" w:sz="4" w:space="0" w:color="auto"/>
              <w:right w:val="single" w:sz="4" w:space="0" w:color="auto"/>
            </w:tcBorders>
            <w:shd w:val="clear" w:color="000000" w:fill="FFFFFF"/>
            <w:noWrap/>
            <w:vAlign w:val="bottom"/>
            <w:hideMark/>
          </w:tcPr>
          <w:p w14:paraId="3DFA2F27"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23%</w:t>
            </w:r>
          </w:p>
        </w:tc>
        <w:tc>
          <w:tcPr>
            <w:tcW w:w="992" w:type="dxa"/>
            <w:tcBorders>
              <w:top w:val="nil"/>
              <w:left w:val="nil"/>
              <w:bottom w:val="single" w:sz="4" w:space="0" w:color="auto"/>
              <w:right w:val="single" w:sz="4" w:space="0" w:color="auto"/>
            </w:tcBorders>
            <w:shd w:val="clear" w:color="000000" w:fill="FFFFFF"/>
            <w:noWrap/>
            <w:vAlign w:val="bottom"/>
            <w:hideMark/>
          </w:tcPr>
          <w:p w14:paraId="41EFC1C9"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w:t>
            </w:r>
          </w:p>
        </w:tc>
        <w:tc>
          <w:tcPr>
            <w:tcW w:w="1134" w:type="dxa"/>
            <w:tcBorders>
              <w:top w:val="nil"/>
              <w:left w:val="nil"/>
              <w:bottom w:val="single" w:sz="4" w:space="0" w:color="auto"/>
              <w:right w:val="single" w:sz="4" w:space="0" w:color="auto"/>
            </w:tcBorders>
            <w:shd w:val="clear" w:color="000000" w:fill="FFFFFF"/>
            <w:noWrap/>
            <w:vAlign w:val="bottom"/>
            <w:hideMark/>
          </w:tcPr>
          <w:p w14:paraId="25EA14F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w:t>
            </w:r>
          </w:p>
        </w:tc>
        <w:tc>
          <w:tcPr>
            <w:tcW w:w="1559" w:type="dxa"/>
            <w:tcBorders>
              <w:top w:val="nil"/>
              <w:left w:val="nil"/>
              <w:bottom w:val="single" w:sz="4" w:space="0" w:color="auto"/>
              <w:right w:val="single" w:sz="4" w:space="0" w:color="auto"/>
            </w:tcBorders>
            <w:shd w:val="clear" w:color="000000" w:fill="FFFFFF"/>
            <w:noWrap/>
            <w:vAlign w:val="bottom"/>
            <w:hideMark/>
          </w:tcPr>
          <w:p w14:paraId="2032EC26"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17%</w:t>
            </w:r>
          </w:p>
        </w:tc>
        <w:tc>
          <w:tcPr>
            <w:tcW w:w="993" w:type="dxa"/>
            <w:tcBorders>
              <w:top w:val="nil"/>
              <w:left w:val="nil"/>
              <w:bottom w:val="single" w:sz="4" w:space="0" w:color="auto"/>
              <w:right w:val="single" w:sz="4" w:space="0" w:color="auto"/>
            </w:tcBorders>
            <w:shd w:val="clear" w:color="000000" w:fill="FFFFFF"/>
            <w:noWrap/>
            <w:vAlign w:val="bottom"/>
            <w:hideMark/>
          </w:tcPr>
          <w:p w14:paraId="5C9A2BEB" w14:textId="77777777" w:rsidR="00711B91" w:rsidRPr="00650EE4" w:rsidRDefault="00711B91" w:rsidP="00711B91">
            <w:pPr>
              <w:spacing w:line="240" w:lineRule="auto"/>
              <w:jc w:val="center"/>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w:t>
            </w:r>
          </w:p>
        </w:tc>
        <w:tc>
          <w:tcPr>
            <w:tcW w:w="2402" w:type="dxa"/>
            <w:tcBorders>
              <w:top w:val="nil"/>
              <w:left w:val="nil"/>
              <w:bottom w:val="single" w:sz="4" w:space="0" w:color="auto"/>
              <w:right w:val="single" w:sz="4" w:space="0" w:color="auto"/>
            </w:tcBorders>
            <w:shd w:val="clear" w:color="000000" w:fill="FFFFFF"/>
            <w:noWrap/>
            <w:vAlign w:val="bottom"/>
            <w:hideMark/>
          </w:tcPr>
          <w:p w14:paraId="2193C677" w14:textId="77777777" w:rsidR="00711B91" w:rsidRPr="00650EE4" w:rsidRDefault="00711B91" w:rsidP="00711B9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 </w:t>
            </w:r>
          </w:p>
        </w:tc>
      </w:tr>
    </w:tbl>
    <w:bookmarkEnd w:id="60"/>
    <w:p w14:paraId="23925B5A" w14:textId="2A95D01F" w:rsidR="005A62E5" w:rsidRPr="00650EE4" w:rsidRDefault="005A62E5" w:rsidP="005A62E5">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C53D30"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0D7D7AB5" w14:textId="77777777" w:rsidR="00462BD8" w:rsidRPr="00650EE4" w:rsidRDefault="00462BD8" w:rsidP="001100DA">
      <w:pPr>
        <w:pStyle w:val="Pagrindinispaprastastekstas"/>
        <w:rPr>
          <w:rFonts w:ascii="Times New Roman" w:hAnsi="Times New Roman"/>
          <w:color w:val="000000" w:themeColor="text1"/>
          <w:szCs w:val="22"/>
        </w:rPr>
      </w:pPr>
    </w:p>
    <w:p w14:paraId="1BE154E9" w14:textId="56476F16" w:rsidR="00BD47DB" w:rsidRPr="00650EE4" w:rsidRDefault="00BD47DB" w:rsidP="001100DA">
      <w:pPr>
        <w:pStyle w:val="Pagrindinispaprastastekstas"/>
        <w:rPr>
          <w:rFonts w:ascii="Times New Roman" w:hAnsi="Times New Roman"/>
          <w:color w:val="000000" w:themeColor="text1"/>
          <w:szCs w:val="22"/>
        </w:rPr>
      </w:pPr>
      <w:r w:rsidRPr="00650EE4">
        <w:rPr>
          <w:rFonts w:ascii="Times New Roman" w:hAnsi="Times New Roman"/>
          <w:color w:val="000000" w:themeColor="text1"/>
          <w:szCs w:val="22"/>
        </w:rPr>
        <w:t>Pirminei energijai apskaičiuoti pritaikyti STR 2.01.02:2016</w:t>
      </w:r>
      <w:r w:rsidRPr="00650EE4">
        <w:rPr>
          <w:rFonts w:ascii="Times New Roman" w:hAnsi="Times New Roman"/>
          <w:color w:val="000000" w:themeColor="text1"/>
          <w:szCs w:val="22"/>
          <w:vertAlign w:val="superscript"/>
        </w:rPr>
        <w:footnoteReference w:id="8"/>
      </w:r>
      <w:r w:rsidRPr="00650EE4">
        <w:rPr>
          <w:rFonts w:ascii="Times New Roman" w:hAnsi="Times New Roman"/>
          <w:color w:val="000000" w:themeColor="text1"/>
          <w:szCs w:val="22"/>
        </w:rPr>
        <w:t xml:space="preserve"> pateikiami pirminės energijos faktoriai.</w:t>
      </w:r>
    </w:p>
    <w:p w14:paraId="3FBC7995" w14:textId="77777777" w:rsidR="00BD47DB" w:rsidRPr="00650EE4" w:rsidRDefault="00BD47DB" w:rsidP="00CE3656">
      <w:pPr>
        <w:pStyle w:val="BodyText"/>
        <w:jc w:val="both"/>
        <w:rPr>
          <w:rFonts w:ascii="Times New Roman" w:hAnsi="Times New Roman"/>
          <w:color w:val="000000" w:themeColor="text1"/>
          <w:szCs w:val="22"/>
          <w:lang w:val="lt-LT"/>
        </w:rPr>
      </w:pPr>
    </w:p>
    <w:p w14:paraId="622C21B6" w14:textId="752AAB90" w:rsidR="006E204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1" w:name="_Toc59094204"/>
      <w:r w:rsidR="00F25C65">
        <w:t>21</w:t>
      </w:r>
      <w:r w:rsidRPr="00650EE4">
        <w:rPr>
          <w:noProof w:val="0"/>
        </w:rPr>
        <w:fldChar w:fldCharType="end"/>
      </w:r>
      <w:r w:rsidR="006E2046" w:rsidRPr="00650EE4">
        <w:rPr>
          <w:noProof w:val="0"/>
        </w:rPr>
        <w:t xml:space="preserve"> lentelė. </w:t>
      </w:r>
      <w:r w:rsidR="00E507D6" w:rsidRPr="00650EE4">
        <w:rPr>
          <w:noProof w:val="0"/>
        </w:rPr>
        <w:t xml:space="preserve">Energijos gamybai naudojamų energijos šaltinių </w:t>
      </w:r>
      <w:r w:rsidR="00C367FD" w:rsidRPr="00650EE4">
        <w:rPr>
          <w:noProof w:val="0"/>
        </w:rPr>
        <w:t>neatsinaujinančios</w:t>
      </w:r>
      <w:r w:rsidR="00E507D6" w:rsidRPr="00650EE4">
        <w:rPr>
          <w:noProof w:val="0"/>
        </w:rPr>
        <w:t xml:space="preserve"> pirminės energijos, atsinaujinančios pirminės energijos ir CO2 emisijų faktorių vertės</w:t>
      </w:r>
      <w:bookmarkEnd w:id="61"/>
    </w:p>
    <w:tbl>
      <w:tblPr>
        <w:tblW w:w="5000" w:type="pct"/>
        <w:tblLook w:val="04A0" w:firstRow="1" w:lastRow="0" w:firstColumn="1" w:lastColumn="0" w:noHBand="0" w:noVBand="1"/>
      </w:tblPr>
      <w:tblGrid>
        <w:gridCol w:w="2798"/>
        <w:gridCol w:w="1319"/>
        <w:gridCol w:w="1239"/>
        <w:gridCol w:w="1203"/>
        <w:gridCol w:w="1056"/>
        <w:gridCol w:w="1659"/>
        <w:gridCol w:w="1146"/>
      </w:tblGrid>
      <w:tr w:rsidR="00D25587" w:rsidRPr="00650EE4" w14:paraId="04E1FABA"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6EA7FD" w14:textId="77777777"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bookmarkStart w:id="62" w:name="_Hlk51919943"/>
            <w:r w:rsidRPr="00650EE4">
              <w:rPr>
                <w:rFonts w:ascii="Times New Roman" w:eastAsia="Times New Roman" w:hAnsi="Times New Roman"/>
                <w:b/>
                <w:bCs/>
                <w:color w:val="000000" w:themeColor="text1"/>
                <w:sz w:val="20"/>
                <w:szCs w:val="20"/>
                <w:lang w:eastAsia="lt-LT"/>
              </w:rPr>
              <w:t>Rodiklis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1BC27E8E" w14:textId="382D417F"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Mato vnt.</w:t>
            </w:r>
          </w:p>
        </w:tc>
        <w:tc>
          <w:tcPr>
            <w:tcW w:w="12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2F55F3" w14:textId="151BCC49"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CŠT</w:t>
            </w:r>
          </w:p>
        </w:tc>
        <w:tc>
          <w:tcPr>
            <w:tcW w:w="11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01183B" w14:textId="42C63BA9"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Dujos</w:t>
            </w:r>
          </w:p>
        </w:tc>
        <w:tc>
          <w:tcPr>
            <w:tcW w:w="10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0B57D0" w14:textId="6EC71C1D"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Biokuras</w:t>
            </w:r>
          </w:p>
        </w:tc>
        <w:tc>
          <w:tcPr>
            <w:tcW w:w="16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34B23C" w14:textId="5ECC97C2"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Kita (ne AEI)</w:t>
            </w:r>
          </w:p>
        </w:tc>
        <w:tc>
          <w:tcPr>
            <w:tcW w:w="11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6824F" w14:textId="56005A05" w:rsidR="006E2046" w:rsidRPr="00650EE4" w:rsidRDefault="006E2046" w:rsidP="006E2046">
            <w:pPr>
              <w:spacing w:line="240" w:lineRule="auto"/>
              <w:jc w:val="center"/>
              <w:rPr>
                <w:rFonts w:ascii="Times New Roman" w:eastAsia="Times New Roman" w:hAnsi="Times New Roman"/>
                <w:b/>
                <w:bCs/>
                <w:color w:val="000000" w:themeColor="text1"/>
                <w:sz w:val="20"/>
                <w:szCs w:val="20"/>
                <w:lang w:eastAsia="lt-LT"/>
              </w:rPr>
            </w:pPr>
            <w:r w:rsidRPr="00650EE4">
              <w:rPr>
                <w:rFonts w:ascii="Times New Roman" w:eastAsia="Times New Roman" w:hAnsi="Times New Roman"/>
                <w:b/>
                <w:bCs/>
                <w:color w:val="000000" w:themeColor="text1"/>
                <w:sz w:val="20"/>
                <w:szCs w:val="20"/>
                <w:lang w:eastAsia="lt-LT"/>
              </w:rPr>
              <w:t>Elektra</w:t>
            </w:r>
          </w:p>
        </w:tc>
      </w:tr>
      <w:tr w:rsidR="00D25587" w:rsidRPr="00650EE4" w14:paraId="4ED46CAF"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FCD7B" w14:textId="0E82C116" w:rsidR="006E2046" w:rsidRPr="00650EE4" w:rsidRDefault="005C3EED" w:rsidP="005C3EED">
            <w:pPr>
              <w:spacing w:line="240" w:lineRule="auto"/>
              <w:rPr>
                <w:rFonts w:ascii="Times New Roman" w:eastAsia="Times New Roman" w:hAnsi="Times New Roman"/>
                <w:color w:val="000000" w:themeColor="text1"/>
                <w:sz w:val="20"/>
                <w:szCs w:val="20"/>
                <w:lang w:eastAsia="lt-LT"/>
              </w:rPr>
            </w:pPr>
            <w:r w:rsidRPr="00650EE4">
              <w:rPr>
                <w:rFonts w:ascii="Times New Roman" w:hAnsi="Times New Roman"/>
                <w:sz w:val="20"/>
                <w:szCs w:val="20"/>
              </w:rPr>
              <w:t>Neatsinaujinančios pirminės energijos faktorius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69F38B7C" w14:textId="3B366A39"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vnt.</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AB622" w14:textId="76F1A0BF"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0,63</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6A1703"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1,10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018DDB"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ABD424"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1,10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62ACB"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2,30</w:t>
            </w:r>
          </w:p>
        </w:tc>
      </w:tr>
      <w:tr w:rsidR="00D25587" w:rsidRPr="00650EE4" w14:paraId="78B39499"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840E7" w14:textId="042A7CA2" w:rsidR="006E2046" w:rsidRPr="00650EE4" w:rsidRDefault="005C3EED" w:rsidP="005C3EED">
            <w:pPr>
              <w:spacing w:line="240" w:lineRule="auto"/>
              <w:rPr>
                <w:rFonts w:ascii="Times New Roman" w:eastAsia="Times New Roman" w:hAnsi="Times New Roman"/>
                <w:color w:val="000000" w:themeColor="text1"/>
                <w:sz w:val="20"/>
                <w:szCs w:val="20"/>
                <w:lang w:eastAsia="lt-LT"/>
              </w:rPr>
            </w:pPr>
            <w:r w:rsidRPr="00650EE4">
              <w:rPr>
                <w:rFonts w:ascii="Times New Roman" w:hAnsi="Times New Roman"/>
                <w:sz w:val="20"/>
                <w:szCs w:val="20"/>
              </w:rPr>
              <w:t>Atsinaujinančios pirminės energijos faktorius</w:t>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5825D130" w14:textId="3195D251"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vnt.</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DE98BD" w14:textId="4E9E8AFF"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0,62</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9654B2"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0,00</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BCF76"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1,00</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2AE71"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B22D1"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0,20</w:t>
            </w:r>
          </w:p>
        </w:tc>
      </w:tr>
      <w:tr w:rsidR="00D25587" w:rsidRPr="00650EE4" w14:paraId="077E4186" w14:textId="77777777" w:rsidTr="00F45BD1">
        <w:tc>
          <w:tcPr>
            <w:tcW w:w="2738" w:type="dxa"/>
            <w:tcBorders>
              <w:top w:val="single" w:sz="4" w:space="0" w:color="auto"/>
              <w:left w:val="single" w:sz="4" w:space="0" w:color="auto"/>
              <w:bottom w:val="single" w:sz="4" w:space="0" w:color="auto"/>
              <w:right w:val="single" w:sz="4" w:space="0" w:color="auto"/>
            </w:tcBorders>
            <w:shd w:val="clear" w:color="auto" w:fill="auto"/>
            <w:noWrap/>
            <w:hideMark/>
          </w:tcPr>
          <w:p w14:paraId="103F0E11" w14:textId="63100675" w:rsidR="006E2046" w:rsidRPr="00650EE4" w:rsidRDefault="006E2046" w:rsidP="00286DC7">
            <w:pPr>
              <w:spacing w:line="240" w:lineRule="auto"/>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CO</w:t>
            </w:r>
            <w:r w:rsidRPr="00650EE4">
              <w:rPr>
                <w:rFonts w:ascii="Times New Roman" w:eastAsia="Times New Roman" w:hAnsi="Times New Roman"/>
                <w:color w:val="000000" w:themeColor="text1"/>
                <w:sz w:val="20"/>
                <w:szCs w:val="20"/>
                <w:vertAlign w:val="subscript"/>
                <w:lang w:eastAsia="lt-LT"/>
              </w:rPr>
              <w:t>2</w:t>
            </w:r>
            <w:r w:rsidR="005C3EED" w:rsidRPr="00650EE4">
              <w:rPr>
                <w:rFonts w:ascii="Times New Roman" w:eastAsia="Times New Roman" w:hAnsi="Times New Roman"/>
                <w:color w:val="000000" w:themeColor="text1"/>
                <w:sz w:val="20"/>
                <w:szCs w:val="20"/>
                <w:vertAlign w:val="subscript"/>
                <w:lang w:eastAsia="lt-LT"/>
              </w:rPr>
              <w:t xml:space="preserve"> </w:t>
            </w:r>
            <w:r w:rsidR="005C3EED" w:rsidRPr="00650EE4">
              <w:rPr>
                <w:rFonts w:ascii="Times New Roman" w:eastAsia="Times New Roman" w:hAnsi="Times New Roman"/>
                <w:color w:val="000000" w:themeColor="text1"/>
                <w:sz w:val="20"/>
                <w:szCs w:val="20"/>
                <w:lang w:eastAsia="lt-LT"/>
              </w:rPr>
              <w:t>emisijų faktorius</w:t>
            </w:r>
            <w:r w:rsidR="006003FE" w:rsidRPr="00650EE4">
              <w:rPr>
                <w:rFonts w:ascii="Times New Roman" w:eastAsia="Times New Roman" w:hAnsi="Times New Roman"/>
                <w:color w:val="000000" w:themeColor="text1"/>
                <w:sz w:val="20"/>
                <w:szCs w:val="20"/>
                <w:lang w:eastAsia="lt-LT"/>
              </w:rPr>
              <w:br/>
            </w:r>
          </w:p>
        </w:tc>
        <w:tc>
          <w:tcPr>
            <w:tcW w:w="1290" w:type="dxa"/>
            <w:tcBorders>
              <w:top w:val="single" w:sz="4" w:space="0" w:color="auto"/>
              <w:left w:val="single" w:sz="4" w:space="0" w:color="auto"/>
              <w:bottom w:val="single" w:sz="4" w:space="0" w:color="auto"/>
              <w:right w:val="single" w:sz="4" w:space="0" w:color="auto"/>
            </w:tcBorders>
            <w:shd w:val="clear" w:color="auto" w:fill="auto"/>
            <w:vAlign w:val="center"/>
          </w:tcPr>
          <w:p w14:paraId="7E104A28" w14:textId="5BB23D73"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kgCO2/</w:t>
            </w:r>
            <w:proofErr w:type="spellStart"/>
            <w:r w:rsidRPr="00650EE4">
              <w:rPr>
                <w:rFonts w:ascii="Times New Roman" w:eastAsia="Times New Roman" w:hAnsi="Times New Roman"/>
                <w:color w:val="000000" w:themeColor="text1"/>
                <w:sz w:val="20"/>
                <w:szCs w:val="20"/>
                <w:lang w:eastAsia="lt-LT"/>
              </w:rPr>
              <w:t>kWh</w:t>
            </w:r>
            <w:proofErr w:type="spellEnd"/>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B4A56" w14:textId="4F7C0C11"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0,10</w:t>
            </w:r>
          </w:p>
        </w:tc>
        <w:tc>
          <w:tcPr>
            <w:tcW w:w="11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FACDE"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0,22</w:t>
            </w:r>
          </w:p>
        </w:tc>
        <w:tc>
          <w:tcPr>
            <w:tcW w:w="10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7A282"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0,04</w:t>
            </w:r>
          </w:p>
        </w:tc>
        <w:tc>
          <w:tcPr>
            <w:tcW w:w="16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F21166"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0,30</w:t>
            </w:r>
          </w:p>
        </w:tc>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22410" w14:textId="77777777" w:rsidR="006E2046" w:rsidRPr="00650EE4" w:rsidRDefault="006E2046" w:rsidP="006003FE">
            <w:pPr>
              <w:spacing w:line="240" w:lineRule="auto"/>
              <w:jc w:val="center"/>
              <w:rPr>
                <w:rFonts w:ascii="Times New Roman" w:eastAsia="Times New Roman" w:hAnsi="Times New Roman"/>
                <w:color w:val="000000" w:themeColor="text1"/>
                <w:sz w:val="20"/>
                <w:szCs w:val="20"/>
                <w:lang w:eastAsia="lt-LT"/>
              </w:rPr>
            </w:pPr>
            <w:r w:rsidRPr="00650EE4">
              <w:rPr>
                <w:rFonts w:ascii="Times New Roman" w:eastAsia="Times New Roman" w:hAnsi="Times New Roman"/>
                <w:color w:val="000000" w:themeColor="text1"/>
                <w:sz w:val="20"/>
                <w:szCs w:val="20"/>
                <w:lang w:eastAsia="lt-LT"/>
              </w:rPr>
              <w:t>0,42</w:t>
            </w:r>
          </w:p>
        </w:tc>
      </w:tr>
    </w:tbl>
    <w:bookmarkEnd w:id="62"/>
    <w:p w14:paraId="1DE03E4E" w14:textId="0629C230" w:rsidR="001447D2" w:rsidRDefault="006E2046" w:rsidP="00EE0B9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STR 2.01.02:2016</w:t>
      </w:r>
    </w:p>
    <w:p w14:paraId="0380DA57" w14:textId="77777777" w:rsidR="003E0C4E" w:rsidRDefault="003E0C4E" w:rsidP="003E0C4E">
      <w:pPr>
        <w:rPr>
          <w:rFonts w:ascii="Times New Roman" w:hAnsi="Times New Roman"/>
          <w:b/>
          <w:szCs w:val="22"/>
        </w:rPr>
      </w:pPr>
    </w:p>
    <w:p w14:paraId="3D0B040E" w14:textId="21D931D2" w:rsidR="00BB7886" w:rsidRPr="00650EE4" w:rsidRDefault="00BB7886" w:rsidP="00BB7886">
      <w:pPr>
        <w:spacing w:after="240"/>
        <w:rPr>
          <w:rFonts w:ascii="Times New Roman" w:hAnsi="Times New Roman"/>
          <w:b/>
          <w:szCs w:val="22"/>
        </w:rPr>
      </w:pPr>
      <w:r w:rsidRPr="00650EE4">
        <w:rPr>
          <w:rFonts w:ascii="Times New Roman" w:hAnsi="Times New Roman"/>
          <w:b/>
          <w:szCs w:val="22"/>
        </w:rPr>
        <w:t>Pastatų fondo pirminės energijos vartojimas</w:t>
      </w:r>
    </w:p>
    <w:p w14:paraId="10258531" w14:textId="57A8A5DF" w:rsidR="0047724C" w:rsidRPr="00650EE4" w:rsidRDefault="00C53D30" w:rsidP="0047724C">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pateikiami apskaičiuoti </w:t>
      </w:r>
      <w:r w:rsidR="007A52B6">
        <w:rPr>
          <w:rFonts w:ascii="Times New Roman" w:hAnsi="Times New Roman"/>
          <w:color w:val="000000" w:themeColor="text1"/>
          <w:szCs w:val="22"/>
          <w:lang w:val="lt-LT"/>
        </w:rPr>
        <w:t>p</w:t>
      </w:r>
      <w:r w:rsidR="0047724C" w:rsidRPr="00650EE4">
        <w:rPr>
          <w:rFonts w:ascii="Times New Roman" w:hAnsi="Times New Roman"/>
          <w:color w:val="000000" w:themeColor="text1"/>
          <w:szCs w:val="22"/>
          <w:lang w:val="lt-LT"/>
        </w:rPr>
        <w:t>astatų fon</w:t>
      </w:r>
      <w:r w:rsidRPr="00650EE4">
        <w:rPr>
          <w:rFonts w:ascii="Times New Roman" w:hAnsi="Times New Roman"/>
          <w:color w:val="000000" w:themeColor="text1"/>
          <w:szCs w:val="22"/>
          <w:lang w:val="lt-LT"/>
        </w:rPr>
        <w:t>do pirminės energijos vartojimo</w:t>
      </w:r>
      <w:r w:rsidR="0047724C" w:rsidRPr="00650EE4">
        <w:rPr>
          <w:rFonts w:ascii="Times New Roman" w:hAnsi="Times New Roman"/>
          <w:color w:val="000000" w:themeColor="text1"/>
          <w:szCs w:val="22"/>
          <w:lang w:val="lt-LT"/>
        </w:rPr>
        <w:t xml:space="preserve"> pagal </w:t>
      </w:r>
      <w:r w:rsidR="000F406A" w:rsidRPr="00650EE4">
        <w:rPr>
          <w:rFonts w:ascii="Times New Roman" w:hAnsi="Times New Roman"/>
          <w:color w:val="000000" w:themeColor="text1"/>
          <w:szCs w:val="22"/>
          <w:lang w:val="lt-LT"/>
        </w:rPr>
        <w:t>energinio naudingumo</w:t>
      </w:r>
      <w:r w:rsidR="0047724C" w:rsidRPr="00650EE4">
        <w:rPr>
          <w:rFonts w:ascii="Times New Roman" w:hAnsi="Times New Roman"/>
          <w:color w:val="000000" w:themeColor="text1"/>
          <w:szCs w:val="22"/>
          <w:lang w:val="lt-LT"/>
        </w:rPr>
        <w:t xml:space="preserve"> klasę</w:t>
      </w:r>
      <w:r w:rsidRPr="00650EE4">
        <w:rPr>
          <w:rFonts w:ascii="Times New Roman" w:hAnsi="Times New Roman"/>
          <w:color w:val="000000" w:themeColor="text1"/>
          <w:szCs w:val="22"/>
          <w:lang w:val="lt-LT"/>
        </w:rPr>
        <w:t xml:space="preserve"> duomenys</w:t>
      </w:r>
      <w:r w:rsidR="0047724C" w:rsidRPr="00650EE4">
        <w:rPr>
          <w:rFonts w:ascii="Times New Roman" w:hAnsi="Times New Roman"/>
          <w:color w:val="000000" w:themeColor="text1"/>
          <w:szCs w:val="22"/>
          <w:lang w:val="lt-LT"/>
        </w:rPr>
        <w:t xml:space="preserve">, </w:t>
      </w:r>
      <w:proofErr w:type="spellStart"/>
      <w:r w:rsidR="003F7952" w:rsidRPr="00650EE4">
        <w:rPr>
          <w:rFonts w:ascii="Times New Roman" w:hAnsi="Times New Roman"/>
          <w:color w:val="000000" w:themeColor="text1"/>
          <w:szCs w:val="22"/>
          <w:lang w:val="lt-LT"/>
        </w:rPr>
        <w:t>GWh</w:t>
      </w:r>
      <w:proofErr w:type="spellEnd"/>
      <w:r w:rsidR="0047724C" w:rsidRPr="00650EE4">
        <w:rPr>
          <w:rFonts w:ascii="Times New Roman" w:hAnsi="Times New Roman"/>
          <w:color w:val="000000" w:themeColor="text1"/>
          <w:szCs w:val="22"/>
          <w:lang w:val="lt-LT"/>
        </w:rPr>
        <w:t xml:space="preserve">. </w:t>
      </w:r>
    </w:p>
    <w:p w14:paraId="0A736918" w14:textId="77777777" w:rsidR="0047724C" w:rsidRPr="00650EE4" w:rsidRDefault="0047724C" w:rsidP="0047724C">
      <w:pPr>
        <w:jc w:val="both"/>
        <w:rPr>
          <w:rFonts w:ascii="Times New Roman" w:hAnsi="Times New Roman"/>
          <w:color w:val="000000" w:themeColor="text1"/>
          <w:szCs w:val="22"/>
        </w:rPr>
      </w:pPr>
    </w:p>
    <w:p w14:paraId="08936B5B" w14:textId="038CEEA6" w:rsidR="0047724C"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3" w:name="_Toc59094205"/>
      <w:r w:rsidR="00F25C65">
        <w:t>22</w:t>
      </w:r>
      <w:r w:rsidRPr="00650EE4">
        <w:rPr>
          <w:noProof w:val="0"/>
        </w:rPr>
        <w:fldChar w:fldCharType="end"/>
      </w:r>
      <w:r w:rsidR="001E6DEB" w:rsidRPr="00650EE4">
        <w:rPr>
          <w:noProof w:val="0"/>
        </w:rPr>
        <w:t xml:space="preserve"> lentelė</w:t>
      </w:r>
      <w:r w:rsidR="0047724C" w:rsidRPr="00650EE4">
        <w:rPr>
          <w:noProof w:val="0"/>
        </w:rPr>
        <w:t xml:space="preserve">. Pastatų fondo pirminės energijos vartojimas pagal </w:t>
      </w:r>
      <w:r w:rsidR="009209CF" w:rsidRPr="00650EE4">
        <w:rPr>
          <w:noProof w:val="0"/>
        </w:rPr>
        <w:t>ENK</w:t>
      </w:r>
      <w:r w:rsidR="0047724C" w:rsidRPr="00650EE4">
        <w:rPr>
          <w:noProof w:val="0"/>
        </w:rPr>
        <w:t xml:space="preserve"> (</w:t>
      </w:r>
      <w:proofErr w:type="spellStart"/>
      <w:r w:rsidR="0047724C" w:rsidRPr="00650EE4">
        <w:rPr>
          <w:noProof w:val="0"/>
        </w:rPr>
        <w:t>GWh</w:t>
      </w:r>
      <w:proofErr w:type="spellEnd"/>
      <w:r w:rsidR="0047724C" w:rsidRPr="00650EE4">
        <w:rPr>
          <w:noProof w:val="0"/>
        </w:rPr>
        <w:t>/metus)</w:t>
      </w:r>
      <w:bookmarkEnd w:id="63"/>
    </w:p>
    <w:tbl>
      <w:tblPr>
        <w:tblW w:w="5000" w:type="pct"/>
        <w:tblLook w:val="04A0" w:firstRow="1" w:lastRow="0" w:firstColumn="1" w:lastColumn="0" w:noHBand="0" w:noVBand="1"/>
      </w:tblPr>
      <w:tblGrid>
        <w:gridCol w:w="2139"/>
        <w:gridCol w:w="1103"/>
        <w:gridCol w:w="1103"/>
        <w:gridCol w:w="1102"/>
        <w:gridCol w:w="1102"/>
        <w:gridCol w:w="1102"/>
        <w:gridCol w:w="1111"/>
        <w:gridCol w:w="879"/>
        <w:gridCol w:w="779"/>
      </w:tblGrid>
      <w:tr w:rsidR="00732FB5" w:rsidRPr="00650EE4" w14:paraId="4AEB807F" w14:textId="77777777" w:rsidTr="00F45BD1">
        <w:tc>
          <w:tcPr>
            <w:tcW w:w="102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066333C6"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17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6C5E835" w14:textId="32CF2D4C" w:rsidR="00732FB5" w:rsidRPr="00650EE4" w:rsidRDefault="004C3307"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 xml:space="preserve">Energinio naudingumo </w:t>
            </w:r>
            <w:r w:rsidR="00732FB5" w:rsidRPr="00650EE4">
              <w:rPr>
                <w:rFonts w:ascii="Times New Roman" w:eastAsia="Times New Roman" w:hAnsi="Times New Roman"/>
                <w:b/>
                <w:bCs/>
                <w:sz w:val="20"/>
                <w:szCs w:val="20"/>
              </w:rPr>
              <w:t>klasė</w:t>
            </w:r>
          </w:p>
        </w:tc>
        <w:tc>
          <w:tcPr>
            <w:tcW w:w="422" w:type="pct"/>
            <w:vMerge w:val="restart"/>
            <w:tcBorders>
              <w:top w:val="single" w:sz="4" w:space="0" w:color="auto"/>
              <w:left w:val="nil"/>
              <w:bottom w:val="single" w:sz="4" w:space="0" w:color="000000"/>
              <w:right w:val="nil"/>
            </w:tcBorders>
            <w:shd w:val="clear" w:color="000000" w:fill="FFFFFF"/>
            <w:vAlign w:val="center"/>
            <w:hideMark/>
          </w:tcPr>
          <w:p w14:paraId="1169F25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374"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288329E8"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732FB5" w:rsidRPr="00650EE4" w14:paraId="52B90B93" w14:textId="77777777" w:rsidTr="00F45BD1">
        <w:tc>
          <w:tcPr>
            <w:tcW w:w="1026" w:type="pct"/>
            <w:vMerge/>
            <w:tcBorders>
              <w:top w:val="single" w:sz="4" w:space="0" w:color="auto"/>
              <w:left w:val="single" w:sz="4" w:space="0" w:color="auto"/>
              <w:bottom w:val="single" w:sz="4" w:space="0" w:color="000000"/>
              <w:right w:val="nil"/>
            </w:tcBorders>
            <w:vAlign w:val="center"/>
            <w:hideMark/>
          </w:tcPr>
          <w:p w14:paraId="47AD7276" w14:textId="77777777" w:rsidR="00732FB5" w:rsidRPr="00650EE4" w:rsidRDefault="00732FB5" w:rsidP="00732FB5">
            <w:pPr>
              <w:spacing w:line="240" w:lineRule="auto"/>
              <w:rPr>
                <w:rFonts w:ascii="Times New Roman" w:eastAsia="Times New Roman" w:hAnsi="Times New Roman"/>
                <w:b/>
                <w:bCs/>
                <w:sz w:val="20"/>
                <w:szCs w:val="20"/>
              </w:rPr>
            </w:pPr>
          </w:p>
        </w:tc>
        <w:tc>
          <w:tcPr>
            <w:tcW w:w="529" w:type="pct"/>
            <w:tcBorders>
              <w:top w:val="nil"/>
              <w:left w:val="single" w:sz="4" w:space="0" w:color="auto"/>
              <w:bottom w:val="single" w:sz="4" w:space="0" w:color="auto"/>
              <w:right w:val="nil"/>
            </w:tcBorders>
            <w:shd w:val="clear" w:color="000000" w:fill="FFFFFF"/>
            <w:vAlign w:val="center"/>
            <w:hideMark/>
          </w:tcPr>
          <w:p w14:paraId="640CE90A" w14:textId="10755493" w:rsidR="00732FB5" w:rsidRPr="00650EE4" w:rsidRDefault="007F357E"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29" w:type="pct"/>
            <w:tcBorders>
              <w:top w:val="nil"/>
              <w:left w:val="nil"/>
              <w:bottom w:val="single" w:sz="4" w:space="0" w:color="auto"/>
              <w:right w:val="nil"/>
            </w:tcBorders>
            <w:shd w:val="clear" w:color="000000" w:fill="FFFFFF"/>
            <w:vAlign w:val="center"/>
            <w:hideMark/>
          </w:tcPr>
          <w:p w14:paraId="5E550C1B"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29" w:type="pct"/>
            <w:tcBorders>
              <w:top w:val="nil"/>
              <w:left w:val="nil"/>
              <w:bottom w:val="single" w:sz="4" w:space="0" w:color="auto"/>
              <w:right w:val="nil"/>
            </w:tcBorders>
            <w:shd w:val="clear" w:color="000000" w:fill="FFFFFF"/>
            <w:vAlign w:val="center"/>
            <w:hideMark/>
          </w:tcPr>
          <w:p w14:paraId="7FBE6217"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29" w:type="pct"/>
            <w:tcBorders>
              <w:top w:val="nil"/>
              <w:left w:val="nil"/>
              <w:bottom w:val="single" w:sz="4" w:space="0" w:color="auto"/>
              <w:right w:val="nil"/>
            </w:tcBorders>
            <w:shd w:val="clear" w:color="000000" w:fill="FFFFFF"/>
            <w:vAlign w:val="center"/>
            <w:hideMark/>
          </w:tcPr>
          <w:p w14:paraId="45C5F6FA"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29" w:type="pct"/>
            <w:tcBorders>
              <w:top w:val="nil"/>
              <w:left w:val="nil"/>
              <w:bottom w:val="single" w:sz="4" w:space="0" w:color="auto"/>
              <w:right w:val="nil"/>
            </w:tcBorders>
            <w:shd w:val="clear" w:color="000000" w:fill="FFFFFF"/>
            <w:vAlign w:val="center"/>
            <w:hideMark/>
          </w:tcPr>
          <w:p w14:paraId="56A0C0F1"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33" w:type="pct"/>
            <w:tcBorders>
              <w:top w:val="nil"/>
              <w:left w:val="nil"/>
              <w:bottom w:val="single" w:sz="4" w:space="0" w:color="auto"/>
              <w:right w:val="single" w:sz="4" w:space="0" w:color="auto"/>
            </w:tcBorders>
            <w:shd w:val="clear" w:color="000000" w:fill="FFFFFF"/>
            <w:vAlign w:val="center"/>
            <w:hideMark/>
          </w:tcPr>
          <w:p w14:paraId="7016BB82" w14:textId="77777777" w:rsidR="00732FB5" w:rsidRPr="00650EE4" w:rsidRDefault="00732FB5" w:rsidP="00732FB5">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22" w:type="pct"/>
            <w:vMerge/>
            <w:tcBorders>
              <w:top w:val="single" w:sz="4" w:space="0" w:color="auto"/>
              <w:left w:val="nil"/>
              <w:bottom w:val="single" w:sz="4" w:space="0" w:color="000000"/>
              <w:right w:val="nil"/>
            </w:tcBorders>
            <w:vAlign w:val="center"/>
            <w:hideMark/>
          </w:tcPr>
          <w:p w14:paraId="332461E3" w14:textId="77777777" w:rsidR="00732FB5" w:rsidRPr="00650EE4" w:rsidRDefault="00732FB5" w:rsidP="00732FB5">
            <w:pPr>
              <w:spacing w:line="240" w:lineRule="auto"/>
              <w:rPr>
                <w:rFonts w:ascii="Times New Roman" w:eastAsia="Times New Roman" w:hAnsi="Times New Roman"/>
                <w:b/>
                <w:bCs/>
                <w:sz w:val="20"/>
                <w:szCs w:val="20"/>
              </w:rPr>
            </w:pPr>
          </w:p>
        </w:tc>
        <w:tc>
          <w:tcPr>
            <w:tcW w:w="374" w:type="pct"/>
            <w:vMerge/>
            <w:tcBorders>
              <w:top w:val="single" w:sz="4" w:space="0" w:color="auto"/>
              <w:left w:val="single" w:sz="4" w:space="0" w:color="auto"/>
              <w:bottom w:val="single" w:sz="4" w:space="0" w:color="000000"/>
              <w:right w:val="single" w:sz="4" w:space="0" w:color="auto"/>
            </w:tcBorders>
            <w:vAlign w:val="center"/>
            <w:hideMark/>
          </w:tcPr>
          <w:p w14:paraId="15CC1E74" w14:textId="77777777" w:rsidR="00732FB5" w:rsidRPr="00650EE4" w:rsidRDefault="00732FB5" w:rsidP="00732FB5">
            <w:pPr>
              <w:spacing w:line="240" w:lineRule="auto"/>
              <w:rPr>
                <w:rFonts w:ascii="Times New Roman" w:eastAsia="Times New Roman" w:hAnsi="Times New Roman"/>
                <w:b/>
                <w:bCs/>
                <w:sz w:val="20"/>
                <w:szCs w:val="20"/>
              </w:rPr>
            </w:pPr>
          </w:p>
        </w:tc>
      </w:tr>
      <w:tr w:rsidR="004C3307" w:rsidRPr="00650EE4" w14:paraId="44D98D63" w14:textId="77777777" w:rsidTr="00F45BD1">
        <w:tc>
          <w:tcPr>
            <w:tcW w:w="1026" w:type="pct"/>
            <w:tcBorders>
              <w:top w:val="nil"/>
              <w:left w:val="single" w:sz="4" w:space="0" w:color="auto"/>
              <w:bottom w:val="single" w:sz="4" w:space="0" w:color="auto"/>
              <w:right w:val="single" w:sz="4" w:space="0" w:color="auto"/>
            </w:tcBorders>
            <w:shd w:val="clear" w:color="000000" w:fill="F2F2F2"/>
            <w:noWrap/>
            <w:vAlign w:val="center"/>
            <w:hideMark/>
          </w:tcPr>
          <w:p w14:paraId="1FFDF287"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9" w:type="pct"/>
            <w:tcBorders>
              <w:top w:val="nil"/>
              <w:left w:val="nil"/>
              <w:bottom w:val="single" w:sz="4" w:space="0" w:color="auto"/>
              <w:right w:val="nil"/>
            </w:tcBorders>
            <w:shd w:val="clear" w:color="000000" w:fill="F2F2F2"/>
            <w:noWrap/>
            <w:vAlign w:val="center"/>
            <w:hideMark/>
          </w:tcPr>
          <w:p w14:paraId="6C4DDCA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19.252</w:t>
            </w:r>
          </w:p>
        </w:tc>
        <w:tc>
          <w:tcPr>
            <w:tcW w:w="529" w:type="pct"/>
            <w:tcBorders>
              <w:top w:val="nil"/>
              <w:left w:val="nil"/>
              <w:bottom w:val="single" w:sz="4" w:space="0" w:color="auto"/>
              <w:right w:val="nil"/>
            </w:tcBorders>
            <w:shd w:val="clear" w:color="000000" w:fill="F2F2F2"/>
            <w:noWrap/>
            <w:vAlign w:val="center"/>
            <w:hideMark/>
          </w:tcPr>
          <w:p w14:paraId="021650E1"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4.203</w:t>
            </w:r>
          </w:p>
        </w:tc>
        <w:tc>
          <w:tcPr>
            <w:tcW w:w="529" w:type="pct"/>
            <w:tcBorders>
              <w:top w:val="nil"/>
              <w:left w:val="nil"/>
              <w:bottom w:val="single" w:sz="4" w:space="0" w:color="auto"/>
              <w:right w:val="nil"/>
            </w:tcBorders>
            <w:shd w:val="clear" w:color="000000" w:fill="F2F2F2"/>
            <w:noWrap/>
            <w:vAlign w:val="center"/>
            <w:hideMark/>
          </w:tcPr>
          <w:p w14:paraId="2D297E5D"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2.111</w:t>
            </w:r>
          </w:p>
        </w:tc>
        <w:tc>
          <w:tcPr>
            <w:tcW w:w="529" w:type="pct"/>
            <w:tcBorders>
              <w:top w:val="nil"/>
              <w:left w:val="nil"/>
              <w:bottom w:val="single" w:sz="4" w:space="0" w:color="auto"/>
              <w:right w:val="nil"/>
            </w:tcBorders>
            <w:shd w:val="clear" w:color="000000" w:fill="F2F2F2"/>
            <w:noWrap/>
            <w:vAlign w:val="center"/>
            <w:hideMark/>
          </w:tcPr>
          <w:p w14:paraId="2BE17939"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187</w:t>
            </w:r>
          </w:p>
        </w:tc>
        <w:tc>
          <w:tcPr>
            <w:tcW w:w="529" w:type="pct"/>
            <w:tcBorders>
              <w:top w:val="nil"/>
              <w:left w:val="nil"/>
              <w:bottom w:val="single" w:sz="4" w:space="0" w:color="auto"/>
              <w:right w:val="nil"/>
            </w:tcBorders>
            <w:shd w:val="clear" w:color="000000" w:fill="F2F2F2"/>
            <w:noWrap/>
            <w:vAlign w:val="center"/>
            <w:hideMark/>
          </w:tcPr>
          <w:p w14:paraId="03F45C79"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29</w:t>
            </w:r>
          </w:p>
        </w:tc>
        <w:tc>
          <w:tcPr>
            <w:tcW w:w="533" w:type="pct"/>
            <w:tcBorders>
              <w:top w:val="nil"/>
              <w:left w:val="nil"/>
              <w:bottom w:val="single" w:sz="4" w:space="0" w:color="auto"/>
              <w:right w:val="single" w:sz="4" w:space="0" w:color="auto"/>
            </w:tcBorders>
            <w:shd w:val="clear" w:color="000000" w:fill="F2F2F2"/>
            <w:noWrap/>
            <w:vAlign w:val="center"/>
            <w:hideMark/>
          </w:tcPr>
          <w:p w14:paraId="508C3C7D"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22" w:type="pct"/>
            <w:tcBorders>
              <w:top w:val="nil"/>
              <w:left w:val="nil"/>
              <w:bottom w:val="single" w:sz="4" w:space="0" w:color="auto"/>
              <w:right w:val="nil"/>
            </w:tcBorders>
            <w:shd w:val="clear" w:color="000000" w:fill="F2F2F2"/>
            <w:noWrap/>
            <w:vAlign w:val="center"/>
            <w:hideMark/>
          </w:tcPr>
          <w:p w14:paraId="2EF95988"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374" w:type="pct"/>
            <w:tcBorders>
              <w:top w:val="nil"/>
              <w:left w:val="single" w:sz="4" w:space="0" w:color="auto"/>
              <w:bottom w:val="single" w:sz="4" w:space="0" w:color="auto"/>
              <w:right w:val="single" w:sz="4" w:space="0" w:color="auto"/>
            </w:tcBorders>
            <w:shd w:val="clear" w:color="000000" w:fill="F2F2F2"/>
            <w:noWrap/>
            <w:vAlign w:val="center"/>
            <w:hideMark/>
          </w:tcPr>
          <w:p w14:paraId="2EEC933E"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732FB5" w:rsidRPr="00650EE4" w14:paraId="70DDDE4C" w14:textId="77777777" w:rsidTr="00F45BD1">
        <w:tc>
          <w:tcPr>
            <w:tcW w:w="1026" w:type="pct"/>
            <w:tcBorders>
              <w:top w:val="nil"/>
              <w:left w:val="single" w:sz="4" w:space="0" w:color="auto"/>
              <w:bottom w:val="nil"/>
              <w:right w:val="nil"/>
            </w:tcBorders>
            <w:shd w:val="clear" w:color="000000" w:fill="FFFFFF"/>
            <w:noWrap/>
            <w:vAlign w:val="center"/>
            <w:hideMark/>
          </w:tcPr>
          <w:p w14:paraId="6911DCF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9" w:type="pct"/>
            <w:tcBorders>
              <w:top w:val="nil"/>
              <w:left w:val="single" w:sz="4" w:space="0" w:color="auto"/>
              <w:bottom w:val="nil"/>
              <w:right w:val="nil"/>
            </w:tcBorders>
            <w:shd w:val="clear" w:color="000000" w:fill="FFFFFF"/>
            <w:noWrap/>
            <w:vAlign w:val="center"/>
            <w:hideMark/>
          </w:tcPr>
          <w:p w14:paraId="6D56CCF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9.704</w:t>
            </w:r>
          </w:p>
        </w:tc>
        <w:tc>
          <w:tcPr>
            <w:tcW w:w="529" w:type="pct"/>
            <w:tcBorders>
              <w:top w:val="nil"/>
              <w:left w:val="nil"/>
              <w:bottom w:val="nil"/>
              <w:right w:val="nil"/>
            </w:tcBorders>
            <w:shd w:val="clear" w:color="000000" w:fill="FFFFFF"/>
            <w:noWrap/>
            <w:vAlign w:val="center"/>
            <w:hideMark/>
          </w:tcPr>
          <w:p w14:paraId="360111E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3.068</w:t>
            </w:r>
          </w:p>
        </w:tc>
        <w:tc>
          <w:tcPr>
            <w:tcW w:w="529" w:type="pct"/>
            <w:tcBorders>
              <w:top w:val="nil"/>
              <w:left w:val="nil"/>
              <w:bottom w:val="nil"/>
              <w:right w:val="nil"/>
            </w:tcBorders>
            <w:shd w:val="clear" w:color="000000" w:fill="FFFFFF"/>
            <w:noWrap/>
            <w:vAlign w:val="center"/>
            <w:hideMark/>
          </w:tcPr>
          <w:p w14:paraId="621837A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897</w:t>
            </w:r>
          </w:p>
        </w:tc>
        <w:tc>
          <w:tcPr>
            <w:tcW w:w="529" w:type="pct"/>
            <w:tcBorders>
              <w:top w:val="nil"/>
              <w:left w:val="nil"/>
              <w:bottom w:val="nil"/>
              <w:right w:val="nil"/>
            </w:tcBorders>
            <w:shd w:val="clear" w:color="000000" w:fill="FFFFFF"/>
            <w:noWrap/>
            <w:vAlign w:val="center"/>
            <w:hideMark/>
          </w:tcPr>
          <w:p w14:paraId="561C347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529" w:type="pct"/>
            <w:tcBorders>
              <w:top w:val="nil"/>
              <w:left w:val="nil"/>
              <w:bottom w:val="nil"/>
              <w:right w:val="nil"/>
            </w:tcBorders>
            <w:shd w:val="clear" w:color="000000" w:fill="FFFFFF"/>
            <w:noWrap/>
            <w:vAlign w:val="center"/>
            <w:hideMark/>
          </w:tcPr>
          <w:p w14:paraId="1314E2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533" w:type="pct"/>
            <w:tcBorders>
              <w:top w:val="nil"/>
              <w:left w:val="nil"/>
              <w:bottom w:val="nil"/>
              <w:right w:val="single" w:sz="4" w:space="0" w:color="auto"/>
            </w:tcBorders>
            <w:shd w:val="clear" w:color="000000" w:fill="FFFFFF"/>
            <w:noWrap/>
            <w:vAlign w:val="center"/>
            <w:hideMark/>
          </w:tcPr>
          <w:p w14:paraId="233DDC2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1733F5D3"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374" w:type="pct"/>
            <w:tcBorders>
              <w:top w:val="nil"/>
              <w:left w:val="single" w:sz="4" w:space="0" w:color="auto"/>
              <w:bottom w:val="nil"/>
              <w:right w:val="single" w:sz="4" w:space="0" w:color="auto"/>
            </w:tcBorders>
            <w:shd w:val="clear" w:color="000000" w:fill="FFFFFF"/>
            <w:noWrap/>
            <w:vAlign w:val="center"/>
            <w:hideMark/>
          </w:tcPr>
          <w:p w14:paraId="3F6A6C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732FB5" w:rsidRPr="00650EE4" w14:paraId="48A1EDF1" w14:textId="77777777" w:rsidTr="00F45BD1">
        <w:tc>
          <w:tcPr>
            <w:tcW w:w="1026" w:type="pct"/>
            <w:tcBorders>
              <w:top w:val="nil"/>
              <w:left w:val="single" w:sz="4" w:space="0" w:color="auto"/>
              <w:bottom w:val="nil"/>
              <w:right w:val="nil"/>
            </w:tcBorders>
            <w:shd w:val="clear" w:color="000000" w:fill="FFFFFF"/>
            <w:noWrap/>
            <w:vAlign w:val="center"/>
            <w:hideMark/>
          </w:tcPr>
          <w:p w14:paraId="0AA60F49"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9" w:type="pct"/>
            <w:tcBorders>
              <w:top w:val="nil"/>
              <w:left w:val="single" w:sz="4" w:space="0" w:color="auto"/>
              <w:bottom w:val="nil"/>
              <w:right w:val="nil"/>
            </w:tcBorders>
            <w:shd w:val="clear" w:color="000000" w:fill="FFFFFF"/>
            <w:noWrap/>
            <w:vAlign w:val="center"/>
            <w:hideMark/>
          </w:tcPr>
          <w:p w14:paraId="1FA518C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9.548</w:t>
            </w:r>
          </w:p>
        </w:tc>
        <w:tc>
          <w:tcPr>
            <w:tcW w:w="529" w:type="pct"/>
            <w:tcBorders>
              <w:top w:val="nil"/>
              <w:left w:val="nil"/>
              <w:bottom w:val="nil"/>
              <w:right w:val="nil"/>
            </w:tcBorders>
            <w:shd w:val="clear" w:color="000000" w:fill="FFFFFF"/>
            <w:noWrap/>
            <w:vAlign w:val="center"/>
            <w:hideMark/>
          </w:tcPr>
          <w:p w14:paraId="1BB5033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1.135</w:t>
            </w:r>
          </w:p>
        </w:tc>
        <w:tc>
          <w:tcPr>
            <w:tcW w:w="529" w:type="pct"/>
            <w:tcBorders>
              <w:top w:val="nil"/>
              <w:left w:val="nil"/>
              <w:bottom w:val="nil"/>
              <w:right w:val="nil"/>
            </w:tcBorders>
            <w:shd w:val="clear" w:color="000000" w:fill="FFFFFF"/>
            <w:noWrap/>
            <w:vAlign w:val="center"/>
            <w:hideMark/>
          </w:tcPr>
          <w:p w14:paraId="0A48CB7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1.213</w:t>
            </w:r>
          </w:p>
        </w:tc>
        <w:tc>
          <w:tcPr>
            <w:tcW w:w="529" w:type="pct"/>
            <w:tcBorders>
              <w:top w:val="nil"/>
              <w:left w:val="nil"/>
              <w:bottom w:val="nil"/>
              <w:right w:val="nil"/>
            </w:tcBorders>
            <w:shd w:val="clear" w:color="000000" w:fill="FFFFFF"/>
            <w:noWrap/>
            <w:vAlign w:val="center"/>
            <w:hideMark/>
          </w:tcPr>
          <w:p w14:paraId="25B26B7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w:t>
            </w:r>
          </w:p>
        </w:tc>
        <w:tc>
          <w:tcPr>
            <w:tcW w:w="529" w:type="pct"/>
            <w:tcBorders>
              <w:top w:val="nil"/>
              <w:left w:val="nil"/>
              <w:bottom w:val="nil"/>
              <w:right w:val="nil"/>
            </w:tcBorders>
            <w:shd w:val="clear" w:color="000000" w:fill="FFFFFF"/>
            <w:noWrap/>
            <w:vAlign w:val="center"/>
            <w:hideMark/>
          </w:tcPr>
          <w:p w14:paraId="48D0DEB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33" w:type="pct"/>
            <w:tcBorders>
              <w:top w:val="nil"/>
              <w:left w:val="nil"/>
              <w:bottom w:val="nil"/>
              <w:right w:val="single" w:sz="4" w:space="0" w:color="auto"/>
            </w:tcBorders>
            <w:shd w:val="clear" w:color="000000" w:fill="FFFFFF"/>
            <w:noWrap/>
            <w:vAlign w:val="center"/>
            <w:hideMark/>
          </w:tcPr>
          <w:p w14:paraId="0FFDC8D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22" w:type="pct"/>
            <w:tcBorders>
              <w:top w:val="nil"/>
              <w:left w:val="nil"/>
              <w:bottom w:val="nil"/>
              <w:right w:val="nil"/>
            </w:tcBorders>
            <w:shd w:val="clear" w:color="000000" w:fill="FFFFFF"/>
            <w:noWrap/>
            <w:vAlign w:val="center"/>
            <w:hideMark/>
          </w:tcPr>
          <w:p w14:paraId="160E7ADC"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374" w:type="pct"/>
            <w:tcBorders>
              <w:top w:val="nil"/>
              <w:left w:val="single" w:sz="4" w:space="0" w:color="auto"/>
              <w:bottom w:val="nil"/>
              <w:right w:val="single" w:sz="4" w:space="0" w:color="auto"/>
            </w:tcBorders>
            <w:shd w:val="clear" w:color="000000" w:fill="FFFFFF"/>
            <w:noWrap/>
            <w:vAlign w:val="center"/>
            <w:hideMark/>
          </w:tcPr>
          <w:p w14:paraId="448BF77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4C3307" w:rsidRPr="00650EE4" w14:paraId="457C7BC4" w14:textId="77777777" w:rsidTr="00F45BD1">
        <w:tc>
          <w:tcPr>
            <w:tcW w:w="10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732229A" w14:textId="77777777" w:rsidR="00732FB5" w:rsidRPr="00650EE4" w:rsidRDefault="00732FB5" w:rsidP="00732FB5">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9" w:type="pct"/>
            <w:tcBorders>
              <w:top w:val="single" w:sz="4" w:space="0" w:color="auto"/>
              <w:left w:val="nil"/>
              <w:bottom w:val="single" w:sz="4" w:space="0" w:color="auto"/>
              <w:right w:val="nil"/>
            </w:tcBorders>
            <w:shd w:val="clear" w:color="000000" w:fill="F2F2F2"/>
            <w:noWrap/>
            <w:vAlign w:val="center"/>
            <w:hideMark/>
          </w:tcPr>
          <w:p w14:paraId="29661E9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12.339</w:t>
            </w:r>
          </w:p>
        </w:tc>
        <w:tc>
          <w:tcPr>
            <w:tcW w:w="529" w:type="pct"/>
            <w:tcBorders>
              <w:top w:val="single" w:sz="4" w:space="0" w:color="auto"/>
              <w:left w:val="nil"/>
              <w:bottom w:val="single" w:sz="4" w:space="0" w:color="auto"/>
              <w:right w:val="nil"/>
            </w:tcBorders>
            <w:shd w:val="clear" w:color="000000" w:fill="F2F2F2"/>
            <w:noWrap/>
            <w:vAlign w:val="center"/>
            <w:hideMark/>
          </w:tcPr>
          <w:p w14:paraId="4DAFC2D2"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1.176</w:t>
            </w:r>
          </w:p>
        </w:tc>
        <w:tc>
          <w:tcPr>
            <w:tcW w:w="529" w:type="pct"/>
            <w:tcBorders>
              <w:top w:val="single" w:sz="4" w:space="0" w:color="auto"/>
              <w:left w:val="nil"/>
              <w:bottom w:val="single" w:sz="4" w:space="0" w:color="auto"/>
              <w:right w:val="nil"/>
            </w:tcBorders>
            <w:shd w:val="clear" w:color="000000" w:fill="F2F2F2"/>
            <w:noWrap/>
            <w:vAlign w:val="center"/>
            <w:hideMark/>
          </w:tcPr>
          <w:p w14:paraId="6AD1CED3"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1.300</w:t>
            </w:r>
          </w:p>
        </w:tc>
        <w:tc>
          <w:tcPr>
            <w:tcW w:w="529" w:type="pct"/>
            <w:tcBorders>
              <w:top w:val="single" w:sz="4" w:space="0" w:color="auto"/>
              <w:left w:val="nil"/>
              <w:bottom w:val="single" w:sz="4" w:space="0" w:color="auto"/>
              <w:right w:val="nil"/>
            </w:tcBorders>
            <w:shd w:val="clear" w:color="000000" w:fill="F2F2F2"/>
            <w:noWrap/>
            <w:vAlign w:val="center"/>
            <w:hideMark/>
          </w:tcPr>
          <w:p w14:paraId="0DF85B02"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149</w:t>
            </w:r>
          </w:p>
        </w:tc>
        <w:tc>
          <w:tcPr>
            <w:tcW w:w="529" w:type="pct"/>
            <w:tcBorders>
              <w:top w:val="single" w:sz="4" w:space="0" w:color="auto"/>
              <w:left w:val="nil"/>
              <w:bottom w:val="single" w:sz="4" w:space="0" w:color="auto"/>
              <w:right w:val="nil"/>
            </w:tcBorders>
            <w:shd w:val="clear" w:color="000000" w:fill="F2F2F2"/>
            <w:noWrap/>
            <w:vAlign w:val="center"/>
            <w:hideMark/>
          </w:tcPr>
          <w:p w14:paraId="0BC81400"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55</w:t>
            </w:r>
          </w:p>
        </w:tc>
        <w:tc>
          <w:tcPr>
            <w:tcW w:w="533" w:type="pct"/>
            <w:tcBorders>
              <w:top w:val="single" w:sz="4" w:space="0" w:color="auto"/>
              <w:left w:val="nil"/>
              <w:bottom w:val="single" w:sz="4" w:space="0" w:color="auto"/>
              <w:right w:val="single" w:sz="4" w:space="0" w:color="auto"/>
            </w:tcBorders>
            <w:shd w:val="clear" w:color="000000" w:fill="F2F2F2"/>
            <w:noWrap/>
            <w:vAlign w:val="center"/>
            <w:hideMark/>
          </w:tcPr>
          <w:p w14:paraId="15B4074A"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w:t>
            </w:r>
          </w:p>
        </w:tc>
        <w:tc>
          <w:tcPr>
            <w:tcW w:w="422" w:type="pct"/>
            <w:tcBorders>
              <w:top w:val="single" w:sz="4" w:space="0" w:color="auto"/>
              <w:left w:val="nil"/>
              <w:bottom w:val="single" w:sz="4" w:space="0" w:color="auto"/>
              <w:right w:val="nil"/>
            </w:tcBorders>
            <w:shd w:val="clear" w:color="000000" w:fill="F2F2F2"/>
            <w:noWrap/>
            <w:vAlign w:val="center"/>
            <w:hideMark/>
          </w:tcPr>
          <w:p w14:paraId="368859B5"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37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7E63498" w14:textId="77777777" w:rsidR="00732FB5" w:rsidRPr="00650EE4" w:rsidRDefault="00732FB5" w:rsidP="00732FB5">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732FB5" w:rsidRPr="00650EE4" w14:paraId="4C0BFE60" w14:textId="77777777" w:rsidTr="00F45BD1">
        <w:tc>
          <w:tcPr>
            <w:tcW w:w="1026" w:type="pct"/>
            <w:tcBorders>
              <w:top w:val="nil"/>
              <w:left w:val="single" w:sz="4" w:space="0" w:color="auto"/>
              <w:bottom w:val="nil"/>
              <w:right w:val="nil"/>
            </w:tcBorders>
            <w:shd w:val="clear" w:color="000000" w:fill="FFFFFF"/>
            <w:noWrap/>
            <w:vAlign w:val="center"/>
            <w:hideMark/>
          </w:tcPr>
          <w:p w14:paraId="53A4F22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9" w:type="pct"/>
            <w:tcBorders>
              <w:top w:val="nil"/>
              <w:left w:val="single" w:sz="4" w:space="0" w:color="auto"/>
              <w:bottom w:val="nil"/>
              <w:right w:val="nil"/>
            </w:tcBorders>
            <w:shd w:val="clear" w:color="000000" w:fill="FFFFFF"/>
            <w:noWrap/>
            <w:vAlign w:val="center"/>
            <w:hideMark/>
          </w:tcPr>
          <w:p w14:paraId="79EACE3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6.552</w:t>
            </w:r>
          </w:p>
        </w:tc>
        <w:tc>
          <w:tcPr>
            <w:tcW w:w="529" w:type="pct"/>
            <w:tcBorders>
              <w:top w:val="nil"/>
              <w:left w:val="nil"/>
              <w:bottom w:val="nil"/>
              <w:right w:val="nil"/>
            </w:tcBorders>
            <w:shd w:val="clear" w:color="000000" w:fill="FFFFFF"/>
            <w:noWrap/>
            <w:vAlign w:val="center"/>
            <w:hideMark/>
          </w:tcPr>
          <w:p w14:paraId="3FF5B3C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529" w:type="pct"/>
            <w:tcBorders>
              <w:top w:val="nil"/>
              <w:left w:val="nil"/>
              <w:bottom w:val="nil"/>
              <w:right w:val="nil"/>
            </w:tcBorders>
            <w:shd w:val="clear" w:color="000000" w:fill="FFFFFF"/>
            <w:noWrap/>
            <w:vAlign w:val="center"/>
            <w:hideMark/>
          </w:tcPr>
          <w:p w14:paraId="4FFDA73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29" w:type="pct"/>
            <w:tcBorders>
              <w:top w:val="nil"/>
              <w:left w:val="nil"/>
              <w:bottom w:val="nil"/>
              <w:right w:val="nil"/>
            </w:tcBorders>
            <w:shd w:val="clear" w:color="000000" w:fill="FFFFFF"/>
            <w:noWrap/>
            <w:vAlign w:val="center"/>
            <w:hideMark/>
          </w:tcPr>
          <w:p w14:paraId="5103BF7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529" w:type="pct"/>
            <w:tcBorders>
              <w:top w:val="nil"/>
              <w:left w:val="nil"/>
              <w:bottom w:val="nil"/>
              <w:right w:val="nil"/>
            </w:tcBorders>
            <w:shd w:val="clear" w:color="000000" w:fill="FFFFFF"/>
            <w:noWrap/>
            <w:vAlign w:val="center"/>
            <w:hideMark/>
          </w:tcPr>
          <w:p w14:paraId="17D6238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33" w:type="pct"/>
            <w:tcBorders>
              <w:top w:val="nil"/>
              <w:left w:val="nil"/>
              <w:bottom w:val="nil"/>
              <w:right w:val="single" w:sz="4" w:space="0" w:color="auto"/>
            </w:tcBorders>
            <w:shd w:val="clear" w:color="000000" w:fill="FFFFFF"/>
            <w:noWrap/>
            <w:vAlign w:val="center"/>
            <w:hideMark/>
          </w:tcPr>
          <w:p w14:paraId="0D1EF62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22" w:type="pct"/>
            <w:tcBorders>
              <w:top w:val="nil"/>
              <w:left w:val="nil"/>
              <w:bottom w:val="nil"/>
              <w:right w:val="nil"/>
            </w:tcBorders>
            <w:shd w:val="clear" w:color="000000" w:fill="FFFFFF"/>
            <w:noWrap/>
            <w:vAlign w:val="center"/>
            <w:hideMark/>
          </w:tcPr>
          <w:p w14:paraId="77D6CBED"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374" w:type="pct"/>
            <w:tcBorders>
              <w:top w:val="nil"/>
              <w:left w:val="single" w:sz="4" w:space="0" w:color="auto"/>
              <w:bottom w:val="nil"/>
              <w:right w:val="single" w:sz="4" w:space="0" w:color="auto"/>
            </w:tcBorders>
            <w:shd w:val="clear" w:color="000000" w:fill="FFFFFF"/>
            <w:noWrap/>
            <w:vAlign w:val="center"/>
            <w:hideMark/>
          </w:tcPr>
          <w:p w14:paraId="065A2A0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732FB5" w:rsidRPr="00650EE4" w14:paraId="59E8466C" w14:textId="77777777" w:rsidTr="00F45BD1">
        <w:tc>
          <w:tcPr>
            <w:tcW w:w="1026" w:type="pct"/>
            <w:tcBorders>
              <w:top w:val="nil"/>
              <w:left w:val="single" w:sz="4" w:space="0" w:color="auto"/>
              <w:bottom w:val="nil"/>
              <w:right w:val="nil"/>
            </w:tcBorders>
            <w:shd w:val="clear" w:color="000000" w:fill="FFFFFF"/>
            <w:noWrap/>
            <w:vAlign w:val="center"/>
            <w:hideMark/>
          </w:tcPr>
          <w:p w14:paraId="032A97E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9" w:type="pct"/>
            <w:tcBorders>
              <w:top w:val="nil"/>
              <w:left w:val="single" w:sz="4" w:space="0" w:color="auto"/>
              <w:bottom w:val="nil"/>
              <w:right w:val="nil"/>
            </w:tcBorders>
            <w:shd w:val="clear" w:color="000000" w:fill="FFFFFF"/>
            <w:noWrap/>
            <w:vAlign w:val="center"/>
            <w:hideMark/>
          </w:tcPr>
          <w:p w14:paraId="1412F38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1.810</w:t>
            </w:r>
          </w:p>
        </w:tc>
        <w:tc>
          <w:tcPr>
            <w:tcW w:w="529" w:type="pct"/>
            <w:tcBorders>
              <w:top w:val="nil"/>
              <w:left w:val="nil"/>
              <w:bottom w:val="nil"/>
              <w:right w:val="nil"/>
            </w:tcBorders>
            <w:shd w:val="clear" w:color="000000" w:fill="FFFFFF"/>
            <w:noWrap/>
            <w:vAlign w:val="center"/>
            <w:hideMark/>
          </w:tcPr>
          <w:p w14:paraId="3616589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529" w:type="pct"/>
            <w:tcBorders>
              <w:top w:val="nil"/>
              <w:left w:val="nil"/>
              <w:bottom w:val="nil"/>
              <w:right w:val="nil"/>
            </w:tcBorders>
            <w:shd w:val="clear" w:color="000000" w:fill="FFFFFF"/>
            <w:noWrap/>
            <w:vAlign w:val="center"/>
            <w:hideMark/>
          </w:tcPr>
          <w:p w14:paraId="1252819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29" w:type="pct"/>
            <w:tcBorders>
              <w:top w:val="nil"/>
              <w:left w:val="nil"/>
              <w:bottom w:val="nil"/>
              <w:right w:val="nil"/>
            </w:tcBorders>
            <w:shd w:val="clear" w:color="000000" w:fill="FFFFFF"/>
            <w:noWrap/>
            <w:vAlign w:val="center"/>
            <w:hideMark/>
          </w:tcPr>
          <w:p w14:paraId="024134D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529" w:type="pct"/>
            <w:tcBorders>
              <w:top w:val="nil"/>
              <w:left w:val="nil"/>
              <w:bottom w:val="nil"/>
              <w:right w:val="nil"/>
            </w:tcBorders>
            <w:shd w:val="clear" w:color="000000" w:fill="FFFFFF"/>
            <w:noWrap/>
            <w:vAlign w:val="center"/>
            <w:hideMark/>
          </w:tcPr>
          <w:p w14:paraId="1A944F6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33" w:type="pct"/>
            <w:tcBorders>
              <w:top w:val="nil"/>
              <w:left w:val="nil"/>
              <w:bottom w:val="nil"/>
              <w:right w:val="single" w:sz="4" w:space="0" w:color="auto"/>
            </w:tcBorders>
            <w:shd w:val="clear" w:color="000000" w:fill="FFFFFF"/>
            <w:noWrap/>
            <w:vAlign w:val="center"/>
            <w:hideMark/>
          </w:tcPr>
          <w:p w14:paraId="46B616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5279E5F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374" w:type="pct"/>
            <w:tcBorders>
              <w:top w:val="nil"/>
              <w:left w:val="single" w:sz="4" w:space="0" w:color="auto"/>
              <w:bottom w:val="nil"/>
              <w:right w:val="single" w:sz="4" w:space="0" w:color="auto"/>
            </w:tcBorders>
            <w:shd w:val="clear" w:color="000000" w:fill="FFFFFF"/>
            <w:noWrap/>
            <w:vAlign w:val="center"/>
            <w:hideMark/>
          </w:tcPr>
          <w:p w14:paraId="29771EE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732FB5" w:rsidRPr="00650EE4" w14:paraId="3EC9BE83" w14:textId="77777777" w:rsidTr="00F45BD1">
        <w:tc>
          <w:tcPr>
            <w:tcW w:w="1026" w:type="pct"/>
            <w:tcBorders>
              <w:top w:val="nil"/>
              <w:left w:val="single" w:sz="4" w:space="0" w:color="auto"/>
              <w:bottom w:val="nil"/>
              <w:right w:val="nil"/>
            </w:tcBorders>
            <w:shd w:val="clear" w:color="000000" w:fill="FFFFFF"/>
            <w:noWrap/>
            <w:vAlign w:val="center"/>
            <w:hideMark/>
          </w:tcPr>
          <w:p w14:paraId="3EE28F4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9" w:type="pct"/>
            <w:tcBorders>
              <w:top w:val="nil"/>
              <w:left w:val="single" w:sz="4" w:space="0" w:color="auto"/>
              <w:bottom w:val="nil"/>
              <w:right w:val="nil"/>
            </w:tcBorders>
            <w:shd w:val="clear" w:color="000000" w:fill="FFFFFF"/>
            <w:noWrap/>
            <w:vAlign w:val="center"/>
            <w:hideMark/>
          </w:tcPr>
          <w:p w14:paraId="149F5BC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1.216</w:t>
            </w:r>
          </w:p>
        </w:tc>
        <w:tc>
          <w:tcPr>
            <w:tcW w:w="529" w:type="pct"/>
            <w:tcBorders>
              <w:top w:val="nil"/>
              <w:left w:val="nil"/>
              <w:bottom w:val="nil"/>
              <w:right w:val="nil"/>
            </w:tcBorders>
            <w:shd w:val="clear" w:color="000000" w:fill="FFFFFF"/>
            <w:noWrap/>
            <w:vAlign w:val="center"/>
            <w:hideMark/>
          </w:tcPr>
          <w:p w14:paraId="4091AC7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529" w:type="pct"/>
            <w:tcBorders>
              <w:top w:val="nil"/>
              <w:left w:val="nil"/>
              <w:bottom w:val="nil"/>
              <w:right w:val="nil"/>
            </w:tcBorders>
            <w:shd w:val="clear" w:color="000000" w:fill="FFFFFF"/>
            <w:noWrap/>
            <w:vAlign w:val="center"/>
            <w:hideMark/>
          </w:tcPr>
          <w:p w14:paraId="2F92987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c>
          <w:tcPr>
            <w:tcW w:w="529" w:type="pct"/>
            <w:tcBorders>
              <w:top w:val="nil"/>
              <w:left w:val="nil"/>
              <w:bottom w:val="nil"/>
              <w:right w:val="nil"/>
            </w:tcBorders>
            <w:shd w:val="clear" w:color="000000" w:fill="FFFFFF"/>
            <w:noWrap/>
            <w:vAlign w:val="center"/>
            <w:hideMark/>
          </w:tcPr>
          <w:p w14:paraId="25EFE666"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7F66905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33" w:type="pct"/>
            <w:tcBorders>
              <w:top w:val="nil"/>
              <w:left w:val="nil"/>
              <w:bottom w:val="nil"/>
              <w:right w:val="single" w:sz="4" w:space="0" w:color="auto"/>
            </w:tcBorders>
            <w:shd w:val="clear" w:color="000000" w:fill="FFFFFF"/>
            <w:noWrap/>
            <w:vAlign w:val="center"/>
            <w:hideMark/>
          </w:tcPr>
          <w:p w14:paraId="1CBD8AF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2E89FD21"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374" w:type="pct"/>
            <w:tcBorders>
              <w:top w:val="nil"/>
              <w:left w:val="single" w:sz="4" w:space="0" w:color="auto"/>
              <w:bottom w:val="nil"/>
              <w:right w:val="single" w:sz="4" w:space="0" w:color="auto"/>
            </w:tcBorders>
            <w:shd w:val="clear" w:color="000000" w:fill="FFFFFF"/>
            <w:noWrap/>
            <w:vAlign w:val="center"/>
            <w:hideMark/>
          </w:tcPr>
          <w:p w14:paraId="7EC0A01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732FB5" w:rsidRPr="00650EE4" w14:paraId="6EF90195" w14:textId="77777777" w:rsidTr="00F45BD1">
        <w:tc>
          <w:tcPr>
            <w:tcW w:w="1026" w:type="pct"/>
            <w:tcBorders>
              <w:top w:val="nil"/>
              <w:left w:val="single" w:sz="4" w:space="0" w:color="auto"/>
              <w:bottom w:val="nil"/>
              <w:right w:val="nil"/>
            </w:tcBorders>
            <w:shd w:val="clear" w:color="000000" w:fill="FFFFFF"/>
            <w:noWrap/>
            <w:vAlign w:val="center"/>
            <w:hideMark/>
          </w:tcPr>
          <w:p w14:paraId="5C9E77B0"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9" w:type="pct"/>
            <w:tcBorders>
              <w:top w:val="nil"/>
              <w:left w:val="single" w:sz="4" w:space="0" w:color="auto"/>
              <w:bottom w:val="nil"/>
              <w:right w:val="nil"/>
            </w:tcBorders>
            <w:shd w:val="clear" w:color="000000" w:fill="FFFFFF"/>
            <w:noWrap/>
            <w:vAlign w:val="center"/>
            <w:hideMark/>
          </w:tcPr>
          <w:p w14:paraId="46627B7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858</w:t>
            </w:r>
          </w:p>
        </w:tc>
        <w:tc>
          <w:tcPr>
            <w:tcW w:w="529" w:type="pct"/>
            <w:tcBorders>
              <w:top w:val="nil"/>
              <w:left w:val="nil"/>
              <w:bottom w:val="nil"/>
              <w:right w:val="nil"/>
            </w:tcBorders>
            <w:shd w:val="clear" w:color="000000" w:fill="FFFFFF"/>
            <w:noWrap/>
            <w:vAlign w:val="center"/>
            <w:hideMark/>
          </w:tcPr>
          <w:p w14:paraId="4B269C7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529" w:type="pct"/>
            <w:tcBorders>
              <w:top w:val="nil"/>
              <w:left w:val="nil"/>
              <w:bottom w:val="nil"/>
              <w:right w:val="nil"/>
            </w:tcBorders>
            <w:shd w:val="clear" w:color="000000" w:fill="FFFFFF"/>
            <w:noWrap/>
            <w:vAlign w:val="center"/>
            <w:hideMark/>
          </w:tcPr>
          <w:p w14:paraId="234CF86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326</w:t>
            </w:r>
          </w:p>
        </w:tc>
        <w:tc>
          <w:tcPr>
            <w:tcW w:w="529" w:type="pct"/>
            <w:tcBorders>
              <w:top w:val="nil"/>
              <w:left w:val="nil"/>
              <w:bottom w:val="nil"/>
              <w:right w:val="nil"/>
            </w:tcBorders>
            <w:shd w:val="clear" w:color="000000" w:fill="FFFFFF"/>
            <w:noWrap/>
            <w:vAlign w:val="center"/>
            <w:hideMark/>
          </w:tcPr>
          <w:p w14:paraId="5AE1DD8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9" w:type="pct"/>
            <w:tcBorders>
              <w:top w:val="nil"/>
              <w:left w:val="nil"/>
              <w:bottom w:val="nil"/>
              <w:right w:val="nil"/>
            </w:tcBorders>
            <w:shd w:val="clear" w:color="000000" w:fill="FFFFFF"/>
            <w:noWrap/>
            <w:vAlign w:val="center"/>
            <w:hideMark/>
          </w:tcPr>
          <w:p w14:paraId="25FC960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3" w:type="pct"/>
            <w:tcBorders>
              <w:top w:val="nil"/>
              <w:left w:val="nil"/>
              <w:bottom w:val="nil"/>
              <w:right w:val="single" w:sz="4" w:space="0" w:color="auto"/>
            </w:tcBorders>
            <w:shd w:val="clear" w:color="000000" w:fill="FFFFFF"/>
            <w:noWrap/>
            <w:vAlign w:val="center"/>
            <w:hideMark/>
          </w:tcPr>
          <w:p w14:paraId="661377E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13EBED6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374" w:type="pct"/>
            <w:tcBorders>
              <w:top w:val="nil"/>
              <w:left w:val="single" w:sz="4" w:space="0" w:color="auto"/>
              <w:bottom w:val="nil"/>
              <w:right w:val="single" w:sz="4" w:space="0" w:color="auto"/>
            </w:tcBorders>
            <w:shd w:val="clear" w:color="000000" w:fill="FFFFFF"/>
            <w:noWrap/>
            <w:vAlign w:val="center"/>
            <w:hideMark/>
          </w:tcPr>
          <w:p w14:paraId="5D0048E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732FB5" w:rsidRPr="00650EE4" w14:paraId="383F619D" w14:textId="77777777" w:rsidTr="00F45BD1">
        <w:tc>
          <w:tcPr>
            <w:tcW w:w="1026" w:type="pct"/>
            <w:tcBorders>
              <w:top w:val="nil"/>
              <w:left w:val="single" w:sz="4" w:space="0" w:color="auto"/>
              <w:bottom w:val="nil"/>
              <w:right w:val="nil"/>
            </w:tcBorders>
            <w:shd w:val="clear" w:color="000000" w:fill="FFFFFF"/>
            <w:noWrap/>
            <w:vAlign w:val="center"/>
            <w:hideMark/>
          </w:tcPr>
          <w:p w14:paraId="61BE982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9" w:type="pct"/>
            <w:tcBorders>
              <w:top w:val="nil"/>
              <w:left w:val="single" w:sz="4" w:space="0" w:color="auto"/>
              <w:bottom w:val="nil"/>
              <w:right w:val="nil"/>
            </w:tcBorders>
            <w:shd w:val="clear" w:color="000000" w:fill="FFFFFF"/>
            <w:noWrap/>
            <w:vAlign w:val="center"/>
            <w:hideMark/>
          </w:tcPr>
          <w:p w14:paraId="67E007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440</w:t>
            </w:r>
          </w:p>
        </w:tc>
        <w:tc>
          <w:tcPr>
            <w:tcW w:w="529" w:type="pct"/>
            <w:tcBorders>
              <w:top w:val="nil"/>
              <w:left w:val="nil"/>
              <w:bottom w:val="nil"/>
              <w:right w:val="nil"/>
            </w:tcBorders>
            <w:shd w:val="clear" w:color="000000" w:fill="FFFFFF"/>
            <w:noWrap/>
            <w:vAlign w:val="center"/>
            <w:hideMark/>
          </w:tcPr>
          <w:p w14:paraId="187C6E39"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29" w:type="pct"/>
            <w:tcBorders>
              <w:top w:val="nil"/>
              <w:left w:val="nil"/>
              <w:bottom w:val="nil"/>
              <w:right w:val="nil"/>
            </w:tcBorders>
            <w:shd w:val="clear" w:color="000000" w:fill="FFFFFF"/>
            <w:noWrap/>
            <w:vAlign w:val="center"/>
            <w:hideMark/>
          </w:tcPr>
          <w:p w14:paraId="789D400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c>
          <w:tcPr>
            <w:tcW w:w="529" w:type="pct"/>
            <w:tcBorders>
              <w:top w:val="nil"/>
              <w:left w:val="nil"/>
              <w:bottom w:val="nil"/>
              <w:right w:val="nil"/>
            </w:tcBorders>
            <w:shd w:val="clear" w:color="000000" w:fill="FFFFFF"/>
            <w:noWrap/>
            <w:vAlign w:val="center"/>
            <w:hideMark/>
          </w:tcPr>
          <w:p w14:paraId="43ADEC5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024F938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33" w:type="pct"/>
            <w:tcBorders>
              <w:top w:val="nil"/>
              <w:left w:val="nil"/>
              <w:bottom w:val="nil"/>
              <w:right w:val="single" w:sz="4" w:space="0" w:color="auto"/>
            </w:tcBorders>
            <w:shd w:val="clear" w:color="000000" w:fill="FFFFFF"/>
            <w:noWrap/>
            <w:vAlign w:val="center"/>
            <w:hideMark/>
          </w:tcPr>
          <w:p w14:paraId="41DA788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754FBE5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374" w:type="pct"/>
            <w:tcBorders>
              <w:top w:val="nil"/>
              <w:left w:val="single" w:sz="4" w:space="0" w:color="auto"/>
              <w:bottom w:val="nil"/>
              <w:right w:val="single" w:sz="4" w:space="0" w:color="auto"/>
            </w:tcBorders>
            <w:shd w:val="clear" w:color="000000" w:fill="FFFFFF"/>
            <w:noWrap/>
            <w:vAlign w:val="center"/>
            <w:hideMark/>
          </w:tcPr>
          <w:p w14:paraId="0F472AB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732FB5" w:rsidRPr="00650EE4" w14:paraId="23616719" w14:textId="77777777" w:rsidTr="00F45BD1">
        <w:tc>
          <w:tcPr>
            <w:tcW w:w="1026" w:type="pct"/>
            <w:tcBorders>
              <w:top w:val="nil"/>
              <w:left w:val="single" w:sz="4" w:space="0" w:color="auto"/>
              <w:bottom w:val="nil"/>
              <w:right w:val="nil"/>
            </w:tcBorders>
            <w:shd w:val="clear" w:color="000000" w:fill="FFFFFF"/>
            <w:noWrap/>
            <w:vAlign w:val="center"/>
            <w:hideMark/>
          </w:tcPr>
          <w:p w14:paraId="72908C6A"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9" w:type="pct"/>
            <w:tcBorders>
              <w:top w:val="nil"/>
              <w:left w:val="single" w:sz="4" w:space="0" w:color="auto"/>
              <w:bottom w:val="nil"/>
              <w:right w:val="nil"/>
            </w:tcBorders>
            <w:shd w:val="clear" w:color="000000" w:fill="FFFFFF"/>
            <w:noWrap/>
            <w:vAlign w:val="center"/>
            <w:hideMark/>
          </w:tcPr>
          <w:p w14:paraId="2E67AA2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337</w:t>
            </w:r>
          </w:p>
        </w:tc>
        <w:tc>
          <w:tcPr>
            <w:tcW w:w="529" w:type="pct"/>
            <w:tcBorders>
              <w:top w:val="nil"/>
              <w:left w:val="nil"/>
              <w:bottom w:val="nil"/>
              <w:right w:val="nil"/>
            </w:tcBorders>
            <w:shd w:val="clear" w:color="000000" w:fill="FFFFFF"/>
            <w:noWrap/>
            <w:vAlign w:val="center"/>
            <w:hideMark/>
          </w:tcPr>
          <w:p w14:paraId="59F8814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529" w:type="pct"/>
            <w:tcBorders>
              <w:top w:val="nil"/>
              <w:left w:val="nil"/>
              <w:bottom w:val="nil"/>
              <w:right w:val="nil"/>
            </w:tcBorders>
            <w:shd w:val="clear" w:color="000000" w:fill="FFFFFF"/>
            <w:noWrap/>
            <w:vAlign w:val="center"/>
            <w:hideMark/>
          </w:tcPr>
          <w:p w14:paraId="2D85319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c>
          <w:tcPr>
            <w:tcW w:w="529" w:type="pct"/>
            <w:tcBorders>
              <w:top w:val="nil"/>
              <w:left w:val="nil"/>
              <w:bottom w:val="nil"/>
              <w:right w:val="nil"/>
            </w:tcBorders>
            <w:shd w:val="clear" w:color="000000" w:fill="FFFFFF"/>
            <w:noWrap/>
            <w:vAlign w:val="center"/>
            <w:hideMark/>
          </w:tcPr>
          <w:p w14:paraId="69CCB77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29" w:type="pct"/>
            <w:tcBorders>
              <w:top w:val="nil"/>
              <w:left w:val="nil"/>
              <w:bottom w:val="nil"/>
              <w:right w:val="nil"/>
            </w:tcBorders>
            <w:shd w:val="clear" w:color="000000" w:fill="FFFFFF"/>
            <w:noWrap/>
            <w:vAlign w:val="center"/>
            <w:hideMark/>
          </w:tcPr>
          <w:p w14:paraId="6DA8086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33" w:type="pct"/>
            <w:tcBorders>
              <w:top w:val="nil"/>
              <w:left w:val="nil"/>
              <w:bottom w:val="nil"/>
              <w:right w:val="single" w:sz="4" w:space="0" w:color="auto"/>
            </w:tcBorders>
            <w:shd w:val="clear" w:color="000000" w:fill="FFFFFF"/>
            <w:noWrap/>
            <w:vAlign w:val="center"/>
            <w:hideMark/>
          </w:tcPr>
          <w:p w14:paraId="62566680"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27A720A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374" w:type="pct"/>
            <w:tcBorders>
              <w:top w:val="nil"/>
              <w:left w:val="single" w:sz="4" w:space="0" w:color="auto"/>
              <w:bottom w:val="nil"/>
              <w:right w:val="single" w:sz="4" w:space="0" w:color="auto"/>
            </w:tcBorders>
            <w:shd w:val="clear" w:color="000000" w:fill="FFFFFF"/>
            <w:noWrap/>
            <w:vAlign w:val="center"/>
            <w:hideMark/>
          </w:tcPr>
          <w:p w14:paraId="519D876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r>
      <w:tr w:rsidR="00732FB5" w:rsidRPr="00650EE4" w14:paraId="3007CA70" w14:textId="77777777" w:rsidTr="00F45BD1">
        <w:tc>
          <w:tcPr>
            <w:tcW w:w="1026" w:type="pct"/>
            <w:tcBorders>
              <w:top w:val="nil"/>
              <w:left w:val="single" w:sz="4" w:space="0" w:color="auto"/>
              <w:bottom w:val="nil"/>
              <w:right w:val="nil"/>
            </w:tcBorders>
            <w:shd w:val="clear" w:color="000000" w:fill="FFFFFF"/>
            <w:noWrap/>
            <w:vAlign w:val="center"/>
            <w:hideMark/>
          </w:tcPr>
          <w:p w14:paraId="6ABCDF47"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9" w:type="pct"/>
            <w:tcBorders>
              <w:top w:val="nil"/>
              <w:left w:val="single" w:sz="4" w:space="0" w:color="auto"/>
              <w:bottom w:val="nil"/>
              <w:right w:val="nil"/>
            </w:tcBorders>
            <w:shd w:val="clear" w:color="000000" w:fill="FFFFFF"/>
            <w:noWrap/>
            <w:vAlign w:val="center"/>
            <w:hideMark/>
          </w:tcPr>
          <w:p w14:paraId="6ACEA5A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529" w:type="pct"/>
            <w:tcBorders>
              <w:top w:val="nil"/>
              <w:left w:val="nil"/>
              <w:bottom w:val="nil"/>
              <w:right w:val="nil"/>
            </w:tcBorders>
            <w:shd w:val="clear" w:color="000000" w:fill="FFFFFF"/>
            <w:noWrap/>
            <w:vAlign w:val="center"/>
            <w:hideMark/>
          </w:tcPr>
          <w:p w14:paraId="14B598A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529" w:type="pct"/>
            <w:tcBorders>
              <w:top w:val="nil"/>
              <w:left w:val="nil"/>
              <w:bottom w:val="nil"/>
              <w:right w:val="nil"/>
            </w:tcBorders>
            <w:shd w:val="clear" w:color="000000" w:fill="FFFFFF"/>
            <w:noWrap/>
            <w:vAlign w:val="center"/>
            <w:hideMark/>
          </w:tcPr>
          <w:p w14:paraId="15AD7C0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29" w:type="pct"/>
            <w:tcBorders>
              <w:top w:val="nil"/>
              <w:left w:val="nil"/>
              <w:bottom w:val="nil"/>
              <w:right w:val="nil"/>
            </w:tcBorders>
            <w:shd w:val="clear" w:color="000000" w:fill="FFFFFF"/>
            <w:noWrap/>
            <w:vAlign w:val="center"/>
            <w:hideMark/>
          </w:tcPr>
          <w:p w14:paraId="3B7D12EE"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29" w:type="pct"/>
            <w:tcBorders>
              <w:top w:val="nil"/>
              <w:left w:val="nil"/>
              <w:bottom w:val="nil"/>
              <w:right w:val="nil"/>
            </w:tcBorders>
            <w:shd w:val="clear" w:color="000000" w:fill="FFFFFF"/>
            <w:noWrap/>
            <w:vAlign w:val="center"/>
            <w:hideMark/>
          </w:tcPr>
          <w:p w14:paraId="484C193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33" w:type="pct"/>
            <w:tcBorders>
              <w:top w:val="nil"/>
              <w:left w:val="nil"/>
              <w:bottom w:val="nil"/>
              <w:right w:val="single" w:sz="4" w:space="0" w:color="auto"/>
            </w:tcBorders>
            <w:shd w:val="clear" w:color="000000" w:fill="FFFFFF"/>
            <w:noWrap/>
            <w:vAlign w:val="center"/>
            <w:hideMark/>
          </w:tcPr>
          <w:p w14:paraId="2A711EC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50B6045E"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374" w:type="pct"/>
            <w:tcBorders>
              <w:top w:val="nil"/>
              <w:left w:val="single" w:sz="4" w:space="0" w:color="auto"/>
              <w:bottom w:val="nil"/>
              <w:right w:val="single" w:sz="4" w:space="0" w:color="auto"/>
            </w:tcBorders>
            <w:shd w:val="clear" w:color="000000" w:fill="FFFFFF"/>
            <w:noWrap/>
            <w:vAlign w:val="center"/>
            <w:hideMark/>
          </w:tcPr>
          <w:p w14:paraId="71D268B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732FB5" w:rsidRPr="00650EE4" w14:paraId="57644C90" w14:textId="77777777" w:rsidTr="00F45BD1">
        <w:tc>
          <w:tcPr>
            <w:tcW w:w="1026" w:type="pct"/>
            <w:tcBorders>
              <w:top w:val="nil"/>
              <w:left w:val="single" w:sz="4" w:space="0" w:color="auto"/>
              <w:bottom w:val="nil"/>
              <w:right w:val="nil"/>
            </w:tcBorders>
            <w:shd w:val="clear" w:color="000000" w:fill="FFFFFF"/>
            <w:noWrap/>
            <w:vAlign w:val="center"/>
            <w:hideMark/>
          </w:tcPr>
          <w:p w14:paraId="35EDE6B5"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9" w:type="pct"/>
            <w:tcBorders>
              <w:top w:val="nil"/>
              <w:left w:val="single" w:sz="4" w:space="0" w:color="auto"/>
              <w:bottom w:val="nil"/>
              <w:right w:val="nil"/>
            </w:tcBorders>
            <w:shd w:val="clear" w:color="000000" w:fill="FFFFFF"/>
            <w:noWrap/>
            <w:vAlign w:val="center"/>
            <w:hideMark/>
          </w:tcPr>
          <w:p w14:paraId="02B8743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448</w:t>
            </w:r>
          </w:p>
        </w:tc>
        <w:tc>
          <w:tcPr>
            <w:tcW w:w="529" w:type="pct"/>
            <w:tcBorders>
              <w:top w:val="nil"/>
              <w:left w:val="nil"/>
              <w:bottom w:val="nil"/>
              <w:right w:val="nil"/>
            </w:tcBorders>
            <w:shd w:val="clear" w:color="000000" w:fill="FFFFFF"/>
            <w:noWrap/>
            <w:vAlign w:val="center"/>
            <w:hideMark/>
          </w:tcPr>
          <w:p w14:paraId="794E256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529" w:type="pct"/>
            <w:tcBorders>
              <w:top w:val="nil"/>
              <w:left w:val="nil"/>
              <w:bottom w:val="nil"/>
              <w:right w:val="nil"/>
            </w:tcBorders>
            <w:shd w:val="clear" w:color="000000" w:fill="FFFFFF"/>
            <w:noWrap/>
            <w:vAlign w:val="center"/>
            <w:hideMark/>
          </w:tcPr>
          <w:p w14:paraId="45FD198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w:t>
            </w:r>
          </w:p>
        </w:tc>
        <w:tc>
          <w:tcPr>
            <w:tcW w:w="529" w:type="pct"/>
            <w:tcBorders>
              <w:top w:val="nil"/>
              <w:left w:val="nil"/>
              <w:bottom w:val="nil"/>
              <w:right w:val="nil"/>
            </w:tcBorders>
            <w:shd w:val="clear" w:color="000000" w:fill="FFFFFF"/>
            <w:noWrap/>
            <w:vAlign w:val="center"/>
            <w:hideMark/>
          </w:tcPr>
          <w:p w14:paraId="19C99422"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29" w:type="pct"/>
            <w:tcBorders>
              <w:top w:val="nil"/>
              <w:left w:val="nil"/>
              <w:bottom w:val="nil"/>
              <w:right w:val="nil"/>
            </w:tcBorders>
            <w:shd w:val="clear" w:color="000000" w:fill="FFFFFF"/>
            <w:noWrap/>
            <w:vAlign w:val="center"/>
            <w:hideMark/>
          </w:tcPr>
          <w:p w14:paraId="65449D6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33" w:type="pct"/>
            <w:tcBorders>
              <w:top w:val="nil"/>
              <w:left w:val="nil"/>
              <w:bottom w:val="nil"/>
              <w:right w:val="single" w:sz="4" w:space="0" w:color="auto"/>
            </w:tcBorders>
            <w:shd w:val="clear" w:color="000000" w:fill="FFFFFF"/>
            <w:noWrap/>
            <w:vAlign w:val="center"/>
            <w:hideMark/>
          </w:tcPr>
          <w:p w14:paraId="1456D24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nil"/>
              <w:right w:val="nil"/>
            </w:tcBorders>
            <w:shd w:val="clear" w:color="000000" w:fill="FFFFFF"/>
            <w:noWrap/>
            <w:vAlign w:val="center"/>
            <w:hideMark/>
          </w:tcPr>
          <w:p w14:paraId="61CDDC8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374" w:type="pct"/>
            <w:tcBorders>
              <w:top w:val="nil"/>
              <w:left w:val="single" w:sz="4" w:space="0" w:color="auto"/>
              <w:bottom w:val="nil"/>
              <w:right w:val="single" w:sz="4" w:space="0" w:color="auto"/>
            </w:tcBorders>
            <w:shd w:val="clear" w:color="000000" w:fill="FFFFFF"/>
            <w:noWrap/>
            <w:vAlign w:val="center"/>
            <w:hideMark/>
          </w:tcPr>
          <w:p w14:paraId="31925F7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732FB5" w:rsidRPr="00650EE4" w14:paraId="535F08C4" w14:textId="77777777" w:rsidTr="00F45BD1">
        <w:tc>
          <w:tcPr>
            <w:tcW w:w="1026" w:type="pct"/>
            <w:tcBorders>
              <w:top w:val="nil"/>
              <w:left w:val="single" w:sz="4" w:space="0" w:color="auto"/>
              <w:bottom w:val="nil"/>
              <w:right w:val="nil"/>
            </w:tcBorders>
            <w:shd w:val="clear" w:color="000000" w:fill="FFFFFF"/>
            <w:noWrap/>
            <w:vAlign w:val="center"/>
            <w:hideMark/>
          </w:tcPr>
          <w:p w14:paraId="3DDA1A56"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9" w:type="pct"/>
            <w:tcBorders>
              <w:top w:val="nil"/>
              <w:left w:val="single" w:sz="4" w:space="0" w:color="auto"/>
              <w:bottom w:val="single" w:sz="4" w:space="0" w:color="auto"/>
              <w:right w:val="nil"/>
            </w:tcBorders>
            <w:shd w:val="clear" w:color="000000" w:fill="FFFFFF"/>
            <w:noWrap/>
            <w:vAlign w:val="center"/>
            <w:hideMark/>
          </w:tcPr>
          <w:p w14:paraId="73312FE7"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w:t>
            </w:r>
          </w:p>
        </w:tc>
        <w:tc>
          <w:tcPr>
            <w:tcW w:w="529" w:type="pct"/>
            <w:tcBorders>
              <w:top w:val="nil"/>
              <w:left w:val="nil"/>
              <w:bottom w:val="single" w:sz="4" w:space="0" w:color="auto"/>
              <w:right w:val="nil"/>
            </w:tcBorders>
            <w:shd w:val="clear" w:color="000000" w:fill="FFFFFF"/>
            <w:noWrap/>
            <w:vAlign w:val="center"/>
            <w:hideMark/>
          </w:tcPr>
          <w:p w14:paraId="4107A8E1"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529" w:type="pct"/>
            <w:tcBorders>
              <w:top w:val="nil"/>
              <w:left w:val="nil"/>
              <w:bottom w:val="single" w:sz="4" w:space="0" w:color="auto"/>
              <w:right w:val="nil"/>
            </w:tcBorders>
            <w:shd w:val="clear" w:color="000000" w:fill="FFFFFF"/>
            <w:noWrap/>
            <w:vAlign w:val="center"/>
            <w:hideMark/>
          </w:tcPr>
          <w:p w14:paraId="5DE6923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529" w:type="pct"/>
            <w:tcBorders>
              <w:top w:val="nil"/>
              <w:left w:val="nil"/>
              <w:bottom w:val="single" w:sz="4" w:space="0" w:color="auto"/>
              <w:right w:val="nil"/>
            </w:tcBorders>
            <w:shd w:val="clear" w:color="000000" w:fill="FFFFFF"/>
            <w:noWrap/>
            <w:vAlign w:val="center"/>
            <w:hideMark/>
          </w:tcPr>
          <w:p w14:paraId="7184E11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29" w:type="pct"/>
            <w:tcBorders>
              <w:top w:val="nil"/>
              <w:left w:val="nil"/>
              <w:bottom w:val="single" w:sz="4" w:space="0" w:color="auto"/>
              <w:right w:val="nil"/>
            </w:tcBorders>
            <w:shd w:val="clear" w:color="000000" w:fill="FFFFFF"/>
            <w:noWrap/>
            <w:vAlign w:val="center"/>
            <w:hideMark/>
          </w:tcPr>
          <w:p w14:paraId="11BCDCC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33" w:type="pct"/>
            <w:tcBorders>
              <w:top w:val="nil"/>
              <w:left w:val="nil"/>
              <w:bottom w:val="single" w:sz="4" w:space="0" w:color="auto"/>
              <w:right w:val="single" w:sz="4" w:space="0" w:color="auto"/>
            </w:tcBorders>
            <w:shd w:val="clear" w:color="000000" w:fill="FFFFFF"/>
            <w:noWrap/>
            <w:vAlign w:val="center"/>
            <w:hideMark/>
          </w:tcPr>
          <w:p w14:paraId="156F27B3"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22" w:type="pct"/>
            <w:tcBorders>
              <w:top w:val="nil"/>
              <w:left w:val="nil"/>
              <w:bottom w:val="single" w:sz="4" w:space="0" w:color="auto"/>
              <w:right w:val="nil"/>
            </w:tcBorders>
            <w:shd w:val="clear" w:color="000000" w:fill="FFFFFF"/>
            <w:noWrap/>
            <w:vAlign w:val="center"/>
            <w:hideMark/>
          </w:tcPr>
          <w:p w14:paraId="6452AA3C"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374" w:type="pct"/>
            <w:tcBorders>
              <w:top w:val="nil"/>
              <w:left w:val="single" w:sz="4" w:space="0" w:color="auto"/>
              <w:bottom w:val="single" w:sz="4" w:space="0" w:color="auto"/>
              <w:right w:val="single" w:sz="4" w:space="0" w:color="auto"/>
            </w:tcBorders>
            <w:shd w:val="clear" w:color="000000" w:fill="FFFFFF"/>
            <w:noWrap/>
            <w:vAlign w:val="center"/>
            <w:hideMark/>
          </w:tcPr>
          <w:p w14:paraId="5259A014"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732FB5" w:rsidRPr="00650EE4" w14:paraId="06CAAC27" w14:textId="77777777" w:rsidTr="00F45BD1">
        <w:tc>
          <w:tcPr>
            <w:tcW w:w="1026" w:type="pct"/>
            <w:tcBorders>
              <w:top w:val="single" w:sz="4" w:space="0" w:color="auto"/>
              <w:left w:val="single" w:sz="4" w:space="0" w:color="auto"/>
              <w:bottom w:val="nil"/>
              <w:right w:val="single" w:sz="4" w:space="0" w:color="auto"/>
            </w:tcBorders>
            <w:shd w:val="clear" w:color="000000" w:fill="FFFFFF"/>
            <w:noWrap/>
            <w:vAlign w:val="center"/>
            <w:hideMark/>
          </w:tcPr>
          <w:p w14:paraId="7FE01773" w14:textId="77777777" w:rsidR="00732FB5" w:rsidRPr="00650EE4" w:rsidRDefault="00732FB5" w:rsidP="00732FB5">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9" w:type="pct"/>
            <w:tcBorders>
              <w:top w:val="nil"/>
              <w:left w:val="nil"/>
              <w:bottom w:val="nil"/>
              <w:right w:val="nil"/>
            </w:tcBorders>
            <w:shd w:val="clear" w:color="000000" w:fill="FFFFFF"/>
            <w:noWrap/>
            <w:vAlign w:val="center"/>
            <w:hideMark/>
          </w:tcPr>
          <w:p w14:paraId="52F0853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31.591</w:t>
            </w:r>
          </w:p>
        </w:tc>
        <w:tc>
          <w:tcPr>
            <w:tcW w:w="529" w:type="pct"/>
            <w:tcBorders>
              <w:top w:val="nil"/>
              <w:left w:val="nil"/>
              <w:bottom w:val="nil"/>
              <w:right w:val="nil"/>
            </w:tcBorders>
            <w:shd w:val="clear" w:color="000000" w:fill="FFFFFF"/>
            <w:noWrap/>
            <w:vAlign w:val="center"/>
            <w:hideMark/>
          </w:tcPr>
          <w:p w14:paraId="7033ABA7"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5.379</w:t>
            </w:r>
          </w:p>
        </w:tc>
        <w:tc>
          <w:tcPr>
            <w:tcW w:w="529" w:type="pct"/>
            <w:tcBorders>
              <w:top w:val="nil"/>
              <w:left w:val="nil"/>
              <w:bottom w:val="nil"/>
              <w:right w:val="nil"/>
            </w:tcBorders>
            <w:shd w:val="clear" w:color="000000" w:fill="FFFFFF"/>
            <w:noWrap/>
            <w:vAlign w:val="center"/>
            <w:hideMark/>
          </w:tcPr>
          <w:p w14:paraId="094D1E9B"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3.411</w:t>
            </w:r>
          </w:p>
        </w:tc>
        <w:tc>
          <w:tcPr>
            <w:tcW w:w="529" w:type="pct"/>
            <w:tcBorders>
              <w:top w:val="nil"/>
              <w:left w:val="nil"/>
              <w:bottom w:val="nil"/>
              <w:right w:val="nil"/>
            </w:tcBorders>
            <w:shd w:val="clear" w:color="000000" w:fill="FFFFFF"/>
            <w:noWrap/>
            <w:vAlign w:val="center"/>
            <w:hideMark/>
          </w:tcPr>
          <w:p w14:paraId="6E9BDA60"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336</w:t>
            </w:r>
          </w:p>
        </w:tc>
        <w:tc>
          <w:tcPr>
            <w:tcW w:w="529" w:type="pct"/>
            <w:tcBorders>
              <w:top w:val="nil"/>
              <w:left w:val="nil"/>
              <w:bottom w:val="nil"/>
              <w:right w:val="nil"/>
            </w:tcBorders>
            <w:shd w:val="clear" w:color="000000" w:fill="FFFFFF"/>
            <w:noWrap/>
            <w:vAlign w:val="center"/>
            <w:hideMark/>
          </w:tcPr>
          <w:p w14:paraId="6C158C4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w:t>
            </w:r>
          </w:p>
        </w:tc>
        <w:tc>
          <w:tcPr>
            <w:tcW w:w="533" w:type="pct"/>
            <w:tcBorders>
              <w:top w:val="nil"/>
              <w:left w:val="nil"/>
              <w:bottom w:val="nil"/>
              <w:right w:val="single" w:sz="4" w:space="0" w:color="auto"/>
            </w:tcBorders>
            <w:shd w:val="clear" w:color="000000" w:fill="FFFFFF"/>
            <w:noWrap/>
            <w:vAlign w:val="center"/>
            <w:hideMark/>
          </w:tcPr>
          <w:p w14:paraId="11B4A139"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w:t>
            </w:r>
          </w:p>
        </w:tc>
        <w:tc>
          <w:tcPr>
            <w:tcW w:w="422" w:type="pct"/>
            <w:tcBorders>
              <w:top w:val="nil"/>
              <w:left w:val="nil"/>
              <w:bottom w:val="nil"/>
              <w:right w:val="nil"/>
            </w:tcBorders>
            <w:shd w:val="clear" w:color="000000" w:fill="FFFFFF"/>
            <w:noWrap/>
            <w:vAlign w:val="center"/>
            <w:hideMark/>
          </w:tcPr>
          <w:p w14:paraId="5999B82F" w14:textId="77777777" w:rsidR="00732FB5" w:rsidRPr="00650EE4" w:rsidRDefault="00732FB5" w:rsidP="00732FB5">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374" w:type="pct"/>
            <w:tcBorders>
              <w:top w:val="nil"/>
              <w:left w:val="single" w:sz="4" w:space="0" w:color="auto"/>
              <w:bottom w:val="nil"/>
              <w:right w:val="single" w:sz="4" w:space="0" w:color="auto"/>
            </w:tcBorders>
            <w:shd w:val="clear" w:color="000000" w:fill="FFFFFF"/>
            <w:noWrap/>
            <w:vAlign w:val="center"/>
            <w:hideMark/>
          </w:tcPr>
          <w:p w14:paraId="793BD0EA"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732FB5" w:rsidRPr="00650EE4" w14:paraId="11753E7F" w14:textId="77777777" w:rsidTr="00F45BD1">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3B137C"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9" w:type="pct"/>
            <w:tcBorders>
              <w:top w:val="single" w:sz="4" w:space="0" w:color="auto"/>
              <w:left w:val="nil"/>
              <w:bottom w:val="single" w:sz="4" w:space="0" w:color="auto"/>
              <w:right w:val="nil"/>
            </w:tcBorders>
            <w:shd w:val="clear" w:color="000000" w:fill="FFFFFF"/>
            <w:noWrap/>
            <w:vAlign w:val="center"/>
            <w:hideMark/>
          </w:tcPr>
          <w:p w14:paraId="7D67422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29" w:type="pct"/>
            <w:tcBorders>
              <w:top w:val="single" w:sz="4" w:space="0" w:color="auto"/>
              <w:left w:val="nil"/>
              <w:bottom w:val="single" w:sz="4" w:space="0" w:color="auto"/>
              <w:right w:val="nil"/>
            </w:tcBorders>
            <w:shd w:val="clear" w:color="000000" w:fill="FFFFFF"/>
            <w:noWrap/>
            <w:vAlign w:val="center"/>
            <w:hideMark/>
          </w:tcPr>
          <w:p w14:paraId="7D62B925"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29" w:type="pct"/>
            <w:tcBorders>
              <w:top w:val="single" w:sz="4" w:space="0" w:color="auto"/>
              <w:left w:val="nil"/>
              <w:bottom w:val="single" w:sz="4" w:space="0" w:color="auto"/>
              <w:right w:val="nil"/>
            </w:tcBorders>
            <w:shd w:val="clear" w:color="000000" w:fill="FFFFFF"/>
            <w:noWrap/>
            <w:vAlign w:val="center"/>
            <w:hideMark/>
          </w:tcPr>
          <w:p w14:paraId="4F65C9EF"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29" w:type="pct"/>
            <w:tcBorders>
              <w:top w:val="single" w:sz="4" w:space="0" w:color="auto"/>
              <w:left w:val="nil"/>
              <w:bottom w:val="single" w:sz="4" w:space="0" w:color="auto"/>
              <w:right w:val="nil"/>
            </w:tcBorders>
            <w:shd w:val="clear" w:color="000000" w:fill="FFFFFF"/>
            <w:noWrap/>
            <w:vAlign w:val="center"/>
            <w:hideMark/>
          </w:tcPr>
          <w:p w14:paraId="0F00BBA8"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c>
          <w:tcPr>
            <w:tcW w:w="529" w:type="pct"/>
            <w:tcBorders>
              <w:top w:val="single" w:sz="4" w:space="0" w:color="auto"/>
              <w:left w:val="nil"/>
              <w:bottom w:val="single" w:sz="4" w:space="0" w:color="auto"/>
              <w:right w:val="nil"/>
            </w:tcBorders>
            <w:shd w:val="clear" w:color="000000" w:fill="FFFFFF"/>
            <w:noWrap/>
            <w:vAlign w:val="center"/>
            <w:hideMark/>
          </w:tcPr>
          <w:p w14:paraId="2A2BC9BD"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533" w:type="pct"/>
            <w:tcBorders>
              <w:top w:val="single" w:sz="4" w:space="0" w:color="auto"/>
              <w:left w:val="nil"/>
              <w:bottom w:val="single" w:sz="4" w:space="0" w:color="auto"/>
              <w:right w:val="single" w:sz="4" w:space="0" w:color="auto"/>
            </w:tcBorders>
            <w:shd w:val="clear" w:color="000000" w:fill="FFFFFF"/>
            <w:noWrap/>
            <w:vAlign w:val="center"/>
            <w:hideMark/>
          </w:tcPr>
          <w:p w14:paraId="6CE729DB"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0,03%</w:t>
            </w:r>
          </w:p>
        </w:tc>
        <w:tc>
          <w:tcPr>
            <w:tcW w:w="422" w:type="pct"/>
            <w:tcBorders>
              <w:top w:val="single" w:sz="4" w:space="0" w:color="auto"/>
              <w:left w:val="nil"/>
              <w:bottom w:val="single" w:sz="4" w:space="0" w:color="auto"/>
              <w:right w:val="nil"/>
            </w:tcBorders>
            <w:shd w:val="clear" w:color="000000" w:fill="FFFFFF"/>
            <w:noWrap/>
            <w:vAlign w:val="center"/>
            <w:hideMark/>
          </w:tcPr>
          <w:p w14:paraId="7B3D9A5C" w14:textId="77777777" w:rsidR="00732FB5" w:rsidRPr="00650EE4" w:rsidRDefault="00732FB5" w:rsidP="00732FB5">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37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57B988" w14:textId="77777777" w:rsidR="00732FB5" w:rsidRPr="00650EE4" w:rsidRDefault="00732FB5" w:rsidP="00732FB5">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3211A36B" w14:textId="1038EC48" w:rsidR="004C3307" w:rsidRPr="00650EE4" w:rsidRDefault="004C3307" w:rsidP="004C3307">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885C16" w:rsidRPr="00650EE4">
        <w:rPr>
          <w:rFonts w:ascii="Times New Roman" w:eastAsia="Times New Roman" w:hAnsi="Times New Roman"/>
          <w:i/>
          <w:color w:val="000000" w:themeColor="text1"/>
          <w:sz w:val="20"/>
          <w:szCs w:val="20"/>
        </w:rPr>
        <w:t>S</w:t>
      </w:r>
      <w:r w:rsidRPr="00650EE4">
        <w:rPr>
          <w:rFonts w:ascii="Times New Roman" w:eastAsia="Times New Roman" w:hAnsi="Times New Roman"/>
          <w:i/>
          <w:color w:val="000000" w:themeColor="text1"/>
          <w:sz w:val="20"/>
          <w:szCs w:val="20"/>
        </w:rPr>
        <w:t>tudijos</w:t>
      </w:r>
      <w:r w:rsidR="0007355D">
        <w:rPr>
          <w:rFonts w:ascii="Times New Roman" w:eastAsia="Times New Roman" w:hAnsi="Times New Roman"/>
          <w:i/>
          <w:color w:val="000000" w:themeColor="text1"/>
          <w:sz w:val="20"/>
          <w:szCs w:val="20"/>
        </w:rPr>
        <w:t xml:space="preserve"> </w:t>
      </w:r>
      <w:r w:rsidR="0007355D">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14533681" w14:textId="4BC7216A" w:rsidR="00885C16" w:rsidRPr="00650EE4" w:rsidRDefault="004F567F" w:rsidP="00F3508F">
      <w:pPr>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lastRenderedPageBreak/>
        <w:t xml:space="preserve">Paveiksle žemiau </w:t>
      </w:r>
      <w:r w:rsidR="00691F79" w:rsidRPr="00650EE4">
        <w:rPr>
          <w:rFonts w:ascii="Times New Roman" w:hAnsi="Times New Roman"/>
          <w:color w:val="000000" w:themeColor="text1"/>
          <w:szCs w:val="22"/>
        </w:rPr>
        <w:t xml:space="preserve">pateikiami </w:t>
      </w:r>
      <w:r w:rsidR="007A52B6">
        <w:rPr>
          <w:rFonts w:ascii="Times New Roman" w:hAnsi="Times New Roman"/>
          <w:color w:val="000000" w:themeColor="text1"/>
          <w:szCs w:val="22"/>
        </w:rPr>
        <w:t>p</w:t>
      </w:r>
      <w:r w:rsidR="00C53D30" w:rsidRPr="00650EE4">
        <w:rPr>
          <w:rFonts w:ascii="Times New Roman" w:hAnsi="Times New Roman"/>
          <w:color w:val="000000" w:themeColor="text1"/>
          <w:szCs w:val="22"/>
        </w:rPr>
        <w:t xml:space="preserve">astatų fondo pirminės energijos vartojimo pagal energinio naudingumo klasę </w:t>
      </w:r>
      <w:r w:rsidR="00691F79" w:rsidRPr="00650EE4">
        <w:rPr>
          <w:rFonts w:ascii="Times New Roman" w:hAnsi="Times New Roman"/>
          <w:color w:val="000000" w:themeColor="text1"/>
          <w:szCs w:val="22"/>
        </w:rPr>
        <w:t>agreguoti duomenys.</w:t>
      </w:r>
    </w:p>
    <w:p w14:paraId="58AAE185" w14:textId="77777777" w:rsidR="00CD12BC" w:rsidRPr="00650EE4" w:rsidRDefault="00CD12BC" w:rsidP="00CD12BC">
      <w:pPr>
        <w:jc w:val="both"/>
        <w:rPr>
          <w:rFonts w:ascii="Times New Roman" w:hAnsi="Times New Roman"/>
          <w:color w:val="000000" w:themeColor="text1"/>
          <w:szCs w:val="22"/>
        </w:rPr>
      </w:pPr>
    </w:p>
    <w:p w14:paraId="03E21D1C" w14:textId="238DCC67" w:rsidR="009677EA"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4" w:name="_Toc59094259"/>
      <w:r w:rsidR="00F25C65">
        <w:t>10</w:t>
      </w:r>
      <w:r w:rsidRPr="00650EE4">
        <w:rPr>
          <w:noProof w:val="0"/>
        </w:rPr>
        <w:fldChar w:fldCharType="end"/>
      </w:r>
      <w:r w:rsidR="009600E2" w:rsidRPr="00650EE4">
        <w:rPr>
          <w:noProof w:val="0"/>
        </w:rPr>
        <w:t xml:space="preserve"> paveikslas</w:t>
      </w:r>
      <w:r w:rsidR="009677EA" w:rsidRPr="00650EE4">
        <w:rPr>
          <w:noProof w:val="0"/>
        </w:rPr>
        <w:t xml:space="preserve">. Pastatų fondo pirminės energijos vartojimas pagal </w:t>
      </w:r>
      <w:r w:rsidR="009209CF" w:rsidRPr="00650EE4">
        <w:rPr>
          <w:noProof w:val="0"/>
        </w:rPr>
        <w:t>ENK</w:t>
      </w:r>
      <w:r w:rsidR="009677EA" w:rsidRPr="00650EE4">
        <w:rPr>
          <w:noProof w:val="0"/>
        </w:rPr>
        <w:t xml:space="preserve"> </w:t>
      </w:r>
      <w:r w:rsidR="009600E2" w:rsidRPr="00650EE4">
        <w:rPr>
          <w:noProof w:val="0"/>
        </w:rPr>
        <w:t xml:space="preserve">ir grupę </w:t>
      </w:r>
      <w:r w:rsidR="009677EA" w:rsidRPr="00650EE4">
        <w:rPr>
          <w:noProof w:val="0"/>
        </w:rPr>
        <w:t>(</w:t>
      </w:r>
      <w:proofErr w:type="spellStart"/>
      <w:r w:rsidR="009677EA" w:rsidRPr="00650EE4">
        <w:rPr>
          <w:noProof w:val="0"/>
        </w:rPr>
        <w:t>GWh</w:t>
      </w:r>
      <w:proofErr w:type="spellEnd"/>
      <w:r w:rsidR="009677EA" w:rsidRPr="00650EE4">
        <w:rPr>
          <w:noProof w:val="0"/>
        </w:rPr>
        <w:t>/metus)</w:t>
      </w:r>
      <w:bookmarkEnd w:id="64"/>
    </w:p>
    <w:p w14:paraId="69FD9191" w14:textId="29767250" w:rsidR="0047724C" w:rsidRPr="00650EE4" w:rsidRDefault="00DA63F0" w:rsidP="009600E2">
      <w:pPr>
        <w:spacing w:line="240" w:lineRule="auto"/>
        <w:rPr>
          <w:rFonts w:ascii="Times New Roman" w:hAnsi="Times New Roman"/>
          <w:color w:val="000000" w:themeColor="text1"/>
          <w:sz w:val="24"/>
          <w:szCs w:val="24"/>
        </w:rPr>
      </w:pPr>
      <w:r w:rsidRPr="00650EE4">
        <w:rPr>
          <w:rFonts w:ascii="Times New Roman" w:hAnsi="Times New Roman"/>
          <w:noProof/>
          <w:lang w:eastAsia="lt-LT"/>
        </w:rPr>
        <w:drawing>
          <wp:inline distT="0" distB="0" distL="0" distR="0" wp14:anchorId="400C3E6E" wp14:editId="17310EF3">
            <wp:extent cx="6479540" cy="2143924"/>
            <wp:effectExtent l="0" t="0" r="16510" b="27940"/>
            <wp:docPr id="26" name="Chart 26">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623D006E" w14:textId="45067A96" w:rsidR="00095DF4" w:rsidRPr="00650EE4" w:rsidRDefault="00885C16" w:rsidP="009600E2">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w:t>
      </w:r>
      <w:r w:rsidR="009600E2" w:rsidRPr="00650EE4">
        <w:rPr>
          <w:rFonts w:ascii="Times New Roman" w:eastAsia="Times New Roman" w:hAnsi="Times New Roman"/>
          <w:i/>
          <w:color w:val="000000" w:themeColor="text1"/>
          <w:sz w:val="20"/>
          <w:szCs w:val="28"/>
        </w:rPr>
        <w:t>tudijos</w:t>
      </w:r>
      <w:r w:rsidR="0007355D">
        <w:rPr>
          <w:rFonts w:ascii="Times New Roman" w:eastAsia="Times New Roman" w:hAnsi="Times New Roman"/>
          <w:i/>
          <w:color w:val="000000" w:themeColor="text1"/>
          <w:sz w:val="20"/>
          <w:szCs w:val="28"/>
        </w:rPr>
        <w:t xml:space="preserve"> </w:t>
      </w:r>
      <w:r w:rsidR="0007355D">
        <w:rPr>
          <w:rFonts w:ascii="Times New Roman" w:hAnsi="Times New Roman"/>
          <w:i/>
          <w:iCs/>
          <w:color w:val="auto"/>
          <w:sz w:val="20"/>
          <w:szCs w:val="20"/>
        </w:rPr>
        <w:t>Lietuvos ilgalaikei renovacijos strategijai parengti</w:t>
      </w:r>
      <w:r w:rsidR="009600E2" w:rsidRPr="00650EE4">
        <w:rPr>
          <w:rFonts w:ascii="Times New Roman" w:eastAsia="Times New Roman" w:hAnsi="Times New Roman"/>
          <w:i/>
          <w:color w:val="000000" w:themeColor="text1"/>
          <w:sz w:val="20"/>
          <w:szCs w:val="28"/>
        </w:rPr>
        <w:t xml:space="preserve"> autoriai</w:t>
      </w:r>
    </w:p>
    <w:p w14:paraId="69D1946B" w14:textId="77777777" w:rsidR="001447D2" w:rsidRPr="00650EE4" w:rsidRDefault="001447D2" w:rsidP="001447D2">
      <w:pPr>
        <w:spacing w:after="120" w:line="240" w:lineRule="auto"/>
        <w:jc w:val="both"/>
        <w:rPr>
          <w:rFonts w:ascii="Times New Roman" w:hAnsi="Times New Roman"/>
          <w:color w:val="000000" w:themeColor="text1"/>
          <w:szCs w:val="22"/>
        </w:rPr>
      </w:pPr>
    </w:p>
    <w:p w14:paraId="52AA059B" w14:textId="77777777" w:rsidR="001447D2" w:rsidRPr="00650EE4" w:rsidRDefault="001447D2" w:rsidP="001447D2">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pateiktus duomenis galima pastebėti, kad:</w:t>
      </w:r>
    </w:p>
    <w:p w14:paraId="5FA5EAB1" w14:textId="1C15B9D7"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g</w:t>
      </w:r>
      <w:r w:rsidR="001447D2" w:rsidRPr="00650EE4">
        <w:rPr>
          <w:rFonts w:ascii="Times New Roman" w:hAnsi="Times New Roman"/>
          <w:color w:val="000000" w:themeColor="text1"/>
          <w:szCs w:val="22"/>
        </w:rPr>
        <w:t>yvenamieji pastata</w:t>
      </w:r>
      <w:r>
        <w:rPr>
          <w:rFonts w:ascii="Times New Roman" w:hAnsi="Times New Roman"/>
          <w:color w:val="000000" w:themeColor="text1"/>
          <w:szCs w:val="22"/>
        </w:rPr>
        <w:t>i vartoja 2/3 (63 proc.) visos p</w:t>
      </w:r>
      <w:r w:rsidR="001447D2" w:rsidRPr="00650EE4">
        <w:rPr>
          <w:rFonts w:ascii="Times New Roman" w:hAnsi="Times New Roman"/>
          <w:color w:val="000000" w:themeColor="text1"/>
          <w:szCs w:val="22"/>
        </w:rPr>
        <w:t xml:space="preserve">astatų fondo pirminės energijos šildymui. 34 proc. vartoja individualūs gyvenamieji namai, </w:t>
      </w:r>
      <w:r w:rsidR="003E0C4E">
        <w:rPr>
          <w:rFonts w:ascii="Times New Roman" w:hAnsi="Times New Roman"/>
          <w:color w:val="000000" w:themeColor="text1"/>
          <w:szCs w:val="22"/>
        </w:rPr>
        <w:t xml:space="preserve">29 </w:t>
      </w:r>
      <w:r w:rsidR="001447D2" w:rsidRPr="00650EE4">
        <w:rPr>
          <w:rFonts w:ascii="Times New Roman" w:hAnsi="Times New Roman"/>
          <w:color w:val="000000" w:themeColor="text1"/>
          <w:szCs w:val="22"/>
        </w:rPr>
        <w:t xml:space="preserve">proc. – </w:t>
      </w:r>
      <w:r w:rsidR="003E0C4E">
        <w:rPr>
          <w:rFonts w:ascii="Times New Roman" w:hAnsi="Times New Roman"/>
          <w:color w:val="000000" w:themeColor="text1"/>
          <w:szCs w:val="22"/>
        </w:rPr>
        <w:t>daugiabučiai</w:t>
      </w:r>
      <w:r w:rsidR="001447D2" w:rsidRPr="00650EE4">
        <w:rPr>
          <w:rFonts w:ascii="Times New Roman" w:hAnsi="Times New Roman"/>
          <w:color w:val="000000" w:themeColor="text1"/>
          <w:szCs w:val="22"/>
        </w:rPr>
        <w:t>;</w:t>
      </w:r>
    </w:p>
    <w:p w14:paraId="7B296AE7" w14:textId="00F09CEE"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4/5 (7</w:t>
      </w:r>
      <w:r w:rsidR="004147B2">
        <w:rPr>
          <w:rFonts w:ascii="Times New Roman" w:hAnsi="Times New Roman"/>
          <w:color w:val="000000" w:themeColor="text1"/>
          <w:szCs w:val="22"/>
        </w:rPr>
        <w:t>7</w:t>
      </w:r>
      <w:r>
        <w:rPr>
          <w:rFonts w:ascii="Times New Roman" w:hAnsi="Times New Roman"/>
          <w:color w:val="000000" w:themeColor="text1"/>
          <w:szCs w:val="22"/>
        </w:rPr>
        <w:t xml:space="preserve"> proc.) visos p</w:t>
      </w:r>
      <w:r w:rsidR="001447D2" w:rsidRPr="00650EE4">
        <w:rPr>
          <w:rFonts w:ascii="Times New Roman" w:hAnsi="Times New Roman"/>
          <w:color w:val="000000" w:themeColor="text1"/>
          <w:szCs w:val="22"/>
        </w:rPr>
        <w:t xml:space="preserve">astatų fondo pirminės </w:t>
      </w:r>
      <w:r w:rsidR="002D7BF6">
        <w:rPr>
          <w:rFonts w:ascii="Times New Roman" w:hAnsi="Times New Roman"/>
          <w:color w:val="000000" w:themeColor="text1"/>
          <w:szCs w:val="22"/>
        </w:rPr>
        <w:t>energijos vartoja D</w:t>
      </w:r>
      <w:r w:rsidR="00DE199B">
        <w:rPr>
          <w:rFonts w:ascii="Times New Roman" w:hAnsi="Times New Roman"/>
          <w:color w:val="000000" w:themeColor="text1"/>
          <w:szCs w:val="22"/>
        </w:rPr>
        <w:t xml:space="preserve"> ir žemesnės</w:t>
      </w:r>
      <w:r w:rsidR="001447D2" w:rsidRPr="00650EE4">
        <w:rPr>
          <w:rFonts w:ascii="Times New Roman" w:hAnsi="Times New Roman"/>
          <w:color w:val="000000" w:themeColor="text1"/>
          <w:szCs w:val="22"/>
        </w:rPr>
        <w:t xml:space="preserve"> energinio naudingumo klasės pastatai. Reikšmingiausias vartojimas šiame segmente yra individualūs namai (3</w:t>
      </w:r>
      <w:r w:rsidR="00DE199B">
        <w:rPr>
          <w:rFonts w:ascii="Times New Roman" w:hAnsi="Times New Roman"/>
          <w:color w:val="000000" w:themeColor="text1"/>
          <w:szCs w:val="22"/>
        </w:rPr>
        <w:t>1</w:t>
      </w:r>
      <w:r w:rsidR="001447D2" w:rsidRPr="00650EE4">
        <w:rPr>
          <w:rFonts w:ascii="Times New Roman" w:hAnsi="Times New Roman"/>
          <w:color w:val="000000" w:themeColor="text1"/>
          <w:szCs w:val="22"/>
        </w:rPr>
        <w:t xml:space="preserve"> proc.), daugiabučiai (</w:t>
      </w:r>
      <w:r w:rsidR="00DE199B">
        <w:rPr>
          <w:rFonts w:ascii="Times New Roman" w:hAnsi="Times New Roman"/>
          <w:color w:val="000000" w:themeColor="text1"/>
          <w:szCs w:val="22"/>
        </w:rPr>
        <w:t>30</w:t>
      </w:r>
      <w:r w:rsidR="001447D2" w:rsidRPr="00650EE4">
        <w:rPr>
          <w:rFonts w:ascii="Times New Roman" w:hAnsi="Times New Roman"/>
          <w:color w:val="000000" w:themeColor="text1"/>
          <w:szCs w:val="22"/>
        </w:rPr>
        <w:t xml:space="preserve"> proc.) ir pramonės pastatai (</w:t>
      </w:r>
      <w:r w:rsidR="00DE199B">
        <w:rPr>
          <w:rFonts w:ascii="Times New Roman" w:hAnsi="Times New Roman"/>
          <w:color w:val="000000" w:themeColor="text1"/>
          <w:szCs w:val="22"/>
        </w:rPr>
        <w:t>21</w:t>
      </w:r>
      <w:r w:rsidR="001447D2" w:rsidRPr="00650EE4">
        <w:rPr>
          <w:rFonts w:ascii="Times New Roman" w:hAnsi="Times New Roman"/>
          <w:color w:val="000000" w:themeColor="text1"/>
          <w:szCs w:val="22"/>
        </w:rPr>
        <w:t xml:space="preserve"> proc.); </w:t>
      </w:r>
    </w:p>
    <w:p w14:paraId="7EF7219E" w14:textId="159BEBE2"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1447D2" w:rsidRPr="00650EE4">
        <w:rPr>
          <w:rFonts w:ascii="Times New Roman" w:hAnsi="Times New Roman"/>
          <w:color w:val="000000" w:themeColor="text1"/>
          <w:szCs w:val="22"/>
        </w:rPr>
        <w:t xml:space="preserve">titinkamai, </w:t>
      </w:r>
      <w:r w:rsidR="00DE199B">
        <w:rPr>
          <w:rFonts w:ascii="Times New Roman" w:hAnsi="Times New Roman"/>
          <w:color w:val="000000" w:themeColor="text1"/>
          <w:szCs w:val="22"/>
        </w:rPr>
        <w:t>D ir žemesnės</w:t>
      </w:r>
      <w:r w:rsidR="001447D2" w:rsidRPr="00650EE4">
        <w:rPr>
          <w:rFonts w:ascii="Times New Roman" w:hAnsi="Times New Roman"/>
          <w:color w:val="000000" w:themeColor="text1"/>
          <w:szCs w:val="22"/>
        </w:rPr>
        <w:t xml:space="preserve"> energinio naudingumo klasės gyvenamieji pastatai vartojanty</w:t>
      </w:r>
      <w:r>
        <w:rPr>
          <w:rFonts w:ascii="Times New Roman" w:hAnsi="Times New Roman"/>
          <w:color w:val="000000" w:themeColor="text1"/>
          <w:szCs w:val="22"/>
        </w:rPr>
        <w:t>s beveik pusę (47 proc.) visos p</w:t>
      </w:r>
      <w:r w:rsidR="001447D2" w:rsidRPr="00650EE4">
        <w:rPr>
          <w:rFonts w:ascii="Times New Roman" w:hAnsi="Times New Roman"/>
          <w:color w:val="000000" w:themeColor="text1"/>
          <w:szCs w:val="22"/>
        </w:rPr>
        <w:t xml:space="preserve">astatų fondo pirminės energijos, vertinami kaip prioritetinis segmentas IRS kontekste. </w:t>
      </w:r>
    </w:p>
    <w:p w14:paraId="03C4D484" w14:textId="751AD843" w:rsidR="00F3508F" w:rsidRPr="00650EE4" w:rsidRDefault="00F3508F">
      <w:pPr>
        <w:spacing w:after="240"/>
        <w:rPr>
          <w:rFonts w:ascii="Times New Roman" w:hAnsi="Times New Roman"/>
          <w:b/>
          <w:sz w:val="24"/>
          <w:szCs w:val="24"/>
        </w:rPr>
      </w:pPr>
    </w:p>
    <w:p w14:paraId="6F524155" w14:textId="5BAC310E" w:rsidR="006C714B" w:rsidRPr="00650EE4" w:rsidRDefault="006C714B" w:rsidP="006C714B">
      <w:pPr>
        <w:spacing w:after="240"/>
        <w:rPr>
          <w:rFonts w:ascii="Times New Roman" w:hAnsi="Times New Roman"/>
          <w:b/>
          <w:szCs w:val="22"/>
        </w:rPr>
      </w:pPr>
      <w:r w:rsidRPr="00650EE4">
        <w:rPr>
          <w:rFonts w:ascii="Times New Roman" w:hAnsi="Times New Roman"/>
          <w:b/>
          <w:szCs w:val="22"/>
        </w:rPr>
        <w:t>Pastatų fondo pirminės energijos vartojimas pagal</w:t>
      </w:r>
      <w:r w:rsidR="00F3508F" w:rsidRPr="00650EE4">
        <w:rPr>
          <w:rFonts w:ascii="Times New Roman" w:hAnsi="Times New Roman"/>
          <w:b/>
          <w:szCs w:val="22"/>
        </w:rPr>
        <w:t xml:space="preserve"> kuro</w:t>
      </w:r>
      <w:r w:rsidRPr="00650EE4">
        <w:rPr>
          <w:rFonts w:ascii="Times New Roman" w:hAnsi="Times New Roman"/>
          <w:b/>
          <w:szCs w:val="22"/>
        </w:rPr>
        <w:t xml:space="preserve"> </w:t>
      </w:r>
      <w:r w:rsidR="005C304F" w:rsidRPr="00650EE4">
        <w:rPr>
          <w:rFonts w:ascii="Times New Roman" w:hAnsi="Times New Roman"/>
          <w:b/>
          <w:szCs w:val="22"/>
        </w:rPr>
        <w:t>ir energijos rūšis</w:t>
      </w:r>
    </w:p>
    <w:p w14:paraId="3809A174" w14:textId="2560D4D6" w:rsidR="00357980" w:rsidRPr="00650EE4" w:rsidRDefault="00050ED5" w:rsidP="00357980">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Lentelėje žemiau pateikiamas p</w:t>
      </w:r>
      <w:r w:rsidR="00357980" w:rsidRPr="00650EE4">
        <w:rPr>
          <w:rFonts w:ascii="Times New Roman" w:hAnsi="Times New Roman"/>
          <w:color w:val="000000" w:themeColor="text1"/>
          <w:szCs w:val="22"/>
          <w:lang w:val="lt-LT"/>
        </w:rPr>
        <w:t xml:space="preserve">astatų fondo pirminės energijos vartojimas pagal </w:t>
      </w:r>
      <w:r w:rsidR="008F0486" w:rsidRPr="00650EE4">
        <w:rPr>
          <w:rFonts w:ascii="Times New Roman" w:hAnsi="Times New Roman"/>
          <w:color w:val="000000" w:themeColor="text1"/>
          <w:szCs w:val="22"/>
          <w:lang w:val="lt-LT"/>
        </w:rPr>
        <w:t>kuro</w:t>
      </w:r>
      <w:r w:rsidR="005C304F" w:rsidRPr="00650EE4">
        <w:rPr>
          <w:rFonts w:ascii="Times New Roman" w:hAnsi="Times New Roman"/>
          <w:color w:val="000000" w:themeColor="text1"/>
          <w:szCs w:val="22"/>
          <w:lang w:val="lt-LT"/>
        </w:rPr>
        <w:t xml:space="preserve"> ir energijos</w:t>
      </w:r>
      <w:r w:rsidR="008F0486" w:rsidRPr="00650EE4">
        <w:rPr>
          <w:rFonts w:ascii="Times New Roman" w:hAnsi="Times New Roman"/>
          <w:color w:val="000000" w:themeColor="text1"/>
          <w:szCs w:val="22"/>
          <w:lang w:val="lt-LT"/>
        </w:rPr>
        <w:t xml:space="preserve"> </w:t>
      </w:r>
      <w:r w:rsidR="000D0CC1" w:rsidRPr="00650EE4">
        <w:rPr>
          <w:rFonts w:ascii="Times New Roman" w:hAnsi="Times New Roman"/>
          <w:color w:val="000000" w:themeColor="text1"/>
          <w:szCs w:val="22"/>
          <w:lang w:val="lt-LT"/>
        </w:rPr>
        <w:t>rūšis</w:t>
      </w:r>
      <w:r w:rsidR="001447D2" w:rsidRPr="00650EE4">
        <w:rPr>
          <w:rFonts w:ascii="Times New Roman" w:hAnsi="Times New Roman"/>
          <w:color w:val="000000" w:themeColor="text1"/>
          <w:szCs w:val="22"/>
          <w:lang w:val="lt-LT"/>
        </w:rPr>
        <w:t>.</w:t>
      </w:r>
    </w:p>
    <w:p w14:paraId="1AC475DC" w14:textId="77777777" w:rsidR="009677EA" w:rsidRPr="00050ED5" w:rsidRDefault="009677EA">
      <w:pPr>
        <w:spacing w:line="240" w:lineRule="auto"/>
        <w:jc w:val="both"/>
        <w:rPr>
          <w:rFonts w:ascii="Times New Roman" w:hAnsi="Times New Roman"/>
          <w:color w:val="000000" w:themeColor="text1"/>
          <w:sz w:val="12"/>
          <w:szCs w:val="22"/>
        </w:rPr>
      </w:pPr>
    </w:p>
    <w:p w14:paraId="119B38A7" w14:textId="6065B0E9" w:rsidR="00E07181"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65" w:name="_Toc59094206"/>
      <w:r w:rsidR="00F25C65">
        <w:t>23</w:t>
      </w:r>
      <w:r w:rsidRPr="00650EE4">
        <w:rPr>
          <w:noProof w:val="0"/>
        </w:rPr>
        <w:fldChar w:fldCharType="end"/>
      </w:r>
      <w:r w:rsidR="001E6DEB" w:rsidRPr="00650EE4">
        <w:rPr>
          <w:noProof w:val="0"/>
        </w:rPr>
        <w:t xml:space="preserve"> lentelė</w:t>
      </w:r>
      <w:r w:rsidR="00E07181" w:rsidRPr="00650EE4">
        <w:rPr>
          <w:noProof w:val="0"/>
        </w:rPr>
        <w:t xml:space="preserve">. Pastatų fondo pirminės energijos vartojimas pagal </w:t>
      </w:r>
      <w:r w:rsidR="007A45C5" w:rsidRPr="00650EE4">
        <w:rPr>
          <w:noProof w:val="0"/>
        </w:rPr>
        <w:t>kuro</w:t>
      </w:r>
      <w:r w:rsidR="005C304F" w:rsidRPr="00650EE4">
        <w:rPr>
          <w:noProof w:val="0"/>
        </w:rPr>
        <w:t xml:space="preserve"> ir energijos</w:t>
      </w:r>
      <w:r w:rsidR="007A45C5" w:rsidRPr="00650EE4">
        <w:rPr>
          <w:noProof w:val="0"/>
        </w:rPr>
        <w:t xml:space="preserve"> rūšis</w:t>
      </w:r>
      <w:r w:rsidR="00E07181" w:rsidRPr="00650EE4">
        <w:rPr>
          <w:noProof w:val="0"/>
        </w:rPr>
        <w:t xml:space="preserve"> (</w:t>
      </w:r>
      <w:proofErr w:type="spellStart"/>
      <w:r w:rsidR="00E07181" w:rsidRPr="00650EE4">
        <w:rPr>
          <w:noProof w:val="0"/>
        </w:rPr>
        <w:t>GWh</w:t>
      </w:r>
      <w:proofErr w:type="spellEnd"/>
      <w:r w:rsidR="00E07181" w:rsidRPr="00650EE4">
        <w:rPr>
          <w:noProof w:val="0"/>
        </w:rPr>
        <w:t>/metus)</w:t>
      </w:r>
      <w:bookmarkEnd w:id="65"/>
    </w:p>
    <w:tbl>
      <w:tblPr>
        <w:tblW w:w="5000" w:type="pct"/>
        <w:tblLook w:val="04A0" w:firstRow="1" w:lastRow="0" w:firstColumn="1" w:lastColumn="0" w:noHBand="0" w:noVBand="1"/>
      </w:tblPr>
      <w:tblGrid>
        <w:gridCol w:w="2359"/>
        <w:gridCol w:w="971"/>
        <w:gridCol w:w="1328"/>
        <w:gridCol w:w="1423"/>
        <w:gridCol w:w="1334"/>
        <w:gridCol w:w="1111"/>
        <w:gridCol w:w="971"/>
        <w:gridCol w:w="923"/>
      </w:tblGrid>
      <w:tr w:rsidR="00B44397" w:rsidRPr="00650EE4" w14:paraId="61764289" w14:textId="77777777" w:rsidTr="00267B1D">
        <w:tc>
          <w:tcPr>
            <w:tcW w:w="1132" w:type="pct"/>
            <w:vMerge w:val="restart"/>
            <w:tcBorders>
              <w:top w:val="single" w:sz="4" w:space="0" w:color="auto"/>
              <w:left w:val="single" w:sz="4" w:space="0" w:color="auto"/>
              <w:bottom w:val="nil"/>
              <w:right w:val="nil"/>
            </w:tcBorders>
            <w:shd w:val="clear" w:color="000000" w:fill="FFFFFF"/>
            <w:vAlign w:val="center"/>
            <w:hideMark/>
          </w:tcPr>
          <w:p w14:paraId="03A5FD4B"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2959" w:type="pct"/>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11F2C75E" w14:textId="051DA483"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Kuro</w:t>
            </w:r>
            <w:r w:rsidR="005C304F" w:rsidRPr="00650EE4">
              <w:rPr>
                <w:rFonts w:ascii="Times New Roman" w:eastAsia="Times New Roman" w:hAnsi="Times New Roman"/>
                <w:b/>
                <w:bCs/>
                <w:sz w:val="20"/>
                <w:szCs w:val="20"/>
              </w:rPr>
              <w:t xml:space="preserve"> ir energijos</w:t>
            </w:r>
            <w:r w:rsidRPr="00650EE4">
              <w:rPr>
                <w:rFonts w:ascii="Times New Roman" w:eastAsia="Times New Roman" w:hAnsi="Times New Roman"/>
                <w:b/>
                <w:bCs/>
                <w:sz w:val="20"/>
                <w:szCs w:val="20"/>
              </w:rPr>
              <w:t xml:space="preserve"> rūšis</w:t>
            </w:r>
          </w:p>
        </w:tc>
        <w:tc>
          <w:tcPr>
            <w:tcW w:w="466" w:type="pct"/>
            <w:vMerge w:val="restart"/>
            <w:tcBorders>
              <w:top w:val="single" w:sz="4" w:space="0" w:color="auto"/>
              <w:left w:val="nil"/>
              <w:bottom w:val="nil"/>
              <w:right w:val="nil"/>
            </w:tcBorders>
            <w:shd w:val="clear" w:color="000000" w:fill="FFFFFF"/>
            <w:vAlign w:val="center"/>
            <w:hideMark/>
          </w:tcPr>
          <w:p w14:paraId="29D71F9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44" w:type="pct"/>
            <w:vMerge w:val="restart"/>
            <w:tcBorders>
              <w:top w:val="single" w:sz="4" w:space="0" w:color="auto"/>
              <w:left w:val="single" w:sz="4" w:space="0" w:color="auto"/>
              <w:bottom w:val="nil"/>
              <w:right w:val="single" w:sz="4" w:space="0" w:color="auto"/>
            </w:tcBorders>
            <w:shd w:val="clear" w:color="000000" w:fill="FFFFFF"/>
            <w:vAlign w:val="center"/>
            <w:hideMark/>
          </w:tcPr>
          <w:p w14:paraId="3CE2BCEA"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B44397" w:rsidRPr="00650EE4" w14:paraId="2858B65F" w14:textId="77777777" w:rsidTr="00267B1D">
        <w:tc>
          <w:tcPr>
            <w:tcW w:w="1132" w:type="pct"/>
            <w:vMerge/>
            <w:tcBorders>
              <w:top w:val="single" w:sz="4" w:space="0" w:color="auto"/>
              <w:left w:val="single" w:sz="4" w:space="0" w:color="auto"/>
              <w:bottom w:val="nil"/>
              <w:right w:val="nil"/>
            </w:tcBorders>
            <w:vAlign w:val="center"/>
            <w:hideMark/>
          </w:tcPr>
          <w:p w14:paraId="10E36055" w14:textId="77777777" w:rsidR="00B44397" w:rsidRPr="00650EE4" w:rsidRDefault="00B44397" w:rsidP="00B44397">
            <w:pPr>
              <w:spacing w:line="240" w:lineRule="auto"/>
              <w:rPr>
                <w:rFonts w:ascii="Times New Roman" w:eastAsia="Times New Roman" w:hAnsi="Times New Roman"/>
                <w:b/>
                <w:bCs/>
                <w:sz w:val="20"/>
                <w:szCs w:val="20"/>
              </w:rPr>
            </w:pPr>
          </w:p>
        </w:tc>
        <w:tc>
          <w:tcPr>
            <w:tcW w:w="466" w:type="pct"/>
            <w:tcBorders>
              <w:top w:val="nil"/>
              <w:left w:val="single" w:sz="4" w:space="0" w:color="auto"/>
              <w:bottom w:val="nil"/>
              <w:right w:val="nil"/>
            </w:tcBorders>
            <w:shd w:val="clear" w:color="000000" w:fill="FFFFFF"/>
            <w:noWrap/>
            <w:vAlign w:val="center"/>
            <w:hideMark/>
          </w:tcPr>
          <w:p w14:paraId="7DF3593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CŠT</w:t>
            </w:r>
          </w:p>
        </w:tc>
        <w:tc>
          <w:tcPr>
            <w:tcW w:w="637" w:type="pct"/>
            <w:tcBorders>
              <w:top w:val="nil"/>
              <w:left w:val="nil"/>
              <w:bottom w:val="nil"/>
              <w:right w:val="nil"/>
            </w:tcBorders>
            <w:shd w:val="clear" w:color="000000" w:fill="FFFFFF"/>
            <w:noWrap/>
            <w:vAlign w:val="center"/>
            <w:hideMark/>
          </w:tcPr>
          <w:p w14:paraId="7BB1B577"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Biokuras</w:t>
            </w:r>
          </w:p>
        </w:tc>
        <w:tc>
          <w:tcPr>
            <w:tcW w:w="683" w:type="pct"/>
            <w:tcBorders>
              <w:top w:val="nil"/>
              <w:left w:val="nil"/>
              <w:bottom w:val="nil"/>
              <w:right w:val="nil"/>
            </w:tcBorders>
            <w:shd w:val="clear" w:color="000000" w:fill="FFFFFF"/>
            <w:noWrap/>
            <w:vAlign w:val="center"/>
            <w:hideMark/>
          </w:tcPr>
          <w:p w14:paraId="6B8BA26B" w14:textId="1A65C9E1"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Dujos</w:t>
            </w:r>
            <w:r w:rsidR="00B6738C" w:rsidRPr="00650EE4">
              <w:rPr>
                <w:rStyle w:val="FootnoteReference"/>
                <w:rFonts w:ascii="Times New Roman" w:eastAsia="Times New Roman" w:hAnsi="Times New Roman"/>
                <w:b/>
                <w:bCs/>
                <w:sz w:val="20"/>
                <w:szCs w:val="20"/>
              </w:rPr>
              <w:footnoteReference w:id="9"/>
            </w:r>
          </w:p>
        </w:tc>
        <w:tc>
          <w:tcPr>
            <w:tcW w:w="640" w:type="pct"/>
            <w:tcBorders>
              <w:top w:val="nil"/>
              <w:left w:val="nil"/>
              <w:bottom w:val="nil"/>
              <w:right w:val="nil"/>
            </w:tcBorders>
            <w:shd w:val="clear" w:color="000000" w:fill="FFFFFF"/>
            <w:noWrap/>
            <w:vAlign w:val="center"/>
            <w:hideMark/>
          </w:tcPr>
          <w:p w14:paraId="66E2DD60"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Kietas kuras</w:t>
            </w:r>
          </w:p>
        </w:tc>
        <w:tc>
          <w:tcPr>
            <w:tcW w:w="532" w:type="pct"/>
            <w:tcBorders>
              <w:top w:val="nil"/>
              <w:left w:val="nil"/>
              <w:bottom w:val="nil"/>
              <w:right w:val="single" w:sz="4" w:space="0" w:color="auto"/>
            </w:tcBorders>
            <w:shd w:val="clear" w:color="000000" w:fill="FFFFFF"/>
            <w:noWrap/>
            <w:vAlign w:val="center"/>
            <w:hideMark/>
          </w:tcPr>
          <w:p w14:paraId="2853AB7B"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Elektra</w:t>
            </w:r>
          </w:p>
        </w:tc>
        <w:tc>
          <w:tcPr>
            <w:tcW w:w="466" w:type="pct"/>
            <w:vMerge/>
            <w:tcBorders>
              <w:top w:val="single" w:sz="4" w:space="0" w:color="auto"/>
              <w:left w:val="nil"/>
              <w:bottom w:val="nil"/>
              <w:right w:val="nil"/>
            </w:tcBorders>
            <w:vAlign w:val="center"/>
            <w:hideMark/>
          </w:tcPr>
          <w:p w14:paraId="2CE64DF9" w14:textId="77777777" w:rsidR="00B44397" w:rsidRPr="00650EE4" w:rsidRDefault="00B44397" w:rsidP="00B44397">
            <w:pPr>
              <w:spacing w:line="240" w:lineRule="auto"/>
              <w:rPr>
                <w:rFonts w:ascii="Times New Roman" w:eastAsia="Times New Roman" w:hAnsi="Times New Roman"/>
                <w:b/>
                <w:bCs/>
                <w:sz w:val="20"/>
                <w:szCs w:val="20"/>
              </w:rPr>
            </w:pPr>
          </w:p>
        </w:tc>
        <w:tc>
          <w:tcPr>
            <w:tcW w:w="444" w:type="pct"/>
            <w:vMerge/>
            <w:tcBorders>
              <w:top w:val="single" w:sz="4" w:space="0" w:color="auto"/>
              <w:left w:val="single" w:sz="4" w:space="0" w:color="auto"/>
              <w:bottom w:val="nil"/>
              <w:right w:val="single" w:sz="4" w:space="0" w:color="auto"/>
            </w:tcBorders>
            <w:vAlign w:val="center"/>
            <w:hideMark/>
          </w:tcPr>
          <w:p w14:paraId="1A4A1D74" w14:textId="77777777" w:rsidR="00B44397" w:rsidRPr="00650EE4" w:rsidRDefault="00B44397" w:rsidP="00B44397">
            <w:pPr>
              <w:spacing w:line="240" w:lineRule="auto"/>
              <w:rPr>
                <w:rFonts w:ascii="Times New Roman" w:eastAsia="Times New Roman" w:hAnsi="Times New Roman"/>
                <w:b/>
                <w:bCs/>
                <w:sz w:val="20"/>
                <w:szCs w:val="20"/>
              </w:rPr>
            </w:pPr>
          </w:p>
        </w:tc>
      </w:tr>
      <w:tr w:rsidR="00B44397" w:rsidRPr="00650EE4" w14:paraId="1A978DBF" w14:textId="77777777" w:rsidTr="00267B1D">
        <w:tc>
          <w:tcPr>
            <w:tcW w:w="1132" w:type="pct"/>
            <w:tcBorders>
              <w:top w:val="single" w:sz="4" w:space="0" w:color="auto"/>
              <w:left w:val="single" w:sz="4" w:space="0" w:color="auto"/>
              <w:bottom w:val="single" w:sz="4" w:space="0" w:color="auto"/>
              <w:right w:val="nil"/>
            </w:tcBorders>
            <w:shd w:val="clear" w:color="000000" w:fill="F2F2F2"/>
            <w:noWrap/>
            <w:vAlign w:val="center"/>
            <w:hideMark/>
          </w:tcPr>
          <w:p w14:paraId="6E591C12"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466" w:type="pct"/>
            <w:tcBorders>
              <w:top w:val="single" w:sz="4" w:space="0" w:color="auto"/>
              <w:left w:val="single" w:sz="4" w:space="0" w:color="auto"/>
              <w:bottom w:val="single" w:sz="4" w:space="0" w:color="auto"/>
              <w:right w:val="nil"/>
            </w:tcBorders>
            <w:shd w:val="clear" w:color="000000" w:fill="F2F2F2"/>
            <w:noWrap/>
            <w:vAlign w:val="center"/>
            <w:hideMark/>
          </w:tcPr>
          <w:p w14:paraId="6B96DC4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6.804</w:t>
            </w:r>
          </w:p>
        </w:tc>
        <w:tc>
          <w:tcPr>
            <w:tcW w:w="637" w:type="pct"/>
            <w:tcBorders>
              <w:top w:val="single" w:sz="4" w:space="0" w:color="auto"/>
              <w:left w:val="nil"/>
              <w:bottom w:val="single" w:sz="4" w:space="0" w:color="auto"/>
              <w:right w:val="nil"/>
            </w:tcBorders>
            <w:shd w:val="clear" w:color="000000" w:fill="F2F2F2"/>
            <w:noWrap/>
            <w:vAlign w:val="center"/>
            <w:hideMark/>
          </w:tcPr>
          <w:p w14:paraId="158D151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8.560</w:t>
            </w:r>
          </w:p>
        </w:tc>
        <w:tc>
          <w:tcPr>
            <w:tcW w:w="683" w:type="pct"/>
            <w:tcBorders>
              <w:top w:val="single" w:sz="4" w:space="0" w:color="auto"/>
              <w:left w:val="nil"/>
              <w:bottom w:val="single" w:sz="4" w:space="0" w:color="auto"/>
              <w:right w:val="nil"/>
            </w:tcBorders>
            <w:shd w:val="clear" w:color="000000" w:fill="F2F2F2"/>
            <w:noWrap/>
            <w:vAlign w:val="center"/>
            <w:hideMark/>
          </w:tcPr>
          <w:p w14:paraId="606FCF7A"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2.888</w:t>
            </w:r>
          </w:p>
        </w:tc>
        <w:tc>
          <w:tcPr>
            <w:tcW w:w="640" w:type="pct"/>
            <w:tcBorders>
              <w:top w:val="single" w:sz="4" w:space="0" w:color="auto"/>
              <w:left w:val="nil"/>
              <w:bottom w:val="single" w:sz="4" w:space="0" w:color="auto"/>
              <w:right w:val="nil"/>
            </w:tcBorders>
            <w:shd w:val="clear" w:color="000000" w:fill="F2F2F2"/>
            <w:noWrap/>
            <w:vAlign w:val="center"/>
            <w:hideMark/>
          </w:tcPr>
          <w:p w14:paraId="3C776246"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1.802</w:t>
            </w:r>
          </w:p>
        </w:tc>
        <w:tc>
          <w:tcPr>
            <w:tcW w:w="532" w:type="pct"/>
            <w:tcBorders>
              <w:top w:val="single" w:sz="4" w:space="0" w:color="auto"/>
              <w:left w:val="nil"/>
              <w:bottom w:val="single" w:sz="4" w:space="0" w:color="auto"/>
              <w:right w:val="single" w:sz="4" w:space="0" w:color="auto"/>
            </w:tcBorders>
            <w:shd w:val="clear" w:color="000000" w:fill="F2F2F2"/>
            <w:noWrap/>
            <w:vAlign w:val="center"/>
            <w:hideMark/>
          </w:tcPr>
          <w:p w14:paraId="4B01E0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5.730</w:t>
            </w:r>
          </w:p>
        </w:tc>
        <w:tc>
          <w:tcPr>
            <w:tcW w:w="466" w:type="pct"/>
            <w:tcBorders>
              <w:top w:val="single" w:sz="4" w:space="0" w:color="auto"/>
              <w:left w:val="nil"/>
              <w:bottom w:val="single" w:sz="4" w:space="0" w:color="auto"/>
              <w:right w:val="nil"/>
            </w:tcBorders>
            <w:shd w:val="clear" w:color="000000" w:fill="F2F2F2"/>
            <w:noWrap/>
            <w:vAlign w:val="center"/>
            <w:hideMark/>
          </w:tcPr>
          <w:p w14:paraId="221F11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444"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1CFFC0E3"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B44397" w:rsidRPr="00650EE4" w14:paraId="213F6BB3" w14:textId="77777777" w:rsidTr="00267B1D">
        <w:tc>
          <w:tcPr>
            <w:tcW w:w="1132" w:type="pct"/>
            <w:tcBorders>
              <w:top w:val="nil"/>
              <w:left w:val="single" w:sz="4" w:space="0" w:color="auto"/>
              <w:bottom w:val="nil"/>
              <w:right w:val="nil"/>
            </w:tcBorders>
            <w:shd w:val="clear" w:color="000000" w:fill="FFFFFF"/>
            <w:noWrap/>
            <w:vAlign w:val="center"/>
            <w:hideMark/>
          </w:tcPr>
          <w:p w14:paraId="4325A497"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466" w:type="pct"/>
            <w:tcBorders>
              <w:top w:val="nil"/>
              <w:left w:val="single" w:sz="4" w:space="0" w:color="auto"/>
              <w:bottom w:val="nil"/>
              <w:right w:val="nil"/>
            </w:tcBorders>
            <w:shd w:val="clear" w:color="000000" w:fill="FFFFFF"/>
            <w:noWrap/>
            <w:vAlign w:val="center"/>
            <w:hideMark/>
          </w:tcPr>
          <w:p w14:paraId="162804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637" w:type="pct"/>
            <w:tcBorders>
              <w:top w:val="nil"/>
              <w:left w:val="nil"/>
              <w:bottom w:val="nil"/>
              <w:right w:val="nil"/>
            </w:tcBorders>
            <w:shd w:val="clear" w:color="000000" w:fill="FFFFFF"/>
            <w:noWrap/>
            <w:vAlign w:val="center"/>
            <w:hideMark/>
          </w:tcPr>
          <w:p w14:paraId="183906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7.208</w:t>
            </w:r>
          </w:p>
        </w:tc>
        <w:tc>
          <w:tcPr>
            <w:tcW w:w="683" w:type="pct"/>
            <w:tcBorders>
              <w:top w:val="nil"/>
              <w:left w:val="nil"/>
              <w:bottom w:val="nil"/>
              <w:right w:val="nil"/>
            </w:tcBorders>
            <w:shd w:val="clear" w:color="000000" w:fill="FFFFFF"/>
            <w:noWrap/>
            <w:vAlign w:val="center"/>
            <w:hideMark/>
          </w:tcPr>
          <w:p w14:paraId="5EB401D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2.450</w:t>
            </w:r>
          </w:p>
        </w:tc>
        <w:tc>
          <w:tcPr>
            <w:tcW w:w="640" w:type="pct"/>
            <w:tcBorders>
              <w:top w:val="nil"/>
              <w:left w:val="nil"/>
              <w:bottom w:val="nil"/>
              <w:right w:val="nil"/>
            </w:tcBorders>
            <w:shd w:val="clear" w:color="000000" w:fill="FFFFFF"/>
            <w:noWrap/>
            <w:vAlign w:val="center"/>
            <w:hideMark/>
          </w:tcPr>
          <w:p w14:paraId="3AB708E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1.519</w:t>
            </w:r>
          </w:p>
        </w:tc>
        <w:tc>
          <w:tcPr>
            <w:tcW w:w="532" w:type="pct"/>
            <w:tcBorders>
              <w:top w:val="nil"/>
              <w:left w:val="nil"/>
              <w:bottom w:val="nil"/>
              <w:right w:val="single" w:sz="4" w:space="0" w:color="auto"/>
            </w:tcBorders>
            <w:shd w:val="clear" w:color="000000" w:fill="FFFFFF"/>
            <w:noWrap/>
            <w:vAlign w:val="center"/>
            <w:hideMark/>
          </w:tcPr>
          <w:p w14:paraId="1ADCFBB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2.593</w:t>
            </w:r>
          </w:p>
        </w:tc>
        <w:tc>
          <w:tcPr>
            <w:tcW w:w="466" w:type="pct"/>
            <w:tcBorders>
              <w:top w:val="nil"/>
              <w:left w:val="nil"/>
              <w:bottom w:val="nil"/>
              <w:right w:val="nil"/>
            </w:tcBorders>
            <w:shd w:val="clear" w:color="000000" w:fill="FFFFFF"/>
            <w:noWrap/>
            <w:vAlign w:val="center"/>
            <w:hideMark/>
          </w:tcPr>
          <w:p w14:paraId="2AB1F3CD"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444" w:type="pct"/>
            <w:tcBorders>
              <w:top w:val="nil"/>
              <w:left w:val="single" w:sz="4" w:space="0" w:color="auto"/>
              <w:bottom w:val="nil"/>
              <w:right w:val="single" w:sz="4" w:space="0" w:color="auto"/>
            </w:tcBorders>
            <w:shd w:val="clear" w:color="000000" w:fill="FFFFFF"/>
            <w:noWrap/>
            <w:vAlign w:val="center"/>
            <w:hideMark/>
          </w:tcPr>
          <w:p w14:paraId="07E2C22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B44397" w:rsidRPr="00650EE4" w14:paraId="537AEDC0" w14:textId="77777777" w:rsidTr="00267B1D">
        <w:tc>
          <w:tcPr>
            <w:tcW w:w="1132" w:type="pct"/>
            <w:tcBorders>
              <w:top w:val="nil"/>
              <w:left w:val="single" w:sz="4" w:space="0" w:color="auto"/>
              <w:bottom w:val="single" w:sz="4" w:space="0" w:color="auto"/>
              <w:right w:val="nil"/>
            </w:tcBorders>
            <w:shd w:val="clear" w:color="000000" w:fill="FFFFFF"/>
            <w:noWrap/>
            <w:vAlign w:val="center"/>
            <w:hideMark/>
          </w:tcPr>
          <w:p w14:paraId="19136C7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466" w:type="pct"/>
            <w:tcBorders>
              <w:top w:val="nil"/>
              <w:left w:val="single" w:sz="4" w:space="0" w:color="auto"/>
              <w:bottom w:val="single" w:sz="4" w:space="0" w:color="auto"/>
              <w:right w:val="nil"/>
            </w:tcBorders>
            <w:shd w:val="clear" w:color="000000" w:fill="FFFFFF"/>
            <w:noWrap/>
            <w:vAlign w:val="center"/>
            <w:hideMark/>
          </w:tcPr>
          <w:p w14:paraId="19352B8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6.766</w:t>
            </w:r>
          </w:p>
        </w:tc>
        <w:tc>
          <w:tcPr>
            <w:tcW w:w="637" w:type="pct"/>
            <w:tcBorders>
              <w:top w:val="nil"/>
              <w:left w:val="nil"/>
              <w:bottom w:val="single" w:sz="4" w:space="0" w:color="auto"/>
              <w:right w:val="nil"/>
            </w:tcBorders>
            <w:shd w:val="clear" w:color="000000" w:fill="FFFFFF"/>
            <w:noWrap/>
            <w:vAlign w:val="center"/>
            <w:hideMark/>
          </w:tcPr>
          <w:p w14:paraId="27D2F3F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1.352</w:t>
            </w:r>
          </w:p>
        </w:tc>
        <w:tc>
          <w:tcPr>
            <w:tcW w:w="683" w:type="pct"/>
            <w:tcBorders>
              <w:top w:val="nil"/>
              <w:left w:val="nil"/>
              <w:bottom w:val="single" w:sz="4" w:space="0" w:color="auto"/>
              <w:right w:val="nil"/>
            </w:tcBorders>
            <w:shd w:val="clear" w:color="000000" w:fill="FFFFFF"/>
            <w:noWrap/>
            <w:vAlign w:val="center"/>
            <w:hideMark/>
          </w:tcPr>
          <w:p w14:paraId="62E721F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439</w:t>
            </w:r>
          </w:p>
        </w:tc>
        <w:tc>
          <w:tcPr>
            <w:tcW w:w="640" w:type="pct"/>
            <w:tcBorders>
              <w:top w:val="nil"/>
              <w:left w:val="nil"/>
              <w:bottom w:val="single" w:sz="4" w:space="0" w:color="auto"/>
              <w:right w:val="nil"/>
            </w:tcBorders>
            <w:shd w:val="clear" w:color="000000" w:fill="FFFFFF"/>
            <w:noWrap/>
            <w:vAlign w:val="center"/>
            <w:hideMark/>
          </w:tcPr>
          <w:p w14:paraId="580F515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532" w:type="pct"/>
            <w:tcBorders>
              <w:top w:val="nil"/>
              <w:left w:val="nil"/>
              <w:bottom w:val="single" w:sz="4" w:space="0" w:color="auto"/>
              <w:right w:val="single" w:sz="4" w:space="0" w:color="auto"/>
            </w:tcBorders>
            <w:shd w:val="clear" w:color="000000" w:fill="FFFFFF"/>
            <w:noWrap/>
            <w:vAlign w:val="center"/>
            <w:hideMark/>
          </w:tcPr>
          <w:p w14:paraId="5EAFF7B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3.136</w:t>
            </w:r>
          </w:p>
        </w:tc>
        <w:tc>
          <w:tcPr>
            <w:tcW w:w="466" w:type="pct"/>
            <w:tcBorders>
              <w:top w:val="nil"/>
              <w:left w:val="nil"/>
              <w:bottom w:val="single" w:sz="4" w:space="0" w:color="auto"/>
              <w:right w:val="nil"/>
            </w:tcBorders>
            <w:shd w:val="clear" w:color="000000" w:fill="FFFFFF"/>
            <w:noWrap/>
            <w:vAlign w:val="center"/>
            <w:hideMark/>
          </w:tcPr>
          <w:p w14:paraId="1FBF9036"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14:paraId="130C21D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B44397" w:rsidRPr="00650EE4" w14:paraId="30A25A1B" w14:textId="77777777" w:rsidTr="00267B1D">
        <w:tc>
          <w:tcPr>
            <w:tcW w:w="1132" w:type="pct"/>
            <w:tcBorders>
              <w:top w:val="nil"/>
              <w:left w:val="single" w:sz="4" w:space="0" w:color="auto"/>
              <w:bottom w:val="single" w:sz="4" w:space="0" w:color="auto"/>
              <w:right w:val="nil"/>
            </w:tcBorders>
            <w:shd w:val="clear" w:color="000000" w:fill="F2F2F2"/>
            <w:noWrap/>
            <w:vAlign w:val="center"/>
            <w:hideMark/>
          </w:tcPr>
          <w:p w14:paraId="2DFFC4E1"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466" w:type="pct"/>
            <w:tcBorders>
              <w:top w:val="nil"/>
              <w:left w:val="single" w:sz="4" w:space="0" w:color="auto"/>
              <w:bottom w:val="single" w:sz="4" w:space="0" w:color="auto"/>
              <w:right w:val="nil"/>
            </w:tcBorders>
            <w:shd w:val="clear" w:color="000000" w:fill="F2F2F2"/>
            <w:noWrap/>
            <w:vAlign w:val="center"/>
            <w:hideMark/>
          </w:tcPr>
          <w:p w14:paraId="4830B55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3.220</w:t>
            </w:r>
          </w:p>
        </w:tc>
        <w:tc>
          <w:tcPr>
            <w:tcW w:w="637" w:type="pct"/>
            <w:tcBorders>
              <w:top w:val="nil"/>
              <w:left w:val="nil"/>
              <w:bottom w:val="single" w:sz="4" w:space="0" w:color="auto"/>
              <w:right w:val="nil"/>
            </w:tcBorders>
            <w:shd w:val="clear" w:color="000000" w:fill="F2F2F2"/>
            <w:noWrap/>
            <w:vAlign w:val="center"/>
            <w:hideMark/>
          </w:tcPr>
          <w:p w14:paraId="0FA8CC8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2.012</w:t>
            </w:r>
          </w:p>
        </w:tc>
        <w:tc>
          <w:tcPr>
            <w:tcW w:w="683" w:type="pct"/>
            <w:tcBorders>
              <w:top w:val="nil"/>
              <w:left w:val="nil"/>
              <w:bottom w:val="single" w:sz="4" w:space="0" w:color="auto"/>
              <w:right w:val="nil"/>
            </w:tcBorders>
            <w:shd w:val="clear" w:color="000000" w:fill="F2F2F2"/>
            <w:noWrap/>
            <w:vAlign w:val="center"/>
            <w:hideMark/>
          </w:tcPr>
          <w:p w14:paraId="59BA2FCD"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4.767</w:t>
            </w:r>
          </w:p>
        </w:tc>
        <w:tc>
          <w:tcPr>
            <w:tcW w:w="640" w:type="pct"/>
            <w:tcBorders>
              <w:top w:val="nil"/>
              <w:left w:val="nil"/>
              <w:bottom w:val="single" w:sz="4" w:space="0" w:color="auto"/>
              <w:right w:val="nil"/>
            </w:tcBorders>
            <w:shd w:val="clear" w:color="000000" w:fill="F2F2F2"/>
            <w:noWrap/>
            <w:vAlign w:val="center"/>
            <w:hideMark/>
          </w:tcPr>
          <w:p w14:paraId="56C8BB7D"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2.852</w:t>
            </w:r>
          </w:p>
        </w:tc>
        <w:tc>
          <w:tcPr>
            <w:tcW w:w="532" w:type="pct"/>
            <w:tcBorders>
              <w:top w:val="nil"/>
              <w:left w:val="nil"/>
              <w:bottom w:val="single" w:sz="4" w:space="0" w:color="auto"/>
              <w:right w:val="single" w:sz="4" w:space="0" w:color="auto"/>
            </w:tcBorders>
            <w:shd w:val="clear" w:color="000000" w:fill="F2F2F2"/>
            <w:noWrap/>
            <w:vAlign w:val="center"/>
            <w:hideMark/>
          </w:tcPr>
          <w:p w14:paraId="6DCD997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2.182</w:t>
            </w:r>
          </w:p>
        </w:tc>
        <w:tc>
          <w:tcPr>
            <w:tcW w:w="466" w:type="pct"/>
            <w:tcBorders>
              <w:top w:val="nil"/>
              <w:left w:val="nil"/>
              <w:bottom w:val="single" w:sz="4" w:space="0" w:color="auto"/>
              <w:right w:val="nil"/>
            </w:tcBorders>
            <w:shd w:val="clear" w:color="000000" w:fill="F2F2F2"/>
            <w:noWrap/>
            <w:vAlign w:val="center"/>
            <w:hideMark/>
          </w:tcPr>
          <w:p w14:paraId="0384D854"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444" w:type="pct"/>
            <w:tcBorders>
              <w:top w:val="nil"/>
              <w:left w:val="single" w:sz="4" w:space="0" w:color="auto"/>
              <w:bottom w:val="single" w:sz="4" w:space="0" w:color="auto"/>
              <w:right w:val="single" w:sz="4" w:space="0" w:color="auto"/>
            </w:tcBorders>
            <w:shd w:val="clear" w:color="000000" w:fill="F2F2F2"/>
            <w:noWrap/>
            <w:vAlign w:val="center"/>
            <w:hideMark/>
          </w:tcPr>
          <w:p w14:paraId="1A6BB24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B44397" w:rsidRPr="00650EE4" w14:paraId="14AAF2BB" w14:textId="77777777" w:rsidTr="00267B1D">
        <w:tc>
          <w:tcPr>
            <w:tcW w:w="1132" w:type="pct"/>
            <w:tcBorders>
              <w:top w:val="nil"/>
              <w:left w:val="single" w:sz="4" w:space="0" w:color="auto"/>
              <w:bottom w:val="nil"/>
              <w:right w:val="nil"/>
            </w:tcBorders>
            <w:shd w:val="clear" w:color="000000" w:fill="FFFFFF"/>
            <w:noWrap/>
            <w:vAlign w:val="center"/>
            <w:hideMark/>
          </w:tcPr>
          <w:p w14:paraId="5F67864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466" w:type="pct"/>
            <w:tcBorders>
              <w:top w:val="nil"/>
              <w:left w:val="single" w:sz="4" w:space="0" w:color="auto"/>
              <w:bottom w:val="nil"/>
              <w:right w:val="nil"/>
            </w:tcBorders>
            <w:shd w:val="clear" w:color="000000" w:fill="FFFFFF"/>
            <w:noWrap/>
            <w:vAlign w:val="center"/>
            <w:hideMark/>
          </w:tcPr>
          <w:p w14:paraId="2196AAF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1.489</w:t>
            </w:r>
          </w:p>
        </w:tc>
        <w:tc>
          <w:tcPr>
            <w:tcW w:w="637" w:type="pct"/>
            <w:tcBorders>
              <w:top w:val="nil"/>
              <w:left w:val="nil"/>
              <w:bottom w:val="nil"/>
              <w:right w:val="nil"/>
            </w:tcBorders>
            <w:shd w:val="clear" w:color="000000" w:fill="FFFFFF"/>
            <w:noWrap/>
            <w:vAlign w:val="center"/>
            <w:hideMark/>
          </w:tcPr>
          <w:p w14:paraId="2C2A359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989</w:t>
            </w:r>
          </w:p>
        </w:tc>
        <w:tc>
          <w:tcPr>
            <w:tcW w:w="683" w:type="pct"/>
            <w:tcBorders>
              <w:top w:val="nil"/>
              <w:left w:val="nil"/>
              <w:bottom w:val="nil"/>
              <w:right w:val="nil"/>
            </w:tcBorders>
            <w:shd w:val="clear" w:color="000000" w:fill="FFFFFF"/>
            <w:noWrap/>
            <w:vAlign w:val="center"/>
            <w:hideMark/>
          </w:tcPr>
          <w:p w14:paraId="6A5632C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2.353</w:t>
            </w:r>
          </w:p>
        </w:tc>
        <w:tc>
          <w:tcPr>
            <w:tcW w:w="640" w:type="pct"/>
            <w:tcBorders>
              <w:top w:val="nil"/>
              <w:left w:val="nil"/>
              <w:bottom w:val="nil"/>
              <w:right w:val="nil"/>
            </w:tcBorders>
            <w:shd w:val="clear" w:color="000000" w:fill="FFFFFF"/>
            <w:noWrap/>
            <w:vAlign w:val="center"/>
            <w:hideMark/>
          </w:tcPr>
          <w:p w14:paraId="07E7B99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1.402</w:t>
            </w:r>
          </w:p>
        </w:tc>
        <w:tc>
          <w:tcPr>
            <w:tcW w:w="532" w:type="pct"/>
            <w:tcBorders>
              <w:top w:val="nil"/>
              <w:left w:val="nil"/>
              <w:bottom w:val="nil"/>
              <w:right w:val="single" w:sz="4" w:space="0" w:color="auto"/>
            </w:tcBorders>
            <w:shd w:val="clear" w:color="000000" w:fill="FFFFFF"/>
            <w:noWrap/>
            <w:vAlign w:val="center"/>
            <w:hideMark/>
          </w:tcPr>
          <w:p w14:paraId="5FC89F6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1.033</w:t>
            </w:r>
          </w:p>
        </w:tc>
        <w:tc>
          <w:tcPr>
            <w:tcW w:w="466" w:type="pct"/>
            <w:tcBorders>
              <w:top w:val="nil"/>
              <w:left w:val="nil"/>
              <w:bottom w:val="nil"/>
              <w:right w:val="nil"/>
            </w:tcBorders>
            <w:shd w:val="clear" w:color="000000" w:fill="FFFFFF"/>
            <w:noWrap/>
            <w:vAlign w:val="center"/>
            <w:hideMark/>
          </w:tcPr>
          <w:p w14:paraId="2E9793A0"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444" w:type="pct"/>
            <w:tcBorders>
              <w:top w:val="nil"/>
              <w:left w:val="single" w:sz="4" w:space="0" w:color="auto"/>
              <w:bottom w:val="nil"/>
              <w:right w:val="single" w:sz="4" w:space="0" w:color="auto"/>
            </w:tcBorders>
            <w:shd w:val="clear" w:color="000000" w:fill="FFFFFF"/>
            <w:noWrap/>
            <w:vAlign w:val="center"/>
            <w:hideMark/>
          </w:tcPr>
          <w:p w14:paraId="080721D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B44397" w:rsidRPr="00650EE4" w14:paraId="43DFC538" w14:textId="77777777" w:rsidTr="00267B1D">
        <w:tc>
          <w:tcPr>
            <w:tcW w:w="1132" w:type="pct"/>
            <w:tcBorders>
              <w:top w:val="nil"/>
              <w:left w:val="single" w:sz="4" w:space="0" w:color="auto"/>
              <w:bottom w:val="nil"/>
              <w:right w:val="nil"/>
            </w:tcBorders>
            <w:shd w:val="clear" w:color="000000" w:fill="FFFFFF"/>
            <w:noWrap/>
            <w:vAlign w:val="center"/>
            <w:hideMark/>
          </w:tcPr>
          <w:p w14:paraId="7D2EA26F"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466" w:type="pct"/>
            <w:tcBorders>
              <w:top w:val="nil"/>
              <w:left w:val="single" w:sz="4" w:space="0" w:color="auto"/>
              <w:bottom w:val="nil"/>
              <w:right w:val="nil"/>
            </w:tcBorders>
            <w:shd w:val="clear" w:color="000000" w:fill="FFFFFF"/>
            <w:noWrap/>
            <w:vAlign w:val="center"/>
            <w:hideMark/>
          </w:tcPr>
          <w:p w14:paraId="011A668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475</w:t>
            </w:r>
          </w:p>
        </w:tc>
        <w:tc>
          <w:tcPr>
            <w:tcW w:w="637" w:type="pct"/>
            <w:tcBorders>
              <w:top w:val="nil"/>
              <w:left w:val="nil"/>
              <w:bottom w:val="nil"/>
              <w:right w:val="nil"/>
            </w:tcBorders>
            <w:shd w:val="clear" w:color="000000" w:fill="FFFFFF"/>
            <w:noWrap/>
            <w:vAlign w:val="center"/>
            <w:hideMark/>
          </w:tcPr>
          <w:p w14:paraId="6CDAFEC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683" w:type="pct"/>
            <w:tcBorders>
              <w:top w:val="nil"/>
              <w:left w:val="nil"/>
              <w:bottom w:val="nil"/>
              <w:right w:val="nil"/>
            </w:tcBorders>
            <w:shd w:val="clear" w:color="000000" w:fill="FFFFFF"/>
            <w:noWrap/>
            <w:vAlign w:val="center"/>
            <w:hideMark/>
          </w:tcPr>
          <w:p w14:paraId="286E41E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670</w:t>
            </w:r>
          </w:p>
        </w:tc>
        <w:tc>
          <w:tcPr>
            <w:tcW w:w="640" w:type="pct"/>
            <w:tcBorders>
              <w:top w:val="nil"/>
              <w:left w:val="nil"/>
              <w:bottom w:val="nil"/>
              <w:right w:val="nil"/>
            </w:tcBorders>
            <w:shd w:val="clear" w:color="000000" w:fill="FFFFFF"/>
            <w:noWrap/>
            <w:vAlign w:val="center"/>
            <w:hideMark/>
          </w:tcPr>
          <w:p w14:paraId="28E27C0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403</w:t>
            </w:r>
          </w:p>
        </w:tc>
        <w:tc>
          <w:tcPr>
            <w:tcW w:w="532" w:type="pct"/>
            <w:tcBorders>
              <w:top w:val="nil"/>
              <w:left w:val="nil"/>
              <w:bottom w:val="nil"/>
              <w:right w:val="single" w:sz="4" w:space="0" w:color="auto"/>
            </w:tcBorders>
            <w:shd w:val="clear" w:color="000000" w:fill="FFFFFF"/>
            <w:noWrap/>
            <w:vAlign w:val="center"/>
            <w:hideMark/>
          </w:tcPr>
          <w:p w14:paraId="13BDEFB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346</w:t>
            </w:r>
          </w:p>
        </w:tc>
        <w:tc>
          <w:tcPr>
            <w:tcW w:w="466" w:type="pct"/>
            <w:tcBorders>
              <w:top w:val="nil"/>
              <w:left w:val="nil"/>
              <w:bottom w:val="nil"/>
              <w:right w:val="nil"/>
            </w:tcBorders>
            <w:shd w:val="clear" w:color="000000" w:fill="FFFFFF"/>
            <w:noWrap/>
            <w:vAlign w:val="center"/>
            <w:hideMark/>
          </w:tcPr>
          <w:p w14:paraId="78A21605"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444" w:type="pct"/>
            <w:tcBorders>
              <w:top w:val="nil"/>
              <w:left w:val="single" w:sz="4" w:space="0" w:color="auto"/>
              <w:bottom w:val="nil"/>
              <w:right w:val="single" w:sz="4" w:space="0" w:color="auto"/>
            </w:tcBorders>
            <w:shd w:val="clear" w:color="000000" w:fill="FFFFFF"/>
            <w:noWrap/>
            <w:vAlign w:val="center"/>
            <w:hideMark/>
          </w:tcPr>
          <w:p w14:paraId="7D33B62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B44397" w:rsidRPr="00650EE4" w14:paraId="7C61774C" w14:textId="77777777" w:rsidTr="00267B1D">
        <w:tc>
          <w:tcPr>
            <w:tcW w:w="1132" w:type="pct"/>
            <w:tcBorders>
              <w:top w:val="nil"/>
              <w:left w:val="single" w:sz="4" w:space="0" w:color="auto"/>
              <w:bottom w:val="nil"/>
              <w:right w:val="nil"/>
            </w:tcBorders>
            <w:shd w:val="clear" w:color="000000" w:fill="FFFFFF"/>
            <w:noWrap/>
            <w:vAlign w:val="center"/>
            <w:hideMark/>
          </w:tcPr>
          <w:p w14:paraId="7A9DC11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466" w:type="pct"/>
            <w:tcBorders>
              <w:top w:val="nil"/>
              <w:left w:val="single" w:sz="4" w:space="0" w:color="auto"/>
              <w:bottom w:val="nil"/>
              <w:right w:val="nil"/>
            </w:tcBorders>
            <w:shd w:val="clear" w:color="000000" w:fill="FFFFFF"/>
            <w:noWrap/>
            <w:vAlign w:val="center"/>
            <w:hideMark/>
          </w:tcPr>
          <w:p w14:paraId="1105A81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637" w:type="pct"/>
            <w:tcBorders>
              <w:top w:val="nil"/>
              <w:left w:val="nil"/>
              <w:bottom w:val="nil"/>
              <w:right w:val="nil"/>
            </w:tcBorders>
            <w:shd w:val="clear" w:color="000000" w:fill="FFFFFF"/>
            <w:noWrap/>
            <w:vAlign w:val="center"/>
            <w:hideMark/>
          </w:tcPr>
          <w:p w14:paraId="210D287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83" w:type="pct"/>
            <w:tcBorders>
              <w:top w:val="nil"/>
              <w:left w:val="nil"/>
              <w:bottom w:val="nil"/>
              <w:right w:val="nil"/>
            </w:tcBorders>
            <w:shd w:val="clear" w:color="000000" w:fill="FFFFFF"/>
            <w:noWrap/>
            <w:vAlign w:val="center"/>
            <w:hideMark/>
          </w:tcPr>
          <w:p w14:paraId="10D6D92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538</w:t>
            </w:r>
          </w:p>
        </w:tc>
        <w:tc>
          <w:tcPr>
            <w:tcW w:w="640" w:type="pct"/>
            <w:tcBorders>
              <w:top w:val="nil"/>
              <w:left w:val="nil"/>
              <w:bottom w:val="nil"/>
              <w:right w:val="nil"/>
            </w:tcBorders>
            <w:shd w:val="clear" w:color="000000" w:fill="FFFFFF"/>
            <w:noWrap/>
            <w:vAlign w:val="center"/>
            <w:hideMark/>
          </w:tcPr>
          <w:p w14:paraId="1D55077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329</w:t>
            </w:r>
          </w:p>
        </w:tc>
        <w:tc>
          <w:tcPr>
            <w:tcW w:w="532" w:type="pct"/>
            <w:tcBorders>
              <w:top w:val="nil"/>
              <w:left w:val="nil"/>
              <w:bottom w:val="nil"/>
              <w:right w:val="single" w:sz="4" w:space="0" w:color="auto"/>
            </w:tcBorders>
            <w:shd w:val="clear" w:color="000000" w:fill="FFFFFF"/>
            <w:noWrap/>
            <w:vAlign w:val="center"/>
            <w:hideMark/>
          </w:tcPr>
          <w:p w14:paraId="620CC5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146</w:t>
            </w:r>
          </w:p>
        </w:tc>
        <w:tc>
          <w:tcPr>
            <w:tcW w:w="466" w:type="pct"/>
            <w:tcBorders>
              <w:top w:val="nil"/>
              <w:left w:val="nil"/>
              <w:bottom w:val="nil"/>
              <w:right w:val="nil"/>
            </w:tcBorders>
            <w:shd w:val="clear" w:color="000000" w:fill="FFFFFF"/>
            <w:noWrap/>
            <w:vAlign w:val="center"/>
            <w:hideMark/>
          </w:tcPr>
          <w:p w14:paraId="1F02058A"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444" w:type="pct"/>
            <w:tcBorders>
              <w:top w:val="nil"/>
              <w:left w:val="single" w:sz="4" w:space="0" w:color="auto"/>
              <w:bottom w:val="nil"/>
              <w:right w:val="single" w:sz="4" w:space="0" w:color="auto"/>
            </w:tcBorders>
            <w:shd w:val="clear" w:color="000000" w:fill="FFFFFF"/>
            <w:noWrap/>
            <w:vAlign w:val="center"/>
            <w:hideMark/>
          </w:tcPr>
          <w:p w14:paraId="2B9B358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B44397" w:rsidRPr="00650EE4" w14:paraId="31350D3E" w14:textId="77777777" w:rsidTr="00267B1D">
        <w:tc>
          <w:tcPr>
            <w:tcW w:w="1132" w:type="pct"/>
            <w:tcBorders>
              <w:top w:val="nil"/>
              <w:left w:val="single" w:sz="4" w:space="0" w:color="auto"/>
              <w:bottom w:val="nil"/>
              <w:right w:val="nil"/>
            </w:tcBorders>
            <w:shd w:val="clear" w:color="000000" w:fill="FFFFFF"/>
            <w:noWrap/>
            <w:vAlign w:val="center"/>
            <w:hideMark/>
          </w:tcPr>
          <w:p w14:paraId="422A971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466" w:type="pct"/>
            <w:tcBorders>
              <w:top w:val="nil"/>
              <w:left w:val="single" w:sz="4" w:space="0" w:color="auto"/>
              <w:bottom w:val="nil"/>
              <w:right w:val="nil"/>
            </w:tcBorders>
            <w:shd w:val="clear" w:color="000000" w:fill="FFFFFF"/>
            <w:noWrap/>
            <w:vAlign w:val="center"/>
            <w:hideMark/>
          </w:tcPr>
          <w:p w14:paraId="76F3508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637" w:type="pct"/>
            <w:tcBorders>
              <w:top w:val="nil"/>
              <w:left w:val="nil"/>
              <w:bottom w:val="nil"/>
              <w:right w:val="nil"/>
            </w:tcBorders>
            <w:shd w:val="clear" w:color="000000" w:fill="FFFFFF"/>
            <w:noWrap/>
            <w:vAlign w:val="center"/>
            <w:hideMark/>
          </w:tcPr>
          <w:p w14:paraId="6F66337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164</w:t>
            </w:r>
          </w:p>
        </w:tc>
        <w:tc>
          <w:tcPr>
            <w:tcW w:w="683" w:type="pct"/>
            <w:tcBorders>
              <w:top w:val="nil"/>
              <w:left w:val="nil"/>
              <w:bottom w:val="nil"/>
              <w:right w:val="nil"/>
            </w:tcBorders>
            <w:shd w:val="clear" w:color="000000" w:fill="FFFFFF"/>
            <w:noWrap/>
            <w:vAlign w:val="center"/>
            <w:hideMark/>
          </w:tcPr>
          <w:p w14:paraId="3ED090E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398</w:t>
            </w:r>
          </w:p>
        </w:tc>
        <w:tc>
          <w:tcPr>
            <w:tcW w:w="640" w:type="pct"/>
            <w:tcBorders>
              <w:top w:val="nil"/>
              <w:left w:val="nil"/>
              <w:bottom w:val="nil"/>
              <w:right w:val="nil"/>
            </w:tcBorders>
            <w:shd w:val="clear" w:color="000000" w:fill="FFFFFF"/>
            <w:noWrap/>
            <w:vAlign w:val="center"/>
            <w:hideMark/>
          </w:tcPr>
          <w:p w14:paraId="6254BF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532" w:type="pct"/>
            <w:tcBorders>
              <w:top w:val="nil"/>
              <w:left w:val="nil"/>
              <w:bottom w:val="nil"/>
              <w:right w:val="single" w:sz="4" w:space="0" w:color="auto"/>
            </w:tcBorders>
            <w:shd w:val="clear" w:color="000000" w:fill="FFFFFF"/>
            <w:noWrap/>
            <w:vAlign w:val="center"/>
            <w:hideMark/>
          </w:tcPr>
          <w:p w14:paraId="683C83D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260</w:t>
            </w:r>
          </w:p>
        </w:tc>
        <w:tc>
          <w:tcPr>
            <w:tcW w:w="466" w:type="pct"/>
            <w:tcBorders>
              <w:top w:val="nil"/>
              <w:left w:val="nil"/>
              <w:bottom w:val="nil"/>
              <w:right w:val="nil"/>
            </w:tcBorders>
            <w:shd w:val="clear" w:color="000000" w:fill="FFFFFF"/>
            <w:noWrap/>
            <w:vAlign w:val="center"/>
            <w:hideMark/>
          </w:tcPr>
          <w:p w14:paraId="749B44F1"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444" w:type="pct"/>
            <w:tcBorders>
              <w:top w:val="nil"/>
              <w:left w:val="single" w:sz="4" w:space="0" w:color="auto"/>
              <w:bottom w:val="nil"/>
              <w:right w:val="single" w:sz="4" w:space="0" w:color="auto"/>
            </w:tcBorders>
            <w:shd w:val="clear" w:color="000000" w:fill="FFFFFF"/>
            <w:noWrap/>
            <w:vAlign w:val="center"/>
            <w:hideMark/>
          </w:tcPr>
          <w:p w14:paraId="03B0D0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B44397" w:rsidRPr="00650EE4" w14:paraId="56AFA21E" w14:textId="77777777" w:rsidTr="00267B1D">
        <w:tc>
          <w:tcPr>
            <w:tcW w:w="1132" w:type="pct"/>
            <w:tcBorders>
              <w:top w:val="nil"/>
              <w:left w:val="single" w:sz="4" w:space="0" w:color="auto"/>
              <w:bottom w:val="nil"/>
              <w:right w:val="nil"/>
            </w:tcBorders>
            <w:shd w:val="clear" w:color="000000" w:fill="FFFFFF"/>
            <w:noWrap/>
            <w:vAlign w:val="center"/>
            <w:hideMark/>
          </w:tcPr>
          <w:p w14:paraId="5B49DE7C"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466" w:type="pct"/>
            <w:tcBorders>
              <w:top w:val="nil"/>
              <w:left w:val="single" w:sz="4" w:space="0" w:color="auto"/>
              <w:bottom w:val="nil"/>
              <w:right w:val="nil"/>
            </w:tcBorders>
            <w:shd w:val="clear" w:color="000000" w:fill="FFFFFF"/>
            <w:noWrap/>
            <w:vAlign w:val="center"/>
            <w:hideMark/>
          </w:tcPr>
          <w:p w14:paraId="3BE9288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136</w:t>
            </w:r>
          </w:p>
        </w:tc>
        <w:tc>
          <w:tcPr>
            <w:tcW w:w="637" w:type="pct"/>
            <w:tcBorders>
              <w:top w:val="nil"/>
              <w:left w:val="nil"/>
              <w:bottom w:val="nil"/>
              <w:right w:val="nil"/>
            </w:tcBorders>
            <w:shd w:val="clear" w:color="000000" w:fill="FFFFFF"/>
            <w:noWrap/>
            <w:vAlign w:val="center"/>
            <w:hideMark/>
          </w:tcPr>
          <w:p w14:paraId="7AC4384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w:t>
            </w:r>
          </w:p>
        </w:tc>
        <w:tc>
          <w:tcPr>
            <w:tcW w:w="683" w:type="pct"/>
            <w:tcBorders>
              <w:top w:val="nil"/>
              <w:left w:val="nil"/>
              <w:bottom w:val="nil"/>
              <w:right w:val="nil"/>
            </w:tcBorders>
            <w:shd w:val="clear" w:color="000000" w:fill="FFFFFF"/>
            <w:noWrap/>
            <w:vAlign w:val="center"/>
            <w:hideMark/>
          </w:tcPr>
          <w:p w14:paraId="54AEE97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201</w:t>
            </w:r>
          </w:p>
        </w:tc>
        <w:tc>
          <w:tcPr>
            <w:tcW w:w="640" w:type="pct"/>
            <w:tcBorders>
              <w:top w:val="nil"/>
              <w:left w:val="nil"/>
              <w:bottom w:val="nil"/>
              <w:right w:val="nil"/>
            </w:tcBorders>
            <w:shd w:val="clear" w:color="000000" w:fill="FFFFFF"/>
            <w:noWrap/>
            <w:vAlign w:val="center"/>
            <w:hideMark/>
          </w:tcPr>
          <w:p w14:paraId="553F113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122</w:t>
            </w:r>
          </w:p>
        </w:tc>
        <w:tc>
          <w:tcPr>
            <w:tcW w:w="532" w:type="pct"/>
            <w:tcBorders>
              <w:top w:val="nil"/>
              <w:left w:val="nil"/>
              <w:bottom w:val="nil"/>
              <w:right w:val="single" w:sz="4" w:space="0" w:color="auto"/>
            </w:tcBorders>
            <w:shd w:val="clear" w:color="000000" w:fill="FFFFFF"/>
            <w:noWrap/>
            <w:vAlign w:val="center"/>
            <w:hideMark/>
          </w:tcPr>
          <w:p w14:paraId="6F84FB9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466" w:type="pct"/>
            <w:tcBorders>
              <w:top w:val="nil"/>
              <w:left w:val="nil"/>
              <w:bottom w:val="nil"/>
              <w:right w:val="nil"/>
            </w:tcBorders>
            <w:shd w:val="clear" w:color="000000" w:fill="FFFFFF"/>
            <w:noWrap/>
            <w:vAlign w:val="center"/>
            <w:hideMark/>
          </w:tcPr>
          <w:p w14:paraId="5BB3E289"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444" w:type="pct"/>
            <w:tcBorders>
              <w:top w:val="nil"/>
              <w:left w:val="single" w:sz="4" w:space="0" w:color="auto"/>
              <w:bottom w:val="nil"/>
              <w:right w:val="single" w:sz="4" w:space="0" w:color="auto"/>
            </w:tcBorders>
            <w:shd w:val="clear" w:color="000000" w:fill="FFFFFF"/>
            <w:noWrap/>
            <w:vAlign w:val="center"/>
            <w:hideMark/>
          </w:tcPr>
          <w:p w14:paraId="1F067B2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1,60%</w:t>
            </w:r>
          </w:p>
        </w:tc>
      </w:tr>
      <w:tr w:rsidR="00B44397" w:rsidRPr="00650EE4" w14:paraId="3B0FDBA8" w14:textId="77777777" w:rsidTr="00267B1D">
        <w:tc>
          <w:tcPr>
            <w:tcW w:w="1132" w:type="pct"/>
            <w:tcBorders>
              <w:top w:val="nil"/>
              <w:left w:val="single" w:sz="4" w:space="0" w:color="auto"/>
              <w:bottom w:val="nil"/>
              <w:right w:val="nil"/>
            </w:tcBorders>
            <w:shd w:val="clear" w:color="000000" w:fill="FFFFFF"/>
            <w:noWrap/>
            <w:vAlign w:val="center"/>
            <w:hideMark/>
          </w:tcPr>
          <w:p w14:paraId="2AEB4B04"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466" w:type="pct"/>
            <w:tcBorders>
              <w:top w:val="nil"/>
              <w:left w:val="single" w:sz="4" w:space="0" w:color="auto"/>
              <w:bottom w:val="nil"/>
              <w:right w:val="nil"/>
            </w:tcBorders>
            <w:shd w:val="clear" w:color="000000" w:fill="FFFFFF"/>
            <w:noWrap/>
            <w:vAlign w:val="center"/>
            <w:hideMark/>
          </w:tcPr>
          <w:p w14:paraId="1FA9A46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w:t>
            </w:r>
          </w:p>
        </w:tc>
        <w:tc>
          <w:tcPr>
            <w:tcW w:w="637" w:type="pct"/>
            <w:tcBorders>
              <w:top w:val="nil"/>
              <w:left w:val="nil"/>
              <w:bottom w:val="nil"/>
              <w:right w:val="nil"/>
            </w:tcBorders>
            <w:shd w:val="clear" w:color="000000" w:fill="FFFFFF"/>
            <w:noWrap/>
            <w:vAlign w:val="center"/>
            <w:hideMark/>
          </w:tcPr>
          <w:p w14:paraId="4A15F0D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683" w:type="pct"/>
            <w:tcBorders>
              <w:top w:val="nil"/>
              <w:left w:val="nil"/>
              <w:bottom w:val="nil"/>
              <w:right w:val="nil"/>
            </w:tcBorders>
            <w:shd w:val="clear" w:color="000000" w:fill="FFFFFF"/>
            <w:noWrap/>
            <w:vAlign w:val="center"/>
            <w:hideMark/>
          </w:tcPr>
          <w:p w14:paraId="46C562F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162</w:t>
            </w:r>
          </w:p>
        </w:tc>
        <w:tc>
          <w:tcPr>
            <w:tcW w:w="640" w:type="pct"/>
            <w:tcBorders>
              <w:top w:val="nil"/>
              <w:left w:val="nil"/>
              <w:bottom w:val="nil"/>
              <w:right w:val="nil"/>
            </w:tcBorders>
            <w:shd w:val="clear" w:color="000000" w:fill="FFFFFF"/>
            <w:noWrap/>
            <w:vAlign w:val="center"/>
            <w:hideMark/>
          </w:tcPr>
          <w:p w14:paraId="1D73598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32" w:type="pct"/>
            <w:tcBorders>
              <w:top w:val="nil"/>
              <w:left w:val="nil"/>
              <w:bottom w:val="nil"/>
              <w:right w:val="single" w:sz="4" w:space="0" w:color="auto"/>
            </w:tcBorders>
            <w:shd w:val="clear" w:color="000000" w:fill="FFFFFF"/>
            <w:noWrap/>
            <w:vAlign w:val="center"/>
            <w:hideMark/>
          </w:tcPr>
          <w:p w14:paraId="6D3F67A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83</w:t>
            </w:r>
          </w:p>
        </w:tc>
        <w:tc>
          <w:tcPr>
            <w:tcW w:w="466" w:type="pct"/>
            <w:tcBorders>
              <w:top w:val="nil"/>
              <w:left w:val="nil"/>
              <w:bottom w:val="nil"/>
              <w:right w:val="nil"/>
            </w:tcBorders>
            <w:shd w:val="clear" w:color="000000" w:fill="FFFFFF"/>
            <w:noWrap/>
            <w:vAlign w:val="center"/>
            <w:hideMark/>
          </w:tcPr>
          <w:p w14:paraId="3478BEB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444" w:type="pct"/>
            <w:tcBorders>
              <w:top w:val="nil"/>
              <w:left w:val="single" w:sz="4" w:space="0" w:color="auto"/>
              <w:bottom w:val="nil"/>
              <w:right w:val="single" w:sz="4" w:space="0" w:color="auto"/>
            </w:tcBorders>
            <w:shd w:val="clear" w:color="000000" w:fill="FFFFFF"/>
            <w:noWrap/>
            <w:vAlign w:val="center"/>
            <w:hideMark/>
          </w:tcPr>
          <w:p w14:paraId="173A851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1,39%</w:t>
            </w:r>
          </w:p>
        </w:tc>
      </w:tr>
      <w:tr w:rsidR="00B44397" w:rsidRPr="00650EE4" w14:paraId="5C7AA61A" w14:textId="77777777" w:rsidTr="00267B1D">
        <w:tc>
          <w:tcPr>
            <w:tcW w:w="1132" w:type="pct"/>
            <w:tcBorders>
              <w:top w:val="nil"/>
              <w:left w:val="single" w:sz="4" w:space="0" w:color="auto"/>
              <w:bottom w:val="nil"/>
              <w:right w:val="nil"/>
            </w:tcBorders>
            <w:shd w:val="clear" w:color="000000" w:fill="FFFFFF"/>
            <w:noWrap/>
            <w:vAlign w:val="center"/>
            <w:hideMark/>
          </w:tcPr>
          <w:p w14:paraId="6A6A86E2"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466" w:type="pct"/>
            <w:tcBorders>
              <w:top w:val="nil"/>
              <w:left w:val="single" w:sz="4" w:space="0" w:color="auto"/>
              <w:bottom w:val="nil"/>
              <w:right w:val="nil"/>
            </w:tcBorders>
            <w:shd w:val="clear" w:color="000000" w:fill="FFFFFF"/>
            <w:noWrap/>
            <w:vAlign w:val="center"/>
            <w:hideMark/>
          </w:tcPr>
          <w:p w14:paraId="13C5778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103</w:t>
            </w:r>
          </w:p>
        </w:tc>
        <w:tc>
          <w:tcPr>
            <w:tcW w:w="637" w:type="pct"/>
            <w:tcBorders>
              <w:top w:val="nil"/>
              <w:left w:val="nil"/>
              <w:bottom w:val="nil"/>
              <w:right w:val="nil"/>
            </w:tcBorders>
            <w:shd w:val="clear" w:color="000000" w:fill="FFFFFF"/>
            <w:noWrap/>
            <w:vAlign w:val="center"/>
            <w:hideMark/>
          </w:tcPr>
          <w:p w14:paraId="198821D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683" w:type="pct"/>
            <w:tcBorders>
              <w:top w:val="nil"/>
              <w:left w:val="nil"/>
              <w:bottom w:val="nil"/>
              <w:right w:val="nil"/>
            </w:tcBorders>
            <w:shd w:val="clear" w:color="000000" w:fill="FFFFFF"/>
            <w:noWrap/>
            <w:vAlign w:val="center"/>
            <w:hideMark/>
          </w:tcPr>
          <w:p w14:paraId="1686B86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159</w:t>
            </w:r>
          </w:p>
        </w:tc>
        <w:tc>
          <w:tcPr>
            <w:tcW w:w="640" w:type="pct"/>
            <w:tcBorders>
              <w:top w:val="nil"/>
              <w:left w:val="nil"/>
              <w:bottom w:val="nil"/>
              <w:right w:val="nil"/>
            </w:tcBorders>
            <w:shd w:val="clear" w:color="000000" w:fill="FFFFFF"/>
            <w:noWrap/>
            <w:vAlign w:val="center"/>
            <w:hideMark/>
          </w:tcPr>
          <w:p w14:paraId="495D20F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w:t>
            </w:r>
          </w:p>
        </w:tc>
        <w:tc>
          <w:tcPr>
            <w:tcW w:w="532" w:type="pct"/>
            <w:tcBorders>
              <w:top w:val="nil"/>
              <w:left w:val="nil"/>
              <w:bottom w:val="nil"/>
              <w:right w:val="single" w:sz="4" w:space="0" w:color="auto"/>
            </w:tcBorders>
            <w:shd w:val="clear" w:color="000000" w:fill="FFFFFF"/>
            <w:noWrap/>
            <w:vAlign w:val="center"/>
            <w:hideMark/>
          </w:tcPr>
          <w:p w14:paraId="14C6332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76</w:t>
            </w:r>
          </w:p>
        </w:tc>
        <w:tc>
          <w:tcPr>
            <w:tcW w:w="466" w:type="pct"/>
            <w:tcBorders>
              <w:top w:val="nil"/>
              <w:left w:val="nil"/>
              <w:bottom w:val="nil"/>
              <w:right w:val="nil"/>
            </w:tcBorders>
            <w:shd w:val="clear" w:color="000000" w:fill="FFFFFF"/>
            <w:noWrap/>
            <w:vAlign w:val="center"/>
            <w:hideMark/>
          </w:tcPr>
          <w:p w14:paraId="12A5BC22"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444" w:type="pct"/>
            <w:tcBorders>
              <w:top w:val="nil"/>
              <w:left w:val="single" w:sz="4" w:space="0" w:color="auto"/>
              <w:bottom w:val="nil"/>
              <w:right w:val="single" w:sz="4" w:space="0" w:color="auto"/>
            </w:tcBorders>
            <w:shd w:val="clear" w:color="000000" w:fill="FFFFFF"/>
            <w:noWrap/>
            <w:vAlign w:val="center"/>
            <w:hideMark/>
          </w:tcPr>
          <w:p w14:paraId="7B2F311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r>
      <w:tr w:rsidR="00B44397" w:rsidRPr="00650EE4" w14:paraId="43CDA090" w14:textId="77777777" w:rsidTr="00267B1D">
        <w:tc>
          <w:tcPr>
            <w:tcW w:w="1132" w:type="pct"/>
            <w:tcBorders>
              <w:top w:val="nil"/>
              <w:left w:val="single" w:sz="4" w:space="0" w:color="auto"/>
              <w:bottom w:val="nil"/>
              <w:right w:val="nil"/>
            </w:tcBorders>
            <w:shd w:val="clear" w:color="000000" w:fill="FFFFFF"/>
            <w:noWrap/>
            <w:vAlign w:val="center"/>
            <w:hideMark/>
          </w:tcPr>
          <w:p w14:paraId="68432B8E"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466" w:type="pct"/>
            <w:tcBorders>
              <w:top w:val="nil"/>
              <w:left w:val="single" w:sz="4" w:space="0" w:color="auto"/>
              <w:bottom w:val="nil"/>
              <w:right w:val="nil"/>
            </w:tcBorders>
            <w:shd w:val="clear" w:color="000000" w:fill="FFFFFF"/>
            <w:noWrap/>
            <w:vAlign w:val="center"/>
            <w:hideMark/>
          </w:tcPr>
          <w:p w14:paraId="73EAC6F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w:t>
            </w:r>
          </w:p>
        </w:tc>
        <w:tc>
          <w:tcPr>
            <w:tcW w:w="637" w:type="pct"/>
            <w:tcBorders>
              <w:top w:val="nil"/>
              <w:left w:val="nil"/>
              <w:bottom w:val="nil"/>
              <w:right w:val="nil"/>
            </w:tcBorders>
            <w:shd w:val="clear" w:color="000000" w:fill="FFFFFF"/>
            <w:noWrap/>
            <w:vAlign w:val="center"/>
            <w:hideMark/>
          </w:tcPr>
          <w:p w14:paraId="10DEFC0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72</w:t>
            </w:r>
          </w:p>
        </w:tc>
        <w:tc>
          <w:tcPr>
            <w:tcW w:w="683" w:type="pct"/>
            <w:tcBorders>
              <w:top w:val="nil"/>
              <w:left w:val="nil"/>
              <w:bottom w:val="nil"/>
              <w:right w:val="nil"/>
            </w:tcBorders>
            <w:shd w:val="clear" w:color="000000" w:fill="FFFFFF"/>
            <w:noWrap/>
            <w:vAlign w:val="center"/>
            <w:hideMark/>
          </w:tcPr>
          <w:p w14:paraId="5577180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171</w:t>
            </w:r>
          </w:p>
        </w:tc>
        <w:tc>
          <w:tcPr>
            <w:tcW w:w="640" w:type="pct"/>
            <w:tcBorders>
              <w:top w:val="nil"/>
              <w:left w:val="nil"/>
              <w:bottom w:val="nil"/>
              <w:right w:val="nil"/>
            </w:tcBorders>
            <w:shd w:val="clear" w:color="000000" w:fill="FFFFFF"/>
            <w:noWrap/>
            <w:vAlign w:val="center"/>
            <w:hideMark/>
          </w:tcPr>
          <w:p w14:paraId="54E1473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102</w:t>
            </w:r>
          </w:p>
        </w:tc>
        <w:tc>
          <w:tcPr>
            <w:tcW w:w="532" w:type="pct"/>
            <w:tcBorders>
              <w:top w:val="nil"/>
              <w:left w:val="nil"/>
              <w:bottom w:val="nil"/>
              <w:right w:val="single" w:sz="4" w:space="0" w:color="auto"/>
            </w:tcBorders>
            <w:shd w:val="clear" w:color="000000" w:fill="FFFFFF"/>
            <w:noWrap/>
            <w:vAlign w:val="center"/>
            <w:hideMark/>
          </w:tcPr>
          <w:p w14:paraId="6176DDA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466" w:type="pct"/>
            <w:tcBorders>
              <w:top w:val="nil"/>
              <w:left w:val="nil"/>
              <w:bottom w:val="nil"/>
              <w:right w:val="nil"/>
            </w:tcBorders>
            <w:shd w:val="clear" w:color="000000" w:fill="FFFFFF"/>
            <w:noWrap/>
            <w:vAlign w:val="center"/>
            <w:hideMark/>
          </w:tcPr>
          <w:p w14:paraId="282332F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444" w:type="pct"/>
            <w:tcBorders>
              <w:top w:val="nil"/>
              <w:left w:val="single" w:sz="4" w:space="0" w:color="auto"/>
              <w:bottom w:val="nil"/>
              <w:right w:val="single" w:sz="4" w:space="0" w:color="auto"/>
            </w:tcBorders>
            <w:shd w:val="clear" w:color="000000" w:fill="FFFFFF"/>
            <w:noWrap/>
            <w:vAlign w:val="center"/>
            <w:hideMark/>
          </w:tcPr>
          <w:p w14:paraId="696787B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1,31%</w:t>
            </w:r>
          </w:p>
        </w:tc>
      </w:tr>
      <w:tr w:rsidR="00B44397" w:rsidRPr="00650EE4" w14:paraId="15AF5B46" w14:textId="77777777" w:rsidTr="00267B1D">
        <w:tc>
          <w:tcPr>
            <w:tcW w:w="1132" w:type="pct"/>
            <w:tcBorders>
              <w:top w:val="nil"/>
              <w:left w:val="single" w:sz="4" w:space="0" w:color="auto"/>
              <w:bottom w:val="nil"/>
              <w:right w:val="nil"/>
            </w:tcBorders>
            <w:shd w:val="clear" w:color="000000" w:fill="FFFFFF"/>
            <w:noWrap/>
            <w:vAlign w:val="center"/>
            <w:hideMark/>
          </w:tcPr>
          <w:p w14:paraId="4295998A"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466" w:type="pct"/>
            <w:tcBorders>
              <w:top w:val="nil"/>
              <w:left w:val="single" w:sz="4" w:space="0" w:color="auto"/>
              <w:bottom w:val="nil"/>
              <w:right w:val="nil"/>
            </w:tcBorders>
            <w:shd w:val="clear" w:color="000000" w:fill="FFFFFF"/>
            <w:noWrap/>
            <w:vAlign w:val="center"/>
            <w:hideMark/>
          </w:tcPr>
          <w:p w14:paraId="00302C3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637" w:type="pct"/>
            <w:tcBorders>
              <w:top w:val="nil"/>
              <w:left w:val="nil"/>
              <w:bottom w:val="nil"/>
              <w:right w:val="nil"/>
            </w:tcBorders>
            <w:shd w:val="clear" w:color="000000" w:fill="FFFFFF"/>
            <w:noWrap/>
            <w:vAlign w:val="center"/>
            <w:hideMark/>
          </w:tcPr>
          <w:p w14:paraId="531BD3E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683" w:type="pct"/>
            <w:tcBorders>
              <w:top w:val="nil"/>
              <w:left w:val="nil"/>
              <w:bottom w:val="nil"/>
              <w:right w:val="nil"/>
            </w:tcBorders>
            <w:shd w:val="clear" w:color="000000" w:fill="FFFFFF"/>
            <w:noWrap/>
            <w:vAlign w:val="center"/>
            <w:hideMark/>
          </w:tcPr>
          <w:p w14:paraId="6D9C192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w:t>
            </w:r>
          </w:p>
        </w:tc>
        <w:tc>
          <w:tcPr>
            <w:tcW w:w="640" w:type="pct"/>
            <w:tcBorders>
              <w:top w:val="nil"/>
              <w:left w:val="nil"/>
              <w:bottom w:val="nil"/>
              <w:right w:val="nil"/>
            </w:tcBorders>
            <w:shd w:val="clear" w:color="000000" w:fill="FFFFFF"/>
            <w:noWrap/>
            <w:vAlign w:val="center"/>
            <w:hideMark/>
          </w:tcPr>
          <w:p w14:paraId="187EFC0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w:t>
            </w:r>
          </w:p>
        </w:tc>
        <w:tc>
          <w:tcPr>
            <w:tcW w:w="532" w:type="pct"/>
            <w:tcBorders>
              <w:top w:val="nil"/>
              <w:left w:val="nil"/>
              <w:bottom w:val="nil"/>
              <w:right w:val="single" w:sz="4" w:space="0" w:color="auto"/>
            </w:tcBorders>
            <w:shd w:val="clear" w:color="000000" w:fill="FFFFFF"/>
            <w:noWrap/>
            <w:vAlign w:val="center"/>
            <w:hideMark/>
          </w:tcPr>
          <w:p w14:paraId="5A96D42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466" w:type="pct"/>
            <w:tcBorders>
              <w:top w:val="nil"/>
              <w:left w:val="nil"/>
              <w:bottom w:val="nil"/>
              <w:right w:val="nil"/>
            </w:tcBorders>
            <w:shd w:val="clear" w:color="000000" w:fill="FFFFFF"/>
            <w:noWrap/>
            <w:vAlign w:val="center"/>
            <w:hideMark/>
          </w:tcPr>
          <w:p w14:paraId="6754FC68"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444" w:type="pct"/>
            <w:tcBorders>
              <w:top w:val="nil"/>
              <w:left w:val="single" w:sz="4" w:space="0" w:color="auto"/>
              <w:bottom w:val="nil"/>
              <w:right w:val="single" w:sz="4" w:space="0" w:color="auto"/>
            </w:tcBorders>
            <w:shd w:val="clear" w:color="000000" w:fill="FFFFFF"/>
            <w:noWrap/>
            <w:vAlign w:val="center"/>
            <w:hideMark/>
          </w:tcPr>
          <w:p w14:paraId="42641CBD"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0,90%</w:t>
            </w:r>
          </w:p>
        </w:tc>
      </w:tr>
      <w:tr w:rsidR="00B44397" w:rsidRPr="00650EE4" w14:paraId="102F550C" w14:textId="77777777" w:rsidTr="00267B1D">
        <w:tc>
          <w:tcPr>
            <w:tcW w:w="1132" w:type="pct"/>
            <w:tcBorders>
              <w:top w:val="single" w:sz="4" w:space="0" w:color="auto"/>
              <w:left w:val="single" w:sz="4" w:space="0" w:color="auto"/>
              <w:bottom w:val="single" w:sz="4" w:space="0" w:color="auto"/>
              <w:right w:val="nil"/>
            </w:tcBorders>
            <w:shd w:val="clear" w:color="auto" w:fill="auto"/>
            <w:noWrap/>
            <w:vAlign w:val="center"/>
            <w:hideMark/>
          </w:tcPr>
          <w:p w14:paraId="034D5364" w14:textId="77777777" w:rsidR="00B44397" w:rsidRPr="00650EE4" w:rsidRDefault="00B44397" w:rsidP="00B4439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66" w:type="pct"/>
            <w:tcBorders>
              <w:top w:val="single" w:sz="4" w:space="0" w:color="auto"/>
              <w:left w:val="single" w:sz="4" w:space="0" w:color="auto"/>
              <w:bottom w:val="single" w:sz="4" w:space="0" w:color="auto"/>
              <w:right w:val="nil"/>
            </w:tcBorders>
            <w:shd w:val="clear" w:color="000000" w:fill="FFFFFF"/>
            <w:noWrap/>
            <w:vAlign w:val="center"/>
            <w:hideMark/>
          </w:tcPr>
          <w:p w14:paraId="4884D75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10.023</w:t>
            </w:r>
          </w:p>
        </w:tc>
        <w:tc>
          <w:tcPr>
            <w:tcW w:w="637" w:type="pct"/>
            <w:tcBorders>
              <w:top w:val="single" w:sz="4" w:space="0" w:color="auto"/>
              <w:left w:val="nil"/>
              <w:bottom w:val="single" w:sz="4" w:space="0" w:color="auto"/>
              <w:right w:val="nil"/>
            </w:tcBorders>
            <w:shd w:val="clear" w:color="000000" w:fill="FFFFFF"/>
            <w:noWrap/>
            <w:vAlign w:val="center"/>
            <w:hideMark/>
          </w:tcPr>
          <w:p w14:paraId="2B458D9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10.571</w:t>
            </w:r>
          </w:p>
        </w:tc>
        <w:tc>
          <w:tcPr>
            <w:tcW w:w="683" w:type="pct"/>
            <w:tcBorders>
              <w:top w:val="single" w:sz="4" w:space="0" w:color="auto"/>
              <w:left w:val="nil"/>
              <w:bottom w:val="single" w:sz="4" w:space="0" w:color="auto"/>
              <w:right w:val="nil"/>
            </w:tcBorders>
            <w:shd w:val="clear" w:color="000000" w:fill="FFFFFF"/>
            <w:noWrap/>
            <w:vAlign w:val="center"/>
            <w:hideMark/>
          </w:tcPr>
          <w:p w14:paraId="265646D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7.655</w:t>
            </w:r>
          </w:p>
        </w:tc>
        <w:tc>
          <w:tcPr>
            <w:tcW w:w="640" w:type="pct"/>
            <w:tcBorders>
              <w:top w:val="single" w:sz="4" w:space="0" w:color="auto"/>
              <w:left w:val="nil"/>
              <w:bottom w:val="single" w:sz="4" w:space="0" w:color="auto"/>
              <w:right w:val="nil"/>
            </w:tcBorders>
            <w:shd w:val="clear" w:color="000000" w:fill="FFFFFF"/>
            <w:noWrap/>
            <w:vAlign w:val="center"/>
            <w:hideMark/>
          </w:tcPr>
          <w:p w14:paraId="56E9075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4.654</w:t>
            </w:r>
          </w:p>
        </w:tc>
        <w:tc>
          <w:tcPr>
            <w:tcW w:w="532" w:type="pct"/>
            <w:tcBorders>
              <w:top w:val="single" w:sz="4" w:space="0" w:color="auto"/>
              <w:left w:val="nil"/>
              <w:bottom w:val="single" w:sz="4" w:space="0" w:color="auto"/>
              <w:right w:val="single" w:sz="4" w:space="0" w:color="auto"/>
            </w:tcBorders>
            <w:shd w:val="clear" w:color="000000" w:fill="FFFFFF"/>
            <w:noWrap/>
            <w:vAlign w:val="center"/>
            <w:hideMark/>
          </w:tcPr>
          <w:p w14:paraId="44CB6EE5"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7.911</w:t>
            </w:r>
          </w:p>
        </w:tc>
        <w:tc>
          <w:tcPr>
            <w:tcW w:w="466" w:type="pct"/>
            <w:tcBorders>
              <w:top w:val="single" w:sz="4" w:space="0" w:color="auto"/>
              <w:left w:val="nil"/>
              <w:bottom w:val="single" w:sz="4" w:space="0" w:color="auto"/>
              <w:right w:val="nil"/>
            </w:tcBorders>
            <w:shd w:val="clear" w:color="000000" w:fill="FFFFFF"/>
            <w:noWrap/>
            <w:vAlign w:val="center"/>
            <w:hideMark/>
          </w:tcPr>
          <w:p w14:paraId="4B6A1C4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4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CCE9B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B44397" w:rsidRPr="00650EE4" w14:paraId="0251273C" w14:textId="77777777" w:rsidTr="00267B1D">
        <w:tc>
          <w:tcPr>
            <w:tcW w:w="1132" w:type="pct"/>
            <w:tcBorders>
              <w:top w:val="nil"/>
              <w:left w:val="single" w:sz="4" w:space="0" w:color="auto"/>
              <w:bottom w:val="single" w:sz="4" w:space="0" w:color="auto"/>
              <w:right w:val="nil"/>
            </w:tcBorders>
            <w:shd w:val="clear" w:color="auto" w:fill="auto"/>
            <w:noWrap/>
            <w:vAlign w:val="center"/>
            <w:hideMark/>
          </w:tcPr>
          <w:p w14:paraId="02DE63FC"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466" w:type="pct"/>
            <w:tcBorders>
              <w:top w:val="nil"/>
              <w:left w:val="single" w:sz="4" w:space="0" w:color="auto"/>
              <w:bottom w:val="single" w:sz="4" w:space="0" w:color="auto"/>
              <w:right w:val="nil"/>
            </w:tcBorders>
            <w:shd w:val="clear" w:color="000000" w:fill="FFFFFF"/>
            <w:noWrap/>
            <w:vAlign w:val="center"/>
            <w:hideMark/>
          </w:tcPr>
          <w:p w14:paraId="28AE7DF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637" w:type="pct"/>
            <w:tcBorders>
              <w:top w:val="nil"/>
              <w:left w:val="nil"/>
              <w:bottom w:val="single" w:sz="4" w:space="0" w:color="auto"/>
              <w:right w:val="nil"/>
            </w:tcBorders>
            <w:shd w:val="clear" w:color="000000" w:fill="FFFFFF"/>
            <w:noWrap/>
            <w:vAlign w:val="center"/>
            <w:hideMark/>
          </w:tcPr>
          <w:p w14:paraId="4923F24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683" w:type="pct"/>
            <w:tcBorders>
              <w:top w:val="nil"/>
              <w:left w:val="nil"/>
              <w:bottom w:val="single" w:sz="4" w:space="0" w:color="auto"/>
              <w:right w:val="nil"/>
            </w:tcBorders>
            <w:shd w:val="clear" w:color="000000" w:fill="FFFFFF"/>
            <w:noWrap/>
            <w:vAlign w:val="center"/>
            <w:hideMark/>
          </w:tcPr>
          <w:p w14:paraId="03138F4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640" w:type="pct"/>
            <w:tcBorders>
              <w:top w:val="nil"/>
              <w:left w:val="nil"/>
              <w:bottom w:val="single" w:sz="4" w:space="0" w:color="auto"/>
              <w:right w:val="nil"/>
            </w:tcBorders>
            <w:shd w:val="clear" w:color="000000" w:fill="FFFFFF"/>
            <w:noWrap/>
            <w:vAlign w:val="center"/>
            <w:hideMark/>
          </w:tcPr>
          <w:p w14:paraId="206D453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32" w:type="pct"/>
            <w:tcBorders>
              <w:top w:val="nil"/>
              <w:left w:val="nil"/>
              <w:bottom w:val="single" w:sz="4" w:space="0" w:color="auto"/>
              <w:right w:val="single" w:sz="4" w:space="0" w:color="auto"/>
            </w:tcBorders>
            <w:shd w:val="clear" w:color="000000" w:fill="FFFFFF"/>
            <w:noWrap/>
            <w:vAlign w:val="center"/>
            <w:hideMark/>
          </w:tcPr>
          <w:p w14:paraId="1B04B9A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466" w:type="pct"/>
            <w:tcBorders>
              <w:top w:val="nil"/>
              <w:left w:val="nil"/>
              <w:bottom w:val="single" w:sz="4" w:space="0" w:color="auto"/>
              <w:right w:val="nil"/>
            </w:tcBorders>
            <w:shd w:val="clear" w:color="000000" w:fill="FFFFFF"/>
            <w:noWrap/>
            <w:vAlign w:val="center"/>
            <w:hideMark/>
          </w:tcPr>
          <w:p w14:paraId="1F5228E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44" w:type="pct"/>
            <w:tcBorders>
              <w:top w:val="nil"/>
              <w:left w:val="single" w:sz="4" w:space="0" w:color="auto"/>
              <w:bottom w:val="single" w:sz="4" w:space="0" w:color="auto"/>
              <w:right w:val="single" w:sz="4" w:space="0" w:color="auto"/>
            </w:tcBorders>
            <w:shd w:val="clear" w:color="000000" w:fill="FFFFFF"/>
            <w:noWrap/>
            <w:vAlign w:val="center"/>
            <w:hideMark/>
          </w:tcPr>
          <w:p w14:paraId="2DF74650"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0BFE55CB" w14:textId="0ED1CB3F" w:rsidR="00DA5656" w:rsidRDefault="00885C16" w:rsidP="001C3E4A">
      <w:pPr>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16ED787" w14:textId="77777777" w:rsidR="00050ED5" w:rsidRPr="00050ED5" w:rsidRDefault="00050ED5" w:rsidP="001C3E4A">
      <w:pPr>
        <w:rPr>
          <w:rFonts w:ascii="Times New Roman" w:hAnsi="Times New Roman"/>
          <w:color w:val="000000" w:themeColor="text1"/>
          <w:sz w:val="12"/>
          <w:szCs w:val="22"/>
        </w:rPr>
      </w:pPr>
    </w:p>
    <w:p w14:paraId="78983728" w14:textId="5785D461" w:rsidR="001447D2" w:rsidRPr="00650EE4" w:rsidRDefault="00050ED5" w:rsidP="001447D2">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Paveiksle žemiau pateikiami p</w:t>
      </w:r>
      <w:r w:rsidR="00F3508F" w:rsidRPr="00650EE4">
        <w:rPr>
          <w:rFonts w:ascii="Times New Roman" w:hAnsi="Times New Roman"/>
          <w:color w:val="000000" w:themeColor="text1"/>
          <w:szCs w:val="22"/>
          <w:lang w:val="lt-LT"/>
        </w:rPr>
        <w:t xml:space="preserve">astatų fondo pirminės energijos vartojimo pagal kuro </w:t>
      </w:r>
      <w:r w:rsidR="005C304F" w:rsidRPr="00650EE4">
        <w:rPr>
          <w:rFonts w:ascii="Times New Roman" w:hAnsi="Times New Roman"/>
          <w:color w:val="000000" w:themeColor="text1"/>
          <w:szCs w:val="22"/>
          <w:lang w:val="lt-LT"/>
        </w:rPr>
        <w:t xml:space="preserve">ir energijos rūšis </w:t>
      </w:r>
      <w:r w:rsidR="001447D2" w:rsidRPr="00650EE4">
        <w:rPr>
          <w:rFonts w:ascii="Times New Roman" w:hAnsi="Times New Roman"/>
          <w:color w:val="000000" w:themeColor="text1"/>
          <w:szCs w:val="22"/>
          <w:lang w:val="lt-LT"/>
        </w:rPr>
        <w:t>agreguoti duomenys.</w:t>
      </w:r>
    </w:p>
    <w:p w14:paraId="6A5EDF54" w14:textId="77777777" w:rsidR="001447D2" w:rsidRPr="00050ED5" w:rsidRDefault="001447D2" w:rsidP="001447D2">
      <w:pPr>
        <w:pStyle w:val="BodyText"/>
        <w:jc w:val="both"/>
        <w:rPr>
          <w:rFonts w:ascii="Times New Roman" w:hAnsi="Times New Roman"/>
          <w:color w:val="000000" w:themeColor="text1"/>
          <w:sz w:val="10"/>
          <w:szCs w:val="22"/>
          <w:lang w:val="lt-LT"/>
        </w:rPr>
      </w:pPr>
    </w:p>
    <w:p w14:paraId="069F57CE" w14:textId="2FF34547" w:rsidR="00E365BD" w:rsidRPr="00650EE4" w:rsidRDefault="00195386" w:rsidP="00E365BD">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6" w:name="_Toc59094260"/>
      <w:r w:rsidR="00F25C65">
        <w:t>11</w:t>
      </w:r>
      <w:r w:rsidRPr="00650EE4">
        <w:rPr>
          <w:noProof w:val="0"/>
        </w:rPr>
        <w:fldChar w:fldCharType="end"/>
      </w:r>
      <w:r w:rsidR="00927EA7" w:rsidRPr="00650EE4">
        <w:rPr>
          <w:noProof w:val="0"/>
        </w:rPr>
        <w:t xml:space="preserve"> paveikslas</w:t>
      </w:r>
      <w:r w:rsidR="00FC2BE4" w:rsidRPr="00650EE4">
        <w:rPr>
          <w:noProof w:val="0"/>
        </w:rPr>
        <w:t xml:space="preserve">. Pastatų fondo pirminės energijos vartojimas pagal </w:t>
      </w:r>
      <w:r w:rsidR="00E508E2" w:rsidRPr="00650EE4">
        <w:rPr>
          <w:noProof w:val="0"/>
        </w:rPr>
        <w:t xml:space="preserve">kuro </w:t>
      </w:r>
      <w:r w:rsidR="005C304F" w:rsidRPr="00650EE4">
        <w:rPr>
          <w:noProof w:val="0"/>
        </w:rPr>
        <w:t xml:space="preserve">ir energijos rūšis </w:t>
      </w:r>
      <w:r w:rsidR="00FC2BE4" w:rsidRPr="00650EE4">
        <w:rPr>
          <w:noProof w:val="0"/>
        </w:rPr>
        <w:t xml:space="preserve">ir </w:t>
      </w:r>
      <w:r w:rsidR="00E365BD" w:rsidRPr="00650EE4">
        <w:rPr>
          <w:noProof w:val="0"/>
        </w:rPr>
        <w:t>pastatų grupes (agreguotas)</w:t>
      </w:r>
      <w:bookmarkEnd w:id="66"/>
    </w:p>
    <w:p w14:paraId="5231EF14" w14:textId="29F8352E" w:rsidR="00FC2BE4" w:rsidRPr="00650EE4" w:rsidRDefault="00E365BD" w:rsidP="00E365BD">
      <w:pPr>
        <w:pStyle w:val="TESlentelspavadinimas"/>
        <w:rPr>
          <w:noProof w:val="0"/>
        </w:rPr>
      </w:pPr>
      <w:r w:rsidRPr="00650EE4">
        <w:rPr>
          <w:noProof w:val="0"/>
        </w:rPr>
        <w:t xml:space="preserve"> </w:t>
      </w:r>
      <w:r w:rsidR="00FC2BE4" w:rsidRPr="00650EE4">
        <w:rPr>
          <w:noProof w:val="0"/>
        </w:rPr>
        <w:t>(</w:t>
      </w:r>
      <w:proofErr w:type="spellStart"/>
      <w:r w:rsidR="00D44A83" w:rsidRPr="00650EE4">
        <w:rPr>
          <w:noProof w:val="0"/>
        </w:rPr>
        <w:t>T</w:t>
      </w:r>
      <w:r w:rsidR="00FC2BE4" w:rsidRPr="00650EE4">
        <w:rPr>
          <w:noProof w:val="0"/>
        </w:rPr>
        <w:t>Wh</w:t>
      </w:r>
      <w:proofErr w:type="spellEnd"/>
      <w:r w:rsidR="00FC2BE4" w:rsidRPr="00650EE4">
        <w:rPr>
          <w:noProof w:val="0"/>
        </w:rPr>
        <w:t>/metus)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4"/>
      </w:tblGrid>
      <w:tr w:rsidR="00C20170" w:rsidRPr="00650EE4" w14:paraId="1FC655B1" w14:textId="77777777" w:rsidTr="00B44397">
        <w:tc>
          <w:tcPr>
            <w:tcW w:w="10194" w:type="dxa"/>
          </w:tcPr>
          <w:p w14:paraId="028E14F3" w14:textId="203A7C2A" w:rsidR="00C20170" w:rsidRPr="00650EE4" w:rsidRDefault="00DA63F0" w:rsidP="00631BA6">
            <w:pPr>
              <w:pStyle w:val="TESlentelspavadinimas"/>
              <w:rPr>
                <w:noProof w:val="0"/>
              </w:rPr>
            </w:pPr>
            <w:r w:rsidRPr="00650EE4">
              <w:rPr>
                <w:lang w:eastAsia="lt-LT"/>
              </w:rPr>
              <w:drawing>
                <wp:inline distT="0" distB="0" distL="0" distR="0" wp14:anchorId="5E613A24" wp14:editId="53005EB4">
                  <wp:extent cx="3107055" cy="2763671"/>
                  <wp:effectExtent l="0" t="0" r="17145" b="17780"/>
                  <wp:docPr id="27" name="Chart 27">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650EE4">
              <w:rPr>
                <w:color w:val="FFFFFF" w:themeColor="background1"/>
                <w:lang w:eastAsia="lt-LT"/>
              </w:rPr>
              <w:drawing>
                <wp:inline distT="0" distB="0" distL="0" distR="0" wp14:anchorId="7EBA1E10" wp14:editId="4520559B">
                  <wp:extent cx="3147060" cy="2777319"/>
                  <wp:effectExtent l="0" t="0" r="15240" b="4445"/>
                  <wp:docPr id="28" name="Chart 2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00C20170" w:rsidRPr="00650EE4">
              <w:rPr>
                <w:noProof w:val="0"/>
              </w:rPr>
              <w:t xml:space="preserve"> </w:t>
            </w:r>
          </w:p>
        </w:tc>
      </w:tr>
    </w:tbl>
    <w:p w14:paraId="438E4008" w14:textId="1CBD32A3" w:rsidR="00C20170" w:rsidRPr="00650EE4" w:rsidRDefault="00927EA7" w:rsidP="00885C16">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07355D">
        <w:rPr>
          <w:rFonts w:ascii="Times New Roman" w:hAnsi="Times New Roman"/>
          <w:i/>
          <w:iCs/>
          <w:color w:val="auto"/>
          <w:sz w:val="20"/>
          <w:szCs w:val="20"/>
        </w:rPr>
        <w:t>Lietuvos ilgalaikei renovacijos strategijai parengti</w:t>
      </w:r>
      <w:r w:rsidR="0007355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6EE5D57C" w14:textId="77777777" w:rsidR="001447D2" w:rsidRPr="00650EE4" w:rsidRDefault="001447D2" w:rsidP="0042232F">
      <w:pPr>
        <w:spacing w:line="240" w:lineRule="auto"/>
        <w:jc w:val="both"/>
        <w:rPr>
          <w:rFonts w:ascii="Times New Roman" w:eastAsia="Times New Roman" w:hAnsi="Times New Roman"/>
          <w:i/>
          <w:color w:val="000000" w:themeColor="text1"/>
          <w:sz w:val="20"/>
          <w:szCs w:val="28"/>
        </w:rPr>
      </w:pPr>
    </w:p>
    <w:p w14:paraId="1D1F935B" w14:textId="77777777" w:rsidR="001447D2" w:rsidRPr="00650EE4" w:rsidRDefault="001447D2" w:rsidP="001447D2">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pateiktus duomenis galima pastebėti, kad:</w:t>
      </w:r>
    </w:p>
    <w:p w14:paraId="5F64D390" w14:textId="371572E3"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1447D2" w:rsidRPr="00650EE4">
        <w:rPr>
          <w:rFonts w:ascii="Times New Roman" w:hAnsi="Times New Roman"/>
          <w:color w:val="000000" w:themeColor="text1"/>
          <w:szCs w:val="22"/>
        </w:rPr>
        <w:t>škastinis kuras (</w:t>
      </w:r>
      <w:r w:rsidR="00D61776" w:rsidRPr="00650EE4">
        <w:rPr>
          <w:rFonts w:ascii="Times New Roman" w:hAnsi="Times New Roman"/>
          <w:color w:val="000000" w:themeColor="text1"/>
          <w:szCs w:val="22"/>
        </w:rPr>
        <w:t xml:space="preserve">gamtinės </w:t>
      </w:r>
      <w:r w:rsidR="001447D2" w:rsidRPr="00650EE4">
        <w:rPr>
          <w:rFonts w:ascii="Times New Roman" w:hAnsi="Times New Roman"/>
          <w:color w:val="000000" w:themeColor="text1"/>
          <w:szCs w:val="22"/>
        </w:rPr>
        <w:t>dujos ir kietas kuras) sudaro ~30 proc. pirminės energijos vartojimo;</w:t>
      </w:r>
    </w:p>
    <w:p w14:paraId="3A151C6C" w14:textId="1005CD30"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1447D2" w:rsidRPr="00650EE4">
        <w:rPr>
          <w:rFonts w:ascii="Times New Roman" w:hAnsi="Times New Roman"/>
          <w:color w:val="000000" w:themeColor="text1"/>
          <w:szCs w:val="22"/>
        </w:rPr>
        <w:t>idžiąją dalį iškastinio kuro vartoja individualūs namai (32 proc.) ir pramonės pastatai (31 proc.);</w:t>
      </w:r>
    </w:p>
    <w:p w14:paraId="56F01E4B" w14:textId="36595DF9" w:rsidR="001447D2" w:rsidRPr="00650EE4" w:rsidRDefault="00050ED5" w:rsidP="001447D2">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1447D2" w:rsidRPr="00650EE4">
        <w:rPr>
          <w:rFonts w:ascii="Times New Roman" w:hAnsi="Times New Roman"/>
          <w:color w:val="000000" w:themeColor="text1"/>
          <w:szCs w:val="22"/>
        </w:rPr>
        <w:t xml:space="preserve">škastinį kurą vartojantys pastatai yra prioritetinis segmentas, siekiant </w:t>
      </w:r>
      <w:r w:rsidR="0042232F" w:rsidRPr="00650EE4">
        <w:rPr>
          <w:rFonts w:ascii="Times New Roman" w:hAnsi="Times New Roman"/>
          <w:color w:val="000000" w:themeColor="text1"/>
          <w:szCs w:val="22"/>
        </w:rPr>
        <w:t>ne</w:t>
      </w:r>
      <w:r w:rsidR="001447D2" w:rsidRPr="00650EE4">
        <w:rPr>
          <w:rFonts w:ascii="Times New Roman" w:hAnsi="Times New Roman"/>
          <w:color w:val="000000" w:themeColor="text1"/>
          <w:szCs w:val="22"/>
        </w:rPr>
        <w:t>priklausomybės nuo</w:t>
      </w:r>
      <w:r w:rsidR="0042232F" w:rsidRPr="00650EE4">
        <w:rPr>
          <w:rFonts w:ascii="Times New Roman" w:hAnsi="Times New Roman"/>
          <w:color w:val="000000" w:themeColor="text1"/>
          <w:szCs w:val="22"/>
        </w:rPr>
        <w:t xml:space="preserve"> iškastinio kuro</w:t>
      </w:r>
      <w:r w:rsidR="001447D2" w:rsidRPr="00650EE4">
        <w:rPr>
          <w:rFonts w:ascii="Times New Roman" w:hAnsi="Times New Roman"/>
          <w:color w:val="000000" w:themeColor="text1"/>
          <w:szCs w:val="22"/>
        </w:rPr>
        <w:t>;</w:t>
      </w:r>
    </w:p>
    <w:p w14:paraId="0DFE8209" w14:textId="19655B90" w:rsidR="009E7F3D" w:rsidRDefault="00050ED5" w:rsidP="00050ED5">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1447D2" w:rsidRPr="00650EE4">
        <w:rPr>
          <w:rFonts w:ascii="Times New Roman" w:hAnsi="Times New Roman"/>
          <w:color w:val="000000" w:themeColor="text1"/>
          <w:szCs w:val="22"/>
        </w:rPr>
        <w:t xml:space="preserve">alis biokurą vartojančių gamybos šaltinių yra taršūs (pvz. individualių namų krosnys, seni katilai ir pan.). Atitinkamai, nors kuras nėra iškastinis, taikytinos specifinės IRS priemonės. </w:t>
      </w:r>
    </w:p>
    <w:p w14:paraId="20F3CB6A" w14:textId="77777777" w:rsidR="00B60DC6" w:rsidRPr="00050ED5" w:rsidRDefault="00B60DC6" w:rsidP="00B60DC6">
      <w:pPr>
        <w:pStyle w:val="Pagrindinispaprastastekstas"/>
        <w:spacing w:after="60"/>
        <w:ind w:left="714"/>
        <w:rPr>
          <w:rFonts w:ascii="Times New Roman" w:hAnsi="Times New Roman"/>
          <w:color w:val="000000" w:themeColor="text1"/>
          <w:szCs w:val="22"/>
        </w:rPr>
      </w:pPr>
    </w:p>
    <w:p w14:paraId="05DDA55F" w14:textId="609A3C7F" w:rsidR="00A038A1" w:rsidRPr="00650EE4" w:rsidRDefault="006B52E7" w:rsidP="00885C16">
      <w:pPr>
        <w:pStyle w:val="Antrastes2"/>
        <w:numPr>
          <w:ilvl w:val="1"/>
          <w:numId w:val="4"/>
        </w:numPr>
        <w:pBdr>
          <w:bottom w:val="single" w:sz="4" w:space="1" w:color="auto"/>
        </w:pBdr>
        <w:spacing w:before="0"/>
        <w:ind w:left="576" w:hanging="576"/>
        <w:jc w:val="both"/>
        <w:rPr>
          <w:rFonts w:ascii="Times New Roman" w:hAnsi="Times New Roman"/>
          <w:color w:val="auto"/>
          <w:sz w:val="22"/>
          <w:szCs w:val="22"/>
          <w:lang w:val="lt-LT"/>
        </w:rPr>
      </w:pPr>
      <w:bookmarkStart w:id="67" w:name="_Toc59107514"/>
      <w:r w:rsidRPr="00650EE4">
        <w:rPr>
          <w:rFonts w:ascii="Times New Roman" w:hAnsi="Times New Roman"/>
          <w:color w:val="auto"/>
          <w:sz w:val="22"/>
          <w:szCs w:val="22"/>
          <w:lang w:val="lt-LT"/>
        </w:rPr>
        <w:t>Pastatų fondo CO</w:t>
      </w:r>
      <w:r w:rsidRPr="00650EE4">
        <w:rPr>
          <w:rFonts w:ascii="Times New Roman" w:hAnsi="Times New Roman"/>
          <w:color w:val="auto"/>
          <w:sz w:val="22"/>
          <w:szCs w:val="22"/>
          <w:vertAlign w:val="subscript"/>
          <w:lang w:val="lt-LT"/>
        </w:rPr>
        <w:t>2</w:t>
      </w:r>
      <w:r w:rsidR="00A038A1" w:rsidRPr="00650EE4">
        <w:rPr>
          <w:rFonts w:ascii="Times New Roman" w:hAnsi="Times New Roman"/>
          <w:color w:val="auto"/>
          <w:sz w:val="22"/>
          <w:szCs w:val="22"/>
          <w:lang w:val="lt-LT"/>
        </w:rPr>
        <w:t xml:space="preserve"> </w:t>
      </w:r>
      <w:r w:rsidR="00885C16" w:rsidRPr="00650EE4">
        <w:rPr>
          <w:rFonts w:ascii="Times New Roman" w:hAnsi="Times New Roman"/>
          <w:color w:val="auto"/>
          <w:sz w:val="22"/>
          <w:szCs w:val="22"/>
          <w:lang w:val="lt-LT"/>
        </w:rPr>
        <w:t>emisijos</w:t>
      </w:r>
      <w:bookmarkEnd w:id="67"/>
    </w:p>
    <w:p w14:paraId="553ED357" w14:textId="77777777" w:rsidR="008356B1" w:rsidRPr="00650EE4" w:rsidRDefault="008356B1" w:rsidP="008356B1">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fondo pirminės energijos vartojimo duomenys buvo apskaičiuoti kiekvienam pastatų etalonui, naudojant duomenis apie:</w:t>
      </w:r>
    </w:p>
    <w:p w14:paraId="663E924F" w14:textId="4C0EE286" w:rsidR="008356B1" w:rsidRPr="00650EE4" w:rsidRDefault="008356B1" w:rsidP="008356B1">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Šiluminės ir elektros energijos vartojimą (žr. </w:t>
      </w:r>
      <w:r w:rsidR="009D68D2">
        <w:rPr>
          <w:rFonts w:ascii="Times New Roman" w:hAnsi="Times New Roman"/>
          <w:color w:val="000000" w:themeColor="text1"/>
          <w:szCs w:val="22"/>
        </w:rPr>
        <w:t>1</w:t>
      </w:r>
      <w:r w:rsidRPr="00650EE4">
        <w:rPr>
          <w:rFonts w:ascii="Times New Roman" w:hAnsi="Times New Roman"/>
          <w:color w:val="000000" w:themeColor="text1"/>
          <w:szCs w:val="22"/>
        </w:rPr>
        <w:t>.2.2.-</w:t>
      </w:r>
      <w:r w:rsidR="009D68D2">
        <w:rPr>
          <w:rFonts w:ascii="Times New Roman" w:hAnsi="Times New Roman"/>
          <w:color w:val="000000" w:themeColor="text1"/>
          <w:szCs w:val="22"/>
        </w:rPr>
        <w:t>1</w:t>
      </w:r>
      <w:r w:rsidRPr="00650EE4">
        <w:rPr>
          <w:rFonts w:ascii="Times New Roman" w:hAnsi="Times New Roman"/>
          <w:color w:val="000000" w:themeColor="text1"/>
          <w:szCs w:val="22"/>
        </w:rPr>
        <w:t>.2.4. skyrius).</w:t>
      </w:r>
    </w:p>
    <w:p w14:paraId="097FDB83" w14:textId="3F9410DB" w:rsidR="008356B1" w:rsidRPr="00650EE4" w:rsidRDefault="008356B1" w:rsidP="008356B1">
      <w:pPr>
        <w:pStyle w:val="Pagrindinispaprastastekstas"/>
        <w:numPr>
          <w:ilvl w:val="0"/>
          <w:numId w:val="10"/>
        </w:numPr>
        <w:spacing w:before="120"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Pirminį ener</w:t>
      </w:r>
      <w:r w:rsidR="007A52B6">
        <w:rPr>
          <w:rFonts w:ascii="Times New Roman" w:hAnsi="Times New Roman"/>
          <w:color w:val="000000" w:themeColor="text1"/>
          <w:szCs w:val="22"/>
        </w:rPr>
        <w:t>gijos šaltinį (kuro rūšį) t.y. p</w:t>
      </w:r>
      <w:r w:rsidRPr="00650EE4">
        <w:rPr>
          <w:rFonts w:ascii="Times New Roman" w:hAnsi="Times New Roman"/>
          <w:color w:val="000000" w:themeColor="text1"/>
          <w:szCs w:val="22"/>
        </w:rPr>
        <w:t xml:space="preserve">astatų fondo energijos gamybos struktūrą (žr. </w:t>
      </w:r>
      <w:r w:rsidR="009D68D2">
        <w:rPr>
          <w:rFonts w:ascii="Times New Roman" w:hAnsi="Times New Roman"/>
          <w:color w:val="000000" w:themeColor="text1"/>
          <w:szCs w:val="22"/>
        </w:rPr>
        <w:t>1</w:t>
      </w:r>
      <w:r w:rsidRPr="00650EE4">
        <w:rPr>
          <w:rFonts w:ascii="Times New Roman" w:hAnsi="Times New Roman"/>
          <w:color w:val="000000" w:themeColor="text1"/>
          <w:szCs w:val="22"/>
        </w:rPr>
        <w:t>.2.5. skyrių).</w:t>
      </w:r>
    </w:p>
    <w:p w14:paraId="0914D8E8" w14:textId="414C5843" w:rsidR="008356B1" w:rsidRPr="00650EE4" w:rsidRDefault="008356B1" w:rsidP="008356B1">
      <w:pPr>
        <w:pStyle w:val="Pagrindinispaprastastekstas"/>
        <w:numPr>
          <w:ilvl w:val="0"/>
          <w:numId w:val="10"/>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 xml:space="preserve">Energijos gamybai naudojamų energijos šaltinių </w:t>
      </w:r>
      <w:r w:rsidR="00C367FD" w:rsidRPr="00650EE4">
        <w:rPr>
          <w:rFonts w:ascii="Times New Roman" w:hAnsi="Times New Roman"/>
          <w:color w:val="000000" w:themeColor="text1"/>
          <w:szCs w:val="22"/>
        </w:rPr>
        <w:t>neatsinaujinančios</w:t>
      </w:r>
      <w:r w:rsidRPr="00650EE4">
        <w:rPr>
          <w:rFonts w:ascii="Times New Roman" w:hAnsi="Times New Roman"/>
          <w:color w:val="000000" w:themeColor="text1"/>
          <w:szCs w:val="22"/>
        </w:rPr>
        <w:t xml:space="preserve"> pirminės energijos, atsinaujinančios pirminės energijos ir CO</w:t>
      </w:r>
      <w:r w:rsidRPr="00B60DC6">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emisijų faktorius (žr. </w:t>
      </w:r>
      <w:r w:rsidR="00BE2101" w:rsidRPr="00BE2101">
        <w:rPr>
          <w:rFonts w:ascii="Times New Roman" w:hAnsi="Times New Roman"/>
          <w:color w:val="000000" w:themeColor="text1"/>
          <w:szCs w:val="22"/>
        </w:rPr>
        <w:t>2</w:t>
      </w:r>
      <w:r w:rsidR="00BE2101" w:rsidRPr="00BE2101">
        <w:rPr>
          <w:rFonts w:ascii="Times New Roman" w:hAnsi="Times New Roman"/>
          <w:color w:val="000000" w:themeColor="text1"/>
          <w:szCs w:val="22"/>
          <w:lang w:val="en-GB"/>
        </w:rPr>
        <w:t>1</w:t>
      </w:r>
      <w:r w:rsidRPr="00BE2101">
        <w:rPr>
          <w:rFonts w:ascii="Times New Roman" w:hAnsi="Times New Roman"/>
          <w:color w:val="000000" w:themeColor="text1"/>
          <w:szCs w:val="22"/>
        </w:rPr>
        <w:t xml:space="preserve"> lentelę</w:t>
      </w:r>
      <w:r w:rsidRPr="00650EE4">
        <w:rPr>
          <w:rFonts w:ascii="Times New Roman" w:hAnsi="Times New Roman"/>
          <w:color w:val="000000" w:themeColor="text1"/>
          <w:szCs w:val="22"/>
        </w:rPr>
        <w:t>).</w:t>
      </w:r>
    </w:p>
    <w:p w14:paraId="277F3706" w14:textId="77777777" w:rsidR="008356B1" w:rsidRPr="00050ED5" w:rsidRDefault="008356B1" w:rsidP="00FC2BE4">
      <w:pPr>
        <w:pStyle w:val="BodyText"/>
        <w:jc w:val="both"/>
        <w:rPr>
          <w:rFonts w:ascii="Times New Roman" w:hAnsi="Times New Roman"/>
          <w:color w:val="000000" w:themeColor="text1"/>
          <w:sz w:val="12"/>
          <w:szCs w:val="22"/>
          <w:lang w:val="lt-LT"/>
        </w:rPr>
      </w:pPr>
    </w:p>
    <w:p w14:paraId="5671676E" w14:textId="6A208C83" w:rsidR="00FC2BE4" w:rsidRPr="00650EE4" w:rsidRDefault="00890A4A" w:rsidP="00FC2BE4">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pateikiamos apskaičiuotos </w:t>
      </w:r>
      <w:r w:rsidR="007A52B6">
        <w:rPr>
          <w:rFonts w:ascii="Times New Roman" w:hAnsi="Times New Roman"/>
          <w:color w:val="000000" w:themeColor="text1"/>
          <w:szCs w:val="22"/>
          <w:lang w:val="lt-LT"/>
        </w:rPr>
        <w:t>p</w:t>
      </w:r>
      <w:r w:rsidR="00FC2BE4" w:rsidRPr="00650EE4">
        <w:rPr>
          <w:rFonts w:ascii="Times New Roman" w:hAnsi="Times New Roman"/>
          <w:color w:val="000000" w:themeColor="text1"/>
          <w:szCs w:val="22"/>
          <w:lang w:val="lt-LT"/>
        </w:rPr>
        <w:t>astatų fondo CO</w:t>
      </w:r>
      <w:r w:rsidR="00FC2BE4" w:rsidRPr="00650EE4">
        <w:rPr>
          <w:rFonts w:ascii="Times New Roman" w:hAnsi="Times New Roman"/>
          <w:color w:val="000000" w:themeColor="text1"/>
          <w:szCs w:val="22"/>
          <w:vertAlign w:val="subscript"/>
          <w:lang w:val="lt-LT"/>
        </w:rPr>
        <w:t>2</w:t>
      </w:r>
      <w:r w:rsidR="00FC2BE4" w:rsidRPr="00650EE4">
        <w:rPr>
          <w:rFonts w:ascii="Times New Roman" w:hAnsi="Times New Roman"/>
          <w:color w:val="000000" w:themeColor="text1"/>
          <w:szCs w:val="22"/>
          <w:lang w:val="lt-LT"/>
        </w:rPr>
        <w:t xml:space="preserve"> emisijos pagal pastatų paskirtį ir energinio naudingumo klasę. </w:t>
      </w:r>
    </w:p>
    <w:p w14:paraId="231DD72D" w14:textId="6A12F859" w:rsidR="00A038A1" w:rsidRPr="00050ED5" w:rsidRDefault="00A038A1" w:rsidP="00A038A1">
      <w:pPr>
        <w:jc w:val="both"/>
        <w:rPr>
          <w:rFonts w:ascii="Times New Roman" w:hAnsi="Times New Roman"/>
          <w:sz w:val="8"/>
          <w:szCs w:val="22"/>
        </w:rPr>
      </w:pPr>
    </w:p>
    <w:p w14:paraId="09209DFE" w14:textId="77777777" w:rsidR="00B60DC6" w:rsidRDefault="00B60DC6">
      <w:pPr>
        <w:spacing w:after="240"/>
        <w:rPr>
          <w:rFonts w:ascii="Times New Roman" w:eastAsiaTheme="minorHAnsi" w:hAnsi="Times New Roman"/>
          <w:bCs/>
          <w:i/>
          <w:color w:val="000000" w:themeColor="text1"/>
          <w:sz w:val="20"/>
          <w:szCs w:val="20"/>
        </w:rPr>
      </w:pPr>
      <w:r>
        <w:br w:type="page"/>
      </w:r>
    </w:p>
    <w:p w14:paraId="74CE4D0A" w14:textId="43CF774D" w:rsidR="006B45F4"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68" w:name="_Toc59094207"/>
      <w:r w:rsidR="00F25C65">
        <w:t>24</w:t>
      </w:r>
      <w:r w:rsidRPr="00650EE4">
        <w:rPr>
          <w:noProof w:val="0"/>
        </w:rPr>
        <w:fldChar w:fldCharType="end"/>
      </w:r>
      <w:r w:rsidR="001E6DEB" w:rsidRPr="00650EE4">
        <w:rPr>
          <w:noProof w:val="0"/>
        </w:rPr>
        <w:t xml:space="preserve"> lentelė</w:t>
      </w:r>
      <w:r w:rsidR="006B45F4" w:rsidRPr="00650EE4">
        <w:rPr>
          <w:noProof w:val="0"/>
        </w:rPr>
        <w:t>. Pastatų fondo CO</w:t>
      </w:r>
      <w:r w:rsidR="006B45F4" w:rsidRPr="00650EE4">
        <w:rPr>
          <w:noProof w:val="0"/>
          <w:vertAlign w:val="subscript"/>
        </w:rPr>
        <w:t>2</w:t>
      </w:r>
      <w:r w:rsidR="006B45F4" w:rsidRPr="00650EE4">
        <w:rPr>
          <w:noProof w:val="0"/>
        </w:rPr>
        <w:t xml:space="preserve"> emisijos (ktCO</w:t>
      </w:r>
      <w:r w:rsidR="006B45F4" w:rsidRPr="00650EE4">
        <w:rPr>
          <w:noProof w:val="0"/>
          <w:vertAlign w:val="subscript"/>
        </w:rPr>
        <w:t>2</w:t>
      </w:r>
      <w:r w:rsidR="006B45F4" w:rsidRPr="00650EE4">
        <w:rPr>
          <w:noProof w:val="0"/>
        </w:rPr>
        <w:t>/metus)</w:t>
      </w:r>
      <w:bookmarkEnd w:id="68"/>
    </w:p>
    <w:tbl>
      <w:tblPr>
        <w:tblW w:w="5000" w:type="pct"/>
        <w:tblLook w:val="04A0" w:firstRow="1" w:lastRow="0" w:firstColumn="1" w:lastColumn="0" w:noHBand="0" w:noVBand="1"/>
      </w:tblPr>
      <w:tblGrid>
        <w:gridCol w:w="2056"/>
        <w:gridCol w:w="1061"/>
        <w:gridCol w:w="1061"/>
        <w:gridCol w:w="1061"/>
        <w:gridCol w:w="1061"/>
        <w:gridCol w:w="1061"/>
        <w:gridCol w:w="1067"/>
        <w:gridCol w:w="996"/>
        <w:gridCol w:w="996"/>
      </w:tblGrid>
      <w:tr w:rsidR="00B44397" w:rsidRPr="00650EE4" w14:paraId="0E9FDD1F" w14:textId="77777777" w:rsidTr="007B6664">
        <w:tc>
          <w:tcPr>
            <w:tcW w:w="987"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49DB837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57"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054E6C7B" w14:textId="507F9D3F" w:rsidR="00B44397" w:rsidRPr="00650EE4" w:rsidRDefault="00CD3C53"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w:t>
            </w:r>
            <w:r w:rsidR="00B44397" w:rsidRPr="00650EE4">
              <w:rPr>
                <w:rFonts w:ascii="Times New Roman" w:eastAsia="Times New Roman" w:hAnsi="Times New Roman"/>
                <w:b/>
                <w:bCs/>
                <w:sz w:val="20"/>
                <w:szCs w:val="20"/>
              </w:rPr>
              <w:t xml:space="preserve"> klasė</w:t>
            </w:r>
          </w:p>
        </w:tc>
        <w:tc>
          <w:tcPr>
            <w:tcW w:w="478" w:type="pct"/>
            <w:vMerge w:val="restart"/>
            <w:tcBorders>
              <w:top w:val="single" w:sz="4" w:space="0" w:color="auto"/>
              <w:left w:val="nil"/>
              <w:bottom w:val="single" w:sz="4" w:space="0" w:color="000000"/>
              <w:right w:val="nil"/>
            </w:tcBorders>
            <w:shd w:val="clear" w:color="000000" w:fill="FFFFFF"/>
            <w:vAlign w:val="center"/>
            <w:hideMark/>
          </w:tcPr>
          <w:p w14:paraId="2CA469C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A7AA88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B44397" w:rsidRPr="00650EE4" w14:paraId="3C38C94E" w14:textId="77777777" w:rsidTr="007B6664">
        <w:tc>
          <w:tcPr>
            <w:tcW w:w="987" w:type="pct"/>
            <w:vMerge/>
            <w:tcBorders>
              <w:top w:val="single" w:sz="4" w:space="0" w:color="auto"/>
              <w:left w:val="single" w:sz="4" w:space="0" w:color="auto"/>
              <w:bottom w:val="single" w:sz="4" w:space="0" w:color="000000"/>
              <w:right w:val="nil"/>
            </w:tcBorders>
            <w:vAlign w:val="center"/>
            <w:hideMark/>
          </w:tcPr>
          <w:p w14:paraId="25F2A9D5" w14:textId="77777777" w:rsidR="00B44397" w:rsidRPr="00650EE4" w:rsidRDefault="00B44397" w:rsidP="00B44397">
            <w:pPr>
              <w:spacing w:line="240" w:lineRule="auto"/>
              <w:rPr>
                <w:rFonts w:ascii="Times New Roman" w:eastAsia="Times New Roman" w:hAnsi="Times New Roman"/>
                <w:b/>
                <w:bCs/>
                <w:sz w:val="20"/>
                <w:szCs w:val="20"/>
              </w:rPr>
            </w:pPr>
          </w:p>
        </w:tc>
        <w:tc>
          <w:tcPr>
            <w:tcW w:w="509" w:type="pct"/>
            <w:tcBorders>
              <w:top w:val="nil"/>
              <w:left w:val="single" w:sz="4" w:space="0" w:color="auto"/>
              <w:bottom w:val="single" w:sz="4" w:space="0" w:color="auto"/>
              <w:right w:val="nil"/>
            </w:tcBorders>
            <w:shd w:val="clear" w:color="000000" w:fill="FFFFFF"/>
            <w:vAlign w:val="center"/>
            <w:hideMark/>
          </w:tcPr>
          <w:p w14:paraId="696A135D" w14:textId="5950E3F5" w:rsidR="00B44397" w:rsidRPr="00650EE4" w:rsidRDefault="007F357E"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9" w:type="pct"/>
            <w:tcBorders>
              <w:top w:val="nil"/>
              <w:left w:val="nil"/>
              <w:bottom w:val="single" w:sz="4" w:space="0" w:color="auto"/>
              <w:right w:val="nil"/>
            </w:tcBorders>
            <w:shd w:val="clear" w:color="000000" w:fill="FFFFFF"/>
            <w:vAlign w:val="center"/>
            <w:hideMark/>
          </w:tcPr>
          <w:p w14:paraId="2575BF76"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9" w:type="pct"/>
            <w:tcBorders>
              <w:top w:val="nil"/>
              <w:left w:val="nil"/>
              <w:bottom w:val="single" w:sz="4" w:space="0" w:color="auto"/>
              <w:right w:val="nil"/>
            </w:tcBorders>
            <w:shd w:val="clear" w:color="000000" w:fill="FFFFFF"/>
            <w:vAlign w:val="center"/>
            <w:hideMark/>
          </w:tcPr>
          <w:p w14:paraId="313EE231"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9" w:type="pct"/>
            <w:tcBorders>
              <w:top w:val="nil"/>
              <w:left w:val="nil"/>
              <w:bottom w:val="single" w:sz="4" w:space="0" w:color="auto"/>
              <w:right w:val="nil"/>
            </w:tcBorders>
            <w:shd w:val="clear" w:color="000000" w:fill="FFFFFF"/>
            <w:vAlign w:val="center"/>
            <w:hideMark/>
          </w:tcPr>
          <w:p w14:paraId="547840D9"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9" w:type="pct"/>
            <w:tcBorders>
              <w:top w:val="nil"/>
              <w:left w:val="nil"/>
              <w:bottom w:val="single" w:sz="4" w:space="0" w:color="auto"/>
              <w:right w:val="nil"/>
            </w:tcBorders>
            <w:shd w:val="clear" w:color="000000" w:fill="FFFFFF"/>
            <w:vAlign w:val="center"/>
            <w:hideMark/>
          </w:tcPr>
          <w:p w14:paraId="245CB6E0"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1" w:type="pct"/>
            <w:tcBorders>
              <w:top w:val="nil"/>
              <w:left w:val="nil"/>
              <w:bottom w:val="single" w:sz="4" w:space="0" w:color="auto"/>
              <w:right w:val="single" w:sz="4" w:space="0" w:color="auto"/>
            </w:tcBorders>
            <w:shd w:val="clear" w:color="000000" w:fill="FFFFFF"/>
            <w:vAlign w:val="center"/>
            <w:hideMark/>
          </w:tcPr>
          <w:p w14:paraId="13E07463" w14:textId="77777777" w:rsidR="00B44397" w:rsidRPr="00650EE4" w:rsidRDefault="00B44397" w:rsidP="00B4439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78" w:type="pct"/>
            <w:vMerge/>
            <w:tcBorders>
              <w:top w:val="single" w:sz="4" w:space="0" w:color="auto"/>
              <w:left w:val="nil"/>
              <w:bottom w:val="single" w:sz="4" w:space="0" w:color="000000"/>
              <w:right w:val="nil"/>
            </w:tcBorders>
            <w:vAlign w:val="center"/>
            <w:hideMark/>
          </w:tcPr>
          <w:p w14:paraId="24DDB89B" w14:textId="77777777" w:rsidR="00B44397" w:rsidRPr="00650EE4" w:rsidRDefault="00B44397" w:rsidP="00B44397">
            <w:pPr>
              <w:spacing w:line="240" w:lineRule="auto"/>
              <w:rPr>
                <w:rFonts w:ascii="Times New Roman" w:eastAsia="Times New Roman" w:hAnsi="Times New Roman"/>
                <w:b/>
                <w:bCs/>
                <w:sz w:val="20"/>
                <w:szCs w:val="20"/>
              </w:rPr>
            </w:pPr>
          </w:p>
        </w:tc>
        <w:tc>
          <w:tcPr>
            <w:tcW w:w="478" w:type="pct"/>
            <w:vMerge/>
            <w:tcBorders>
              <w:top w:val="single" w:sz="4" w:space="0" w:color="auto"/>
              <w:left w:val="single" w:sz="4" w:space="0" w:color="auto"/>
              <w:bottom w:val="single" w:sz="4" w:space="0" w:color="000000"/>
              <w:right w:val="single" w:sz="4" w:space="0" w:color="auto"/>
            </w:tcBorders>
            <w:vAlign w:val="center"/>
            <w:hideMark/>
          </w:tcPr>
          <w:p w14:paraId="68FFE673" w14:textId="77777777" w:rsidR="00B44397" w:rsidRPr="00650EE4" w:rsidRDefault="00B44397" w:rsidP="00B44397">
            <w:pPr>
              <w:spacing w:line="240" w:lineRule="auto"/>
              <w:rPr>
                <w:rFonts w:ascii="Times New Roman" w:eastAsia="Times New Roman" w:hAnsi="Times New Roman"/>
                <w:b/>
                <w:bCs/>
                <w:sz w:val="20"/>
                <w:szCs w:val="20"/>
              </w:rPr>
            </w:pPr>
          </w:p>
        </w:tc>
      </w:tr>
      <w:tr w:rsidR="001E4D80" w:rsidRPr="00650EE4" w14:paraId="28AC3DC6" w14:textId="77777777" w:rsidTr="007B6664">
        <w:tc>
          <w:tcPr>
            <w:tcW w:w="987" w:type="pct"/>
            <w:tcBorders>
              <w:top w:val="nil"/>
              <w:left w:val="single" w:sz="4" w:space="0" w:color="auto"/>
              <w:bottom w:val="single" w:sz="4" w:space="0" w:color="auto"/>
              <w:right w:val="single" w:sz="4" w:space="0" w:color="auto"/>
            </w:tcBorders>
            <w:shd w:val="clear" w:color="000000" w:fill="F2F2F2"/>
            <w:noWrap/>
            <w:vAlign w:val="center"/>
            <w:hideMark/>
          </w:tcPr>
          <w:p w14:paraId="698F9504"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9" w:type="pct"/>
            <w:tcBorders>
              <w:top w:val="nil"/>
              <w:left w:val="nil"/>
              <w:bottom w:val="single" w:sz="4" w:space="0" w:color="auto"/>
              <w:right w:val="nil"/>
            </w:tcBorders>
            <w:shd w:val="clear" w:color="000000" w:fill="F2F2F2"/>
            <w:noWrap/>
            <w:vAlign w:val="center"/>
            <w:hideMark/>
          </w:tcPr>
          <w:p w14:paraId="4454B8E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2.084</w:t>
            </w:r>
          </w:p>
        </w:tc>
        <w:tc>
          <w:tcPr>
            <w:tcW w:w="509" w:type="pct"/>
            <w:tcBorders>
              <w:top w:val="nil"/>
              <w:left w:val="nil"/>
              <w:bottom w:val="single" w:sz="4" w:space="0" w:color="auto"/>
              <w:right w:val="nil"/>
            </w:tcBorders>
            <w:shd w:val="clear" w:color="000000" w:fill="F2F2F2"/>
            <w:noWrap/>
            <w:vAlign w:val="center"/>
            <w:hideMark/>
          </w:tcPr>
          <w:p w14:paraId="014773AF"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490</w:t>
            </w:r>
          </w:p>
        </w:tc>
        <w:tc>
          <w:tcPr>
            <w:tcW w:w="509" w:type="pct"/>
            <w:tcBorders>
              <w:top w:val="nil"/>
              <w:left w:val="nil"/>
              <w:bottom w:val="single" w:sz="4" w:space="0" w:color="auto"/>
              <w:right w:val="nil"/>
            </w:tcBorders>
            <w:shd w:val="clear" w:color="000000" w:fill="F2F2F2"/>
            <w:noWrap/>
            <w:vAlign w:val="center"/>
            <w:hideMark/>
          </w:tcPr>
          <w:p w14:paraId="2D2D9F4C"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246</w:t>
            </w:r>
          </w:p>
        </w:tc>
        <w:tc>
          <w:tcPr>
            <w:tcW w:w="509" w:type="pct"/>
            <w:tcBorders>
              <w:top w:val="nil"/>
              <w:left w:val="nil"/>
              <w:bottom w:val="single" w:sz="4" w:space="0" w:color="auto"/>
              <w:right w:val="nil"/>
            </w:tcBorders>
            <w:shd w:val="clear" w:color="000000" w:fill="F2F2F2"/>
            <w:noWrap/>
            <w:vAlign w:val="center"/>
            <w:hideMark/>
          </w:tcPr>
          <w:p w14:paraId="4A44EC38"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w:t>
            </w:r>
          </w:p>
        </w:tc>
        <w:tc>
          <w:tcPr>
            <w:tcW w:w="509" w:type="pct"/>
            <w:tcBorders>
              <w:top w:val="nil"/>
              <w:left w:val="nil"/>
              <w:bottom w:val="single" w:sz="4" w:space="0" w:color="auto"/>
              <w:right w:val="nil"/>
            </w:tcBorders>
            <w:shd w:val="clear" w:color="000000" w:fill="F2F2F2"/>
            <w:noWrap/>
            <w:vAlign w:val="center"/>
            <w:hideMark/>
          </w:tcPr>
          <w:p w14:paraId="5126FBD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w:t>
            </w:r>
          </w:p>
        </w:tc>
        <w:tc>
          <w:tcPr>
            <w:tcW w:w="511" w:type="pct"/>
            <w:tcBorders>
              <w:top w:val="nil"/>
              <w:left w:val="nil"/>
              <w:bottom w:val="single" w:sz="4" w:space="0" w:color="auto"/>
              <w:right w:val="single" w:sz="4" w:space="0" w:color="auto"/>
            </w:tcBorders>
            <w:shd w:val="clear" w:color="000000" w:fill="F2F2F2"/>
            <w:noWrap/>
            <w:vAlign w:val="center"/>
            <w:hideMark/>
          </w:tcPr>
          <w:p w14:paraId="5F995BCC"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0</w:t>
            </w:r>
          </w:p>
        </w:tc>
        <w:tc>
          <w:tcPr>
            <w:tcW w:w="478" w:type="pct"/>
            <w:tcBorders>
              <w:top w:val="nil"/>
              <w:left w:val="nil"/>
              <w:bottom w:val="single" w:sz="4" w:space="0" w:color="auto"/>
              <w:right w:val="nil"/>
            </w:tcBorders>
            <w:shd w:val="clear" w:color="000000" w:fill="F2F2F2"/>
            <w:noWrap/>
            <w:vAlign w:val="center"/>
            <w:hideMark/>
          </w:tcPr>
          <w:p w14:paraId="19638D6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2.848</w:t>
            </w:r>
          </w:p>
        </w:tc>
        <w:tc>
          <w:tcPr>
            <w:tcW w:w="478" w:type="pct"/>
            <w:tcBorders>
              <w:top w:val="nil"/>
              <w:left w:val="single" w:sz="4" w:space="0" w:color="auto"/>
              <w:bottom w:val="single" w:sz="4" w:space="0" w:color="auto"/>
              <w:right w:val="single" w:sz="4" w:space="0" w:color="auto"/>
            </w:tcBorders>
            <w:shd w:val="clear" w:color="000000" w:fill="F2F2F2"/>
            <w:noWrap/>
            <w:vAlign w:val="center"/>
            <w:hideMark/>
          </w:tcPr>
          <w:p w14:paraId="1B33AE23"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54%</w:t>
            </w:r>
          </w:p>
        </w:tc>
      </w:tr>
      <w:tr w:rsidR="00B44397" w:rsidRPr="00650EE4" w14:paraId="2C988285" w14:textId="77777777" w:rsidTr="007B6664">
        <w:tc>
          <w:tcPr>
            <w:tcW w:w="987" w:type="pct"/>
            <w:tcBorders>
              <w:top w:val="nil"/>
              <w:left w:val="single" w:sz="4" w:space="0" w:color="auto"/>
              <w:bottom w:val="nil"/>
              <w:right w:val="nil"/>
            </w:tcBorders>
            <w:shd w:val="clear" w:color="000000" w:fill="FFFFFF"/>
            <w:noWrap/>
            <w:vAlign w:val="center"/>
            <w:hideMark/>
          </w:tcPr>
          <w:p w14:paraId="72CA8C3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9" w:type="pct"/>
            <w:tcBorders>
              <w:top w:val="nil"/>
              <w:left w:val="single" w:sz="4" w:space="0" w:color="auto"/>
              <w:bottom w:val="nil"/>
              <w:right w:val="nil"/>
            </w:tcBorders>
            <w:shd w:val="clear" w:color="000000" w:fill="FFFFFF"/>
            <w:noWrap/>
            <w:vAlign w:val="center"/>
            <w:hideMark/>
          </w:tcPr>
          <w:p w14:paraId="5F7268D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1.082</w:t>
            </w:r>
          </w:p>
        </w:tc>
        <w:tc>
          <w:tcPr>
            <w:tcW w:w="509" w:type="pct"/>
            <w:tcBorders>
              <w:top w:val="nil"/>
              <w:left w:val="nil"/>
              <w:bottom w:val="nil"/>
              <w:right w:val="nil"/>
            </w:tcBorders>
            <w:shd w:val="clear" w:color="000000" w:fill="FFFFFF"/>
            <w:noWrap/>
            <w:vAlign w:val="center"/>
            <w:hideMark/>
          </w:tcPr>
          <w:p w14:paraId="432D870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361</w:t>
            </w:r>
          </w:p>
        </w:tc>
        <w:tc>
          <w:tcPr>
            <w:tcW w:w="509" w:type="pct"/>
            <w:tcBorders>
              <w:top w:val="nil"/>
              <w:left w:val="nil"/>
              <w:bottom w:val="nil"/>
              <w:right w:val="nil"/>
            </w:tcBorders>
            <w:shd w:val="clear" w:color="000000" w:fill="FFFFFF"/>
            <w:noWrap/>
            <w:vAlign w:val="center"/>
            <w:hideMark/>
          </w:tcPr>
          <w:p w14:paraId="44A1FFD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9" w:type="pct"/>
            <w:tcBorders>
              <w:top w:val="nil"/>
              <w:left w:val="nil"/>
              <w:bottom w:val="nil"/>
              <w:right w:val="nil"/>
            </w:tcBorders>
            <w:shd w:val="clear" w:color="000000" w:fill="FFFFFF"/>
            <w:noWrap/>
            <w:vAlign w:val="center"/>
            <w:hideMark/>
          </w:tcPr>
          <w:p w14:paraId="15E0D55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09" w:type="pct"/>
            <w:tcBorders>
              <w:top w:val="nil"/>
              <w:left w:val="nil"/>
              <w:bottom w:val="nil"/>
              <w:right w:val="nil"/>
            </w:tcBorders>
            <w:shd w:val="clear" w:color="000000" w:fill="FFFFFF"/>
            <w:noWrap/>
            <w:vAlign w:val="center"/>
            <w:hideMark/>
          </w:tcPr>
          <w:p w14:paraId="6D6441B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1" w:type="pct"/>
            <w:tcBorders>
              <w:top w:val="nil"/>
              <w:left w:val="nil"/>
              <w:bottom w:val="nil"/>
              <w:right w:val="single" w:sz="4" w:space="0" w:color="auto"/>
            </w:tcBorders>
            <w:shd w:val="clear" w:color="000000" w:fill="FFFFFF"/>
            <w:noWrap/>
            <w:vAlign w:val="center"/>
            <w:hideMark/>
          </w:tcPr>
          <w:p w14:paraId="3A39F9A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5D2B2BF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1.569</w:t>
            </w:r>
          </w:p>
        </w:tc>
        <w:tc>
          <w:tcPr>
            <w:tcW w:w="478" w:type="pct"/>
            <w:tcBorders>
              <w:top w:val="nil"/>
              <w:left w:val="single" w:sz="4" w:space="0" w:color="auto"/>
              <w:bottom w:val="nil"/>
              <w:right w:val="single" w:sz="4" w:space="0" w:color="auto"/>
            </w:tcBorders>
            <w:shd w:val="clear" w:color="000000" w:fill="FFFFFF"/>
            <w:noWrap/>
            <w:vAlign w:val="center"/>
            <w:hideMark/>
          </w:tcPr>
          <w:p w14:paraId="5C43B58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r>
      <w:tr w:rsidR="00B44397" w:rsidRPr="00650EE4" w14:paraId="72E8E602" w14:textId="77777777" w:rsidTr="007B6664">
        <w:tc>
          <w:tcPr>
            <w:tcW w:w="987" w:type="pct"/>
            <w:tcBorders>
              <w:top w:val="nil"/>
              <w:left w:val="single" w:sz="4" w:space="0" w:color="auto"/>
              <w:bottom w:val="nil"/>
              <w:right w:val="nil"/>
            </w:tcBorders>
            <w:shd w:val="clear" w:color="000000" w:fill="FFFFFF"/>
            <w:noWrap/>
            <w:vAlign w:val="center"/>
            <w:hideMark/>
          </w:tcPr>
          <w:p w14:paraId="71D3E6CE"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9" w:type="pct"/>
            <w:tcBorders>
              <w:top w:val="nil"/>
              <w:left w:val="single" w:sz="4" w:space="0" w:color="auto"/>
              <w:bottom w:val="nil"/>
              <w:right w:val="nil"/>
            </w:tcBorders>
            <w:shd w:val="clear" w:color="000000" w:fill="FFFFFF"/>
            <w:noWrap/>
            <w:vAlign w:val="center"/>
            <w:hideMark/>
          </w:tcPr>
          <w:p w14:paraId="694A596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1.002</w:t>
            </w:r>
          </w:p>
        </w:tc>
        <w:tc>
          <w:tcPr>
            <w:tcW w:w="509" w:type="pct"/>
            <w:tcBorders>
              <w:top w:val="nil"/>
              <w:left w:val="nil"/>
              <w:bottom w:val="nil"/>
              <w:right w:val="nil"/>
            </w:tcBorders>
            <w:shd w:val="clear" w:color="000000" w:fill="FFFFFF"/>
            <w:noWrap/>
            <w:vAlign w:val="center"/>
            <w:hideMark/>
          </w:tcPr>
          <w:p w14:paraId="6454CC4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129</w:t>
            </w:r>
          </w:p>
        </w:tc>
        <w:tc>
          <w:tcPr>
            <w:tcW w:w="509" w:type="pct"/>
            <w:tcBorders>
              <w:top w:val="nil"/>
              <w:left w:val="nil"/>
              <w:bottom w:val="nil"/>
              <w:right w:val="nil"/>
            </w:tcBorders>
            <w:shd w:val="clear" w:color="000000" w:fill="FFFFFF"/>
            <w:noWrap/>
            <w:vAlign w:val="center"/>
            <w:hideMark/>
          </w:tcPr>
          <w:p w14:paraId="242D0C3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138</w:t>
            </w:r>
          </w:p>
        </w:tc>
        <w:tc>
          <w:tcPr>
            <w:tcW w:w="509" w:type="pct"/>
            <w:tcBorders>
              <w:top w:val="nil"/>
              <w:left w:val="nil"/>
              <w:bottom w:val="nil"/>
              <w:right w:val="nil"/>
            </w:tcBorders>
            <w:shd w:val="clear" w:color="000000" w:fill="FFFFFF"/>
            <w:noWrap/>
            <w:vAlign w:val="center"/>
            <w:hideMark/>
          </w:tcPr>
          <w:p w14:paraId="6F3B818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9" w:type="pct"/>
            <w:tcBorders>
              <w:top w:val="nil"/>
              <w:left w:val="nil"/>
              <w:bottom w:val="nil"/>
              <w:right w:val="nil"/>
            </w:tcBorders>
            <w:shd w:val="clear" w:color="000000" w:fill="FFFFFF"/>
            <w:noWrap/>
            <w:vAlign w:val="center"/>
            <w:hideMark/>
          </w:tcPr>
          <w:p w14:paraId="58E63F6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141A9D4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5C11286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1.279</w:t>
            </w:r>
          </w:p>
        </w:tc>
        <w:tc>
          <w:tcPr>
            <w:tcW w:w="478" w:type="pct"/>
            <w:tcBorders>
              <w:top w:val="nil"/>
              <w:left w:val="single" w:sz="4" w:space="0" w:color="auto"/>
              <w:bottom w:val="nil"/>
              <w:right w:val="single" w:sz="4" w:space="0" w:color="auto"/>
            </w:tcBorders>
            <w:shd w:val="clear" w:color="000000" w:fill="FFFFFF"/>
            <w:noWrap/>
            <w:vAlign w:val="center"/>
            <w:hideMark/>
          </w:tcPr>
          <w:p w14:paraId="1947CF5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r>
      <w:tr w:rsidR="001E4D80" w:rsidRPr="00650EE4" w14:paraId="4FEC2E40" w14:textId="77777777" w:rsidTr="007B6664">
        <w:tc>
          <w:tcPr>
            <w:tcW w:w="987"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BCCD289" w14:textId="77777777" w:rsidR="00B44397" w:rsidRPr="00650EE4" w:rsidRDefault="00B44397" w:rsidP="00B4439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9" w:type="pct"/>
            <w:tcBorders>
              <w:top w:val="single" w:sz="4" w:space="0" w:color="auto"/>
              <w:left w:val="nil"/>
              <w:bottom w:val="single" w:sz="4" w:space="0" w:color="auto"/>
              <w:right w:val="nil"/>
            </w:tcBorders>
            <w:shd w:val="clear" w:color="000000" w:fill="F2F2F2"/>
            <w:noWrap/>
            <w:vAlign w:val="center"/>
            <w:hideMark/>
          </w:tcPr>
          <w:p w14:paraId="2BB5BCB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2.002</w:t>
            </w:r>
          </w:p>
        </w:tc>
        <w:tc>
          <w:tcPr>
            <w:tcW w:w="509" w:type="pct"/>
            <w:tcBorders>
              <w:top w:val="single" w:sz="4" w:space="0" w:color="auto"/>
              <w:left w:val="nil"/>
              <w:bottom w:val="single" w:sz="4" w:space="0" w:color="auto"/>
              <w:right w:val="nil"/>
            </w:tcBorders>
            <w:shd w:val="clear" w:color="000000" w:fill="F2F2F2"/>
            <w:noWrap/>
            <w:vAlign w:val="center"/>
            <w:hideMark/>
          </w:tcPr>
          <w:p w14:paraId="7614B3E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191</w:t>
            </w:r>
          </w:p>
        </w:tc>
        <w:tc>
          <w:tcPr>
            <w:tcW w:w="509" w:type="pct"/>
            <w:tcBorders>
              <w:top w:val="single" w:sz="4" w:space="0" w:color="auto"/>
              <w:left w:val="nil"/>
              <w:bottom w:val="single" w:sz="4" w:space="0" w:color="auto"/>
              <w:right w:val="nil"/>
            </w:tcBorders>
            <w:shd w:val="clear" w:color="000000" w:fill="F2F2F2"/>
            <w:noWrap/>
            <w:vAlign w:val="center"/>
            <w:hideMark/>
          </w:tcPr>
          <w:p w14:paraId="1347A54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210</w:t>
            </w:r>
          </w:p>
        </w:tc>
        <w:tc>
          <w:tcPr>
            <w:tcW w:w="509" w:type="pct"/>
            <w:tcBorders>
              <w:top w:val="single" w:sz="4" w:space="0" w:color="auto"/>
              <w:left w:val="nil"/>
              <w:bottom w:val="single" w:sz="4" w:space="0" w:color="auto"/>
              <w:right w:val="nil"/>
            </w:tcBorders>
            <w:shd w:val="clear" w:color="000000" w:fill="F2F2F2"/>
            <w:noWrap/>
            <w:vAlign w:val="center"/>
            <w:hideMark/>
          </w:tcPr>
          <w:p w14:paraId="3E9D4DEB"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509" w:type="pct"/>
            <w:tcBorders>
              <w:top w:val="single" w:sz="4" w:space="0" w:color="auto"/>
              <w:left w:val="nil"/>
              <w:bottom w:val="single" w:sz="4" w:space="0" w:color="auto"/>
              <w:right w:val="nil"/>
            </w:tcBorders>
            <w:shd w:val="clear" w:color="000000" w:fill="F2F2F2"/>
            <w:noWrap/>
            <w:vAlign w:val="center"/>
            <w:hideMark/>
          </w:tcPr>
          <w:p w14:paraId="33C30D22"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w:t>
            </w:r>
          </w:p>
        </w:tc>
        <w:tc>
          <w:tcPr>
            <w:tcW w:w="511" w:type="pct"/>
            <w:tcBorders>
              <w:top w:val="single" w:sz="4" w:space="0" w:color="auto"/>
              <w:left w:val="nil"/>
              <w:bottom w:val="single" w:sz="4" w:space="0" w:color="auto"/>
              <w:right w:val="single" w:sz="4" w:space="0" w:color="auto"/>
            </w:tcBorders>
            <w:shd w:val="clear" w:color="000000" w:fill="F2F2F2"/>
            <w:noWrap/>
            <w:vAlign w:val="center"/>
            <w:hideMark/>
          </w:tcPr>
          <w:p w14:paraId="5CDBA63E"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78" w:type="pct"/>
            <w:tcBorders>
              <w:top w:val="single" w:sz="4" w:space="0" w:color="auto"/>
              <w:left w:val="nil"/>
              <w:bottom w:val="single" w:sz="4" w:space="0" w:color="auto"/>
              <w:right w:val="nil"/>
            </w:tcBorders>
            <w:shd w:val="clear" w:color="000000" w:fill="F2F2F2"/>
            <w:noWrap/>
            <w:vAlign w:val="center"/>
            <w:hideMark/>
          </w:tcPr>
          <w:p w14:paraId="71859101"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2.438</w:t>
            </w:r>
          </w:p>
        </w:tc>
        <w:tc>
          <w:tcPr>
            <w:tcW w:w="47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2C18D690" w14:textId="77777777" w:rsidR="00B44397" w:rsidRPr="00650EE4" w:rsidRDefault="00B44397" w:rsidP="00B4439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46%</w:t>
            </w:r>
          </w:p>
        </w:tc>
      </w:tr>
      <w:tr w:rsidR="00B44397" w:rsidRPr="00650EE4" w14:paraId="7C966AE8" w14:textId="77777777" w:rsidTr="007B6664">
        <w:tc>
          <w:tcPr>
            <w:tcW w:w="987" w:type="pct"/>
            <w:tcBorders>
              <w:top w:val="nil"/>
              <w:left w:val="single" w:sz="4" w:space="0" w:color="auto"/>
              <w:bottom w:val="nil"/>
              <w:right w:val="nil"/>
            </w:tcBorders>
            <w:shd w:val="clear" w:color="000000" w:fill="FFFFFF"/>
            <w:noWrap/>
            <w:vAlign w:val="center"/>
            <w:hideMark/>
          </w:tcPr>
          <w:p w14:paraId="32B72238"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9" w:type="pct"/>
            <w:tcBorders>
              <w:top w:val="nil"/>
              <w:left w:val="single" w:sz="4" w:space="0" w:color="auto"/>
              <w:bottom w:val="nil"/>
              <w:right w:val="nil"/>
            </w:tcBorders>
            <w:shd w:val="clear" w:color="000000" w:fill="FFFFFF"/>
            <w:noWrap/>
            <w:vAlign w:val="center"/>
            <w:hideMark/>
          </w:tcPr>
          <w:p w14:paraId="36A8976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1.063</w:t>
            </w:r>
          </w:p>
        </w:tc>
        <w:tc>
          <w:tcPr>
            <w:tcW w:w="509" w:type="pct"/>
            <w:tcBorders>
              <w:top w:val="nil"/>
              <w:left w:val="nil"/>
              <w:bottom w:val="nil"/>
              <w:right w:val="nil"/>
            </w:tcBorders>
            <w:shd w:val="clear" w:color="000000" w:fill="FFFFFF"/>
            <w:noWrap/>
            <w:vAlign w:val="center"/>
            <w:hideMark/>
          </w:tcPr>
          <w:p w14:paraId="7CC6560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41</w:t>
            </w:r>
          </w:p>
        </w:tc>
        <w:tc>
          <w:tcPr>
            <w:tcW w:w="509" w:type="pct"/>
            <w:tcBorders>
              <w:top w:val="nil"/>
              <w:left w:val="nil"/>
              <w:bottom w:val="nil"/>
              <w:right w:val="nil"/>
            </w:tcBorders>
            <w:shd w:val="clear" w:color="000000" w:fill="FFFFFF"/>
            <w:noWrap/>
            <w:vAlign w:val="center"/>
            <w:hideMark/>
          </w:tcPr>
          <w:p w14:paraId="5FDF99D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62</w:t>
            </w:r>
          </w:p>
        </w:tc>
        <w:tc>
          <w:tcPr>
            <w:tcW w:w="509" w:type="pct"/>
            <w:tcBorders>
              <w:top w:val="nil"/>
              <w:left w:val="nil"/>
              <w:bottom w:val="nil"/>
              <w:right w:val="nil"/>
            </w:tcBorders>
            <w:shd w:val="clear" w:color="000000" w:fill="FFFFFF"/>
            <w:noWrap/>
            <w:vAlign w:val="center"/>
            <w:hideMark/>
          </w:tcPr>
          <w:p w14:paraId="201ECA9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nil"/>
              <w:left w:val="nil"/>
              <w:bottom w:val="nil"/>
              <w:right w:val="nil"/>
            </w:tcBorders>
            <w:shd w:val="clear" w:color="000000" w:fill="FFFFFF"/>
            <w:noWrap/>
            <w:vAlign w:val="center"/>
            <w:hideMark/>
          </w:tcPr>
          <w:p w14:paraId="584DEC4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511" w:type="pct"/>
            <w:tcBorders>
              <w:top w:val="nil"/>
              <w:left w:val="nil"/>
              <w:bottom w:val="nil"/>
              <w:right w:val="single" w:sz="4" w:space="0" w:color="auto"/>
            </w:tcBorders>
            <w:shd w:val="clear" w:color="000000" w:fill="FFFFFF"/>
            <w:noWrap/>
            <w:vAlign w:val="center"/>
            <w:hideMark/>
          </w:tcPr>
          <w:p w14:paraId="406D295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78" w:type="pct"/>
            <w:tcBorders>
              <w:top w:val="nil"/>
              <w:left w:val="nil"/>
              <w:bottom w:val="nil"/>
              <w:right w:val="nil"/>
            </w:tcBorders>
            <w:shd w:val="clear" w:color="000000" w:fill="FFFFFF"/>
            <w:noWrap/>
            <w:vAlign w:val="center"/>
            <w:hideMark/>
          </w:tcPr>
          <w:p w14:paraId="36D7E37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1.180</w:t>
            </w:r>
          </w:p>
        </w:tc>
        <w:tc>
          <w:tcPr>
            <w:tcW w:w="478" w:type="pct"/>
            <w:tcBorders>
              <w:top w:val="nil"/>
              <w:left w:val="single" w:sz="4" w:space="0" w:color="auto"/>
              <w:bottom w:val="nil"/>
              <w:right w:val="single" w:sz="4" w:space="0" w:color="auto"/>
            </w:tcBorders>
            <w:shd w:val="clear" w:color="000000" w:fill="FFFFFF"/>
            <w:noWrap/>
            <w:vAlign w:val="center"/>
            <w:hideMark/>
          </w:tcPr>
          <w:p w14:paraId="133F406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r>
      <w:tr w:rsidR="00B44397" w:rsidRPr="00650EE4" w14:paraId="1BFC535F" w14:textId="77777777" w:rsidTr="007B6664">
        <w:tc>
          <w:tcPr>
            <w:tcW w:w="987" w:type="pct"/>
            <w:tcBorders>
              <w:top w:val="nil"/>
              <w:left w:val="single" w:sz="4" w:space="0" w:color="auto"/>
              <w:bottom w:val="nil"/>
              <w:right w:val="nil"/>
            </w:tcBorders>
            <w:shd w:val="clear" w:color="000000" w:fill="FFFFFF"/>
            <w:noWrap/>
            <w:vAlign w:val="center"/>
            <w:hideMark/>
          </w:tcPr>
          <w:p w14:paraId="31904F07"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9" w:type="pct"/>
            <w:tcBorders>
              <w:top w:val="nil"/>
              <w:left w:val="single" w:sz="4" w:space="0" w:color="auto"/>
              <w:bottom w:val="nil"/>
              <w:right w:val="nil"/>
            </w:tcBorders>
            <w:shd w:val="clear" w:color="000000" w:fill="FFFFFF"/>
            <w:noWrap/>
            <w:vAlign w:val="center"/>
            <w:hideMark/>
          </w:tcPr>
          <w:p w14:paraId="0834860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294</w:t>
            </w:r>
          </w:p>
        </w:tc>
        <w:tc>
          <w:tcPr>
            <w:tcW w:w="509" w:type="pct"/>
            <w:tcBorders>
              <w:top w:val="nil"/>
              <w:left w:val="nil"/>
              <w:bottom w:val="nil"/>
              <w:right w:val="nil"/>
            </w:tcBorders>
            <w:shd w:val="clear" w:color="000000" w:fill="FFFFFF"/>
            <w:noWrap/>
            <w:vAlign w:val="center"/>
            <w:hideMark/>
          </w:tcPr>
          <w:p w14:paraId="620777A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509" w:type="pct"/>
            <w:tcBorders>
              <w:top w:val="nil"/>
              <w:left w:val="nil"/>
              <w:bottom w:val="nil"/>
              <w:right w:val="nil"/>
            </w:tcBorders>
            <w:shd w:val="clear" w:color="000000" w:fill="FFFFFF"/>
            <w:noWrap/>
            <w:vAlign w:val="center"/>
            <w:hideMark/>
          </w:tcPr>
          <w:p w14:paraId="53859D0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509" w:type="pct"/>
            <w:tcBorders>
              <w:top w:val="nil"/>
              <w:left w:val="nil"/>
              <w:bottom w:val="nil"/>
              <w:right w:val="nil"/>
            </w:tcBorders>
            <w:shd w:val="clear" w:color="000000" w:fill="FFFFFF"/>
            <w:noWrap/>
            <w:vAlign w:val="center"/>
            <w:hideMark/>
          </w:tcPr>
          <w:p w14:paraId="47E5F63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nil"/>
              <w:left w:val="nil"/>
              <w:bottom w:val="nil"/>
              <w:right w:val="nil"/>
            </w:tcBorders>
            <w:shd w:val="clear" w:color="000000" w:fill="FFFFFF"/>
            <w:noWrap/>
            <w:vAlign w:val="center"/>
            <w:hideMark/>
          </w:tcPr>
          <w:p w14:paraId="5C22E88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423E7ED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295FAF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353</w:t>
            </w:r>
          </w:p>
        </w:tc>
        <w:tc>
          <w:tcPr>
            <w:tcW w:w="478" w:type="pct"/>
            <w:tcBorders>
              <w:top w:val="nil"/>
              <w:left w:val="single" w:sz="4" w:space="0" w:color="auto"/>
              <w:bottom w:val="nil"/>
              <w:right w:val="single" w:sz="4" w:space="0" w:color="auto"/>
            </w:tcBorders>
            <w:shd w:val="clear" w:color="000000" w:fill="FFFFFF"/>
            <w:noWrap/>
            <w:vAlign w:val="center"/>
            <w:hideMark/>
          </w:tcPr>
          <w:p w14:paraId="7EC9BA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B44397" w:rsidRPr="00650EE4" w14:paraId="413A944F" w14:textId="77777777" w:rsidTr="007B6664">
        <w:tc>
          <w:tcPr>
            <w:tcW w:w="987" w:type="pct"/>
            <w:tcBorders>
              <w:top w:val="nil"/>
              <w:left w:val="single" w:sz="4" w:space="0" w:color="auto"/>
              <w:bottom w:val="nil"/>
              <w:right w:val="nil"/>
            </w:tcBorders>
            <w:shd w:val="clear" w:color="000000" w:fill="FFFFFF"/>
            <w:noWrap/>
            <w:vAlign w:val="center"/>
            <w:hideMark/>
          </w:tcPr>
          <w:p w14:paraId="3A1716B0"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9" w:type="pct"/>
            <w:tcBorders>
              <w:top w:val="nil"/>
              <w:left w:val="single" w:sz="4" w:space="0" w:color="auto"/>
              <w:bottom w:val="nil"/>
              <w:right w:val="nil"/>
            </w:tcBorders>
            <w:shd w:val="clear" w:color="000000" w:fill="FFFFFF"/>
            <w:noWrap/>
            <w:vAlign w:val="center"/>
            <w:hideMark/>
          </w:tcPr>
          <w:p w14:paraId="22CE3A1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197</w:t>
            </w:r>
          </w:p>
        </w:tc>
        <w:tc>
          <w:tcPr>
            <w:tcW w:w="509" w:type="pct"/>
            <w:tcBorders>
              <w:top w:val="nil"/>
              <w:left w:val="nil"/>
              <w:bottom w:val="nil"/>
              <w:right w:val="nil"/>
            </w:tcBorders>
            <w:shd w:val="clear" w:color="000000" w:fill="FFFFFF"/>
            <w:noWrap/>
            <w:vAlign w:val="center"/>
            <w:hideMark/>
          </w:tcPr>
          <w:p w14:paraId="5C97BAF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509" w:type="pct"/>
            <w:tcBorders>
              <w:top w:val="nil"/>
              <w:left w:val="nil"/>
              <w:bottom w:val="nil"/>
              <w:right w:val="nil"/>
            </w:tcBorders>
            <w:shd w:val="clear" w:color="000000" w:fill="FFFFFF"/>
            <w:noWrap/>
            <w:vAlign w:val="center"/>
            <w:hideMark/>
          </w:tcPr>
          <w:p w14:paraId="43EC15B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9" w:type="pct"/>
            <w:tcBorders>
              <w:top w:val="nil"/>
              <w:left w:val="nil"/>
              <w:bottom w:val="nil"/>
              <w:right w:val="nil"/>
            </w:tcBorders>
            <w:shd w:val="clear" w:color="000000" w:fill="FFFFFF"/>
            <w:noWrap/>
            <w:vAlign w:val="center"/>
            <w:hideMark/>
          </w:tcPr>
          <w:p w14:paraId="530A80C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54FAFD9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3BDFD65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152E6F78"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259</w:t>
            </w:r>
          </w:p>
        </w:tc>
        <w:tc>
          <w:tcPr>
            <w:tcW w:w="478" w:type="pct"/>
            <w:tcBorders>
              <w:top w:val="nil"/>
              <w:left w:val="single" w:sz="4" w:space="0" w:color="auto"/>
              <w:bottom w:val="nil"/>
              <w:right w:val="single" w:sz="4" w:space="0" w:color="auto"/>
            </w:tcBorders>
            <w:shd w:val="clear" w:color="000000" w:fill="FFFFFF"/>
            <w:noWrap/>
            <w:vAlign w:val="center"/>
            <w:hideMark/>
          </w:tcPr>
          <w:p w14:paraId="31771A5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4,9%</w:t>
            </w:r>
          </w:p>
        </w:tc>
      </w:tr>
      <w:tr w:rsidR="00B44397" w:rsidRPr="00650EE4" w14:paraId="74C23D94" w14:textId="77777777" w:rsidTr="007B6664">
        <w:tc>
          <w:tcPr>
            <w:tcW w:w="987" w:type="pct"/>
            <w:tcBorders>
              <w:top w:val="nil"/>
              <w:left w:val="single" w:sz="4" w:space="0" w:color="auto"/>
              <w:bottom w:val="nil"/>
              <w:right w:val="nil"/>
            </w:tcBorders>
            <w:shd w:val="clear" w:color="000000" w:fill="FFFFFF"/>
            <w:noWrap/>
            <w:vAlign w:val="center"/>
            <w:hideMark/>
          </w:tcPr>
          <w:p w14:paraId="7F587B94"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9" w:type="pct"/>
            <w:tcBorders>
              <w:top w:val="nil"/>
              <w:left w:val="single" w:sz="4" w:space="0" w:color="auto"/>
              <w:bottom w:val="nil"/>
              <w:right w:val="nil"/>
            </w:tcBorders>
            <w:shd w:val="clear" w:color="000000" w:fill="FFFFFF"/>
            <w:noWrap/>
            <w:vAlign w:val="center"/>
            <w:hideMark/>
          </w:tcPr>
          <w:p w14:paraId="0089D7A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139</w:t>
            </w:r>
          </w:p>
        </w:tc>
        <w:tc>
          <w:tcPr>
            <w:tcW w:w="509" w:type="pct"/>
            <w:tcBorders>
              <w:top w:val="nil"/>
              <w:left w:val="nil"/>
              <w:bottom w:val="nil"/>
              <w:right w:val="nil"/>
            </w:tcBorders>
            <w:shd w:val="clear" w:color="000000" w:fill="FFFFFF"/>
            <w:noWrap/>
            <w:vAlign w:val="center"/>
            <w:hideMark/>
          </w:tcPr>
          <w:p w14:paraId="4322D0F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09" w:type="pct"/>
            <w:tcBorders>
              <w:top w:val="nil"/>
              <w:left w:val="nil"/>
              <w:bottom w:val="nil"/>
              <w:right w:val="nil"/>
            </w:tcBorders>
            <w:shd w:val="clear" w:color="000000" w:fill="FFFFFF"/>
            <w:noWrap/>
            <w:vAlign w:val="center"/>
            <w:hideMark/>
          </w:tcPr>
          <w:p w14:paraId="29B6C55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509" w:type="pct"/>
            <w:tcBorders>
              <w:top w:val="nil"/>
              <w:left w:val="nil"/>
              <w:bottom w:val="nil"/>
              <w:right w:val="nil"/>
            </w:tcBorders>
            <w:shd w:val="clear" w:color="000000" w:fill="FFFFFF"/>
            <w:noWrap/>
            <w:vAlign w:val="center"/>
            <w:hideMark/>
          </w:tcPr>
          <w:p w14:paraId="63BE19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9" w:type="pct"/>
            <w:tcBorders>
              <w:top w:val="nil"/>
              <w:left w:val="nil"/>
              <w:bottom w:val="nil"/>
              <w:right w:val="nil"/>
            </w:tcBorders>
            <w:shd w:val="clear" w:color="000000" w:fill="FFFFFF"/>
            <w:noWrap/>
            <w:vAlign w:val="center"/>
            <w:hideMark/>
          </w:tcPr>
          <w:p w14:paraId="0EE58E2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11" w:type="pct"/>
            <w:tcBorders>
              <w:top w:val="nil"/>
              <w:left w:val="nil"/>
              <w:bottom w:val="nil"/>
              <w:right w:val="single" w:sz="4" w:space="0" w:color="auto"/>
            </w:tcBorders>
            <w:shd w:val="clear" w:color="000000" w:fill="FFFFFF"/>
            <w:noWrap/>
            <w:vAlign w:val="center"/>
            <w:hideMark/>
          </w:tcPr>
          <w:p w14:paraId="178C618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F85C08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221</w:t>
            </w:r>
          </w:p>
        </w:tc>
        <w:tc>
          <w:tcPr>
            <w:tcW w:w="478" w:type="pct"/>
            <w:tcBorders>
              <w:top w:val="nil"/>
              <w:left w:val="single" w:sz="4" w:space="0" w:color="auto"/>
              <w:bottom w:val="nil"/>
              <w:right w:val="single" w:sz="4" w:space="0" w:color="auto"/>
            </w:tcBorders>
            <w:shd w:val="clear" w:color="000000" w:fill="FFFFFF"/>
            <w:noWrap/>
            <w:vAlign w:val="center"/>
            <w:hideMark/>
          </w:tcPr>
          <w:p w14:paraId="493797A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B44397" w:rsidRPr="00650EE4" w14:paraId="35993A66" w14:textId="77777777" w:rsidTr="007B6664">
        <w:tc>
          <w:tcPr>
            <w:tcW w:w="987" w:type="pct"/>
            <w:tcBorders>
              <w:top w:val="nil"/>
              <w:left w:val="single" w:sz="4" w:space="0" w:color="auto"/>
              <w:bottom w:val="nil"/>
              <w:right w:val="nil"/>
            </w:tcBorders>
            <w:shd w:val="clear" w:color="000000" w:fill="FFFFFF"/>
            <w:noWrap/>
            <w:vAlign w:val="center"/>
            <w:hideMark/>
          </w:tcPr>
          <w:p w14:paraId="5AC15B6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9" w:type="pct"/>
            <w:tcBorders>
              <w:top w:val="nil"/>
              <w:left w:val="single" w:sz="4" w:space="0" w:color="auto"/>
              <w:bottom w:val="nil"/>
              <w:right w:val="nil"/>
            </w:tcBorders>
            <w:shd w:val="clear" w:color="000000" w:fill="FFFFFF"/>
            <w:noWrap/>
            <w:vAlign w:val="center"/>
            <w:hideMark/>
          </w:tcPr>
          <w:p w14:paraId="46DBD24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509" w:type="pct"/>
            <w:tcBorders>
              <w:top w:val="nil"/>
              <w:left w:val="nil"/>
              <w:bottom w:val="nil"/>
              <w:right w:val="nil"/>
            </w:tcBorders>
            <w:shd w:val="clear" w:color="000000" w:fill="FFFFFF"/>
            <w:noWrap/>
            <w:vAlign w:val="center"/>
            <w:hideMark/>
          </w:tcPr>
          <w:p w14:paraId="7A1F14E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509" w:type="pct"/>
            <w:tcBorders>
              <w:top w:val="nil"/>
              <w:left w:val="nil"/>
              <w:bottom w:val="nil"/>
              <w:right w:val="nil"/>
            </w:tcBorders>
            <w:shd w:val="clear" w:color="000000" w:fill="FFFFFF"/>
            <w:noWrap/>
            <w:vAlign w:val="center"/>
            <w:hideMark/>
          </w:tcPr>
          <w:p w14:paraId="1570FE31"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09" w:type="pct"/>
            <w:tcBorders>
              <w:top w:val="nil"/>
              <w:left w:val="nil"/>
              <w:bottom w:val="nil"/>
              <w:right w:val="nil"/>
            </w:tcBorders>
            <w:shd w:val="clear" w:color="000000" w:fill="FFFFFF"/>
            <w:noWrap/>
            <w:vAlign w:val="center"/>
            <w:hideMark/>
          </w:tcPr>
          <w:p w14:paraId="2AD45A6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2F9D92B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4B113F4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6FB582B9"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106</w:t>
            </w:r>
          </w:p>
        </w:tc>
        <w:tc>
          <w:tcPr>
            <w:tcW w:w="478" w:type="pct"/>
            <w:tcBorders>
              <w:top w:val="nil"/>
              <w:left w:val="single" w:sz="4" w:space="0" w:color="auto"/>
              <w:bottom w:val="nil"/>
              <w:right w:val="single" w:sz="4" w:space="0" w:color="auto"/>
            </w:tcBorders>
            <w:shd w:val="clear" w:color="000000" w:fill="FFFFFF"/>
            <w:noWrap/>
            <w:vAlign w:val="center"/>
            <w:hideMark/>
          </w:tcPr>
          <w:p w14:paraId="2164DDA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r>
      <w:tr w:rsidR="00B44397" w:rsidRPr="00650EE4" w14:paraId="53893A6E" w14:textId="77777777" w:rsidTr="007B6664">
        <w:tc>
          <w:tcPr>
            <w:tcW w:w="987" w:type="pct"/>
            <w:tcBorders>
              <w:top w:val="nil"/>
              <w:left w:val="single" w:sz="4" w:space="0" w:color="auto"/>
              <w:bottom w:val="nil"/>
              <w:right w:val="nil"/>
            </w:tcBorders>
            <w:shd w:val="clear" w:color="000000" w:fill="FFFFFF"/>
            <w:noWrap/>
            <w:vAlign w:val="center"/>
            <w:hideMark/>
          </w:tcPr>
          <w:p w14:paraId="52621AE5"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9" w:type="pct"/>
            <w:tcBorders>
              <w:top w:val="nil"/>
              <w:left w:val="single" w:sz="4" w:space="0" w:color="auto"/>
              <w:bottom w:val="nil"/>
              <w:right w:val="nil"/>
            </w:tcBorders>
            <w:shd w:val="clear" w:color="000000" w:fill="FFFFFF"/>
            <w:noWrap/>
            <w:vAlign w:val="center"/>
            <w:hideMark/>
          </w:tcPr>
          <w:p w14:paraId="18AE93BE"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509" w:type="pct"/>
            <w:tcBorders>
              <w:top w:val="nil"/>
              <w:left w:val="nil"/>
              <w:bottom w:val="nil"/>
              <w:right w:val="nil"/>
            </w:tcBorders>
            <w:shd w:val="clear" w:color="000000" w:fill="FFFFFF"/>
            <w:noWrap/>
            <w:vAlign w:val="center"/>
            <w:hideMark/>
          </w:tcPr>
          <w:p w14:paraId="7C669D9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09" w:type="pct"/>
            <w:tcBorders>
              <w:top w:val="nil"/>
              <w:left w:val="nil"/>
              <w:bottom w:val="nil"/>
              <w:right w:val="nil"/>
            </w:tcBorders>
            <w:shd w:val="clear" w:color="000000" w:fill="FFFFFF"/>
            <w:noWrap/>
            <w:vAlign w:val="center"/>
            <w:hideMark/>
          </w:tcPr>
          <w:p w14:paraId="07B975B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509" w:type="pct"/>
            <w:tcBorders>
              <w:top w:val="nil"/>
              <w:left w:val="nil"/>
              <w:bottom w:val="nil"/>
              <w:right w:val="nil"/>
            </w:tcBorders>
            <w:shd w:val="clear" w:color="000000" w:fill="FFFFFF"/>
            <w:noWrap/>
            <w:vAlign w:val="center"/>
            <w:hideMark/>
          </w:tcPr>
          <w:p w14:paraId="70E5B3B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9" w:type="pct"/>
            <w:tcBorders>
              <w:top w:val="nil"/>
              <w:left w:val="nil"/>
              <w:bottom w:val="nil"/>
              <w:right w:val="nil"/>
            </w:tcBorders>
            <w:shd w:val="clear" w:color="000000" w:fill="FFFFFF"/>
            <w:noWrap/>
            <w:vAlign w:val="center"/>
            <w:hideMark/>
          </w:tcPr>
          <w:p w14:paraId="372B485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1" w:type="pct"/>
            <w:tcBorders>
              <w:top w:val="nil"/>
              <w:left w:val="nil"/>
              <w:bottom w:val="nil"/>
              <w:right w:val="single" w:sz="4" w:space="0" w:color="auto"/>
            </w:tcBorders>
            <w:shd w:val="clear" w:color="000000" w:fill="FFFFFF"/>
            <w:noWrap/>
            <w:vAlign w:val="center"/>
            <w:hideMark/>
          </w:tcPr>
          <w:p w14:paraId="128336E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4EDE1B1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91</w:t>
            </w:r>
          </w:p>
        </w:tc>
        <w:tc>
          <w:tcPr>
            <w:tcW w:w="478" w:type="pct"/>
            <w:tcBorders>
              <w:top w:val="nil"/>
              <w:left w:val="single" w:sz="4" w:space="0" w:color="auto"/>
              <w:bottom w:val="nil"/>
              <w:right w:val="single" w:sz="4" w:space="0" w:color="auto"/>
            </w:tcBorders>
            <w:shd w:val="clear" w:color="000000" w:fill="FFFFFF"/>
            <w:noWrap/>
            <w:vAlign w:val="center"/>
            <w:hideMark/>
          </w:tcPr>
          <w:p w14:paraId="39C19BF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r>
      <w:tr w:rsidR="00B44397" w:rsidRPr="00650EE4" w14:paraId="79181AE1" w14:textId="77777777" w:rsidTr="007B6664">
        <w:tc>
          <w:tcPr>
            <w:tcW w:w="987" w:type="pct"/>
            <w:tcBorders>
              <w:top w:val="nil"/>
              <w:left w:val="single" w:sz="4" w:space="0" w:color="auto"/>
              <w:bottom w:val="nil"/>
              <w:right w:val="nil"/>
            </w:tcBorders>
            <w:shd w:val="clear" w:color="000000" w:fill="FFFFFF"/>
            <w:noWrap/>
            <w:vAlign w:val="center"/>
            <w:hideMark/>
          </w:tcPr>
          <w:p w14:paraId="529376C9"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9" w:type="pct"/>
            <w:tcBorders>
              <w:top w:val="nil"/>
              <w:left w:val="single" w:sz="4" w:space="0" w:color="auto"/>
              <w:bottom w:val="nil"/>
              <w:right w:val="nil"/>
            </w:tcBorders>
            <w:shd w:val="clear" w:color="000000" w:fill="FFFFFF"/>
            <w:noWrap/>
            <w:vAlign w:val="center"/>
            <w:hideMark/>
          </w:tcPr>
          <w:p w14:paraId="7E40DB4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71</w:t>
            </w:r>
          </w:p>
        </w:tc>
        <w:tc>
          <w:tcPr>
            <w:tcW w:w="509" w:type="pct"/>
            <w:tcBorders>
              <w:top w:val="nil"/>
              <w:left w:val="nil"/>
              <w:bottom w:val="nil"/>
              <w:right w:val="nil"/>
            </w:tcBorders>
            <w:shd w:val="clear" w:color="000000" w:fill="FFFFFF"/>
            <w:noWrap/>
            <w:vAlign w:val="center"/>
            <w:hideMark/>
          </w:tcPr>
          <w:p w14:paraId="19291FF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9" w:type="pct"/>
            <w:tcBorders>
              <w:top w:val="nil"/>
              <w:left w:val="nil"/>
              <w:bottom w:val="nil"/>
              <w:right w:val="nil"/>
            </w:tcBorders>
            <w:shd w:val="clear" w:color="000000" w:fill="FFFFFF"/>
            <w:noWrap/>
            <w:vAlign w:val="center"/>
            <w:hideMark/>
          </w:tcPr>
          <w:p w14:paraId="59BC133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09" w:type="pct"/>
            <w:tcBorders>
              <w:top w:val="nil"/>
              <w:left w:val="nil"/>
              <w:bottom w:val="nil"/>
              <w:right w:val="nil"/>
            </w:tcBorders>
            <w:shd w:val="clear" w:color="000000" w:fill="FFFFFF"/>
            <w:noWrap/>
            <w:vAlign w:val="center"/>
            <w:hideMark/>
          </w:tcPr>
          <w:p w14:paraId="1F3AA9B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nil"/>
              <w:right w:val="nil"/>
            </w:tcBorders>
            <w:shd w:val="clear" w:color="000000" w:fill="FFFFFF"/>
            <w:noWrap/>
            <w:vAlign w:val="center"/>
            <w:hideMark/>
          </w:tcPr>
          <w:p w14:paraId="288E48F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75922A5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036FE437"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82</w:t>
            </w:r>
          </w:p>
        </w:tc>
        <w:tc>
          <w:tcPr>
            <w:tcW w:w="478" w:type="pct"/>
            <w:tcBorders>
              <w:top w:val="nil"/>
              <w:left w:val="single" w:sz="4" w:space="0" w:color="auto"/>
              <w:bottom w:val="nil"/>
              <w:right w:val="single" w:sz="4" w:space="0" w:color="auto"/>
            </w:tcBorders>
            <w:shd w:val="clear" w:color="000000" w:fill="FFFFFF"/>
            <w:noWrap/>
            <w:vAlign w:val="center"/>
            <w:hideMark/>
          </w:tcPr>
          <w:p w14:paraId="7692CEE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B44397" w:rsidRPr="00650EE4" w14:paraId="11C907FC" w14:textId="77777777" w:rsidTr="007B6664">
        <w:tc>
          <w:tcPr>
            <w:tcW w:w="987" w:type="pct"/>
            <w:tcBorders>
              <w:top w:val="nil"/>
              <w:left w:val="single" w:sz="4" w:space="0" w:color="auto"/>
              <w:bottom w:val="nil"/>
              <w:right w:val="nil"/>
            </w:tcBorders>
            <w:shd w:val="clear" w:color="000000" w:fill="FFFFFF"/>
            <w:noWrap/>
            <w:vAlign w:val="center"/>
            <w:hideMark/>
          </w:tcPr>
          <w:p w14:paraId="2CCC14F6"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9" w:type="pct"/>
            <w:tcBorders>
              <w:top w:val="nil"/>
              <w:left w:val="single" w:sz="4" w:space="0" w:color="auto"/>
              <w:bottom w:val="nil"/>
              <w:right w:val="nil"/>
            </w:tcBorders>
            <w:shd w:val="clear" w:color="000000" w:fill="FFFFFF"/>
            <w:noWrap/>
            <w:vAlign w:val="center"/>
            <w:hideMark/>
          </w:tcPr>
          <w:p w14:paraId="2C4CF88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73</w:t>
            </w:r>
          </w:p>
        </w:tc>
        <w:tc>
          <w:tcPr>
            <w:tcW w:w="509" w:type="pct"/>
            <w:tcBorders>
              <w:top w:val="nil"/>
              <w:left w:val="nil"/>
              <w:bottom w:val="nil"/>
              <w:right w:val="nil"/>
            </w:tcBorders>
            <w:shd w:val="clear" w:color="000000" w:fill="FFFFFF"/>
            <w:noWrap/>
            <w:vAlign w:val="center"/>
            <w:hideMark/>
          </w:tcPr>
          <w:p w14:paraId="1FE676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509" w:type="pct"/>
            <w:tcBorders>
              <w:top w:val="nil"/>
              <w:left w:val="nil"/>
              <w:bottom w:val="nil"/>
              <w:right w:val="nil"/>
            </w:tcBorders>
            <w:shd w:val="clear" w:color="000000" w:fill="FFFFFF"/>
            <w:noWrap/>
            <w:vAlign w:val="center"/>
            <w:hideMark/>
          </w:tcPr>
          <w:p w14:paraId="6760066C"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509" w:type="pct"/>
            <w:tcBorders>
              <w:top w:val="nil"/>
              <w:left w:val="nil"/>
              <w:bottom w:val="nil"/>
              <w:right w:val="nil"/>
            </w:tcBorders>
            <w:shd w:val="clear" w:color="000000" w:fill="FFFFFF"/>
            <w:noWrap/>
            <w:vAlign w:val="center"/>
            <w:hideMark/>
          </w:tcPr>
          <w:p w14:paraId="69E344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9" w:type="pct"/>
            <w:tcBorders>
              <w:top w:val="nil"/>
              <w:left w:val="nil"/>
              <w:bottom w:val="nil"/>
              <w:right w:val="nil"/>
            </w:tcBorders>
            <w:shd w:val="clear" w:color="000000" w:fill="FFFFFF"/>
            <w:noWrap/>
            <w:vAlign w:val="center"/>
            <w:hideMark/>
          </w:tcPr>
          <w:p w14:paraId="4EC16EAF"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nil"/>
              <w:right w:val="single" w:sz="4" w:space="0" w:color="auto"/>
            </w:tcBorders>
            <w:shd w:val="clear" w:color="000000" w:fill="FFFFFF"/>
            <w:noWrap/>
            <w:vAlign w:val="center"/>
            <w:hideMark/>
          </w:tcPr>
          <w:p w14:paraId="6DC0087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nil"/>
              <w:right w:val="nil"/>
            </w:tcBorders>
            <w:shd w:val="clear" w:color="000000" w:fill="FFFFFF"/>
            <w:noWrap/>
            <w:vAlign w:val="center"/>
            <w:hideMark/>
          </w:tcPr>
          <w:p w14:paraId="7B109ADC"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87</w:t>
            </w:r>
          </w:p>
        </w:tc>
        <w:tc>
          <w:tcPr>
            <w:tcW w:w="478" w:type="pct"/>
            <w:tcBorders>
              <w:top w:val="nil"/>
              <w:left w:val="single" w:sz="4" w:space="0" w:color="auto"/>
              <w:bottom w:val="nil"/>
              <w:right w:val="single" w:sz="4" w:space="0" w:color="auto"/>
            </w:tcBorders>
            <w:shd w:val="clear" w:color="000000" w:fill="FFFFFF"/>
            <w:noWrap/>
            <w:vAlign w:val="center"/>
            <w:hideMark/>
          </w:tcPr>
          <w:p w14:paraId="4711D29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B44397" w:rsidRPr="00650EE4" w14:paraId="4482053B" w14:textId="77777777" w:rsidTr="007B6664">
        <w:tc>
          <w:tcPr>
            <w:tcW w:w="987" w:type="pct"/>
            <w:tcBorders>
              <w:top w:val="nil"/>
              <w:left w:val="single" w:sz="4" w:space="0" w:color="auto"/>
              <w:bottom w:val="nil"/>
              <w:right w:val="nil"/>
            </w:tcBorders>
            <w:shd w:val="clear" w:color="000000" w:fill="FFFFFF"/>
            <w:noWrap/>
            <w:vAlign w:val="center"/>
            <w:hideMark/>
          </w:tcPr>
          <w:p w14:paraId="6843FE3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9" w:type="pct"/>
            <w:tcBorders>
              <w:top w:val="nil"/>
              <w:left w:val="single" w:sz="4" w:space="0" w:color="auto"/>
              <w:bottom w:val="single" w:sz="4" w:space="0" w:color="auto"/>
              <w:right w:val="nil"/>
            </w:tcBorders>
            <w:shd w:val="clear" w:color="000000" w:fill="FFFFFF"/>
            <w:noWrap/>
            <w:vAlign w:val="center"/>
            <w:hideMark/>
          </w:tcPr>
          <w:p w14:paraId="137BD873"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509" w:type="pct"/>
            <w:tcBorders>
              <w:top w:val="nil"/>
              <w:left w:val="nil"/>
              <w:bottom w:val="single" w:sz="4" w:space="0" w:color="auto"/>
              <w:right w:val="nil"/>
            </w:tcBorders>
            <w:shd w:val="clear" w:color="000000" w:fill="FFFFFF"/>
            <w:noWrap/>
            <w:vAlign w:val="center"/>
            <w:hideMark/>
          </w:tcPr>
          <w:p w14:paraId="112B792A"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9" w:type="pct"/>
            <w:tcBorders>
              <w:top w:val="nil"/>
              <w:left w:val="nil"/>
              <w:bottom w:val="single" w:sz="4" w:space="0" w:color="auto"/>
              <w:right w:val="nil"/>
            </w:tcBorders>
            <w:shd w:val="clear" w:color="000000" w:fill="FFFFFF"/>
            <w:noWrap/>
            <w:vAlign w:val="center"/>
            <w:hideMark/>
          </w:tcPr>
          <w:p w14:paraId="4BD3FB6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509" w:type="pct"/>
            <w:tcBorders>
              <w:top w:val="nil"/>
              <w:left w:val="nil"/>
              <w:bottom w:val="single" w:sz="4" w:space="0" w:color="auto"/>
              <w:right w:val="nil"/>
            </w:tcBorders>
            <w:shd w:val="clear" w:color="000000" w:fill="FFFFFF"/>
            <w:noWrap/>
            <w:vAlign w:val="center"/>
            <w:hideMark/>
          </w:tcPr>
          <w:p w14:paraId="1E5F77C8"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09" w:type="pct"/>
            <w:tcBorders>
              <w:top w:val="nil"/>
              <w:left w:val="nil"/>
              <w:bottom w:val="single" w:sz="4" w:space="0" w:color="auto"/>
              <w:right w:val="nil"/>
            </w:tcBorders>
            <w:shd w:val="clear" w:color="000000" w:fill="FFFFFF"/>
            <w:noWrap/>
            <w:vAlign w:val="center"/>
            <w:hideMark/>
          </w:tcPr>
          <w:p w14:paraId="4F82E85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nil"/>
              <w:left w:val="nil"/>
              <w:bottom w:val="single" w:sz="4" w:space="0" w:color="auto"/>
              <w:right w:val="single" w:sz="4" w:space="0" w:color="auto"/>
            </w:tcBorders>
            <w:shd w:val="clear" w:color="000000" w:fill="FFFFFF"/>
            <w:noWrap/>
            <w:vAlign w:val="center"/>
            <w:hideMark/>
          </w:tcPr>
          <w:p w14:paraId="6C17D2F4"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nil"/>
              <w:left w:val="nil"/>
              <w:bottom w:val="single" w:sz="4" w:space="0" w:color="auto"/>
              <w:right w:val="nil"/>
            </w:tcBorders>
            <w:shd w:val="clear" w:color="000000" w:fill="FFFFFF"/>
            <w:noWrap/>
            <w:vAlign w:val="center"/>
            <w:hideMark/>
          </w:tcPr>
          <w:p w14:paraId="6904BED1"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w:t>
            </w:r>
          </w:p>
        </w:tc>
        <w:tc>
          <w:tcPr>
            <w:tcW w:w="478" w:type="pct"/>
            <w:tcBorders>
              <w:top w:val="nil"/>
              <w:left w:val="single" w:sz="4" w:space="0" w:color="auto"/>
              <w:bottom w:val="single" w:sz="4" w:space="0" w:color="auto"/>
              <w:right w:val="single" w:sz="4" w:space="0" w:color="auto"/>
            </w:tcBorders>
            <w:shd w:val="clear" w:color="000000" w:fill="FFFFFF"/>
            <w:noWrap/>
            <w:vAlign w:val="center"/>
            <w:hideMark/>
          </w:tcPr>
          <w:p w14:paraId="761952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B44397" w:rsidRPr="00650EE4" w14:paraId="758569F0" w14:textId="77777777" w:rsidTr="007B6664">
        <w:tc>
          <w:tcPr>
            <w:tcW w:w="987" w:type="pct"/>
            <w:tcBorders>
              <w:top w:val="single" w:sz="4" w:space="0" w:color="auto"/>
              <w:left w:val="single" w:sz="4" w:space="0" w:color="auto"/>
              <w:bottom w:val="nil"/>
              <w:right w:val="single" w:sz="4" w:space="0" w:color="auto"/>
            </w:tcBorders>
            <w:shd w:val="clear" w:color="000000" w:fill="FFFFFF"/>
            <w:noWrap/>
            <w:vAlign w:val="center"/>
            <w:hideMark/>
          </w:tcPr>
          <w:p w14:paraId="4B0F7FE0" w14:textId="77777777" w:rsidR="00B44397" w:rsidRPr="00650EE4" w:rsidRDefault="00B44397" w:rsidP="00B4439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9" w:type="pct"/>
            <w:tcBorders>
              <w:top w:val="nil"/>
              <w:left w:val="nil"/>
              <w:bottom w:val="nil"/>
              <w:right w:val="nil"/>
            </w:tcBorders>
            <w:shd w:val="clear" w:color="000000" w:fill="FFFFFF"/>
            <w:noWrap/>
            <w:vAlign w:val="center"/>
            <w:hideMark/>
          </w:tcPr>
          <w:p w14:paraId="2CA98D3E"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4.086</w:t>
            </w:r>
          </w:p>
        </w:tc>
        <w:tc>
          <w:tcPr>
            <w:tcW w:w="509" w:type="pct"/>
            <w:tcBorders>
              <w:top w:val="nil"/>
              <w:left w:val="nil"/>
              <w:bottom w:val="nil"/>
              <w:right w:val="nil"/>
            </w:tcBorders>
            <w:shd w:val="clear" w:color="000000" w:fill="FFFFFF"/>
            <w:noWrap/>
            <w:vAlign w:val="center"/>
            <w:hideMark/>
          </w:tcPr>
          <w:p w14:paraId="7F9C475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681</w:t>
            </w:r>
          </w:p>
        </w:tc>
        <w:tc>
          <w:tcPr>
            <w:tcW w:w="509" w:type="pct"/>
            <w:tcBorders>
              <w:top w:val="nil"/>
              <w:left w:val="nil"/>
              <w:bottom w:val="nil"/>
              <w:right w:val="nil"/>
            </w:tcBorders>
            <w:shd w:val="clear" w:color="000000" w:fill="FFFFFF"/>
            <w:noWrap/>
            <w:vAlign w:val="center"/>
            <w:hideMark/>
          </w:tcPr>
          <w:p w14:paraId="2969707B"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456</w:t>
            </w:r>
          </w:p>
        </w:tc>
        <w:tc>
          <w:tcPr>
            <w:tcW w:w="509" w:type="pct"/>
            <w:tcBorders>
              <w:top w:val="nil"/>
              <w:left w:val="nil"/>
              <w:bottom w:val="nil"/>
              <w:right w:val="nil"/>
            </w:tcBorders>
            <w:shd w:val="clear" w:color="000000" w:fill="FFFFFF"/>
            <w:noWrap/>
            <w:vAlign w:val="center"/>
            <w:hideMark/>
          </w:tcPr>
          <w:p w14:paraId="4D0CE80A"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w:t>
            </w:r>
          </w:p>
        </w:tc>
        <w:tc>
          <w:tcPr>
            <w:tcW w:w="509" w:type="pct"/>
            <w:tcBorders>
              <w:top w:val="nil"/>
              <w:left w:val="nil"/>
              <w:bottom w:val="nil"/>
              <w:right w:val="nil"/>
            </w:tcBorders>
            <w:shd w:val="clear" w:color="000000" w:fill="FFFFFF"/>
            <w:noWrap/>
            <w:vAlign w:val="center"/>
            <w:hideMark/>
          </w:tcPr>
          <w:p w14:paraId="032E9ACF"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w:t>
            </w:r>
          </w:p>
        </w:tc>
        <w:tc>
          <w:tcPr>
            <w:tcW w:w="511" w:type="pct"/>
            <w:tcBorders>
              <w:top w:val="nil"/>
              <w:left w:val="nil"/>
              <w:bottom w:val="nil"/>
              <w:right w:val="single" w:sz="4" w:space="0" w:color="auto"/>
            </w:tcBorders>
            <w:shd w:val="clear" w:color="000000" w:fill="FFFFFF"/>
            <w:noWrap/>
            <w:vAlign w:val="center"/>
            <w:hideMark/>
          </w:tcPr>
          <w:p w14:paraId="2DF59C24"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w:t>
            </w:r>
          </w:p>
        </w:tc>
        <w:tc>
          <w:tcPr>
            <w:tcW w:w="478" w:type="pct"/>
            <w:tcBorders>
              <w:top w:val="nil"/>
              <w:left w:val="nil"/>
              <w:bottom w:val="nil"/>
              <w:right w:val="nil"/>
            </w:tcBorders>
            <w:shd w:val="clear" w:color="000000" w:fill="FFFFFF"/>
            <w:noWrap/>
            <w:vAlign w:val="center"/>
            <w:hideMark/>
          </w:tcPr>
          <w:p w14:paraId="4273D99C" w14:textId="77777777" w:rsidR="00B44397" w:rsidRPr="00650EE4" w:rsidRDefault="00B44397" w:rsidP="00B4439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5.286</w:t>
            </w:r>
          </w:p>
        </w:tc>
        <w:tc>
          <w:tcPr>
            <w:tcW w:w="478" w:type="pct"/>
            <w:tcBorders>
              <w:top w:val="nil"/>
              <w:left w:val="single" w:sz="4" w:space="0" w:color="auto"/>
              <w:bottom w:val="nil"/>
              <w:right w:val="single" w:sz="4" w:space="0" w:color="auto"/>
            </w:tcBorders>
            <w:shd w:val="clear" w:color="000000" w:fill="FFFFFF"/>
            <w:noWrap/>
            <w:vAlign w:val="center"/>
            <w:hideMark/>
          </w:tcPr>
          <w:p w14:paraId="71701FEB"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B44397" w:rsidRPr="00650EE4" w14:paraId="5DB59D0A" w14:textId="77777777" w:rsidTr="007B6664">
        <w:tc>
          <w:tcPr>
            <w:tcW w:w="987"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3E07DD"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9" w:type="pct"/>
            <w:tcBorders>
              <w:top w:val="single" w:sz="4" w:space="0" w:color="auto"/>
              <w:left w:val="nil"/>
              <w:bottom w:val="single" w:sz="4" w:space="0" w:color="auto"/>
              <w:right w:val="nil"/>
            </w:tcBorders>
            <w:shd w:val="clear" w:color="000000" w:fill="FFFFFF"/>
            <w:noWrap/>
            <w:vAlign w:val="center"/>
            <w:hideMark/>
          </w:tcPr>
          <w:p w14:paraId="58C05D8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509" w:type="pct"/>
            <w:tcBorders>
              <w:top w:val="single" w:sz="4" w:space="0" w:color="auto"/>
              <w:left w:val="nil"/>
              <w:bottom w:val="single" w:sz="4" w:space="0" w:color="auto"/>
              <w:right w:val="nil"/>
            </w:tcBorders>
            <w:shd w:val="clear" w:color="000000" w:fill="FFFFFF"/>
            <w:noWrap/>
            <w:vAlign w:val="center"/>
            <w:hideMark/>
          </w:tcPr>
          <w:p w14:paraId="66D03537"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9" w:type="pct"/>
            <w:tcBorders>
              <w:top w:val="single" w:sz="4" w:space="0" w:color="auto"/>
              <w:left w:val="nil"/>
              <w:bottom w:val="single" w:sz="4" w:space="0" w:color="auto"/>
              <w:right w:val="nil"/>
            </w:tcBorders>
            <w:shd w:val="clear" w:color="000000" w:fill="FFFFFF"/>
            <w:noWrap/>
            <w:vAlign w:val="center"/>
            <w:hideMark/>
          </w:tcPr>
          <w:p w14:paraId="5C967BE2"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509" w:type="pct"/>
            <w:tcBorders>
              <w:top w:val="single" w:sz="4" w:space="0" w:color="auto"/>
              <w:left w:val="nil"/>
              <w:bottom w:val="single" w:sz="4" w:space="0" w:color="auto"/>
              <w:right w:val="nil"/>
            </w:tcBorders>
            <w:shd w:val="clear" w:color="000000" w:fill="FFFFFF"/>
            <w:noWrap/>
            <w:vAlign w:val="center"/>
            <w:hideMark/>
          </w:tcPr>
          <w:p w14:paraId="141B8570"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09" w:type="pct"/>
            <w:tcBorders>
              <w:top w:val="single" w:sz="4" w:space="0" w:color="auto"/>
              <w:left w:val="nil"/>
              <w:bottom w:val="single" w:sz="4" w:space="0" w:color="auto"/>
              <w:right w:val="nil"/>
            </w:tcBorders>
            <w:shd w:val="clear" w:color="000000" w:fill="FFFFFF"/>
            <w:noWrap/>
            <w:vAlign w:val="center"/>
            <w:hideMark/>
          </w:tcPr>
          <w:p w14:paraId="7EDAE895"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1" w:type="pct"/>
            <w:tcBorders>
              <w:top w:val="single" w:sz="4" w:space="0" w:color="auto"/>
              <w:left w:val="nil"/>
              <w:bottom w:val="single" w:sz="4" w:space="0" w:color="auto"/>
              <w:right w:val="single" w:sz="4" w:space="0" w:color="auto"/>
            </w:tcBorders>
            <w:shd w:val="clear" w:color="000000" w:fill="FFFFFF"/>
            <w:noWrap/>
            <w:vAlign w:val="center"/>
            <w:hideMark/>
          </w:tcPr>
          <w:p w14:paraId="2F19A699"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78" w:type="pct"/>
            <w:tcBorders>
              <w:top w:val="single" w:sz="4" w:space="0" w:color="auto"/>
              <w:left w:val="nil"/>
              <w:bottom w:val="single" w:sz="4" w:space="0" w:color="auto"/>
              <w:right w:val="nil"/>
            </w:tcBorders>
            <w:shd w:val="clear" w:color="000000" w:fill="FFFFFF"/>
            <w:noWrap/>
            <w:vAlign w:val="center"/>
            <w:hideMark/>
          </w:tcPr>
          <w:p w14:paraId="061908D6" w14:textId="77777777" w:rsidR="00B44397" w:rsidRPr="00650EE4" w:rsidRDefault="00B44397" w:rsidP="00B4439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74B7A3" w14:textId="77777777" w:rsidR="00B44397" w:rsidRPr="00650EE4" w:rsidRDefault="00B44397" w:rsidP="00B4439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1905672D" w14:textId="42FB9784" w:rsidR="003930FA" w:rsidRPr="00650EE4" w:rsidRDefault="003930FA" w:rsidP="00890A4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1C0AA070" w14:textId="5EB9BA0F" w:rsidR="00C20170" w:rsidRPr="00050ED5" w:rsidRDefault="00C20170" w:rsidP="00631BA6">
      <w:pPr>
        <w:pStyle w:val="TESlentelspavadinimas"/>
        <w:rPr>
          <w:noProof w:val="0"/>
          <w:sz w:val="10"/>
        </w:rPr>
      </w:pPr>
    </w:p>
    <w:p w14:paraId="3DD55637" w14:textId="6123C8C9" w:rsidR="00BB44F8" w:rsidRPr="00650EE4" w:rsidRDefault="00BB44F8" w:rsidP="00CC0B8C">
      <w:pPr>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t xml:space="preserve">Paveiksle žemiau pateikiami </w:t>
      </w:r>
      <w:r w:rsidR="007A52B6">
        <w:rPr>
          <w:rFonts w:ascii="Times New Roman" w:hAnsi="Times New Roman"/>
          <w:color w:val="000000" w:themeColor="text1"/>
          <w:szCs w:val="22"/>
        </w:rPr>
        <w:t>agreguoti p</w:t>
      </w:r>
      <w:r w:rsidR="00890A4A" w:rsidRPr="00650EE4">
        <w:rPr>
          <w:rFonts w:ascii="Times New Roman" w:hAnsi="Times New Roman"/>
          <w:color w:val="000000" w:themeColor="text1"/>
          <w:szCs w:val="22"/>
        </w:rPr>
        <w:t>astatų fondo CO</w:t>
      </w:r>
      <w:r w:rsidR="00890A4A" w:rsidRPr="00650EE4">
        <w:rPr>
          <w:rFonts w:ascii="Times New Roman" w:hAnsi="Times New Roman"/>
          <w:color w:val="000000" w:themeColor="text1"/>
          <w:szCs w:val="22"/>
          <w:vertAlign w:val="subscript"/>
        </w:rPr>
        <w:t>2</w:t>
      </w:r>
      <w:r w:rsidR="00890A4A" w:rsidRPr="00650EE4">
        <w:rPr>
          <w:rFonts w:ascii="Times New Roman" w:hAnsi="Times New Roman"/>
          <w:color w:val="000000" w:themeColor="text1"/>
          <w:szCs w:val="22"/>
        </w:rPr>
        <w:t xml:space="preserve"> emisijų </w:t>
      </w:r>
      <w:r w:rsidRPr="00650EE4">
        <w:rPr>
          <w:rFonts w:ascii="Times New Roman" w:hAnsi="Times New Roman"/>
          <w:color w:val="000000" w:themeColor="text1"/>
          <w:szCs w:val="22"/>
        </w:rPr>
        <w:t>duomenys.</w:t>
      </w:r>
    </w:p>
    <w:p w14:paraId="5E6E057C" w14:textId="77777777" w:rsidR="00BB44F8" w:rsidRPr="00050ED5" w:rsidRDefault="00BB44F8" w:rsidP="00631BA6">
      <w:pPr>
        <w:pStyle w:val="TESlentelspavadinimas"/>
        <w:rPr>
          <w:noProof w:val="0"/>
          <w:sz w:val="10"/>
        </w:rPr>
      </w:pPr>
    </w:p>
    <w:p w14:paraId="0A2743CA" w14:textId="0B516769" w:rsidR="003E18D5"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69" w:name="_Toc59094261"/>
      <w:r w:rsidR="00F25C65">
        <w:t>12</w:t>
      </w:r>
      <w:r w:rsidRPr="00650EE4">
        <w:rPr>
          <w:noProof w:val="0"/>
        </w:rPr>
        <w:fldChar w:fldCharType="end"/>
      </w:r>
      <w:r w:rsidR="003930FA" w:rsidRPr="00650EE4">
        <w:rPr>
          <w:noProof w:val="0"/>
        </w:rPr>
        <w:t xml:space="preserve"> paveikslas</w:t>
      </w:r>
      <w:r w:rsidR="003E18D5" w:rsidRPr="00650EE4">
        <w:rPr>
          <w:noProof w:val="0"/>
        </w:rPr>
        <w:t xml:space="preserve">. Pastatų fondo pirminės energijos vartojimas pagal </w:t>
      </w:r>
      <w:r w:rsidR="00D75E7D" w:rsidRPr="00650EE4">
        <w:rPr>
          <w:noProof w:val="0"/>
        </w:rPr>
        <w:t>ENK</w:t>
      </w:r>
      <w:r w:rsidR="003E18D5" w:rsidRPr="00650EE4">
        <w:rPr>
          <w:noProof w:val="0"/>
        </w:rPr>
        <w:t xml:space="preserve"> ir </w:t>
      </w:r>
      <w:r w:rsidR="00551698" w:rsidRPr="00650EE4">
        <w:rPr>
          <w:noProof w:val="0"/>
        </w:rPr>
        <w:t>pastatų grupes (agreguotas)</w:t>
      </w:r>
      <w:r w:rsidR="003E18D5" w:rsidRPr="00650EE4">
        <w:rPr>
          <w:noProof w:val="0"/>
        </w:rPr>
        <w:t xml:space="preserve"> (</w:t>
      </w:r>
      <w:proofErr w:type="spellStart"/>
      <w:r w:rsidR="003E18D5" w:rsidRPr="00650EE4">
        <w:rPr>
          <w:noProof w:val="0"/>
        </w:rPr>
        <w:t>GWh</w:t>
      </w:r>
      <w:proofErr w:type="spellEnd"/>
      <w:r w:rsidR="003E18D5" w:rsidRPr="00650EE4">
        <w:rPr>
          <w:noProof w:val="0"/>
        </w:rPr>
        <w:t>/metus)</w:t>
      </w:r>
      <w:bookmarkEnd w:id="69"/>
    </w:p>
    <w:p w14:paraId="645B4221" w14:textId="49723BA0" w:rsidR="00C20170" w:rsidRPr="00650EE4" w:rsidRDefault="00DA63F0" w:rsidP="00631BA6">
      <w:pPr>
        <w:pStyle w:val="TESlentelspavadinimas"/>
        <w:rPr>
          <w:noProof w:val="0"/>
        </w:rPr>
      </w:pPr>
      <w:r w:rsidRPr="00650EE4">
        <w:rPr>
          <w:lang w:eastAsia="lt-LT"/>
        </w:rPr>
        <w:drawing>
          <wp:inline distT="0" distB="0" distL="0" distR="0" wp14:anchorId="3E663B52" wp14:editId="0B9F191C">
            <wp:extent cx="6479540" cy="2288746"/>
            <wp:effectExtent l="0" t="0" r="16510" b="16510"/>
            <wp:docPr id="29" name="Chart 29">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17BA3823" w14:textId="4B2FDD98" w:rsidR="003930FA" w:rsidRPr="00650EE4" w:rsidRDefault="003930FA" w:rsidP="00890A4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885C16" w:rsidRPr="00650EE4">
        <w:rPr>
          <w:rFonts w:ascii="Times New Roman" w:eastAsia="Times New Roman" w:hAnsi="Times New Roman"/>
          <w:i/>
          <w:color w:val="000000" w:themeColor="text1"/>
          <w:sz w:val="20"/>
          <w:szCs w:val="28"/>
        </w:rPr>
        <w:t>S</w:t>
      </w:r>
      <w:r w:rsidRPr="00650EE4">
        <w:rPr>
          <w:rFonts w:ascii="Times New Roman" w:eastAsia="Times New Roman" w:hAnsi="Times New Roman"/>
          <w:i/>
          <w:color w:val="000000" w:themeColor="text1"/>
          <w:sz w:val="20"/>
          <w:szCs w:val="28"/>
        </w:rPr>
        <w:t xml:space="preserve">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1D1BE3C4" w14:textId="77777777" w:rsidR="00A038A1" w:rsidRPr="00050ED5" w:rsidRDefault="00A038A1" w:rsidP="00A038A1">
      <w:pPr>
        <w:jc w:val="both"/>
        <w:rPr>
          <w:rFonts w:ascii="Times New Roman" w:hAnsi="Times New Roman"/>
          <w:sz w:val="16"/>
          <w:szCs w:val="22"/>
        </w:rPr>
      </w:pPr>
    </w:p>
    <w:p w14:paraId="3C0F7328" w14:textId="600AEF70" w:rsidR="00E32843" w:rsidRPr="00650EE4" w:rsidRDefault="00E32843" w:rsidP="00E32843">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942D50C" w14:textId="530562A9" w:rsidR="00E32843" w:rsidRPr="00650EE4" w:rsidRDefault="00050ED5" w:rsidP="00E32843">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7A52B6">
        <w:rPr>
          <w:rFonts w:ascii="Times New Roman" w:hAnsi="Times New Roman"/>
          <w:color w:val="000000" w:themeColor="text1"/>
          <w:szCs w:val="22"/>
        </w:rPr>
        <w:t>augiau nei ¾ (77 proc.) viso p</w:t>
      </w:r>
      <w:r w:rsidR="00E32843" w:rsidRPr="00650EE4">
        <w:rPr>
          <w:rFonts w:ascii="Times New Roman" w:hAnsi="Times New Roman"/>
          <w:color w:val="000000" w:themeColor="text1"/>
          <w:szCs w:val="22"/>
        </w:rPr>
        <w:t>astatų fondo CO</w:t>
      </w:r>
      <w:r w:rsidR="00E32843" w:rsidRPr="00650EE4">
        <w:rPr>
          <w:rFonts w:ascii="Times New Roman" w:hAnsi="Times New Roman"/>
          <w:color w:val="000000" w:themeColor="text1"/>
          <w:szCs w:val="22"/>
          <w:vertAlign w:val="subscript"/>
        </w:rPr>
        <w:t>2</w:t>
      </w:r>
      <w:r w:rsidR="00E32843" w:rsidRPr="00650EE4">
        <w:rPr>
          <w:rFonts w:ascii="Times New Roman" w:hAnsi="Times New Roman"/>
          <w:color w:val="000000" w:themeColor="text1"/>
          <w:szCs w:val="22"/>
        </w:rPr>
        <w:t xml:space="preserve"> emisijų išskiria žemesnės nei C energ</w:t>
      </w:r>
      <w:r>
        <w:rPr>
          <w:rFonts w:ascii="Times New Roman" w:hAnsi="Times New Roman"/>
          <w:color w:val="000000" w:themeColor="text1"/>
          <w:szCs w:val="22"/>
        </w:rPr>
        <w:t>inio naudingumo klasės pastatai;</w:t>
      </w:r>
    </w:p>
    <w:p w14:paraId="17E0BA44" w14:textId="010B6370" w:rsidR="00B60DC6" w:rsidRDefault="00050ED5" w:rsidP="00E32843">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E32843" w:rsidRPr="00650EE4">
        <w:rPr>
          <w:rFonts w:ascii="Times New Roman" w:hAnsi="Times New Roman"/>
          <w:color w:val="000000" w:themeColor="text1"/>
          <w:szCs w:val="22"/>
        </w:rPr>
        <w:t xml:space="preserve">titinkamai, žemesnės nei C energinio naudingumo klasės gyvenamieji pastatai ir </w:t>
      </w:r>
      <w:r w:rsidR="001037E1" w:rsidRPr="00650EE4">
        <w:rPr>
          <w:rFonts w:ascii="Times New Roman" w:hAnsi="Times New Roman"/>
          <w:color w:val="000000" w:themeColor="text1"/>
          <w:szCs w:val="22"/>
        </w:rPr>
        <w:t xml:space="preserve">visi </w:t>
      </w:r>
      <w:r w:rsidR="00E32843" w:rsidRPr="00650EE4">
        <w:rPr>
          <w:rFonts w:ascii="Times New Roman" w:hAnsi="Times New Roman"/>
          <w:color w:val="000000" w:themeColor="text1"/>
          <w:szCs w:val="22"/>
        </w:rPr>
        <w:t>pastatai vartojantys iškastinį kurą vertinami kaip prioritetinis segmentas CO</w:t>
      </w:r>
      <w:r w:rsidR="00E32843" w:rsidRPr="00650EE4">
        <w:rPr>
          <w:rFonts w:ascii="Times New Roman" w:hAnsi="Times New Roman"/>
          <w:color w:val="000000" w:themeColor="text1"/>
          <w:szCs w:val="22"/>
          <w:vertAlign w:val="subscript"/>
        </w:rPr>
        <w:t>2</w:t>
      </w:r>
      <w:r w:rsidR="00E32843" w:rsidRPr="00650EE4">
        <w:rPr>
          <w:rFonts w:ascii="Times New Roman" w:hAnsi="Times New Roman"/>
          <w:color w:val="000000" w:themeColor="text1"/>
          <w:szCs w:val="22"/>
        </w:rPr>
        <w:t xml:space="preserve"> emisijų mažinimo kontekste. </w:t>
      </w:r>
    </w:p>
    <w:p w14:paraId="65DA4163" w14:textId="6A2ADB98" w:rsidR="00E32843" w:rsidRPr="00B60DC6" w:rsidRDefault="00B60DC6" w:rsidP="00B60DC6">
      <w:pPr>
        <w:spacing w:after="240"/>
        <w:rPr>
          <w:rFonts w:ascii="Times New Roman" w:eastAsia="Times New Roman" w:hAnsi="Times New Roman"/>
          <w:color w:val="000000" w:themeColor="text1"/>
          <w:szCs w:val="22"/>
        </w:rPr>
      </w:pPr>
      <w:r>
        <w:rPr>
          <w:rFonts w:ascii="Times New Roman" w:hAnsi="Times New Roman"/>
          <w:color w:val="000000" w:themeColor="text1"/>
          <w:szCs w:val="22"/>
        </w:rPr>
        <w:br w:type="page"/>
      </w:r>
    </w:p>
    <w:p w14:paraId="07B17D87" w14:textId="1BC52012" w:rsidR="00067ED3" w:rsidRPr="00650EE4" w:rsidRDefault="006B52E7" w:rsidP="00885C16">
      <w:pPr>
        <w:pStyle w:val="Antrastes2"/>
        <w:numPr>
          <w:ilvl w:val="1"/>
          <w:numId w:val="4"/>
        </w:numPr>
        <w:pBdr>
          <w:bottom w:val="single" w:sz="4" w:space="0" w:color="auto"/>
        </w:pBdr>
        <w:spacing w:before="0"/>
        <w:ind w:left="576" w:hanging="576"/>
        <w:jc w:val="both"/>
        <w:rPr>
          <w:rFonts w:ascii="Times New Roman" w:hAnsi="Times New Roman"/>
          <w:color w:val="auto"/>
          <w:sz w:val="24"/>
          <w:szCs w:val="24"/>
          <w:lang w:val="lt-LT"/>
        </w:rPr>
      </w:pPr>
      <w:bookmarkStart w:id="70" w:name="_Toc59107515"/>
      <w:r w:rsidRPr="00650EE4">
        <w:rPr>
          <w:rFonts w:ascii="Times New Roman" w:hAnsi="Times New Roman"/>
          <w:color w:val="auto"/>
          <w:sz w:val="24"/>
          <w:szCs w:val="24"/>
          <w:lang w:val="lt-LT"/>
        </w:rPr>
        <w:lastRenderedPageBreak/>
        <w:t>Specifiniai pastatų fondo segmentai</w:t>
      </w:r>
      <w:bookmarkEnd w:id="70"/>
    </w:p>
    <w:p w14:paraId="42B06F9C" w14:textId="1492662B" w:rsidR="006B52E7" w:rsidRPr="00650EE4" w:rsidRDefault="006B52E7"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1" w:name="_Toc59107516"/>
      <w:r w:rsidRPr="00650EE4">
        <w:rPr>
          <w:rFonts w:ascii="Times New Roman" w:hAnsi="Times New Roman"/>
          <w:color w:val="000000" w:themeColor="text1"/>
          <w:sz w:val="24"/>
          <w:szCs w:val="24"/>
          <w:lang w:val="lt-LT"/>
        </w:rPr>
        <w:t>Prasčiausio energinio naudingumo pastatai</w:t>
      </w:r>
      <w:bookmarkEnd w:id="71"/>
    </w:p>
    <w:p w14:paraId="2BBFF044" w14:textId="4D891EB5" w:rsidR="006B52E7" w:rsidRPr="00650EE4" w:rsidRDefault="0088289F" w:rsidP="009F3DF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Prasčiausio energinio naudingumo pastatais laikomi D arba mažesnės energinio naudingumo klasės pastatai. </w:t>
      </w:r>
      <w:r w:rsidR="00632C0B" w:rsidRPr="00650EE4">
        <w:rPr>
          <w:rFonts w:ascii="Times New Roman" w:hAnsi="Times New Roman"/>
          <w:color w:val="000000" w:themeColor="text1"/>
          <w:szCs w:val="22"/>
        </w:rPr>
        <w:t>Prasčiausio energinio naudingumo pastatai sudaro 2/3 Pastatų fondo pagal plotą (žr. lentelę žemiau).</w:t>
      </w:r>
    </w:p>
    <w:p w14:paraId="1765D2D1" w14:textId="77777777" w:rsidR="00632C0B" w:rsidRPr="00650EE4" w:rsidRDefault="00632C0B" w:rsidP="009F3DF8">
      <w:pPr>
        <w:spacing w:line="240" w:lineRule="auto"/>
        <w:jc w:val="both"/>
        <w:rPr>
          <w:rFonts w:ascii="Times New Roman" w:hAnsi="Times New Roman"/>
          <w:color w:val="000000" w:themeColor="text1"/>
          <w:szCs w:val="22"/>
        </w:rPr>
      </w:pPr>
    </w:p>
    <w:p w14:paraId="30333D20" w14:textId="5E6C95A9" w:rsidR="00632C0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2" w:name="_Toc59094208"/>
      <w:r w:rsidR="00F25C65">
        <w:t>25</w:t>
      </w:r>
      <w:r w:rsidRPr="00650EE4">
        <w:rPr>
          <w:noProof w:val="0"/>
        </w:rPr>
        <w:fldChar w:fldCharType="end"/>
      </w:r>
      <w:r w:rsidR="00632C0B" w:rsidRPr="00650EE4">
        <w:rPr>
          <w:noProof w:val="0"/>
        </w:rPr>
        <w:t xml:space="preserve"> lentelė. Pastatų fondas pagal </w:t>
      </w:r>
      <w:r w:rsidR="00D75E7D" w:rsidRPr="00650EE4">
        <w:rPr>
          <w:noProof w:val="0"/>
        </w:rPr>
        <w:t>ENK</w:t>
      </w:r>
      <w:r w:rsidR="00632C0B" w:rsidRPr="00650EE4">
        <w:rPr>
          <w:noProof w:val="0"/>
        </w:rPr>
        <w:t xml:space="preserve"> (tūkst. m</w:t>
      </w:r>
      <w:r w:rsidR="00632C0B" w:rsidRPr="00650EE4">
        <w:rPr>
          <w:noProof w:val="0"/>
          <w:vertAlign w:val="superscript"/>
        </w:rPr>
        <w:t>2</w:t>
      </w:r>
      <w:r w:rsidR="00632C0B" w:rsidRPr="00650EE4">
        <w:rPr>
          <w:noProof w:val="0"/>
        </w:rPr>
        <w:t>)</w:t>
      </w:r>
      <w:bookmarkEnd w:id="72"/>
    </w:p>
    <w:tbl>
      <w:tblPr>
        <w:tblW w:w="5000" w:type="pct"/>
        <w:tblLook w:val="04A0" w:firstRow="1" w:lastRow="0" w:firstColumn="1" w:lastColumn="0" w:noHBand="0" w:noVBand="1"/>
      </w:tblPr>
      <w:tblGrid>
        <w:gridCol w:w="2058"/>
        <w:gridCol w:w="1058"/>
        <w:gridCol w:w="1059"/>
        <w:gridCol w:w="1059"/>
        <w:gridCol w:w="1059"/>
        <w:gridCol w:w="1059"/>
        <w:gridCol w:w="1063"/>
        <w:gridCol w:w="1017"/>
        <w:gridCol w:w="988"/>
      </w:tblGrid>
      <w:tr w:rsidR="00632C0B" w:rsidRPr="00650EE4" w14:paraId="207B923B" w14:textId="77777777" w:rsidTr="00A03881">
        <w:tc>
          <w:tcPr>
            <w:tcW w:w="988"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38BCCFF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48"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E82FA51"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488" w:type="pct"/>
            <w:vMerge w:val="restart"/>
            <w:tcBorders>
              <w:top w:val="single" w:sz="4" w:space="0" w:color="auto"/>
              <w:left w:val="nil"/>
              <w:bottom w:val="single" w:sz="4" w:space="0" w:color="000000"/>
              <w:right w:val="nil"/>
            </w:tcBorders>
            <w:shd w:val="clear" w:color="000000" w:fill="FFFFFF"/>
            <w:vAlign w:val="center"/>
            <w:hideMark/>
          </w:tcPr>
          <w:p w14:paraId="41C9C91F"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7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5357FFA"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32C0B" w:rsidRPr="00650EE4" w14:paraId="7718CD22" w14:textId="77777777" w:rsidTr="00A03881">
        <w:tc>
          <w:tcPr>
            <w:tcW w:w="988" w:type="pct"/>
            <w:vMerge/>
            <w:tcBorders>
              <w:top w:val="single" w:sz="4" w:space="0" w:color="auto"/>
              <w:left w:val="single" w:sz="4" w:space="0" w:color="auto"/>
              <w:bottom w:val="single" w:sz="4" w:space="0" w:color="000000"/>
              <w:right w:val="nil"/>
            </w:tcBorders>
            <w:vAlign w:val="center"/>
            <w:hideMark/>
          </w:tcPr>
          <w:p w14:paraId="3FA5B760" w14:textId="77777777" w:rsidR="00632C0B" w:rsidRPr="00650EE4" w:rsidRDefault="00632C0B" w:rsidP="00017447">
            <w:pPr>
              <w:spacing w:line="240" w:lineRule="auto"/>
              <w:rPr>
                <w:rFonts w:ascii="Times New Roman" w:eastAsia="Times New Roman" w:hAnsi="Times New Roman"/>
                <w:b/>
                <w:bCs/>
                <w:sz w:val="20"/>
                <w:szCs w:val="20"/>
              </w:rPr>
            </w:pPr>
          </w:p>
        </w:tc>
        <w:tc>
          <w:tcPr>
            <w:tcW w:w="508" w:type="pct"/>
            <w:tcBorders>
              <w:top w:val="nil"/>
              <w:left w:val="single" w:sz="4" w:space="0" w:color="auto"/>
              <w:bottom w:val="single" w:sz="4" w:space="0" w:color="auto"/>
              <w:right w:val="nil"/>
            </w:tcBorders>
            <w:shd w:val="clear" w:color="000000" w:fill="FFFFFF"/>
            <w:vAlign w:val="center"/>
            <w:hideMark/>
          </w:tcPr>
          <w:p w14:paraId="5378C4D3"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508" w:type="pct"/>
            <w:tcBorders>
              <w:top w:val="nil"/>
              <w:left w:val="nil"/>
              <w:bottom w:val="single" w:sz="4" w:space="0" w:color="auto"/>
              <w:right w:val="nil"/>
            </w:tcBorders>
            <w:shd w:val="clear" w:color="000000" w:fill="FFFFFF"/>
            <w:vAlign w:val="center"/>
            <w:hideMark/>
          </w:tcPr>
          <w:p w14:paraId="5B23C285"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508" w:type="pct"/>
            <w:tcBorders>
              <w:top w:val="nil"/>
              <w:left w:val="nil"/>
              <w:bottom w:val="single" w:sz="4" w:space="0" w:color="auto"/>
              <w:right w:val="nil"/>
            </w:tcBorders>
            <w:shd w:val="clear" w:color="000000" w:fill="FFFFFF"/>
            <w:vAlign w:val="center"/>
            <w:hideMark/>
          </w:tcPr>
          <w:p w14:paraId="05EA496D"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08" w:type="pct"/>
            <w:tcBorders>
              <w:top w:val="nil"/>
              <w:left w:val="nil"/>
              <w:bottom w:val="single" w:sz="4" w:space="0" w:color="auto"/>
              <w:right w:val="nil"/>
            </w:tcBorders>
            <w:shd w:val="clear" w:color="000000" w:fill="FFFFFF"/>
            <w:vAlign w:val="center"/>
            <w:hideMark/>
          </w:tcPr>
          <w:p w14:paraId="080F9DAA"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08" w:type="pct"/>
            <w:tcBorders>
              <w:top w:val="nil"/>
              <w:left w:val="nil"/>
              <w:bottom w:val="single" w:sz="4" w:space="0" w:color="auto"/>
              <w:right w:val="nil"/>
            </w:tcBorders>
            <w:shd w:val="clear" w:color="000000" w:fill="FFFFFF"/>
            <w:vAlign w:val="center"/>
            <w:hideMark/>
          </w:tcPr>
          <w:p w14:paraId="5A2025AC"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510" w:type="pct"/>
            <w:tcBorders>
              <w:top w:val="nil"/>
              <w:left w:val="nil"/>
              <w:bottom w:val="single" w:sz="4" w:space="0" w:color="auto"/>
              <w:right w:val="single" w:sz="4" w:space="0" w:color="auto"/>
            </w:tcBorders>
            <w:shd w:val="clear" w:color="000000" w:fill="FFFFFF"/>
            <w:vAlign w:val="center"/>
            <w:hideMark/>
          </w:tcPr>
          <w:p w14:paraId="1E522A0D"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vMerge/>
            <w:tcBorders>
              <w:top w:val="single" w:sz="4" w:space="0" w:color="auto"/>
              <w:left w:val="nil"/>
              <w:bottom w:val="single" w:sz="4" w:space="0" w:color="000000"/>
              <w:right w:val="nil"/>
            </w:tcBorders>
            <w:vAlign w:val="center"/>
            <w:hideMark/>
          </w:tcPr>
          <w:p w14:paraId="51240425" w14:textId="77777777" w:rsidR="00632C0B" w:rsidRPr="00650EE4" w:rsidRDefault="00632C0B" w:rsidP="00017447">
            <w:pPr>
              <w:spacing w:line="240" w:lineRule="auto"/>
              <w:rPr>
                <w:rFonts w:ascii="Times New Roman" w:eastAsia="Times New Roman" w:hAnsi="Times New Roman"/>
                <w:b/>
                <w:bCs/>
                <w:sz w:val="20"/>
                <w:szCs w:val="20"/>
              </w:rPr>
            </w:pPr>
          </w:p>
        </w:tc>
        <w:tc>
          <w:tcPr>
            <w:tcW w:w="476" w:type="pct"/>
            <w:vMerge/>
            <w:tcBorders>
              <w:top w:val="single" w:sz="4" w:space="0" w:color="auto"/>
              <w:left w:val="single" w:sz="4" w:space="0" w:color="auto"/>
              <w:bottom w:val="single" w:sz="4" w:space="0" w:color="000000"/>
              <w:right w:val="single" w:sz="4" w:space="0" w:color="auto"/>
            </w:tcBorders>
            <w:vAlign w:val="center"/>
            <w:hideMark/>
          </w:tcPr>
          <w:p w14:paraId="6DBFEDF5" w14:textId="77777777" w:rsidR="00632C0B" w:rsidRPr="00650EE4" w:rsidRDefault="00632C0B" w:rsidP="00017447">
            <w:pPr>
              <w:spacing w:line="240" w:lineRule="auto"/>
              <w:rPr>
                <w:rFonts w:ascii="Times New Roman" w:eastAsia="Times New Roman" w:hAnsi="Times New Roman"/>
                <w:b/>
                <w:bCs/>
                <w:sz w:val="20"/>
                <w:szCs w:val="20"/>
              </w:rPr>
            </w:pPr>
          </w:p>
        </w:tc>
      </w:tr>
      <w:tr w:rsidR="00632C0B" w:rsidRPr="00650EE4" w14:paraId="272C7FFB" w14:textId="77777777" w:rsidTr="00A03881">
        <w:tc>
          <w:tcPr>
            <w:tcW w:w="988" w:type="pct"/>
            <w:tcBorders>
              <w:top w:val="nil"/>
              <w:left w:val="single" w:sz="4" w:space="0" w:color="auto"/>
              <w:bottom w:val="single" w:sz="4" w:space="0" w:color="auto"/>
              <w:right w:val="nil"/>
            </w:tcBorders>
            <w:shd w:val="clear" w:color="000000" w:fill="F2F2F2"/>
            <w:noWrap/>
            <w:vAlign w:val="center"/>
            <w:hideMark/>
          </w:tcPr>
          <w:p w14:paraId="0D827862"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08" w:type="pct"/>
            <w:tcBorders>
              <w:top w:val="nil"/>
              <w:left w:val="single" w:sz="4" w:space="0" w:color="auto"/>
              <w:bottom w:val="single" w:sz="4" w:space="0" w:color="auto"/>
              <w:right w:val="nil"/>
            </w:tcBorders>
            <w:shd w:val="clear" w:color="000000" w:fill="F2F2F2"/>
            <w:noWrap/>
            <w:vAlign w:val="center"/>
            <w:hideMark/>
          </w:tcPr>
          <w:p w14:paraId="6150F1C9"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79.926</w:t>
            </w:r>
          </w:p>
        </w:tc>
        <w:tc>
          <w:tcPr>
            <w:tcW w:w="508" w:type="pct"/>
            <w:tcBorders>
              <w:top w:val="nil"/>
              <w:left w:val="nil"/>
              <w:bottom w:val="single" w:sz="4" w:space="0" w:color="auto"/>
              <w:right w:val="nil"/>
            </w:tcBorders>
            <w:shd w:val="clear" w:color="000000" w:fill="F2F2F2"/>
            <w:noWrap/>
            <w:vAlign w:val="center"/>
            <w:hideMark/>
          </w:tcPr>
          <w:p w14:paraId="79588FF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31.571</w:t>
            </w:r>
          </w:p>
        </w:tc>
        <w:tc>
          <w:tcPr>
            <w:tcW w:w="508" w:type="pct"/>
            <w:tcBorders>
              <w:top w:val="nil"/>
              <w:left w:val="nil"/>
              <w:bottom w:val="single" w:sz="4" w:space="0" w:color="auto"/>
              <w:right w:val="nil"/>
            </w:tcBorders>
            <w:shd w:val="clear" w:color="000000" w:fill="F2F2F2"/>
            <w:noWrap/>
            <w:vAlign w:val="center"/>
            <w:hideMark/>
          </w:tcPr>
          <w:p w14:paraId="55982922"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15.501</w:t>
            </w:r>
          </w:p>
        </w:tc>
        <w:tc>
          <w:tcPr>
            <w:tcW w:w="508" w:type="pct"/>
            <w:tcBorders>
              <w:top w:val="nil"/>
              <w:left w:val="nil"/>
              <w:bottom w:val="single" w:sz="4" w:space="0" w:color="auto"/>
              <w:right w:val="nil"/>
            </w:tcBorders>
            <w:shd w:val="clear" w:color="000000" w:fill="F2F2F2"/>
            <w:noWrap/>
            <w:vAlign w:val="center"/>
            <w:hideMark/>
          </w:tcPr>
          <w:p w14:paraId="496EE9E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1.698</w:t>
            </w:r>
          </w:p>
        </w:tc>
        <w:tc>
          <w:tcPr>
            <w:tcW w:w="508" w:type="pct"/>
            <w:tcBorders>
              <w:top w:val="nil"/>
              <w:left w:val="nil"/>
              <w:bottom w:val="single" w:sz="4" w:space="0" w:color="auto"/>
              <w:right w:val="nil"/>
            </w:tcBorders>
            <w:shd w:val="clear" w:color="000000" w:fill="F2F2F2"/>
            <w:noWrap/>
            <w:vAlign w:val="center"/>
            <w:hideMark/>
          </w:tcPr>
          <w:p w14:paraId="3F10E42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283</w:t>
            </w:r>
          </w:p>
        </w:tc>
        <w:tc>
          <w:tcPr>
            <w:tcW w:w="510" w:type="pct"/>
            <w:tcBorders>
              <w:top w:val="nil"/>
              <w:left w:val="nil"/>
              <w:bottom w:val="single" w:sz="4" w:space="0" w:color="auto"/>
              <w:right w:val="single" w:sz="4" w:space="0" w:color="auto"/>
            </w:tcBorders>
            <w:shd w:val="clear" w:color="000000" w:fill="F2F2F2"/>
            <w:noWrap/>
            <w:vAlign w:val="center"/>
            <w:hideMark/>
          </w:tcPr>
          <w:p w14:paraId="060D180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24</w:t>
            </w:r>
          </w:p>
        </w:tc>
        <w:tc>
          <w:tcPr>
            <w:tcW w:w="488" w:type="pct"/>
            <w:tcBorders>
              <w:top w:val="nil"/>
              <w:left w:val="nil"/>
              <w:bottom w:val="single" w:sz="4" w:space="0" w:color="auto"/>
              <w:right w:val="nil"/>
            </w:tcBorders>
            <w:shd w:val="clear" w:color="000000" w:fill="F2F2F2"/>
            <w:noWrap/>
            <w:vAlign w:val="center"/>
            <w:hideMark/>
          </w:tcPr>
          <w:p w14:paraId="3F5F0A4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129.004</w:t>
            </w:r>
          </w:p>
        </w:tc>
        <w:tc>
          <w:tcPr>
            <w:tcW w:w="476" w:type="pct"/>
            <w:tcBorders>
              <w:top w:val="nil"/>
              <w:left w:val="single" w:sz="4" w:space="0" w:color="auto"/>
              <w:bottom w:val="single" w:sz="4" w:space="0" w:color="auto"/>
              <w:right w:val="single" w:sz="4" w:space="0" w:color="auto"/>
            </w:tcBorders>
            <w:shd w:val="clear" w:color="000000" w:fill="F2F2F2"/>
            <w:noWrap/>
            <w:vAlign w:val="center"/>
            <w:hideMark/>
          </w:tcPr>
          <w:p w14:paraId="3C1906F4"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64%</w:t>
            </w:r>
          </w:p>
        </w:tc>
      </w:tr>
      <w:tr w:rsidR="00632C0B" w:rsidRPr="00650EE4" w14:paraId="3C40FEDE" w14:textId="77777777" w:rsidTr="00A03881">
        <w:tc>
          <w:tcPr>
            <w:tcW w:w="988" w:type="pct"/>
            <w:tcBorders>
              <w:top w:val="nil"/>
              <w:left w:val="single" w:sz="4" w:space="0" w:color="auto"/>
              <w:bottom w:val="nil"/>
              <w:right w:val="nil"/>
            </w:tcBorders>
            <w:shd w:val="clear" w:color="000000" w:fill="FFFFFF"/>
            <w:noWrap/>
            <w:vAlign w:val="center"/>
            <w:hideMark/>
          </w:tcPr>
          <w:p w14:paraId="713682A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08" w:type="pct"/>
            <w:tcBorders>
              <w:top w:val="nil"/>
              <w:left w:val="single" w:sz="4" w:space="0" w:color="auto"/>
              <w:bottom w:val="nil"/>
              <w:right w:val="nil"/>
            </w:tcBorders>
            <w:shd w:val="clear" w:color="000000" w:fill="FFFFFF"/>
            <w:noWrap/>
            <w:vAlign w:val="center"/>
            <w:hideMark/>
          </w:tcPr>
          <w:p w14:paraId="533ED23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37.687</w:t>
            </w:r>
          </w:p>
        </w:tc>
        <w:tc>
          <w:tcPr>
            <w:tcW w:w="508" w:type="pct"/>
            <w:tcBorders>
              <w:top w:val="nil"/>
              <w:left w:val="nil"/>
              <w:bottom w:val="nil"/>
              <w:right w:val="nil"/>
            </w:tcBorders>
            <w:shd w:val="clear" w:color="000000" w:fill="FFFFFF"/>
            <w:noWrap/>
            <w:vAlign w:val="center"/>
            <w:hideMark/>
          </w:tcPr>
          <w:p w14:paraId="2C12DBD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23.728</w:t>
            </w:r>
          </w:p>
        </w:tc>
        <w:tc>
          <w:tcPr>
            <w:tcW w:w="508" w:type="pct"/>
            <w:tcBorders>
              <w:top w:val="nil"/>
              <w:left w:val="nil"/>
              <w:bottom w:val="nil"/>
              <w:right w:val="nil"/>
            </w:tcBorders>
            <w:shd w:val="clear" w:color="000000" w:fill="FFFFFF"/>
            <w:noWrap/>
            <w:vAlign w:val="center"/>
            <w:hideMark/>
          </w:tcPr>
          <w:p w14:paraId="6A88EE3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6.866</w:t>
            </w:r>
          </w:p>
        </w:tc>
        <w:tc>
          <w:tcPr>
            <w:tcW w:w="508" w:type="pct"/>
            <w:tcBorders>
              <w:top w:val="nil"/>
              <w:left w:val="nil"/>
              <w:bottom w:val="nil"/>
              <w:right w:val="nil"/>
            </w:tcBorders>
            <w:shd w:val="clear" w:color="000000" w:fill="FFFFFF"/>
            <w:noWrap/>
            <w:vAlign w:val="center"/>
            <w:hideMark/>
          </w:tcPr>
          <w:p w14:paraId="2226D04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1.141</w:t>
            </w:r>
          </w:p>
        </w:tc>
        <w:tc>
          <w:tcPr>
            <w:tcW w:w="508" w:type="pct"/>
            <w:tcBorders>
              <w:top w:val="nil"/>
              <w:left w:val="nil"/>
              <w:bottom w:val="nil"/>
              <w:right w:val="nil"/>
            </w:tcBorders>
            <w:shd w:val="clear" w:color="000000" w:fill="FFFFFF"/>
            <w:noWrap/>
            <w:vAlign w:val="center"/>
            <w:hideMark/>
          </w:tcPr>
          <w:p w14:paraId="46100A2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115</w:t>
            </w:r>
          </w:p>
        </w:tc>
        <w:tc>
          <w:tcPr>
            <w:tcW w:w="510" w:type="pct"/>
            <w:tcBorders>
              <w:top w:val="nil"/>
              <w:left w:val="nil"/>
              <w:bottom w:val="nil"/>
              <w:right w:val="single" w:sz="4" w:space="0" w:color="auto"/>
            </w:tcBorders>
            <w:shd w:val="clear" w:color="000000" w:fill="FFFFFF"/>
            <w:noWrap/>
            <w:vAlign w:val="center"/>
            <w:hideMark/>
          </w:tcPr>
          <w:p w14:paraId="7062716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0BA46FB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69.540</w:t>
            </w:r>
          </w:p>
        </w:tc>
        <w:tc>
          <w:tcPr>
            <w:tcW w:w="476" w:type="pct"/>
            <w:tcBorders>
              <w:top w:val="nil"/>
              <w:left w:val="single" w:sz="4" w:space="0" w:color="auto"/>
              <w:bottom w:val="nil"/>
              <w:right w:val="single" w:sz="4" w:space="0" w:color="auto"/>
            </w:tcBorders>
            <w:shd w:val="clear" w:color="000000" w:fill="FFFFFF"/>
            <w:noWrap/>
            <w:vAlign w:val="center"/>
            <w:hideMark/>
          </w:tcPr>
          <w:p w14:paraId="3E5E21B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32C0B" w:rsidRPr="00650EE4" w14:paraId="5EE765BB" w14:textId="77777777" w:rsidTr="00A03881">
        <w:tc>
          <w:tcPr>
            <w:tcW w:w="988" w:type="pct"/>
            <w:tcBorders>
              <w:top w:val="nil"/>
              <w:left w:val="single" w:sz="4" w:space="0" w:color="auto"/>
              <w:bottom w:val="nil"/>
              <w:right w:val="nil"/>
            </w:tcBorders>
            <w:shd w:val="clear" w:color="000000" w:fill="FFFFFF"/>
            <w:noWrap/>
            <w:vAlign w:val="center"/>
            <w:hideMark/>
          </w:tcPr>
          <w:p w14:paraId="247E4EC3"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08" w:type="pct"/>
            <w:tcBorders>
              <w:top w:val="nil"/>
              <w:left w:val="single" w:sz="4" w:space="0" w:color="auto"/>
              <w:bottom w:val="nil"/>
              <w:right w:val="nil"/>
            </w:tcBorders>
            <w:shd w:val="clear" w:color="000000" w:fill="FFFFFF"/>
            <w:noWrap/>
            <w:vAlign w:val="center"/>
            <w:hideMark/>
          </w:tcPr>
          <w:p w14:paraId="1CA0469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42.239</w:t>
            </w:r>
          </w:p>
        </w:tc>
        <w:tc>
          <w:tcPr>
            <w:tcW w:w="508" w:type="pct"/>
            <w:tcBorders>
              <w:top w:val="nil"/>
              <w:left w:val="nil"/>
              <w:bottom w:val="nil"/>
              <w:right w:val="nil"/>
            </w:tcBorders>
            <w:shd w:val="clear" w:color="000000" w:fill="FFFFFF"/>
            <w:noWrap/>
            <w:vAlign w:val="center"/>
            <w:hideMark/>
          </w:tcPr>
          <w:p w14:paraId="4BC0C7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7.843</w:t>
            </w:r>
          </w:p>
        </w:tc>
        <w:tc>
          <w:tcPr>
            <w:tcW w:w="508" w:type="pct"/>
            <w:tcBorders>
              <w:top w:val="nil"/>
              <w:left w:val="nil"/>
              <w:bottom w:val="nil"/>
              <w:right w:val="nil"/>
            </w:tcBorders>
            <w:shd w:val="clear" w:color="000000" w:fill="FFFFFF"/>
            <w:noWrap/>
            <w:vAlign w:val="center"/>
            <w:hideMark/>
          </w:tcPr>
          <w:p w14:paraId="3DBAFF3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8.634</w:t>
            </w:r>
          </w:p>
        </w:tc>
        <w:tc>
          <w:tcPr>
            <w:tcW w:w="508" w:type="pct"/>
            <w:tcBorders>
              <w:top w:val="nil"/>
              <w:left w:val="nil"/>
              <w:bottom w:val="nil"/>
              <w:right w:val="nil"/>
            </w:tcBorders>
            <w:shd w:val="clear" w:color="000000" w:fill="FFFFFF"/>
            <w:noWrap/>
            <w:vAlign w:val="center"/>
            <w:hideMark/>
          </w:tcPr>
          <w:p w14:paraId="49DEAAB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557</w:t>
            </w:r>
          </w:p>
        </w:tc>
        <w:tc>
          <w:tcPr>
            <w:tcW w:w="508" w:type="pct"/>
            <w:tcBorders>
              <w:top w:val="nil"/>
              <w:left w:val="nil"/>
              <w:bottom w:val="nil"/>
              <w:right w:val="nil"/>
            </w:tcBorders>
            <w:shd w:val="clear" w:color="000000" w:fill="FFFFFF"/>
            <w:noWrap/>
            <w:vAlign w:val="center"/>
            <w:hideMark/>
          </w:tcPr>
          <w:p w14:paraId="7E48FDD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168</w:t>
            </w:r>
          </w:p>
        </w:tc>
        <w:tc>
          <w:tcPr>
            <w:tcW w:w="510" w:type="pct"/>
            <w:tcBorders>
              <w:top w:val="nil"/>
              <w:left w:val="nil"/>
              <w:bottom w:val="nil"/>
              <w:right w:val="single" w:sz="4" w:space="0" w:color="auto"/>
            </w:tcBorders>
            <w:shd w:val="clear" w:color="000000" w:fill="FFFFFF"/>
            <w:noWrap/>
            <w:vAlign w:val="center"/>
            <w:hideMark/>
          </w:tcPr>
          <w:p w14:paraId="513FBBA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488" w:type="pct"/>
            <w:tcBorders>
              <w:top w:val="nil"/>
              <w:left w:val="nil"/>
              <w:bottom w:val="nil"/>
              <w:right w:val="nil"/>
            </w:tcBorders>
            <w:shd w:val="clear" w:color="000000" w:fill="FFFFFF"/>
            <w:noWrap/>
            <w:vAlign w:val="center"/>
            <w:hideMark/>
          </w:tcPr>
          <w:p w14:paraId="150F1B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59.464</w:t>
            </w:r>
          </w:p>
        </w:tc>
        <w:tc>
          <w:tcPr>
            <w:tcW w:w="476" w:type="pct"/>
            <w:tcBorders>
              <w:top w:val="nil"/>
              <w:left w:val="single" w:sz="4" w:space="0" w:color="auto"/>
              <w:bottom w:val="nil"/>
              <w:right w:val="single" w:sz="4" w:space="0" w:color="auto"/>
            </w:tcBorders>
            <w:shd w:val="clear" w:color="000000" w:fill="FFFFFF"/>
            <w:noWrap/>
            <w:vAlign w:val="center"/>
            <w:hideMark/>
          </w:tcPr>
          <w:p w14:paraId="7F8CFD8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32C0B" w:rsidRPr="00650EE4" w14:paraId="38706143" w14:textId="77777777" w:rsidTr="00A03881">
        <w:tc>
          <w:tcPr>
            <w:tcW w:w="988"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E36A59A"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08" w:type="pct"/>
            <w:tcBorders>
              <w:top w:val="single" w:sz="4" w:space="0" w:color="auto"/>
              <w:left w:val="nil"/>
              <w:bottom w:val="single" w:sz="4" w:space="0" w:color="auto"/>
              <w:right w:val="nil"/>
            </w:tcBorders>
            <w:shd w:val="clear" w:color="000000" w:fill="F2F2F2"/>
            <w:noWrap/>
            <w:vAlign w:val="center"/>
            <w:hideMark/>
          </w:tcPr>
          <w:p w14:paraId="417BE9A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52.809</w:t>
            </w:r>
          </w:p>
        </w:tc>
        <w:tc>
          <w:tcPr>
            <w:tcW w:w="508" w:type="pct"/>
            <w:tcBorders>
              <w:top w:val="single" w:sz="4" w:space="0" w:color="auto"/>
              <w:left w:val="nil"/>
              <w:bottom w:val="single" w:sz="4" w:space="0" w:color="auto"/>
              <w:right w:val="nil"/>
            </w:tcBorders>
            <w:shd w:val="clear" w:color="000000" w:fill="F2F2F2"/>
            <w:noWrap/>
            <w:vAlign w:val="center"/>
            <w:hideMark/>
          </w:tcPr>
          <w:p w14:paraId="49BF63F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7.895</w:t>
            </w:r>
          </w:p>
        </w:tc>
        <w:tc>
          <w:tcPr>
            <w:tcW w:w="508" w:type="pct"/>
            <w:tcBorders>
              <w:top w:val="single" w:sz="4" w:space="0" w:color="auto"/>
              <w:left w:val="nil"/>
              <w:bottom w:val="single" w:sz="4" w:space="0" w:color="auto"/>
              <w:right w:val="nil"/>
            </w:tcBorders>
            <w:shd w:val="clear" w:color="000000" w:fill="F2F2F2"/>
            <w:noWrap/>
            <w:vAlign w:val="center"/>
            <w:hideMark/>
          </w:tcPr>
          <w:p w14:paraId="4E69D7D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10.024</w:t>
            </w:r>
          </w:p>
        </w:tc>
        <w:tc>
          <w:tcPr>
            <w:tcW w:w="508" w:type="pct"/>
            <w:tcBorders>
              <w:top w:val="single" w:sz="4" w:space="0" w:color="auto"/>
              <w:left w:val="nil"/>
              <w:bottom w:val="single" w:sz="4" w:space="0" w:color="auto"/>
              <w:right w:val="nil"/>
            </w:tcBorders>
            <w:shd w:val="clear" w:color="000000" w:fill="F2F2F2"/>
            <w:noWrap/>
            <w:vAlign w:val="center"/>
            <w:hideMark/>
          </w:tcPr>
          <w:p w14:paraId="4D8A0AE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1.345</w:t>
            </w:r>
          </w:p>
        </w:tc>
        <w:tc>
          <w:tcPr>
            <w:tcW w:w="508" w:type="pct"/>
            <w:tcBorders>
              <w:top w:val="single" w:sz="4" w:space="0" w:color="auto"/>
              <w:left w:val="nil"/>
              <w:bottom w:val="single" w:sz="4" w:space="0" w:color="auto"/>
              <w:right w:val="nil"/>
            </w:tcBorders>
            <w:shd w:val="clear" w:color="000000" w:fill="F2F2F2"/>
            <w:noWrap/>
            <w:vAlign w:val="center"/>
            <w:hideMark/>
          </w:tcPr>
          <w:p w14:paraId="43D20C4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501</w:t>
            </w:r>
          </w:p>
        </w:tc>
        <w:tc>
          <w:tcPr>
            <w:tcW w:w="510" w:type="pct"/>
            <w:tcBorders>
              <w:top w:val="single" w:sz="4" w:space="0" w:color="auto"/>
              <w:left w:val="nil"/>
              <w:bottom w:val="single" w:sz="4" w:space="0" w:color="auto"/>
              <w:right w:val="single" w:sz="4" w:space="0" w:color="auto"/>
            </w:tcBorders>
            <w:shd w:val="clear" w:color="000000" w:fill="F2F2F2"/>
            <w:noWrap/>
            <w:vAlign w:val="center"/>
            <w:hideMark/>
          </w:tcPr>
          <w:p w14:paraId="6C2EB68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96</w:t>
            </w:r>
          </w:p>
        </w:tc>
        <w:tc>
          <w:tcPr>
            <w:tcW w:w="488" w:type="pct"/>
            <w:tcBorders>
              <w:top w:val="single" w:sz="4" w:space="0" w:color="auto"/>
              <w:left w:val="nil"/>
              <w:bottom w:val="single" w:sz="4" w:space="0" w:color="auto"/>
              <w:right w:val="nil"/>
            </w:tcBorders>
            <w:shd w:val="clear" w:color="000000" w:fill="F2F2F2"/>
            <w:noWrap/>
            <w:vAlign w:val="center"/>
            <w:hideMark/>
          </w:tcPr>
          <w:p w14:paraId="571CF04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72.670</w:t>
            </w:r>
          </w:p>
        </w:tc>
        <w:tc>
          <w:tcPr>
            <w:tcW w:w="47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0C3A6CE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36%</w:t>
            </w:r>
          </w:p>
        </w:tc>
      </w:tr>
      <w:tr w:rsidR="00632C0B" w:rsidRPr="00650EE4" w14:paraId="4D397000" w14:textId="77777777" w:rsidTr="00A03881">
        <w:tc>
          <w:tcPr>
            <w:tcW w:w="988" w:type="pct"/>
            <w:tcBorders>
              <w:top w:val="nil"/>
              <w:left w:val="single" w:sz="4" w:space="0" w:color="auto"/>
              <w:bottom w:val="nil"/>
              <w:right w:val="nil"/>
            </w:tcBorders>
            <w:shd w:val="clear" w:color="000000" w:fill="FFFFFF"/>
            <w:noWrap/>
            <w:vAlign w:val="center"/>
            <w:hideMark/>
          </w:tcPr>
          <w:p w14:paraId="4A50198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08" w:type="pct"/>
            <w:tcBorders>
              <w:top w:val="nil"/>
              <w:left w:val="single" w:sz="4" w:space="0" w:color="auto"/>
              <w:bottom w:val="nil"/>
              <w:right w:val="nil"/>
            </w:tcBorders>
            <w:shd w:val="clear" w:color="000000" w:fill="FFFFFF"/>
            <w:noWrap/>
            <w:vAlign w:val="center"/>
            <w:hideMark/>
          </w:tcPr>
          <w:p w14:paraId="7DF0809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29.135</w:t>
            </w:r>
          </w:p>
        </w:tc>
        <w:tc>
          <w:tcPr>
            <w:tcW w:w="508" w:type="pct"/>
            <w:tcBorders>
              <w:top w:val="nil"/>
              <w:left w:val="nil"/>
              <w:bottom w:val="nil"/>
              <w:right w:val="nil"/>
            </w:tcBorders>
            <w:shd w:val="clear" w:color="000000" w:fill="FFFFFF"/>
            <w:noWrap/>
            <w:vAlign w:val="center"/>
            <w:hideMark/>
          </w:tcPr>
          <w:p w14:paraId="0E815F2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1.962</w:t>
            </w:r>
          </w:p>
        </w:tc>
        <w:tc>
          <w:tcPr>
            <w:tcW w:w="508" w:type="pct"/>
            <w:tcBorders>
              <w:top w:val="nil"/>
              <w:left w:val="nil"/>
              <w:bottom w:val="nil"/>
              <w:right w:val="nil"/>
            </w:tcBorders>
            <w:shd w:val="clear" w:color="000000" w:fill="FFFFFF"/>
            <w:noWrap/>
            <w:vAlign w:val="center"/>
            <w:hideMark/>
          </w:tcPr>
          <w:p w14:paraId="142BDCE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3.534</w:t>
            </w:r>
          </w:p>
        </w:tc>
        <w:tc>
          <w:tcPr>
            <w:tcW w:w="508" w:type="pct"/>
            <w:tcBorders>
              <w:top w:val="nil"/>
              <w:left w:val="nil"/>
              <w:bottom w:val="nil"/>
              <w:right w:val="nil"/>
            </w:tcBorders>
            <w:shd w:val="clear" w:color="000000" w:fill="FFFFFF"/>
            <w:noWrap/>
            <w:vAlign w:val="center"/>
            <w:hideMark/>
          </w:tcPr>
          <w:p w14:paraId="71C5F77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574</w:t>
            </w:r>
          </w:p>
        </w:tc>
        <w:tc>
          <w:tcPr>
            <w:tcW w:w="508" w:type="pct"/>
            <w:tcBorders>
              <w:top w:val="nil"/>
              <w:left w:val="nil"/>
              <w:bottom w:val="nil"/>
              <w:right w:val="nil"/>
            </w:tcBorders>
            <w:shd w:val="clear" w:color="000000" w:fill="FFFFFF"/>
            <w:noWrap/>
            <w:vAlign w:val="center"/>
            <w:hideMark/>
          </w:tcPr>
          <w:p w14:paraId="52B4360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192</w:t>
            </w:r>
          </w:p>
        </w:tc>
        <w:tc>
          <w:tcPr>
            <w:tcW w:w="510" w:type="pct"/>
            <w:tcBorders>
              <w:top w:val="nil"/>
              <w:left w:val="nil"/>
              <w:bottom w:val="nil"/>
              <w:right w:val="single" w:sz="4" w:space="0" w:color="auto"/>
            </w:tcBorders>
            <w:shd w:val="clear" w:color="000000" w:fill="FFFFFF"/>
            <w:noWrap/>
            <w:vAlign w:val="center"/>
            <w:hideMark/>
          </w:tcPr>
          <w:p w14:paraId="6689664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w:t>
            </w:r>
          </w:p>
        </w:tc>
        <w:tc>
          <w:tcPr>
            <w:tcW w:w="488" w:type="pct"/>
            <w:tcBorders>
              <w:top w:val="nil"/>
              <w:left w:val="nil"/>
              <w:bottom w:val="nil"/>
              <w:right w:val="nil"/>
            </w:tcBorders>
            <w:shd w:val="clear" w:color="000000" w:fill="FFFFFF"/>
            <w:noWrap/>
            <w:vAlign w:val="center"/>
            <w:hideMark/>
          </w:tcPr>
          <w:p w14:paraId="4024E943"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35.490</w:t>
            </w:r>
          </w:p>
        </w:tc>
        <w:tc>
          <w:tcPr>
            <w:tcW w:w="476" w:type="pct"/>
            <w:tcBorders>
              <w:top w:val="nil"/>
              <w:left w:val="single" w:sz="4" w:space="0" w:color="auto"/>
              <w:bottom w:val="nil"/>
              <w:right w:val="single" w:sz="4" w:space="0" w:color="auto"/>
            </w:tcBorders>
            <w:shd w:val="clear" w:color="000000" w:fill="FFFFFF"/>
            <w:noWrap/>
            <w:vAlign w:val="center"/>
            <w:hideMark/>
          </w:tcPr>
          <w:p w14:paraId="63158FC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32C0B" w:rsidRPr="00650EE4" w14:paraId="22502B6F" w14:textId="77777777" w:rsidTr="00A03881">
        <w:tc>
          <w:tcPr>
            <w:tcW w:w="988" w:type="pct"/>
            <w:tcBorders>
              <w:top w:val="nil"/>
              <w:left w:val="single" w:sz="4" w:space="0" w:color="auto"/>
              <w:bottom w:val="nil"/>
              <w:right w:val="nil"/>
            </w:tcBorders>
            <w:shd w:val="clear" w:color="000000" w:fill="FFFFFF"/>
            <w:noWrap/>
            <w:vAlign w:val="center"/>
            <w:hideMark/>
          </w:tcPr>
          <w:p w14:paraId="2F8A9E5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08" w:type="pct"/>
            <w:tcBorders>
              <w:top w:val="nil"/>
              <w:left w:val="single" w:sz="4" w:space="0" w:color="auto"/>
              <w:bottom w:val="nil"/>
              <w:right w:val="nil"/>
            </w:tcBorders>
            <w:shd w:val="clear" w:color="000000" w:fill="FFFFFF"/>
            <w:noWrap/>
            <w:vAlign w:val="center"/>
            <w:hideMark/>
          </w:tcPr>
          <w:p w14:paraId="73EA6B5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7.438</w:t>
            </w:r>
          </w:p>
        </w:tc>
        <w:tc>
          <w:tcPr>
            <w:tcW w:w="508" w:type="pct"/>
            <w:tcBorders>
              <w:top w:val="nil"/>
              <w:left w:val="nil"/>
              <w:bottom w:val="nil"/>
              <w:right w:val="nil"/>
            </w:tcBorders>
            <w:shd w:val="clear" w:color="000000" w:fill="FFFFFF"/>
            <w:noWrap/>
            <w:vAlign w:val="center"/>
            <w:hideMark/>
          </w:tcPr>
          <w:p w14:paraId="0324D7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1.167</w:t>
            </w:r>
          </w:p>
        </w:tc>
        <w:tc>
          <w:tcPr>
            <w:tcW w:w="508" w:type="pct"/>
            <w:tcBorders>
              <w:top w:val="nil"/>
              <w:left w:val="nil"/>
              <w:bottom w:val="nil"/>
              <w:right w:val="nil"/>
            </w:tcBorders>
            <w:shd w:val="clear" w:color="000000" w:fill="FFFFFF"/>
            <w:noWrap/>
            <w:vAlign w:val="center"/>
            <w:hideMark/>
          </w:tcPr>
          <w:p w14:paraId="3774BC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900</w:t>
            </w:r>
          </w:p>
        </w:tc>
        <w:tc>
          <w:tcPr>
            <w:tcW w:w="508" w:type="pct"/>
            <w:tcBorders>
              <w:top w:val="nil"/>
              <w:left w:val="nil"/>
              <w:bottom w:val="nil"/>
              <w:right w:val="nil"/>
            </w:tcBorders>
            <w:shd w:val="clear" w:color="000000" w:fill="FFFFFF"/>
            <w:noWrap/>
            <w:vAlign w:val="center"/>
            <w:hideMark/>
          </w:tcPr>
          <w:p w14:paraId="146DBB3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482</w:t>
            </w:r>
          </w:p>
        </w:tc>
        <w:tc>
          <w:tcPr>
            <w:tcW w:w="508" w:type="pct"/>
            <w:tcBorders>
              <w:top w:val="nil"/>
              <w:left w:val="nil"/>
              <w:bottom w:val="nil"/>
              <w:right w:val="nil"/>
            </w:tcBorders>
            <w:shd w:val="clear" w:color="000000" w:fill="FFFFFF"/>
            <w:noWrap/>
            <w:vAlign w:val="center"/>
            <w:hideMark/>
          </w:tcPr>
          <w:p w14:paraId="50B392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110</w:t>
            </w:r>
          </w:p>
        </w:tc>
        <w:tc>
          <w:tcPr>
            <w:tcW w:w="510" w:type="pct"/>
            <w:tcBorders>
              <w:top w:val="nil"/>
              <w:left w:val="nil"/>
              <w:bottom w:val="nil"/>
              <w:right w:val="single" w:sz="4" w:space="0" w:color="auto"/>
            </w:tcBorders>
            <w:shd w:val="clear" w:color="000000" w:fill="FFFFFF"/>
            <w:noWrap/>
            <w:vAlign w:val="center"/>
            <w:hideMark/>
          </w:tcPr>
          <w:p w14:paraId="1400A11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772FBDC6"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10.097</w:t>
            </w:r>
          </w:p>
        </w:tc>
        <w:tc>
          <w:tcPr>
            <w:tcW w:w="476" w:type="pct"/>
            <w:tcBorders>
              <w:top w:val="nil"/>
              <w:left w:val="single" w:sz="4" w:space="0" w:color="auto"/>
              <w:bottom w:val="nil"/>
              <w:right w:val="single" w:sz="4" w:space="0" w:color="auto"/>
            </w:tcBorders>
            <w:shd w:val="clear" w:color="000000" w:fill="FFFFFF"/>
            <w:noWrap/>
            <w:vAlign w:val="center"/>
            <w:hideMark/>
          </w:tcPr>
          <w:p w14:paraId="7D90426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32C0B" w:rsidRPr="00650EE4" w14:paraId="354A9ACD" w14:textId="77777777" w:rsidTr="00A03881">
        <w:tc>
          <w:tcPr>
            <w:tcW w:w="988" w:type="pct"/>
            <w:tcBorders>
              <w:top w:val="nil"/>
              <w:left w:val="single" w:sz="4" w:space="0" w:color="auto"/>
              <w:bottom w:val="nil"/>
              <w:right w:val="nil"/>
            </w:tcBorders>
            <w:shd w:val="clear" w:color="000000" w:fill="FFFFFF"/>
            <w:noWrap/>
            <w:vAlign w:val="center"/>
            <w:hideMark/>
          </w:tcPr>
          <w:p w14:paraId="789EF5D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08" w:type="pct"/>
            <w:tcBorders>
              <w:top w:val="nil"/>
              <w:left w:val="single" w:sz="4" w:space="0" w:color="auto"/>
              <w:bottom w:val="nil"/>
              <w:right w:val="nil"/>
            </w:tcBorders>
            <w:shd w:val="clear" w:color="000000" w:fill="FFFFFF"/>
            <w:noWrap/>
            <w:vAlign w:val="center"/>
            <w:hideMark/>
          </w:tcPr>
          <w:p w14:paraId="054A6C5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5.455</w:t>
            </w:r>
          </w:p>
        </w:tc>
        <w:tc>
          <w:tcPr>
            <w:tcW w:w="508" w:type="pct"/>
            <w:tcBorders>
              <w:top w:val="nil"/>
              <w:left w:val="nil"/>
              <w:bottom w:val="nil"/>
              <w:right w:val="nil"/>
            </w:tcBorders>
            <w:shd w:val="clear" w:color="000000" w:fill="FFFFFF"/>
            <w:noWrap/>
            <w:vAlign w:val="center"/>
            <w:hideMark/>
          </w:tcPr>
          <w:p w14:paraId="132AE5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1.938</w:t>
            </w:r>
          </w:p>
        </w:tc>
        <w:tc>
          <w:tcPr>
            <w:tcW w:w="508" w:type="pct"/>
            <w:tcBorders>
              <w:top w:val="nil"/>
              <w:left w:val="nil"/>
              <w:bottom w:val="nil"/>
              <w:right w:val="nil"/>
            </w:tcBorders>
            <w:shd w:val="clear" w:color="000000" w:fill="FFFFFF"/>
            <w:noWrap/>
            <w:vAlign w:val="center"/>
            <w:hideMark/>
          </w:tcPr>
          <w:p w14:paraId="6FAB8E7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1.081</w:t>
            </w:r>
          </w:p>
        </w:tc>
        <w:tc>
          <w:tcPr>
            <w:tcW w:w="508" w:type="pct"/>
            <w:tcBorders>
              <w:top w:val="nil"/>
              <w:left w:val="nil"/>
              <w:bottom w:val="nil"/>
              <w:right w:val="nil"/>
            </w:tcBorders>
            <w:shd w:val="clear" w:color="000000" w:fill="FFFFFF"/>
            <w:noWrap/>
            <w:vAlign w:val="center"/>
            <w:hideMark/>
          </w:tcPr>
          <w:p w14:paraId="23846C3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nil"/>
              <w:left w:val="nil"/>
              <w:bottom w:val="nil"/>
              <w:right w:val="nil"/>
            </w:tcBorders>
            <w:shd w:val="clear" w:color="000000" w:fill="FFFFFF"/>
            <w:noWrap/>
            <w:vAlign w:val="center"/>
            <w:hideMark/>
          </w:tcPr>
          <w:p w14:paraId="2A38CB8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510" w:type="pct"/>
            <w:tcBorders>
              <w:top w:val="nil"/>
              <w:left w:val="nil"/>
              <w:bottom w:val="nil"/>
              <w:right w:val="single" w:sz="4" w:space="0" w:color="auto"/>
            </w:tcBorders>
            <w:shd w:val="clear" w:color="000000" w:fill="FFFFFF"/>
            <w:noWrap/>
            <w:vAlign w:val="center"/>
            <w:hideMark/>
          </w:tcPr>
          <w:p w14:paraId="5FE5E24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112764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8.503</w:t>
            </w:r>
          </w:p>
        </w:tc>
        <w:tc>
          <w:tcPr>
            <w:tcW w:w="476" w:type="pct"/>
            <w:tcBorders>
              <w:top w:val="nil"/>
              <w:left w:val="single" w:sz="4" w:space="0" w:color="auto"/>
              <w:bottom w:val="nil"/>
              <w:right w:val="single" w:sz="4" w:space="0" w:color="auto"/>
            </w:tcBorders>
            <w:shd w:val="clear" w:color="000000" w:fill="FFFFFF"/>
            <w:noWrap/>
            <w:vAlign w:val="center"/>
            <w:hideMark/>
          </w:tcPr>
          <w:p w14:paraId="2F3592B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r>
      <w:tr w:rsidR="00632C0B" w:rsidRPr="00650EE4" w14:paraId="466BAA93" w14:textId="77777777" w:rsidTr="00A03881">
        <w:tc>
          <w:tcPr>
            <w:tcW w:w="988" w:type="pct"/>
            <w:tcBorders>
              <w:top w:val="nil"/>
              <w:left w:val="single" w:sz="4" w:space="0" w:color="auto"/>
              <w:bottom w:val="nil"/>
              <w:right w:val="nil"/>
            </w:tcBorders>
            <w:shd w:val="clear" w:color="000000" w:fill="FFFFFF"/>
            <w:noWrap/>
            <w:vAlign w:val="center"/>
            <w:hideMark/>
          </w:tcPr>
          <w:p w14:paraId="0A216AE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08" w:type="pct"/>
            <w:tcBorders>
              <w:top w:val="nil"/>
              <w:left w:val="single" w:sz="4" w:space="0" w:color="auto"/>
              <w:bottom w:val="nil"/>
              <w:right w:val="nil"/>
            </w:tcBorders>
            <w:shd w:val="clear" w:color="000000" w:fill="FFFFFF"/>
            <w:noWrap/>
            <w:vAlign w:val="center"/>
            <w:hideMark/>
          </w:tcPr>
          <w:p w14:paraId="3F0F4E9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3.493</w:t>
            </w:r>
          </w:p>
        </w:tc>
        <w:tc>
          <w:tcPr>
            <w:tcW w:w="508" w:type="pct"/>
            <w:tcBorders>
              <w:top w:val="nil"/>
              <w:left w:val="nil"/>
              <w:bottom w:val="nil"/>
              <w:right w:val="nil"/>
            </w:tcBorders>
            <w:shd w:val="clear" w:color="000000" w:fill="FFFFFF"/>
            <w:noWrap/>
            <w:vAlign w:val="center"/>
            <w:hideMark/>
          </w:tcPr>
          <w:p w14:paraId="494646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984</w:t>
            </w:r>
          </w:p>
        </w:tc>
        <w:tc>
          <w:tcPr>
            <w:tcW w:w="508" w:type="pct"/>
            <w:tcBorders>
              <w:top w:val="nil"/>
              <w:left w:val="nil"/>
              <w:bottom w:val="nil"/>
              <w:right w:val="nil"/>
            </w:tcBorders>
            <w:shd w:val="clear" w:color="000000" w:fill="FFFFFF"/>
            <w:noWrap/>
            <w:vAlign w:val="center"/>
            <w:hideMark/>
          </w:tcPr>
          <w:p w14:paraId="28151C6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2.386</w:t>
            </w:r>
          </w:p>
        </w:tc>
        <w:tc>
          <w:tcPr>
            <w:tcW w:w="508" w:type="pct"/>
            <w:tcBorders>
              <w:top w:val="nil"/>
              <w:left w:val="nil"/>
              <w:bottom w:val="nil"/>
              <w:right w:val="nil"/>
            </w:tcBorders>
            <w:shd w:val="clear" w:color="000000" w:fill="FFFFFF"/>
            <w:noWrap/>
            <w:vAlign w:val="center"/>
            <w:hideMark/>
          </w:tcPr>
          <w:p w14:paraId="4CF051E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105</w:t>
            </w:r>
          </w:p>
        </w:tc>
        <w:tc>
          <w:tcPr>
            <w:tcW w:w="508" w:type="pct"/>
            <w:tcBorders>
              <w:top w:val="nil"/>
              <w:left w:val="nil"/>
              <w:bottom w:val="nil"/>
              <w:right w:val="nil"/>
            </w:tcBorders>
            <w:shd w:val="clear" w:color="000000" w:fill="FFFFFF"/>
            <w:noWrap/>
            <w:vAlign w:val="center"/>
            <w:hideMark/>
          </w:tcPr>
          <w:p w14:paraId="3A8399C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w:t>
            </w:r>
          </w:p>
        </w:tc>
        <w:tc>
          <w:tcPr>
            <w:tcW w:w="510" w:type="pct"/>
            <w:tcBorders>
              <w:top w:val="nil"/>
              <w:left w:val="nil"/>
              <w:bottom w:val="nil"/>
              <w:right w:val="single" w:sz="4" w:space="0" w:color="auto"/>
            </w:tcBorders>
            <w:shd w:val="clear" w:color="000000" w:fill="FFFFFF"/>
            <w:noWrap/>
            <w:vAlign w:val="center"/>
            <w:hideMark/>
          </w:tcPr>
          <w:p w14:paraId="65AF7FB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nil"/>
              <w:right w:val="nil"/>
            </w:tcBorders>
            <w:shd w:val="clear" w:color="000000" w:fill="FFFFFF"/>
            <w:noWrap/>
            <w:vAlign w:val="center"/>
            <w:hideMark/>
          </w:tcPr>
          <w:p w14:paraId="18C2BB0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7.064</w:t>
            </w:r>
          </w:p>
        </w:tc>
        <w:tc>
          <w:tcPr>
            <w:tcW w:w="476" w:type="pct"/>
            <w:tcBorders>
              <w:top w:val="nil"/>
              <w:left w:val="single" w:sz="4" w:space="0" w:color="auto"/>
              <w:bottom w:val="nil"/>
              <w:right w:val="single" w:sz="4" w:space="0" w:color="auto"/>
            </w:tcBorders>
            <w:shd w:val="clear" w:color="000000" w:fill="FFFFFF"/>
            <w:noWrap/>
            <w:vAlign w:val="center"/>
            <w:hideMark/>
          </w:tcPr>
          <w:p w14:paraId="018E2D4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r>
      <w:tr w:rsidR="00632C0B" w:rsidRPr="00650EE4" w14:paraId="65F7A124" w14:textId="77777777" w:rsidTr="00A03881">
        <w:tc>
          <w:tcPr>
            <w:tcW w:w="988" w:type="pct"/>
            <w:tcBorders>
              <w:top w:val="nil"/>
              <w:left w:val="single" w:sz="4" w:space="0" w:color="auto"/>
              <w:bottom w:val="nil"/>
              <w:right w:val="nil"/>
            </w:tcBorders>
            <w:shd w:val="clear" w:color="000000" w:fill="FFFFFF"/>
            <w:noWrap/>
            <w:vAlign w:val="center"/>
            <w:hideMark/>
          </w:tcPr>
          <w:p w14:paraId="2B7BA29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08" w:type="pct"/>
            <w:tcBorders>
              <w:top w:val="nil"/>
              <w:left w:val="single" w:sz="4" w:space="0" w:color="auto"/>
              <w:bottom w:val="nil"/>
              <w:right w:val="nil"/>
            </w:tcBorders>
            <w:shd w:val="clear" w:color="000000" w:fill="FFFFFF"/>
            <w:noWrap/>
            <w:vAlign w:val="center"/>
            <w:hideMark/>
          </w:tcPr>
          <w:p w14:paraId="41187FD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1.655</w:t>
            </w:r>
          </w:p>
        </w:tc>
        <w:tc>
          <w:tcPr>
            <w:tcW w:w="508" w:type="pct"/>
            <w:tcBorders>
              <w:top w:val="nil"/>
              <w:left w:val="nil"/>
              <w:bottom w:val="nil"/>
              <w:right w:val="nil"/>
            </w:tcBorders>
            <w:shd w:val="clear" w:color="000000" w:fill="FFFFFF"/>
            <w:noWrap/>
            <w:vAlign w:val="center"/>
            <w:hideMark/>
          </w:tcPr>
          <w:p w14:paraId="63EC91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619</w:t>
            </w:r>
          </w:p>
        </w:tc>
        <w:tc>
          <w:tcPr>
            <w:tcW w:w="508" w:type="pct"/>
            <w:tcBorders>
              <w:top w:val="nil"/>
              <w:left w:val="nil"/>
              <w:bottom w:val="nil"/>
              <w:right w:val="nil"/>
            </w:tcBorders>
            <w:shd w:val="clear" w:color="000000" w:fill="FFFFFF"/>
            <w:noWrap/>
            <w:vAlign w:val="center"/>
            <w:hideMark/>
          </w:tcPr>
          <w:p w14:paraId="05A0534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669</w:t>
            </w:r>
          </w:p>
        </w:tc>
        <w:tc>
          <w:tcPr>
            <w:tcW w:w="508" w:type="pct"/>
            <w:tcBorders>
              <w:top w:val="nil"/>
              <w:left w:val="nil"/>
              <w:bottom w:val="nil"/>
              <w:right w:val="nil"/>
            </w:tcBorders>
            <w:shd w:val="clear" w:color="000000" w:fill="FFFFFF"/>
            <w:noWrap/>
            <w:vAlign w:val="center"/>
            <w:hideMark/>
          </w:tcPr>
          <w:p w14:paraId="72A6E30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08" w:type="pct"/>
            <w:tcBorders>
              <w:top w:val="nil"/>
              <w:left w:val="nil"/>
              <w:bottom w:val="nil"/>
              <w:right w:val="nil"/>
            </w:tcBorders>
            <w:shd w:val="clear" w:color="000000" w:fill="FFFFFF"/>
            <w:noWrap/>
            <w:vAlign w:val="center"/>
            <w:hideMark/>
          </w:tcPr>
          <w:p w14:paraId="075FFAB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510" w:type="pct"/>
            <w:tcBorders>
              <w:top w:val="nil"/>
              <w:left w:val="nil"/>
              <w:bottom w:val="nil"/>
              <w:right w:val="single" w:sz="4" w:space="0" w:color="auto"/>
            </w:tcBorders>
            <w:shd w:val="clear" w:color="000000" w:fill="FFFFFF"/>
            <w:noWrap/>
            <w:vAlign w:val="center"/>
            <w:hideMark/>
          </w:tcPr>
          <w:p w14:paraId="082194C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B543690"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2.952</w:t>
            </w:r>
          </w:p>
        </w:tc>
        <w:tc>
          <w:tcPr>
            <w:tcW w:w="476" w:type="pct"/>
            <w:tcBorders>
              <w:top w:val="nil"/>
              <w:left w:val="single" w:sz="4" w:space="0" w:color="auto"/>
              <w:bottom w:val="nil"/>
              <w:right w:val="single" w:sz="4" w:space="0" w:color="auto"/>
            </w:tcBorders>
            <w:shd w:val="clear" w:color="000000" w:fill="FFFFFF"/>
            <w:noWrap/>
            <w:vAlign w:val="center"/>
            <w:hideMark/>
          </w:tcPr>
          <w:p w14:paraId="38BDD74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r>
      <w:tr w:rsidR="00632C0B" w:rsidRPr="00650EE4" w14:paraId="3257F326" w14:textId="77777777" w:rsidTr="00A03881">
        <w:tc>
          <w:tcPr>
            <w:tcW w:w="988" w:type="pct"/>
            <w:tcBorders>
              <w:top w:val="nil"/>
              <w:left w:val="single" w:sz="4" w:space="0" w:color="auto"/>
              <w:bottom w:val="nil"/>
              <w:right w:val="nil"/>
            </w:tcBorders>
            <w:shd w:val="clear" w:color="000000" w:fill="FFFFFF"/>
            <w:noWrap/>
            <w:vAlign w:val="center"/>
            <w:hideMark/>
          </w:tcPr>
          <w:p w14:paraId="67EDDBA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08" w:type="pct"/>
            <w:tcBorders>
              <w:top w:val="nil"/>
              <w:left w:val="single" w:sz="4" w:space="0" w:color="auto"/>
              <w:bottom w:val="nil"/>
              <w:right w:val="nil"/>
            </w:tcBorders>
            <w:shd w:val="clear" w:color="000000" w:fill="FFFFFF"/>
            <w:noWrap/>
            <w:vAlign w:val="center"/>
            <w:hideMark/>
          </w:tcPr>
          <w:p w14:paraId="2B11C13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1.262</w:t>
            </w:r>
          </w:p>
        </w:tc>
        <w:tc>
          <w:tcPr>
            <w:tcW w:w="508" w:type="pct"/>
            <w:tcBorders>
              <w:top w:val="nil"/>
              <w:left w:val="nil"/>
              <w:bottom w:val="nil"/>
              <w:right w:val="nil"/>
            </w:tcBorders>
            <w:shd w:val="clear" w:color="000000" w:fill="FFFFFF"/>
            <w:noWrap/>
            <w:vAlign w:val="center"/>
            <w:hideMark/>
          </w:tcPr>
          <w:p w14:paraId="632DF90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483</w:t>
            </w:r>
          </w:p>
        </w:tc>
        <w:tc>
          <w:tcPr>
            <w:tcW w:w="508" w:type="pct"/>
            <w:tcBorders>
              <w:top w:val="nil"/>
              <w:left w:val="nil"/>
              <w:bottom w:val="nil"/>
              <w:right w:val="nil"/>
            </w:tcBorders>
            <w:shd w:val="clear" w:color="000000" w:fill="FFFFFF"/>
            <w:noWrap/>
            <w:vAlign w:val="center"/>
            <w:hideMark/>
          </w:tcPr>
          <w:p w14:paraId="75B7552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595</w:t>
            </w:r>
          </w:p>
        </w:tc>
        <w:tc>
          <w:tcPr>
            <w:tcW w:w="508" w:type="pct"/>
            <w:tcBorders>
              <w:top w:val="nil"/>
              <w:left w:val="nil"/>
              <w:bottom w:val="nil"/>
              <w:right w:val="nil"/>
            </w:tcBorders>
            <w:shd w:val="clear" w:color="000000" w:fill="FFFFFF"/>
            <w:noWrap/>
            <w:vAlign w:val="center"/>
            <w:hideMark/>
          </w:tcPr>
          <w:p w14:paraId="154AFB0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508" w:type="pct"/>
            <w:tcBorders>
              <w:top w:val="nil"/>
              <w:left w:val="nil"/>
              <w:bottom w:val="nil"/>
              <w:right w:val="nil"/>
            </w:tcBorders>
            <w:shd w:val="clear" w:color="000000" w:fill="FFFFFF"/>
            <w:noWrap/>
            <w:vAlign w:val="center"/>
            <w:hideMark/>
          </w:tcPr>
          <w:p w14:paraId="788C51F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46</w:t>
            </w:r>
          </w:p>
        </w:tc>
        <w:tc>
          <w:tcPr>
            <w:tcW w:w="510" w:type="pct"/>
            <w:tcBorders>
              <w:top w:val="nil"/>
              <w:left w:val="nil"/>
              <w:bottom w:val="nil"/>
              <w:right w:val="single" w:sz="4" w:space="0" w:color="auto"/>
            </w:tcBorders>
            <w:shd w:val="clear" w:color="000000" w:fill="FFFFFF"/>
            <w:noWrap/>
            <w:vAlign w:val="center"/>
            <w:hideMark/>
          </w:tcPr>
          <w:p w14:paraId="3A31738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162AEE1F"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2.497</w:t>
            </w:r>
          </w:p>
        </w:tc>
        <w:tc>
          <w:tcPr>
            <w:tcW w:w="476" w:type="pct"/>
            <w:tcBorders>
              <w:top w:val="nil"/>
              <w:left w:val="single" w:sz="4" w:space="0" w:color="auto"/>
              <w:bottom w:val="nil"/>
              <w:right w:val="single" w:sz="4" w:space="0" w:color="auto"/>
            </w:tcBorders>
            <w:shd w:val="clear" w:color="000000" w:fill="FFFFFF"/>
            <w:noWrap/>
            <w:vAlign w:val="center"/>
            <w:hideMark/>
          </w:tcPr>
          <w:p w14:paraId="07FDE57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632C0B" w:rsidRPr="00650EE4" w14:paraId="5E6357E0" w14:textId="77777777" w:rsidTr="00A03881">
        <w:tc>
          <w:tcPr>
            <w:tcW w:w="988" w:type="pct"/>
            <w:tcBorders>
              <w:top w:val="nil"/>
              <w:left w:val="single" w:sz="4" w:space="0" w:color="auto"/>
              <w:bottom w:val="nil"/>
              <w:right w:val="nil"/>
            </w:tcBorders>
            <w:shd w:val="clear" w:color="000000" w:fill="FFFFFF"/>
            <w:noWrap/>
            <w:vAlign w:val="center"/>
            <w:hideMark/>
          </w:tcPr>
          <w:p w14:paraId="7317BD23"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08" w:type="pct"/>
            <w:tcBorders>
              <w:top w:val="nil"/>
              <w:left w:val="single" w:sz="4" w:space="0" w:color="auto"/>
              <w:bottom w:val="nil"/>
              <w:right w:val="nil"/>
            </w:tcBorders>
            <w:shd w:val="clear" w:color="000000" w:fill="FFFFFF"/>
            <w:noWrap/>
            <w:vAlign w:val="center"/>
            <w:hideMark/>
          </w:tcPr>
          <w:p w14:paraId="70BFDA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1.819</w:t>
            </w:r>
          </w:p>
        </w:tc>
        <w:tc>
          <w:tcPr>
            <w:tcW w:w="508" w:type="pct"/>
            <w:tcBorders>
              <w:top w:val="nil"/>
              <w:left w:val="nil"/>
              <w:bottom w:val="nil"/>
              <w:right w:val="nil"/>
            </w:tcBorders>
            <w:shd w:val="clear" w:color="000000" w:fill="FFFFFF"/>
            <w:noWrap/>
            <w:vAlign w:val="center"/>
            <w:hideMark/>
          </w:tcPr>
          <w:p w14:paraId="0B370AE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258</w:t>
            </w:r>
          </w:p>
        </w:tc>
        <w:tc>
          <w:tcPr>
            <w:tcW w:w="508" w:type="pct"/>
            <w:tcBorders>
              <w:top w:val="nil"/>
              <w:left w:val="nil"/>
              <w:bottom w:val="nil"/>
              <w:right w:val="nil"/>
            </w:tcBorders>
            <w:shd w:val="clear" w:color="000000" w:fill="FFFFFF"/>
            <w:noWrap/>
            <w:vAlign w:val="center"/>
            <w:hideMark/>
          </w:tcPr>
          <w:p w14:paraId="59A9369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188</w:t>
            </w:r>
          </w:p>
        </w:tc>
        <w:tc>
          <w:tcPr>
            <w:tcW w:w="508" w:type="pct"/>
            <w:tcBorders>
              <w:top w:val="nil"/>
              <w:left w:val="nil"/>
              <w:bottom w:val="nil"/>
              <w:right w:val="nil"/>
            </w:tcBorders>
            <w:shd w:val="clear" w:color="000000" w:fill="FFFFFF"/>
            <w:noWrap/>
            <w:vAlign w:val="center"/>
            <w:hideMark/>
          </w:tcPr>
          <w:p w14:paraId="4B9F814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508" w:type="pct"/>
            <w:tcBorders>
              <w:top w:val="nil"/>
              <w:left w:val="nil"/>
              <w:bottom w:val="nil"/>
              <w:right w:val="nil"/>
            </w:tcBorders>
            <w:shd w:val="clear" w:color="000000" w:fill="FFFFFF"/>
            <w:noWrap/>
            <w:vAlign w:val="center"/>
            <w:hideMark/>
          </w:tcPr>
          <w:p w14:paraId="412EDBB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510" w:type="pct"/>
            <w:tcBorders>
              <w:top w:val="nil"/>
              <w:left w:val="nil"/>
              <w:bottom w:val="nil"/>
              <w:right w:val="single" w:sz="4" w:space="0" w:color="auto"/>
            </w:tcBorders>
            <w:shd w:val="clear" w:color="000000" w:fill="FFFFFF"/>
            <w:noWrap/>
            <w:vAlign w:val="center"/>
            <w:hideMark/>
          </w:tcPr>
          <w:p w14:paraId="3DAF659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0CD99D4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2.279</w:t>
            </w:r>
          </w:p>
        </w:tc>
        <w:tc>
          <w:tcPr>
            <w:tcW w:w="476" w:type="pct"/>
            <w:tcBorders>
              <w:top w:val="nil"/>
              <w:left w:val="single" w:sz="4" w:space="0" w:color="auto"/>
              <w:bottom w:val="nil"/>
              <w:right w:val="single" w:sz="4" w:space="0" w:color="auto"/>
            </w:tcBorders>
            <w:shd w:val="clear" w:color="000000" w:fill="FFFFFF"/>
            <w:noWrap/>
            <w:vAlign w:val="center"/>
            <w:hideMark/>
          </w:tcPr>
          <w:p w14:paraId="1373D94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632C0B" w:rsidRPr="00650EE4" w14:paraId="710A4BB6" w14:textId="77777777" w:rsidTr="00A03881">
        <w:tc>
          <w:tcPr>
            <w:tcW w:w="988" w:type="pct"/>
            <w:tcBorders>
              <w:top w:val="nil"/>
              <w:left w:val="single" w:sz="4" w:space="0" w:color="auto"/>
              <w:bottom w:val="nil"/>
              <w:right w:val="nil"/>
            </w:tcBorders>
            <w:shd w:val="clear" w:color="000000" w:fill="FFFFFF"/>
            <w:noWrap/>
            <w:vAlign w:val="center"/>
            <w:hideMark/>
          </w:tcPr>
          <w:p w14:paraId="242F1979"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08" w:type="pct"/>
            <w:tcBorders>
              <w:top w:val="nil"/>
              <w:left w:val="single" w:sz="4" w:space="0" w:color="auto"/>
              <w:bottom w:val="nil"/>
              <w:right w:val="nil"/>
            </w:tcBorders>
            <w:shd w:val="clear" w:color="000000" w:fill="FFFFFF"/>
            <w:noWrap/>
            <w:vAlign w:val="center"/>
            <w:hideMark/>
          </w:tcPr>
          <w:p w14:paraId="3DF0FC6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1.619</w:t>
            </w:r>
          </w:p>
        </w:tc>
        <w:tc>
          <w:tcPr>
            <w:tcW w:w="508" w:type="pct"/>
            <w:tcBorders>
              <w:top w:val="nil"/>
              <w:left w:val="nil"/>
              <w:bottom w:val="nil"/>
              <w:right w:val="nil"/>
            </w:tcBorders>
            <w:shd w:val="clear" w:color="000000" w:fill="FFFFFF"/>
            <w:noWrap/>
            <w:vAlign w:val="center"/>
            <w:hideMark/>
          </w:tcPr>
          <w:p w14:paraId="611056F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220</w:t>
            </w:r>
          </w:p>
        </w:tc>
        <w:tc>
          <w:tcPr>
            <w:tcW w:w="508" w:type="pct"/>
            <w:tcBorders>
              <w:top w:val="nil"/>
              <w:left w:val="nil"/>
              <w:bottom w:val="nil"/>
              <w:right w:val="nil"/>
            </w:tcBorders>
            <w:shd w:val="clear" w:color="000000" w:fill="FFFFFF"/>
            <w:noWrap/>
            <w:vAlign w:val="center"/>
            <w:hideMark/>
          </w:tcPr>
          <w:p w14:paraId="4AE4D6C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08" w:type="pct"/>
            <w:tcBorders>
              <w:top w:val="nil"/>
              <w:left w:val="nil"/>
              <w:bottom w:val="nil"/>
              <w:right w:val="nil"/>
            </w:tcBorders>
            <w:shd w:val="clear" w:color="000000" w:fill="FFFFFF"/>
            <w:noWrap/>
            <w:vAlign w:val="center"/>
            <w:hideMark/>
          </w:tcPr>
          <w:p w14:paraId="4810B8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508" w:type="pct"/>
            <w:tcBorders>
              <w:top w:val="nil"/>
              <w:left w:val="nil"/>
              <w:bottom w:val="nil"/>
              <w:right w:val="nil"/>
            </w:tcBorders>
            <w:shd w:val="clear" w:color="000000" w:fill="FFFFFF"/>
            <w:noWrap/>
            <w:vAlign w:val="center"/>
            <w:hideMark/>
          </w:tcPr>
          <w:p w14:paraId="448044E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510" w:type="pct"/>
            <w:tcBorders>
              <w:top w:val="nil"/>
              <w:left w:val="nil"/>
              <w:bottom w:val="nil"/>
              <w:right w:val="single" w:sz="4" w:space="0" w:color="auto"/>
            </w:tcBorders>
            <w:shd w:val="clear" w:color="000000" w:fill="FFFFFF"/>
            <w:noWrap/>
            <w:vAlign w:val="center"/>
            <w:hideMark/>
          </w:tcPr>
          <w:p w14:paraId="07DF3B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nil"/>
              <w:right w:val="nil"/>
            </w:tcBorders>
            <w:shd w:val="clear" w:color="000000" w:fill="FFFFFF"/>
            <w:noWrap/>
            <w:vAlign w:val="center"/>
            <w:hideMark/>
          </w:tcPr>
          <w:p w14:paraId="19F34228"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2.199</w:t>
            </w:r>
          </w:p>
        </w:tc>
        <w:tc>
          <w:tcPr>
            <w:tcW w:w="476" w:type="pct"/>
            <w:tcBorders>
              <w:top w:val="nil"/>
              <w:left w:val="single" w:sz="4" w:space="0" w:color="auto"/>
              <w:bottom w:val="nil"/>
              <w:right w:val="single" w:sz="4" w:space="0" w:color="auto"/>
            </w:tcBorders>
            <w:shd w:val="clear" w:color="000000" w:fill="FFFFFF"/>
            <w:noWrap/>
            <w:vAlign w:val="center"/>
            <w:hideMark/>
          </w:tcPr>
          <w:p w14:paraId="243DC70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r>
      <w:tr w:rsidR="00632C0B" w:rsidRPr="00650EE4" w14:paraId="7FF86CC4" w14:textId="77777777" w:rsidTr="00A03881">
        <w:tc>
          <w:tcPr>
            <w:tcW w:w="988" w:type="pct"/>
            <w:tcBorders>
              <w:top w:val="nil"/>
              <w:left w:val="single" w:sz="4" w:space="0" w:color="auto"/>
              <w:bottom w:val="nil"/>
              <w:right w:val="nil"/>
            </w:tcBorders>
            <w:shd w:val="clear" w:color="000000" w:fill="FFFFFF"/>
            <w:noWrap/>
            <w:vAlign w:val="center"/>
            <w:hideMark/>
          </w:tcPr>
          <w:p w14:paraId="330766F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08" w:type="pct"/>
            <w:tcBorders>
              <w:top w:val="nil"/>
              <w:left w:val="single" w:sz="4" w:space="0" w:color="auto"/>
              <w:bottom w:val="single" w:sz="4" w:space="0" w:color="auto"/>
              <w:right w:val="nil"/>
            </w:tcBorders>
            <w:shd w:val="clear" w:color="000000" w:fill="FFFFFF"/>
            <w:noWrap/>
            <w:vAlign w:val="center"/>
            <w:hideMark/>
          </w:tcPr>
          <w:p w14:paraId="3E0640F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932</w:t>
            </w:r>
          </w:p>
        </w:tc>
        <w:tc>
          <w:tcPr>
            <w:tcW w:w="508" w:type="pct"/>
            <w:tcBorders>
              <w:top w:val="nil"/>
              <w:left w:val="nil"/>
              <w:bottom w:val="single" w:sz="4" w:space="0" w:color="auto"/>
              <w:right w:val="nil"/>
            </w:tcBorders>
            <w:shd w:val="clear" w:color="000000" w:fill="FFFFFF"/>
            <w:noWrap/>
            <w:vAlign w:val="center"/>
            <w:hideMark/>
          </w:tcPr>
          <w:p w14:paraId="10F7FE4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264</w:t>
            </w:r>
          </w:p>
        </w:tc>
        <w:tc>
          <w:tcPr>
            <w:tcW w:w="508" w:type="pct"/>
            <w:tcBorders>
              <w:top w:val="nil"/>
              <w:left w:val="nil"/>
              <w:bottom w:val="single" w:sz="4" w:space="0" w:color="auto"/>
              <w:right w:val="nil"/>
            </w:tcBorders>
            <w:shd w:val="clear" w:color="000000" w:fill="FFFFFF"/>
            <w:noWrap/>
            <w:vAlign w:val="center"/>
            <w:hideMark/>
          </w:tcPr>
          <w:p w14:paraId="14E2D7D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08" w:type="pct"/>
            <w:tcBorders>
              <w:top w:val="nil"/>
              <w:left w:val="nil"/>
              <w:bottom w:val="single" w:sz="4" w:space="0" w:color="auto"/>
              <w:right w:val="nil"/>
            </w:tcBorders>
            <w:shd w:val="clear" w:color="000000" w:fill="FFFFFF"/>
            <w:noWrap/>
            <w:vAlign w:val="center"/>
            <w:hideMark/>
          </w:tcPr>
          <w:p w14:paraId="5D800C9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508" w:type="pct"/>
            <w:tcBorders>
              <w:top w:val="nil"/>
              <w:left w:val="nil"/>
              <w:bottom w:val="single" w:sz="4" w:space="0" w:color="auto"/>
              <w:right w:val="nil"/>
            </w:tcBorders>
            <w:shd w:val="clear" w:color="000000" w:fill="FFFFFF"/>
            <w:noWrap/>
            <w:vAlign w:val="center"/>
            <w:hideMark/>
          </w:tcPr>
          <w:p w14:paraId="14706F8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510" w:type="pct"/>
            <w:tcBorders>
              <w:top w:val="nil"/>
              <w:left w:val="nil"/>
              <w:bottom w:val="single" w:sz="4" w:space="0" w:color="auto"/>
              <w:right w:val="single" w:sz="4" w:space="0" w:color="auto"/>
            </w:tcBorders>
            <w:shd w:val="clear" w:color="000000" w:fill="FFFFFF"/>
            <w:noWrap/>
            <w:vAlign w:val="center"/>
            <w:hideMark/>
          </w:tcPr>
          <w:p w14:paraId="3874348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nil"/>
              <w:left w:val="nil"/>
              <w:bottom w:val="single" w:sz="4" w:space="0" w:color="auto"/>
              <w:right w:val="nil"/>
            </w:tcBorders>
            <w:shd w:val="clear" w:color="000000" w:fill="FFFFFF"/>
            <w:noWrap/>
            <w:vAlign w:val="center"/>
            <w:hideMark/>
          </w:tcPr>
          <w:p w14:paraId="5D0F599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1.589</w:t>
            </w:r>
          </w:p>
        </w:tc>
        <w:tc>
          <w:tcPr>
            <w:tcW w:w="476" w:type="pct"/>
            <w:tcBorders>
              <w:top w:val="nil"/>
              <w:left w:val="single" w:sz="4" w:space="0" w:color="auto"/>
              <w:bottom w:val="single" w:sz="4" w:space="0" w:color="auto"/>
              <w:right w:val="single" w:sz="4" w:space="0" w:color="auto"/>
            </w:tcBorders>
            <w:shd w:val="clear" w:color="000000" w:fill="FFFFFF"/>
            <w:noWrap/>
            <w:vAlign w:val="center"/>
            <w:hideMark/>
          </w:tcPr>
          <w:p w14:paraId="30EC9AB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r>
      <w:tr w:rsidR="00632C0B" w:rsidRPr="00650EE4" w14:paraId="31C9134A" w14:textId="77777777" w:rsidTr="00A03881">
        <w:tc>
          <w:tcPr>
            <w:tcW w:w="988" w:type="pct"/>
            <w:tcBorders>
              <w:top w:val="single" w:sz="4" w:space="0" w:color="auto"/>
              <w:left w:val="single" w:sz="4" w:space="0" w:color="auto"/>
              <w:bottom w:val="nil"/>
              <w:right w:val="single" w:sz="4" w:space="0" w:color="auto"/>
            </w:tcBorders>
            <w:shd w:val="clear" w:color="000000" w:fill="FFFFFF"/>
            <w:noWrap/>
            <w:vAlign w:val="center"/>
            <w:hideMark/>
          </w:tcPr>
          <w:p w14:paraId="787198EE" w14:textId="77777777" w:rsidR="00632C0B" w:rsidRPr="00650EE4" w:rsidRDefault="00632C0B" w:rsidP="0001744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08" w:type="pct"/>
            <w:tcBorders>
              <w:top w:val="nil"/>
              <w:left w:val="nil"/>
              <w:bottom w:val="nil"/>
              <w:right w:val="nil"/>
            </w:tcBorders>
            <w:shd w:val="clear" w:color="000000" w:fill="FFFFFF"/>
            <w:noWrap/>
            <w:vAlign w:val="center"/>
            <w:hideMark/>
          </w:tcPr>
          <w:p w14:paraId="3904DADF"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132.735</w:t>
            </w:r>
          </w:p>
        </w:tc>
        <w:tc>
          <w:tcPr>
            <w:tcW w:w="508" w:type="pct"/>
            <w:tcBorders>
              <w:top w:val="nil"/>
              <w:left w:val="nil"/>
              <w:bottom w:val="nil"/>
              <w:right w:val="nil"/>
            </w:tcBorders>
            <w:shd w:val="clear" w:color="000000" w:fill="FFFFFF"/>
            <w:noWrap/>
            <w:vAlign w:val="center"/>
            <w:hideMark/>
          </w:tcPr>
          <w:p w14:paraId="0A4D72F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39.466</w:t>
            </w:r>
          </w:p>
        </w:tc>
        <w:tc>
          <w:tcPr>
            <w:tcW w:w="508" w:type="pct"/>
            <w:tcBorders>
              <w:top w:val="nil"/>
              <w:left w:val="nil"/>
              <w:bottom w:val="nil"/>
              <w:right w:val="nil"/>
            </w:tcBorders>
            <w:shd w:val="clear" w:color="000000" w:fill="FFFFFF"/>
            <w:noWrap/>
            <w:vAlign w:val="center"/>
            <w:hideMark/>
          </w:tcPr>
          <w:p w14:paraId="583FE197"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25.524</w:t>
            </w:r>
          </w:p>
        </w:tc>
        <w:tc>
          <w:tcPr>
            <w:tcW w:w="508" w:type="pct"/>
            <w:tcBorders>
              <w:top w:val="nil"/>
              <w:left w:val="nil"/>
              <w:bottom w:val="nil"/>
              <w:right w:val="nil"/>
            </w:tcBorders>
            <w:shd w:val="clear" w:color="000000" w:fill="FFFFFF"/>
            <w:noWrap/>
            <w:vAlign w:val="center"/>
            <w:hideMark/>
          </w:tcPr>
          <w:p w14:paraId="25BE4DB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3.043</w:t>
            </w:r>
          </w:p>
        </w:tc>
        <w:tc>
          <w:tcPr>
            <w:tcW w:w="508" w:type="pct"/>
            <w:tcBorders>
              <w:top w:val="nil"/>
              <w:left w:val="nil"/>
              <w:bottom w:val="nil"/>
              <w:right w:val="nil"/>
            </w:tcBorders>
            <w:shd w:val="clear" w:color="000000" w:fill="FFFFFF"/>
            <w:noWrap/>
            <w:vAlign w:val="center"/>
            <w:hideMark/>
          </w:tcPr>
          <w:p w14:paraId="10B89351"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784</w:t>
            </w:r>
          </w:p>
        </w:tc>
        <w:tc>
          <w:tcPr>
            <w:tcW w:w="510" w:type="pct"/>
            <w:tcBorders>
              <w:top w:val="nil"/>
              <w:left w:val="nil"/>
              <w:bottom w:val="nil"/>
              <w:right w:val="single" w:sz="4" w:space="0" w:color="auto"/>
            </w:tcBorders>
            <w:shd w:val="clear" w:color="000000" w:fill="FFFFFF"/>
            <w:noWrap/>
            <w:vAlign w:val="center"/>
            <w:hideMark/>
          </w:tcPr>
          <w:p w14:paraId="13F84D7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120</w:t>
            </w:r>
          </w:p>
        </w:tc>
        <w:tc>
          <w:tcPr>
            <w:tcW w:w="488" w:type="pct"/>
            <w:tcBorders>
              <w:top w:val="nil"/>
              <w:left w:val="nil"/>
              <w:bottom w:val="nil"/>
              <w:right w:val="nil"/>
            </w:tcBorders>
            <w:shd w:val="clear" w:color="000000" w:fill="FFFFFF"/>
            <w:noWrap/>
            <w:vAlign w:val="center"/>
            <w:hideMark/>
          </w:tcPr>
          <w:p w14:paraId="37C17DB1"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201.674</w:t>
            </w:r>
          </w:p>
        </w:tc>
        <w:tc>
          <w:tcPr>
            <w:tcW w:w="476" w:type="pct"/>
            <w:tcBorders>
              <w:top w:val="nil"/>
              <w:left w:val="single" w:sz="4" w:space="0" w:color="auto"/>
              <w:bottom w:val="nil"/>
              <w:right w:val="single" w:sz="4" w:space="0" w:color="auto"/>
            </w:tcBorders>
            <w:shd w:val="clear" w:color="000000" w:fill="FFFFFF"/>
            <w:noWrap/>
            <w:vAlign w:val="center"/>
            <w:hideMark/>
          </w:tcPr>
          <w:p w14:paraId="14FFBB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32C0B" w:rsidRPr="00650EE4" w14:paraId="239A4B93" w14:textId="77777777" w:rsidTr="00A03881">
        <w:tc>
          <w:tcPr>
            <w:tcW w:w="98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F5C60B"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08" w:type="pct"/>
            <w:tcBorders>
              <w:top w:val="single" w:sz="4" w:space="0" w:color="auto"/>
              <w:left w:val="nil"/>
              <w:bottom w:val="single" w:sz="4" w:space="0" w:color="auto"/>
              <w:right w:val="nil"/>
            </w:tcBorders>
            <w:shd w:val="clear" w:color="000000" w:fill="FFFFFF"/>
            <w:noWrap/>
            <w:vAlign w:val="center"/>
            <w:hideMark/>
          </w:tcPr>
          <w:p w14:paraId="34BB446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66%</w:t>
            </w:r>
          </w:p>
        </w:tc>
        <w:tc>
          <w:tcPr>
            <w:tcW w:w="508" w:type="pct"/>
            <w:tcBorders>
              <w:top w:val="single" w:sz="4" w:space="0" w:color="auto"/>
              <w:left w:val="nil"/>
              <w:bottom w:val="single" w:sz="4" w:space="0" w:color="auto"/>
              <w:right w:val="nil"/>
            </w:tcBorders>
            <w:shd w:val="clear" w:color="000000" w:fill="FFFFFF"/>
            <w:noWrap/>
            <w:vAlign w:val="center"/>
            <w:hideMark/>
          </w:tcPr>
          <w:p w14:paraId="0F3BE3E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508" w:type="pct"/>
            <w:tcBorders>
              <w:top w:val="single" w:sz="4" w:space="0" w:color="auto"/>
              <w:left w:val="nil"/>
              <w:bottom w:val="single" w:sz="4" w:space="0" w:color="auto"/>
              <w:right w:val="nil"/>
            </w:tcBorders>
            <w:shd w:val="clear" w:color="000000" w:fill="FFFFFF"/>
            <w:noWrap/>
            <w:vAlign w:val="center"/>
            <w:hideMark/>
          </w:tcPr>
          <w:p w14:paraId="07A40A5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508" w:type="pct"/>
            <w:tcBorders>
              <w:top w:val="single" w:sz="4" w:space="0" w:color="auto"/>
              <w:left w:val="nil"/>
              <w:bottom w:val="single" w:sz="4" w:space="0" w:color="auto"/>
              <w:right w:val="nil"/>
            </w:tcBorders>
            <w:shd w:val="clear" w:color="000000" w:fill="FFFFFF"/>
            <w:noWrap/>
            <w:vAlign w:val="center"/>
            <w:hideMark/>
          </w:tcPr>
          <w:p w14:paraId="3B2E50A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508" w:type="pct"/>
            <w:tcBorders>
              <w:top w:val="single" w:sz="4" w:space="0" w:color="auto"/>
              <w:left w:val="nil"/>
              <w:bottom w:val="single" w:sz="4" w:space="0" w:color="auto"/>
              <w:right w:val="nil"/>
            </w:tcBorders>
            <w:shd w:val="clear" w:color="000000" w:fill="FFFFFF"/>
            <w:noWrap/>
            <w:vAlign w:val="center"/>
            <w:hideMark/>
          </w:tcPr>
          <w:p w14:paraId="7AD8D95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510" w:type="pct"/>
            <w:tcBorders>
              <w:top w:val="single" w:sz="4" w:space="0" w:color="auto"/>
              <w:left w:val="nil"/>
              <w:bottom w:val="single" w:sz="4" w:space="0" w:color="auto"/>
              <w:right w:val="single" w:sz="4" w:space="0" w:color="auto"/>
            </w:tcBorders>
            <w:shd w:val="clear" w:color="000000" w:fill="FFFFFF"/>
            <w:noWrap/>
            <w:vAlign w:val="center"/>
            <w:hideMark/>
          </w:tcPr>
          <w:p w14:paraId="6C1744D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8" w:type="pct"/>
            <w:tcBorders>
              <w:top w:val="single" w:sz="4" w:space="0" w:color="auto"/>
              <w:left w:val="nil"/>
              <w:bottom w:val="single" w:sz="4" w:space="0" w:color="auto"/>
              <w:right w:val="nil"/>
            </w:tcBorders>
            <w:shd w:val="clear" w:color="000000" w:fill="FFFFFF"/>
            <w:noWrap/>
            <w:vAlign w:val="center"/>
            <w:hideMark/>
          </w:tcPr>
          <w:p w14:paraId="53B98CC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B8F6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71520D5B" w14:textId="77777777" w:rsidR="00632C0B" w:rsidRPr="00650EE4" w:rsidRDefault="00632C0B" w:rsidP="00632C0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NTR duomenys (2019.12.31)</w:t>
      </w:r>
    </w:p>
    <w:p w14:paraId="240C57C1" w14:textId="77777777" w:rsidR="001B5AA4" w:rsidRPr="00650EE4" w:rsidRDefault="001B5AA4" w:rsidP="00632C0B">
      <w:pPr>
        <w:spacing w:line="240" w:lineRule="auto"/>
        <w:jc w:val="both"/>
        <w:rPr>
          <w:rFonts w:ascii="Times New Roman" w:hAnsi="Times New Roman"/>
          <w:color w:val="000000" w:themeColor="text1"/>
          <w:szCs w:val="22"/>
        </w:rPr>
      </w:pPr>
    </w:p>
    <w:p w14:paraId="17B8E10E" w14:textId="6156F32C" w:rsidR="00632C0B" w:rsidRPr="00650EE4" w:rsidRDefault="00632C0B" w:rsidP="00632C0B">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Prasčiausio energinio naudingumo pastatai </w:t>
      </w:r>
      <w:r w:rsidR="007A52B6">
        <w:rPr>
          <w:rFonts w:ascii="Times New Roman" w:hAnsi="Times New Roman"/>
          <w:color w:val="000000" w:themeColor="text1"/>
          <w:szCs w:val="22"/>
        </w:rPr>
        <w:t>sudaro vartoja daugiau nei 3/4 p</w:t>
      </w:r>
      <w:r w:rsidRPr="00650EE4">
        <w:rPr>
          <w:rFonts w:ascii="Times New Roman" w:hAnsi="Times New Roman"/>
          <w:color w:val="000000" w:themeColor="text1"/>
          <w:szCs w:val="22"/>
        </w:rPr>
        <w:t>astatų fondo pirminės energijos (žr. lentelę žemiau).</w:t>
      </w:r>
    </w:p>
    <w:p w14:paraId="764A3F4F" w14:textId="77777777" w:rsidR="00DC19AB" w:rsidRPr="00650EE4" w:rsidRDefault="00DC19AB" w:rsidP="00632C0B">
      <w:pPr>
        <w:spacing w:line="240" w:lineRule="auto"/>
        <w:jc w:val="both"/>
        <w:rPr>
          <w:rFonts w:ascii="Times New Roman" w:hAnsi="Times New Roman"/>
          <w:color w:val="000000" w:themeColor="text1"/>
          <w:szCs w:val="22"/>
        </w:rPr>
      </w:pPr>
    </w:p>
    <w:p w14:paraId="5BA7F0C1" w14:textId="1814A487" w:rsidR="00632C0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3" w:name="_Toc59094209"/>
      <w:r w:rsidR="00F25C65">
        <w:t>26</w:t>
      </w:r>
      <w:r w:rsidRPr="00650EE4">
        <w:rPr>
          <w:noProof w:val="0"/>
        </w:rPr>
        <w:fldChar w:fldCharType="end"/>
      </w:r>
      <w:r w:rsidR="00632C0B" w:rsidRPr="00650EE4">
        <w:rPr>
          <w:noProof w:val="0"/>
        </w:rPr>
        <w:t xml:space="preserve"> lentelė. Pastatų fondo pirmi</w:t>
      </w:r>
      <w:r w:rsidR="00C72C1E" w:rsidRPr="00650EE4">
        <w:rPr>
          <w:noProof w:val="0"/>
        </w:rPr>
        <w:t xml:space="preserve">nės energijos vartojimas pagal </w:t>
      </w:r>
      <w:r w:rsidR="00D75E7D" w:rsidRPr="00650EE4">
        <w:rPr>
          <w:noProof w:val="0"/>
        </w:rPr>
        <w:t>ENK</w:t>
      </w:r>
      <w:r w:rsidR="00632C0B" w:rsidRPr="00650EE4">
        <w:rPr>
          <w:noProof w:val="0"/>
        </w:rPr>
        <w:t xml:space="preserve"> (</w:t>
      </w:r>
      <w:proofErr w:type="spellStart"/>
      <w:r w:rsidR="00632C0B" w:rsidRPr="00650EE4">
        <w:rPr>
          <w:noProof w:val="0"/>
        </w:rPr>
        <w:t>GWh</w:t>
      </w:r>
      <w:proofErr w:type="spellEnd"/>
      <w:r w:rsidR="00632C0B" w:rsidRPr="00650EE4">
        <w:rPr>
          <w:noProof w:val="0"/>
        </w:rPr>
        <w:t>/metus)</w:t>
      </w:r>
      <w:bookmarkEnd w:id="73"/>
    </w:p>
    <w:tbl>
      <w:tblPr>
        <w:tblW w:w="5000" w:type="pct"/>
        <w:tblLayout w:type="fixed"/>
        <w:tblLook w:val="04A0" w:firstRow="1" w:lastRow="0" w:firstColumn="1" w:lastColumn="0" w:noHBand="0" w:noVBand="1"/>
      </w:tblPr>
      <w:tblGrid>
        <w:gridCol w:w="2138"/>
        <w:gridCol w:w="1102"/>
        <w:gridCol w:w="959"/>
        <w:gridCol w:w="1013"/>
        <w:gridCol w:w="1159"/>
        <w:gridCol w:w="1017"/>
        <w:gridCol w:w="1015"/>
        <w:gridCol w:w="1015"/>
        <w:gridCol w:w="1002"/>
      </w:tblGrid>
      <w:tr w:rsidR="00632C0B" w:rsidRPr="00650EE4" w14:paraId="79DEC9C1" w14:textId="77777777" w:rsidTr="00A03881">
        <w:tc>
          <w:tcPr>
            <w:tcW w:w="1026" w:type="pct"/>
            <w:vMerge w:val="restart"/>
            <w:tcBorders>
              <w:top w:val="single" w:sz="4" w:space="0" w:color="auto"/>
              <w:left w:val="single" w:sz="4" w:space="0" w:color="auto"/>
              <w:bottom w:val="single" w:sz="4" w:space="0" w:color="000000"/>
              <w:right w:val="nil"/>
            </w:tcBorders>
            <w:shd w:val="clear" w:color="000000" w:fill="FFFFFF"/>
            <w:vAlign w:val="center"/>
            <w:hideMark/>
          </w:tcPr>
          <w:p w14:paraId="54CC05C3"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006" w:type="pct"/>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205E80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487" w:type="pct"/>
            <w:vMerge w:val="restart"/>
            <w:tcBorders>
              <w:top w:val="single" w:sz="4" w:space="0" w:color="auto"/>
              <w:left w:val="nil"/>
              <w:bottom w:val="single" w:sz="4" w:space="0" w:color="000000"/>
              <w:right w:val="nil"/>
            </w:tcBorders>
            <w:shd w:val="clear" w:color="000000" w:fill="FFFFFF"/>
            <w:vAlign w:val="center"/>
            <w:hideMark/>
          </w:tcPr>
          <w:p w14:paraId="27A31462"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481"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651C427" w14:textId="77777777" w:rsidR="00632C0B" w:rsidRPr="00650EE4" w:rsidRDefault="00632C0B" w:rsidP="00017447">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r>
      <w:tr w:rsidR="00632C0B" w:rsidRPr="00650EE4" w14:paraId="15620711" w14:textId="77777777" w:rsidTr="00A03881">
        <w:tc>
          <w:tcPr>
            <w:tcW w:w="1026" w:type="pct"/>
            <w:vMerge/>
            <w:tcBorders>
              <w:top w:val="single" w:sz="4" w:space="0" w:color="auto"/>
              <w:left w:val="single" w:sz="4" w:space="0" w:color="auto"/>
              <w:bottom w:val="single" w:sz="4" w:space="0" w:color="000000"/>
              <w:right w:val="nil"/>
            </w:tcBorders>
            <w:vAlign w:val="center"/>
            <w:hideMark/>
          </w:tcPr>
          <w:p w14:paraId="72EEFD27" w14:textId="77777777" w:rsidR="00632C0B" w:rsidRPr="00650EE4" w:rsidRDefault="00632C0B" w:rsidP="00632C0B">
            <w:pPr>
              <w:spacing w:line="240" w:lineRule="auto"/>
              <w:rPr>
                <w:rFonts w:ascii="Times New Roman" w:eastAsia="Times New Roman" w:hAnsi="Times New Roman"/>
                <w:b/>
                <w:bCs/>
                <w:sz w:val="20"/>
                <w:szCs w:val="20"/>
              </w:rPr>
            </w:pPr>
          </w:p>
        </w:tc>
        <w:tc>
          <w:tcPr>
            <w:tcW w:w="529" w:type="pct"/>
            <w:tcBorders>
              <w:top w:val="nil"/>
              <w:left w:val="single" w:sz="4" w:space="0" w:color="auto"/>
              <w:bottom w:val="single" w:sz="4" w:space="0" w:color="auto"/>
              <w:right w:val="nil"/>
            </w:tcBorders>
            <w:shd w:val="clear" w:color="000000" w:fill="FFFFFF"/>
            <w:vAlign w:val="center"/>
            <w:hideMark/>
          </w:tcPr>
          <w:p w14:paraId="5572ADBD" w14:textId="1673E5EC"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460" w:type="pct"/>
            <w:tcBorders>
              <w:top w:val="nil"/>
              <w:left w:val="nil"/>
              <w:bottom w:val="single" w:sz="4" w:space="0" w:color="auto"/>
              <w:right w:val="nil"/>
            </w:tcBorders>
            <w:shd w:val="clear" w:color="000000" w:fill="FFFFFF"/>
            <w:vAlign w:val="center"/>
            <w:hideMark/>
          </w:tcPr>
          <w:p w14:paraId="2B800D25"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486" w:type="pct"/>
            <w:tcBorders>
              <w:top w:val="nil"/>
              <w:left w:val="nil"/>
              <w:bottom w:val="single" w:sz="4" w:space="0" w:color="auto"/>
              <w:right w:val="nil"/>
            </w:tcBorders>
            <w:shd w:val="clear" w:color="000000" w:fill="FFFFFF"/>
            <w:vAlign w:val="center"/>
            <w:hideMark/>
          </w:tcPr>
          <w:p w14:paraId="6A8503FA"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556" w:type="pct"/>
            <w:tcBorders>
              <w:top w:val="nil"/>
              <w:left w:val="nil"/>
              <w:bottom w:val="single" w:sz="4" w:space="0" w:color="auto"/>
              <w:right w:val="nil"/>
            </w:tcBorders>
            <w:shd w:val="clear" w:color="000000" w:fill="FFFFFF"/>
            <w:vAlign w:val="center"/>
            <w:hideMark/>
          </w:tcPr>
          <w:p w14:paraId="0BF68F3A"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8" w:type="pct"/>
            <w:tcBorders>
              <w:top w:val="nil"/>
              <w:left w:val="nil"/>
              <w:bottom w:val="single" w:sz="4" w:space="0" w:color="auto"/>
              <w:right w:val="nil"/>
            </w:tcBorders>
            <w:shd w:val="clear" w:color="000000" w:fill="FFFFFF"/>
            <w:vAlign w:val="center"/>
            <w:hideMark/>
          </w:tcPr>
          <w:p w14:paraId="0CE14BC9"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7" w:type="pct"/>
            <w:tcBorders>
              <w:top w:val="nil"/>
              <w:left w:val="nil"/>
              <w:bottom w:val="single" w:sz="4" w:space="0" w:color="auto"/>
              <w:right w:val="single" w:sz="4" w:space="0" w:color="auto"/>
            </w:tcBorders>
            <w:shd w:val="clear" w:color="000000" w:fill="FFFFFF"/>
            <w:vAlign w:val="center"/>
            <w:hideMark/>
          </w:tcPr>
          <w:p w14:paraId="3A251BD6" w14:textId="77777777" w:rsidR="00632C0B" w:rsidRPr="00650EE4" w:rsidRDefault="00632C0B" w:rsidP="00632C0B">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487" w:type="pct"/>
            <w:vMerge/>
            <w:tcBorders>
              <w:top w:val="single" w:sz="4" w:space="0" w:color="auto"/>
              <w:left w:val="nil"/>
              <w:bottom w:val="single" w:sz="4" w:space="0" w:color="000000"/>
              <w:right w:val="nil"/>
            </w:tcBorders>
            <w:vAlign w:val="center"/>
            <w:hideMark/>
          </w:tcPr>
          <w:p w14:paraId="3CA9B4F6" w14:textId="77777777" w:rsidR="00632C0B" w:rsidRPr="00650EE4" w:rsidRDefault="00632C0B" w:rsidP="00632C0B">
            <w:pPr>
              <w:spacing w:line="240" w:lineRule="auto"/>
              <w:rPr>
                <w:rFonts w:ascii="Times New Roman" w:eastAsia="Times New Roman" w:hAnsi="Times New Roman"/>
                <w:b/>
                <w:bCs/>
                <w:sz w:val="20"/>
                <w:szCs w:val="20"/>
              </w:rPr>
            </w:pPr>
          </w:p>
        </w:tc>
        <w:tc>
          <w:tcPr>
            <w:tcW w:w="481" w:type="pct"/>
            <w:vMerge/>
            <w:tcBorders>
              <w:top w:val="single" w:sz="4" w:space="0" w:color="auto"/>
              <w:left w:val="single" w:sz="4" w:space="0" w:color="auto"/>
              <w:bottom w:val="single" w:sz="4" w:space="0" w:color="000000"/>
              <w:right w:val="single" w:sz="4" w:space="0" w:color="auto"/>
            </w:tcBorders>
            <w:vAlign w:val="center"/>
            <w:hideMark/>
          </w:tcPr>
          <w:p w14:paraId="55902180" w14:textId="77777777" w:rsidR="00632C0B" w:rsidRPr="00650EE4" w:rsidRDefault="00632C0B" w:rsidP="00632C0B">
            <w:pPr>
              <w:spacing w:line="240" w:lineRule="auto"/>
              <w:rPr>
                <w:rFonts w:ascii="Times New Roman" w:eastAsia="Times New Roman" w:hAnsi="Times New Roman"/>
                <w:b/>
                <w:bCs/>
                <w:sz w:val="20"/>
                <w:szCs w:val="20"/>
              </w:rPr>
            </w:pPr>
          </w:p>
        </w:tc>
      </w:tr>
      <w:tr w:rsidR="00632C0B" w:rsidRPr="00650EE4" w14:paraId="0F2E0FAA" w14:textId="77777777" w:rsidTr="00A03881">
        <w:tc>
          <w:tcPr>
            <w:tcW w:w="1026" w:type="pct"/>
            <w:tcBorders>
              <w:top w:val="nil"/>
              <w:left w:val="single" w:sz="4" w:space="0" w:color="auto"/>
              <w:bottom w:val="single" w:sz="4" w:space="0" w:color="auto"/>
              <w:right w:val="single" w:sz="4" w:space="0" w:color="auto"/>
            </w:tcBorders>
            <w:shd w:val="clear" w:color="000000" w:fill="F2F2F2"/>
            <w:noWrap/>
            <w:vAlign w:val="center"/>
            <w:hideMark/>
          </w:tcPr>
          <w:p w14:paraId="6CB5C94D"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1.Gyvenamieji</w:t>
            </w:r>
          </w:p>
        </w:tc>
        <w:tc>
          <w:tcPr>
            <w:tcW w:w="529" w:type="pct"/>
            <w:tcBorders>
              <w:top w:val="nil"/>
              <w:left w:val="nil"/>
              <w:bottom w:val="single" w:sz="4" w:space="0" w:color="auto"/>
              <w:right w:val="nil"/>
            </w:tcBorders>
            <w:shd w:val="clear" w:color="000000" w:fill="F2F2F2"/>
            <w:noWrap/>
            <w:vAlign w:val="center"/>
            <w:hideMark/>
          </w:tcPr>
          <w:p w14:paraId="14F87CA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19.252</w:t>
            </w:r>
          </w:p>
        </w:tc>
        <w:tc>
          <w:tcPr>
            <w:tcW w:w="460" w:type="pct"/>
            <w:tcBorders>
              <w:top w:val="nil"/>
              <w:left w:val="nil"/>
              <w:bottom w:val="single" w:sz="4" w:space="0" w:color="auto"/>
              <w:right w:val="nil"/>
            </w:tcBorders>
            <w:shd w:val="clear" w:color="000000" w:fill="F2F2F2"/>
            <w:noWrap/>
            <w:vAlign w:val="center"/>
            <w:hideMark/>
          </w:tcPr>
          <w:p w14:paraId="1BD382F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4.203</w:t>
            </w:r>
          </w:p>
        </w:tc>
        <w:tc>
          <w:tcPr>
            <w:tcW w:w="486" w:type="pct"/>
            <w:tcBorders>
              <w:top w:val="nil"/>
              <w:left w:val="nil"/>
              <w:bottom w:val="single" w:sz="4" w:space="0" w:color="auto"/>
              <w:right w:val="nil"/>
            </w:tcBorders>
            <w:shd w:val="clear" w:color="000000" w:fill="F2F2F2"/>
            <w:noWrap/>
            <w:vAlign w:val="center"/>
            <w:hideMark/>
          </w:tcPr>
          <w:p w14:paraId="1C54053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2.111</w:t>
            </w:r>
          </w:p>
        </w:tc>
        <w:tc>
          <w:tcPr>
            <w:tcW w:w="556" w:type="pct"/>
            <w:tcBorders>
              <w:top w:val="nil"/>
              <w:left w:val="nil"/>
              <w:bottom w:val="single" w:sz="4" w:space="0" w:color="auto"/>
              <w:right w:val="nil"/>
            </w:tcBorders>
            <w:shd w:val="clear" w:color="000000" w:fill="F2F2F2"/>
            <w:noWrap/>
            <w:vAlign w:val="center"/>
            <w:hideMark/>
          </w:tcPr>
          <w:p w14:paraId="5E58CD65"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187</w:t>
            </w:r>
          </w:p>
        </w:tc>
        <w:tc>
          <w:tcPr>
            <w:tcW w:w="488" w:type="pct"/>
            <w:tcBorders>
              <w:top w:val="nil"/>
              <w:left w:val="nil"/>
              <w:bottom w:val="single" w:sz="4" w:space="0" w:color="auto"/>
              <w:right w:val="nil"/>
            </w:tcBorders>
            <w:shd w:val="clear" w:color="000000" w:fill="F2F2F2"/>
            <w:noWrap/>
            <w:vAlign w:val="center"/>
            <w:hideMark/>
          </w:tcPr>
          <w:p w14:paraId="0FCC814C"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29</w:t>
            </w:r>
          </w:p>
        </w:tc>
        <w:tc>
          <w:tcPr>
            <w:tcW w:w="487" w:type="pct"/>
            <w:tcBorders>
              <w:top w:val="nil"/>
              <w:left w:val="nil"/>
              <w:bottom w:val="single" w:sz="4" w:space="0" w:color="auto"/>
              <w:right w:val="single" w:sz="4" w:space="0" w:color="auto"/>
            </w:tcBorders>
            <w:shd w:val="clear" w:color="000000" w:fill="F2F2F2"/>
            <w:noWrap/>
            <w:vAlign w:val="center"/>
            <w:hideMark/>
          </w:tcPr>
          <w:p w14:paraId="3388FFC6"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w:t>
            </w:r>
          </w:p>
        </w:tc>
        <w:tc>
          <w:tcPr>
            <w:tcW w:w="487" w:type="pct"/>
            <w:tcBorders>
              <w:top w:val="nil"/>
              <w:left w:val="nil"/>
              <w:bottom w:val="single" w:sz="4" w:space="0" w:color="auto"/>
              <w:right w:val="nil"/>
            </w:tcBorders>
            <w:shd w:val="clear" w:color="000000" w:fill="F2F2F2"/>
            <w:noWrap/>
            <w:vAlign w:val="center"/>
            <w:hideMark/>
          </w:tcPr>
          <w:p w14:paraId="29C92D7E"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25.783</w:t>
            </w:r>
          </w:p>
        </w:tc>
        <w:tc>
          <w:tcPr>
            <w:tcW w:w="481" w:type="pct"/>
            <w:tcBorders>
              <w:top w:val="nil"/>
              <w:left w:val="single" w:sz="4" w:space="0" w:color="auto"/>
              <w:bottom w:val="single" w:sz="4" w:space="0" w:color="auto"/>
              <w:right w:val="single" w:sz="4" w:space="0" w:color="auto"/>
            </w:tcBorders>
            <w:shd w:val="clear" w:color="000000" w:fill="F2F2F2"/>
            <w:noWrap/>
            <w:vAlign w:val="center"/>
            <w:hideMark/>
          </w:tcPr>
          <w:p w14:paraId="25E2F71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63%</w:t>
            </w:r>
          </w:p>
        </w:tc>
      </w:tr>
      <w:tr w:rsidR="00632C0B" w:rsidRPr="00650EE4" w14:paraId="1D18C1C7" w14:textId="77777777" w:rsidTr="00A03881">
        <w:tc>
          <w:tcPr>
            <w:tcW w:w="1026" w:type="pct"/>
            <w:tcBorders>
              <w:top w:val="nil"/>
              <w:left w:val="single" w:sz="4" w:space="0" w:color="auto"/>
              <w:bottom w:val="nil"/>
              <w:right w:val="nil"/>
            </w:tcBorders>
            <w:shd w:val="clear" w:color="000000" w:fill="FFFFFF"/>
            <w:noWrap/>
            <w:vAlign w:val="center"/>
            <w:hideMark/>
          </w:tcPr>
          <w:p w14:paraId="751BAC38"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1.1.Individualūs</w:t>
            </w:r>
          </w:p>
        </w:tc>
        <w:tc>
          <w:tcPr>
            <w:tcW w:w="529" w:type="pct"/>
            <w:tcBorders>
              <w:top w:val="nil"/>
              <w:left w:val="single" w:sz="4" w:space="0" w:color="auto"/>
              <w:bottom w:val="nil"/>
              <w:right w:val="nil"/>
            </w:tcBorders>
            <w:shd w:val="clear" w:color="000000" w:fill="FFFFFF"/>
            <w:noWrap/>
            <w:vAlign w:val="center"/>
            <w:hideMark/>
          </w:tcPr>
          <w:p w14:paraId="41AADAC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9.704</w:t>
            </w:r>
          </w:p>
        </w:tc>
        <w:tc>
          <w:tcPr>
            <w:tcW w:w="460" w:type="pct"/>
            <w:tcBorders>
              <w:top w:val="nil"/>
              <w:left w:val="nil"/>
              <w:bottom w:val="nil"/>
              <w:right w:val="nil"/>
            </w:tcBorders>
            <w:shd w:val="clear" w:color="000000" w:fill="FFFFFF"/>
            <w:noWrap/>
            <w:vAlign w:val="center"/>
            <w:hideMark/>
          </w:tcPr>
          <w:p w14:paraId="5297D6A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3.068</w:t>
            </w:r>
          </w:p>
        </w:tc>
        <w:tc>
          <w:tcPr>
            <w:tcW w:w="486" w:type="pct"/>
            <w:tcBorders>
              <w:top w:val="nil"/>
              <w:left w:val="nil"/>
              <w:bottom w:val="nil"/>
              <w:right w:val="nil"/>
            </w:tcBorders>
            <w:shd w:val="clear" w:color="000000" w:fill="FFFFFF"/>
            <w:noWrap/>
            <w:vAlign w:val="center"/>
            <w:hideMark/>
          </w:tcPr>
          <w:p w14:paraId="26121CF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897</w:t>
            </w:r>
          </w:p>
        </w:tc>
        <w:tc>
          <w:tcPr>
            <w:tcW w:w="556" w:type="pct"/>
            <w:tcBorders>
              <w:top w:val="nil"/>
              <w:left w:val="nil"/>
              <w:bottom w:val="nil"/>
              <w:right w:val="nil"/>
            </w:tcBorders>
            <w:shd w:val="clear" w:color="000000" w:fill="FFFFFF"/>
            <w:noWrap/>
            <w:vAlign w:val="center"/>
            <w:hideMark/>
          </w:tcPr>
          <w:p w14:paraId="1FEDB2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488" w:type="pct"/>
            <w:tcBorders>
              <w:top w:val="nil"/>
              <w:left w:val="nil"/>
              <w:bottom w:val="nil"/>
              <w:right w:val="nil"/>
            </w:tcBorders>
            <w:shd w:val="clear" w:color="000000" w:fill="FFFFFF"/>
            <w:noWrap/>
            <w:vAlign w:val="center"/>
            <w:hideMark/>
          </w:tcPr>
          <w:p w14:paraId="7CE5CDF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487" w:type="pct"/>
            <w:tcBorders>
              <w:top w:val="nil"/>
              <w:left w:val="nil"/>
              <w:bottom w:val="nil"/>
              <w:right w:val="single" w:sz="4" w:space="0" w:color="auto"/>
            </w:tcBorders>
            <w:shd w:val="clear" w:color="000000" w:fill="FFFFFF"/>
            <w:noWrap/>
            <w:vAlign w:val="center"/>
            <w:hideMark/>
          </w:tcPr>
          <w:p w14:paraId="171C358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303F6FE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13.806</w:t>
            </w:r>
          </w:p>
        </w:tc>
        <w:tc>
          <w:tcPr>
            <w:tcW w:w="481" w:type="pct"/>
            <w:tcBorders>
              <w:top w:val="nil"/>
              <w:left w:val="single" w:sz="4" w:space="0" w:color="auto"/>
              <w:bottom w:val="nil"/>
              <w:right w:val="single" w:sz="4" w:space="0" w:color="auto"/>
            </w:tcBorders>
            <w:shd w:val="clear" w:color="000000" w:fill="FFFFFF"/>
            <w:noWrap/>
            <w:vAlign w:val="center"/>
            <w:hideMark/>
          </w:tcPr>
          <w:p w14:paraId="0CB529F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r>
      <w:tr w:rsidR="00632C0B" w:rsidRPr="00650EE4" w14:paraId="4AECE1A3" w14:textId="77777777" w:rsidTr="00A03881">
        <w:tc>
          <w:tcPr>
            <w:tcW w:w="1026" w:type="pct"/>
            <w:tcBorders>
              <w:top w:val="nil"/>
              <w:left w:val="single" w:sz="4" w:space="0" w:color="auto"/>
              <w:bottom w:val="nil"/>
              <w:right w:val="nil"/>
            </w:tcBorders>
            <w:shd w:val="clear" w:color="000000" w:fill="FFFFFF"/>
            <w:noWrap/>
            <w:vAlign w:val="center"/>
            <w:hideMark/>
          </w:tcPr>
          <w:p w14:paraId="59CEB43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1.2.Daugiabučiai</w:t>
            </w:r>
          </w:p>
        </w:tc>
        <w:tc>
          <w:tcPr>
            <w:tcW w:w="529" w:type="pct"/>
            <w:tcBorders>
              <w:top w:val="nil"/>
              <w:left w:val="single" w:sz="4" w:space="0" w:color="auto"/>
              <w:bottom w:val="nil"/>
              <w:right w:val="nil"/>
            </w:tcBorders>
            <w:shd w:val="clear" w:color="000000" w:fill="FFFFFF"/>
            <w:noWrap/>
            <w:vAlign w:val="center"/>
            <w:hideMark/>
          </w:tcPr>
          <w:p w14:paraId="69E4F31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9.548</w:t>
            </w:r>
          </w:p>
        </w:tc>
        <w:tc>
          <w:tcPr>
            <w:tcW w:w="460" w:type="pct"/>
            <w:tcBorders>
              <w:top w:val="nil"/>
              <w:left w:val="nil"/>
              <w:bottom w:val="nil"/>
              <w:right w:val="nil"/>
            </w:tcBorders>
            <w:shd w:val="clear" w:color="000000" w:fill="FFFFFF"/>
            <w:noWrap/>
            <w:vAlign w:val="center"/>
            <w:hideMark/>
          </w:tcPr>
          <w:p w14:paraId="0F4F2B1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1.135</w:t>
            </w:r>
          </w:p>
        </w:tc>
        <w:tc>
          <w:tcPr>
            <w:tcW w:w="486" w:type="pct"/>
            <w:tcBorders>
              <w:top w:val="nil"/>
              <w:left w:val="nil"/>
              <w:bottom w:val="nil"/>
              <w:right w:val="nil"/>
            </w:tcBorders>
            <w:shd w:val="clear" w:color="000000" w:fill="FFFFFF"/>
            <w:noWrap/>
            <w:vAlign w:val="center"/>
            <w:hideMark/>
          </w:tcPr>
          <w:p w14:paraId="6B3450B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1.213</w:t>
            </w:r>
          </w:p>
        </w:tc>
        <w:tc>
          <w:tcPr>
            <w:tcW w:w="556" w:type="pct"/>
            <w:tcBorders>
              <w:top w:val="nil"/>
              <w:left w:val="nil"/>
              <w:bottom w:val="nil"/>
              <w:right w:val="nil"/>
            </w:tcBorders>
            <w:shd w:val="clear" w:color="000000" w:fill="FFFFFF"/>
            <w:noWrap/>
            <w:vAlign w:val="center"/>
            <w:hideMark/>
          </w:tcPr>
          <w:p w14:paraId="5108798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61</w:t>
            </w:r>
          </w:p>
        </w:tc>
        <w:tc>
          <w:tcPr>
            <w:tcW w:w="488" w:type="pct"/>
            <w:tcBorders>
              <w:top w:val="nil"/>
              <w:left w:val="nil"/>
              <w:bottom w:val="nil"/>
              <w:right w:val="nil"/>
            </w:tcBorders>
            <w:shd w:val="clear" w:color="000000" w:fill="FFFFFF"/>
            <w:noWrap/>
            <w:vAlign w:val="center"/>
            <w:hideMark/>
          </w:tcPr>
          <w:p w14:paraId="4D2A369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487" w:type="pct"/>
            <w:tcBorders>
              <w:top w:val="nil"/>
              <w:left w:val="nil"/>
              <w:bottom w:val="nil"/>
              <w:right w:val="single" w:sz="4" w:space="0" w:color="auto"/>
            </w:tcBorders>
            <w:shd w:val="clear" w:color="000000" w:fill="FFFFFF"/>
            <w:noWrap/>
            <w:vAlign w:val="center"/>
            <w:hideMark/>
          </w:tcPr>
          <w:p w14:paraId="677CE17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7" w:type="pct"/>
            <w:tcBorders>
              <w:top w:val="nil"/>
              <w:left w:val="nil"/>
              <w:bottom w:val="nil"/>
              <w:right w:val="nil"/>
            </w:tcBorders>
            <w:shd w:val="clear" w:color="000000" w:fill="FFFFFF"/>
            <w:noWrap/>
            <w:vAlign w:val="center"/>
            <w:hideMark/>
          </w:tcPr>
          <w:p w14:paraId="3CE2B5A6"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11.977</w:t>
            </w:r>
          </w:p>
        </w:tc>
        <w:tc>
          <w:tcPr>
            <w:tcW w:w="481" w:type="pct"/>
            <w:tcBorders>
              <w:top w:val="nil"/>
              <w:left w:val="single" w:sz="4" w:space="0" w:color="auto"/>
              <w:bottom w:val="nil"/>
              <w:right w:val="single" w:sz="4" w:space="0" w:color="auto"/>
            </w:tcBorders>
            <w:shd w:val="clear" w:color="000000" w:fill="FFFFFF"/>
            <w:noWrap/>
            <w:vAlign w:val="center"/>
            <w:hideMark/>
          </w:tcPr>
          <w:p w14:paraId="605F8136"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r>
      <w:tr w:rsidR="00632C0B" w:rsidRPr="00650EE4" w14:paraId="0B7CC0C5" w14:textId="77777777" w:rsidTr="00A03881">
        <w:tc>
          <w:tcPr>
            <w:tcW w:w="1026"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7C990F11" w14:textId="77777777" w:rsidR="00632C0B" w:rsidRPr="00650EE4" w:rsidRDefault="00632C0B" w:rsidP="00017447">
            <w:pPr>
              <w:spacing w:line="240" w:lineRule="auto"/>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2.Negyvenamieji</w:t>
            </w:r>
          </w:p>
        </w:tc>
        <w:tc>
          <w:tcPr>
            <w:tcW w:w="529" w:type="pct"/>
            <w:tcBorders>
              <w:top w:val="single" w:sz="4" w:space="0" w:color="auto"/>
              <w:left w:val="nil"/>
              <w:bottom w:val="single" w:sz="4" w:space="0" w:color="auto"/>
              <w:right w:val="nil"/>
            </w:tcBorders>
            <w:shd w:val="clear" w:color="000000" w:fill="F2F2F2"/>
            <w:noWrap/>
            <w:vAlign w:val="center"/>
            <w:hideMark/>
          </w:tcPr>
          <w:p w14:paraId="16E3EBC0"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12.339</w:t>
            </w:r>
          </w:p>
        </w:tc>
        <w:tc>
          <w:tcPr>
            <w:tcW w:w="460" w:type="pct"/>
            <w:tcBorders>
              <w:top w:val="single" w:sz="4" w:space="0" w:color="auto"/>
              <w:left w:val="nil"/>
              <w:bottom w:val="single" w:sz="4" w:space="0" w:color="auto"/>
              <w:right w:val="nil"/>
            </w:tcBorders>
            <w:shd w:val="clear" w:color="000000" w:fill="F2F2F2"/>
            <w:noWrap/>
            <w:vAlign w:val="center"/>
            <w:hideMark/>
          </w:tcPr>
          <w:p w14:paraId="40D7DFDE"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1.176</w:t>
            </w:r>
          </w:p>
        </w:tc>
        <w:tc>
          <w:tcPr>
            <w:tcW w:w="486" w:type="pct"/>
            <w:tcBorders>
              <w:top w:val="single" w:sz="4" w:space="0" w:color="auto"/>
              <w:left w:val="nil"/>
              <w:bottom w:val="single" w:sz="4" w:space="0" w:color="auto"/>
              <w:right w:val="nil"/>
            </w:tcBorders>
            <w:shd w:val="clear" w:color="000000" w:fill="F2F2F2"/>
            <w:noWrap/>
            <w:vAlign w:val="center"/>
            <w:hideMark/>
          </w:tcPr>
          <w:p w14:paraId="34B42D8D"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1.300</w:t>
            </w:r>
          </w:p>
        </w:tc>
        <w:tc>
          <w:tcPr>
            <w:tcW w:w="556" w:type="pct"/>
            <w:tcBorders>
              <w:top w:val="single" w:sz="4" w:space="0" w:color="auto"/>
              <w:left w:val="nil"/>
              <w:bottom w:val="single" w:sz="4" w:space="0" w:color="auto"/>
              <w:right w:val="nil"/>
            </w:tcBorders>
            <w:shd w:val="clear" w:color="000000" w:fill="F2F2F2"/>
            <w:noWrap/>
            <w:vAlign w:val="center"/>
            <w:hideMark/>
          </w:tcPr>
          <w:p w14:paraId="7F445542"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149</w:t>
            </w:r>
          </w:p>
        </w:tc>
        <w:tc>
          <w:tcPr>
            <w:tcW w:w="488" w:type="pct"/>
            <w:tcBorders>
              <w:top w:val="single" w:sz="4" w:space="0" w:color="auto"/>
              <w:left w:val="nil"/>
              <w:bottom w:val="single" w:sz="4" w:space="0" w:color="auto"/>
              <w:right w:val="nil"/>
            </w:tcBorders>
            <w:shd w:val="clear" w:color="000000" w:fill="F2F2F2"/>
            <w:noWrap/>
            <w:vAlign w:val="center"/>
            <w:hideMark/>
          </w:tcPr>
          <w:p w14:paraId="7B87B969"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55</w:t>
            </w:r>
          </w:p>
        </w:tc>
        <w:tc>
          <w:tcPr>
            <w:tcW w:w="487" w:type="pct"/>
            <w:tcBorders>
              <w:top w:val="single" w:sz="4" w:space="0" w:color="auto"/>
              <w:left w:val="nil"/>
              <w:bottom w:val="single" w:sz="4" w:space="0" w:color="auto"/>
              <w:right w:val="single" w:sz="4" w:space="0" w:color="auto"/>
            </w:tcBorders>
            <w:shd w:val="clear" w:color="000000" w:fill="F2F2F2"/>
            <w:noWrap/>
            <w:vAlign w:val="center"/>
            <w:hideMark/>
          </w:tcPr>
          <w:p w14:paraId="20E0FBD7"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w:t>
            </w:r>
          </w:p>
        </w:tc>
        <w:tc>
          <w:tcPr>
            <w:tcW w:w="487" w:type="pct"/>
            <w:tcBorders>
              <w:top w:val="single" w:sz="4" w:space="0" w:color="auto"/>
              <w:left w:val="nil"/>
              <w:bottom w:val="single" w:sz="4" w:space="0" w:color="auto"/>
              <w:right w:val="nil"/>
            </w:tcBorders>
            <w:shd w:val="clear" w:color="000000" w:fill="F2F2F2"/>
            <w:noWrap/>
            <w:vAlign w:val="center"/>
            <w:hideMark/>
          </w:tcPr>
          <w:p w14:paraId="722A22F8"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15.031</w:t>
            </w:r>
          </w:p>
        </w:tc>
        <w:tc>
          <w:tcPr>
            <w:tcW w:w="481" w:type="pc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58C8951" w14:textId="77777777" w:rsidR="00632C0B" w:rsidRPr="00650EE4" w:rsidRDefault="00632C0B" w:rsidP="00017447">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37%</w:t>
            </w:r>
          </w:p>
        </w:tc>
      </w:tr>
      <w:tr w:rsidR="00632C0B" w:rsidRPr="00650EE4" w14:paraId="70D71F36" w14:textId="77777777" w:rsidTr="00A03881">
        <w:tc>
          <w:tcPr>
            <w:tcW w:w="1026" w:type="pct"/>
            <w:tcBorders>
              <w:top w:val="nil"/>
              <w:left w:val="single" w:sz="4" w:space="0" w:color="auto"/>
              <w:bottom w:val="nil"/>
              <w:right w:val="nil"/>
            </w:tcBorders>
            <w:shd w:val="clear" w:color="000000" w:fill="FFFFFF"/>
            <w:noWrap/>
            <w:vAlign w:val="center"/>
            <w:hideMark/>
          </w:tcPr>
          <w:p w14:paraId="4BFBFEF6"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2.1.Pramonės</w:t>
            </w:r>
          </w:p>
        </w:tc>
        <w:tc>
          <w:tcPr>
            <w:tcW w:w="529" w:type="pct"/>
            <w:tcBorders>
              <w:top w:val="nil"/>
              <w:left w:val="single" w:sz="4" w:space="0" w:color="auto"/>
              <w:bottom w:val="nil"/>
              <w:right w:val="nil"/>
            </w:tcBorders>
            <w:shd w:val="clear" w:color="000000" w:fill="FFFFFF"/>
            <w:noWrap/>
            <w:vAlign w:val="center"/>
            <w:hideMark/>
          </w:tcPr>
          <w:p w14:paraId="1D71027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6.552</w:t>
            </w:r>
          </w:p>
        </w:tc>
        <w:tc>
          <w:tcPr>
            <w:tcW w:w="460" w:type="pct"/>
            <w:tcBorders>
              <w:top w:val="nil"/>
              <w:left w:val="nil"/>
              <w:bottom w:val="nil"/>
              <w:right w:val="nil"/>
            </w:tcBorders>
            <w:shd w:val="clear" w:color="000000" w:fill="FFFFFF"/>
            <w:noWrap/>
            <w:vAlign w:val="center"/>
            <w:hideMark/>
          </w:tcPr>
          <w:p w14:paraId="1377E2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486" w:type="pct"/>
            <w:tcBorders>
              <w:top w:val="nil"/>
              <w:left w:val="nil"/>
              <w:bottom w:val="nil"/>
              <w:right w:val="nil"/>
            </w:tcBorders>
            <w:shd w:val="clear" w:color="000000" w:fill="FFFFFF"/>
            <w:noWrap/>
            <w:vAlign w:val="center"/>
            <w:hideMark/>
          </w:tcPr>
          <w:p w14:paraId="794770D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56" w:type="pct"/>
            <w:tcBorders>
              <w:top w:val="nil"/>
              <w:left w:val="nil"/>
              <w:bottom w:val="nil"/>
              <w:right w:val="nil"/>
            </w:tcBorders>
            <w:shd w:val="clear" w:color="000000" w:fill="FFFFFF"/>
            <w:noWrap/>
            <w:vAlign w:val="center"/>
            <w:hideMark/>
          </w:tcPr>
          <w:p w14:paraId="44C083D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55</w:t>
            </w:r>
          </w:p>
        </w:tc>
        <w:tc>
          <w:tcPr>
            <w:tcW w:w="488" w:type="pct"/>
            <w:tcBorders>
              <w:top w:val="nil"/>
              <w:left w:val="nil"/>
              <w:bottom w:val="nil"/>
              <w:right w:val="nil"/>
            </w:tcBorders>
            <w:shd w:val="clear" w:color="000000" w:fill="FFFFFF"/>
            <w:noWrap/>
            <w:vAlign w:val="center"/>
            <w:hideMark/>
          </w:tcPr>
          <w:p w14:paraId="288E3DF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487" w:type="pct"/>
            <w:tcBorders>
              <w:top w:val="nil"/>
              <w:left w:val="nil"/>
              <w:bottom w:val="nil"/>
              <w:right w:val="single" w:sz="4" w:space="0" w:color="auto"/>
            </w:tcBorders>
            <w:shd w:val="clear" w:color="000000" w:fill="FFFFFF"/>
            <w:noWrap/>
            <w:vAlign w:val="center"/>
            <w:hideMark/>
          </w:tcPr>
          <w:p w14:paraId="73EB564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87" w:type="pct"/>
            <w:tcBorders>
              <w:top w:val="nil"/>
              <w:left w:val="nil"/>
              <w:bottom w:val="nil"/>
              <w:right w:val="nil"/>
            </w:tcBorders>
            <w:shd w:val="clear" w:color="000000" w:fill="FFFFFF"/>
            <w:noWrap/>
            <w:vAlign w:val="center"/>
            <w:hideMark/>
          </w:tcPr>
          <w:p w14:paraId="26593104"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7.267</w:t>
            </w:r>
          </w:p>
        </w:tc>
        <w:tc>
          <w:tcPr>
            <w:tcW w:w="481" w:type="pct"/>
            <w:tcBorders>
              <w:top w:val="nil"/>
              <w:left w:val="single" w:sz="4" w:space="0" w:color="auto"/>
              <w:bottom w:val="nil"/>
              <w:right w:val="single" w:sz="4" w:space="0" w:color="auto"/>
            </w:tcBorders>
            <w:shd w:val="clear" w:color="000000" w:fill="FFFFFF"/>
            <w:noWrap/>
            <w:vAlign w:val="center"/>
            <w:hideMark/>
          </w:tcPr>
          <w:p w14:paraId="46BA36D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r>
      <w:tr w:rsidR="00632C0B" w:rsidRPr="00650EE4" w14:paraId="1F0D5B73" w14:textId="77777777" w:rsidTr="00A03881">
        <w:tc>
          <w:tcPr>
            <w:tcW w:w="1026" w:type="pct"/>
            <w:tcBorders>
              <w:top w:val="nil"/>
              <w:left w:val="single" w:sz="4" w:space="0" w:color="auto"/>
              <w:bottom w:val="nil"/>
              <w:right w:val="nil"/>
            </w:tcBorders>
            <w:shd w:val="clear" w:color="000000" w:fill="FFFFFF"/>
            <w:noWrap/>
            <w:vAlign w:val="center"/>
            <w:hideMark/>
          </w:tcPr>
          <w:p w14:paraId="07D5488A"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2.2.Administraciniai</w:t>
            </w:r>
          </w:p>
        </w:tc>
        <w:tc>
          <w:tcPr>
            <w:tcW w:w="529" w:type="pct"/>
            <w:tcBorders>
              <w:top w:val="nil"/>
              <w:left w:val="single" w:sz="4" w:space="0" w:color="auto"/>
              <w:bottom w:val="nil"/>
              <w:right w:val="nil"/>
            </w:tcBorders>
            <w:shd w:val="clear" w:color="000000" w:fill="FFFFFF"/>
            <w:noWrap/>
            <w:vAlign w:val="center"/>
            <w:hideMark/>
          </w:tcPr>
          <w:p w14:paraId="1C4C9B9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1.810</w:t>
            </w:r>
          </w:p>
        </w:tc>
        <w:tc>
          <w:tcPr>
            <w:tcW w:w="460" w:type="pct"/>
            <w:tcBorders>
              <w:top w:val="nil"/>
              <w:left w:val="nil"/>
              <w:bottom w:val="nil"/>
              <w:right w:val="nil"/>
            </w:tcBorders>
            <w:shd w:val="clear" w:color="000000" w:fill="FFFFFF"/>
            <w:noWrap/>
            <w:vAlign w:val="center"/>
            <w:hideMark/>
          </w:tcPr>
          <w:p w14:paraId="41F9D84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178</w:t>
            </w:r>
          </w:p>
        </w:tc>
        <w:tc>
          <w:tcPr>
            <w:tcW w:w="486" w:type="pct"/>
            <w:tcBorders>
              <w:top w:val="nil"/>
              <w:left w:val="nil"/>
              <w:bottom w:val="nil"/>
              <w:right w:val="nil"/>
            </w:tcBorders>
            <w:shd w:val="clear" w:color="000000" w:fill="FFFFFF"/>
            <w:noWrap/>
            <w:vAlign w:val="center"/>
            <w:hideMark/>
          </w:tcPr>
          <w:p w14:paraId="28EC0A1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w:t>
            </w:r>
          </w:p>
        </w:tc>
        <w:tc>
          <w:tcPr>
            <w:tcW w:w="556" w:type="pct"/>
            <w:tcBorders>
              <w:top w:val="nil"/>
              <w:left w:val="nil"/>
              <w:bottom w:val="nil"/>
              <w:right w:val="nil"/>
            </w:tcBorders>
            <w:shd w:val="clear" w:color="000000" w:fill="FFFFFF"/>
            <w:noWrap/>
            <w:vAlign w:val="center"/>
            <w:hideMark/>
          </w:tcPr>
          <w:p w14:paraId="024CFC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57</w:t>
            </w:r>
          </w:p>
        </w:tc>
        <w:tc>
          <w:tcPr>
            <w:tcW w:w="488" w:type="pct"/>
            <w:tcBorders>
              <w:top w:val="nil"/>
              <w:left w:val="nil"/>
              <w:bottom w:val="nil"/>
              <w:right w:val="nil"/>
            </w:tcBorders>
            <w:shd w:val="clear" w:color="000000" w:fill="FFFFFF"/>
            <w:noWrap/>
            <w:vAlign w:val="center"/>
            <w:hideMark/>
          </w:tcPr>
          <w:p w14:paraId="5E78539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7" w:type="pct"/>
            <w:tcBorders>
              <w:top w:val="nil"/>
              <w:left w:val="nil"/>
              <w:bottom w:val="nil"/>
              <w:right w:val="single" w:sz="4" w:space="0" w:color="auto"/>
            </w:tcBorders>
            <w:shd w:val="clear" w:color="000000" w:fill="FFFFFF"/>
            <w:noWrap/>
            <w:vAlign w:val="center"/>
            <w:hideMark/>
          </w:tcPr>
          <w:p w14:paraId="492CA3F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509B748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2.179</w:t>
            </w:r>
          </w:p>
        </w:tc>
        <w:tc>
          <w:tcPr>
            <w:tcW w:w="481" w:type="pct"/>
            <w:tcBorders>
              <w:top w:val="nil"/>
              <w:left w:val="single" w:sz="4" w:space="0" w:color="auto"/>
              <w:bottom w:val="nil"/>
              <w:right w:val="single" w:sz="4" w:space="0" w:color="auto"/>
            </w:tcBorders>
            <w:shd w:val="clear" w:color="000000" w:fill="FFFFFF"/>
            <w:noWrap/>
            <w:vAlign w:val="center"/>
            <w:hideMark/>
          </w:tcPr>
          <w:p w14:paraId="76D3310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r>
      <w:tr w:rsidR="00632C0B" w:rsidRPr="00650EE4" w14:paraId="7C8C2D20" w14:textId="77777777" w:rsidTr="00A03881">
        <w:tc>
          <w:tcPr>
            <w:tcW w:w="1026" w:type="pct"/>
            <w:tcBorders>
              <w:top w:val="nil"/>
              <w:left w:val="single" w:sz="4" w:space="0" w:color="auto"/>
              <w:bottom w:val="nil"/>
              <w:right w:val="nil"/>
            </w:tcBorders>
            <w:shd w:val="clear" w:color="000000" w:fill="FFFFFF"/>
            <w:noWrap/>
            <w:vAlign w:val="center"/>
            <w:hideMark/>
          </w:tcPr>
          <w:p w14:paraId="5E7A0658"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2.3.Mokslo</w:t>
            </w:r>
          </w:p>
        </w:tc>
        <w:tc>
          <w:tcPr>
            <w:tcW w:w="529" w:type="pct"/>
            <w:tcBorders>
              <w:top w:val="nil"/>
              <w:left w:val="single" w:sz="4" w:space="0" w:color="auto"/>
              <w:bottom w:val="nil"/>
              <w:right w:val="nil"/>
            </w:tcBorders>
            <w:shd w:val="clear" w:color="000000" w:fill="FFFFFF"/>
            <w:noWrap/>
            <w:vAlign w:val="center"/>
            <w:hideMark/>
          </w:tcPr>
          <w:p w14:paraId="0A52475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1.216</w:t>
            </w:r>
          </w:p>
        </w:tc>
        <w:tc>
          <w:tcPr>
            <w:tcW w:w="460" w:type="pct"/>
            <w:tcBorders>
              <w:top w:val="nil"/>
              <w:left w:val="nil"/>
              <w:bottom w:val="nil"/>
              <w:right w:val="nil"/>
            </w:tcBorders>
            <w:shd w:val="clear" w:color="000000" w:fill="FFFFFF"/>
            <w:noWrap/>
            <w:vAlign w:val="center"/>
            <w:hideMark/>
          </w:tcPr>
          <w:p w14:paraId="1186D71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486" w:type="pct"/>
            <w:tcBorders>
              <w:top w:val="nil"/>
              <w:left w:val="nil"/>
              <w:bottom w:val="nil"/>
              <w:right w:val="nil"/>
            </w:tcBorders>
            <w:shd w:val="clear" w:color="000000" w:fill="FFFFFF"/>
            <w:noWrap/>
            <w:vAlign w:val="center"/>
            <w:hideMark/>
          </w:tcPr>
          <w:p w14:paraId="7CF6D0C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w:t>
            </w:r>
          </w:p>
        </w:tc>
        <w:tc>
          <w:tcPr>
            <w:tcW w:w="556" w:type="pct"/>
            <w:tcBorders>
              <w:top w:val="nil"/>
              <w:left w:val="nil"/>
              <w:bottom w:val="nil"/>
              <w:right w:val="nil"/>
            </w:tcBorders>
            <w:shd w:val="clear" w:color="000000" w:fill="FFFFFF"/>
            <w:noWrap/>
            <w:vAlign w:val="center"/>
            <w:hideMark/>
          </w:tcPr>
          <w:p w14:paraId="23B3E49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47564D2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7" w:type="pct"/>
            <w:tcBorders>
              <w:top w:val="nil"/>
              <w:left w:val="nil"/>
              <w:bottom w:val="nil"/>
              <w:right w:val="single" w:sz="4" w:space="0" w:color="auto"/>
            </w:tcBorders>
            <w:shd w:val="clear" w:color="000000" w:fill="FFFFFF"/>
            <w:noWrap/>
            <w:vAlign w:val="center"/>
            <w:hideMark/>
          </w:tcPr>
          <w:p w14:paraId="54DA9D2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61CB7552"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1.599</w:t>
            </w:r>
          </w:p>
        </w:tc>
        <w:tc>
          <w:tcPr>
            <w:tcW w:w="481" w:type="pct"/>
            <w:tcBorders>
              <w:top w:val="nil"/>
              <w:left w:val="single" w:sz="4" w:space="0" w:color="auto"/>
              <w:bottom w:val="nil"/>
              <w:right w:val="single" w:sz="4" w:space="0" w:color="auto"/>
            </w:tcBorders>
            <w:shd w:val="clear" w:color="000000" w:fill="FFFFFF"/>
            <w:noWrap/>
            <w:vAlign w:val="center"/>
            <w:hideMark/>
          </w:tcPr>
          <w:p w14:paraId="5560C5A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r>
      <w:tr w:rsidR="00632C0B" w:rsidRPr="00650EE4" w14:paraId="36E80263" w14:textId="77777777" w:rsidTr="00A03881">
        <w:tc>
          <w:tcPr>
            <w:tcW w:w="1026" w:type="pct"/>
            <w:tcBorders>
              <w:top w:val="nil"/>
              <w:left w:val="single" w:sz="4" w:space="0" w:color="auto"/>
              <w:bottom w:val="nil"/>
              <w:right w:val="nil"/>
            </w:tcBorders>
            <w:shd w:val="clear" w:color="000000" w:fill="FFFFFF"/>
            <w:noWrap/>
            <w:vAlign w:val="center"/>
            <w:hideMark/>
          </w:tcPr>
          <w:p w14:paraId="28AC1611"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2.4.Prekybos</w:t>
            </w:r>
          </w:p>
        </w:tc>
        <w:tc>
          <w:tcPr>
            <w:tcW w:w="529" w:type="pct"/>
            <w:tcBorders>
              <w:top w:val="nil"/>
              <w:left w:val="single" w:sz="4" w:space="0" w:color="auto"/>
              <w:bottom w:val="nil"/>
              <w:right w:val="nil"/>
            </w:tcBorders>
            <w:shd w:val="clear" w:color="000000" w:fill="FFFFFF"/>
            <w:noWrap/>
            <w:vAlign w:val="center"/>
            <w:hideMark/>
          </w:tcPr>
          <w:p w14:paraId="6CD7645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858</w:t>
            </w:r>
          </w:p>
        </w:tc>
        <w:tc>
          <w:tcPr>
            <w:tcW w:w="460" w:type="pct"/>
            <w:tcBorders>
              <w:top w:val="nil"/>
              <w:left w:val="nil"/>
              <w:bottom w:val="nil"/>
              <w:right w:val="nil"/>
            </w:tcBorders>
            <w:shd w:val="clear" w:color="000000" w:fill="FFFFFF"/>
            <w:noWrap/>
            <w:vAlign w:val="center"/>
            <w:hideMark/>
          </w:tcPr>
          <w:p w14:paraId="1E303E9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153</w:t>
            </w:r>
          </w:p>
        </w:tc>
        <w:tc>
          <w:tcPr>
            <w:tcW w:w="486" w:type="pct"/>
            <w:tcBorders>
              <w:top w:val="nil"/>
              <w:left w:val="nil"/>
              <w:bottom w:val="nil"/>
              <w:right w:val="nil"/>
            </w:tcBorders>
            <w:shd w:val="clear" w:color="000000" w:fill="FFFFFF"/>
            <w:noWrap/>
            <w:vAlign w:val="center"/>
            <w:hideMark/>
          </w:tcPr>
          <w:p w14:paraId="3BDEAFB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326</w:t>
            </w:r>
          </w:p>
        </w:tc>
        <w:tc>
          <w:tcPr>
            <w:tcW w:w="556" w:type="pct"/>
            <w:tcBorders>
              <w:top w:val="nil"/>
              <w:left w:val="nil"/>
              <w:bottom w:val="nil"/>
              <w:right w:val="nil"/>
            </w:tcBorders>
            <w:shd w:val="clear" w:color="000000" w:fill="FFFFFF"/>
            <w:noWrap/>
            <w:vAlign w:val="center"/>
            <w:hideMark/>
          </w:tcPr>
          <w:p w14:paraId="6908503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8" w:type="pct"/>
            <w:tcBorders>
              <w:top w:val="nil"/>
              <w:left w:val="nil"/>
              <w:bottom w:val="nil"/>
              <w:right w:val="nil"/>
            </w:tcBorders>
            <w:shd w:val="clear" w:color="000000" w:fill="FFFFFF"/>
            <w:noWrap/>
            <w:vAlign w:val="center"/>
            <w:hideMark/>
          </w:tcPr>
          <w:p w14:paraId="7EFAC33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487" w:type="pct"/>
            <w:tcBorders>
              <w:top w:val="nil"/>
              <w:left w:val="nil"/>
              <w:bottom w:val="nil"/>
              <w:right w:val="single" w:sz="4" w:space="0" w:color="auto"/>
            </w:tcBorders>
            <w:shd w:val="clear" w:color="000000" w:fill="FFFFFF"/>
            <w:noWrap/>
            <w:vAlign w:val="center"/>
            <w:hideMark/>
          </w:tcPr>
          <w:p w14:paraId="752028B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6DC7BBFD"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1.361</w:t>
            </w:r>
          </w:p>
        </w:tc>
        <w:tc>
          <w:tcPr>
            <w:tcW w:w="481" w:type="pct"/>
            <w:tcBorders>
              <w:top w:val="nil"/>
              <w:left w:val="single" w:sz="4" w:space="0" w:color="auto"/>
              <w:bottom w:val="nil"/>
              <w:right w:val="single" w:sz="4" w:space="0" w:color="auto"/>
            </w:tcBorders>
            <w:shd w:val="clear" w:color="000000" w:fill="FFFFFF"/>
            <w:noWrap/>
            <w:vAlign w:val="center"/>
            <w:hideMark/>
          </w:tcPr>
          <w:p w14:paraId="2283D75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r>
      <w:tr w:rsidR="00632C0B" w:rsidRPr="00650EE4" w14:paraId="216065BE" w14:textId="77777777" w:rsidTr="00A03881">
        <w:tc>
          <w:tcPr>
            <w:tcW w:w="1026" w:type="pct"/>
            <w:tcBorders>
              <w:top w:val="nil"/>
              <w:left w:val="single" w:sz="4" w:space="0" w:color="auto"/>
              <w:bottom w:val="nil"/>
              <w:right w:val="nil"/>
            </w:tcBorders>
            <w:shd w:val="clear" w:color="000000" w:fill="FFFFFF"/>
            <w:noWrap/>
            <w:vAlign w:val="center"/>
            <w:hideMark/>
          </w:tcPr>
          <w:p w14:paraId="7DB0602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2.5.Gydymo</w:t>
            </w:r>
          </w:p>
        </w:tc>
        <w:tc>
          <w:tcPr>
            <w:tcW w:w="529" w:type="pct"/>
            <w:tcBorders>
              <w:top w:val="nil"/>
              <w:left w:val="single" w:sz="4" w:space="0" w:color="auto"/>
              <w:bottom w:val="nil"/>
              <w:right w:val="nil"/>
            </w:tcBorders>
            <w:shd w:val="clear" w:color="000000" w:fill="FFFFFF"/>
            <w:noWrap/>
            <w:vAlign w:val="center"/>
            <w:hideMark/>
          </w:tcPr>
          <w:p w14:paraId="7265063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440</w:t>
            </w:r>
          </w:p>
        </w:tc>
        <w:tc>
          <w:tcPr>
            <w:tcW w:w="460" w:type="pct"/>
            <w:tcBorders>
              <w:top w:val="nil"/>
              <w:left w:val="nil"/>
              <w:bottom w:val="nil"/>
              <w:right w:val="nil"/>
            </w:tcBorders>
            <w:shd w:val="clear" w:color="000000" w:fill="FFFFFF"/>
            <w:noWrap/>
            <w:vAlign w:val="center"/>
            <w:hideMark/>
          </w:tcPr>
          <w:p w14:paraId="28AB59C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108</w:t>
            </w:r>
          </w:p>
        </w:tc>
        <w:tc>
          <w:tcPr>
            <w:tcW w:w="486" w:type="pct"/>
            <w:tcBorders>
              <w:top w:val="nil"/>
              <w:left w:val="nil"/>
              <w:bottom w:val="nil"/>
              <w:right w:val="nil"/>
            </w:tcBorders>
            <w:shd w:val="clear" w:color="000000" w:fill="FFFFFF"/>
            <w:noWrap/>
            <w:vAlign w:val="center"/>
            <w:hideMark/>
          </w:tcPr>
          <w:p w14:paraId="50A0B26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104</w:t>
            </w:r>
          </w:p>
        </w:tc>
        <w:tc>
          <w:tcPr>
            <w:tcW w:w="556" w:type="pct"/>
            <w:tcBorders>
              <w:top w:val="nil"/>
              <w:left w:val="nil"/>
              <w:bottom w:val="nil"/>
              <w:right w:val="nil"/>
            </w:tcBorders>
            <w:shd w:val="clear" w:color="000000" w:fill="FFFFFF"/>
            <w:noWrap/>
            <w:vAlign w:val="center"/>
            <w:hideMark/>
          </w:tcPr>
          <w:p w14:paraId="3FE9550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757033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single" w:sz="4" w:space="0" w:color="auto"/>
            </w:tcBorders>
            <w:shd w:val="clear" w:color="000000" w:fill="FFFFFF"/>
            <w:noWrap/>
            <w:vAlign w:val="center"/>
            <w:hideMark/>
          </w:tcPr>
          <w:p w14:paraId="6C83110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B3064A5"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653</w:t>
            </w:r>
          </w:p>
        </w:tc>
        <w:tc>
          <w:tcPr>
            <w:tcW w:w="481" w:type="pct"/>
            <w:tcBorders>
              <w:top w:val="nil"/>
              <w:left w:val="single" w:sz="4" w:space="0" w:color="auto"/>
              <w:bottom w:val="nil"/>
              <w:right w:val="single" w:sz="4" w:space="0" w:color="auto"/>
            </w:tcBorders>
            <w:shd w:val="clear" w:color="000000" w:fill="FFFFFF"/>
            <w:noWrap/>
            <w:vAlign w:val="center"/>
            <w:hideMark/>
          </w:tcPr>
          <w:p w14:paraId="0A9215F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r>
      <w:tr w:rsidR="00632C0B" w:rsidRPr="00650EE4" w14:paraId="34FDFFE7" w14:textId="77777777" w:rsidTr="00A03881">
        <w:tc>
          <w:tcPr>
            <w:tcW w:w="1026" w:type="pct"/>
            <w:tcBorders>
              <w:top w:val="nil"/>
              <w:left w:val="single" w:sz="4" w:space="0" w:color="auto"/>
              <w:bottom w:val="nil"/>
              <w:right w:val="nil"/>
            </w:tcBorders>
            <w:shd w:val="clear" w:color="000000" w:fill="FFFFFF"/>
            <w:noWrap/>
            <w:vAlign w:val="center"/>
            <w:hideMark/>
          </w:tcPr>
          <w:p w14:paraId="0A2BDD6E"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2.6.Kultūros</w:t>
            </w:r>
          </w:p>
        </w:tc>
        <w:tc>
          <w:tcPr>
            <w:tcW w:w="529" w:type="pct"/>
            <w:tcBorders>
              <w:top w:val="nil"/>
              <w:left w:val="single" w:sz="4" w:space="0" w:color="auto"/>
              <w:bottom w:val="nil"/>
              <w:right w:val="nil"/>
            </w:tcBorders>
            <w:shd w:val="clear" w:color="000000" w:fill="FFFFFF"/>
            <w:noWrap/>
            <w:vAlign w:val="center"/>
            <w:hideMark/>
          </w:tcPr>
          <w:p w14:paraId="4FDA694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337</w:t>
            </w:r>
          </w:p>
        </w:tc>
        <w:tc>
          <w:tcPr>
            <w:tcW w:w="460" w:type="pct"/>
            <w:tcBorders>
              <w:top w:val="nil"/>
              <w:left w:val="nil"/>
              <w:bottom w:val="nil"/>
              <w:right w:val="nil"/>
            </w:tcBorders>
            <w:shd w:val="clear" w:color="000000" w:fill="FFFFFF"/>
            <w:noWrap/>
            <w:vAlign w:val="center"/>
            <w:hideMark/>
          </w:tcPr>
          <w:p w14:paraId="09068C7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86" w:type="pct"/>
            <w:tcBorders>
              <w:top w:val="nil"/>
              <w:left w:val="nil"/>
              <w:bottom w:val="nil"/>
              <w:right w:val="nil"/>
            </w:tcBorders>
            <w:shd w:val="clear" w:color="000000" w:fill="FFFFFF"/>
            <w:noWrap/>
            <w:vAlign w:val="center"/>
            <w:hideMark/>
          </w:tcPr>
          <w:p w14:paraId="5B483EE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109</w:t>
            </w:r>
          </w:p>
        </w:tc>
        <w:tc>
          <w:tcPr>
            <w:tcW w:w="556" w:type="pct"/>
            <w:tcBorders>
              <w:top w:val="nil"/>
              <w:left w:val="nil"/>
              <w:bottom w:val="nil"/>
              <w:right w:val="nil"/>
            </w:tcBorders>
            <w:shd w:val="clear" w:color="000000" w:fill="FFFFFF"/>
            <w:noWrap/>
            <w:vAlign w:val="center"/>
            <w:hideMark/>
          </w:tcPr>
          <w:p w14:paraId="7DA1CCD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488" w:type="pct"/>
            <w:tcBorders>
              <w:top w:val="nil"/>
              <w:left w:val="nil"/>
              <w:bottom w:val="nil"/>
              <w:right w:val="nil"/>
            </w:tcBorders>
            <w:shd w:val="clear" w:color="000000" w:fill="FFFFFF"/>
            <w:noWrap/>
            <w:vAlign w:val="center"/>
            <w:hideMark/>
          </w:tcPr>
          <w:p w14:paraId="433BC199"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487" w:type="pct"/>
            <w:tcBorders>
              <w:top w:val="nil"/>
              <w:left w:val="nil"/>
              <w:bottom w:val="nil"/>
              <w:right w:val="single" w:sz="4" w:space="0" w:color="auto"/>
            </w:tcBorders>
            <w:shd w:val="clear" w:color="000000" w:fill="FFFFFF"/>
            <w:noWrap/>
            <w:vAlign w:val="center"/>
            <w:hideMark/>
          </w:tcPr>
          <w:p w14:paraId="667EE9A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2DD70BD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568</w:t>
            </w:r>
          </w:p>
        </w:tc>
        <w:tc>
          <w:tcPr>
            <w:tcW w:w="481" w:type="pct"/>
            <w:tcBorders>
              <w:top w:val="nil"/>
              <w:left w:val="single" w:sz="4" w:space="0" w:color="auto"/>
              <w:bottom w:val="nil"/>
              <w:right w:val="single" w:sz="4" w:space="0" w:color="auto"/>
            </w:tcBorders>
            <w:shd w:val="clear" w:color="000000" w:fill="FFFFFF"/>
            <w:noWrap/>
            <w:vAlign w:val="center"/>
            <w:hideMark/>
          </w:tcPr>
          <w:p w14:paraId="2DEE960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r>
      <w:tr w:rsidR="00632C0B" w:rsidRPr="00650EE4" w14:paraId="691B1750" w14:textId="77777777" w:rsidTr="00A03881">
        <w:tc>
          <w:tcPr>
            <w:tcW w:w="1026" w:type="pct"/>
            <w:tcBorders>
              <w:top w:val="nil"/>
              <w:left w:val="single" w:sz="4" w:space="0" w:color="auto"/>
              <w:bottom w:val="nil"/>
              <w:right w:val="nil"/>
            </w:tcBorders>
            <w:shd w:val="clear" w:color="000000" w:fill="FFFFFF"/>
            <w:noWrap/>
            <w:vAlign w:val="center"/>
            <w:hideMark/>
          </w:tcPr>
          <w:p w14:paraId="0F4F22B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2.7.Apgyvendinimo</w:t>
            </w:r>
          </w:p>
        </w:tc>
        <w:tc>
          <w:tcPr>
            <w:tcW w:w="529" w:type="pct"/>
            <w:tcBorders>
              <w:top w:val="nil"/>
              <w:left w:val="single" w:sz="4" w:space="0" w:color="auto"/>
              <w:bottom w:val="nil"/>
              <w:right w:val="nil"/>
            </w:tcBorders>
            <w:shd w:val="clear" w:color="000000" w:fill="FFFFFF"/>
            <w:noWrap/>
            <w:vAlign w:val="center"/>
            <w:hideMark/>
          </w:tcPr>
          <w:p w14:paraId="69F3087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437</w:t>
            </w:r>
          </w:p>
        </w:tc>
        <w:tc>
          <w:tcPr>
            <w:tcW w:w="460" w:type="pct"/>
            <w:tcBorders>
              <w:top w:val="nil"/>
              <w:left w:val="nil"/>
              <w:bottom w:val="nil"/>
              <w:right w:val="nil"/>
            </w:tcBorders>
            <w:shd w:val="clear" w:color="000000" w:fill="FFFFFF"/>
            <w:noWrap/>
            <w:vAlign w:val="center"/>
            <w:hideMark/>
          </w:tcPr>
          <w:p w14:paraId="2B97A19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39</w:t>
            </w:r>
          </w:p>
        </w:tc>
        <w:tc>
          <w:tcPr>
            <w:tcW w:w="486" w:type="pct"/>
            <w:tcBorders>
              <w:top w:val="nil"/>
              <w:left w:val="nil"/>
              <w:bottom w:val="nil"/>
              <w:right w:val="nil"/>
            </w:tcBorders>
            <w:shd w:val="clear" w:color="000000" w:fill="FFFFFF"/>
            <w:noWrap/>
            <w:vAlign w:val="center"/>
            <w:hideMark/>
          </w:tcPr>
          <w:p w14:paraId="731F86E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56" w:type="pct"/>
            <w:tcBorders>
              <w:top w:val="nil"/>
              <w:left w:val="nil"/>
              <w:bottom w:val="nil"/>
              <w:right w:val="nil"/>
            </w:tcBorders>
            <w:shd w:val="clear" w:color="000000" w:fill="FFFFFF"/>
            <w:noWrap/>
            <w:vAlign w:val="center"/>
            <w:hideMark/>
          </w:tcPr>
          <w:p w14:paraId="1B86623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8" w:type="pct"/>
            <w:tcBorders>
              <w:top w:val="nil"/>
              <w:left w:val="nil"/>
              <w:bottom w:val="nil"/>
              <w:right w:val="nil"/>
            </w:tcBorders>
            <w:shd w:val="clear" w:color="000000" w:fill="FFFFFF"/>
            <w:noWrap/>
            <w:vAlign w:val="center"/>
            <w:hideMark/>
          </w:tcPr>
          <w:p w14:paraId="0D71E6C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487" w:type="pct"/>
            <w:tcBorders>
              <w:top w:val="nil"/>
              <w:left w:val="nil"/>
              <w:bottom w:val="nil"/>
              <w:right w:val="single" w:sz="4" w:space="0" w:color="auto"/>
            </w:tcBorders>
            <w:shd w:val="clear" w:color="000000" w:fill="FFFFFF"/>
            <w:noWrap/>
            <w:vAlign w:val="center"/>
            <w:hideMark/>
          </w:tcPr>
          <w:p w14:paraId="65AEB56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A73410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503</w:t>
            </w:r>
          </w:p>
        </w:tc>
        <w:tc>
          <w:tcPr>
            <w:tcW w:w="481" w:type="pct"/>
            <w:tcBorders>
              <w:top w:val="nil"/>
              <w:left w:val="single" w:sz="4" w:space="0" w:color="auto"/>
              <w:bottom w:val="nil"/>
              <w:right w:val="single" w:sz="4" w:space="0" w:color="auto"/>
            </w:tcBorders>
            <w:shd w:val="clear" w:color="000000" w:fill="FFFFFF"/>
            <w:noWrap/>
            <w:vAlign w:val="center"/>
            <w:hideMark/>
          </w:tcPr>
          <w:p w14:paraId="3293BF3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r>
      <w:tr w:rsidR="00632C0B" w:rsidRPr="00650EE4" w14:paraId="3ED048F7" w14:textId="77777777" w:rsidTr="00A03881">
        <w:tc>
          <w:tcPr>
            <w:tcW w:w="1026" w:type="pct"/>
            <w:tcBorders>
              <w:top w:val="nil"/>
              <w:left w:val="single" w:sz="4" w:space="0" w:color="auto"/>
              <w:bottom w:val="nil"/>
              <w:right w:val="nil"/>
            </w:tcBorders>
            <w:shd w:val="clear" w:color="000000" w:fill="FFFFFF"/>
            <w:noWrap/>
            <w:vAlign w:val="center"/>
            <w:hideMark/>
          </w:tcPr>
          <w:p w14:paraId="4F5A47B4"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2.8.Paslaugų</w:t>
            </w:r>
          </w:p>
        </w:tc>
        <w:tc>
          <w:tcPr>
            <w:tcW w:w="529" w:type="pct"/>
            <w:tcBorders>
              <w:top w:val="nil"/>
              <w:left w:val="single" w:sz="4" w:space="0" w:color="auto"/>
              <w:bottom w:val="nil"/>
              <w:right w:val="nil"/>
            </w:tcBorders>
            <w:shd w:val="clear" w:color="000000" w:fill="FFFFFF"/>
            <w:noWrap/>
            <w:vAlign w:val="center"/>
            <w:hideMark/>
          </w:tcPr>
          <w:p w14:paraId="557DB6F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448</w:t>
            </w:r>
          </w:p>
        </w:tc>
        <w:tc>
          <w:tcPr>
            <w:tcW w:w="460" w:type="pct"/>
            <w:tcBorders>
              <w:top w:val="nil"/>
              <w:left w:val="nil"/>
              <w:bottom w:val="nil"/>
              <w:right w:val="nil"/>
            </w:tcBorders>
            <w:shd w:val="clear" w:color="000000" w:fill="FFFFFF"/>
            <w:noWrap/>
            <w:vAlign w:val="center"/>
            <w:hideMark/>
          </w:tcPr>
          <w:p w14:paraId="52E0A46D"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c>
          <w:tcPr>
            <w:tcW w:w="486" w:type="pct"/>
            <w:tcBorders>
              <w:top w:val="nil"/>
              <w:left w:val="nil"/>
              <w:bottom w:val="nil"/>
              <w:right w:val="nil"/>
            </w:tcBorders>
            <w:shd w:val="clear" w:color="000000" w:fill="FFFFFF"/>
            <w:noWrap/>
            <w:vAlign w:val="center"/>
            <w:hideMark/>
          </w:tcPr>
          <w:p w14:paraId="0F10D81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43</w:t>
            </w:r>
          </w:p>
        </w:tc>
        <w:tc>
          <w:tcPr>
            <w:tcW w:w="556" w:type="pct"/>
            <w:tcBorders>
              <w:top w:val="nil"/>
              <w:left w:val="nil"/>
              <w:bottom w:val="nil"/>
              <w:right w:val="nil"/>
            </w:tcBorders>
            <w:shd w:val="clear" w:color="000000" w:fill="FFFFFF"/>
            <w:noWrap/>
            <w:vAlign w:val="center"/>
            <w:hideMark/>
          </w:tcPr>
          <w:p w14:paraId="143FCDA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488" w:type="pct"/>
            <w:tcBorders>
              <w:top w:val="nil"/>
              <w:left w:val="nil"/>
              <w:bottom w:val="nil"/>
              <w:right w:val="nil"/>
            </w:tcBorders>
            <w:shd w:val="clear" w:color="000000" w:fill="FFFFFF"/>
            <w:noWrap/>
            <w:vAlign w:val="center"/>
            <w:hideMark/>
          </w:tcPr>
          <w:p w14:paraId="6EC1D9A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87" w:type="pct"/>
            <w:tcBorders>
              <w:top w:val="nil"/>
              <w:left w:val="nil"/>
              <w:bottom w:val="nil"/>
              <w:right w:val="single" w:sz="4" w:space="0" w:color="auto"/>
            </w:tcBorders>
            <w:shd w:val="clear" w:color="000000" w:fill="FFFFFF"/>
            <w:noWrap/>
            <w:vAlign w:val="center"/>
            <w:hideMark/>
          </w:tcPr>
          <w:p w14:paraId="1DC704C1"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nil"/>
              <w:right w:val="nil"/>
            </w:tcBorders>
            <w:shd w:val="clear" w:color="000000" w:fill="FFFFFF"/>
            <w:noWrap/>
            <w:vAlign w:val="center"/>
            <w:hideMark/>
          </w:tcPr>
          <w:p w14:paraId="770E1EFA"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536</w:t>
            </w:r>
          </w:p>
        </w:tc>
        <w:tc>
          <w:tcPr>
            <w:tcW w:w="481" w:type="pct"/>
            <w:tcBorders>
              <w:top w:val="nil"/>
              <w:left w:val="single" w:sz="4" w:space="0" w:color="auto"/>
              <w:bottom w:val="nil"/>
              <w:right w:val="single" w:sz="4" w:space="0" w:color="auto"/>
            </w:tcBorders>
            <w:shd w:val="clear" w:color="000000" w:fill="FFFFFF"/>
            <w:noWrap/>
            <w:vAlign w:val="center"/>
            <w:hideMark/>
          </w:tcPr>
          <w:p w14:paraId="73C745DE"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r>
      <w:tr w:rsidR="00632C0B" w:rsidRPr="00650EE4" w14:paraId="6CA6D88F" w14:textId="77777777" w:rsidTr="00A03881">
        <w:tc>
          <w:tcPr>
            <w:tcW w:w="1026" w:type="pct"/>
            <w:tcBorders>
              <w:top w:val="nil"/>
              <w:left w:val="single" w:sz="4" w:space="0" w:color="auto"/>
              <w:bottom w:val="nil"/>
              <w:right w:val="nil"/>
            </w:tcBorders>
            <w:shd w:val="clear" w:color="000000" w:fill="FFFFFF"/>
            <w:noWrap/>
            <w:vAlign w:val="center"/>
            <w:hideMark/>
          </w:tcPr>
          <w:p w14:paraId="578BF42F"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2.9.Kita</w:t>
            </w:r>
          </w:p>
        </w:tc>
        <w:tc>
          <w:tcPr>
            <w:tcW w:w="529" w:type="pct"/>
            <w:tcBorders>
              <w:top w:val="nil"/>
              <w:left w:val="single" w:sz="4" w:space="0" w:color="auto"/>
              <w:bottom w:val="single" w:sz="4" w:space="0" w:color="auto"/>
              <w:right w:val="nil"/>
            </w:tcBorders>
            <w:shd w:val="clear" w:color="000000" w:fill="FFFFFF"/>
            <w:noWrap/>
            <w:vAlign w:val="center"/>
            <w:hideMark/>
          </w:tcPr>
          <w:p w14:paraId="2F23A1B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241</w:t>
            </w:r>
          </w:p>
        </w:tc>
        <w:tc>
          <w:tcPr>
            <w:tcW w:w="460" w:type="pct"/>
            <w:tcBorders>
              <w:top w:val="nil"/>
              <w:left w:val="nil"/>
              <w:bottom w:val="single" w:sz="4" w:space="0" w:color="auto"/>
              <w:right w:val="nil"/>
            </w:tcBorders>
            <w:shd w:val="clear" w:color="000000" w:fill="FFFFFF"/>
            <w:noWrap/>
            <w:vAlign w:val="center"/>
            <w:hideMark/>
          </w:tcPr>
          <w:p w14:paraId="04FFBFE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52</w:t>
            </w:r>
          </w:p>
        </w:tc>
        <w:tc>
          <w:tcPr>
            <w:tcW w:w="486" w:type="pct"/>
            <w:tcBorders>
              <w:top w:val="nil"/>
              <w:left w:val="nil"/>
              <w:bottom w:val="single" w:sz="4" w:space="0" w:color="auto"/>
              <w:right w:val="nil"/>
            </w:tcBorders>
            <w:shd w:val="clear" w:color="000000" w:fill="FFFFFF"/>
            <w:noWrap/>
            <w:vAlign w:val="center"/>
            <w:hideMark/>
          </w:tcPr>
          <w:p w14:paraId="6270B86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70</w:t>
            </w:r>
          </w:p>
        </w:tc>
        <w:tc>
          <w:tcPr>
            <w:tcW w:w="556" w:type="pct"/>
            <w:tcBorders>
              <w:top w:val="nil"/>
              <w:left w:val="nil"/>
              <w:bottom w:val="single" w:sz="4" w:space="0" w:color="auto"/>
              <w:right w:val="nil"/>
            </w:tcBorders>
            <w:shd w:val="clear" w:color="000000" w:fill="FFFFFF"/>
            <w:noWrap/>
            <w:vAlign w:val="center"/>
            <w:hideMark/>
          </w:tcPr>
          <w:p w14:paraId="195F6B4A"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488" w:type="pct"/>
            <w:tcBorders>
              <w:top w:val="nil"/>
              <w:left w:val="nil"/>
              <w:bottom w:val="single" w:sz="4" w:space="0" w:color="auto"/>
              <w:right w:val="nil"/>
            </w:tcBorders>
            <w:shd w:val="clear" w:color="000000" w:fill="FFFFFF"/>
            <w:noWrap/>
            <w:vAlign w:val="center"/>
            <w:hideMark/>
          </w:tcPr>
          <w:p w14:paraId="7CA3B2DF"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487" w:type="pct"/>
            <w:tcBorders>
              <w:top w:val="nil"/>
              <w:left w:val="nil"/>
              <w:bottom w:val="single" w:sz="4" w:space="0" w:color="auto"/>
              <w:right w:val="single" w:sz="4" w:space="0" w:color="auto"/>
            </w:tcBorders>
            <w:shd w:val="clear" w:color="000000" w:fill="FFFFFF"/>
            <w:noWrap/>
            <w:vAlign w:val="center"/>
            <w:hideMark/>
          </w:tcPr>
          <w:p w14:paraId="2F120FAC"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487" w:type="pct"/>
            <w:tcBorders>
              <w:top w:val="nil"/>
              <w:left w:val="nil"/>
              <w:bottom w:val="single" w:sz="4" w:space="0" w:color="auto"/>
              <w:right w:val="nil"/>
            </w:tcBorders>
            <w:shd w:val="clear" w:color="000000" w:fill="FFFFFF"/>
            <w:noWrap/>
            <w:vAlign w:val="center"/>
            <w:hideMark/>
          </w:tcPr>
          <w:p w14:paraId="62EFFA4C"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367</w:t>
            </w:r>
          </w:p>
        </w:tc>
        <w:tc>
          <w:tcPr>
            <w:tcW w:w="481" w:type="pct"/>
            <w:tcBorders>
              <w:top w:val="nil"/>
              <w:left w:val="single" w:sz="4" w:space="0" w:color="auto"/>
              <w:bottom w:val="single" w:sz="4" w:space="0" w:color="auto"/>
              <w:right w:val="single" w:sz="4" w:space="0" w:color="auto"/>
            </w:tcBorders>
            <w:shd w:val="clear" w:color="000000" w:fill="FFFFFF"/>
            <w:noWrap/>
            <w:vAlign w:val="center"/>
            <w:hideMark/>
          </w:tcPr>
          <w:p w14:paraId="2B62140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0,9%</w:t>
            </w:r>
          </w:p>
        </w:tc>
      </w:tr>
      <w:tr w:rsidR="00632C0B" w:rsidRPr="00650EE4" w14:paraId="4C50D3EC" w14:textId="77777777" w:rsidTr="00A03881">
        <w:tc>
          <w:tcPr>
            <w:tcW w:w="1026" w:type="pct"/>
            <w:tcBorders>
              <w:top w:val="single" w:sz="4" w:space="0" w:color="auto"/>
              <w:left w:val="single" w:sz="4" w:space="0" w:color="auto"/>
              <w:bottom w:val="nil"/>
              <w:right w:val="single" w:sz="4" w:space="0" w:color="auto"/>
            </w:tcBorders>
            <w:shd w:val="clear" w:color="000000" w:fill="FFFFFF"/>
            <w:noWrap/>
            <w:vAlign w:val="center"/>
            <w:hideMark/>
          </w:tcPr>
          <w:p w14:paraId="57CED07F" w14:textId="77777777" w:rsidR="00632C0B" w:rsidRPr="00650EE4" w:rsidRDefault="00632C0B" w:rsidP="00017447">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529" w:type="pct"/>
            <w:tcBorders>
              <w:top w:val="nil"/>
              <w:left w:val="nil"/>
              <w:bottom w:val="nil"/>
              <w:right w:val="nil"/>
            </w:tcBorders>
            <w:shd w:val="clear" w:color="000000" w:fill="FFFFFF"/>
            <w:noWrap/>
            <w:vAlign w:val="center"/>
            <w:hideMark/>
          </w:tcPr>
          <w:p w14:paraId="34217D5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31.591</w:t>
            </w:r>
          </w:p>
        </w:tc>
        <w:tc>
          <w:tcPr>
            <w:tcW w:w="460" w:type="pct"/>
            <w:tcBorders>
              <w:top w:val="nil"/>
              <w:left w:val="nil"/>
              <w:bottom w:val="nil"/>
              <w:right w:val="nil"/>
            </w:tcBorders>
            <w:shd w:val="clear" w:color="000000" w:fill="FFFFFF"/>
            <w:noWrap/>
            <w:vAlign w:val="center"/>
            <w:hideMark/>
          </w:tcPr>
          <w:p w14:paraId="03D341D7"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5.379</w:t>
            </w:r>
          </w:p>
        </w:tc>
        <w:tc>
          <w:tcPr>
            <w:tcW w:w="486" w:type="pct"/>
            <w:tcBorders>
              <w:top w:val="nil"/>
              <w:left w:val="nil"/>
              <w:bottom w:val="nil"/>
              <w:right w:val="nil"/>
            </w:tcBorders>
            <w:shd w:val="clear" w:color="000000" w:fill="FFFFFF"/>
            <w:noWrap/>
            <w:vAlign w:val="center"/>
            <w:hideMark/>
          </w:tcPr>
          <w:p w14:paraId="5A917B8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3.411</w:t>
            </w:r>
          </w:p>
        </w:tc>
        <w:tc>
          <w:tcPr>
            <w:tcW w:w="556" w:type="pct"/>
            <w:tcBorders>
              <w:top w:val="nil"/>
              <w:left w:val="nil"/>
              <w:bottom w:val="nil"/>
              <w:right w:val="nil"/>
            </w:tcBorders>
            <w:shd w:val="clear" w:color="000000" w:fill="FFFFFF"/>
            <w:noWrap/>
            <w:vAlign w:val="center"/>
            <w:hideMark/>
          </w:tcPr>
          <w:p w14:paraId="1A3D644E"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336</w:t>
            </w:r>
          </w:p>
        </w:tc>
        <w:tc>
          <w:tcPr>
            <w:tcW w:w="488" w:type="pct"/>
            <w:tcBorders>
              <w:top w:val="nil"/>
              <w:left w:val="nil"/>
              <w:bottom w:val="nil"/>
              <w:right w:val="nil"/>
            </w:tcBorders>
            <w:shd w:val="clear" w:color="000000" w:fill="FFFFFF"/>
            <w:noWrap/>
            <w:vAlign w:val="center"/>
            <w:hideMark/>
          </w:tcPr>
          <w:p w14:paraId="403DD1E3"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84</w:t>
            </w:r>
          </w:p>
        </w:tc>
        <w:tc>
          <w:tcPr>
            <w:tcW w:w="487" w:type="pct"/>
            <w:tcBorders>
              <w:top w:val="nil"/>
              <w:left w:val="nil"/>
              <w:bottom w:val="nil"/>
              <w:right w:val="single" w:sz="4" w:space="0" w:color="auto"/>
            </w:tcBorders>
            <w:shd w:val="clear" w:color="000000" w:fill="FFFFFF"/>
            <w:noWrap/>
            <w:vAlign w:val="center"/>
            <w:hideMark/>
          </w:tcPr>
          <w:p w14:paraId="1EA9CB3B"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w:t>
            </w:r>
          </w:p>
        </w:tc>
        <w:tc>
          <w:tcPr>
            <w:tcW w:w="487" w:type="pct"/>
            <w:tcBorders>
              <w:top w:val="nil"/>
              <w:left w:val="nil"/>
              <w:bottom w:val="nil"/>
              <w:right w:val="nil"/>
            </w:tcBorders>
            <w:shd w:val="clear" w:color="000000" w:fill="FFFFFF"/>
            <w:noWrap/>
            <w:vAlign w:val="center"/>
            <w:hideMark/>
          </w:tcPr>
          <w:p w14:paraId="72E66122" w14:textId="77777777" w:rsidR="00632C0B" w:rsidRPr="00650EE4" w:rsidRDefault="00632C0B" w:rsidP="00017447">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40.815</w:t>
            </w:r>
          </w:p>
        </w:tc>
        <w:tc>
          <w:tcPr>
            <w:tcW w:w="481" w:type="pct"/>
            <w:tcBorders>
              <w:top w:val="nil"/>
              <w:left w:val="single" w:sz="4" w:space="0" w:color="auto"/>
              <w:bottom w:val="nil"/>
              <w:right w:val="single" w:sz="4" w:space="0" w:color="auto"/>
            </w:tcBorders>
            <w:shd w:val="clear" w:color="000000" w:fill="FFFFFF"/>
            <w:noWrap/>
            <w:vAlign w:val="center"/>
            <w:hideMark/>
          </w:tcPr>
          <w:p w14:paraId="0B29593B"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r>
      <w:tr w:rsidR="00632C0B" w:rsidRPr="00650EE4" w14:paraId="7670EAC2" w14:textId="77777777" w:rsidTr="00A03881">
        <w:tc>
          <w:tcPr>
            <w:tcW w:w="102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DED402"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529" w:type="pct"/>
            <w:tcBorders>
              <w:top w:val="single" w:sz="4" w:space="0" w:color="auto"/>
              <w:left w:val="nil"/>
              <w:bottom w:val="single" w:sz="4" w:space="0" w:color="auto"/>
              <w:right w:val="nil"/>
            </w:tcBorders>
            <w:shd w:val="clear" w:color="000000" w:fill="FFFFFF"/>
            <w:noWrap/>
            <w:vAlign w:val="center"/>
            <w:hideMark/>
          </w:tcPr>
          <w:p w14:paraId="26783150"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460" w:type="pct"/>
            <w:tcBorders>
              <w:top w:val="single" w:sz="4" w:space="0" w:color="auto"/>
              <w:left w:val="nil"/>
              <w:bottom w:val="single" w:sz="4" w:space="0" w:color="auto"/>
              <w:right w:val="nil"/>
            </w:tcBorders>
            <w:shd w:val="clear" w:color="000000" w:fill="FFFFFF"/>
            <w:noWrap/>
            <w:vAlign w:val="center"/>
            <w:hideMark/>
          </w:tcPr>
          <w:p w14:paraId="6C0882B5"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486" w:type="pct"/>
            <w:tcBorders>
              <w:top w:val="single" w:sz="4" w:space="0" w:color="auto"/>
              <w:left w:val="nil"/>
              <w:bottom w:val="single" w:sz="4" w:space="0" w:color="auto"/>
              <w:right w:val="nil"/>
            </w:tcBorders>
            <w:shd w:val="clear" w:color="000000" w:fill="FFFFFF"/>
            <w:noWrap/>
            <w:vAlign w:val="center"/>
            <w:hideMark/>
          </w:tcPr>
          <w:p w14:paraId="1D8B3FE2"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556" w:type="pct"/>
            <w:tcBorders>
              <w:top w:val="single" w:sz="4" w:space="0" w:color="auto"/>
              <w:left w:val="nil"/>
              <w:bottom w:val="single" w:sz="4" w:space="0" w:color="auto"/>
              <w:right w:val="nil"/>
            </w:tcBorders>
            <w:shd w:val="clear" w:color="000000" w:fill="FFFFFF"/>
            <w:noWrap/>
            <w:vAlign w:val="center"/>
            <w:hideMark/>
          </w:tcPr>
          <w:p w14:paraId="021E8AC3"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0,8%</w:t>
            </w:r>
          </w:p>
        </w:tc>
        <w:tc>
          <w:tcPr>
            <w:tcW w:w="488" w:type="pct"/>
            <w:tcBorders>
              <w:top w:val="single" w:sz="4" w:space="0" w:color="auto"/>
              <w:left w:val="nil"/>
              <w:bottom w:val="single" w:sz="4" w:space="0" w:color="auto"/>
              <w:right w:val="nil"/>
            </w:tcBorders>
            <w:shd w:val="clear" w:color="000000" w:fill="FFFFFF"/>
            <w:noWrap/>
            <w:vAlign w:val="center"/>
            <w:hideMark/>
          </w:tcPr>
          <w:p w14:paraId="68BDFD28"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487" w:type="pct"/>
            <w:tcBorders>
              <w:top w:val="single" w:sz="4" w:space="0" w:color="auto"/>
              <w:left w:val="nil"/>
              <w:bottom w:val="single" w:sz="4" w:space="0" w:color="auto"/>
              <w:right w:val="single" w:sz="4" w:space="0" w:color="auto"/>
            </w:tcBorders>
            <w:shd w:val="clear" w:color="000000" w:fill="FFFFFF"/>
            <w:noWrap/>
            <w:vAlign w:val="center"/>
            <w:hideMark/>
          </w:tcPr>
          <w:p w14:paraId="5BA5C8B7"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0,03%</w:t>
            </w:r>
          </w:p>
        </w:tc>
        <w:tc>
          <w:tcPr>
            <w:tcW w:w="487" w:type="pct"/>
            <w:tcBorders>
              <w:top w:val="single" w:sz="4" w:space="0" w:color="auto"/>
              <w:left w:val="nil"/>
              <w:bottom w:val="single" w:sz="4" w:space="0" w:color="auto"/>
              <w:right w:val="nil"/>
            </w:tcBorders>
            <w:shd w:val="clear" w:color="000000" w:fill="FFFFFF"/>
            <w:noWrap/>
            <w:vAlign w:val="center"/>
            <w:hideMark/>
          </w:tcPr>
          <w:p w14:paraId="0211F584" w14:textId="77777777" w:rsidR="00632C0B" w:rsidRPr="00650EE4" w:rsidRDefault="00632C0B" w:rsidP="00017447">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48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04850D" w14:textId="77777777" w:rsidR="00632C0B" w:rsidRPr="00650EE4" w:rsidRDefault="00632C0B" w:rsidP="00017447">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r>
    </w:tbl>
    <w:p w14:paraId="64EB1DA9" w14:textId="012E63F0" w:rsidR="00632C0B" w:rsidRPr="00650EE4" w:rsidRDefault="00632C0B" w:rsidP="00632C0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0B2BE064" w14:textId="77777777" w:rsidR="00632C0B" w:rsidRPr="00650EE4" w:rsidRDefault="00632C0B" w:rsidP="009F3DF8">
      <w:pPr>
        <w:spacing w:line="240" w:lineRule="auto"/>
        <w:jc w:val="both"/>
        <w:rPr>
          <w:rFonts w:ascii="Times New Roman" w:hAnsi="Times New Roman"/>
          <w:color w:val="000000" w:themeColor="text1"/>
          <w:szCs w:val="22"/>
        </w:rPr>
      </w:pPr>
    </w:p>
    <w:p w14:paraId="78034F91" w14:textId="46FE022C" w:rsidR="001E614D" w:rsidRPr="00650EE4" w:rsidRDefault="00917260" w:rsidP="00917260">
      <w:pPr>
        <w:spacing w:line="240" w:lineRule="auto"/>
        <w:jc w:val="both"/>
        <w:rPr>
          <w:rFonts w:ascii="Times New Roman" w:eastAsiaTheme="minorHAnsi" w:hAnsi="Times New Roman"/>
          <w:b/>
          <w:iCs/>
          <w:color w:val="auto"/>
          <w:szCs w:val="22"/>
          <w:lang w:eastAsia="lt-LT"/>
        </w:rPr>
      </w:pPr>
      <w:r w:rsidRPr="00650EE4">
        <w:rPr>
          <w:rFonts w:ascii="Times New Roman" w:hAnsi="Times New Roman"/>
          <w:color w:val="000000" w:themeColor="text1"/>
          <w:szCs w:val="22"/>
        </w:rPr>
        <w:t xml:space="preserve">Prasčiausio energinio naudingumo pastatų pirminės energijos vartojimas </w:t>
      </w:r>
      <w:proofErr w:type="spellStart"/>
      <w:r w:rsidRPr="00650EE4">
        <w:rPr>
          <w:rFonts w:ascii="Times New Roman" w:hAnsi="Times New Roman"/>
          <w:szCs w:val="22"/>
        </w:rPr>
        <w:t>kWh</w:t>
      </w:r>
      <w:proofErr w:type="spellEnd"/>
      <w:r w:rsidRPr="00650EE4">
        <w:rPr>
          <w:rFonts w:ascii="Times New Roman" w:hAnsi="Times New Roman"/>
          <w:szCs w:val="22"/>
        </w:rPr>
        <w:t>/m</w:t>
      </w:r>
      <w:r w:rsidRPr="00650EE4">
        <w:rPr>
          <w:rFonts w:ascii="Times New Roman" w:hAnsi="Times New Roman"/>
          <w:szCs w:val="22"/>
          <w:vertAlign w:val="superscript"/>
        </w:rPr>
        <w:t xml:space="preserve">2 </w:t>
      </w:r>
      <w:r w:rsidRPr="00650EE4">
        <w:rPr>
          <w:rFonts w:ascii="Times New Roman" w:hAnsi="Times New Roman"/>
          <w:color w:val="000000" w:themeColor="text1"/>
          <w:szCs w:val="22"/>
        </w:rPr>
        <w:t xml:space="preserve"> pateikiamas lentelėje žemiau.</w:t>
      </w:r>
    </w:p>
    <w:p w14:paraId="37BC4BDF" w14:textId="77777777" w:rsidR="001E614D" w:rsidRPr="00650EE4" w:rsidRDefault="001E614D" w:rsidP="00631BA6">
      <w:pPr>
        <w:pStyle w:val="TESlentelspavadinimas"/>
        <w:rPr>
          <w:noProof w:val="0"/>
        </w:rPr>
      </w:pPr>
    </w:p>
    <w:p w14:paraId="066A9F98" w14:textId="77777777" w:rsidR="00A306BC" w:rsidRPr="00650EE4" w:rsidRDefault="00A306BC">
      <w:pPr>
        <w:spacing w:after="240"/>
        <w:rPr>
          <w:rFonts w:ascii="Times New Roman" w:eastAsiaTheme="minorHAnsi" w:hAnsi="Times New Roman"/>
          <w:bCs/>
          <w:i/>
          <w:color w:val="000000" w:themeColor="text1"/>
          <w:sz w:val="20"/>
          <w:szCs w:val="20"/>
        </w:rPr>
      </w:pPr>
      <w:r w:rsidRPr="00650EE4">
        <w:br w:type="page"/>
      </w:r>
    </w:p>
    <w:p w14:paraId="5ABF5D1D" w14:textId="1A8549BD" w:rsidR="004113FB"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74" w:name="_Toc59094210"/>
      <w:r w:rsidR="00F25C65">
        <w:t>27</w:t>
      </w:r>
      <w:r w:rsidRPr="00650EE4">
        <w:rPr>
          <w:noProof w:val="0"/>
        </w:rPr>
        <w:fldChar w:fldCharType="end"/>
      </w:r>
      <w:r w:rsidR="001E6DEB" w:rsidRPr="00650EE4">
        <w:rPr>
          <w:noProof w:val="0"/>
        </w:rPr>
        <w:t xml:space="preserve"> lentelė</w:t>
      </w:r>
      <w:r w:rsidR="00C06583" w:rsidRPr="00650EE4">
        <w:rPr>
          <w:noProof w:val="0"/>
        </w:rPr>
        <w:t xml:space="preserve">. Pastatų energijos vidutinis vartojimas pagal paskirtį ir </w:t>
      </w:r>
      <w:r w:rsidR="00D75E7D" w:rsidRPr="00650EE4">
        <w:rPr>
          <w:noProof w:val="0"/>
        </w:rPr>
        <w:t>ENK</w:t>
      </w:r>
      <w:r w:rsidR="00C06583" w:rsidRPr="00650EE4">
        <w:rPr>
          <w:noProof w:val="0"/>
        </w:rPr>
        <w:t xml:space="preserve"> (</w:t>
      </w:r>
      <w:proofErr w:type="spellStart"/>
      <w:r w:rsidR="00C06583" w:rsidRPr="00650EE4">
        <w:rPr>
          <w:noProof w:val="0"/>
        </w:rPr>
        <w:t>kWh</w:t>
      </w:r>
      <w:proofErr w:type="spellEnd"/>
      <w:r w:rsidR="00C06583" w:rsidRPr="00650EE4">
        <w:rPr>
          <w:noProof w:val="0"/>
        </w:rPr>
        <w:t>/m</w:t>
      </w:r>
      <w:r w:rsidR="00C06583" w:rsidRPr="00650EE4">
        <w:rPr>
          <w:noProof w:val="0"/>
          <w:vertAlign w:val="superscript"/>
        </w:rPr>
        <w:t>2</w:t>
      </w:r>
      <w:r w:rsidR="00834A2A" w:rsidRPr="00650EE4">
        <w:rPr>
          <w:noProof w:val="0"/>
        </w:rPr>
        <w:t xml:space="preserve"> per metus</w:t>
      </w:r>
      <w:r w:rsidR="00C06583" w:rsidRPr="00650EE4">
        <w:rPr>
          <w:noProof w:val="0"/>
        </w:rPr>
        <w:t>)</w:t>
      </w:r>
      <w:bookmarkEnd w:id="74"/>
    </w:p>
    <w:tbl>
      <w:tblPr>
        <w:tblW w:w="5000" w:type="pct"/>
        <w:tblLook w:val="04A0" w:firstRow="1" w:lastRow="0" w:firstColumn="1" w:lastColumn="0" w:noHBand="0" w:noVBand="1"/>
      </w:tblPr>
      <w:tblGrid>
        <w:gridCol w:w="2170"/>
        <w:gridCol w:w="1448"/>
        <w:gridCol w:w="1159"/>
        <w:gridCol w:w="1159"/>
        <w:gridCol w:w="1159"/>
        <w:gridCol w:w="1100"/>
        <w:gridCol w:w="1114"/>
        <w:gridCol w:w="1111"/>
      </w:tblGrid>
      <w:tr w:rsidR="00115CBF" w:rsidRPr="00650EE4" w14:paraId="59EB2E30" w14:textId="77777777" w:rsidTr="008247E3">
        <w:tc>
          <w:tcPr>
            <w:tcW w:w="2122" w:type="dxa"/>
            <w:vMerge w:val="restart"/>
            <w:tcBorders>
              <w:top w:val="single" w:sz="4" w:space="0" w:color="auto"/>
              <w:left w:val="single" w:sz="4" w:space="0" w:color="auto"/>
              <w:bottom w:val="nil"/>
              <w:right w:val="nil"/>
            </w:tcBorders>
            <w:shd w:val="clear" w:color="000000" w:fill="FFFFFF"/>
            <w:vAlign w:val="center"/>
            <w:hideMark/>
          </w:tcPr>
          <w:p w14:paraId="573D4774"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6985" w:type="dxa"/>
            <w:gridSpan w:val="6"/>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4EB1118" w14:textId="02829461"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Energ</w:t>
            </w:r>
            <w:r w:rsidR="004442F2" w:rsidRPr="00650EE4">
              <w:rPr>
                <w:rFonts w:ascii="Times New Roman" w:eastAsia="Times New Roman" w:hAnsi="Times New Roman"/>
                <w:b/>
                <w:bCs/>
                <w:sz w:val="20"/>
                <w:szCs w:val="20"/>
                <w:lang w:eastAsia="lt-LT"/>
              </w:rPr>
              <w:t>inio naudingumo</w:t>
            </w:r>
            <w:r w:rsidRPr="00650EE4">
              <w:rPr>
                <w:rFonts w:ascii="Times New Roman" w:eastAsia="Times New Roman" w:hAnsi="Times New Roman"/>
                <w:b/>
                <w:bCs/>
                <w:sz w:val="20"/>
                <w:szCs w:val="20"/>
                <w:lang w:eastAsia="lt-LT"/>
              </w:rPr>
              <w:t xml:space="preserve"> klasė</w:t>
            </w:r>
          </w:p>
        </w:tc>
        <w:tc>
          <w:tcPr>
            <w:tcW w:w="1087" w:type="dxa"/>
            <w:vMerge w:val="restart"/>
            <w:tcBorders>
              <w:top w:val="single" w:sz="4" w:space="0" w:color="auto"/>
              <w:left w:val="nil"/>
              <w:bottom w:val="nil"/>
              <w:right w:val="single" w:sz="4" w:space="0" w:color="auto"/>
            </w:tcBorders>
            <w:shd w:val="clear" w:color="000000" w:fill="FFFFFF"/>
            <w:vAlign w:val="center"/>
            <w:hideMark/>
          </w:tcPr>
          <w:p w14:paraId="28FBAB66"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Vidurkis</w:t>
            </w:r>
          </w:p>
        </w:tc>
      </w:tr>
      <w:tr w:rsidR="00115CBF" w:rsidRPr="00650EE4" w14:paraId="62921541" w14:textId="77777777" w:rsidTr="008247E3">
        <w:tc>
          <w:tcPr>
            <w:tcW w:w="2122" w:type="dxa"/>
            <w:vMerge/>
            <w:tcBorders>
              <w:top w:val="single" w:sz="4" w:space="0" w:color="auto"/>
              <w:left w:val="single" w:sz="4" w:space="0" w:color="auto"/>
              <w:bottom w:val="nil"/>
              <w:right w:val="nil"/>
            </w:tcBorders>
            <w:vAlign w:val="center"/>
            <w:hideMark/>
          </w:tcPr>
          <w:p w14:paraId="2E57C1E1" w14:textId="77777777" w:rsidR="00115CBF" w:rsidRPr="00650EE4" w:rsidRDefault="00115CBF" w:rsidP="00115CBF">
            <w:pPr>
              <w:spacing w:line="240" w:lineRule="auto"/>
              <w:rPr>
                <w:rFonts w:ascii="Times New Roman" w:eastAsia="Times New Roman" w:hAnsi="Times New Roman"/>
                <w:b/>
                <w:bCs/>
                <w:sz w:val="20"/>
                <w:szCs w:val="20"/>
                <w:lang w:eastAsia="lt-LT"/>
              </w:rPr>
            </w:pPr>
          </w:p>
        </w:tc>
        <w:tc>
          <w:tcPr>
            <w:tcW w:w="1417" w:type="dxa"/>
            <w:tcBorders>
              <w:top w:val="nil"/>
              <w:left w:val="single" w:sz="4" w:space="0" w:color="auto"/>
              <w:bottom w:val="nil"/>
              <w:right w:val="nil"/>
            </w:tcBorders>
            <w:shd w:val="clear" w:color="000000" w:fill="FFFFFF"/>
            <w:noWrap/>
            <w:vAlign w:val="center"/>
            <w:hideMark/>
          </w:tcPr>
          <w:p w14:paraId="77B5916D" w14:textId="0C0C9084" w:rsidR="00115CBF" w:rsidRPr="00650EE4" w:rsidRDefault="007F357E"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w:t>
            </w:r>
          </w:p>
        </w:tc>
        <w:tc>
          <w:tcPr>
            <w:tcW w:w="1134" w:type="dxa"/>
            <w:tcBorders>
              <w:top w:val="nil"/>
              <w:left w:val="nil"/>
              <w:bottom w:val="nil"/>
              <w:right w:val="nil"/>
            </w:tcBorders>
            <w:shd w:val="clear" w:color="000000" w:fill="FFFFFF"/>
            <w:noWrap/>
            <w:vAlign w:val="center"/>
            <w:hideMark/>
          </w:tcPr>
          <w:p w14:paraId="0B9907C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C</w:t>
            </w:r>
          </w:p>
        </w:tc>
        <w:tc>
          <w:tcPr>
            <w:tcW w:w="1134" w:type="dxa"/>
            <w:tcBorders>
              <w:top w:val="nil"/>
              <w:left w:val="nil"/>
              <w:bottom w:val="nil"/>
              <w:right w:val="nil"/>
            </w:tcBorders>
            <w:shd w:val="clear" w:color="000000" w:fill="FFFFFF"/>
            <w:noWrap/>
            <w:vAlign w:val="center"/>
            <w:hideMark/>
          </w:tcPr>
          <w:p w14:paraId="08CAFBB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w:t>
            </w:r>
          </w:p>
        </w:tc>
        <w:tc>
          <w:tcPr>
            <w:tcW w:w="1134" w:type="dxa"/>
            <w:tcBorders>
              <w:top w:val="nil"/>
              <w:left w:val="nil"/>
              <w:bottom w:val="nil"/>
              <w:right w:val="nil"/>
            </w:tcBorders>
            <w:shd w:val="clear" w:color="000000" w:fill="FFFFFF"/>
            <w:noWrap/>
            <w:vAlign w:val="center"/>
            <w:hideMark/>
          </w:tcPr>
          <w:p w14:paraId="6E26457C"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76" w:type="dxa"/>
            <w:tcBorders>
              <w:top w:val="nil"/>
              <w:left w:val="nil"/>
              <w:bottom w:val="nil"/>
              <w:right w:val="nil"/>
            </w:tcBorders>
            <w:shd w:val="clear" w:color="000000" w:fill="FFFFFF"/>
            <w:noWrap/>
            <w:vAlign w:val="center"/>
            <w:hideMark/>
          </w:tcPr>
          <w:p w14:paraId="4D4488E0"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90" w:type="dxa"/>
            <w:tcBorders>
              <w:top w:val="nil"/>
              <w:left w:val="nil"/>
              <w:bottom w:val="nil"/>
              <w:right w:val="single" w:sz="4" w:space="0" w:color="auto"/>
            </w:tcBorders>
            <w:shd w:val="clear" w:color="000000" w:fill="FFFFFF"/>
            <w:noWrap/>
            <w:vAlign w:val="center"/>
            <w:hideMark/>
          </w:tcPr>
          <w:p w14:paraId="5943E9B1" w14:textId="77777777" w:rsidR="00115CBF" w:rsidRPr="00650EE4" w:rsidRDefault="00115CBF" w:rsidP="00115CBF">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A++</w:t>
            </w:r>
          </w:p>
        </w:tc>
        <w:tc>
          <w:tcPr>
            <w:tcW w:w="1087" w:type="dxa"/>
            <w:vMerge/>
            <w:tcBorders>
              <w:top w:val="single" w:sz="4" w:space="0" w:color="auto"/>
              <w:left w:val="nil"/>
              <w:bottom w:val="nil"/>
              <w:right w:val="single" w:sz="4" w:space="0" w:color="auto"/>
            </w:tcBorders>
            <w:vAlign w:val="center"/>
            <w:hideMark/>
          </w:tcPr>
          <w:p w14:paraId="1D690FDB" w14:textId="77777777" w:rsidR="00115CBF" w:rsidRPr="00650EE4" w:rsidRDefault="00115CBF" w:rsidP="00115CBF">
            <w:pPr>
              <w:spacing w:line="240" w:lineRule="auto"/>
              <w:rPr>
                <w:rFonts w:ascii="Times New Roman" w:eastAsia="Times New Roman" w:hAnsi="Times New Roman"/>
                <w:b/>
                <w:bCs/>
                <w:sz w:val="20"/>
                <w:szCs w:val="20"/>
                <w:lang w:eastAsia="lt-LT"/>
              </w:rPr>
            </w:pPr>
          </w:p>
        </w:tc>
      </w:tr>
      <w:tr w:rsidR="00115CBF" w:rsidRPr="00650EE4" w14:paraId="39EF943E" w14:textId="77777777" w:rsidTr="008247E3">
        <w:tc>
          <w:tcPr>
            <w:tcW w:w="2122" w:type="dxa"/>
            <w:tcBorders>
              <w:top w:val="single" w:sz="4" w:space="0" w:color="auto"/>
              <w:left w:val="single" w:sz="4" w:space="0" w:color="auto"/>
              <w:bottom w:val="nil"/>
              <w:right w:val="nil"/>
            </w:tcBorders>
            <w:shd w:val="clear" w:color="000000" w:fill="F2F2F2"/>
            <w:noWrap/>
            <w:vAlign w:val="center"/>
            <w:hideMark/>
          </w:tcPr>
          <w:p w14:paraId="19465082"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1.Gyvenamieji</w:t>
            </w:r>
          </w:p>
        </w:tc>
        <w:tc>
          <w:tcPr>
            <w:tcW w:w="1417" w:type="dxa"/>
            <w:tcBorders>
              <w:top w:val="single" w:sz="4" w:space="0" w:color="auto"/>
              <w:left w:val="single" w:sz="4" w:space="0" w:color="auto"/>
              <w:bottom w:val="nil"/>
              <w:right w:val="nil"/>
            </w:tcBorders>
            <w:shd w:val="clear" w:color="000000" w:fill="F2F2F2"/>
            <w:noWrap/>
            <w:vAlign w:val="center"/>
            <w:hideMark/>
          </w:tcPr>
          <w:p w14:paraId="398B424D"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2E7B4ADB"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4AF386F4"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single" w:sz="4" w:space="0" w:color="auto"/>
              <w:left w:val="nil"/>
              <w:bottom w:val="nil"/>
              <w:right w:val="nil"/>
            </w:tcBorders>
            <w:shd w:val="clear" w:color="000000" w:fill="F2F2F2"/>
            <w:noWrap/>
            <w:vAlign w:val="center"/>
            <w:hideMark/>
          </w:tcPr>
          <w:p w14:paraId="7B8D1ED8"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76" w:type="dxa"/>
            <w:tcBorders>
              <w:top w:val="single" w:sz="4" w:space="0" w:color="auto"/>
              <w:left w:val="nil"/>
              <w:bottom w:val="nil"/>
              <w:right w:val="nil"/>
            </w:tcBorders>
            <w:shd w:val="clear" w:color="000000" w:fill="F2F2F2"/>
            <w:noWrap/>
            <w:vAlign w:val="center"/>
            <w:hideMark/>
          </w:tcPr>
          <w:p w14:paraId="6FE54D5C"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90" w:type="dxa"/>
            <w:tcBorders>
              <w:top w:val="single" w:sz="4" w:space="0" w:color="auto"/>
              <w:left w:val="nil"/>
              <w:bottom w:val="nil"/>
              <w:right w:val="single" w:sz="4" w:space="0" w:color="auto"/>
            </w:tcBorders>
            <w:shd w:val="clear" w:color="000000" w:fill="F2F2F2"/>
            <w:noWrap/>
            <w:vAlign w:val="center"/>
            <w:hideMark/>
          </w:tcPr>
          <w:p w14:paraId="4AD5BD3B"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87" w:type="dxa"/>
            <w:tcBorders>
              <w:top w:val="single" w:sz="4" w:space="0" w:color="auto"/>
              <w:left w:val="nil"/>
              <w:bottom w:val="nil"/>
              <w:right w:val="single" w:sz="4" w:space="0" w:color="auto"/>
            </w:tcBorders>
            <w:shd w:val="clear" w:color="000000" w:fill="F2F2F2"/>
            <w:noWrap/>
            <w:vAlign w:val="center"/>
            <w:hideMark/>
          </w:tcPr>
          <w:p w14:paraId="04C94F30"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r>
      <w:tr w:rsidR="00115CBF" w:rsidRPr="00650EE4" w14:paraId="71169ED7" w14:textId="77777777" w:rsidTr="008247E3">
        <w:tc>
          <w:tcPr>
            <w:tcW w:w="2122" w:type="dxa"/>
            <w:tcBorders>
              <w:top w:val="nil"/>
              <w:left w:val="single" w:sz="4" w:space="0" w:color="auto"/>
              <w:bottom w:val="nil"/>
              <w:right w:val="nil"/>
            </w:tcBorders>
            <w:shd w:val="clear" w:color="000000" w:fill="FFFFFF"/>
            <w:noWrap/>
            <w:vAlign w:val="center"/>
            <w:hideMark/>
          </w:tcPr>
          <w:p w14:paraId="3716E404"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1.1.Individualūs</w:t>
            </w:r>
          </w:p>
        </w:tc>
        <w:tc>
          <w:tcPr>
            <w:tcW w:w="1417" w:type="dxa"/>
            <w:tcBorders>
              <w:top w:val="nil"/>
              <w:left w:val="single" w:sz="4" w:space="0" w:color="auto"/>
              <w:bottom w:val="nil"/>
              <w:right w:val="nil"/>
            </w:tcBorders>
            <w:shd w:val="clear" w:color="000000" w:fill="F97D7F"/>
            <w:noWrap/>
            <w:vAlign w:val="center"/>
            <w:hideMark/>
          </w:tcPr>
          <w:p w14:paraId="043650F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258</w:t>
            </w:r>
          </w:p>
        </w:tc>
        <w:tc>
          <w:tcPr>
            <w:tcW w:w="1134" w:type="dxa"/>
            <w:tcBorders>
              <w:top w:val="nil"/>
              <w:left w:val="nil"/>
              <w:bottom w:val="nil"/>
              <w:right w:val="nil"/>
            </w:tcBorders>
            <w:shd w:val="clear" w:color="000000" w:fill="EAEFF8"/>
            <w:noWrap/>
            <w:vAlign w:val="center"/>
            <w:hideMark/>
          </w:tcPr>
          <w:p w14:paraId="32CCA93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34" w:type="dxa"/>
            <w:tcBorders>
              <w:top w:val="nil"/>
              <w:left w:val="nil"/>
              <w:bottom w:val="nil"/>
              <w:right w:val="nil"/>
            </w:tcBorders>
            <w:shd w:val="clear" w:color="000000" w:fill="EDF2FA"/>
            <w:noWrap/>
            <w:vAlign w:val="center"/>
            <w:hideMark/>
          </w:tcPr>
          <w:p w14:paraId="708541A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131</w:t>
            </w:r>
          </w:p>
        </w:tc>
        <w:tc>
          <w:tcPr>
            <w:tcW w:w="1134" w:type="dxa"/>
            <w:tcBorders>
              <w:top w:val="nil"/>
              <w:left w:val="nil"/>
              <w:bottom w:val="nil"/>
              <w:right w:val="nil"/>
            </w:tcBorders>
            <w:shd w:val="clear" w:color="000000" w:fill="B5CAE6"/>
            <w:noWrap/>
            <w:vAlign w:val="center"/>
            <w:hideMark/>
          </w:tcPr>
          <w:p w14:paraId="4334A239"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1076" w:type="dxa"/>
            <w:tcBorders>
              <w:top w:val="nil"/>
              <w:left w:val="nil"/>
              <w:bottom w:val="nil"/>
              <w:right w:val="nil"/>
            </w:tcBorders>
            <w:shd w:val="clear" w:color="000000" w:fill="9BB8DD"/>
            <w:noWrap/>
            <w:vAlign w:val="center"/>
            <w:hideMark/>
          </w:tcPr>
          <w:p w14:paraId="5540369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1090" w:type="dxa"/>
            <w:tcBorders>
              <w:top w:val="nil"/>
              <w:left w:val="nil"/>
              <w:bottom w:val="nil"/>
              <w:right w:val="single" w:sz="4" w:space="0" w:color="auto"/>
            </w:tcBorders>
            <w:shd w:val="clear" w:color="000000" w:fill="5A8AC6"/>
            <w:noWrap/>
            <w:vAlign w:val="center"/>
            <w:hideMark/>
          </w:tcPr>
          <w:p w14:paraId="1B7BA03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78</w:t>
            </w:r>
          </w:p>
        </w:tc>
        <w:tc>
          <w:tcPr>
            <w:tcW w:w="1087" w:type="dxa"/>
            <w:tcBorders>
              <w:top w:val="nil"/>
              <w:left w:val="nil"/>
              <w:bottom w:val="nil"/>
              <w:right w:val="single" w:sz="4" w:space="0" w:color="auto"/>
            </w:tcBorders>
            <w:shd w:val="clear" w:color="000000" w:fill="FFFFFF"/>
            <w:noWrap/>
            <w:vAlign w:val="center"/>
            <w:hideMark/>
          </w:tcPr>
          <w:p w14:paraId="70BF2C62"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199</w:t>
            </w:r>
          </w:p>
        </w:tc>
      </w:tr>
      <w:tr w:rsidR="00115CBF" w:rsidRPr="00650EE4" w14:paraId="25161C4C" w14:textId="77777777" w:rsidTr="008247E3">
        <w:tc>
          <w:tcPr>
            <w:tcW w:w="2122" w:type="dxa"/>
            <w:tcBorders>
              <w:top w:val="nil"/>
              <w:left w:val="single" w:sz="4" w:space="0" w:color="auto"/>
              <w:bottom w:val="single" w:sz="4" w:space="0" w:color="auto"/>
              <w:right w:val="nil"/>
            </w:tcBorders>
            <w:shd w:val="clear" w:color="000000" w:fill="FFFFFF"/>
            <w:noWrap/>
            <w:vAlign w:val="center"/>
            <w:hideMark/>
          </w:tcPr>
          <w:p w14:paraId="0BD88609"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1.2.Daugiabučiai</w:t>
            </w:r>
          </w:p>
        </w:tc>
        <w:tc>
          <w:tcPr>
            <w:tcW w:w="1417" w:type="dxa"/>
            <w:tcBorders>
              <w:top w:val="nil"/>
              <w:left w:val="single" w:sz="4" w:space="0" w:color="auto"/>
              <w:bottom w:val="single" w:sz="4" w:space="0" w:color="auto"/>
              <w:right w:val="nil"/>
            </w:tcBorders>
            <w:shd w:val="clear" w:color="000000" w:fill="FA9EA1"/>
            <w:noWrap/>
            <w:vAlign w:val="center"/>
            <w:hideMark/>
          </w:tcPr>
          <w:p w14:paraId="0C9AB85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226</w:t>
            </w:r>
          </w:p>
        </w:tc>
        <w:tc>
          <w:tcPr>
            <w:tcW w:w="1134" w:type="dxa"/>
            <w:tcBorders>
              <w:top w:val="nil"/>
              <w:left w:val="nil"/>
              <w:bottom w:val="single" w:sz="4" w:space="0" w:color="auto"/>
              <w:right w:val="nil"/>
            </w:tcBorders>
            <w:shd w:val="clear" w:color="000000" w:fill="FCF3F6"/>
            <w:noWrap/>
            <w:vAlign w:val="center"/>
            <w:hideMark/>
          </w:tcPr>
          <w:p w14:paraId="269F073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145</w:t>
            </w:r>
          </w:p>
        </w:tc>
        <w:tc>
          <w:tcPr>
            <w:tcW w:w="1134" w:type="dxa"/>
            <w:tcBorders>
              <w:top w:val="nil"/>
              <w:left w:val="nil"/>
              <w:bottom w:val="single" w:sz="4" w:space="0" w:color="auto"/>
              <w:right w:val="nil"/>
            </w:tcBorders>
            <w:shd w:val="clear" w:color="000000" w:fill="FCF7FA"/>
            <w:noWrap/>
            <w:vAlign w:val="center"/>
            <w:hideMark/>
          </w:tcPr>
          <w:p w14:paraId="3DE3F35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141</w:t>
            </w:r>
          </w:p>
        </w:tc>
        <w:tc>
          <w:tcPr>
            <w:tcW w:w="1134" w:type="dxa"/>
            <w:tcBorders>
              <w:top w:val="nil"/>
              <w:left w:val="nil"/>
              <w:bottom w:val="single" w:sz="4" w:space="0" w:color="auto"/>
              <w:right w:val="nil"/>
            </w:tcBorders>
            <w:shd w:val="clear" w:color="000000" w:fill="B2C8E5"/>
            <w:noWrap/>
            <w:vAlign w:val="center"/>
            <w:hideMark/>
          </w:tcPr>
          <w:p w14:paraId="6CFB12D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1076" w:type="dxa"/>
            <w:tcBorders>
              <w:top w:val="nil"/>
              <w:left w:val="nil"/>
              <w:bottom w:val="single" w:sz="4" w:space="0" w:color="auto"/>
              <w:right w:val="nil"/>
            </w:tcBorders>
            <w:shd w:val="clear" w:color="000000" w:fill="9BB8DD"/>
            <w:noWrap/>
            <w:vAlign w:val="center"/>
            <w:hideMark/>
          </w:tcPr>
          <w:p w14:paraId="770EB1D2"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1090" w:type="dxa"/>
            <w:tcBorders>
              <w:top w:val="nil"/>
              <w:left w:val="nil"/>
              <w:bottom w:val="single" w:sz="4" w:space="0" w:color="auto"/>
              <w:right w:val="single" w:sz="4" w:space="0" w:color="auto"/>
            </w:tcBorders>
            <w:shd w:val="clear" w:color="000000" w:fill="A3BDDF"/>
            <w:noWrap/>
            <w:vAlign w:val="center"/>
            <w:hideMark/>
          </w:tcPr>
          <w:p w14:paraId="09C8BEE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104</w:t>
            </w:r>
          </w:p>
        </w:tc>
        <w:tc>
          <w:tcPr>
            <w:tcW w:w="1087" w:type="dxa"/>
            <w:tcBorders>
              <w:top w:val="nil"/>
              <w:left w:val="nil"/>
              <w:bottom w:val="single" w:sz="4" w:space="0" w:color="auto"/>
              <w:right w:val="single" w:sz="4" w:space="0" w:color="auto"/>
            </w:tcBorders>
            <w:shd w:val="clear" w:color="000000" w:fill="FFFFFF"/>
            <w:noWrap/>
            <w:vAlign w:val="center"/>
            <w:hideMark/>
          </w:tcPr>
          <w:p w14:paraId="75504FE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201</w:t>
            </w:r>
          </w:p>
        </w:tc>
      </w:tr>
      <w:tr w:rsidR="00115CBF" w:rsidRPr="00650EE4" w14:paraId="352F093F" w14:textId="77777777" w:rsidTr="008247E3">
        <w:tc>
          <w:tcPr>
            <w:tcW w:w="2122" w:type="dxa"/>
            <w:tcBorders>
              <w:top w:val="nil"/>
              <w:left w:val="single" w:sz="4" w:space="0" w:color="auto"/>
              <w:bottom w:val="nil"/>
              <w:right w:val="nil"/>
            </w:tcBorders>
            <w:shd w:val="clear" w:color="000000" w:fill="F2F2F2"/>
            <w:noWrap/>
            <w:vAlign w:val="center"/>
            <w:hideMark/>
          </w:tcPr>
          <w:p w14:paraId="5C485F42"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2.Negyvenamieji</w:t>
            </w:r>
          </w:p>
        </w:tc>
        <w:tc>
          <w:tcPr>
            <w:tcW w:w="1417" w:type="dxa"/>
            <w:tcBorders>
              <w:top w:val="nil"/>
              <w:left w:val="single" w:sz="4" w:space="0" w:color="auto"/>
              <w:bottom w:val="nil"/>
              <w:right w:val="nil"/>
            </w:tcBorders>
            <w:shd w:val="clear" w:color="000000" w:fill="F2F2F2"/>
            <w:noWrap/>
            <w:vAlign w:val="center"/>
            <w:hideMark/>
          </w:tcPr>
          <w:p w14:paraId="5F7B4409"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16EDFE0A"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43378745"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134" w:type="dxa"/>
            <w:tcBorders>
              <w:top w:val="nil"/>
              <w:left w:val="nil"/>
              <w:bottom w:val="nil"/>
              <w:right w:val="nil"/>
            </w:tcBorders>
            <w:shd w:val="clear" w:color="000000" w:fill="F2F2F2"/>
            <w:noWrap/>
            <w:vAlign w:val="center"/>
            <w:hideMark/>
          </w:tcPr>
          <w:p w14:paraId="444D4067"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76" w:type="dxa"/>
            <w:tcBorders>
              <w:top w:val="nil"/>
              <w:left w:val="nil"/>
              <w:bottom w:val="nil"/>
              <w:right w:val="nil"/>
            </w:tcBorders>
            <w:shd w:val="clear" w:color="000000" w:fill="F2F2F2"/>
            <w:noWrap/>
            <w:vAlign w:val="center"/>
            <w:hideMark/>
          </w:tcPr>
          <w:p w14:paraId="62AC7D31"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90" w:type="dxa"/>
            <w:tcBorders>
              <w:top w:val="nil"/>
              <w:left w:val="nil"/>
              <w:bottom w:val="nil"/>
              <w:right w:val="single" w:sz="4" w:space="0" w:color="auto"/>
            </w:tcBorders>
            <w:shd w:val="clear" w:color="000000" w:fill="F2F2F2"/>
            <w:noWrap/>
            <w:vAlign w:val="center"/>
            <w:hideMark/>
          </w:tcPr>
          <w:p w14:paraId="0E4BAF79"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c>
          <w:tcPr>
            <w:tcW w:w="1087" w:type="dxa"/>
            <w:tcBorders>
              <w:top w:val="nil"/>
              <w:left w:val="nil"/>
              <w:bottom w:val="nil"/>
              <w:right w:val="single" w:sz="4" w:space="0" w:color="auto"/>
            </w:tcBorders>
            <w:shd w:val="clear" w:color="000000" w:fill="F2F2F2"/>
            <w:noWrap/>
            <w:vAlign w:val="center"/>
            <w:hideMark/>
          </w:tcPr>
          <w:p w14:paraId="0897734D" w14:textId="77777777" w:rsidR="00115CBF" w:rsidRPr="00650EE4" w:rsidRDefault="00115CBF" w:rsidP="00115CBF">
            <w:pPr>
              <w:spacing w:line="240" w:lineRule="auto"/>
              <w:jc w:val="right"/>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 </w:t>
            </w:r>
          </w:p>
        </w:tc>
      </w:tr>
      <w:tr w:rsidR="00115CBF" w:rsidRPr="00650EE4" w14:paraId="0D099268" w14:textId="77777777" w:rsidTr="008247E3">
        <w:tc>
          <w:tcPr>
            <w:tcW w:w="2122" w:type="dxa"/>
            <w:tcBorders>
              <w:top w:val="nil"/>
              <w:left w:val="single" w:sz="4" w:space="0" w:color="auto"/>
              <w:bottom w:val="nil"/>
              <w:right w:val="nil"/>
            </w:tcBorders>
            <w:shd w:val="clear" w:color="000000" w:fill="FFFFFF"/>
            <w:noWrap/>
            <w:vAlign w:val="center"/>
            <w:hideMark/>
          </w:tcPr>
          <w:p w14:paraId="6882792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2.1.Pramonės</w:t>
            </w:r>
          </w:p>
        </w:tc>
        <w:tc>
          <w:tcPr>
            <w:tcW w:w="1417" w:type="dxa"/>
            <w:tcBorders>
              <w:top w:val="nil"/>
              <w:left w:val="single" w:sz="4" w:space="0" w:color="auto"/>
              <w:bottom w:val="nil"/>
              <w:right w:val="nil"/>
            </w:tcBorders>
            <w:shd w:val="clear" w:color="000000" w:fill="FA9FA2"/>
            <w:noWrap/>
            <w:vAlign w:val="center"/>
            <w:hideMark/>
          </w:tcPr>
          <w:p w14:paraId="706F6B2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225</w:t>
            </w:r>
          </w:p>
        </w:tc>
        <w:tc>
          <w:tcPr>
            <w:tcW w:w="1134" w:type="dxa"/>
            <w:tcBorders>
              <w:top w:val="nil"/>
              <w:left w:val="nil"/>
              <w:bottom w:val="nil"/>
              <w:right w:val="nil"/>
            </w:tcBorders>
            <w:shd w:val="clear" w:color="000000" w:fill="E8EDF7"/>
            <w:noWrap/>
            <w:vAlign w:val="center"/>
            <w:hideMark/>
          </w:tcPr>
          <w:p w14:paraId="7D6F36D2"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129</w:t>
            </w:r>
          </w:p>
        </w:tc>
        <w:tc>
          <w:tcPr>
            <w:tcW w:w="1134" w:type="dxa"/>
            <w:tcBorders>
              <w:top w:val="nil"/>
              <w:left w:val="nil"/>
              <w:bottom w:val="nil"/>
              <w:right w:val="nil"/>
            </w:tcBorders>
            <w:shd w:val="clear" w:color="000000" w:fill="ACC3E2"/>
            <w:noWrap/>
            <w:vAlign w:val="center"/>
            <w:hideMark/>
          </w:tcPr>
          <w:p w14:paraId="2E970D3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107</w:t>
            </w:r>
          </w:p>
        </w:tc>
        <w:tc>
          <w:tcPr>
            <w:tcW w:w="1134" w:type="dxa"/>
            <w:tcBorders>
              <w:top w:val="nil"/>
              <w:left w:val="nil"/>
              <w:bottom w:val="nil"/>
              <w:right w:val="nil"/>
            </w:tcBorders>
            <w:shd w:val="clear" w:color="000000" w:fill="8CADD7"/>
            <w:noWrap/>
            <w:vAlign w:val="center"/>
            <w:hideMark/>
          </w:tcPr>
          <w:p w14:paraId="73E2418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96</w:t>
            </w:r>
          </w:p>
        </w:tc>
        <w:tc>
          <w:tcPr>
            <w:tcW w:w="1076" w:type="dxa"/>
            <w:tcBorders>
              <w:top w:val="nil"/>
              <w:left w:val="nil"/>
              <w:bottom w:val="nil"/>
              <w:right w:val="nil"/>
            </w:tcBorders>
            <w:shd w:val="clear" w:color="000000" w:fill="7EA3D2"/>
            <w:noWrap/>
            <w:vAlign w:val="center"/>
            <w:hideMark/>
          </w:tcPr>
          <w:p w14:paraId="49F9D13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w:t>
            </w:r>
          </w:p>
        </w:tc>
        <w:tc>
          <w:tcPr>
            <w:tcW w:w="1090" w:type="dxa"/>
            <w:tcBorders>
              <w:top w:val="nil"/>
              <w:left w:val="nil"/>
              <w:bottom w:val="nil"/>
              <w:right w:val="single" w:sz="4" w:space="0" w:color="auto"/>
            </w:tcBorders>
            <w:shd w:val="clear" w:color="000000" w:fill="D4E0F1"/>
            <w:noWrap/>
            <w:vAlign w:val="center"/>
            <w:hideMark/>
          </w:tcPr>
          <w:p w14:paraId="0FDCACF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122</w:t>
            </w:r>
          </w:p>
        </w:tc>
        <w:tc>
          <w:tcPr>
            <w:tcW w:w="1087" w:type="dxa"/>
            <w:tcBorders>
              <w:top w:val="nil"/>
              <w:left w:val="nil"/>
              <w:bottom w:val="nil"/>
              <w:right w:val="single" w:sz="4" w:space="0" w:color="auto"/>
            </w:tcBorders>
            <w:shd w:val="clear" w:color="000000" w:fill="FFFFFF"/>
            <w:noWrap/>
            <w:vAlign w:val="center"/>
            <w:hideMark/>
          </w:tcPr>
          <w:p w14:paraId="1FE41BC2"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205</w:t>
            </w:r>
          </w:p>
        </w:tc>
      </w:tr>
      <w:tr w:rsidR="00115CBF" w:rsidRPr="00650EE4" w14:paraId="6A87C7BA" w14:textId="77777777" w:rsidTr="008247E3">
        <w:tc>
          <w:tcPr>
            <w:tcW w:w="2122" w:type="dxa"/>
            <w:tcBorders>
              <w:top w:val="nil"/>
              <w:left w:val="single" w:sz="4" w:space="0" w:color="auto"/>
              <w:bottom w:val="nil"/>
              <w:right w:val="nil"/>
            </w:tcBorders>
            <w:shd w:val="clear" w:color="000000" w:fill="FFFFFF"/>
            <w:noWrap/>
            <w:vAlign w:val="center"/>
            <w:hideMark/>
          </w:tcPr>
          <w:p w14:paraId="43426AB6"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2.2.Administraciniai</w:t>
            </w:r>
          </w:p>
        </w:tc>
        <w:tc>
          <w:tcPr>
            <w:tcW w:w="1417" w:type="dxa"/>
            <w:tcBorders>
              <w:top w:val="nil"/>
              <w:left w:val="single" w:sz="4" w:space="0" w:color="auto"/>
              <w:bottom w:val="nil"/>
              <w:right w:val="nil"/>
            </w:tcBorders>
            <w:shd w:val="clear" w:color="000000" w:fill="F98C8E"/>
            <w:noWrap/>
            <w:vAlign w:val="center"/>
            <w:hideMark/>
          </w:tcPr>
          <w:p w14:paraId="6604942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243</w:t>
            </w:r>
          </w:p>
        </w:tc>
        <w:tc>
          <w:tcPr>
            <w:tcW w:w="1134" w:type="dxa"/>
            <w:tcBorders>
              <w:top w:val="nil"/>
              <w:left w:val="nil"/>
              <w:bottom w:val="nil"/>
              <w:right w:val="nil"/>
            </w:tcBorders>
            <w:shd w:val="clear" w:color="000000" w:fill="FCEBEE"/>
            <w:noWrap/>
            <w:vAlign w:val="center"/>
            <w:hideMark/>
          </w:tcPr>
          <w:p w14:paraId="58B51D7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153</w:t>
            </w:r>
          </w:p>
        </w:tc>
        <w:tc>
          <w:tcPr>
            <w:tcW w:w="1134" w:type="dxa"/>
            <w:tcBorders>
              <w:top w:val="nil"/>
              <w:left w:val="nil"/>
              <w:bottom w:val="nil"/>
              <w:right w:val="nil"/>
            </w:tcBorders>
            <w:shd w:val="clear" w:color="000000" w:fill="F8F9FD"/>
            <w:noWrap/>
            <w:vAlign w:val="center"/>
            <w:hideMark/>
          </w:tcPr>
          <w:p w14:paraId="37387B5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134</w:t>
            </w:r>
          </w:p>
        </w:tc>
        <w:tc>
          <w:tcPr>
            <w:tcW w:w="1134" w:type="dxa"/>
            <w:tcBorders>
              <w:top w:val="nil"/>
              <w:left w:val="nil"/>
              <w:bottom w:val="nil"/>
              <w:right w:val="nil"/>
            </w:tcBorders>
            <w:shd w:val="clear" w:color="000000" w:fill="C8D7EC"/>
            <w:noWrap/>
            <w:vAlign w:val="center"/>
            <w:hideMark/>
          </w:tcPr>
          <w:p w14:paraId="0CE1281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117</w:t>
            </w:r>
          </w:p>
        </w:tc>
        <w:tc>
          <w:tcPr>
            <w:tcW w:w="1076" w:type="dxa"/>
            <w:tcBorders>
              <w:top w:val="nil"/>
              <w:left w:val="nil"/>
              <w:bottom w:val="nil"/>
              <w:right w:val="nil"/>
            </w:tcBorders>
            <w:shd w:val="clear" w:color="000000" w:fill="C9D8ED"/>
            <w:noWrap/>
            <w:vAlign w:val="center"/>
            <w:hideMark/>
          </w:tcPr>
          <w:p w14:paraId="34CB4ED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118</w:t>
            </w:r>
          </w:p>
        </w:tc>
        <w:tc>
          <w:tcPr>
            <w:tcW w:w="1090" w:type="dxa"/>
            <w:tcBorders>
              <w:top w:val="nil"/>
              <w:left w:val="nil"/>
              <w:bottom w:val="nil"/>
              <w:right w:val="single" w:sz="4" w:space="0" w:color="auto"/>
            </w:tcBorders>
            <w:shd w:val="clear" w:color="000000" w:fill="FFFFFF"/>
            <w:noWrap/>
            <w:vAlign w:val="center"/>
            <w:hideMark/>
          </w:tcPr>
          <w:p w14:paraId="769BBA0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4F3CCCC0"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216</w:t>
            </w:r>
          </w:p>
        </w:tc>
      </w:tr>
      <w:tr w:rsidR="00115CBF" w:rsidRPr="00650EE4" w14:paraId="55AFBABA" w14:textId="77777777" w:rsidTr="008247E3">
        <w:tc>
          <w:tcPr>
            <w:tcW w:w="2122" w:type="dxa"/>
            <w:tcBorders>
              <w:top w:val="nil"/>
              <w:left w:val="single" w:sz="4" w:space="0" w:color="auto"/>
              <w:bottom w:val="nil"/>
              <w:right w:val="nil"/>
            </w:tcBorders>
            <w:shd w:val="clear" w:color="000000" w:fill="FFFFFF"/>
            <w:noWrap/>
            <w:vAlign w:val="center"/>
            <w:hideMark/>
          </w:tcPr>
          <w:p w14:paraId="76060C93"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2.3.Mokslo</w:t>
            </w:r>
          </w:p>
        </w:tc>
        <w:tc>
          <w:tcPr>
            <w:tcW w:w="1417" w:type="dxa"/>
            <w:tcBorders>
              <w:top w:val="nil"/>
              <w:left w:val="single" w:sz="4" w:space="0" w:color="auto"/>
              <w:bottom w:val="nil"/>
              <w:right w:val="nil"/>
            </w:tcBorders>
            <w:shd w:val="clear" w:color="000000" w:fill="FAA1A4"/>
            <w:noWrap/>
            <w:vAlign w:val="center"/>
            <w:hideMark/>
          </w:tcPr>
          <w:p w14:paraId="611D53B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223</w:t>
            </w:r>
          </w:p>
        </w:tc>
        <w:tc>
          <w:tcPr>
            <w:tcW w:w="1134" w:type="dxa"/>
            <w:tcBorders>
              <w:top w:val="nil"/>
              <w:left w:val="nil"/>
              <w:bottom w:val="nil"/>
              <w:right w:val="nil"/>
            </w:tcBorders>
            <w:shd w:val="clear" w:color="000000" w:fill="F2F5FB"/>
            <w:noWrap/>
            <w:vAlign w:val="center"/>
            <w:hideMark/>
          </w:tcPr>
          <w:p w14:paraId="3D219E79"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134" w:type="dxa"/>
            <w:tcBorders>
              <w:top w:val="nil"/>
              <w:left w:val="nil"/>
              <w:bottom w:val="nil"/>
              <w:right w:val="nil"/>
            </w:tcBorders>
            <w:shd w:val="clear" w:color="000000" w:fill="BED1E9"/>
            <w:noWrap/>
            <w:vAlign w:val="center"/>
            <w:hideMark/>
          </w:tcPr>
          <w:p w14:paraId="4DC95F9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134" w:type="dxa"/>
            <w:tcBorders>
              <w:top w:val="nil"/>
              <w:left w:val="nil"/>
              <w:bottom w:val="nil"/>
              <w:right w:val="nil"/>
            </w:tcBorders>
            <w:shd w:val="clear" w:color="000000" w:fill="8AABD6"/>
            <w:noWrap/>
            <w:vAlign w:val="center"/>
            <w:hideMark/>
          </w:tcPr>
          <w:p w14:paraId="4166448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076" w:type="dxa"/>
            <w:tcBorders>
              <w:top w:val="nil"/>
              <w:left w:val="nil"/>
              <w:bottom w:val="nil"/>
              <w:right w:val="nil"/>
            </w:tcBorders>
            <w:shd w:val="clear" w:color="000000" w:fill="97B5DB"/>
            <w:noWrap/>
            <w:vAlign w:val="center"/>
            <w:hideMark/>
          </w:tcPr>
          <w:p w14:paraId="0B5FF33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w:t>
            </w:r>
          </w:p>
        </w:tc>
        <w:tc>
          <w:tcPr>
            <w:tcW w:w="1090" w:type="dxa"/>
            <w:tcBorders>
              <w:top w:val="nil"/>
              <w:left w:val="nil"/>
              <w:bottom w:val="nil"/>
              <w:right w:val="single" w:sz="4" w:space="0" w:color="auto"/>
            </w:tcBorders>
            <w:shd w:val="clear" w:color="000000" w:fill="FFFFFF"/>
            <w:noWrap/>
            <w:vAlign w:val="center"/>
            <w:hideMark/>
          </w:tcPr>
          <w:p w14:paraId="7B026EB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275DD48C"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188</w:t>
            </w:r>
          </w:p>
        </w:tc>
      </w:tr>
      <w:tr w:rsidR="00115CBF" w:rsidRPr="00650EE4" w14:paraId="056D57CF" w14:textId="77777777" w:rsidTr="008247E3">
        <w:tc>
          <w:tcPr>
            <w:tcW w:w="2122" w:type="dxa"/>
            <w:tcBorders>
              <w:top w:val="nil"/>
              <w:left w:val="single" w:sz="4" w:space="0" w:color="auto"/>
              <w:bottom w:val="nil"/>
              <w:right w:val="nil"/>
            </w:tcBorders>
            <w:shd w:val="clear" w:color="000000" w:fill="FFFFFF"/>
            <w:noWrap/>
            <w:vAlign w:val="center"/>
            <w:hideMark/>
          </w:tcPr>
          <w:p w14:paraId="519B506E"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2.4.Prekybos</w:t>
            </w:r>
          </w:p>
        </w:tc>
        <w:tc>
          <w:tcPr>
            <w:tcW w:w="1417" w:type="dxa"/>
            <w:tcBorders>
              <w:top w:val="nil"/>
              <w:left w:val="single" w:sz="4" w:space="0" w:color="auto"/>
              <w:bottom w:val="nil"/>
              <w:right w:val="nil"/>
            </w:tcBorders>
            <w:shd w:val="clear" w:color="000000" w:fill="F98A8C"/>
            <w:noWrap/>
            <w:vAlign w:val="center"/>
            <w:hideMark/>
          </w:tcPr>
          <w:p w14:paraId="4E69642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245</w:t>
            </w:r>
          </w:p>
        </w:tc>
        <w:tc>
          <w:tcPr>
            <w:tcW w:w="1134" w:type="dxa"/>
            <w:tcBorders>
              <w:top w:val="nil"/>
              <w:left w:val="nil"/>
              <w:bottom w:val="nil"/>
              <w:right w:val="nil"/>
            </w:tcBorders>
            <w:shd w:val="clear" w:color="000000" w:fill="FCE8EB"/>
            <w:noWrap/>
            <w:vAlign w:val="center"/>
            <w:hideMark/>
          </w:tcPr>
          <w:p w14:paraId="3C33FDFD"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155</w:t>
            </w:r>
          </w:p>
        </w:tc>
        <w:tc>
          <w:tcPr>
            <w:tcW w:w="1134" w:type="dxa"/>
            <w:tcBorders>
              <w:top w:val="nil"/>
              <w:left w:val="nil"/>
              <w:bottom w:val="nil"/>
              <w:right w:val="nil"/>
            </w:tcBorders>
            <w:shd w:val="clear" w:color="000000" w:fill="FCFBFE"/>
            <w:noWrap/>
            <w:vAlign w:val="center"/>
            <w:hideMark/>
          </w:tcPr>
          <w:p w14:paraId="31A3BA3D"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w:t>
            </w:r>
          </w:p>
        </w:tc>
        <w:tc>
          <w:tcPr>
            <w:tcW w:w="1134" w:type="dxa"/>
            <w:tcBorders>
              <w:top w:val="nil"/>
              <w:left w:val="nil"/>
              <w:bottom w:val="nil"/>
              <w:right w:val="nil"/>
            </w:tcBorders>
            <w:shd w:val="clear" w:color="000000" w:fill="CEDCEF"/>
            <w:noWrap/>
            <w:vAlign w:val="center"/>
            <w:hideMark/>
          </w:tcPr>
          <w:p w14:paraId="712C7C2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120</w:t>
            </w:r>
          </w:p>
        </w:tc>
        <w:tc>
          <w:tcPr>
            <w:tcW w:w="1076" w:type="dxa"/>
            <w:tcBorders>
              <w:top w:val="nil"/>
              <w:left w:val="nil"/>
              <w:bottom w:val="nil"/>
              <w:right w:val="nil"/>
            </w:tcBorders>
            <w:shd w:val="clear" w:color="000000" w:fill="D1DEF0"/>
            <w:noWrap/>
            <w:vAlign w:val="center"/>
            <w:hideMark/>
          </w:tcPr>
          <w:p w14:paraId="52A363F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121</w:t>
            </w:r>
          </w:p>
        </w:tc>
        <w:tc>
          <w:tcPr>
            <w:tcW w:w="1090" w:type="dxa"/>
            <w:tcBorders>
              <w:top w:val="nil"/>
              <w:left w:val="nil"/>
              <w:bottom w:val="nil"/>
              <w:right w:val="single" w:sz="4" w:space="0" w:color="auto"/>
            </w:tcBorders>
            <w:shd w:val="clear" w:color="000000" w:fill="C4D4EB"/>
            <w:noWrap/>
            <w:vAlign w:val="center"/>
            <w:hideMark/>
          </w:tcPr>
          <w:p w14:paraId="613DFFE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116</w:t>
            </w:r>
          </w:p>
        </w:tc>
        <w:tc>
          <w:tcPr>
            <w:tcW w:w="1087" w:type="dxa"/>
            <w:tcBorders>
              <w:top w:val="nil"/>
              <w:left w:val="nil"/>
              <w:bottom w:val="nil"/>
              <w:right w:val="single" w:sz="4" w:space="0" w:color="auto"/>
            </w:tcBorders>
            <w:shd w:val="clear" w:color="000000" w:fill="FFFFFF"/>
            <w:noWrap/>
            <w:vAlign w:val="center"/>
            <w:hideMark/>
          </w:tcPr>
          <w:p w14:paraId="228FE5BD"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193</w:t>
            </w:r>
          </w:p>
        </w:tc>
      </w:tr>
      <w:tr w:rsidR="00115CBF" w:rsidRPr="00650EE4" w14:paraId="49E91F6A" w14:textId="77777777" w:rsidTr="008247E3">
        <w:tc>
          <w:tcPr>
            <w:tcW w:w="2122" w:type="dxa"/>
            <w:tcBorders>
              <w:top w:val="nil"/>
              <w:left w:val="single" w:sz="4" w:space="0" w:color="auto"/>
              <w:bottom w:val="nil"/>
              <w:right w:val="nil"/>
            </w:tcBorders>
            <w:shd w:val="clear" w:color="000000" w:fill="FFFFFF"/>
            <w:noWrap/>
            <w:vAlign w:val="center"/>
            <w:hideMark/>
          </w:tcPr>
          <w:p w14:paraId="4ECE5300"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2.5.Gydymo</w:t>
            </w:r>
          </w:p>
        </w:tc>
        <w:tc>
          <w:tcPr>
            <w:tcW w:w="1417" w:type="dxa"/>
            <w:tcBorders>
              <w:top w:val="nil"/>
              <w:left w:val="single" w:sz="4" w:space="0" w:color="auto"/>
              <w:bottom w:val="nil"/>
              <w:right w:val="nil"/>
            </w:tcBorders>
            <w:shd w:val="clear" w:color="000000" w:fill="F97577"/>
            <w:noWrap/>
            <w:vAlign w:val="center"/>
            <w:hideMark/>
          </w:tcPr>
          <w:p w14:paraId="5C5306A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266</w:t>
            </w:r>
          </w:p>
        </w:tc>
        <w:tc>
          <w:tcPr>
            <w:tcW w:w="1134" w:type="dxa"/>
            <w:tcBorders>
              <w:top w:val="nil"/>
              <w:left w:val="nil"/>
              <w:bottom w:val="nil"/>
              <w:right w:val="nil"/>
            </w:tcBorders>
            <w:shd w:val="clear" w:color="000000" w:fill="FBD5D7"/>
            <w:noWrap/>
            <w:vAlign w:val="center"/>
            <w:hideMark/>
          </w:tcPr>
          <w:p w14:paraId="78343FB0"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174</w:t>
            </w:r>
          </w:p>
        </w:tc>
        <w:tc>
          <w:tcPr>
            <w:tcW w:w="1134" w:type="dxa"/>
            <w:tcBorders>
              <w:top w:val="nil"/>
              <w:left w:val="nil"/>
              <w:bottom w:val="nil"/>
              <w:right w:val="nil"/>
            </w:tcBorders>
            <w:shd w:val="clear" w:color="000000" w:fill="FCE7EA"/>
            <w:noWrap/>
            <w:vAlign w:val="center"/>
            <w:hideMark/>
          </w:tcPr>
          <w:p w14:paraId="077C342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156</w:t>
            </w:r>
          </w:p>
        </w:tc>
        <w:tc>
          <w:tcPr>
            <w:tcW w:w="1134" w:type="dxa"/>
            <w:tcBorders>
              <w:top w:val="nil"/>
              <w:left w:val="nil"/>
              <w:bottom w:val="nil"/>
              <w:right w:val="nil"/>
            </w:tcBorders>
            <w:shd w:val="clear" w:color="000000" w:fill="FCFCFF"/>
            <w:noWrap/>
            <w:vAlign w:val="center"/>
            <w:hideMark/>
          </w:tcPr>
          <w:p w14:paraId="42E9A7B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076" w:type="dxa"/>
            <w:tcBorders>
              <w:top w:val="nil"/>
              <w:left w:val="nil"/>
              <w:bottom w:val="nil"/>
              <w:right w:val="nil"/>
            </w:tcBorders>
            <w:shd w:val="clear" w:color="000000" w:fill="FCFCFF"/>
            <w:noWrap/>
            <w:vAlign w:val="center"/>
            <w:hideMark/>
          </w:tcPr>
          <w:p w14:paraId="18D2FDE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090" w:type="dxa"/>
            <w:tcBorders>
              <w:top w:val="nil"/>
              <w:left w:val="nil"/>
              <w:bottom w:val="nil"/>
              <w:right w:val="single" w:sz="4" w:space="0" w:color="auto"/>
            </w:tcBorders>
            <w:shd w:val="clear" w:color="000000" w:fill="F0F4FB"/>
            <w:noWrap/>
            <w:vAlign w:val="center"/>
            <w:hideMark/>
          </w:tcPr>
          <w:p w14:paraId="71626CA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087" w:type="dxa"/>
            <w:tcBorders>
              <w:top w:val="nil"/>
              <w:left w:val="nil"/>
              <w:bottom w:val="nil"/>
              <w:right w:val="single" w:sz="4" w:space="0" w:color="auto"/>
            </w:tcBorders>
            <w:shd w:val="clear" w:color="000000" w:fill="FFFFFF"/>
            <w:noWrap/>
            <w:vAlign w:val="center"/>
            <w:hideMark/>
          </w:tcPr>
          <w:p w14:paraId="67EEA97D"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221</w:t>
            </w:r>
          </w:p>
        </w:tc>
      </w:tr>
      <w:tr w:rsidR="00115CBF" w:rsidRPr="00650EE4" w14:paraId="3C464331" w14:textId="77777777" w:rsidTr="008247E3">
        <w:tc>
          <w:tcPr>
            <w:tcW w:w="2122" w:type="dxa"/>
            <w:tcBorders>
              <w:top w:val="nil"/>
              <w:left w:val="single" w:sz="4" w:space="0" w:color="auto"/>
              <w:bottom w:val="nil"/>
              <w:right w:val="nil"/>
            </w:tcBorders>
            <w:shd w:val="clear" w:color="000000" w:fill="FFFFFF"/>
            <w:noWrap/>
            <w:vAlign w:val="center"/>
            <w:hideMark/>
          </w:tcPr>
          <w:p w14:paraId="0F66FAC8"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2.6.Kultūros</w:t>
            </w:r>
          </w:p>
        </w:tc>
        <w:tc>
          <w:tcPr>
            <w:tcW w:w="1417" w:type="dxa"/>
            <w:tcBorders>
              <w:top w:val="nil"/>
              <w:left w:val="single" w:sz="4" w:space="0" w:color="auto"/>
              <w:bottom w:val="nil"/>
              <w:right w:val="nil"/>
            </w:tcBorders>
            <w:shd w:val="clear" w:color="000000" w:fill="F97476"/>
            <w:noWrap/>
            <w:vAlign w:val="center"/>
            <w:hideMark/>
          </w:tcPr>
          <w:p w14:paraId="7CAF72E4"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267</w:t>
            </w:r>
          </w:p>
        </w:tc>
        <w:tc>
          <w:tcPr>
            <w:tcW w:w="1134" w:type="dxa"/>
            <w:tcBorders>
              <w:top w:val="nil"/>
              <w:left w:val="nil"/>
              <w:bottom w:val="nil"/>
              <w:right w:val="nil"/>
            </w:tcBorders>
            <w:shd w:val="clear" w:color="000000" w:fill="FAB3B5"/>
            <w:noWrap/>
            <w:vAlign w:val="center"/>
            <w:hideMark/>
          </w:tcPr>
          <w:p w14:paraId="71D7836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207</w:t>
            </w:r>
          </w:p>
        </w:tc>
        <w:tc>
          <w:tcPr>
            <w:tcW w:w="1134" w:type="dxa"/>
            <w:tcBorders>
              <w:top w:val="nil"/>
              <w:left w:val="nil"/>
              <w:bottom w:val="nil"/>
              <w:right w:val="nil"/>
            </w:tcBorders>
            <w:shd w:val="clear" w:color="000000" w:fill="FBCBCE"/>
            <w:noWrap/>
            <w:vAlign w:val="center"/>
            <w:hideMark/>
          </w:tcPr>
          <w:p w14:paraId="73D9A3F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183</w:t>
            </w:r>
          </w:p>
        </w:tc>
        <w:tc>
          <w:tcPr>
            <w:tcW w:w="1134" w:type="dxa"/>
            <w:tcBorders>
              <w:top w:val="nil"/>
              <w:left w:val="nil"/>
              <w:bottom w:val="nil"/>
              <w:right w:val="nil"/>
            </w:tcBorders>
            <w:shd w:val="clear" w:color="000000" w:fill="FCF4F7"/>
            <w:noWrap/>
            <w:vAlign w:val="center"/>
            <w:hideMark/>
          </w:tcPr>
          <w:p w14:paraId="7F7443E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144</w:t>
            </w:r>
          </w:p>
        </w:tc>
        <w:tc>
          <w:tcPr>
            <w:tcW w:w="1076" w:type="dxa"/>
            <w:tcBorders>
              <w:top w:val="nil"/>
              <w:left w:val="nil"/>
              <w:bottom w:val="nil"/>
              <w:right w:val="nil"/>
            </w:tcBorders>
            <w:shd w:val="clear" w:color="000000" w:fill="F3F5FB"/>
            <w:noWrap/>
            <w:vAlign w:val="center"/>
            <w:hideMark/>
          </w:tcPr>
          <w:p w14:paraId="2A5EA50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133</w:t>
            </w:r>
          </w:p>
        </w:tc>
        <w:tc>
          <w:tcPr>
            <w:tcW w:w="1090" w:type="dxa"/>
            <w:tcBorders>
              <w:top w:val="nil"/>
              <w:left w:val="nil"/>
              <w:bottom w:val="nil"/>
              <w:right w:val="single" w:sz="4" w:space="0" w:color="auto"/>
            </w:tcBorders>
            <w:shd w:val="clear" w:color="000000" w:fill="FBC1C3"/>
            <w:noWrap/>
            <w:vAlign w:val="center"/>
            <w:hideMark/>
          </w:tcPr>
          <w:p w14:paraId="0BEEC85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193</w:t>
            </w:r>
          </w:p>
        </w:tc>
        <w:tc>
          <w:tcPr>
            <w:tcW w:w="1087" w:type="dxa"/>
            <w:tcBorders>
              <w:top w:val="nil"/>
              <w:left w:val="nil"/>
              <w:bottom w:val="nil"/>
              <w:right w:val="single" w:sz="4" w:space="0" w:color="auto"/>
            </w:tcBorders>
            <w:shd w:val="clear" w:color="000000" w:fill="FFFFFF"/>
            <w:noWrap/>
            <w:vAlign w:val="center"/>
            <w:hideMark/>
          </w:tcPr>
          <w:p w14:paraId="6288FC5C"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227</w:t>
            </w:r>
          </w:p>
        </w:tc>
      </w:tr>
      <w:tr w:rsidR="00115CBF" w:rsidRPr="00650EE4" w14:paraId="6D362E0B" w14:textId="77777777" w:rsidTr="008247E3">
        <w:tc>
          <w:tcPr>
            <w:tcW w:w="2122" w:type="dxa"/>
            <w:tcBorders>
              <w:top w:val="nil"/>
              <w:left w:val="single" w:sz="4" w:space="0" w:color="auto"/>
              <w:bottom w:val="nil"/>
              <w:right w:val="nil"/>
            </w:tcBorders>
            <w:shd w:val="clear" w:color="000000" w:fill="FFFFFF"/>
            <w:noWrap/>
            <w:vAlign w:val="center"/>
            <w:hideMark/>
          </w:tcPr>
          <w:p w14:paraId="6E8C8C9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2.7.Apgyvendinimo</w:t>
            </w:r>
          </w:p>
        </w:tc>
        <w:tc>
          <w:tcPr>
            <w:tcW w:w="1417" w:type="dxa"/>
            <w:tcBorders>
              <w:top w:val="nil"/>
              <w:left w:val="single" w:sz="4" w:space="0" w:color="auto"/>
              <w:bottom w:val="nil"/>
              <w:right w:val="nil"/>
            </w:tcBorders>
            <w:shd w:val="clear" w:color="000000" w:fill="FA8F92"/>
            <w:noWrap/>
            <w:vAlign w:val="center"/>
            <w:hideMark/>
          </w:tcPr>
          <w:p w14:paraId="20FB266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240</w:t>
            </w:r>
          </w:p>
        </w:tc>
        <w:tc>
          <w:tcPr>
            <w:tcW w:w="1134" w:type="dxa"/>
            <w:tcBorders>
              <w:top w:val="nil"/>
              <w:left w:val="nil"/>
              <w:bottom w:val="nil"/>
              <w:right w:val="nil"/>
            </w:tcBorders>
            <w:shd w:val="clear" w:color="000000" w:fill="FCECEF"/>
            <w:noWrap/>
            <w:vAlign w:val="center"/>
            <w:hideMark/>
          </w:tcPr>
          <w:p w14:paraId="5DFCD5EB"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151</w:t>
            </w:r>
          </w:p>
        </w:tc>
        <w:tc>
          <w:tcPr>
            <w:tcW w:w="1134" w:type="dxa"/>
            <w:tcBorders>
              <w:top w:val="nil"/>
              <w:left w:val="nil"/>
              <w:bottom w:val="nil"/>
              <w:right w:val="nil"/>
            </w:tcBorders>
            <w:shd w:val="clear" w:color="000000" w:fill="F2F5FB"/>
            <w:noWrap/>
            <w:vAlign w:val="center"/>
            <w:hideMark/>
          </w:tcPr>
          <w:p w14:paraId="47A7816C"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134" w:type="dxa"/>
            <w:tcBorders>
              <w:top w:val="nil"/>
              <w:left w:val="nil"/>
              <w:bottom w:val="nil"/>
              <w:right w:val="nil"/>
            </w:tcBorders>
            <w:shd w:val="clear" w:color="000000" w:fill="BACDE7"/>
            <w:noWrap/>
            <w:vAlign w:val="center"/>
            <w:hideMark/>
          </w:tcPr>
          <w:p w14:paraId="001CD90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112</w:t>
            </w:r>
          </w:p>
        </w:tc>
        <w:tc>
          <w:tcPr>
            <w:tcW w:w="1076" w:type="dxa"/>
            <w:tcBorders>
              <w:top w:val="nil"/>
              <w:left w:val="nil"/>
              <w:bottom w:val="nil"/>
              <w:right w:val="nil"/>
            </w:tcBorders>
            <w:shd w:val="clear" w:color="000000" w:fill="BED0E9"/>
            <w:noWrap/>
            <w:vAlign w:val="center"/>
            <w:hideMark/>
          </w:tcPr>
          <w:p w14:paraId="6DBF0F1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w:t>
            </w:r>
          </w:p>
        </w:tc>
        <w:tc>
          <w:tcPr>
            <w:tcW w:w="1090" w:type="dxa"/>
            <w:tcBorders>
              <w:top w:val="nil"/>
              <w:left w:val="nil"/>
              <w:bottom w:val="nil"/>
              <w:right w:val="single" w:sz="4" w:space="0" w:color="auto"/>
            </w:tcBorders>
            <w:shd w:val="clear" w:color="000000" w:fill="FFFFFF"/>
            <w:noWrap/>
            <w:vAlign w:val="center"/>
            <w:hideMark/>
          </w:tcPr>
          <w:p w14:paraId="55B23FD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32471D27"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221</w:t>
            </w:r>
          </w:p>
        </w:tc>
      </w:tr>
      <w:tr w:rsidR="00115CBF" w:rsidRPr="00650EE4" w14:paraId="6F081D2A" w14:textId="77777777" w:rsidTr="008247E3">
        <w:tc>
          <w:tcPr>
            <w:tcW w:w="2122" w:type="dxa"/>
            <w:tcBorders>
              <w:top w:val="nil"/>
              <w:left w:val="single" w:sz="4" w:space="0" w:color="auto"/>
              <w:bottom w:val="nil"/>
              <w:right w:val="nil"/>
            </w:tcBorders>
            <w:shd w:val="clear" w:color="000000" w:fill="FFFFFF"/>
            <w:noWrap/>
            <w:vAlign w:val="center"/>
            <w:hideMark/>
          </w:tcPr>
          <w:p w14:paraId="529143C5"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2.8.Paslaugų</w:t>
            </w:r>
          </w:p>
        </w:tc>
        <w:tc>
          <w:tcPr>
            <w:tcW w:w="1417" w:type="dxa"/>
            <w:tcBorders>
              <w:top w:val="nil"/>
              <w:left w:val="single" w:sz="4" w:space="0" w:color="auto"/>
              <w:bottom w:val="nil"/>
              <w:right w:val="nil"/>
            </w:tcBorders>
            <w:shd w:val="clear" w:color="000000" w:fill="F8696B"/>
            <w:noWrap/>
            <w:vAlign w:val="center"/>
            <w:hideMark/>
          </w:tcPr>
          <w:p w14:paraId="29E1CC70"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1134" w:type="dxa"/>
            <w:tcBorders>
              <w:top w:val="nil"/>
              <w:left w:val="nil"/>
              <w:bottom w:val="nil"/>
              <w:right w:val="nil"/>
            </w:tcBorders>
            <w:shd w:val="clear" w:color="000000" w:fill="FBD6D8"/>
            <w:noWrap/>
            <w:vAlign w:val="center"/>
            <w:hideMark/>
          </w:tcPr>
          <w:p w14:paraId="566C9F6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173</w:t>
            </w:r>
          </w:p>
        </w:tc>
        <w:tc>
          <w:tcPr>
            <w:tcW w:w="1134" w:type="dxa"/>
            <w:tcBorders>
              <w:top w:val="nil"/>
              <w:left w:val="nil"/>
              <w:bottom w:val="nil"/>
              <w:right w:val="nil"/>
            </w:tcBorders>
            <w:shd w:val="clear" w:color="000000" w:fill="FCF8FB"/>
            <w:noWrap/>
            <w:vAlign w:val="center"/>
            <w:hideMark/>
          </w:tcPr>
          <w:p w14:paraId="202D2863"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140</w:t>
            </w:r>
          </w:p>
        </w:tc>
        <w:tc>
          <w:tcPr>
            <w:tcW w:w="1134" w:type="dxa"/>
            <w:tcBorders>
              <w:top w:val="nil"/>
              <w:left w:val="nil"/>
              <w:bottom w:val="nil"/>
              <w:right w:val="nil"/>
            </w:tcBorders>
            <w:shd w:val="clear" w:color="000000" w:fill="DFE7F4"/>
            <w:noWrap/>
            <w:vAlign w:val="center"/>
            <w:hideMark/>
          </w:tcPr>
          <w:p w14:paraId="7F73273E"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125</w:t>
            </w:r>
          </w:p>
        </w:tc>
        <w:tc>
          <w:tcPr>
            <w:tcW w:w="1076" w:type="dxa"/>
            <w:tcBorders>
              <w:top w:val="nil"/>
              <w:left w:val="nil"/>
              <w:bottom w:val="nil"/>
              <w:right w:val="nil"/>
            </w:tcBorders>
            <w:shd w:val="clear" w:color="000000" w:fill="CEDBEE"/>
            <w:noWrap/>
            <w:vAlign w:val="center"/>
            <w:hideMark/>
          </w:tcPr>
          <w:p w14:paraId="7FB5681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119</w:t>
            </w:r>
          </w:p>
        </w:tc>
        <w:tc>
          <w:tcPr>
            <w:tcW w:w="1090" w:type="dxa"/>
            <w:tcBorders>
              <w:top w:val="nil"/>
              <w:left w:val="nil"/>
              <w:bottom w:val="nil"/>
              <w:right w:val="single" w:sz="4" w:space="0" w:color="auto"/>
            </w:tcBorders>
            <w:shd w:val="clear" w:color="000000" w:fill="FFFFFF"/>
            <w:noWrap/>
            <w:vAlign w:val="center"/>
            <w:hideMark/>
          </w:tcPr>
          <w:p w14:paraId="6D6709DA"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24F1E5C3"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244</w:t>
            </w:r>
          </w:p>
        </w:tc>
      </w:tr>
      <w:tr w:rsidR="00115CBF" w:rsidRPr="00650EE4" w14:paraId="3705E405" w14:textId="77777777" w:rsidTr="008247E3">
        <w:tc>
          <w:tcPr>
            <w:tcW w:w="2122" w:type="dxa"/>
            <w:tcBorders>
              <w:top w:val="nil"/>
              <w:left w:val="single" w:sz="4" w:space="0" w:color="auto"/>
              <w:bottom w:val="nil"/>
              <w:right w:val="nil"/>
            </w:tcBorders>
            <w:shd w:val="clear" w:color="000000" w:fill="FFFFFF"/>
            <w:noWrap/>
            <w:vAlign w:val="center"/>
            <w:hideMark/>
          </w:tcPr>
          <w:p w14:paraId="2553BE5C" w14:textId="77777777" w:rsidR="00115CBF" w:rsidRPr="00650EE4" w:rsidRDefault="00115CBF" w:rsidP="00115CB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2.9.Kita</w:t>
            </w:r>
          </w:p>
        </w:tc>
        <w:tc>
          <w:tcPr>
            <w:tcW w:w="1417" w:type="dxa"/>
            <w:tcBorders>
              <w:top w:val="nil"/>
              <w:left w:val="single" w:sz="4" w:space="0" w:color="auto"/>
              <w:bottom w:val="nil"/>
              <w:right w:val="nil"/>
            </w:tcBorders>
            <w:shd w:val="clear" w:color="000000" w:fill="F97C7E"/>
            <w:noWrap/>
            <w:vAlign w:val="center"/>
            <w:hideMark/>
          </w:tcPr>
          <w:p w14:paraId="18BA8AB1"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259</w:t>
            </w:r>
          </w:p>
        </w:tc>
        <w:tc>
          <w:tcPr>
            <w:tcW w:w="1134" w:type="dxa"/>
            <w:tcBorders>
              <w:top w:val="nil"/>
              <w:left w:val="nil"/>
              <w:bottom w:val="nil"/>
              <w:right w:val="nil"/>
            </w:tcBorders>
            <w:shd w:val="clear" w:color="000000" w:fill="FBBDC0"/>
            <w:noWrap/>
            <w:vAlign w:val="center"/>
            <w:hideMark/>
          </w:tcPr>
          <w:p w14:paraId="476775C7"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196</w:t>
            </w:r>
          </w:p>
        </w:tc>
        <w:tc>
          <w:tcPr>
            <w:tcW w:w="1134" w:type="dxa"/>
            <w:tcBorders>
              <w:top w:val="nil"/>
              <w:left w:val="nil"/>
              <w:bottom w:val="nil"/>
              <w:right w:val="nil"/>
            </w:tcBorders>
            <w:shd w:val="clear" w:color="000000" w:fill="FBC3C6"/>
            <w:noWrap/>
            <w:vAlign w:val="center"/>
            <w:hideMark/>
          </w:tcPr>
          <w:p w14:paraId="671E2616"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191</w:t>
            </w:r>
          </w:p>
        </w:tc>
        <w:tc>
          <w:tcPr>
            <w:tcW w:w="1134" w:type="dxa"/>
            <w:tcBorders>
              <w:top w:val="nil"/>
              <w:left w:val="nil"/>
              <w:bottom w:val="nil"/>
              <w:right w:val="nil"/>
            </w:tcBorders>
            <w:shd w:val="clear" w:color="000000" w:fill="FCF5F8"/>
            <w:noWrap/>
            <w:vAlign w:val="center"/>
            <w:hideMark/>
          </w:tcPr>
          <w:p w14:paraId="0AA80F2F"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142</w:t>
            </w:r>
          </w:p>
        </w:tc>
        <w:tc>
          <w:tcPr>
            <w:tcW w:w="1076" w:type="dxa"/>
            <w:tcBorders>
              <w:top w:val="nil"/>
              <w:left w:val="nil"/>
              <w:bottom w:val="nil"/>
              <w:right w:val="nil"/>
            </w:tcBorders>
            <w:shd w:val="clear" w:color="000000" w:fill="FBC9CC"/>
            <w:noWrap/>
            <w:vAlign w:val="center"/>
            <w:hideMark/>
          </w:tcPr>
          <w:p w14:paraId="6C5B34D8"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185</w:t>
            </w:r>
          </w:p>
        </w:tc>
        <w:tc>
          <w:tcPr>
            <w:tcW w:w="1090" w:type="dxa"/>
            <w:tcBorders>
              <w:top w:val="nil"/>
              <w:left w:val="nil"/>
              <w:bottom w:val="nil"/>
              <w:right w:val="single" w:sz="4" w:space="0" w:color="auto"/>
            </w:tcBorders>
            <w:shd w:val="clear" w:color="000000" w:fill="FFFFFF"/>
            <w:noWrap/>
            <w:vAlign w:val="center"/>
            <w:hideMark/>
          </w:tcPr>
          <w:p w14:paraId="02073A35" w14:textId="77777777" w:rsidR="00115CBF" w:rsidRPr="00650EE4" w:rsidRDefault="00115CBF" w:rsidP="00115CBF">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87" w:type="dxa"/>
            <w:tcBorders>
              <w:top w:val="nil"/>
              <w:left w:val="nil"/>
              <w:bottom w:val="nil"/>
              <w:right w:val="single" w:sz="4" w:space="0" w:color="auto"/>
            </w:tcBorders>
            <w:shd w:val="clear" w:color="000000" w:fill="FFFFFF"/>
            <w:noWrap/>
            <w:vAlign w:val="center"/>
            <w:hideMark/>
          </w:tcPr>
          <w:p w14:paraId="6A50C0EB"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231</w:t>
            </w:r>
          </w:p>
        </w:tc>
      </w:tr>
      <w:tr w:rsidR="00115CBF" w:rsidRPr="00650EE4" w14:paraId="46FD7276" w14:textId="77777777" w:rsidTr="008247E3">
        <w:tc>
          <w:tcPr>
            <w:tcW w:w="2122" w:type="dxa"/>
            <w:tcBorders>
              <w:top w:val="single" w:sz="4" w:space="0" w:color="auto"/>
              <w:left w:val="single" w:sz="4" w:space="0" w:color="auto"/>
              <w:bottom w:val="single" w:sz="4" w:space="0" w:color="auto"/>
              <w:right w:val="nil"/>
            </w:tcBorders>
            <w:shd w:val="clear" w:color="000000" w:fill="FFFFFF"/>
            <w:noWrap/>
            <w:vAlign w:val="center"/>
            <w:hideMark/>
          </w:tcPr>
          <w:p w14:paraId="78096CD4" w14:textId="77777777" w:rsidR="00115CBF" w:rsidRPr="00650EE4" w:rsidRDefault="00115CBF" w:rsidP="00115CBF">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Vidurkis</w:t>
            </w:r>
          </w:p>
        </w:tc>
        <w:tc>
          <w:tcPr>
            <w:tcW w:w="1417" w:type="dxa"/>
            <w:tcBorders>
              <w:top w:val="single" w:sz="4" w:space="0" w:color="auto"/>
              <w:left w:val="single" w:sz="4" w:space="0" w:color="auto"/>
              <w:bottom w:val="single" w:sz="4" w:space="0" w:color="auto"/>
              <w:right w:val="nil"/>
            </w:tcBorders>
            <w:shd w:val="clear" w:color="000000" w:fill="FFFFFF"/>
            <w:noWrap/>
            <w:vAlign w:val="center"/>
            <w:hideMark/>
          </w:tcPr>
          <w:p w14:paraId="1CA0F921"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238</w:t>
            </w:r>
          </w:p>
        </w:tc>
        <w:tc>
          <w:tcPr>
            <w:tcW w:w="1134" w:type="dxa"/>
            <w:tcBorders>
              <w:top w:val="single" w:sz="4" w:space="0" w:color="auto"/>
              <w:left w:val="nil"/>
              <w:bottom w:val="single" w:sz="4" w:space="0" w:color="auto"/>
              <w:right w:val="nil"/>
            </w:tcBorders>
            <w:shd w:val="clear" w:color="000000" w:fill="FFFFFF"/>
            <w:noWrap/>
            <w:vAlign w:val="center"/>
            <w:hideMark/>
          </w:tcPr>
          <w:p w14:paraId="6682210E"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136</w:t>
            </w:r>
          </w:p>
        </w:tc>
        <w:tc>
          <w:tcPr>
            <w:tcW w:w="1134" w:type="dxa"/>
            <w:tcBorders>
              <w:top w:val="single" w:sz="4" w:space="0" w:color="auto"/>
              <w:left w:val="nil"/>
              <w:bottom w:val="single" w:sz="4" w:space="0" w:color="auto"/>
              <w:right w:val="nil"/>
            </w:tcBorders>
            <w:shd w:val="clear" w:color="000000" w:fill="FFFFFF"/>
            <w:noWrap/>
            <w:vAlign w:val="center"/>
            <w:hideMark/>
          </w:tcPr>
          <w:p w14:paraId="293B0D8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134</w:t>
            </w:r>
          </w:p>
        </w:tc>
        <w:tc>
          <w:tcPr>
            <w:tcW w:w="1134" w:type="dxa"/>
            <w:tcBorders>
              <w:top w:val="single" w:sz="4" w:space="0" w:color="auto"/>
              <w:left w:val="nil"/>
              <w:bottom w:val="single" w:sz="4" w:space="0" w:color="auto"/>
              <w:right w:val="nil"/>
            </w:tcBorders>
            <w:shd w:val="clear" w:color="000000" w:fill="FFFFFF"/>
            <w:noWrap/>
            <w:vAlign w:val="center"/>
            <w:hideMark/>
          </w:tcPr>
          <w:p w14:paraId="598295AF"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110</w:t>
            </w:r>
          </w:p>
        </w:tc>
        <w:tc>
          <w:tcPr>
            <w:tcW w:w="1076" w:type="dxa"/>
            <w:tcBorders>
              <w:top w:val="single" w:sz="4" w:space="0" w:color="auto"/>
              <w:left w:val="nil"/>
              <w:bottom w:val="single" w:sz="4" w:space="0" w:color="auto"/>
              <w:right w:val="nil"/>
            </w:tcBorders>
            <w:shd w:val="clear" w:color="000000" w:fill="FFFFFF"/>
            <w:noWrap/>
            <w:vAlign w:val="center"/>
            <w:hideMark/>
          </w:tcPr>
          <w:p w14:paraId="01B549C6"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107</w:t>
            </w:r>
          </w:p>
        </w:tc>
        <w:tc>
          <w:tcPr>
            <w:tcW w:w="1090" w:type="dxa"/>
            <w:tcBorders>
              <w:top w:val="single" w:sz="4" w:space="0" w:color="auto"/>
              <w:left w:val="nil"/>
              <w:bottom w:val="single" w:sz="4" w:space="0" w:color="auto"/>
              <w:right w:val="single" w:sz="4" w:space="0" w:color="auto"/>
            </w:tcBorders>
            <w:shd w:val="clear" w:color="000000" w:fill="FFFFFF"/>
            <w:noWrap/>
            <w:vAlign w:val="center"/>
            <w:hideMark/>
          </w:tcPr>
          <w:p w14:paraId="22DBD353"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119</w:t>
            </w:r>
          </w:p>
        </w:tc>
        <w:tc>
          <w:tcPr>
            <w:tcW w:w="1087" w:type="dxa"/>
            <w:tcBorders>
              <w:top w:val="single" w:sz="4" w:space="0" w:color="auto"/>
              <w:left w:val="nil"/>
              <w:bottom w:val="single" w:sz="4" w:space="0" w:color="auto"/>
              <w:right w:val="single" w:sz="4" w:space="0" w:color="auto"/>
            </w:tcBorders>
            <w:shd w:val="clear" w:color="000000" w:fill="FFFFFF"/>
            <w:noWrap/>
            <w:vAlign w:val="center"/>
            <w:hideMark/>
          </w:tcPr>
          <w:p w14:paraId="6646D8F1" w14:textId="77777777" w:rsidR="00115CBF" w:rsidRPr="00650EE4" w:rsidRDefault="00115CBF" w:rsidP="00115CBF">
            <w:pPr>
              <w:spacing w:line="240" w:lineRule="auto"/>
              <w:jc w:val="right"/>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r>
    </w:tbl>
    <w:p w14:paraId="777595B2" w14:textId="3E4DCB89" w:rsidR="00554ED4" w:rsidRPr="00650EE4" w:rsidRDefault="00554ED4" w:rsidP="00554ED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9D68D2" w:rsidRPr="009D68D2">
        <w:rPr>
          <w:rFonts w:ascii="Times New Roman" w:hAnsi="Times New Roman"/>
          <w:i/>
          <w:iCs/>
          <w:color w:val="auto"/>
          <w:sz w:val="20"/>
          <w:szCs w:val="20"/>
        </w:rPr>
        <w:t xml:space="preserve"> </w:t>
      </w:r>
      <w:r w:rsidR="009D68D2">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65C8287E" w14:textId="77777777" w:rsidR="009677EA" w:rsidRPr="00650EE4" w:rsidRDefault="009677EA" w:rsidP="00DE4498">
      <w:pPr>
        <w:spacing w:line="240" w:lineRule="auto"/>
        <w:jc w:val="both"/>
        <w:rPr>
          <w:rFonts w:ascii="Times New Roman" w:hAnsi="Times New Roman"/>
          <w:color w:val="000000" w:themeColor="text1"/>
          <w:szCs w:val="22"/>
        </w:rPr>
      </w:pPr>
    </w:p>
    <w:p w14:paraId="7B34CDEF" w14:textId="7C924120" w:rsidR="00D25D87" w:rsidRPr="00650EE4" w:rsidRDefault="00917260" w:rsidP="00DE4498">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w:t>
      </w:r>
      <w:r w:rsidR="00D25D87" w:rsidRPr="00650EE4">
        <w:rPr>
          <w:rFonts w:ascii="Times New Roman" w:hAnsi="Times New Roman"/>
          <w:color w:val="000000" w:themeColor="text1"/>
          <w:szCs w:val="22"/>
        </w:rPr>
        <w:t xml:space="preserve"> duomenis galima pastebėti, kad</w:t>
      </w:r>
      <w:r w:rsidR="00AF27DC" w:rsidRPr="00650EE4">
        <w:rPr>
          <w:rFonts w:ascii="Times New Roman" w:hAnsi="Times New Roman"/>
          <w:color w:val="000000" w:themeColor="text1"/>
          <w:szCs w:val="22"/>
        </w:rPr>
        <w:t xml:space="preserve"> ž</w:t>
      </w:r>
      <w:r w:rsidR="00D25D87" w:rsidRPr="00650EE4">
        <w:rPr>
          <w:rFonts w:ascii="Times New Roman" w:hAnsi="Times New Roman"/>
          <w:color w:val="000000" w:themeColor="text1"/>
          <w:szCs w:val="22"/>
        </w:rPr>
        <w:t xml:space="preserve">emesnio nei C </w:t>
      </w:r>
      <w:r w:rsidR="00AF27DC" w:rsidRPr="00650EE4">
        <w:rPr>
          <w:rFonts w:ascii="Times New Roman" w:hAnsi="Times New Roman"/>
          <w:color w:val="000000" w:themeColor="text1"/>
          <w:szCs w:val="22"/>
        </w:rPr>
        <w:t xml:space="preserve">energinio naudingumo </w:t>
      </w:r>
      <w:r w:rsidR="00D25D87" w:rsidRPr="00650EE4">
        <w:rPr>
          <w:rFonts w:ascii="Times New Roman" w:hAnsi="Times New Roman"/>
          <w:color w:val="000000" w:themeColor="text1"/>
          <w:szCs w:val="22"/>
        </w:rPr>
        <w:t>klasės individualūs namai</w:t>
      </w:r>
      <w:r w:rsidR="0053529F" w:rsidRPr="00650EE4">
        <w:rPr>
          <w:rFonts w:ascii="Times New Roman" w:hAnsi="Times New Roman"/>
          <w:color w:val="000000" w:themeColor="text1"/>
          <w:szCs w:val="22"/>
        </w:rPr>
        <w:t xml:space="preserve">, daugiabučiai ir pramonės pastatai yra </w:t>
      </w:r>
      <w:r w:rsidR="00D25D87" w:rsidRPr="00650EE4">
        <w:rPr>
          <w:rFonts w:ascii="Times New Roman" w:hAnsi="Times New Roman"/>
          <w:color w:val="000000" w:themeColor="text1"/>
          <w:szCs w:val="22"/>
        </w:rPr>
        <w:t>daugiausia</w:t>
      </w:r>
      <w:r w:rsidR="00AF27DC" w:rsidRPr="00650EE4">
        <w:rPr>
          <w:rFonts w:ascii="Times New Roman" w:hAnsi="Times New Roman"/>
          <w:color w:val="000000" w:themeColor="text1"/>
          <w:szCs w:val="22"/>
        </w:rPr>
        <w:t>i energijos</w:t>
      </w:r>
      <w:r w:rsidR="00D25D87" w:rsidRPr="00650EE4">
        <w:rPr>
          <w:rFonts w:ascii="Times New Roman" w:hAnsi="Times New Roman"/>
          <w:color w:val="000000" w:themeColor="text1"/>
          <w:szCs w:val="22"/>
        </w:rPr>
        <w:t xml:space="preserve"> vartojantis </w:t>
      </w:r>
      <w:r w:rsidR="0053529F" w:rsidRPr="00650EE4">
        <w:rPr>
          <w:rFonts w:ascii="Times New Roman" w:hAnsi="Times New Roman"/>
          <w:color w:val="000000" w:themeColor="text1"/>
          <w:szCs w:val="22"/>
        </w:rPr>
        <w:t>žemiausio energinio efektyvumo segmentas</w:t>
      </w:r>
      <w:r w:rsidR="00890A4A" w:rsidRPr="00650EE4">
        <w:rPr>
          <w:rFonts w:ascii="Times New Roman" w:hAnsi="Times New Roman"/>
          <w:color w:val="000000" w:themeColor="text1"/>
          <w:szCs w:val="22"/>
        </w:rPr>
        <w:t>.</w:t>
      </w:r>
      <w:r w:rsidR="00CC51D7" w:rsidRPr="00650EE4">
        <w:rPr>
          <w:rFonts w:ascii="Times New Roman" w:hAnsi="Times New Roman"/>
          <w:color w:val="000000" w:themeColor="text1"/>
          <w:szCs w:val="22"/>
        </w:rPr>
        <w:t xml:space="preserve"> Atitinkamai, vertinama, kad tai yra priori</w:t>
      </w:r>
      <w:r w:rsidR="00C72C1E" w:rsidRPr="00650EE4">
        <w:rPr>
          <w:rFonts w:ascii="Times New Roman" w:hAnsi="Times New Roman"/>
          <w:color w:val="000000" w:themeColor="text1"/>
          <w:szCs w:val="22"/>
        </w:rPr>
        <w:t>tetinis</w:t>
      </w:r>
      <w:r w:rsidR="00CC51D7" w:rsidRPr="00650EE4">
        <w:rPr>
          <w:rFonts w:ascii="Times New Roman" w:hAnsi="Times New Roman"/>
          <w:color w:val="000000" w:themeColor="text1"/>
          <w:szCs w:val="22"/>
        </w:rPr>
        <w:t xml:space="preserve"> segmentas IRS kontekste. Tikėtina, kad būtent šio segmento r</w:t>
      </w:r>
      <w:r w:rsidR="00066CDB" w:rsidRPr="00650EE4">
        <w:rPr>
          <w:rFonts w:ascii="Times New Roman" w:hAnsi="Times New Roman"/>
          <w:color w:val="000000" w:themeColor="text1"/>
          <w:szCs w:val="22"/>
        </w:rPr>
        <w:t>enovacija leistų pasiekti didžiausius energ</w:t>
      </w:r>
      <w:r w:rsidR="00C72C1E" w:rsidRPr="00650EE4">
        <w:rPr>
          <w:rFonts w:ascii="Times New Roman" w:hAnsi="Times New Roman"/>
          <w:color w:val="000000" w:themeColor="text1"/>
          <w:szCs w:val="22"/>
        </w:rPr>
        <w:t>inius</w:t>
      </w:r>
      <w:r w:rsidR="00066CDB" w:rsidRPr="00650EE4">
        <w:rPr>
          <w:rFonts w:ascii="Times New Roman" w:hAnsi="Times New Roman"/>
          <w:color w:val="000000" w:themeColor="text1"/>
          <w:szCs w:val="22"/>
        </w:rPr>
        <w:t xml:space="preserve"> sutaupymus per atliktą investiciją sumą</w:t>
      </w:r>
      <w:r w:rsidR="008C342A" w:rsidRPr="00650EE4">
        <w:rPr>
          <w:rFonts w:ascii="Times New Roman" w:hAnsi="Times New Roman"/>
          <w:color w:val="000000" w:themeColor="text1"/>
          <w:szCs w:val="22"/>
        </w:rPr>
        <w:t>.</w:t>
      </w:r>
    </w:p>
    <w:p w14:paraId="655ED4FE" w14:textId="43794C15" w:rsidR="0042232F" w:rsidRPr="00650EE4" w:rsidRDefault="0042232F" w:rsidP="00883EAD">
      <w:pPr>
        <w:spacing w:after="120"/>
        <w:rPr>
          <w:rFonts w:ascii="Times New Roman" w:hAnsi="Times New Roman"/>
          <w:color w:val="000000" w:themeColor="text1"/>
          <w:szCs w:val="22"/>
        </w:rPr>
      </w:pPr>
    </w:p>
    <w:p w14:paraId="112CAA3E" w14:textId="772D7306" w:rsidR="00E56D7B" w:rsidRPr="00650EE4" w:rsidRDefault="00E56D7B" w:rsidP="00E56D7B">
      <w:pPr>
        <w:pStyle w:val="Antrastes31"/>
        <w:numPr>
          <w:ilvl w:val="2"/>
          <w:numId w:val="4"/>
        </w:numPr>
        <w:spacing w:before="120"/>
        <w:ind w:left="720" w:hanging="720"/>
        <w:rPr>
          <w:rFonts w:ascii="Times New Roman" w:hAnsi="Times New Roman"/>
          <w:color w:val="000000" w:themeColor="text1"/>
          <w:sz w:val="24"/>
          <w:szCs w:val="24"/>
          <w:lang w:val="lt-LT"/>
        </w:rPr>
      </w:pPr>
      <w:bookmarkStart w:id="75" w:name="_Toc59107517"/>
      <w:r w:rsidRPr="00650EE4">
        <w:rPr>
          <w:rFonts w:ascii="Times New Roman" w:hAnsi="Times New Roman"/>
          <w:color w:val="000000" w:themeColor="text1"/>
          <w:sz w:val="24"/>
          <w:szCs w:val="24"/>
          <w:lang w:val="lt-LT"/>
        </w:rPr>
        <w:t xml:space="preserve">Apleisti </w:t>
      </w:r>
      <w:r w:rsidR="00AC078A" w:rsidRPr="00650EE4">
        <w:rPr>
          <w:rFonts w:ascii="Times New Roman" w:hAnsi="Times New Roman"/>
          <w:color w:val="000000" w:themeColor="text1"/>
          <w:sz w:val="24"/>
          <w:szCs w:val="24"/>
          <w:lang w:val="lt-LT"/>
        </w:rPr>
        <w:t xml:space="preserve">ir nešildomi </w:t>
      </w:r>
      <w:r w:rsidRPr="00650EE4">
        <w:rPr>
          <w:rFonts w:ascii="Times New Roman" w:hAnsi="Times New Roman"/>
          <w:color w:val="000000" w:themeColor="text1"/>
          <w:sz w:val="24"/>
          <w:szCs w:val="24"/>
          <w:lang w:val="lt-LT"/>
        </w:rPr>
        <w:t>pastatai</w:t>
      </w:r>
      <w:bookmarkEnd w:id="75"/>
    </w:p>
    <w:p w14:paraId="3C039AAF" w14:textId="24EFAD53" w:rsidR="00AC078A" w:rsidRPr="00650EE4" w:rsidRDefault="007C1ABD"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R</w:t>
      </w:r>
      <w:r w:rsidR="00007E8C" w:rsidRPr="00650EE4">
        <w:rPr>
          <w:rFonts w:ascii="Times New Roman" w:hAnsi="Times New Roman"/>
          <w:color w:val="000000" w:themeColor="text1"/>
          <w:szCs w:val="22"/>
        </w:rPr>
        <w:t>eikšmingas</w:t>
      </w:r>
      <w:r w:rsidR="00050ED5">
        <w:rPr>
          <w:rFonts w:ascii="Times New Roman" w:hAnsi="Times New Roman"/>
          <w:color w:val="000000" w:themeColor="text1"/>
          <w:szCs w:val="22"/>
        </w:rPr>
        <w:t xml:space="preserve"> p</w:t>
      </w:r>
      <w:r w:rsidR="00890A4A" w:rsidRPr="00650EE4">
        <w:rPr>
          <w:rFonts w:ascii="Times New Roman" w:hAnsi="Times New Roman"/>
          <w:color w:val="000000" w:themeColor="text1"/>
          <w:szCs w:val="22"/>
        </w:rPr>
        <w:t xml:space="preserve">astatų fondo </w:t>
      </w:r>
      <w:r w:rsidR="00007E8C" w:rsidRPr="00650EE4">
        <w:rPr>
          <w:rFonts w:ascii="Times New Roman" w:hAnsi="Times New Roman"/>
          <w:color w:val="000000" w:themeColor="text1"/>
          <w:szCs w:val="22"/>
        </w:rPr>
        <w:t xml:space="preserve">segmentas – apleisti ir nešildomi pastatai. </w:t>
      </w:r>
      <w:r w:rsidR="00944104" w:rsidRPr="00650EE4">
        <w:rPr>
          <w:rFonts w:ascii="Times New Roman" w:hAnsi="Times New Roman"/>
          <w:color w:val="000000" w:themeColor="text1"/>
          <w:szCs w:val="22"/>
        </w:rPr>
        <w:t xml:space="preserve">Šis segmentas svarbus, </w:t>
      </w:r>
      <w:r w:rsidRPr="00650EE4">
        <w:rPr>
          <w:rFonts w:ascii="Times New Roman" w:hAnsi="Times New Roman"/>
          <w:color w:val="000000" w:themeColor="text1"/>
          <w:szCs w:val="22"/>
        </w:rPr>
        <w:t>kadangi</w:t>
      </w:r>
      <w:r w:rsidR="004574A8" w:rsidRPr="00650EE4">
        <w:rPr>
          <w:rFonts w:ascii="Times New Roman" w:hAnsi="Times New Roman"/>
          <w:color w:val="000000" w:themeColor="text1"/>
          <w:szCs w:val="22"/>
        </w:rPr>
        <w:t xml:space="preserve"> nors pastatai potencialiai yra tinkami naudoti, tačiau faktiškai </w:t>
      </w:r>
      <w:r w:rsidR="00AF7804" w:rsidRPr="00650EE4">
        <w:rPr>
          <w:rFonts w:ascii="Times New Roman" w:hAnsi="Times New Roman"/>
          <w:color w:val="000000" w:themeColor="text1"/>
          <w:szCs w:val="22"/>
        </w:rPr>
        <w:tab/>
      </w:r>
      <w:r w:rsidR="004574A8" w:rsidRPr="00650EE4">
        <w:rPr>
          <w:rFonts w:ascii="Times New Roman" w:hAnsi="Times New Roman"/>
          <w:color w:val="000000" w:themeColor="text1"/>
          <w:szCs w:val="22"/>
        </w:rPr>
        <w:t>nevartoja (arba vartoja labai mažai) energijos, t.y. jie neturėtų atsispindėti pastatų fondo energijos vartojime ir atitinkamai būti reikšminga renovacijos plano dalis.</w:t>
      </w:r>
    </w:p>
    <w:p w14:paraId="08ED6E36" w14:textId="1F065F51" w:rsidR="00007E8C" w:rsidRPr="00650EE4" w:rsidRDefault="00007E8C" w:rsidP="00BF7E8C">
      <w:pPr>
        <w:spacing w:line="240" w:lineRule="auto"/>
        <w:jc w:val="both"/>
        <w:rPr>
          <w:rFonts w:ascii="Times New Roman" w:hAnsi="Times New Roman"/>
          <w:color w:val="000000" w:themeColor="text1"/>
          <w:szCs w:val="22"/>
        </w:rPr>
      </w:pPr>
    </w:p>
    <w:p w14:paraId="1666A033" w14:textId="340B4FA3" w:rsidR="00A10964" w:rsidRPr="00650EE4" w:rsidRDefault="00A10964"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Reikšmingiausia </w:t>
      </w:r>
      <w:r w:rsidR="004574A8" w:rsidRPr="00650EE4">
        <w:rPr>
          <w:rFonts w:ascii="Times New Roman" w:hAnsi="Times New Roman"/>
          <w:color w:val="000000" w:themeColor="text1"/>
          <w:szCs w:val="22"/>
        </w:rPr>
        <w:t xml:space="preserve">šių pastatų </w:t>
      </w:r>
      <w:r w:rsidRPr="00650EE4">
        <w:rPr>
          <w:rFonts w:ascii="Times New Roman" w:hAnsi="Times New Roman"/>
          <w:color w:val="000000" w:themeColor="text1"/>
          <w:szCs w:val="22"/>
        </w:rPr>
        <w:t xml:space="preserve">dalis – </w:t>
      </w:r>
      <w:r w:rsidR="009B57FF" w:rsidRPr="00650EE4">
        <w:rPr>
          <w:rFonts w:ascii="Times New Roman" w:hAnsi="Times New Roman"/>
          <w:color w:val="000000" w:themeColor="text1"/>
          <w:szCs w:val="22"/>
        </w:rPr>
        <w:t xml:space="preserve">dėl </w:t>
      </w:r>
      <w:r w:rsidR="004574A8" w:rsidRPr="00650EE4">
        <w:rPr>
          <w:rFonts w:ascii="Times New Roman" w:hAnsi="Times New Roman"/>
          <w:color w:val="000000" w:themeColor="text1"/>
          <w:szCs w:val="22"/>
        </w:rPr>
        <w:t>vietinės (iš rajonų į miestus) ir tarptautinės (į kitas valstybes) m</w:t>
      </w:r>
      <w:r w:rsidR="009B57FF" w:rsidRPr="00650EE4">
        <w:rPr>
          <w:rFonts w:ascii="Times New Roman" w:hAnsi="Times New Roman"/>
          <w:color w:val="000000" w:themeColor="text1"/>
          <w:szCs w:val="22"/>
        </w:rPr>
        <w:t>igracijos nenaudojami pastatai.</w:t>
      </w:r>
      <w:r w:rsidR="004574A8" w:rsidRPr="00650EE4">
        <w:rPr>
          <w:rFonts w:ascii="Times New Roman" w:hAnsi="Times New Roman"/>
          <w:color w:val="000000" w:themeColor="text1"/>
          <w:szCs w:val="22"/>
        </w:rPr>
        <w:t xml:space="preserve"> Svarbu pažymėti, kad nors migracijos mastai </w:t>
      </w:r>
      <w:r w:rsidR="00462618" w:rsidRPr="00650EE4">
        <w:rPr>
          <w:rFonts w:ascii="Times New Roman" w:hAnsi="Times New Roman"/>
          <w:color w:val="000000" w:themeColor="text1"/>
          <w:szCs w:val="22"/>
        </w:rPr>
        <w:t>reikšmingai</w:t>
      </w:r>
      <w:r w:rsidR="004574A8" w:rsidRPr="00650EE4">
        <w:rPr>
          <w:rFonts w:ascii="Times New Roman" w:hAnsi="Times New Roman"/>
          <w:color w:val="000000" w:themeColor="text1"/>
          <w:szCs w:val="22"/>
        </w:rPr>
        <w:t xml:space="preserve"> didėjo, nėra duomenų apie jos įtaką pastatų naudojimui ir (arba) šildymui.</w:t>
      </w:r>
    </w:p>
    <w:p w14:paraId="31C169B3" w14:textId="77777777" w:rsidR="00A10964" w:rsidRPr="00650EE4" w:rsidRDefault="00A10964" w:rsidP="00BF7E8C">
      <w:pPr>
        <w:spacing w:line="240" w:lineRule="auto"/>
        <w:jc w:val="both"/>
        <w:rPr>
          <w:rFonts w:ascii="Times New Roman" w:hAnsi="Times New Roman"/>
          <w:color w:val="000000" w:themeColor="text1"/>
          <w:szCs w:val="22"/>
        </w:rPr>
      </w:pPr>
    </w:p>
    <w:p w14:paraId="1E4C162F" w14:textId="39FDBD7F" w:rsidR="00C3632D" w:rsidRPr="00650EE4" w:rsidRDefault="00A10964" w:rsidP="00BF7E8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Likusi d</w:t>
      </w:r>
      <w:r w:rsidR="00C3632D" w:rsidRPr="00650EE4">
        <w:rPr>
          <w:rFonts w:ascii="Times New Roman" w:hAnsi="Times New Roman"/>
          <w:color w:val="000000" w:themeColor="text1"/>
          <w:szCs w:val="22"/>
        </w:rPr>
        <w:t>alis tokių pastatų patenka į savininkų netur</w:t>
      </w:r>
      <w:r w:rsidR="00CD5AE4" w:rsidRPr="00650EE4">
        <w:rPr>
          <w:rFonts w:ascii="Times New Roman" w:hAnsi="Times New Roman"/>
          <w:color w:val="000000" w:themeColor="text1"/>
          <w:szCs w:val="22"/>
        </w:rPr>
        <w:t>i</w:t>
      </w:r>
      <w:r w:rsidR="00CB543F" w:rsidRPr="00650EE4">
        <w:rPr>
          <w:rFonts w:ascii="Times New Roman" w:hAnsi="Times New Roman"/>
          <w:color w:val="000000" w:themeColor="text1"/>
          <w:szCs w:val="22"/>
        </w:rPr>
        <w:t>n</w:t>
      </w:r>
      <w:r w:rsidR="00C3632D" w:rsidRPr="00650EE4">
        <w:rPr>
          <w:rFonts w:ascii="Times New Roman" w:hAnsi="Times New Roman"/>
          <w:color w:val="000000" w:themeColor="text1"/>
          <w:szCs w:val="22"/>
        </w:rPr>
        <w:t>čių pastatų kategoriją, kurių apskaitos, saugojimo, realizavimo tvarka nustatyta Bešeimininkio, konfiskuoto, valstybės paveldėto, valstybei perduoto turto, daiktinių įrodymų, lobių ir radinių perdavimo, apskaitymo, saugojimo, realizavimo, grąžinimo ir pripažinimo atliekomis taisyklėse</w:t>
      </w:r>
      <w:r w:rsidR="00A64EDC" w:rsidRPr="00650EE4">
        <w:rPr>
          <w:rStyle w:val="FootnoteReference"/>
          <w:rFonts w:ascii="Times New Roman" w:hAnsi="Times New Roman"/>
          <w:color w:val="000000" w:themeColor="text1"/>
          <w:szCs w:val="22"/>
        </w:rPr>
        <w:footnoteReference w:id="10"/>
      </w:r>
      <w:r w:rsidR="00C3632D" w:rsidRPr="00650EE4">
        <w:rPr>
          <w:rFonts w:ascii="Times New Roman" w:hAnsi="Times New Roman"/>
          <w:color w:val="000000" w:themeColor="text1"/>
          <w:szCs w:val="22"/>
        </w:rPr>
        <w:t xml:space="preserve">. </w:t>
      </w:r>
      <w:r w:rsidR="00944104" w:rsidRPr="00650EE4">
        <w:rPr>
          <w:rFonts w:ascii="Times New Roman" w:hAnsi="Times New Roman"/>
          <w:color w:val="000000" w:themeColor="text1"/>
          <w:szCs w:val="22"/>
        </w:rPr>
        <w:t>Pagal jas tokių pastatų sąrašus sudaro savivaldybės</w:t>
      </w:r>
      <w:r w:rsidR="00CB543F" w:rsidRPr="00650EE4">
        <w:rPr>
          <w:rFonts w:ascii="Times New Roman" w:hAnsi="Times New Roman"/>
          <w:color w:val="000000" w:themeColor="text1"/>
          <w:szCs w:val="22"/>
        </w:rPr>
        <w:t>.</w:t>
      </w:r>
    </w:p>
    <w:p w14:paraId="2CA74658" w14:textId="1A7C6E3A" w:rsidR="00CB543F" w:rsidRPr="00650EE4" w:rsidRDefault="00CB543F" w:rsidP="00BF7E8C">
      <w:pPr>
        <w:spacing w:line="240" w:lineRule="auto"/>
        <w:jc w:val="both"/>
        <w:rPr>
          <w:rFonts w:ascii="Times New Roman" w:hAnsi="Times New Roman"/>
          <w:color w:val="000000" w:themeColor="text1"/>
          <w:szCs w:val="22"/>
        </w:rPr>
      </w:pPr>
    </w:p>
    <w:p w14:paraId="61C0C44A" w14:textId="73FEB172" w:rsidR="00AC078A" w:rsidRPr="00650EE4" w:rsidRDefault="007A52B6" w:rsidP="00BF7E8C">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Lentelėje žemiau pateikiami p</w:t>
      </w:r>
      <w:r w:rsidR="00007E8C" w:rsidRPr="00650EE4">
        <w:rPr>
          <w:rFonts w:ascii="Times New Roman" w:hAnsi="Times New Roman"/>
          <w:color w:val="000000" w:themeColor="text1"/>
          <w:szCs w:val="22"/>
        </w:rPr>
        <w:t>astatų fondo koregavimai, t.y. pastatų fondo sumažinimas, įvertinant potencialiai nenaudojamus ir (arba) nešildomus pastatus.</w:t>
      </w:r>
    </w:p>
    <w:p w14:paraId="6CE7EC79" w14:textId="1867D8EB" w:rsidR="006348FB" w:rsidRPr="00650EE4" w:rsidRDefault="006348FB" w:rsidP="00BF7E8C">
      <w:pPr>
        <w:spacing w:line="240" w:lineRule="auto"/>
        <w:jc w:val="both"/>
        <w:rPr>
          <w:rFonts w:ascii="Times New Roman" w:hAnsi="Times New Roman"/>
          <w:color w:val="000000" w:themeColor="text1"/>
          <w:szCs w:val="22"/>
        </w:rPr>
      </w:pPr>
    </w:p>
    <w:p w14:paraId="4B53D04A" w14:textId="2462D5B9" w:rsidR="006348F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76" w:name="_Toc59094211"/>
      <w:r w:rsidR="00F25C65">
        <w:t>28</w:t>
      </w:r>
      <w:r w:rsidRPr="00650EE4">
        <w:rPr>
          <w:noProof w:val="0"/>
        </w:rPr>
        <w:fldChar w:fldCharType="end"/>
      </w:r>
      <w:r w:rsidR="006348FB" w:rsidRPr="00650EE4">
        <w:rPr>
          <w:noProof w:val="0"/>
        </w:rPr>
        <w:t xml:space="preserve"> lentelė. Pastatų fondo koregavimas –</w:t>
      </w:r>
      <w:r w:rsidR="00D75E7D" w:rsidRPr="00650EE4">
        <w:rPr>
          <w:noProof w:val="0"/>
        </w:rPr>
        <w:t xml:space="preserve"> nenaudojamų ir (arba) nešildomi</w:t>
      </w:r>
      <w:r w:rsidR="006348FB" w:rsidRPr="00650EE4">
        <w:rPr>
          <w:noProof w:val="0"/>
        </w:rPr>
        <w:t xml:space="preserve"> pastat</w:t>
      </w:r>
      <w:r w:rsidR="00D75E7D" w:rsidRPr="00650EE4">
        <w:rPr>
          <w:noProof w:val="0"/>
        </w:rPr>
        <w:t>ai</w:t>
      </w:r>
      <w:bookmarkEnd w:id="76"/>
    </w:p>
    <w:tbl>
      <w:tblPr>
        <w:tblW w:w="5000" w:type="pct"/>
        <w:tblLook w:val="04A0" w:firstRow="1" w:lastRow="0" w:firstColumn="1" w:lastColumn="0" w:noHBand="0" w:noVBand="1"/>
      </w:tblPr>
      <w:tblGrid>
        <w:gridCol w:w="2196"/>
        <w:gridCol w:w="2031"/>
        <w:gridCol w:w="1947"/>
        <w:gridCol w:w="2065"/>
        <w:gridCol w:w="2181"/>
      </w:tblGrid>
      <w:tr w:rsidR="002300F6" w:rsidRPr="00650EE4" w14:paraId="5336734B" w14:textId="2A4FF4BB"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8EF3BC" w14:textId="0B3C0A46"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Statybos metai</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072C2C" w14:textId="3C3237E8"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Daugiabučiai</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bottom"/>
          </w:tcPr>
          <w:p w14:paraId="775049F5" w14:textId="210DCDD4"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Individualūs</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574EEA0F" w14:textId="0C50F2A2"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Sandėliavimo</w:t>
            </w:r>
          </w:p>
        </w:tc>
        <w:tc>
          <w:tcPr>
            <w:tcW w:w="2134" w:type="dxa"/>
            <w:tcBorders>
              <w:top w:val="single" w:sz="4" w:space="0" w:color="auto"/>
              <w:left w:val="single" w:sz="4" w:space="0" w:color="auto"/>
              <w:bottom w:val="single" w:sz="4" w:space="0" w:color="auto"/>
              <w:right w:val="single" w:sz="4" w:space="0" w:color="auto"/>
            </w:tcBorders>
            <w:shd w:val="clear" w:color="auto" w:fill="auto"/>
          </w:tcPr>
          <w:p w14:paraId="586C6580" w14:textId="358B624E" w:rsidR="002300F6" w:rsidRPr="00650EE4" w:rsidRDefault="002300F6" w:rsidP="003E6A4B">
            <w:pPr>
              <w:spacing w:line="240" w:lineRule="auto"/>
              <w:jc w:val="center"/>
              <w:rPr>
                <w:rFonts w:ascii="Times New Roman" w:eastAsia="Times New Roman" w:hAnsi="Times New Roman"/>
                <w:b/>
                <w:bCs/>
                <w:color w:val="000000" w:themeColor="text1"/>
                <w:sz w:val="21"/>
                <w:lang w:eastAsia="lt-LT"/>
              </w:rPr>
            </w:pPr>
            <w:r w:rsidRPr="00650EE4">
              <w:rPr>
                <w:rFonts w:ascii="Times New Roman" w:eastAsia="Times New Roman" w:hAnsi="Times New Roman"/>
                <w:b/>
                <w:bCs/>
                <w:color w:val="000000" w:themeColor="text1"/>
                <w:sz w:val="21"/>
                <w:lang w:eastAsia="lt-LT"/>
              </w:rPr>
              <w:t>Kiti negyvenamieji</w:t>
            </w:r>
          </w:p>
        </w:tc>
      </w:tr>
      <w:tr w:rsidR="002300F6" w:rsidRPr="00650EE4" w14:paraId="0EFCEA8C" w14:textId="517EC8D9"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85D0F3" w14:textId="1DE517D6"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iki 1900</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ADAEA6" w14:textId="78D024DC"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vAlign w:val="bottom"/>
          </w:tcPr>
          <w:p w14:paraId="5E12153B" w14:textId="64230DFF"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76C56D3E" w14:textId="2FDCD611"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07EC1583" w14:textId="30AFECCB"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19867D4C" w14:textId="0701EC8E"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F1DFE2"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1901-1960</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706A3"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468A8274" w14:textId="25263B8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136C12C6" w14:textId="142EC6EE"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40%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6FDCAC45" w14:textId="681BEDCD"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76415ABF" w14:textId="7FC9C51B"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819D88"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1961-1992</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0F0BB7"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15DD8205" w14:textId="46C56BF3"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020" w:type="dxa"/>
            <w:tcBorders>
              <w:top w:val="single" w:sz="4" w:space="0" w:color="auto"/>
              <w:left w:val="single" w:sz="4" w:space="0" w:color="auto"/>
              <w:bottom w:val="single" w:sz="4" w:space="0" w:color="auto"/>
              <w:right w:val="single" w:sz="4" w:space="0" w:color="auto"/>
            </w:tcBorders>
            <w:shd w:val="clear" w:color="auto" w:fill="auto"/>
            <w:vAlign w:val="bottom"/>
          </w:tcPr>
          <w:p w14:paraId="3AD32B8C" w14:textId="61925946"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30%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7A9B8854" w14:textId="127ECB4F"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5%</w:t>
            </w:r>
          </w:p>
        </w:tc>
      </w:tr>
      <w:tr w:rsidR="002300F6" w:rsidRPr="00650EE4" w14:paraId="20E87F23" w14:textId="3BC9F188"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AED0C7" w14:textId="454DC2F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1993-2005</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8C4966" w14:textId="572417C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22C92733"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28D13C0D" w14:textId="1FDE54D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20%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4D43C15A" w14:textId="254A5684"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r>
      <w:tr w:rsidR="002300F6" w:rsidRPr="00650EE4" w14:paraId="53A40A18" w14:textId="3B5D7675" w:rsidTr="00B30FEA">
        <w:tc>
          <w:tcPr>
            <w:tcW w:w="21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3138EA" w14:textId="533C4A2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2006-2014</w:t>
            </w:r>
          </w:p>
        </w:tc>
        <w:tc>
          <w:tcPr>
            <w:tcW w:w="19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61591B" w14:textId="1EB11E1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c>
          <w:tcPr>
            <w:tcW w:w="1905" w:type="dxa"/>
            <w:tcBorders>
              <w:top w:val="single" w:sz="4" w:space="0" w:color="auto"/>
              <w:left w:val="single" w:sz="4" w:space="0" w:color="auto"/>
              <w:bottom w:val="single" w:sz="4" w:space="0" w:color="auto"/>
              <w:right w:val="single" w:sz="4" w:space="0" w:color="auto"/>
            </w:tcBorders>
            <w:shd w:val="clear" w:color="auto" w:fill="auto"/>
          </w:tcPr>
          <w:p w14:paraId="65E7593C" w14:textId="77777777"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p>
        </w:tc>
        <w:tc>
          <w:tcPr>
            <w:tcW w:w="2020" w:type="dxa"/>
            <w:tcBorders>
              <w:top w:val="single" w:sz="4" w:space="0" w:color="auto"/>
              <w:left w:val="single" w:sz="4" w:space="0" w:color="auto"/>
              <w:bottom w:val="single" w:sz="4" w:space="0" w:color="auto"/>
              <w:right w:val="single" w:sz="4" w:space="0" w:color="auto"/>
            </w:tcBorders>
            <w:shd w:val="clear" w:color="auto" w:fill="auto"/>
          </w:tcPr>
          <w:p w14:paraId="6B503EA1" w14:textId="1E16A3AE"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10%</w:t>
            </w:r>
          </w:p>
        </w:tc>
        <w:tc>
          <w:tcPr>
            <w:tcW w:w="2134" w:type="dxa"/>
            <w:tcBorders>
              <w:top w:val="single" w:sz="4" w:space="0" w:color="auto"/>
              <w:left w:val="single" w:sz="4" w:space="0" w:color="auto"/>
              <w:bottom w:val="single" w:sz="4" w:space="0" w:color="auto"/>
              <w:right w:val="single" w:sz="4" w:space="0" w:color="auto"/>
            </w:tcBorders>
            <w:shd w:val="clear" w:color="auto" w:fill="auto"/>
            <w:vAlign w:val="bottom"/>
          </w:tcPr>
          <w:p w14:paraId="0B963B67" w14:textId="2FE5BE00" w:rsidR="002300F6" w:rsidRPr="00650EE4" w:rsidRDefault="002300F6" w:rsidP="002300F6">
            <w:pPr>
              <w:spacing w:line="240" w:lineRule="auto"/>
              <w:jc w:val="center"/>
              <w:rPr>
                <w:rFonts w:ascii="Times New Roman" w:eastAsia="Times New Roman" w:hAnsi="Times New Roman"/>
                <w:color w:val="000000" w:themeColor="text1"/>
                <w:sz w:val="21"/>
                <w:lang w:eastAsia="lt-LT"/>
              </w:rPr>
            </w:pPr>
            <w:r w:rsidRPr="00650EE4">
              <w:rPr>
                <w:rFonts w:ascii="Times New Roman" w:eastAsia="Times New Roman" w:hAnsi="Times New Roman"/>
                <w:color w:val="000000" w:themeColor="text1"/>
                <w:sz w:val="21"/>
                <w:lang w:eastAsia="lt-LT"/>
              </w:rPr>
              <w:t>-</w:t>
            </w:r>
          </w:p>
        </w:tc>
      </w:tr>
    </w:tbl>
    <w:p w14:paraId="20173104" w14:textId="7958EFC9" w:rsidR="00CB1BCE" w:rsidRPr="00650EE4" w:rsidRDefault="00CB1BCE" w:rsidP="00CB1BCE">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9D68D2">
        <w:rPr>
          <w:rFonts w:ascii="Times New Roman" w:hAnsi="Times New Roman"/>
          <w:i/>
          <w:iCs/>
          <w:color w:val="auto"/>
          <w:sz w:val="20"/>
          <w:szCs w:val="20"/>
        </w:rPr>
        <w:t>Lietuvos ilgalaikei renovacijos strategijai parengti</w:t>
      </w:r>
      <w:r w:rsidR="009D68D2"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334F6C7" w14:textId="11D95340" w:rsidR="0053529F" w:rsidRPr="00650EE4" w:rsidRDefault="0053529F">
      <w:pPr>
        <w:spacing w:after="240"/>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br w:type="page"/>
      </w:r>
    </w:p>
    <w:p w14:paraId="30FCDDCF" w14:textId="7B38DAC6" w:rsidR="00877BD5" w:rsidRPr="00650EE4" w:rsidRDefault="00357BF9"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7" w:name="_Toc59107518"/>
      <w:r w:rsidRPr="00650EE4">
        <w:rPr>
          <w:rFonts w:ascii="Times New Roman" w:hAnsi="Times New Roman"/>
          <w:color w:val="000000" w:themeColor="text1"/>
          <w:sz w:val="24"/>
          <w:szCs w:val="24"/>
          <w:lang w:val="lt-LT"/>
        </w:rPr>
        <w:lastRenderedPageBreak/>
        <w:t>Energijos beveik nevartojantys pastatai</w:t>
      </w:r>
      <w:bookmarkEnd w:id="77"/>
    </w:p>
    <w:p w14:paraId="3F0CB1E3" w14:textId="3198F1C3" w:rsidR="00BC2D25" w:rsidRPr="00650EE4" w:rsidRDefault="00BC2D25" w:rsidP="005B491F">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Pagal šiuo metu galiojančius teisės aktus, Lietuvoje beveik energijos nevartoja</w:t>
      </w:r>
      <w:r w:rsidR="004E39DF" w:rsidRPr="00650EE4">
        <w:rPr>
          <w:rFonts w:ascii="Times New Roman" w:hAnsi="Times New Roman"/>
          <w:color w:val="000000" w:themeColor="text1"/>
          <w:szCs w:val="22"/>
        </w:rPr>
        <w:t>nčiais</w:t>
      </w:r>
      <w:r w:rsidRPr="00650EE4">
        <w:rPr>
          <w:rFonts w:ascii="Times New Roman" w:hAnsi="Times New Roman"/>
          <w:color w:val="000000" w:themeColor="text1"/>
          <w:szCs w:val="22"/>
        </w:rPr>
        <w:t xml:space="preserve"> pastatai</w:t>
      </w:r>
      <w:r w:rsidR="005B491F" w:rsidRPr="00650EE4">
        <w:rPr>
          <w:rFonts w:ascii="Times New Roman" w:hAnsi="Times New Roman"/>
          <w:color w:val="000000" w:themeColor="text1"/>
          <w:szCs w:val="22"/>
        </w:rPr>
        <w:t>s yra laikomi pastatai</w:t>
      </w:r>
      <w:r w:rsidRPr="00650EE4">
        <w:rPr>
          <w:rFonts w:ascii="Times New Roman" w:hAnsi="Times New Roman"/>
          <w:color w:val="000000" w:themeColor="text1"/>
          <w:szCs w:val="22"/>
        </w:rPr>
        <w:t xml:space="preserve"> atitinkantys A++ energinio n</w:t>
      </w:r>
      <w:r w:rsidR="005B491F" w:rsidRPr="00650EE4">
        <w:rPr>
          <w:rFonts w:ascii="Times New Roman" w:hAnsi="Times New Roman"/>
          <w:color w:val="000000" w:themeColor="text1"/>
          <w:szCs w:val="22"/>
        </w:rPr>
        <w:t xml:space="preserve">audingumo klasės reikalavimus: </w:t>
      </w:r>
    </w:p>
    <w:p w14:paraId="26AC36D1" w14:textId="4859EF0B"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Statybos įstatymo 51 str. 5 punktą: „5. &lt;...&gt; Nuo 2019 m. sausio 1 d. valstybės ir savivaldybių institucijų, įstaigų ir įmonių statomi nauji, o nuo 2021 m. sausio 1 d. – visi statomi nauji pastatai turi būti energijos beveik nevartojantys pastatai, kaip jie suprantami pagal Lietuvos Respublikos atsinaujinančių išteklių energetikos įstatymą. Reikalavimus energijos beveik nevartojantiems pastatams nustato Vyriausybė arba jos įgaliotos institucijos. &lt;...&gt;“</w:t>
      </w:r>
      <w:r w:rsidR="0084309E" w:rsidRPr="00650EE4">
        <w:rPr>
          <w:rFonts w:ascii="Times New Roman" w:hAnsi="Times New Roman"/>
          <w:color w:val="000000" w:themeColor="text1"/>
          <w:szCs w:val="22"/>
        </w:rPr>
        <w:t>;</w:t>
      </w:r>
    </w:p>
    <w:p w14:paraId="37BFA8F2" w14:textId="599BFA5B"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STR 2.01.02:2016 „Pastatų energinio naudingumo projektavimas ir sertifikavimas“ 4.17. punktą „energijos beveik nevartojantys pastatai – pastatai, atitinkantys Reglamento reikalavimus A++ energinio naudingumo klasės pastatams, t. y. labai aukšto energinio naudingumo pastatai, kuriuose energijos sunaudojimas beveik lygus nuliui arba energijos sunaudojimas labai mažas; didžiąją sunaudojamos energijos dalį sudaro atsinaujinančių išteklių energija, įskaitant vietoje ar netoliese pagamintą atsinaujinančių išteklių energiją;“</w:t>
      </w:r>
    </w:p>
    <w:p w14:paraId="4EC12E85" w14:textId="6B569E31" w:rsidR="00BC2D25" w:rsidRPr="00650EE4" w:rsidRDefault="00BC2D25" w:rsidP="005B491F">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Pagal STR 2.01.02:2016 „Pastatų energinio naudingumo projektavimas ir sertifikavimas“ 21. punktą „Statomų pastatų, kuriems prašymas išduoti leidimą statyti naują statinį pateiktas po 2021 m. sausio 1 d., kai statybą leidžiantys dokumentai neprivalomi, – statybos darbai pradėti po 2021 m. sausio 1 d., energinio naudingumo klasė turi būti ne žemesnė kaip A++“.</w:t>
      </w:r>
    </w:p>
    <w:p w14:paraId="74FF9C95" w14:textId="77777777" w:rsidR="00BC2D25" w:rsidRPr="00650EE4" w:rsidRDefault="00BC2D25" w:rsidP="00432D9B">
      <w:pPr>
        <w:spacing w:line="240" w:lineRule="auto"/>
        <w:jc w:val="both"/>
        <w:rPr>
          <w:rFonts w:ascii="Times New Roman" w:hAnsi="Times New Roman"/>
          <w:color w:val="000000" w:themeColor="text1"/>
          <w:szCs w:val="22"/>
        </w:rPr>
      </w:pPr>
    </w:p>
    <w:p w14:paraId="24FE669F" w14:textId="0AB0A703" w:rsidR="004110DB" w:rsidRPr="00650EE4" w:rsidRDefault="00432D9B" w:rsidP="00A306B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R</w:t>
      </w:r>
      <w:r w:rsidR="006F12DF" w:rsidRPr="00650EE4">
        <w:rPr>
          <w:rFonts w:ascii="Times New Roman" w:hAnsi="Times New Roman"/>
          <w:color w:val="000000" w:themeColor="text1"/>
          <w:szCs w:val="22"/>
        </w:rPr>
        <w:t>emiantis</w:t>
      </w:r>
      <w:r w:rsidR="00BC2D25" w:rsidRPr="00650EE4">
        <w:rPr>
          <w:rFonts w:ascii="Times New Roman" w:hAnsi="Times New Roman"/>
          <w:color w:val="000000" w:themeColor="text1"/>
          <w:szCs w:val="22"/>
        </w:rPr>
        <w:t xml:space="preserve"> SPSC </w:t>
      </w:r>
      <w:r w:rsidR="006F12DF" w:rsidRPr="00650EE4">
        <w:rPr>
          <w:rFonts w:ascii="Times New Roman" w:hAnsi="Times New Roman"/>
          <w:color w:val="000000" w:themeColor="text1"/>
          <w:szCs w:val="22"/>
        </w:rPr>
        <w:t>duomenų registro</w:t>
      </w:r>
      <w:r w:rsidR="00D430AF" w:rsidRPr="00650EE4">
        <w:rPr>
          <w:rStyle w:val="FootnoteReference"/>
          <w:rFonts w:ascii="Times New Roman" w:hAnsi="Times New Roman"/>
          <w:color w:val="000000" w:themeColor="text1"/>
          <w:szCs w:val="22"/>
        </w:rPr>
        <w:footnoteReference w:id="11"/>
      </w:r>
      <w:r w:rsidR="006F12DF" w:rsidRPr="00650EE4">
        <w:rPr>
          <w:rFonts w:ascii="Times New Roman" w:hAnsi="Times New Roman"/>
          <w:color w:val="000000" w:themeColor="text1"/>
          <w:szCs w:val="22"/>
        </w:rPr>
        <w:t xml:space="preserve"> </w:t>
      </w:r>
      <w:r w:rsidR="00BC2D25" w:rsidRPr="00650EE4">
        <w:rPr>
          <w:rFonts w:ascii="Times New Roman" w:hAnsi="Times New Roman"/>
          <w:color w:val="000000" w:themeColor="text1"/>
          <w:szCs w:val="22"/>
        </w:rPr>
        <w:t xml:space="preserve">2020 m. sausio </w:t>
      </w:r>
      <w:r w:rsidR="00556EA2" w:rsidRPr="00650EE4">
        <w:rPr>
          <w:rFonts w:ascii="Times New Roman" w:hAnsi="Times New Roman"/>
          <w:color w:val="000000" w:themeColor="text1"/>
          <w:szCs w:val="22"/>
        </w:rPr>
        <w:t>mėn.</w:t>
      </w:r>
      <w:r w:rsidR="00BC2D25" w:rsidRPr="00650EE4">
        <w:rPr>
          <w:rFonts w:ascii="Times New Roman" w:hAnsi="Times New Roman"/>
          <w:color w:val="000000" w:themeColor="text1"/>
          <w:szCs w:val="22"/>
        </w:rPr>
        <w:t xml:space="preserve"> duomen</w:t>
      </w:r>
      <w:r w:rsidR="001C16C5" w:rsidRPr="00650EE4">
        <w:rPr>
          <w:rFonts w:ascii="Times New Roman" w:hAnsi="Times New Roman"/>
          <w:color w:val="000000" w:themeColor="text1"/>
          <w:szCs w:val="22"/>
        </w:rPr>
        <w:t>imis</w:t>
      </w:r>
      <w:r w:rsidRPr="00650EE4">
        <w:rPr>
          <w:rFonts w:ascii="Times New Roman" w:hAnsi="Times New Roman"/>
          <w:color w:val="000000" w:themeColor="text1"/>
          <w:szCs w:val="22"/>
        </w:rPr>
        <w:t xml:space="preserve"> </w:t>
      </w:r>
      <w:r w:rsidR="005B491F" w:rsidRPr="00650EE4">
        <w:rPr>
          <w:rFonts w:ascii="Times New Roman" w:hAnsi="Times New Roman"/>
          <w:color w:val="000000" w:themeColor="text1"/>
          <w:szCs w:val="22"/>
        </w:rPr>
        <w:t>Lietuvoje sertifikuoti</w:t>
      </w:r>
      <w:r w:rsidR="00BC2D25" w:rsidRPr="00650EE4">
        <w:rPr>
          <w:rFonts w:ascii="Times New Roman" w:hAnsi="Times New Roman"/>
          <w:color w:val="000000" w:themeColor="text1"/>
          <w:szCs w:val="22"/>
        </w:rPr>
        <w:t xml:space="preserve"> 46 A++ energinio naudingumo klasės pastatai. Bendras šių pastatų plotas yra 149 tūks</w:t>
      </w:r>
      <w:r w:rsidR="00556EA2" w:rsidRPr="00650EE4">
        <w:rPr>
          <w:rFonts w:ascii="Times New Roman" w:hAnsi="Times New Roman"/>
          <w:color w:val="000000" w:themeColor="text1"/>
          <w:szCs w:val="22"/>
        </w:rPr>
        <w:t>t</w:t>
      </w:r>
      <w:r w:rsidR="00BC2D25" w:rsidRPr="00650EE4">
        <w:rPr>
          <w:rFonts w:ascii="Times New Roman" w:hAnsi="Times New Roman"/>
          <w:color w:val="000000" w:themeColor="text1"/>
          <w:szCs w:val="22"/>
        </w:rPr>
        <w:t>. m</w:t>
      </w:r>
      <w:r w:rsidR="00BC2D25" w:rsidRPr="00650EE4">
        <w:rPr>
          <w:rFonts w:ascii="Times New Roman" w:hAnsi="Times New Roman"/>
          <w:color w:val="000000" w:themeColor="text1"/>
          <w:szCs w:val="22"/>
          <w:vertAlign w:val="superscript"/>
        </w:rPr>
        <w:t>2</w:t>
      </w:r>
      <w:r w:rsidR="00BC2D25" w:rsidRPr="00650EE4">
        <w:rPr>
          <w:rFonts w:ascii="Times New Roman" w:hAnsi="Times New Roman"/>
          <w:color w:val="000000" w:themeColor="text1"/>
          <w:szCs w:val="22"/>
        </w:rPr>
        <w:t>. Daugiausia A++ energinio naudingumo klasės pastatų yra Vilniaus (16 pastatų), Kauno (10 pastatų) ir Klaipėdos (5 pastatai)</w:t>
      </w:r>
      <w:r w:rsidR="00A17ACA" w:rsidRPr="00650EE4">
        <w:rPr>
          <w:rFonts w:ascii="Times New Roman" w:hAnsi="Times New Roman"/>
          <w:color w:val="000000" w:themeColor="text1"/>
          <w:szCs w:val="22"/>
        </w:rPr>
        <w:t xml:space="preserve"> apskrityse</w:t>
      </w:r>
      <w:r w:rsidR="00A306BC" w:rsidRPr="00650EE4">
        <w:rPr>
          <w:rFonts w:ascii="Times New Roman" w:hAnsi="Times New Roman"/>
          <w:color w:val="000000" w:themeColor="text1"/>
          <w:szCs w:val="22"/>
        </w:rPr>
        <w:t xml:space="preserve">. </w:t>
      </w:r>
    </w:p>
    <w:p w14:paraId="3603D1DE" w14:textId="77777777" w:rsidR="00A306BC" w:rsidRPr="00650EE4" w:rsidRDefault="00A306BC" w:rsidP="00A306BC">
      <w:pPr>
        <w:spacing w:line="240" w:lineRule="auto"/>
        <w:jc w:val="both"/>
        <w:rPr>
          <w:rFonts w:ascii="Times New Roman" w:hAnsi="Times New Roman"/>
          <w:color w:val="000000" w:themeColor="text1"/>
          <w:szCs w:val="22"/>
        </w:rPr>
      </w:pPr>
    </w:p>
    <w:p w14:paraId="62B777B4" w14:textId="453E3DAA" w:rsidR="00E85447" w:rsidRPr="00650EE4" w:rsidRDefault="001953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78" w:name="_Toc59094262"/>
      <w:r w:rsidR="00F25C65">
        <w:t>13</w:t>
      </w:r>
      <w:r w:rsidRPr="00650EE4">
        <w:rPr>
          <w:noProof w:val="0"/>
        </w:rPr>
        <w:fldChar w:fldCharType="end"/>
      </w:r>
      <w:r w:rsidR="00F57D16" w:rsidRPr="00650EE4">
        <w:rPr>
          <w:noProof w:val="0"/>
        </w:rPr>
        <w:t xml:space="preserve"> paveikslas</w:t>
      </w:r>
      <w:r w:rsidR="00663A67" w:rsidRPr="00650EE4">
        <w:rPr>
          <w:noProof w:val="0"/>
        </w:rPr>
        <w:t xml:space="preserve">. </w:t>
      </w:r>
      <w:r w:rsidR="00C81035" w:rsidRPr="00650EE4">
        <w:rPr>
          <w:noProof w:val="0"/>
        </w:rPr>
        <w:t xml:space="preserve">A++ energinio naudingumo klasės pastatų skaičius pagal </w:t>
      </w:r>
      <w:r w:rsidR="005C750C" w:rsidRPr="00650EE4">
        <w:rPr>
          <w:noProof w:val="0"/>
        </w:rPr>
        <w:t xml:space="preserve">pastatų </w:t>
      </w:r>
      <w:r w:rsidR="00C81035" w:rsidRPr="00650EE4">
        <w:rPr>
          <w:noProof w:val="0"/>
        </w:rPr>
        <w:t xml:space="preserve">paskirtį </w:t>
      </w:r>
      <w:r w:rsidR="009677EA" w:rsidRPr="00650EE4">
        <w:rPr>
          <w:noProof w:val="0"/>
        </w:rPr>
        <w:t>(</w:t>
      </w:r>
      <w:r w:rsidR="007C141C" w:rsidRPr="00650EE4">
        <w:rPr>
          <w:noProof w:val="0"/>
        </w:rPr>
        <w:t>vnt.</w:t>
      </w:r>
      <w:r w:rsidR="009677EA" w:rsidRPr="00650EE4">
        <w:rPr>
          <w:noProof w:val="0"/>
        </w:rPr>
        <w:t>)</w:t>
      </w:r>
      <w:bookmarkEnd w:id="78"/>
    </w:p>
    <w:p w14:paraId="33719E70" w14:textId="0ED96C9F" w:rsidR="00347983" w:rsidRPr="00650EE4" w:rsidRDefault="00DA63F0" w:rsidP="00C81035">
      <w:pPr>
        <w:pStyle w:val="Caption"/>
        <w:spacing w:before="0"/>
        <w:jc w:val="left"/>
        <w:rPr>
          <w:rFonts w:ascii="Times New Roman" w:hAnsi="Times New Roman"/>
          <w:color w:val="000000" w:themeColor="text1"/>
          <w:sz w:val="24"/>
          <w:szCs w:val="24"/>
        </w:rPr>
      </w:pPr>
      <w:r w:rsidRPr="00650EE4">
        <w:rPr>
          <w:rFonts w:ascii="Times New Roman" w:hAnsi="Times New Roman"/>
          <w:noProof/>
          <w:color w:val="000000" w:themeColor="text1"/>
        </w:rPr>
        <w:drawing>
          <wp:inline distT="0" distB="0" distL="0" distR="0" wp14:anchorId="4628C09D" wp14:editId="0AF45AC1">
            <wp:extent cx="6479540" cy="2404287"/>
            <wp:effectExtent l="0" t="0" r="16510" b="15240"/>
            <wp:docPr id="8" name="Chart 8">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F62663-8836-406E-B0B1-4AE6516341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FCBF2D" w14:textId="32C5200B" w:rsidR="00554ED4" w:rsidRPr="00650EE4" w:rsidRDefault="00554ED4" w:rsidP="00554ED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534AF8" w:rsidRPr="00650EE4">
        <w:rPr>
          <w:rFonts w:ascii="Times New Roman" w:eastAsia="Times New Roman" w:hAnsi="Times New Roman"/>
          <w:i/>
          <w:color w:val="000000" w:themeColor="text1"/>
          <w:sz w:val="20"/>
          <w:szCs w:val="28"/>
        </w:rPr>
        <w:t>SPSC duomenų registras.</w:t>
      </w:r>
    </w:p>
    <w:p w14:paraId="5D2EA74E" w14:textId="22D4F22F" w:rsidR="00051E2B" w:rsidRPr="00650EE4" w:rsidRDefault="00051E2B" w:rsidP="00BF7E8C">
      <w:pPr>
        <w:spacing w:line="240" w:lineRule="auto"/>
        <w:jc w:val="both"/>
        <w:rPr>
          <w:rFonts w:ascii="Times New Roman" w:hAnsi="Times New Roman"/>
          <w:color w:val="000000" w:themeColor="text1"/>
          <w:sz w:val="24"/>
          <w:szCs w:val="24"/>
        </w:rPr>
      </w:pPr>
    </w:p>
    <w:p w14:paraId="54CDF853" w14:textId="0CBF96B6" w:rsidR="00051E2B" w:rsidRPr="00650EE4" w:rsidRDefault="00CD6A4B" w:rsidP="006B52E7">
      <w:pPr>
        <w:pStyle w:val="Antrastes31"/>
        <w:numPr>
          <w:ilvl w:val="2"/>
          <w:numId w:val="4"/>
        </w:numPr>
        <w:spacing w:before="120"/>
        <w:ind w:left="720" w:hanging="720"/>
        <w:rPr>
          <w:rFonts w:ascii="Times New Roman" w:hAnsi="Times New Roman"/>
          <w:color w:val="000000" w:themeColor="text1"/>
          <w:sz w:val="24"/>
          <w:szCs w:val="24"/>
          <w:lang w:val="lt-LT"/>
        </w:rPr>
      </w:pPr>
      <w:bookmarkStart w:id="79" w:name="_Toc59107519"/>
      <w:r w:rsidRPr="00650EE4">
        <w:rPr>
          <w:rFonts w:ascii="Times New Roman" w:hAnsi="Times New Roman"/>
          <w:color w:val="000000" w:themeColor="text1"/>
          <w:sz w:val="24"/>
          <w:szCs w:val="24"/>
          <w:lang w:val="lt-LT"/>
        </w:rPr>
        <w:t>Renovuoti pastatai</w:t>
      </w:r>
      <w:bookmarkEnd w:id="79"/>
    </w:p>
    <w:p w14:paraId="3E70C084" w14:textId="12E1571B" w:rsidR="005B491F" w:rsidRPr="00650EE4" w:rsidRDefault="00C47366" w:rsidP="0056326A">
      <w:pPr>
        <w:jc w:val="both"/>
        <w:rPr>
          <w:rFonts w:ascii="Times New Roman" w:hAnsi="Times New Roman"/>
          <w:szCs w:val="22"/>
        </w:rPr>
      </w:pPr>
      <w:r w:rsidRPr="00650EE4">
        <w:rPr>
          <w:rFonts w:ascii="Times New Roman" w:hAnsi="Times New Roman"/>
          <w:bCs/>
          <w:szCs w:val="22"/>
        </w:rPr>
        <w:t xml:space="preserve">Sisteminės, valstybės lygmeniu vykdomos pastatų renovacijos pradžia galima </w:t>
      </w:r>
      <w:r w:rsidR="00E52D6B" w:rsidRPr="00650EE4">
        <w:rPr>
          <w:rFonts w:ascii="Times New Roman" w:hAnsi="Times New Roman"/>
          <w:bCs/>
          <w:szCs w:val="22"/>
        </w:rPr>
        <w:t>laikyti 1996 m., p</w:t>
      </w:r>
      <w:r w:rsidR="00E52D6B" w:rsidRPr="00650EE4">
        <w:rPr>
          <w:rFonts w:ascii="Times New Roman" w:hAnsi="Times New Roman"/>
          <w:szCs w:val="22"/>
        </w:rPr>
        <w:t>agal sutartį su Pasaulio banku, įgyvendintą energijos taupymo būste demonstracinį projektą. Informacija apie šį ir vėle</w:t>
      </w:r>
      <w:r w:rsidR="007778C6" w:rsidRPr="00650EE4">
        <w:rPr>
          <w:rFonts w:ascii="Times New Roman" w:hAnsi="Times New Roman"/>
          <w:szCs w:val="22"/>
        </w:rPr>
        <w:t>s</w:t>
      </w:r>
      <w:r w:rsidR="00E52D6B" w:rsidRPr="00650EE4">
        <w:rPr>
          <w:rFonts w:ascii="Times New Roman" w:hAnsi="Times New Roman"/>
          <w:szCs w:val="22"/>
        </w:rPr>
        <w:t xml:space="preserve">nius pastatų renovacijos etapus pateikiama žemiau.  </w:t>
      </w:r>
    </w:p>
    <w:p w14:paraId="5602F8D8" w14:textId="77777777" w:rsidR="00C47366" w:rsidRPr="00650EE4" w:rsidRDefault="00C47366" w:rsidP="0056326A">
      <w:pPr>
        <w:jc w:val="both"/>
        <w:rPr>
          <w:rFonts w:ascii="Times New Roman" w:hAnsi="Times New Roman"/>
          <w:b/>
          <w:bCs/>
          <w:szCs w:val="22"/>
        </w:rPr>
      </w:pPr>
    </w:p>
    <w:p w14:paraId="0D891C9D" w14:textId="4417B60A"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Energijos taupymo būste demonstracini projektas (1996-2003)</w:t>
      </w:r>
    </w:p>
    <w:p w14:paraId="15E52504" w14:textId="3E79D54E" w:rsidR="00881029" w:rsidRPr="00650EE4" w:rsidRDefault="00881029" w:rsidP="0056326A">
      <w:pPr>
        <w:jc w:val="both"/>
        <w:rPr>
          <w:rFonts w:ascii="Times New Roman" w:hAnsi="Times New Roman"/>
          <w:szCs w:val="22"/>
        </w:rPr>
      </w:pPr>
      <w:r w:rsidRPr="00650EE4">
        <w:rPr>
          <w:rFonts w:ascii="Times New Roman" w:hAnsi="Times New Roman"/>
          <w:szCs w:val="22"/>
        </w:rPr>
        <w:t xml:space="preserve">Pagal sutartį su Pasaulio banku 1996–2003 metais buvo įgyvendinamas energijos taupymo būste demonstracinis projektas – Pasaulio banko įsteigto apyvartinio fondo lėšomis finansuoti daugiabučių namų atnaujinimo projektai, skirti energijai taupyti (šilumos punktams ir šildymo sistemoms modernizuoti, langams ir lauko durims keisti, </w:t>
      </w:r>
      <w:r w:rsidRPr="00650EE4">
        <w:rPr>
          <w:rFonts w:ascii="Times New Roman" w:hAnsi="Times New Roman"/>
          <w:szCs w:val="22"/>
        </w:rPr>
        <w:lastRenderedPageBreak/>
        <w:t>stogams ir sienoms šiltinti ir panašiai). Iš Lietuvos Respublikos valstybės biudžeto kompensuota 30 procentų investicijų. Pagal šį projektą iš dalies atnaujinta (be sienų šiltinimo) daugiau kaip 700 daugiabučių namų, investuota per 70 mln. litų, šiluminės energijos sąnaudos šiuose pastatuose sumažintos apie 24 procentus.</w:t>
      </w:r>
    </w:p>
    <w:p w14:paraId="741AD7D2" w14:textId="77777777" w:rsidR="00881029" w:rsidRPr="00650EE4" w:rsidRDefault="00881029" w:rsidP="0056326A">
      <w:pPr>
        <w:jc w:val="both"/>
        <w:rPr>
          <w:rFonts w:ascii="Times New Roman" w:hAnsi="Times New Roman"/>
          <w:b/>
          <w:bCs/>
          <w:szCs w:val="22"/>
        </w:rPr>
      </w:pPr>
    </w:p>
    <w:p w14:paraId="61207E47" w14:textId="61A5A3F1"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Daugiabučių namų atnaujinimas pirmiausia didinant jų energijos vartojimo efektyvumą (2007-2013)</w:t>
      </w:r>
    </w:p>
    <w:p w14:paraId="6E9436C4" w14:textId="77777777" w:rsidR="0056326A" w:rsidRPr="00650EE4" w:rsidRDefault="00881029" w:rsidP="0056326A">
      <w:pPr>
        <w:jc w:val="both"/>
        <w:rPr>
          <w:rFonts w:ascii="Times New Roman" w:hAnsi="Times New Roman"/>
          <w:szCs w:val="22"/>
        </w:rPr>
      </w:pPr>
      <w:r w:rsidRPr="00650EE4">
        <w:rPr>
          <w:rFonts w:ascii="Times New Roman" w:hAnsi="Times New Roman"/>
          <w:szCs w:val="22"/>
        </w:rPr>
        <w:t>Daugiabučių namų atnaujinimas finansuotas ir pagal 2007–2013 metų Sanglaudos skatinimo veiksmų programos 1 prioriteto „Vietinė ir urbanistinė plėtra, kultūros paveldo ir gamtos išsaugojimas bei pritaikymas turizmo plėtrai“ įgyvendinimo priemonę VP3-1.1-VRM-03-R „Daugiabučių namų atnaujinimas pirmiausia didinant jų energijos vartojimo efektyvumą“ (atsakinga Lietuvos Respublikos vidaus reikalų ministerija). Šiai priemonei skirta 163,471 mln. litų. Lėšos paskirstytos savivaldybėms, kurios pagal Lietuvos Respublikos Vyriausybės 2007 m. sausio 31 d. nutarimą Nr. 112 „Dėl probleminių teritorijų“ priskirtos probleminėms teritorijoms. Iki 2013 metų atnaujinta apie 150 daugiabučių namų</w:t>
      </w:r>
      <w:r w:rsidR="00884BA6" w:rsidRPr="00650EE4">
        <w:rPr>
          <w:rFonts w:ascii="Times New Roman" w:hAnsi="Times New Roman"/>
          <w:szCs w:val="22"/>
        </w:rPr>
        <w:t>.</w:t>
      </w:r>
    </w:p>
    <w:p w14:paraId="4A5CE350" w14:textId="4705E607" w:rsidR="00E57E38" w:rsidRPr="00650EE4" w:rsidRDefault="00E57E38" w:rsidP="0056326A">
      <w:pPr>
        <w:jc w:val="both"/>
        <w:rPr>
          <w:rFonts w:ascii="Times New Roman" w:hAnsi="Times New Roman"/>
          <w:b/>
          <w:bCs/>
          <w:szCs w:val="22"/>
        </w:rPr>
      </w:pPr>
    </w:p>
    <w:p w14:paraId="5583AFE8" w14:textId="0A53C297" w:rsidR="00881029" w:rsidRPr="00650EE4" w:rsidRDefault="00881029" w:rsidP="0056326A">
      <w:pPr>
        <w:jc w:val="both"/>
        <w:rPr>
          <w:rFonts w:ascii="Times New Roman" w:hAnsi="Times New Roman"/>
          <w:b/>
          <w:bCs/>
          <w:szCs w:val="22"/>
        </w:rPr>
      </w:pPr>
      <w:r w:rsidRPr="00650EE4">
        <w:rPr>
          <w:rFonts w:ascii="Times New Roman" w:hAnsi="Times New Roman"/>
          <w:b/>
          <w:bCs/>
          <w:szCs w:val="22"/>
        </w:rPr>
        <w:t>Daugiabučių atnaujinimo programa (2013-</w:t>
      </w:r>
      <w:r w:rsidR="0082065C" w:rsidRPr="00650EE4">
        <w:rPr>
          <w:rFonts w:ascii="Times New Roman" w:hAnsi="Times New Roman"/>
          <w:b/>
          <w:bCs/>
          <w:szCs w:val="22"/>
        </w:rPr>
        <w:t>2020</w:t>
      </w:r>
      <w:r w:rsidRPr="00650EE4">
        <w:rPr>
          <w:rFonts w:ascii="Times New Roman" w:hAnsi="Times New Roman"/>
          <w:b/>
          <w:bCs/>
          <w:szCs w:val="22"/>
        </w:rPr>
        <w:t>)</w:t>
      </w:r>
    </w:p>
    <w:p w14:paraId="1C8B1A04" w14:textId="155192F2" w:rsidR="00BF1AC5" w:rsidRPr="00650EE4" w:rsidRDefault="00BF1AC5" w:rsidP="0056326A">
      <w:pPr>
        <w:jc w:val="both"/>
        <w:rPr>
          <w:rFonts w:ascii="Times New Roman" w:hAnsi="Times New Roman"/>
          <w:szCs w:val="22"/>
        </w:rPr>
      </w:pPr>
      <w:r w:rsidRPr="00650EE4">
        <w:rPr>
          <w:rFonts w:ascii="Times New Roman" w:hAnsi="Times New Roman"/>
          <w:szCs w:val="22"/>
        </w:rPr>
        <w:t xml:space="preserve">Įgyvendinant daugiabučių namų atnaujinimo programą, nuo 2013 m. iki 2020 m. </w:t>
      </w:r>
      <w:r w:rsidR="00EF5735">
        <w:rPr>
          <w:rFonts w:ascii="Times New Roman" w:hAnsi="Times New Roman"/>
          <w:szCs w:val="22"/>
        </w:rPr>
        <w:t>lapkričio mėn</w:t>
      </w:r>
      <w:r w:rsidRPr="00650EE4">
        <w:rPr>
          <w:rFonts w:ascii="Times New Roman" w:hAnsi="Times New Roman"/>
          <w:szCs w:val="22"/>
        </w:rPr>
        <w:t xml:space="preserve">. šalyje atnaujint </w:t>
      </w:r>
      <w:r w:rsidR="005567C4" w:rsidRPr="00650EE4">
        <w:rPr>
          <w:rFonts w:ascii="Times New Roman" w:hAnsi="Times New Roman"/>
          <w:szCs w:val="22"/>
        </w:rPr>
        <w:t>2</w:t>
      </w:r>
      <w:r w:rsidR="005567C4">
        <w:rPr>
          <w:rFonts w:ascii="Times New Roman" w:hAnsi="Times New Roman"/>
          <w:szCs w:val="22"/>
        </w:rPr>
        <w:t>631</w:t>
      </w:r>
      <w:r w:rsidR="005567C4" w:rsidRPr="00650EE4">
        <w:rPr>
          <w:rFonts w:ascii="Times New Roman" w:hAnsi="Times New Roman"/>
          <w:szCs w:val="22"/>
        </w:rPr>
        <w:t xml:space="preserve"> </w:t>
      </w:r>
      <w:r w:rsidRPr="00650EE4">
        <w:rPr>
          <w:rFonts w:ascii="Times New Roman" w:hAnsi="Times New Roman"/>
          <w:szCs w:val="22"/>
        </w:rPr>
        <w:t>daugiabu</w:t>
      </w:r>
      <w:r w:rsidR="005567C4">
        <w:rPr>
          <w:rFonts w:ascii="Times New Roman" w:hAnsi="Times New Roman"/>
          <w:szCs w:val="22"/>
        </w:rPr>
        <w:t>tis namas</w:t>
      </w:r>
      <w:r w:rsidR="00EF5735">
        <w:rPr>
          <w:rFonts w:ascii="Times New Roman" w:hAnsi="Times New Roman"/>
          <w:szCs w:val="22"/>
        </w:rPr>
        <w:t xml:space="preserve"> (dar 419 daugiabučių renovuota iki </w:t>
      </w:r>
      <w:r w:rsidR="00EF5735">
        <w:rPr>
          <w:rFonts w:ascii="Times New Roman" w:hAnsi="Times New Roman"/>
          <w:szCs w:val="22"/>
          <w:lang w:val="en-GB"/>
        </w:rPr>
        <w:t>2013 m.</w:t>
      </w:r>
      <w:r w:rsidR="00CE66B8">
        <w:rPr>
          <w:rFonts w:ascii="Times New Roman" w:hAnsi="Times New Roman"/>
          <w:szCs w:val="22"/>
          <w:lang w:val="en-GB"/>
        </w:rPr>
        <w:t>)</w:t>
      </w:r>
      <w:r w:rsidRPr="00650EE4">
        <w:rPr>
          <w:rFonts w:ascii="Times New Roman" w:hAnsi="Times New Roman"/>
          <w:szCs w:val="22"/>
        </w:rPr>
        <w:t>, investicijos siekia apie 7</w:t>
      </w:r>
      <w:r w:rsidR="00EF5735">
        <w:rPr>
          <w:rFonts w:ascii="Times New Roman" w:hAnsi="Times New Roman"/>
          <w:szCs w:val="22"/>
          <w:lang w:val="en-GB"/>
        </w:rPr>
        <w:t>5</w:t>
      </w:r>
      <w:r w:rsidRPr="00650EE4">
        <w:rPr>
          <w:rFonts w:ascii="Times New Roman" w:hAnsi="Times New Roman"/>
          <w:szCs w:val="22"/>
        </w:rPr>
        <w:t xml:space="preserve">0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t.y. vidutiniškai 290 tūkst. </w:t>
      </w:r>
      <w:proofErr w:type="spellStart"/>
      <w:r w:rsidRPr="00650EE4">
        <w:rPr>
          <w:rFonts w:ascii="Times New Roman" w:hAnsi="Times New Roman"/>
          <w:szCs w:val="22"/>
        </w:rPr>
        <w:t>Eur</w:t>
      </w:r>
      <w:proofErr w:type="spellEnd"/>
      <w:r w:rsidRPr="00650EE4">
        <w:rPr>
          <w:rFonts w:ascii="Times New Roman" w:hAnsi="Times New Roman"/>
          <w:szCs w:val="22"/>
        </w:rPr>
        <w:t xml:space="preserve"> vieno daugiabučio renovacijai, kai Lietuvoje viso yra 37.136 daugiabučiai pastatyti iki 1993 m., t.y. renovuota </w:t>
      </w:r>
      <w:r w:rsidR="00CE66B8">
        <w:rPr>
          <w:rFonts w:ascii="Times New Roman" w:hAnsi="Times New Roman"/>
          <w:szCs w:val="22"/>
        </w:rPr>
        <w:t>8</w:t>
      </w:r>
      <w:r w:rsidRPr="00650EE4">
        <w:rPr>
          <w:rFonts w:ascii="Times New Roman" w:hAnsi="Times New Roman"/>
          <w:szCs w:val="22"/>
        </w:rPr>
        <w:t xml:space="preserve"> proc. daugiabučių. </w:t>
      </w:r>
    </w:p>
    <w:p w14:paraId="1F71C094" w14:textId="77777777" w:rsidR="00BF1AC5" w:rsidRPr="00650EE4" w:rsidRDefault="00BF1AC5" w:rsidP="0056326A">
      <w:pPr>
        <w:jc w:val="both"/>
        <w:rPr>
          <w:rFonts w:ascii="Times New Roman" w:hAnsi="Times New Roman"/>
          <w:szCs w:val="22"/>
        </w:rPr>
      </w:pPr>
    </w:p>
    <w:p w14:paraId="69F5BF49" w14:textId="7CB118C6" w:rsidR="00BF1AC5" w:rsidRPr="00650EE4" w:rsidRDefault="00BF1AC5" w:rsidP="0056326A">
      <w:pPr>
        <w:jc w:val="both"/>
        <w:rPr>
          <w:rFonts w:ascii="Times New Roman" w:hAnsi="Times New Roman"/>
          <w:szCs w:val="22"/>
        </w:rPr>
      </w:pPr>
      <w:r w:rsidRPr="00650EE4">
        <w:rPr>
          <w:rFonts w:ascii="Times New Roman" w:hAnsi="Times New Roman"/>
          <w:szCs w:val="22"/>
        </w:rPr>
        <w:t xml:space="preserve">2020 m. </w:t>
      </w:r>
      <w:r w:rsidR="009D68D2">
        <w:rPr>
          <w:rFonts w:ascii="Times New Roman" w:hAnsi="Times New Roman"/>
          <w:szCs w:val="22"/>
        </w:rPr>
        <w:t>lapkričio mėn.</w:t>
      </w:r>
      <w:r w:rsidRPr="00650EE4">
        <w:rPr>
          <w:rFonts w:ascii="Times New Roman" w:hAnsi="Times New Roman"/>
          <w:szCs w:val="22"/>
        </w:rPr>
        <w:t xml:space="preserve"> šalyje buvo vykdoma </w:t>
      </w:r>
      <w:r w:rsidR="009D68D2">
        <w:rPr>
          <w:rFonts w:ascii="Times New Roman" w:hAnsi="Times New Roman"/>
          <w:szCs w:val="22"/>
          <w:lang w:val="en-GB"/>
        </w:rPr>
        <w:t>513</w:t>
      </w:r>
      <w:r w:rsidR="009D68D2" w:rsidRPr="00650EE4">
        <w:rPr>
          <w:rFonts w:ascii="Times New Roman" w:hAnsi="Times New Roman"/>
          <w:szCs w:val="22"/>
        </w:rPr>
        <w:t xml:space="preserve"> </w:t>
      </w:r>
      <w:r w:rsidRPr="00650EE4">
        <w:rPr>
          <w:rFonts w:ascii="Times New Roman" w:hAnsi="Times New Roman"/>
          <w:szCs w:val="22"/>
        </w:rPr>
        <w:t xml:space="preserve">daugiabučių </w:t>
      </w:r>
      <w:r w:rsidR="00EF5735">
        <w:rPr>
          <w:rFonts w:ascii="Times New Roman" w:hAnsi="Times New Roman"/>
          <w:szCs w:val="22"/>
        </w:rPr>
        <w:t xml:space="preserve">namų </w:t>
      </w:r>
      <w:r w:rsidRPr="00650EE4">
        <w:rPr>
          <w:rFonts w:ascii="Times New Roman" w:hAnsi="Times New Roman"/>
          <w:szCs w:val="22"/>
        </w:rPr>
        <w:t>atnaujinimo projekt</w:t>
      </w:r>
      <w:r w:rsidR="005567C4">
        <w:rPr>
          <w:rFonts w:ascii="Times New Roman" w:hAnsi="Times New Roman"/>
          <w:szCs w:val="22"/>
        </w:rPr>
        <w:t>ų</w:t>
      </w:r>
      <w:r w:rsidRPr="00650EE4">
        <w:rPr>
          <w:rFonts w:ascii="Times New Roman" w:hAnsi="Times New Roman"/>
          <w:szCs w:val="22"/>
        </w:rPr>
        <w:t>. Daugiabučių renovacijos mastai iš pradžių buvo maži dėl gyventojų mažo įsitraukimo į renovacijos procesą, vėliau buvo susidurta su finansavimo vėlavimu bei trūkumu</w:t>
      </w:r>
      <w:r w:rsidR="009D68D2">
        <w:rPr>
          <w:rFonts w:ascii="Times New Roman" w:hAnsi="Times New Roman"/>
          <w:szCs w:val="22"/>
        </w:rPr>
        <w:t>.</w:t>
      </w:r>
      <w:r w:rsidRPr="00650EE4">
        <w:rPr>
          <w:rFonts w:ascii="Times New Roman" w:hAnsi="Times New Roman"/>
          <w:szCs w:val="22"/>
        </w:rPr>
        <w:t xml:space="preserve"> </w:t>
      </w:r>
      <w:r w:rsidR="009D68D2">
        <w:rPr>
          <w:rFonts w:ascii="Times New Roman" w:hAnsi="Times New Roman"/>
          <w:szCs w:val="22"/>
        </w:rPr>
        <w:t>D</w:t>
      </w:r>
      <w:r w:rsidRPr="00650EE4">
        <w:rPr>
          <w:rFonts w:ascii="Times New Roman" w:hAnsi="Times New Roman"/>
          <w:szCs w:val="22"/>
        </w:rPr>
        <w:t>abar renovuojami didesni daugiabučiai pastatai (turintys daugiau butų), kurių investicijos didesnės</w:t>
      </w:r>
      <w:r w:rsidR="0082065C" w:rsidRPr="00650EE4">
        <w:rPr>
          <w:rFonts w:ascii="Times New Roman" w:hAnsi="Times New Roman"/>
          <w:szCs w:val="22"/>
        </w:rPr>
        <w:t>.</w:t>
      </w:r>
    </w:p>
    <w:p w14:paraId="1EEB4DBC" w14:textId="4411E489" w:rsidR="0082065C" w:rsidRPr="00650EE4" w:rsidRDefault="0082065C" w:rsidP="0056326A">
      <w:pPr>
        <w:jc w:val="both"/>
        <w:rPr>
          <w:rFonts w:ascii="Times New Roman" w:hAnsi="Times New Roman"/>
          <w:szCs w:val="22"/>
        </w:rPr>
      </w:pPr>
    </w:p>
    <w:p w14:paraId="7D79414B" w14:textId="60A67EB2" w:rsidR="0082065C" w:rsidRPr="00650EE4" w:rsidRDefault="00B60DC6" w:rsidP="0056326A">
      <w:pPr>
        <w:jc w:val="both"/>
        <w:rPr>
          <w:rFonts w:ascii="Times New Roman" w:hAnsi="Times New Roman"/>
          <w:szCs w:val="22"/>
        </w:rPr>
      </w:pPr>
      <w:r>
        <w:rPr>
          <w:rFonts w:ascii="Times New Roman" w:hAnsi="Times New Roman"/>
          <w:szCs w:val="22"/>
        </w:rPr>
        <w:t>I</w:t>
      </w:r>
      <w:r w:rsidR="00E00B81">
        <w:rPr>
          <w:rFonts w:ascii="Times New Roman" w:hAnsi="Times New Roman"/>
          <w:szCs w:val="22"/>
        </w:rPr>
        <w:t xml:space="preserve">š viso </w:t>
      </w:r>
      <w:r w:rsidR="0082065C" w:rsidRPr="00650EE4">
        <w:rPr>
          <w:rFonts w:ascii="Times New Roman" w:hAnsi="Times New Roman"/>
          <w:szCs w:val="22"/>
        </w:rPr>
        <w:t xml:space="preserve">2020 metais </w:t>
      </w:r>
      <w:r>
        <w:rPr>
          <w:rFonts w:ascii="Times New Roman" w:hAnsi="Times New Roman"/>
          <w:szCs w:val="22"/>
        </w:rPr>
        <w:t>renovuota</w:t>
      </w:r>
      <w:r w:rsidR="0082065C" w:rsidRPr="00650EE4">
        <w:rPr>
          <w:rFonts w:ascii="Times New Roman" w:hAnsi="Times New Roman"/>
          <w:szCs w:val="22"/>
        </w:rPr>
        <w:t xml:space="preserve"> </w:t>
      </w:r>
      <w:r>
        <w:rPr>
          <w:rFonts w:ascii="Times New Roman" w:hAnsi="Times New Roman"/>
          <w:szCs w:val="22"/>
          <w:lang w:val="en-GB"/>
        </w:rPr>
        <w:t xml:space="preserve">304 </w:t>
      </w:r>
      <w:r w:rsidRPr="00EF5F1B">
        <w:rPr>
          <w:rFonts w:ascii="Times New Roman" w:hAnsi="Times New Roman"/>
          <w:szCs w:val="22"/>
        </w:rPr>
        <w:t>daugiabučiai</w:t>
      </w:r>
      <w:r>
        <w:rPr>
          <w:rFonts w:ascii="Times New Roman" w:hAnsi="Times New Roman"/>
          <w:szCs w:val="22"/>
        </w:rPr>
        <w:t xml:space="preserve"> gyvenamieji pastatai</w:t>
      </w:r>
      <w:r w:rsidR="0082065C" w:rsidRPr="00650EE4">
        <w:rPr>
          <w:rFonts w:ascii="Times New Roman" w:hAnsi="Times New Roman"/>
          <w:szCs w:val="22"/>
        </w:rPr>
        <w:t>.</w:t>
      </w:r>
    </w:p>
    <w:p w14:paraId="654358BF" w14:textId="77777777" w:rsidR="00DC668A" w:rsidRPr="00650EE4" w:rsidRDefault="00DC668A" w:rsidP="0056326A">
      <w:pPr>
        <w:jc w:val="both"/>
        <w:rPr>
          <w:rFonts w:ascii="Times New Roman" w:hAnsi="Times New Roman"/>
          <w:szCs w:val="22"/>
        </w:rPr>
      </w:pPr>
    </w:p>
    <w:p w14:paraId="1F48CAB6" w14:textId="265F1872" w:rsidR="00BF1AC5" w:rsidRPr="00EF5F1B" w:rsidRDefault="00195386" w:rsidP="00EF5F1B">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80" w:name="_Toc59094263"/>
      <w:r w:rsidR="00F25C65">
        <w:t>14</w:t>
      </w:r>
      <w:r w:rsidRPr="00650EE4">
        <w:rPr>
          <w:noProof w:val="0"/>
        </w:rPr>
        <w:fldChar w:fldCharType="end"/>
      </w:r>
      <w:r w:rsidR="00747100" w:rsidRPr="00650EE4">
        <w:rPr>
          <w:noProof w:val="0"/>
        </w:rPr>
        <w:t xml:space="preserve"> paveikslas. </w:t>
      </w:r>
      <w:r w:rsidR="00BF1AC5" w:rsidRPr="00650EE4">
        <w:rPr>
          <w:noProof w:val="0"/>
        </w:rPr>
        <w:t>Lietuvoje renovuotų daugiabučių skaičius 201</w:t>
      </w:r>
      <w:r w:rsidR="00EF5F1B">
        <w:rPr>
          <w:noProof w:val="0"/>
        </w:rPr>
        <w:t>3-2020</w:t>
      </w:r>
      <w:r w:rsidR="00BF1AC5" w:rsidRPr="00650EE4">
        <w:rPr>
          <w:noProof w:val="0"/>
        </w:rPr>
        <w:t xml:space="preserve"> m. </w:t>
      </w:r>
      <w:r w:rsidR="00355091" w:rsidRPr="00650EE4">
        <w:rPr>
          <w:noProof w:val="0"/>
        </w:rPr>
        <w:t>(</w:t>
      </w:r>
      <w:r w:rsidR="00BF1AC5" w:rsidRPr="00650EE4">
        <w:rPr>
          <w:noProof w:val="0"/>
        </w:rPr>
        <w:t>vnt.</w:t>
      </w:r>
      <w:r w:rsidR="00355091" w:rsidRPr="00650EE4">
        <w:rPr>
          <w:noProof w:val="0"/>
        </w:rPr>
        <w:t>)</w:t>
      </w:r>
      <w:bookmarkEnd w:id="80"/>
    </w:p>
    <w:p w14:paraId="6E5757F7" w14:textId="65F9DF21" w:rsidR="00B60DC6" w:rsidRPr="00650EE4" w:rsidRDefault="00B60DC6" w:rsidP="00BF1AC5">
      <w:pPr>
        <w:jc w:val="both"/>
        <w:rPr>
          <w:rFonts w:ascii="Times New Roman" w:hAnsi="Times New Roman"/>
          <w:sz w:val="24"/>
          <w:szCs w:val="24"/>
        </w:rPr>
      </w:pPr>
      <w:r>
        <w:rPr>
          <w:noProof/>
          <w:lang w:eastAsia="lt-LT"/>
        </w:rPr>
        <w:drawing>
          <wp:inline distT="0" distB="0" distL="0" distR="0" wp14:anchorId="3DF1D0C7" wp14:editId="34E9D328">
            <wp:extent cx="6687047" cy="2321781"/>
            <wp:effectExtent l="0" t="0" r="19050" b="2159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695731F" w14:textId="6ECFE05C" w:rsidR="00BF1AC5" w:rsidRPr="00650EE4" w:rsidRDefault="00BF1AC5" w:rsidP="00E52D6B">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BETA </w:t>
      </w:r>
    </w:p>
    <w:p w14:paraId="167E90E4" w14:textId="28DB3AF0" w:rsidR="00BF1AC5" w:rsidRPr="00650EE4" w:rsidRDefault="00BF1AC5" w:rsidP="00BF1AC5">
      <w:pPr>
        <w:jc w:val="both"/>
        <w:rPr>
          <w:rFonts w:ascii="Times New Roman" w:hAnsi="Times New Roman"/>
          <w:szCs w:val="22"/>
        </w:rPr>
      </w:pPr>
    </w:p>
    <w:p w14:paraId="6144F9E9" w14:textId="5EAB88E3" w:rsidR="00E67601" w:rsidRPr="00650EE4" w:rsidRDefault="00E67601" w:rsidP="00AA1089">
      <w:pPr>
        <w:spacing w:after="120"/>
        <w:jc w:val="both"/>
        <w:rPr>
          <w:rFonts w:ascii="Times New Roman" w:hAnsi="Times New Roman"/>
          <w:b/>
          <w:bCs/>
          <w:szCs w:val="22"/>
        </w:rPr>
      </w:pPr>
      <w:r w:rsidRPr="00650EE4">
        <w:rPr>
          <w:rFonts w:ascii="Times New Roman" w:hAnsi="Times New Roman"/>
          <w:b/>
          <w:bCs/>
          <w:szCs w:val="22"/>
        </w:rPr>
        <w:t>Gyventojų iniciatyva taikytos priemonės</w:t>
      </w:r>
    </w:p>
    <w:p w14:paraId="29660188" w14:textId="19A7E2FA" w:rsidR="00E67601" w:rsidRPr="00650EE4" w:rsidRDefault="00E67601" w:rsidP="000D66CF">
      <w:pPr>
        <w:shd w:val="clear" w:color="auto" w:fill="FFFFFF" w:themeFill="background1"/>
        <w:jc w:val="both"/>
        <w:rPr>
          <w:rFonts w:ascii="Times New Roman" w:hAnsi="Times New Roman"/>
          <w:szCs w:val="22"/>
          <w:highlight w:val="lightGray"/>
        </w:rPr>
      </w:pPr>
      <w:r w:rsidRPr="00650EE4">
        <w:rPr>
          <w:rFonts w:ascii="Times New Roman" w:hAnsi="Times New Roman"/>
          <w:szCs w:val="22"/>
        </w:rPr>
        <w:t xml:space="preserve">Pastatų savininkai taip pat renovuojasi ir savo iniciatyva. Lentelėje žemiau pateikiama </w:t>
      </w:r>
      <w:r w:rsidR="00F21BD4" w:rsidRPr="00650EE4">
        <w:rPr>
          <w:rFonts w:ascii="Times New Roman" w:hAnsi="Times New Roman"/>
          <w:szCs w:val="22"/>
        </w:rPr>
        <w:t>informacija</w:t>
      </w:r>
      <w:r w:rsidRPr="00650EE4">
        <w:rPr>
          <w:rFonts w:ascii="Times New Roman" w:hAnsi="Times New Roman"/>
          <w:szCs w:val="22"/>
        </w:rPr>
        <w:t xml:space="preserve"> apie namų ūkiuose pritaikytas renovacijos priemones.</w:t>
      </w:r>
    </w:p>
    <w:p w14:paraId="3CA18CA1" w14:textId="77777777" w:rsidR="00E67601" w:rsidRPr="00650EE4" w:rsidRDefault="00E67601" w:rsidP="000D66CF">
      <w:pPr>
        <w:shd w:val="clear" w:color="auto" w:fill="FFFFFF" w:themeFill="background1"/>
        <w:jc w:val="both"/>
        <w:rPr>
          <w:rFonts w:ascii="Times New Roman" w:hAnsi="Times New Roman"/>
          <w:szCs w:val="22"/>
          <w:highlight w:val="lightGray"/>
        </w:rPr>
      </w:pPr>
    </w:p>
    <w:p w14:paraId="73ADDC3E" w14:textId="77777777" w:rsidR="00A306BC" w:rsidRPr="00D354CF" w:rsidRDefault="00A306BC">
      <w:pPr>
        <w:spacing w:after="240"/>
        <w:rPr>
          <w:rFonts w:ascii="Times New Roman" w:eastAsiaTheme="minorHAnsi" w:hAnsi="Times New Roman"/>
          <w:bCs/>
          <w:i/>
          <w:color w:val="000000" w:themeColor="text1"/>
          <w:sz w:val="20"/>
          <w:szCs w:val="20"/>
          <w:lang w:val="en-GB"/>
        </w:rPr>
      </w:pPr>
      <w:r w:rsidRPr="00650EE4">
        <w:br w:type="page"/>
      </w:r>
    </w:p>
    <w:p w14:paraId="2000A550" w14:textId="11F41AC2" w:rsidR="00E67601"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81" w:name="_Toc59094212"/>
      <w:r w:rsidR="00F25C65">
        <w:t>29</w:t>
      </w:r>
      <w:r w:rsidRPr="00650EE4">
        <w:rPr>
          <w:noProof w:val="0"/>
        </w:rPr>
        <w:fldChar w:fldCharType="end"/>
      </w:r>
      <w:r w:rsidR="00E67601" w:rsidRPr="00650EE4">
        <w:rPr>
          <w:noProof w:val="0"/>
        </w:rPr>
        <w:t xml:space="preserve"> lentelė. </w:t>
      </w:r>
      <w:r w:rsidR="00A306BC" w:rsidRPr="00650EE4">
        <w:rPr>
          <w:noProof w:val="0"/>
        </w:rPr>
        <w:t>Dalinai r</w:t>
      </w:r>
      <w:r w:rsidR="00E67601" w:rsidRPr="00650EE4">
        <w:rPr>
          <w:noProof w:val="0"/>
        </w:rPr>
        <w:t>enovuoti būstai (energijos suvartojimo tyrimo informacija), proc.</w:t>
      </w:r>
      <w:bookmarkEnd w:id="81"/>
    </w:p>
    <w:tbl>
      <w:tblPr>
        <w:tblW w:w="5000" w:type="pct"/>
        <w:tblLook w:val="04A0" w:firstRow="1" w:lastRow="0" w:firstColumn="1" w:lastColumn="0" w:noHBand="0" w:noVBand="1"/>
      </w:tblPr>
      <w:tblGrid>
        <w:gridCol w:w="1488"/>
        <w:gridCol w:w="4312"/>
        <w:gridCol w:w="2309"/>
        <w:gridCol w:w="2311"/>
      </w:tblGrid>
      <w:tr w:rsidR="00E67601" w:rsidRPr="00650EE4" w14:paraId="1F63B3E2" w14:textId="77777777" w:rsidTr="00F1143C">
        <w:trPr>
          <w:tblHeader/>
        </w:trPr>
        <w:tc>
          <w:tcPr>
            <w:tcW w:w="145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CB8D106" w14:textId="77777777" w:rsidR="00E67601" w:rsidRPr="00650EE4" w:rsidRDefault="00E67601" w:rsidP="00E52D6B">
            <w:pPr>
              <w:spacing w:line="240" w:lineRule="auto"/>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Vietovė</w:t>
            </w:r>
          </w:p>
        </w:tc>
        <w:tc>
          <w:tcPr>
            <w:tcW w:w="421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37B063" w14:textId="62D5BC18" w:rsidR="00E67601" w:rsidRPr="00650EE4" w:rsidRDefault="00E52D6B" w:rsidP="00E52D6B">
            <w:pPr>
              <w:spacing w:line="240" w:lineRule="auto"/>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Įgyvendinta prie</w:t>
            </w:r>
            <w:r w:rsidR="00E67601" w:rsidRPr="00650EE4">
              <w:rPr>
                <w:rFonts w:ascii="Times New Roman" w:eastAsia="Times New Roman" w:hAnsi="Times New Roman"/>
                <w:b/>
                <w:bCs/>
                <w:color w:val="auto"/>
                <w:sz w:val="20"/>
                <w:szCs w:val="20"/>
                <w:lang w:eastAsia="lt-LT"/>
              </w:rPr>
              <w:t>monė</w:t>
            </w:r>
          </w:p>
        </w:tc>
        <w:tc>
          <w:tcPr>
            <w:tcW w:w="4520"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1876C4AC"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Metai</w:t>
            </w:r>
          </w:p>
        </w:tc>
      </w:tr>
      <w:tr w:rsidR="00E67601" w:rsidRPr="00650EE4" w14:paraId="2B274F5B" w14:textId="77777777" w:rsidTr="00F1143C">
        <w:trPr>
          <w:tblHeader/>
        </w:trPr>
        <w:tc>
          <w:tcPr>
            <w:tcW w:w="1456" w:type="dxa"/>
            <w:vMerge/>
            <w:tcBorders>
              <w:top w:val="single" w:sz="4" w:space="0" w:color="auto"/>
              <w:left w:val="single" w:sz="4" w:space="0" w:color="auto"/>
              <w:bottom w:val="single" w:sz="4" w:space="0" w:color="auto"/>
              <w:right w:val="single" w:sz="4" w:space="0" w:color="auto"/>
            </w:tcBorders>
            <w:vAlign w:val="center"/>
            <w:hideMark/>
          </w:tcPr>
          <w:p w14:paraId="4EF89DD2" w14:textId="77777777" w:rsidR="00E67601" w:rsidRPr="00650EE4" w:rsidRDefault="00E67601" w:rsidP="00E67601">
            <w:pPr>
              <w:spacing w:line="240" w:lineRule="auto"/>
              <w:rPr>
                <w:rFonts w:ascii="Times New Roman" w:eastAsia="Times New Roman" w:hAnsi="Times New Roman"/>
                <w:b/>
                <w:bCs/>
                <w:color w:val="auto"/>
                <w:sz w:val="20"/>
                <w:szCs w:val="20"/>
                <w:lang w:eastAsia="lt-LT"/>
              </w:rPr>
            </w:pPr>
          </w:p>
        </w:tc>
        <w:tc>
          <w:tcPr>
            <w:tcW w:w="4218" w:type="dxa"/>
            <w:vMerge/>
            <w:tcBorders>
              <w:top w:val="single" w:sz="4" w:space="0" w:color="auto"/>
              <w:left w:val="single" w:sz="4" w:space="0" w:color="auto"/>
              <w:bottom w:val="single" w:sz="4" w:space="0" w:color="auto"/>
              <w:right w:val="single" w:sz="4" w:space="0" w:color="auto"/>
            </w:tcBorders>
            <w:vAlign w:val="center"/>
            <w:hideMark/>
          </w:tcPr>
          <w:p w14:paraId="32CB6E63" w14:textId="77777777" w:rsidR="00E67601" w:rsidRPr="00650EE4" w:rsidRDefault="00E67601" w:rsidP="00E67601">
            <w:pPr>
              <w:spacing w:line="240" w:lineRule="auto"/>
              <w:rPr>
                <w:rFonts w:ascii="Times New Roman" w:eastAsia="Times New Roman" w:hAnsi="Times New Roman"/>
                <w:b/>
                <w:bCs/>
                <w:color w:val="auto"/>
                <w:sz w:val="20"/>
                <w:szCs w:val="20"/>
                <w:lang w:eastAsia="lt-LT"/>
              </w:rPr>
            </w:pPr>
          </w:p>
        </w:tc>
        <w:tc>
          <w:tcPr>
            <w:tcW w:w="2259" w:type="dxa"/>
            <w:tcBorders>
              <w:top w:val="nil"/>
              <w:left w:val="nil"/>
              <w:bottom w:val="single" w:sz="4" w:space="0" w:color="auto"/>
              <w:right w:val="single" w:sz="4" w:space="0" w:color="auto"/>
            </w:tcBorders>
            <w:shd w:val="clear" w:color="000000" w:fill="FFFFFF"/>
            <w:vAlign w:val="center"/>
            <w:hideMark/>
          </w:tcPr>
          <w:p w14:paraId="4156916C"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2009</w:t>
            </w:r>
          </w:p>
        </w:tc>
        <w:tc>
          <w:tcPr>
            <w:tcW w:w="2261" w:type="dxa"/>
            <w:tcBorders>
              <w:top w:val="nil"/>
              <w:left w:val="nil"/>
              <w:bottom w:val="single" w:sz="4" w:space="0" w:color="auto"/>
              <w:right w:val="single" w:sz="4" w:space="0" w:color="auto"/>
            </w:tcBorders>
            <w:shd w:val="clear" w:color="000000" w:fill="FFFFFF"/>
            <w:vAlign w:val="center"/>
            <w:hideMark/>
          </w:tcPr>
          <w:p w14:paraId="3115C4B0" w14:textId="77777777" w:rsidR="00E67601" w:rsidRPr="00650EE4" w:rsidRDefault="00E67601" w:rsidP="00E67601">
            <w:pPr>
              <w:spacing w:line="240" w:lineRule="auto"/>
              <w:jc w:val="center"/>
              <w:rPr>
                <w:rFonts w:ascii="Times New Roman" w:eastAsia="Times New Roman" w:hAnsi="Times New Roman"/>
                <w:b/>
                <w:bCs/>
                <w:color w:val="auto"/>
                <w:sz w:val="20"/>
                <w:szCs w:val="20"/>
                <w:lang w:eastAsia="lt-LT"/>
              </w:rPr>
            </w:pPr>
            <w:r w:rsidRPr="00650EE4">
              <w:rPr>
                <w:rFonts w:ascii="Times New Roman" w:eastAsia="Times New Roman" w:hAnsi="Times New Roman"/>
                <w:b/>
                <w:bCs/>
                <w:color w:val="auto"/>
                <w:sz w:val="20"/>
                <w:szCs w:val="20"/>
                <w:lang w:eastAsia="lt-LT"/>
              </w:rPr>
              <w:t>2018</w:t>
            </w:r>
          </w:p>
        </w:tc>
      </w:tr>
      <w:tr w:rsidR="00E67601" w:rsidRPr="00650EE4" w14:paraId="178E9E39"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1C3179"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Miestas</w:t>
            </w:r>
          </w:p>
        </w:tc>
        <w:tc>
          <w:tcPr>
            <w:tcW w:w="4218" w:type="dxa"/>
            <w:tcBorders>
              <w:top w:val="nil"/>
              <w:left w:val="nil"/>
              <w:bottom w:val="single" w:sz="4" w:space="0" w:color="auto"/>
              <w:right w:val="single" w:sz="4" w:space="0" w:color="auto"/>
            </w:tcBorders>
            <w:shd w:val="clear" w:color="000000" w:fill="FFFFFF"/>
            <w:vAlign w:val="center"/>
            <w:hideMark/>
          </w:tcPr>
          <w:p w14:paraId="3AA2B98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0FB3A62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25,1</w:t>
            </w:r>
          </w:p>
        </w:tc>
        <w:tc>
          <w:tcPr>
            <w:tcW w:w="2261" w:type="dxa"/>
            <w:tcBorders>
              <w:top w:val="nil"/>
              <w:left w:val="nil"/>
              <w:bottom w:val="single" w:sz="4" w:space="0" w:color="auto"/>
              <w:right w:val="single" w:sz="4" w:space="0" w:color="auto"/>
            </w:tcBorders>
            <w:shd w:val="clear" w:color="000000" w:fill="FFFFFF"/>
            <w:vAlign w:val="center"/>
            <w:hideMark/>
          </w:tcPr>
          <w:p w14:paraId="79FA6F5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28,9</w:t>
            </w:r>
          </w:p>
        </w:tc>
      </w:tr>
      <w:tr w:rsidR="00E67601" w:rsidRPr="00650EE4" w14:paraId="40BC0DF7"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5558B1F8"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6B058F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765144A8"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12,3</w:t>
            </w:r>
          </w:p>
        </w:tc>
        <w:tc>
          <w:tcPr>
            <w:tcW w:w="2261" w:type="dxa"/>
            <w:tcBorders>
              <w:top w:val="nil"/>
              <w:left w:val="nil"/>
              <w:bottom w:val="single" w:sz="4" w:space="0" w:color="auto"/>
              <w:right w:val="single" w:sz="4" w:space="0" w:color="auto"/>
            </w:tcBorders>
            <w:shd w:val="clear" w:color="000000" w:fill="FFFFFF"/>
            <w:vAlign w:val="center"/>
            <w:hideMark/>
          </w:tcPr>
          <w:p w14:paraId="26C3CDD4"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22,5</w:t>
            </w:r>
          </w:p>
        </w:tc>
      </w:tr>
      <w:tr w:rsidR="00E67601" w:rsidRPr="00650EE4" w14:paraId="6A225F19"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09708F4E"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3E365D42"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46A4701D"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36,3</w:t>
            </w:r>
          </w:p>
        </w:tc>
        <w:tc>
          <w:tcPr>
            <w:tcW w:w="2261" w:type="dxa"/>
            <w:tcBorders>
              <w:top w:val="nil"/>
              <w:left w:val="nil"/>
              <w:bottom w:val="single" w:sz="4" w:space="0" w:color="auto"/>
              <w:right w:val="single" w:sz="4" w:space="0" w:color="auto"/>
            </w:tcBorders>
            <w:shd w:val="clear" w:color="000000" w:fill="FFFFFF"/>
            <w:vAlign w:val="center"/>
            <w:hideMark/>
          </w:tcPr>
          <w:p w14:paraId="2D6DD8C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32,4</w:t>
            </w:r>
          </w:p>
        </w:tc>
      </w:tr>
      <w:tr w:rsidR="00E67601" w:rsidRPr="00650EE4" w14:paraId="74FC1B59"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43A7383E"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01258D86"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18B30FD8"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86,6</w:t>
            </w:r>
          </w:p>
        </w:tc>
        <w:tc>
          <w:tcPr>
            <w:tcW w:w="2261" w:type="dxa"/>
            <w:tcBorders>
              <w:top w:val="nil"/>
              <w:left w:val="nil"/>
              <w:bottom w:val="single" w:sz="4" w:space="0" w:color="auto"/>
              <w:right w:val="single" w:sz="4" w:space="0" w:color="auto"/>
            </w:tcBorders>
            <w:shd w:val="clear" w:color="000000" w:fill="FFFFFF"/>
            <w:vAlign w:val="center"/>
            <w:hideMark/>
          </w:tcPr>
          <w:p w14:paraId="287393DC"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96</w:t>
            </w:r>
          </w:p>
        </w:tc>
      </w:tr>
      <w:tr w:rsidR="00E67601" w:rsidRPr="00650EE4" w14:paraId="3CF248DB"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06B22547"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Kaimas</w:t>
            </w:r>
          </w:p>
        </w:tc>
        <w:tc>
          <w:tcPr>
            <w:tcW w:w="4218" w:type="dxa"/>
            <w:tcBorders>
              <w:top w:val="nil"/>
              <w:left w:val="nil"/>
              <w:bottom w:val="single" w:sz="4" w:space="0" w:color="auto"/>
              <w:right w:val="single" w:sz="4" w:space="0" w:color="auto"/>
            </w:tcBorders>
            <w:shd w:val="clear" w:color="000000" w:fill="FFFFFF"/>
            <w:vAlign w:val="center"/>
            <w:hideMark/>
          </w:tcPr>
          <w:p w14:paraId="7B4CBAEE"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49AC27C2"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36</w:t>
            </w:r>
          </w:p>
        </w:tc>
        <w:tc>
          <w:tcPr>
            <w:tcW w:w="2261" w:type="dxa"/>
            <w:tcBorders>
              <w:top w:val="nil"/>
              <w:left w:val="nil"/>
              <w:bottom w:val="single" w:sz="4" w:space="0" w:color="auto"/>
              <w:right w:val="single" w:sz="4" w:space="0" w:color="auto"/>
            </w:tcBorders>
            <w:shd w:val="clear" w:color="000000" w:fill="FFFFFF"/>
            <w:vAlign w:val="center"/>
            <w:hideMark/>
          </w:tcPr>
          <w:p w14:paraId="6C7E1B82"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44</w:t>
            </w:r>
          </w:p>
        </w:tc>
      </w:tr>
      <w:tr w:rsidR="00E67601" w:rsidRPr="00650EE4" w14:paraId="59F5D68B"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35E1D280"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33554348"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6902DF45"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24,6</w:t>
            </w:r>
          </w:p>
        </w:tc>
        <w:tc>
          <w:tcPr>
            <w:tcW w:w="2261" w:type="dxa"/>
            <w:tcBorders>
              <w:top w:val="nil"/>
              <w:left w:val="nil"/>
              <w:bottom w:val="single" w:sz="4" w:space="0" w:color="auto"/>
              <w:right w:val="single" w:sz="4" w:space="0" w:color="auto"/>
            </w:tcBorders>
            <w:shd w:val="clear" w:color="000000" w:fill="FFFFFF"/>
            <w:vAlign w:val="center"/>
            <w:hideMark/>
          </w:tcPr>
          <w:p w14:paraId="2E3C4A2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31,8</w:t>
            </w:r>
          </w:p>
        </w:tc>
      </w:tr>
      <w:tr w:rsidR="00E67601" w:rsidRPr="00650EE4" w14:paraId="3C7B87DA"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47346F8F"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1A88B5A"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79F6E3B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25,5</w:t>
            </w:r>
          </w:p>
        </w:tc>
        <w:tc>
          <w:tcPr>
            <w:tcW w:w="2261" w:type="dxa"/>
            <w:tcBorders>
              <w:top w:val="nil"/>
              <w:left w:val="nil"/>
              <w:bottom w:val="single" w:sz="4" w:space="0" w:color="auto"/>
              <w:right w:val="single" w:sz="4" w:space="0" w:color="auto"/>
            </w:tcBorders>
            <w:shd w:val="clear" w:color="000000" w:fill="FFFFFF"/>
            <w:vAlign w:val="center"/>
            <w:hideMark/>
          </w:tcPr>
          <w:p w14:paraId="0F8A020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37,2</w:t>
            </w:r>
          </w:p>
        </w:tc>
      </w:tr>
      <w:tr w:rsidR="00E67601" w:rsidRPr="00650EE4" w14:paraId="6F8DE617"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6A178578"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23682D2E"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6E99F65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90,5</w:t>
            </w:r>
          </w:p>
        </w:tc>
        <w:tc>
          <w:tcPr>
            <w:tcW w:w="2261" w:type="dxa"/>
            <w:tcBorders>
              <w:top w:val="nil"/>
              <w:left w:val="nil"/>
              <w:bottom w:val="single" w:sz="4" w:space="0" w:color="auto"/>
              <w:right w:val="single" w:sz="4" w:space="0" w:color="auto"/>
            </w:tcBorders>
            <w:shd w:val="clear" w:color="000000" w:fill="FFFFFF"/>
            <w:vAlign w:val="center"/>
            <w:hideMark/>
          </w:tcPr>
          <w:p w14:paraId="238CE730"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95</w:t>
            </w:r>
          </w:p>
        </w:tc>
      </w:tr>
      <w:tr w:rsidR="00E67601" w:rsidRPr="00650EE4" w14:paraId="4037456D" w14:textId="77777777" w:rsidTr="00F1143C">
        <w:tc>
          <w:tcPr>
            <w:tcW w:w="1456"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C0EF67"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Miestas ir kaimas</w:t>
            </w:r>
          </w:p>
        </w:tc>
        <w:tc>
          <w:tcPr>
            <w:tcW w:w="4218" w:type="dxa"/>
            <w:tcBorders>
              <w:top w:val="nil"/>
              <w:left w:val="nil"/>
              <w:bottom w:val="single" w:sz="4" w:space="0" w:color="auto"/>
              <w:right w:val="single" w:sz="4" w:space="0" w:color="auto"/>
            </w:tcBorders>
            <w:shd w:val="clear" w:color="000000" w:fill="FFFFFF"/>
            <w:vAlign w:val="center"/>
            <w:hideMark/>
          </w:tcPr>
          <w:p w14:paraId="51ACFD63"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Pakeista šildymo sistema ar jos dalis</w:t>
            </w:r>
          </w:p>
        </w:tc>
        <w:tc>
          <w:tcPr>
            <w:tcW w:w="2259" w:type="dxa"/>
            <w:tcBorders>
              <w:top w:val="nil"/>
              <w:left w:val="nil"/>
              <w:bottom w:val="single" w:sz="4" w:space="0" w:color="auto"/>
              <w:right w:val="single" w:sz="4" w:space="0" w:color="auto"/>
            </w:tcBorders>
            <w:shd w:val="clear" w:color="000000" w:fill="FFFFFF"/>
            <w:vAlign w:val="center"/>
            <w:hideMark/>
          </w:tcPr>
          <w:p w14:paraId="748196EE"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28,1</w:t>
            </w:r>
          </w:p>
        </w:tc>
        <w:tc>
          <w:tcPr>
            <w:tcW w:w="2261" w:type="dxa"/>
            <w:tcBorders>
              <w:top w:val="nil"/>
              <w:left w:val="nil"/>
              <w:bottom w:val="single" w:sz="4" w:space="0" w:color="auto"/>
              <w:right w:val="single" w:sz="4" w:space="0" w:color="auto"/>
            </w:tcBorders>
            <w:shd w:val="clear" w:color="000000" w:fill="FFFFFF"/>
            <w:vAlign w:val="center"/>
            <w:hideMark/>
          </w:tcPr>
          <w:p w14:paraId="2A880BBE"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33,8</w:t>
            </w:r>
          </w:p>
        </w:tc>
      </w:tr>
      <w:tr w:rsidR="00E67601" w:rsidRPr="00650EE4" w14:paraId="3F9D67E0"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236F326D"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7BEE528A"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Apšiltintos išorinės namo sienos</w:t>
            </w:r>
          </w:p>
        </w:tc>
        <w:tc>
          <w:tcPr>
            <w:tcW w:w="2259" w:type="dxa"/>
            <w:tcBorders>
              <w:top w:val="nil"/>
              <w:left w:val="nil"/>
              <w:bottom w:val="single" w:sz="4" w:space="0" w:color="auto"/>
              <w:right w:val="single" w:sz="4" w:space="0" w:color="auto"/>
            </w:tcBorders>
            <w:shd w:val="clear" w:color="000000" w:fill="FFFFFF"/>
            <w:vAlign w:val="center"/>
            <w:hideMark/>
          </w:tcPr>
          <w:p w14:paraId="00E17B43"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15,7</w:t>
            </w:r>
          </w:p>
        </w:tc>
        <w:tc>
          <w:tcPr>
            <w:tcW w:w="2261" w:type="dxa"/>
            <w:tcBorders>
              <w:top w:val="nil"/>
              <w:left w:val="nil"/>
              <w:bottom w:val="single" w:sz="4" w:space="0" w:color="auto"/>
              <w:right w:val="single" w:sz="4" w:space="0" w:color="auto"/>
            </w:tcBorders>
            <w:shd w:val="clear" w:color="000000" w:fill="FFFFFF"/>
            <w:vAlign w:val="center"/>
            <w:hideMark/>
          </w:tcPr>
          <w:p w14:paraId="65426805"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25,5</w:t>
            </w:r>
          </w:p>
        </w:tc>
      </w:tr>
      <w:tr w:rsidR="00E67601" w:rsidRPr="00650EE4" w14:paraId="4D3F263A"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14A6DC70"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606362EB"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Renovuotas ir (ar) apšiltintas stogas</w:t>
            </w:r>
          </w:p>
        </w:tc>
        <w:tc>
          <w:tcPr>
            <w:tcW w:w="2259" w:type="dxa"/>
            <w:tcBorders>
              <w:top w:val="nil"/>
              <w:left w:val="nil"/>
              <w:bottom w:val="single" w:sz="4" w:space="0" w:color="auto"/>
              <w:right w:val="single" w:sz="4" w:space="0" w:color="auto"/>
            </w:tcBorders>
            <w:shd w:val="clear" w:color="000000" w:fill="FFFFFF"/>
            <w:vAlign w:val="center"/>
            <w:hideMark/>
          </w:tcPr>
          <w:p w14:paraId="5FD6ADFB"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33,3</w:t>
            </w:r>
          </w:p>
        </w:tc>
        <w:tc>
          <w:tcPr>
            <w:tcW w:w="2261" w:type="dxa"/>
            <w:tcBorders>
              <w:top w:val="nil"/>
              <w:left w:val="nil"/>
              <w:bottom w:val="single" w:sz="4" w:space="0" w:color="auto"/>
              <w:right w:val="single" w:sz="4" w:space="0" w:color="auto"/>
            </w:tcBorders>
            <w:shd w:val="clear" w:color="000000" w:fill="FFFFFF"/>
            <w:vAlign w:val="center"/>
            <w:hideMark/>
          </w:tcPr>
          <w:p w14:paraId="49DD6381"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33,9</w:t>
            </w:r>
          </w:p>
        </w:tc>
      </w:tr>
      <w:tr w:rsidR="00E67601" w:rsidRPr="00650EE4" w14:paraId="0FA5E0FE" w14:textId="77777777" w:rsidTr="00F1143C">
        <w:tc>
          <w:tcPr>
            <w:tcW w:w="1456" w:type="dxa"/>
            <w:vMerge/>
            <w:tcBorders>
              <w:top w:val="nil"/>
              <w:left w:val="single" w:sz="4" w:space="0" w:color="auto"/>
              <w:bottom w:val="single" w:sz="4" w:space="0" w:color="auto"/>
              <w:right w:val="single" w:sz="4" w:space="0" w:color="auto"/>
            </w:tcBorders>
            <w:vAlign w:val="center"/>
            <w:hideMark/>
          </w:tcPr>
          <w:p w14:paraId="0AAA5B29" w14:textId="77777777" w:rsidR="00E67601" w:rsidRPr="00650EE4" w:rsidRDefault="00E67601" w:rsidP="00E67601">
            <w:pPr>
              <w:spacing w:line="240" w:lineRule="auto"/>
              <w:rPr>
                <w:rFonts w:ascii="Times New Roman" w:eastAsia="Times New Roman" w:hAnsi="Times New Roman"/>
                <w:color w:val="auto"/>
                <w:sz w:val="20"/>
                <w:szCs w:val="20"/>
                <w:lang w:eastAsia="lt-LT"/>
              </w:rPr>
            </w:pPr>
          </w:p>
        </w:tc>
        <w:tc>
          <w:tcPr>
            <w:tcW w:w="4218" w:type="dxa"/>
            <w:tcBorders>
              <w:top w:val="nil"/>
              <w:left w:val="nil"/>
              <w:bottom w:val="single" w:sz="4" w:space="0" w:color="auto"/>
              <w:right w:val="single" w:sz="4" w:space="0" w:color="auto"/>
            </w:tcBorders>
            <w:shd w:val="clear" w:color="000000" w:fill="FFFFFF"/>
            <w:vAlign w:val="center"/>
            <w:hideMark/>
          </w:tcPr>
          <w:p w14:paraId="4477F070" w14:textId="77777777" w:rsidR="00E67601" w:rsidRPr="00650EE4" w:rsidRDefault="00E67601" w:rsidP="00E67601">
            <w:pPr>
              <w:spacing w:line="240" w:lineRule="auto"/>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Pakeisti langai</w:t>
            </w:r>
          </w:p>
        </w:tc>
        <w:tc>
          <w:tcPr>
            <w:tcW w:w="2259" w:type="dxa"/>
            <w:tcBorders>
              <w:top w:val="nil"/>
              <w:left w:val="nil"/>
              <w:bottom w:val="single" w:sz="4" w:space="0" w:color="auto"/>
              <w:right w:val="single" w:sz="4" w:space="0" w:color="auto"/>
            </w:tcBorders>
            <w:shd w:val="clear" w:color="000000" w:fill="FFFFFF"/>
            <w:vAlign w:val="center"/>
            <w:hideMark/>
          </w:tcPr>
          <w:p w14:paraId="484FC989"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87,7</w:t>
            </w:r>
          </w:p>
        </w:tc>
        <w:tc>
          <w:tcPr>
            <w:tcW w:w="2261" w:type="dxa"/>
            <w:tcBorders>
              <w:top w:val="nil"/>
              <w:left w:val="nil"/>
              <w:bottom w:val="single" w:sz="4" w:space="0" w:color="auto"/>
              <w:right w:val="single" w:sz="4" w:space="0" w:color="auto"/>
            </w:tcBorders>
            <w:shd w:val="clear" w:color="000000" w:fill="FFFFFF"/>
            <w:vAlign w:val="center"/>
            <w:hideMark/>
          </w:tcPr>
          <w:p w14:paraId="37F3663C" w14:textId="77777777" w:rsidR="00E67601" w:rsidRPr="00650EE4" w:rsidRDefault="00E67601" w:rsidP="00E67601">
            <w:pPr>
              <w:spacing w:line="240" w:lineRule="auto"/>
              <w:jc w:val="right"/>
              <w:rPr>
                <w:rFonts w:ascii="Times New Roman" w:eastAsia="Times New Roman" w:hAnsi="Times New Roman"/>
                <w:color w:val="auto"/>
                <w:sz w:val="20"/>
                <w:szCs w:val="20"/>
                <w:lang w:eastAsia="lt-LT"/>
              </w:rPr>
            </w:pPr>
            <w:r w:rsidRPr="00650EE4">
              <w:rPr>
                <w:rFonts w:ascii="Times New Roman" w:eastAsia="Times New Roman" w:hAnsi="Times New Roman"/>
                <w:color w:val="auto"/>
                <w:sz w:val="20"/>
                <w:szCs w:val="20"/>
                <w:lang w:eastAsia="lt-LT"/>
              </w:rPr>
              <w:t>95,7</w:t>
            </w:r>
          </w:p>
        </w:tc>
      </w:tr>
    </w:tbl>
    <w:p w14:paraId="3F243149" w14:textId="1856705C" w:rsidR="00E52D6B" w:rsidRPr="00650EE4" w:rsidRDefault="00E52D6B" w:rsidP="00E52D6B">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047E72" w:rsidRPr="00650EE4">
        <w:rPr>
          <w:rFonts w:ascii="Times New Roman" w:eastAsia="Times New Roman" w:hAnsi="Times New Roman"/>
          <w:i/>
          <w:color w:val="000000" w:themeColor="text1"/>
          <w:sz w:val="20"/>
          <w:szCs w:val="20"/>
        </w:rPr>
        <w:t>Statistikos departamentas</w:t>
      </w:r>
    </w:p>
    <w:p w14:paraId="078D971E" w14:textId="77777777" w:rsidR="00C47366" w:rsidRPr="00650EE4" w:rsidRDefault="00C47366" w:rsidP="00BF1AC5">
      <w:pPr>
        <w:jc w:val="both"/>
        <w:rPr>
          <w:rFonts w:ascii="Times New Roman" w:hAnsi="Times New Roman"/>
          <w:sz w:val="24"/>
          <w:szCs w:val="24"/>
        </w:rPr>
      </w:pPr>
    </w:p>
    <w:p w14:paraId="75DEB489" w14:textId="77777777" w:rsidR="00E52D6B" w:rsidRPr="00650EE4" w:rsidRDefault="00E52D6B" w:rsidP="00E52D6B">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7BC0E620" w14:textId="68909F7D" w:rsidR="00E52D6B" w:rsidRPr="00650EE4" w:rsidRDefault="00050ED5" w:rsidP="00E52D6B">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r</w:t>
      </w:r>
      <w:r w:rsidR="00E52D6B" w:rsidRPr="00650EE4">
        <w:rPr>
          <w:rFonts w:ascii="Times New Roman" w:hAnsi="Times New Roman"/>
          <w:color w:val="000000" w:themeColor="text1"/>
          <w:szCs w:val="22"/>
        </w:rPr>
        <w:t xml:space="preserve">eikšminga dalis individualių ūkių yra renovavęsi </w:t>
      </w:r>
      <w:r w:rsidR="009955F1" w:rsidRPr="00650EE4">
        <w:rPr>
          <w:rFonts w:ascii="Times New Roman" w:hAnsi="Times New Roman"/>
          <w:color w:val="000000" w:themeColor="text1"/>
          <w:szCs w:val="22"/>
        </w:rPr>
        <w:t xml:space="preserve">ūkio būdu </w:t>
      </w:r>
      <w:r w:rsidR="00E52D6B" w:rsidRPr="00650EE4">
        <w:rPr>
          <w:rFonts w:ascii="Times New Roman" w:hAnsi="Times New Roman"/>
          <w:color w:val="000000" w:themeColor="text1"/>
          <w:szCs w:val="22"/>
        </w:rPr>
        <w:t>(dė</w:t>
      </w:r>
      <w:r w:rsidR="009955F1" w:rsidRPr="00650EE4">
        <w:rPr>
          <w:rFonts w:ascii="Times New Roman" w:hAnsi="Times New Roman"/>
          <w:color w:val="000000" w:themeColor="text1"/>
          <w:szCs w:val="22"/>
        </w:rPr>
        <w:t xml:space="preserve">l to </w:t>
      </w:r>
      <w:r w:rsidR="00CE6CC6" w:rsidRPr="00650EE4">
        <w:rPr>
          <w:rFonts w:ascii="Times New Roman" w:hAnsi="Times New Roman"/>
          <w:color w:val="000000" w:themeColor="text1"/>
          <w:szCs w:val="22"/>
        </w:rPr>
        <w:t xml:space="preserve">patikslinta energinio naudingumo klasė/ sumažintas </w:t>
      </w:r>
      <w:r w:rsidR="009955F1" w:rsidRPr="00650EE4">
        <w:rPr>
          <w:rFonts w:ascii="Times New Roman" w:hAnsi="Times New Roman"/>
          <w:color w:val="000000" w:themeColor="text1"/>
          <w:szCs w:val="22"/>
        </w:rPr>
        <w:t xml:space="preserve">skaičiuotinas </w:t>
      </w:r>
      <w:r w:rsidR="00CE6CC6" w:rsidRPr="00650EE4">
        <w:rPr>
          <w:rFonts w:ascii="Times New Roman" w:hAnsi="Times New Roman"/>
          <w:color w:val="000000" w:themeColor="text1"/>
          <w:szCs w:val="22"/>
        </w:rPr>
        <w:t xml:space="preserve">energijos </w:t>
      </w:r>
      <w:r w:rsidR="009955F1" w:rsidRPr="00650EE4">
        <w:rPr>
          <w:rFonts w:ascii="Times New Roman" w:hAnsi="Times New Roman"/>
          <w:color w:val="000000" w:themeColor="text1"/>
          <w:szCs w:val="22"/>
        </w:rPr>
        <w:t>vartojimas</w:t>
      </w:r>
      <w:r w:rsidR="00E52D6B" w:rsidRPr="00650EE4">
        <w:rPr>
          <w:rFonts w:ascii="Times New Roman" w:hAnsi="Times New Roman"/>
          <w:color w:val="000000" w:themeColor="text1"/>
          <w:szCs w:val="22"/>
        </w:rPr>
        <w:t>).</w:t>
      </w:r>
    </w:p>
    <w:p w14:paraId="32494B4B" w14:textId="27E206CD" w:rsidR="00E52D6B" w:rsidRPr="00650EE4" w:rsidRDefault="00050ED5" w:rsidP="00034697">
      <w:pPr>
        <w:pStyle w:val="Pagrindinispaprastastekstas"/>
        <w:numPr>
          <w:ilvl w:val="0"/>
          <w:numId w:val="10"/>
        </w:numPr>
        <w:ind w:left="714" w:hanging="357"/>
        <w:rPr>
          <w:rFonts w:ascii="Times New Roman" w:hAnsi="Times New Roman"/>
          <w:color w:val="000000" w:themeColor="text1"/>
          <w:szCs w:val="22"/>
        </w:rPr>
      </w:pPr>
      <w:r>
        <w:rPr>
          <w:rFonts w:ascii="Times New Roman" w:hAnsi="Times New Roman"/>
          <w:color w:val="000000" w:themeColor="text1"/>
          <w:szCs w:val="22"/>
        </w:rPr>
        <w:t>d</w:t>
      </w:r>
      <w:r w:rsidR="009955F1" w:rsidRPr="00650EE4">
        <w:rPr>
          <w:rFonts w:ascii="Times New Roman" w:hAnsi="Times New Roman"/>
          <w:color w:val="000000" w:themeColor="text1"/>
          <w:szCs w:val="22"/>
        </w:rPr>
        <w:t xml:space="preserve">augiabučių renovacija įgauna pagreitį, bet šiuo metu vis dar atsilieka nuo siektinų apimčių </w:t>
      </w:r>
      <w:r w:rsidR="00E0431D" w:rsidRPr="00650EE4">
        <w:rPr>
          <w:rFonts w:ascii="Times New Roman" w:hAnsi="Times New Roman"/>
          <w:color w:val="000000" w:themeColor="text1"/>
          <w:szCs w:val="22"/>
        </w:rPr>
        <w:t xml:space="preserve">(detalesnė </w:t>
      </w:r>
      <w:r w:rsidR="00E0431D" w:rsidRPr="00650EE4">
        <w:rPr>
          <w:rFonts w:ascii="Times New Roman" w:hAnsi="Times New Roman"/>
          <w:szCs w:val="22"/>
        </w:rPr>
        <w:t xml:space="preserve">trikdžių ir barjerų apžvalga pateikiama </w:t>
      </w:r>
      <w:r w:rsidR="005567C4">
        <w:rPr>
          <w:rFonts w:ascii="Times New Roman" w:hAnsi="Times New Roman"/>
          <w:szCs w:val="22"/>
          <w:lang w:val="en-GB"/>
        </w:rPr>
        <w:t>4</w:t>
      </w:r>
      <w:r w:rsidR="00E0431D" w:rsidRPr="00650EE4">
        <w:rPr>
          <w:rFonts w:ascii="Times New Roman" w:hAnsi="Times New Roman"/>
          <w:szCs w:val="22"/>
        </w:rPr>
        <w:t xml:space="preserve"> skyriuje). </w:t>
      </w:r>
    </w:p>
    <w:p w14:paraId="170A0140" w14:textId="4FE5678E" w:rsidR="00E52D6B" w:rsidRPr="00650EE4" w:rsidRDefault="00E52D6B" w:rsidP="00BF1AC5">
      <w:pPr>
        <w:jc w:val="both"/>
        <w:rPr>
          <w:rFonts w:ascii="Times New Roman" w:hAnsi="Times New Roman"/>
          <w:szCs w:val="22"/>
        </w:rPr>
      </w:pPr>
    </w:p>
    <w:p w14:paraId="77D16BEE" w14:textId="58ABA260" w:rsidR="000166C9" w:rsidRPr="00650EE4" w:rsidRDefault="000166C9" w:rsidP="000166C9">
      <w:pPr>
        <w:pStyle w:val="Antrastes31"/>
        <w:numPr>
          <w:ilvl w:val="2"/>
          <w:numId w:val="4"/>
        </w:numPr>
        <w:spacing w:before="120"/>
        <w:ind w:left="720" w:hanging="720"/>
        <w:rPr>
          <w:rFonts w:ascii="Times New Roman" w:hAnsi="Times New Roman"/>
          <w:color w:val="000000" w:themeColor="text1"/>
          <w:sz w:val="24"/>
          <w:szCs w:val="24"/>
          <w:lang w:val="lt-LT"/>
        </w:rPr>
      </w:pPr>
      <w:bookmarkStart w:id="82" w:name="_Toc59107520"/>
      <w:r w:rsidRPr="00650EE4">
        <w:rPr>
          <w:rFonts w:ascii="Times New Roman" w:hAnsi="Times New Roman"/>
          <w:color w:val="000000" w:themeColor="text1"/>
          <w:sz w:val="24"/>
          <w:szCs w:val="24"/>
          <w:lang w:val="lt-LT"/>
        </w:rPr>
        <w:t>Viešieji pastatai</w:t>
      </w:r>
      <w:bookmarkEnd w:id="82"/>
    </w:p>
    <w:p w14:paraId="53AEA25F" w14:textId="35A60925" w:rsidR="00976B8D" w:rsidRPr="00650EE4" w:rsidRDefault="00976B8D" w:rsidP="00976B8D">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Lentelėse žemiau pateikiama Viešiesiems subjektams</w:t>
      </w:r>
      <w:r w:rsidR="00CB1449" w:rsidRPr="00650EE4">
        <w:rPr>
          <w:rFonts w:ascii="Times New Roman" w:hAnsi="Times New Roman"/>
          <w:color w:val="000000" w:themeColor="text1"/>
          <w:szCs w:val="22"/>
        </w:rPr>
        <w:t xml:space="preserve"> (valstybei ir savivaldybėms)</w:t>
      </w:r>
      <w:r w:rsidRPr="00650EE4">
        <w:rPr>
          <w:rFonts w:ascii="Times New Roman" w:hAnsi="Times New Roman"/>
          <w:color w:val="000000" w:themeColor="text1"/>
          <w:szCs w:val="22"/>
        </w:rPr>
        <w:t xml:space="preserve"> priklausančių pastatų apžvalga.</w:t>
      </w:r>
    </w:p>
    <w:p w14:paraId="6D97EABB" w14:textId="77777777" w:rsidR="00976B8D" w:rsidRPr="00650EE4" w:rsidRDefault="00976B8D" w:rsidP="00976B8D">
      <w:pPr>
        <w:pStyle w:val="Pagrindinispaprastastekstas"/>
        <w:rPr>
          <w:rFonts w:ascii="Times New Roman" w:hAnsi="Times New Roman"/>
          <w:sz w:val="20"/>
          <w:szCs w:val="22"/>
        </w:rPr>
      </w:pPr>
    </w:p>
    <w:p w14:paraId="7814E810" w14:textId="2FDBA2BD" w:rsidR="00976B8D" w:rsidRPr="00650EE4" w:rsidRDefault="00976B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3" w:name="_Toc59094213"/>
      <w:r w:rsidR="00F25C65">
        <w:t>30</w:t>
      </w:r>
      <w:r w:rsidRPr="00650EE4">
        <w:rPr>
          <w:noProof w:val="0"/>
        </w:rPr>
        <w:fldChar w:fldCharType="end"/>
      </w:r>
      <w:r w:rsidRPr="00650EE4">
        <w:rPr>
          <w:noProof w:val="0"/>
        </w:rPr>
        <w:t xml:space="preserve"> lentelė. Viešųjų pastatų skaičius pagal grupes ir energinio naudingumo klasę</w:t>
      </w:r>
      <w:r w:rsidR="007350CE" w:rsidRPr="00650EE4">
        <w:rPr>
          <w:noProof w:val="0"/>
        </w:rPr>
        <w:t xml:space="preserve"> (vnt.)</w:t>
      </w:r>
      <w:bookmarkEnd w:id="83"/>
    </w:p>
    <w:tbl>
      <w:tblPr>
        <w:tblW w:w="10099" w:type="dxa"/>
        <w:tblLook w:val="04A0" w:firstRow="1" w:lastRow="0" w:firstColumn="1" w:lastColumn="0" w:noHBand="0" w:noVBand="1"/>
      </w:tblPr>
      <w:tblGrid>
        <w:gridCol w:w="2972"/>
        <w:gridCol w:w="960"/>
        <w:gridCol w:w="960"/>
        <w:gridCol w:w="960"/>
        <w:gridCol w:w="960"/>
        <w:gridCol w:w="960"/>
        <w:gridCol w:w="960"/>
        <w:gridCol w:w="1367"/>
      </w:tblGrid>
      <w:tr w:rsidR="00976B8D" w:rsidRPr="00650EE4" w14:paraId="23021BD5" w14:textId="77777777" w:rsidTr="00115A00">
        <w:tc>
          <w:tcPr>
            <w:tcW w:w="2972" w:type="dxa"/>
            <w:vMerge w:val="restart"/>
            <w:tcBorders>
              <w:top w:val="single" w:sz="4" w:space="0" w:color="auto"/>
              <w:left w:val="single" w:sz="4" w:space="0" w:color="auto"/>
              <w:bottom w:val="nil"/>
              <w:right w:val="nil"/>
            </w:tcBorders>
            <w:shd w:val="clear" w:color="000000" w:fill="FFFFFF"/>
            <w:vAlign w:val="center"/>
            <w:hideMark/>
          </w:tcPr>
          <w:p w14:paraId="5517AFD0"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840"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8C09E1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607DEF42"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A50B06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648D7D05"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120297D1" w14:textId="77777777" w:rsidTr="00115A00">
        <w:tc>
          <w:tcPr>
            <w:tcW w:w="2972" w:type="dxa"/>
            <w:vMerge/>
            <w:tcBorders>
              <w:top w:val="single" w:sz="4" w:space="0" w:color="auto"/>
              <w:left w:val="single" w:sz="4" w:space="0" w:color="auto"/>
              <w:bottom w:val="nil"/>
              <w:right w:val="nil"/>
            </w:tcBorders>
            <w:vAlign w:val="center"/>
            <w:hideMark/>
          </w:tcPr>
          <w:p w14:paraId="22F28D40"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tcBorders>
              <w:top w:val="nil"/>
              <w:left w:val="single" w:sz="4" w:space="0" w:color="auto"/>
              <w:bottom w:val="nil"/>
              <w:right w:val="nil"/>
            </w:tcBorders>
            <w:shd w:val="clear" w:color="000000" w:fill="FFFFFF"/>
            <w:vAlign w:val="center"/>
            <w:hideMark/>
          </w:tcPr>
          <w:p w14:paraId="4E21A60B"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7BEBCD02"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2024BDD7"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3C939B2D"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05B4DE6D"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6C59D3F"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662E1C5A"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42534EF4" w14:textId="77777777" w:rsidTr="00115A00">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0886EEB7" w14:textId="23C40F99"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960" w:type="dxa"/>
            <w:tcBorders>
              <w:top w:val="single" w:sz="4" w:space="0" w:color="auto"/>
              <w:left w:val="nil"/>
              <w:bottom w:val="nil"/>
              <w:right w:val="nil"/>
            </w:tcBorders>
            <w:shd w:val="clear" w:color="000000" w:fill="FFFFFF"/>
            <w:noWrap/>
            <w:vAlign w:val="center"/>
            <w:hideMark/>
          </w:tcPr>
          <w:p w14:paraId="3B80A864"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1.487</w:t>
            </w:r>
          </w:p>
        </w:tc>
        <w:tc>
          <w:tcPr>
            <w:tcW w:w="960" w:type="dxa"/>
            <w:tcBorders>
              <w:top w:val="single" w:sz="4" w:space="0" w:color="auto"/>
              <w:left w:val="nil"/>
              <w:bottom w:val="nil"/>
              <w:right w:val="nil"/>
            </w:tcBorders>
            <w:shd w:val="clear" w:color="000000" w:fill="FFFFFF"/>
            <w:noWrap/>
            <w:vAlign w:val="center"/>
            <w:hideMark/>
          </w:tcPr>
          <w:p w14:paraId="51C8C9DC"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611</w:t>
            </w:r>
          </w:p>
        </w:tc>
        <w:tc>
          <w:tcPr>
            <w:tcW w:w="960" w:type="dxa"/>
            <w:tcBorders>
              <w:top w:val="single" w:sz="4" w:space="0" w:color="auto"/>
              <w:left w:val="nil"/>
              <w:bottom w:val="nil"/>
              <w:right w:val="nil"/>
            </w:tcBorders>
            <w:shd w:val="clear" w:color="000000" w:fill="FFFFFF"/>
            <w:noWrap/>
            <w:vAlign w:val="center"/>
            <w:hideMark/>
          </w:tcPr>
          <w:p w14:paraId="1EF4EC5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16</w:t>
            </w:r>
          </w:p>
        </w:tc>
        <w:tc>
          <w:tcPr>
            <w:tcW w:w="960" w:type="dxa"/>
            <w:tcBorders>
              <w:top w:val="single" w:sz="4" w:space="0" w:color="auto"/>
              <w:left w:val="nil"/>
              <w:bottom w:val="nil"/>
              <w:right w:val="nil"/>
            </w:tcBorders>
            <w:shd w:val="clear" w:color="000000" w:fill="FFFFFF"/>
            <w:noWrap/>
            <w:vAlign w:val="center"/>
            <w:hideMark/>
          </w:tcPr>
          <w:p w14:paraId="351BA344"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0053437F"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2.115</w:t>
            </w:r>
          </w:p>
        </w:tc>
        <w:tc>
          <w:tcPr>
            <w:tcW w:w="960" w:type="dxa"/>
            <w:tcBorders>
              <w:top w:val="single" w:sz="4" w:space="0" w:color="auto"/>
              <w:left w:val="nil"/>
              <w:bottom w:val="nil"/>
              <w:right w:val="single" w:sz="4" w:space="0" w:color="auto"/>
            </w:tcBorders>
            <w:shd w:val="clear" w:color="000000" w:fill="FFFFFF"/>
            <w:noWrap/>
            <w:vAlign w:val="center"/>
            <w:hideMark/>
          </w:tcPr>
          <w:p w14:paraId="1550FFC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13%</w:t>
            </w:r>
          </w:p>
        </w:tc>
        <w:tc>
          <w:tcPr>
            <w:tcW w:w="1367" w:type="dxa"/>
            <w:tcBorders>
              <w:top w:val="single" w:sz="4" w:space="0" w:color="auto"/>
              <w:left w:val="nil"/>
              <w:bottom w:val="nil"/>
              <w:right w:val="single" w:sz="4" w:space="0" w:color="auto"/>
            </w:tcBorders>
            <w:shd w:val="clear" w:color="000000" w:fill="FFFFFF"/>
          </w:tcPr>
          <w:p w14:paraId="5F72632B" w14:textId="4BEF2553" w:rsidR="00976B8D" w:rsidRPr="00650EE4" w:rsidRDefault="00F84B1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3B508205"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1108CCFF"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960" w:type="dxa"/>
            <w:tcBorders>
              <w:top w:val="nil"/>
              <w:left w:val="nil"/>
              <w:bottom w:val="nil"/>
              <w:right w:val="nil"/>
            </w:tcBorders>
            <w:shd w:val="clear" w:color="000000" w:fill="FFFFFF"/>
            <w:noWrap/>
            <w:vAlign w:val="center"/>
            <w:hideMark/>
          </w:tcPr>
          <w:p w14:paraId="19AD0AC3"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566</w:t>
            </w:r>
          </w:p>
        </w:tc>
        <w:tc>
          <w:tcPr>
            <w:tcW w:w="960" w:type="dxa"/>
            <w:tcBorders>
              <w:top w:val="nil"/>
              <w:left w:val="nil"/>
              <w:bottom w:val="nil"/>
              <w:right w:val="nil"/>
            </w:tcBorders>
            <w:shd w:val="clear" w:color="000000" w:fill="FFFFFF"/>
            <w:noWrap/>
            <w:vAlign w:val="center"/>
            <w:hideMark/>
          </w:tcPr>
          <w:p w14:paraId="1E82903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147</w:t>
            </w:r>
          </w:p>
        </w:tc>
        <w:tc>
          <w:tcPr>
            <w:tcW w:w="960" w:type="dxa"/>
            <w:tcBorders>
              <w:top w:val="nil"/>
              <w:left w:val="nil"/>
              <w:bottom w:val="nil"/>
              <w:right w:val="nil"/>
            </w:tcBorders>
            <w:shd w:val="clear" w:color="000000" w:fill="FFFFFF"/>
            <w:noWrap/>
            <w:vAlign w:val="center"/>
            <w:hideMark/>
          </w:tcPr>
          <w:p w14:paraId="11E267DE"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90</w:t>
            </w:r>
          </w:p>
        </w:tc>
        <w:tc>
          <w:tcPr>
            <w:tcW w:w="960" w:type="dxa"/>
            <w:tcBorders>
              <w:top w:val="nil"/>
              <w:left w:val="nil"/>
              <w:bottom w:val="nil"/>
              <w:right w:val="nil"/>
            </w:tcBorders>
            <w:shd w:val="clear" w:color="000000" w:fill="FFFFFF"/>
            <w:noWrap/>
            <w:vAlign w:val="center"/>
            <w:hideMark/>
          </w:tcPr>
          <w:p w14:paraId="35B76EB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11</w:t>
            </w:r>
          </w:p>
        </w:tc>
        <w:tc>
          <w:tcPr>
            <w:tcW w:w="960" w:type="dxa"/>
            <w:tcBorders>
              <w:top w:val="nil"/>
              <w:left w:val="single" w:sz="4" w:space="0" w:color="auto"/>
              <w:bottom w:val="nil"/>
              <w:right w:val="single" w:sz="4" w:space="0" w:color="auto"/>
            </w:tcBorders>
            <w:shd w:val="clear" w:color="000000" w:fill="FFFFFF"/>
            <w:noWrap/>
            <w:vAlign w:val="center"/>
            <w:hideMark/>
          </w:tcPr>
          <w:p w14:paraId="59202040"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814</w:t>
            </w:r>
          </w:p>
        </w:tc>
        <w:tc>
          <w:tcPr>
            <w:tcW w:w="960" w:type="dxa"/>
            <w:tcBorders>
              <w:top w:val="nil"/>
              <w:left w:val="nil"/>
              <w:bottom w:val="nil"/>
              <w:right w:val="single" w:sz="4" w:space="0" w:color="auto"/>
            </w:tcBorders>
            <w:shd w:val="clear" w:color="000000" w:fill="FFFFFF"/>
            <w:noWrap/>
            <w:vAlign w:val="center"/>
            <w:hideMark/>
          </w:tcPr>
          <w:p w14:paraId="40821E0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w:t>
            </w:r>
          </w:p>
        </w:tc>
        <w:tc>
          <w:tcPr>
            <w:tcW w:w="1367" w:type="dxa"/>
            <w:tcBorders>
              <w:top w:val="nil"/>
              <w:left w:val="nil"/>
              <w:bottom w:val="nil"/>
              <w:right w:val="single" w:sz="4" w:space="0" w:color="auto"/>
            </w:tcBorders>
            <w:shd w:val="clear" w:color="000000" w:fill="FFFFFF"/>
          </w:tcPr>
          <w:p w14:paraId="5AC7BAA7" w14:textId="7A760927" w:rsidR="00976B8D" w:rsidRPr="00650EE4" w:rsidRDefault="00F84B1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753ADED6"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1A98BC21"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960" w:type="dxa"/>
            <w:tcBorders>
              <w:top w:val="nil"/>
              <w:left w:val="nil"/>
              <w:bottom w:val="nil"/>
              <w:right w:val="nil"/>
            </w:tcBorders>
            <w:shd w:val="clear" w:color="000000" w:fill="FFFFFF"/>
            <w:noWrap/>
            <w:vAlign w:val="center"/>
            <w:hideMark/>
          </w:tcPr>
          <w:p w14:paraId="70760E4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3.073</w:t>
            </w:r>
          </w:p>
        </w:tc>
        <w:tc>
          <w:tcPr>
            <w:tcW w:w="960" w:type="dxa"/>
            <w:tcBorders>
              <w:top w:val="nil"/>
              <w:left w:val="nil"/>
              <w:bottom w:val="nil"/>
              <w:right w:val="nil"/>
            </w:tcBorders>
            <w:shd w:val="clear" w:color="000000" w:fill="FFFFFF"/>
            <w:noWrap/>
            <w:vAlign w:val="center"/>
            <w:hideMark/>
          </w:tcPr>
          <w:p w14:paraId="7C0FE21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119</w:t>
            </w:r>
          </w:p>
        </w:tc>
        <w:tc>
          <w:tcPr>
            <w:tcW w:w="960" w:type="dxa"/>
            <w:tcBorders>
              <w:top w:val="nil"/>
              <w:left w:val="nil"/>
              <w:bottom w:val="nil"/>
              <w:right w:val="nil"/>
            </w:tcBorders>
            <w:shd w:val="clear" w:color="000000" w:fill="FFFFFF"/>
            <w:noWrap/>
            <w:vAlign w:val="center"/>
            <w:hideMark/>
          </w:tcPr>
          <w:p w14:paraId="08623E4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960" w:type="dxa"/>
            <w:tcBorders>
              <w:top w:val="nil"/>
              <w:left w:val="nil"/>
              <w:bottom w:val="nil"/>
              <w:right w:val="nil"/>
            </w:tcBorders>
            <w:shd w:val="clear" w:color="000000" w:fill="FFFFFF"/>
            <w:noWrap/>
            <w:vAlign w:val="center"/>
            <w:hideMark/>
          </w:tcPr>
          <w:p w14:paraId="3BFC68F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960" w:type="dxa"/>
            <w:tcBorders>
              <w:top w:val="nil"/>
              <w:left w:val="single" w:sz="4" w:space="0" w:color="auto"/>
              <w:bottom w:val="nil"/>
              <w:right w:val="single" w:sz="4" w:space="0" w:color="auto"/>
            </w:tcBorders>
            <w:shd w:val="clear" w:color="000000" w:fill="FFFFFF"/>
            <w:noWrap/>
            <w:vAlign w:val="center"/>
            <w:hideMark/>
          </w:tcPr>
          <w:p w14:paraId="5D5280AC"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3.270</w:t>
            </w:r>
          </w:p>
        </w:tc>
        <w:tc>
          <w:tcPr>
            <w:tcW w:w="960" w:type="dxa"/>
            <w:tcBorders>
              <w:top w:val="nil"/>
              <w:left w:val="nil"/>
              <w:bottom w:val="nil"/>
              <w:right w:val="single" w:sz="4" w:space="0" w:color="auto"/>
            </w:tcBorders>
            <w:shd w:val="clear" w:color="000000" w:fill="FFFFFF"/>
            <w:noWrap/>
            <w:vAlign w:val="center"/>
            <w:hideMark/>
          </w:tcPr>
          <w:p w14:paraId="411F3D3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1367" w:type="dxa"/>
            <w:tcBorders>
              <w:top w:val="nil"/>
              <w:left w:val="nil"/>
              <w:bottom w:val="nil"/>
              <w:right w:val="single" w:sz="4" w:space="0" w:color="auto"/>
            </w:tcBorders>
            <w:shd w:val="clear" w:color="000000" w:fill="FFFFFF"/>
          </w:tcPr>
          <w:p w14:paraId="667D6FE7" w14:textId="3D10F162" w:rsidR="00976B8D" w:rsidRPr="00650EE4" w:rsidRDefault="00F84B1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r>
      <w:tr w:rsidR="00976B8D" w:rsidRPr="00650EE4" w14:paraId="695AAED0"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E83A37D"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60" w:type="dxa"/>
            <w:tcBorders>
              <w:top w:val="nil"/>
              <w:left w:val="nil"/>
              <w:bottom w:val="single" w:sz="4" w:space="0" w:color="auto"/>
              <w:right w:val="nil"/>
            </w:tcBorders>
            <w:shd w:val="clear" w:color="000000" w:fill="FFFFFF"/>
            <w:noWrap/>
            <w:vAlign w:val="center"/>
            <w:hideMark/>
          </w:tcPr>
          <w:p w14:paraId="4B23D40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8.259</w:t>
            </w:r>
          </w:p>
        </w:tc>
        <w:tc>
          <w:tcPr>
            <w:tcW w:w="960" w:type="dxa"/>
            <w:tcBorders>
              <w:top w:val="nil"/>
              <w:left w:val="nil"/>
              <w:bottom w:val="single" w:sz="4" w:space="0" w:color="auto"/>
              <w:right w:val="nil"/>
            </w:tcBorders>
            <w:shd w:val="clear" w:color="000000" w:fill="FFFFFF"/>
            <w:noWrap/>
            <w:vAlign w:val="center"/>
            <w:hideMark/>
          </w:tcPr>
          <w:p w14:paraId="388A778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1.235</w:t>
            </w:r>
          </w:p>
        </w:tc>
        <w:tc>
          <w:tcPr>
            <w:tcW w:w="960" w:type="dxa"/>
            <w:tcBorders>
              <w:top w:val="nil"/>
              <w:left w:val="nil"/>
              <w:bottom w:val="single" w:sz="4" w:space="0" w:color="auto"/>
              <w:right w:val="nil"/>
            </w:tcBorders>
            <w:shd w:val="clear" w:color="000000" w:fill="FFFFFF"/>
            <w:noWrap/>
            <w:vAlign w:val="center"/>
            <w:hideMark/>
          </w:tcPr>
          <w:p w14:paraId="33190FA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819</w:t>
            </w:r>
          </w:p>
        </w:tc>
        <w:tc>
          <w:tcPr>
            <w:tcW w:w="960" w:type="dxa"/>
            <w:tcBorders>
              <w:top w:val="nil"/>
              <w:left w:val="nil"/>
              <w:bottom w:val="single" w:sz="4" w:space="0" w:color="auto"/>
              <w:right w:val="nil"/>
            </w:tcBorders>
            <w:shd w:val="clear" w:color="000000" w:fill="FFFFFF"/>
            <w:noWrap/>
            <w:vAlign w:val="center"/>
            <w:hideMark/>
          </w:tcPr>
          <w:p w14:paraId="637937D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5F9D8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10.350</w:t>
            </w:r>
          </w:p>
        </w:tc>
        <w:tc>
          <w:tcPr>
            <w:tcW w:w="960" w:type="dxa"/>
            <w:tcBorders>
              <w:top w:val="nil"/>
              <w:left w:val="nil"/>
              <w:bottom w:val="single" w:sz="4" w:space="0" w:color="auto"/>
              <w:right w:val="single" w:sz="4" w:space="0" w:color="auto"/>
            </w:tcBorders>
            <w:shd w:val="clear" w:color="000000" w:fill="FFFFFF"/>
            <w:noWrap/>
            <w:vAlign w:val="center"/>
            <w:hideMark/>
          </w:tcPr>
          <w:p w14:paraId="3B2B11E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1367" w:type="dxa"/>
            <w:tcBorders>
              <w:top w:val="nil"/>
              <w:left w:val="nil"/>
              <w:bottom w:val="single" w:sz="4" w:space="0" w:color="auto"/>
              <w:right w:val="single" w:sz="4" w:space="0" w:color="auto"/>
            </w:tcBorders>
            <w:shd w:val="clear" w:color="000000" w:fill="FFFFFF"/>
          </w:tcPr>
          <w:p w14:paraId="7E5A4D76" w14:textId="62E2C3AE" w:rsidR="00976B8D" w:rsidRPr="00650EE4" w:rsidRDefault="00F84B1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r>
      <w:tr w:rsidR="00976B8D" w:rsidRPr="00650EE4" w14:paraId="67B7650B"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56F140A5"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tcBorders>
              <w:top w:val="nil"/>
              <w:left w:val="nil"/>
              <w:bottom w:val="single" w:sz="4" w:space="0" w:color="auto"/>
              <w:right w:val="nil"/>
            </w:tcBorders>
            <w:shd w:val="clear" w:color="000000" w:fill="FFFFFF"/>
            <w:noWrap/>
            <w:vAlign w:val="center"/>
            <w:hideMark/>
          </w:tcPr>
          <w:p w14:paraId="0049E70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13.385</w:t>
            </w:r>
          </w:p>
        </w:tc>
        <w:tc>
          <w:tcPr>
            <w:tcW w:w="960" w:type="dxa"/>
            <w:tcBorders>
              <w:top w:val="nil"/>
              <w:left w:val="nil"/>
              <w:bottom w:val="single" w:sz="4" w:space="0" w:color="auto"/>
              <w:right w:val="nil"/>
            </w:tcBorders>
            <w:shd w:val="clear" w:color="000000" w:fill="FFFFFF"/>
            <w:noWrap/>
            <w:vAlign w:val="center"/>
            <w:hideMark/>
          </w:tcPr>
          <w:p w14:paraId="2E313018"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2.113</w:t>
            </w:r>
          </w:p>
        </w:tc>
        <w:tc>
          <w:tcPr>
            <w:tcW w:w="960" w:type="dxa"/>
            <w:tcBorders>
              <w:top w:val="nil"/>
              <w:left w:val="nil"/>
              <w:bottom w:val="single" w:sz="4" w:space="0" w:color="auto"/>
              <w:right w:val="nil"/>
            </w:tcBorders>
            <w:shd w:val="clear" w:color="000000" w:fill="FFFFFF"/>
            <w:noWrap/>
            <w:vAlign w:val="center"/>
            <w:hideMark/>
          </w:tcPr>
          <w:p w14:paraId="300ECACF"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1.002</w:t>
            </w:r>
          </w:p>
        </w:tc>
        <w:tc>
          <w:tcPr>
            <w:tcW w:w="960" w:type="dxa"/>
            <w:tcBorders>
              <w:top w:val="nil"/>
              <w:left w:val="nil"/>
              <w:bottom w:val="single" w:sz="4" w:space="0" w:color="auto"/>
              <w:right w:val="nil"/>
            </w:tcBorders>
            <w:shd w:val="clear" w:color="000000" w:fill="FFFFFF"/>
            <w:noWrap/>
            <w:vAlign w:val="center"/>
            <w:hideMark/>
          </w:tcPr>
          <w:p w14:paraId="42873101"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50</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76FC9F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16.549</w:t>
            </w:r>
          </w:p>
        </w:tc>
        <w:tc>
          <w:tcPr>
            <w:tcW w:w="960" w:type="dxa"/>
            <w:tcBorders>
              <w:top w:val="nil"/>
              <w:left w:val="nil"/>
              <w:bottom w:val="single" w:sz="4" w:space="0" w:color="auto"/>
              <w:right w:val="single" w:sz="4" w:space="0" w:color="auto"/>
            </w:tcBorders>
            <w:shd w:val="clear" w:color="000000" w:fill="FFFFFF"/>
            <w:noWrap/>
            <w:vAlign w:val="center"/>
            <w:hideMark/>
          </w:tcPr>
          <w:p w14:paraId="76A47B1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1F144568" w14:textId="4251D983" w:rsidR="00976B8D" w:rsidRPr="00650EE4" w:rsidRDefault="00FF5455"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976B8D" w:rsidRPr="00650EE4" w14:paraId="00198662"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01AC5508"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960" w:type="dxa"/>
            <w:tcBorders>
              <w:top w:val="nil"/>
              <w:left w:val="nil"/>
              <w:bottom w:val="single" w:sz="4" w:space="0" w:color="auto"/>
              <w:right w:val="nil"/>
            </w:tcBorders>
            <w:shd w:val="clear" w:color="000000" w:fill="FFFFFF"/>
            <w:noWrap/>
            <w:vAlign w:val="center"/>
            <w:hideMark/>
          </w:tcPr>
          <w:p w14:paraId="4B46B4F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81%</w:t>
            </w:r>
          </w:p>
        </w:tc>
        <w:tc>
          <w:tcPr>
            <w:tcW w:w="960" w:type="dxa"/>
            <w:tcBorders>
              <w:top w:val="nil"/>
              <w:left w:val="nil"/>
              <w:bottom w:val="single" w:sz="4" w:space="0" w:color="auto"/>
              <w:right w:val="nil"/>
            </w:tcBorders>
            <w:shd w:val="clear" w:color="000000" w:fill="FFFFFF"/>
            <w:noWrap/>
            <w:vAlign w:val="center"/>
            <w:hideMark/>
          </w:tcPr>
          <w:p w14:paraId="7298AC1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960" w:type="dxa"/>
            <w:tcBorders>
              <w:top w:val="nil"/>
              <w:left w:val="nil"/>
              <w:bottom w:val="single" w:sz="4" w:space="0" w:color="auto"/>
              <w:right w:val="nil"/>
            </w:tcBorders>
            <w:shd w:val="clear" w:color="000000" w:fill="FFFFFF"/>
            <w:noWrap/>
            <w:vAlign w:val="center"/>
            <w:hideMark/>
          </w:tcPr>
          <w:p w14:paraId="660EC8B8"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single" w:sz="4" w:space="0" w:color="auto"/>
              <w:right w:val="nil"/>
            </w:tcBorders>
            <w:shd w:val="clear" w:color="000000" w:fill="FFFFFF"/>
            <w:noWrap/>
            <w:vAlign w:val="center"/>
            <w:hideMark/>
          </w:tcPr>
          <w:p w14:paraId="6037171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0,3%</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C7D4B1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2DB739C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69306181" w14:textId="77777777" w:rsidR="00976B8D" w:rsidRPr="00650EE4" w:rsidRDefault="00976B8D" w:rsidP="00A67C41">
            <w:pPr>
              <w:spacing w:line="240" w:lineRule="auto"/>
              <w:rPr>
                <w:rFonts w:ascii="Times New Roman" w:eastAsia="Times New Roman" w:hAnsi="Times New Roman"/>
                <w:sz w:val="20"/>
                <w:szCs w:val="20"/>
              </w:rPr>
            </w:pPr>
          </w:p>
        </w:tc>
      </w:tr>
    </w:tbl>
    <w:p w14:paraId="6E44FC05" w14:textId="77777777"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 duomenys (2019.12.31)</w:t>
      </w:r>
    </w:p>
    <w:p w14:paraId="67854247" w14:textId="77777777" w:rsidR="00976B8D" w:rsidRPr="00650EE4" w:rsidRDefault="00976B8D" w:rsidP="00976B8D">
      <w:pPr>
        <w:pStyle w:val="Pagrindinispaprastastekstas"/>
        <w:rPr>
          <w:rFonts w:ascii="Times New Roman" w:hAnsi="Times New Roman"/>
        </w:rPr>
      </w:pPr>
    </w:p>
    <w:p w14:paraId="7E4C8C02" w14:textId="476188B6" w:rsidR="00976B8D" w:rsidRPr="00650EE4" w:rsidRDefault="00976B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4" w:name="_Toc59094214"/>
      <w:r w:rsidR="00F25C65">
        <w:t>31</w:t>
      </w:r>
      <w:r w:rsidRPr="00650EE4">
        <w:rPr>
          <w:noProof w:val="0"/>
        </w:rPr>
        <w:fldChar w:fldCharType="end"/>
      </w:r>
      <w:r w:rsidRPr="00650EE4">
        <w:rPr>
          <w:noProof w:val="0"/>
        </w:rPr>
        <w:t xml:space="preserve"> lentelė. Viešųjų pastatų plotas pagal grupes ir energinio naudingumo klasę</w:t>
      </w:r>
      <w:r w:rsidR="007350CE" w:rsidRPr="00650EE4">
        <w:rPr>
          <w:noProof w:val="0"/>
        </w:rPr>
        <w:t xml:space="preserve"> (tūkst. m</w:t>
      </w:r>
      <w:r w:rsidR="007350CE" w:rsidRPr="00650EE4">
        <w:rPr>
          <w:noProof w:val="0"/>
          <w:vertAlign w:val="superscript"/>
        </w:rPr>
        <w:t>2</w:t>
      </w:r>
      <w:r w:rsidR="007350CE" w:rsidRPr="00650EE4">
        <w:rPr>
          <w:noProof w:val="0"/>
        </w:rPr>
        <w:t>)</w:t>
      </w:r>
      <w:bookmarkEnd w:id="84"/>
    </w:p>
    <w:tbl>
      <w:tblPr>
        <w:tblW w:w="10171" w:type="dxa"/>
        <w:tblLook w:val="04A0" w:firstRow="1" w:lastRow="0" w:firstColumn="1" w:lastColumn="0" w:noHBand="0" w:noVBand="1"/>
      </w:tblPr>
      <w:tblGrid>
        <w:gridCol w:w="2972"/>
        <w:gridCol w:w="1032"/>
        <w:gridCol w:w="960"/>
        <w:gridCol w:w="960"/>
        <w:gridCol w:w="960"/>
        <w:gridCol w:w="960"/>
        <w:gridCol w:w="960"/>
        <w:gridCol w:w="1367"/>
      </w:tblGrid>
      <w:tr w:rsidR="00976B8D" w:rsidRPr="00650EE4" w14:paraId="34F62FD1" w14:textId="77777777" w:rsidTr="00115A00">
        <w:tc>
          <w:tcPr>
            <w:tcW w:w="2972" w:type="dxa"/>
            <w:vMerge w:val="restart"/>
            <w:tcBorders>
              <w:top w:val="single" w:sz="4" w:space="0" w:color="auto"/>
              <w:left w:val="single" w:sz="4" w:space="0" w:color="auto"/>
              <w:bottom w:val="nil"/>
              <w:right w:val="nil"/>
            </w:tcBorders>
            <w:shd w:val="clear" w:color="000000" w:fill="FFFFFF"/>
            <w:vAlign w:val="center"/>
            <w:hideMark/>
          </w:tcPr>
          <w:p w14:paraId="59A43058"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912"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0ADF977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3EC318A9"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5D95D01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575D64F0"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4E1335F6" w14:textId="77777777" w:rsidTr="00115A00">
        <w:tc>
          <w:tcPr>
            <w:tcW w:w="2972" w:type="dxa"/>
            <w:vMerge/>
            <w:tcBorders>
              <w:top w:val="single" w:sz="4" w:space="0" w:color="auto"/>
              <w:left w:val="single" w:sz="4" w:space="0" w:color="auto"/>
              <w:bottom w:val="nil"/>
              <w:right w:val="nil"/>
            </w:tcBorders>
            <w:vAlign w:val="center"/>
            <w:hideMark/>
          </w:tcPr>
          <w:p w14:paraId="63953C97" w14:textId="77777777" w:rsidR="00976B8D" w:rsidRPr="00650EE4" w:rsidRDefault="00976B8D" w:rsidP="00A67C41">
            <w:pPr>
              <w:spacing w:line="240" w:lineRule="auto"/>
              <w:rPr>
                <w:rFonts w:ascii="Times New Roman" w:eastAsia="Times New Roman" w:hAnsi="Times New Roman"/>
                <w:b/>
                <w:bCs/>
                <w:sz w:val="20"/>
                <w:szCs w:val="20"/>
              </w:rPr>
            </w:pPr>
          </w:p>
        </w:tc>
        <w:tc>
          <w:tcPr>
            <w:tcW w:w="1032" w:type="dxa"/>
            <w:tcBorders>
              <w:top w:val="nil"/>
              <w:left w:val="single" w:sz="4" w:space="0" w:color="auto"/>
              <w:bottom w:val="nil"/>
              <w:right w:val="nil"/>
            </w:tcBorders>
            <w:shd w:val="clear" w:color="000000" w:fill="FFFFFF"/>
            <w:vAlign w:val="center"/>
            <w:hideMark/>
          </w:tcPr>
          <w:p w14:paraId="6F425A9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5F9B89EF"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6D077F8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53B50303"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62416C52"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2E564A7"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35530C7F"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4AAFC54A" w14:textId="77777777" w:rsidTr="00115A00">
        <w:trPr>
          <w:trHeight w:val="91"/>
        </w:trPr>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5209F655" w14:textId="1CA6AD80"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1032" w:type="dxa"/>
            <w:tcBorders>
              <w:top w:val="single" w:sz="4" w:space="0" w:color="auto"/>
              <w:left w:val="nil"/>
              <w:bottom w:val="nil"/>
              <w:right w:val="nil"/>
            </w:tcBorders>
            <w:shd w:val="clear" w:color="000000" w:fill="FFFFFF"/>
            <w:noWrap/>
            <w:vAlign w:val="center"/>
            <w:hideMark/>
          </w:tcPr>
          <w:p w14:paraId="633BFE2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185</w:t>
            </w:r>
          </w:p>
        </w:tc>
        <w:tc>
          <w:tcPr>
            <w:tcW w:w="960" w:type="dxa"/>
            <w:tcBorders>
              <w:top w:val="single" w:sz="4" w:space="0" w:color="auto"/>
              <w:left w:val="nil"/>
              <w:bottom w:val="nil"/>
              <w:right w:val="nil"/>
            </w:tcBorders>
            <w:shd w:val="clear" w:color="000000" w:fill="FFFFFF"/>
            <w:noWrap/>
            <w:vAlign w:val="center"/>
            <w:hideMark/>
          </w:tcPr>
          <w:p w14:paraId="0F92383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75</w:t>
            </w:r>
          </w:p>
        </w:tc>
        <w:tc>
          <w:tcPr>
            <w:tcW w:w="960" w:type="dxa"/>
            <w:tcBorders>
              <w:top w:val="single" w:sz="4" w:space="0" w:color="auto"/>
              <w:left w:val="nil"/>
              <w:bottom w:val="nil"/>
              <w:right w:val="nil"/>
            </w:tcBorders>
            <w:shd w:val="clear" w:color="000000" w:fill="FFFFFF"/>
            <w:noWrap/>
            <w:vAlign w:val="center"/>
            <w:hideMark/>
          </w:tcPr>
          <w:p w14:paraId="7783A790"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w:t>
            </w:r>
          </w:p>
        </w:tc>
        <w:tc>
          <w:tcPr>
            <w:tcW w:w="960" w:type="dxa"/>
            <w:tcBorders>
              <w:top w:val="single" w:sz="4" w:space="0" w:color="auto"/>
              <w:left w:val="nil"/>
              <w:bottom w:val="nil"/>
              <w:right w:val="nil"/>
            </w:tcBorders>
            <w:shd w:val="clear" w:color="000000" w:fill="FFFFFF"/>
            <w:noWrap/>
            <w:vAlign w:val="center"/>
            <w:hideMark/>
          </w:tcPr>
          <w:p w14:paraId="10C03CB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39E72190"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262</w:t>
            </w:r>
          </w:p>
        </w:tc>
        <w:tc>
          <w:tcPr>
            <w:tcW w:w="960" w:type="dxa"/>
            <w:tcBorders>
              <w:top w:val="single" w:sz="4" w:space="0" w:color="auto"/>
              <w:left w:val="nil"/>
              <w:bottom w:val="nil"/>
              <w:right w:val="single" w:sz="4" w:space="0" w:color="auto"/>
            </w:tcBorders>
            <w:shd w:val="clear" w:color="000000" w:fill="FFFFFF"/>
            <w:noWrap/>
            <w:vAlign w:val="center"/>
            <w:hideMark/>
          </w:tcPr>
          <w:p w14:paraId="72FF514C"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c>
          <w:tcPr>
            <w:tcW w:w="1367" w:type="dxa"/>
            <w:tcBorders>
              <w:top w:val="single" w:sz="4" w:space="0" w:color="auto"/>
              <w:left w:val="nil"/>
              <w:bottom w:val="nil"/>
              <w:right w:val="single" w:sz="4" w:space="0" w:color="auto"/>
            </w:tcBorders>
            <w:shd w:val="clear" w:color="000000" w:fill="FFFFFF"/>
          </w:tcPr>
          <w:p w14:paraId="47DED575" w14:textId="5BBD8946" w:rsidR="009955BE" w:rsidRPr="00650EE4" w:rsidRDefault="009955BE" w:rsidP="009955BE">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2507BB02"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54309547"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1032" w:type="dxa"/>
            <w:tcBorders>
              <w:top w:val="nil"/>
              <w:left w:val="nil"/>
              <w:bottom w:val="nil"/>
              <w:right w:val="nil"/>
            </w:tcBorders>
            <w:shd w:val="clear" w:color="000000" w:fill="FFFFFF"/>
            <w:noWrap/>
            <w:vAlign w:val="center"/>
            <w:hideMark/>
          </w:tcPr>
          <w:p w14:paraId="66DBA61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868</w:t>
            </w:r>
          </w:p>
        </w:tc>
        <w:tc>
          <w:tcPr>
            <w:tcW w:w="960" w:type="dxa"/>
            <w:tcBorders>
              <w:top w:val="nil"/>
              <w:left w:val="nil"/>
              <w:bottom w:val="nil"/>
              <w:right w:val="nil"/>
            </w:tcBorders>
            <w:shd w:val="clear" w:color="000000" w:fill="FFFFFF"/>
            <w:noWrap/>
            <w:vAlign w:val="center"/>
            <w:hideMark/>
          </w:tcPr>
          <w:p w14:paraId="1380F198"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222</w:t>
            </w:r>
          </w:p>
        </w:tc>
        <w:tc>
          <w:tcPr>
            <w:tcW w:w="960" w:type="dxa"/>
            <w:tcBorders>
              <w:top w:val="nil"/>
              <w:left w:val="nil"/>
              <w:bottom w:val="nil"/>
              <w:right w:val="nil"/>
            </w:tcBorders>
            <w:shd w:val="clear" w:color="000000" w:fill="FFFFFF"/>
            <w:noWrap/>
            <w:vAlign w:val="center"/>
            <w:hideMark/>
          </w:tcPr>
          <w:p w14:paraId="54C11122"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147</w:t>
            </w:r>
          </w:p>
        </w:tc>
        <w:tc>
          <w:tcPr>
            <w:tcW w:w="960" w:type="dxa"/>
            <w:tcBorders>
              <w:top w:val="nil"/>
              <w:left w:val="nil"/>
              <w:bottom w:val="nil"/>
              <w:right w:val="nil"/>
            </w:tcBorders>
            <w:shd w:val="clear" w:color="000000" w:fill="FFFFFF"/>
            <w:noWrap/>
            <w:vAlign w:val="center"/>
            <w:hideMark/>
          </w:tcPr>
          <w:p w14:paraId="0DBB390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w:t>
            </w:r>
          </w:p>
        </w:tc>
        <w:tc>
          <w:tcPr>
            <w:tcW w:w="960" w:type="dxa"/>
            <w:tcBorders>
              <w:top w:val="nil"/>
              <w:left w:val="single" w:sz="4" w:space="0" w:color="auto"/>
              <w:bottom w:val="nil"/>
              <w:right w:val="single" w:sz="4" w:space="0" w:color="auto"/>
            </w:tcBorders>
            <w:shd w:val="clear" w:color="000000" w:fill="FFFFFF"/>
            <w:noWrap/>
            <w:vAlign w:val="center"/>
            <w:hideMark/>
          </w:tcPr>
          <w:p w14:paraId="62881FDA"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1.242</w:t>
            </w:r>
          </w:p>
        </w:tc>
        <w:tc>
          <w:tcPr>
            <w:tcW w:w="960" w:type="dxa"/>
            <w:tcBorders>
              <w:top w:val="nil"/>
              <w:left w:val="nil"/>
              <w:bottom w:val="nil"/>
              <w:right w:val="single" w:sz="4" w:space="0" w:color="auto"/>
            </w:tcBorders>
            <w:shd w:val="clear" w:color="000000" w:fill="FFFFFF"/>
            <w:noWrap/>
            <w:vAlign w:val="center"/>
            <w:hideMark/>
          </w:tcPr>
          <w:p w14:paraId="1B3AEBA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w:t>
            </w:r>
          </w:p>
        </w:tc>
        <w:tc>
          <w:tcPr>
            <w:tcW w:w="1367" w:type="dxa"/>
            <w:tcBorders>
              <w:top w:val="nil"/>
              <w:left w:val="nil"/>
              <w:bottom w:val="nil"/>
              <w:right w:val="single" w:sz="4" w:space="0" w:color="auto"/>
            </w:tcBorders>
            <w:shd w:val="clear" w:color="000000" w:fill="FFFFFF"/>
          </w:tcPr>
          <w:p w14:paraId="3E6E3583" w14:textId="0276350E" w:rsidR="00976B8D" w:rsidRPr="00650EE4" w:rsidRDefault="009955BE"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77402D01" w14:textId="77777777" w:rsidTr="00115A00">
        <w:tc>
          <w:tcPr>
            <w:tcW w:w="2972" w:type="dxa"/>
            <w:tcBorders>
              <w:top w:val="nil"/>
              <w:left w:val="single" w:sz="4" w:space="0" w:color="auto"/>
              <w:bottom w:val="nil"/>
              <w:right w:val="single" w:sz="4" w:space="0" w:color="auto"/>
            </w:tcBorders>
            <w:shd w:val="clear" w:color="000000" w:fill="FFFFFF"/>
            <w:noWrap/>
            <w:vAlign w:val="center"/>
            <w:hideMark/>
          </w:tcPr>
          <w:p w14:paraId="349DFC1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1032" w:type="dxa"/>
            <w:tcBorders>
              <w:top w:val="nil"/>
              <w:left w:val="nil"/>
              <w:bottom w:val="nil"/>
              <w:right w:val="nil"/>
            </w:tcBorders>
            <w:shd w:val="clear" w:color="000000" w:fill="FFFFFF"/>
            <w:noWrap/>
            <w:vAlign w:val="center"/>
            <w:hideMark/>
          </w:tcPr>
          <w:p w14:paraId="2BDCD952"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1.182</w:t>
            </w:r>
          </w:p>
        </w:tc>
        <w:tc>
          <w:tcPr>
            <w:tcW w:w="960" w:type="dxa"/>
            <w:tcBorders>
              <w:top w:val="nil"/>
              <w:left w:val="nil"/>
              <w:bottom w:val="nil"/>
              <w:right w:val="nil"/>
            </w:tcBorders>
            <w:shd w:val="clear" w:color="000000" w:fill="FFFFFF"/>
            <w:noWrap/>
            <w:vAlign w:val="center"/>
            <w:hideMark/>
          </w:tcPr>
          <w:p w14:paraId="5289E5E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w:t>
            </w:r>
          </w:p>
        </w:tc>
        <w:tc>
          <w:tcPr>
            <w:tcW w:w="960" w:type="dxa"/>
            <w:tcBorders>
              <w:top w:val="nil"/>
              <w:left w:val="nil"/>
              <w:bottom w:val="nil"/>
              <w:right w:val="nil"/>
            </w:tcBorders>
            <w:shd w:val="clear" w:color="000000" w:fill="FFFFFF"/>
            <w:noWrap/>
            <w:vAlign w:val="center"/>
            <w:hideMark/>
          </w:tcPr>
          <w:p w14:paraId="0F456A7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48</w:t>
            </w:r>
          </w:p>
        </w:tc>
        <w:tc>
          <w:tcPr>
            <w:tcW w:w="960" w:type="dxa"/>
            <w:tcBorders>
              <w:top w:val="nil"/>
              <w:left w:val="nil"/>
              <w:bottom w:val="nil"/>
              <w:right w:val="nil"/>
            </w:tcBorders>
            <w:shd w:val="clear" w:color="000000" w:fill="FFFFFF"/>
            <w:noWrap/>
            <w:vAlign w:val="center"/>
            <w:hideMark/>
          </w:tcPr>
          <w:p w14:paraId="7513379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960" w:type="dxa"/>
            <w:tcBorders>
              <w:top w:val="nil"/>
              <w:left w:val="single" w:sz="4" w:space="0" w:color="auto"/>
              <w:bottom w:val="nil"/>
              <w:right w:val="single" w:sz="4" w:space="0" w:color="auto"/>
            </w:tcBorders>
            <w:shd w:val="clear" w:color="000000" w:fill="FFFFFF"/>
            <w:noWrap/>
            <w:vAlign w:val="center"/>
            <w:hideMark/>
          </w:tcPr>
          <w:p w14:paraId="7D498C0D"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1.272</w:t>
            </w:r>
          </w:p>
        </w:tc>
        <w:tc>
          <w:tcPr>
            <w:tcW w:w="960" w:type="dxa"/>
            <w:tcBorders>
              <w:top w:val="nil"/>
              <w:left w:val="nil"/>
              <w:bottom w:val="nil"/>
              <w:right w:val="single" w:sz="4" w:space="0" w:color="auto"/>
            </w:tcBorders>
            <w:shd w:val="clear" w:color="000000" w:fill="FFFFFF"/>
            <w:noWrap/>
            <w:vAlign w:val="center"/>
            <w:hideMark/>
          </w:tcPr>
          <w:p w14:paraId="098EBF0B"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1367" w:type="dxa"/>
            <w:tcBorders>
              <w:top w:val="nil"/>
              <w:left w:val="nil"/>
              <w:bottom w:val="nil"/>
              <w:right w:val="single" w:sz="4" w:space="0" w:color="auto"/>
            </w:tcBorders>
            <w:shd w:val="clear" w:color="000000" w:fill="FFFFFF"/>
          </w:tcPr>
          <w:p w14:paraId="4443C743" w14:textId="5E0EFDC4"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r>
      <w:tr w:rsidR="00976B8D" w:rsidRPr="00650EE4" w14:paraId="31380BB4"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740B6D21"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1032" w:type="dxa"/>
            <w:tcBorders>
              <w:top w:val="nil"/>
              <w:left w:val="nil"/>
              <w:bottom w:val="single" w:sz="4" w:space="0" w:color="auto"/>
              <w:right w:val="nil"/>
            </w:tcBorders>
            <w:shd w:val="clear" w:color="000000" w:fill="FFFFFF"/>
            <w:noWrap/>
            <w:vAlign w:val="center"/>
            <w:hideMark/>
          </w:tcPr>
          <w:p w14:paraId="75668F3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9.123</w:t>
            </w:r>
          </w:p>
        </w:tc>
        <w:tc>
          <w:tcPr>
            <w:tcW w:w="960" w:type="dxa"/>
            <w:tcBorders>
              <w:top w:val="nil"/>
              <w:left w:val="nil"/>
              <w:bottom w:val="single" w:sz="4" w:space="0" w:color="auto"/>
              <w:right w:val="nil"/>
            </w:tcBorders>
            <w:shd w:val="clear" w:color="000000" w:fill="FFFFFF"/>
            <w:noWrap/>
            <w:vAlign w:val="center"/>
            <w:hideMark/>
          </w:tcPr>
          <w:p w14:paraId="7A91E19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2.882</w:t>
            </w:r>
          </w:p>
        </w:tc>
        <w:tc>
          <w:tcPr>
            <w:tcW w:w="960" w:type="dxa"/>
            <w:tcBorders>
              <w:top w:val="nil"/>
              <w:left w:val="nil"/>
              <w:bottom w:val="single" w:sz="4" w:space="0" w:color="auto"/>
              <w:right w:val="nil"/>
            </w:tcBorders>
            <w:shd w:val="clear" w:color="000000" w:fill="FFFFFF"/>
            <w:noWrap/>
            <w:vAlign w:val="center"/>
            <w:hideMark/>
          </w:tcPr>
          <w:p w14:paraId="4987396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1.999</w:t>
            </w:r>
          </w:p>
        </w:tc>
        <w:tc>
          <w:tcPr>
            <w:tcW w:w="960" w:type="dxa"/>
            <w:tcBorders>
              <w:top w:val="nil"/>
              <w:left w:val="nil"/>
              <w:bottom w:val="single" w:sz="4" w:space="0" w:color="auto"/>
              <w:right w:val="nil"/>
            </w:tcBorders>
            <w:shd w:val="clear" w:color="000000" w:fill="FFFFFF"/>
            <w:noWrap/>
            <w:vAlign w:val="center"/>
            <w:hideMark/>
          </w:tcPr>
          <w:p w14:paraId="63B17057"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92FB098"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14.061</w:t>
            </w:r>
          </w:p>
        </w:tc>
        <w:tc>
          <w:tcPr>
            <w:tcW w:w="960" w:type="dxa"/>
            <w:tcBorders>
              <w:top w:val="nil"/>
              <w:left w:val="nil"/>
              <w:bottom w:val="single" w:sz="4" w:space="0" w:color="auto"/>
              <w:right w:val="single" w:sz="4" w:space="0" w:color="auto"/>
            </w:tcBorders>
            <w:shd w:val="clear" w:color="000000" w:fill="FFFFFF"/>
            <w:noWrap/>
            <w:vAlign w:val="center"/>
            <w:hideMark/>
          </w:tcPr>
          <w:p w14:paraId="25967BC8"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1367" w:type="dxa"/>
            <w:tcBorders>
              <w:top w:val="nil"/>
              <w:left w:val="nil"/>
              <w:bottom w:val="single" w:sz="4" w:space="0" w:color="auto"/>
              <w:right w:val="single" w:sz="4" w:space="0" w:color="auto"/>
            </w:tcBorders>
            <w:shd w:val="clear" w:color="000000" w:fill="FFFFFF"/>
          </w:tcPr>
          <w:p w14:paraId="191762DA" w14:textId="293132B0"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38%</w:t>
            </w:r>
          </w:p>
        </w:tc>
      </w:tr>
      <w:tr w:rsidR="00976B8D" w:rsidRPr="00650EE4" w14:paraId="0291C16B"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4E25CF4F"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1032" w:type="dxa"/>
            <w:tcBorders>
              <w:top w:val="nil"/>
              <w:left w:val="nil"/>
              <w:bottom w:val="single" w:sz="4" w:space="0" w:color="auto"/>
              <w:right w:val="nil"/>
            </w:tcBorders>
            <w:shd w:val="clear" w:color="000000" w:fill="FFFFFF"/>
            <w:noWrap/>
            <w:vAlign w:val="center"/>
            <w:hideMark/>
          </w:tcPr>
          <w:p w14:paraId="1B8ED82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11.356</w:t>
            </w:r>
          </w:p>
        </w:tc>
        <w:tc>
          <w:tcPr>
            <w:tcW w:w="960" w:type="dxa"/>
            <w:tcBorders>
              <w:top w:val="nil"/>
              <w:left w:val="nil"/>
              <w:bottom w:val="single" w:sz="4" w:space="0" w:color="auto"/>
              <w:right w:val="nil"/>
            </w:tcBorders>
            <w:shd w:val="clear" w:color="000000" w:fill="FFFFFF"/>
            <w:noWrap/>
            <w:vAlign w:val="center"/>
            <w:hideMark/>
          </w:tcPr>
          <w:p w14:paraId="52070A7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3.220</w:t>
            </w:r>
          </w:p>
        </w:tc>
        <w:tc>
          <w:tcPr>
            <w:tcW w:w="960" w:type="dxa"/>
            <w:tcBorders>
              <w:top w:val="nil"/>
              <w:left w:val="nil"/>
              <w:bottom w:val="single" w:sz="4" w:space="0" w:color="auto"/>
              <w:right w:val="nil"/>
            </w:tcBorders>
            <w:shd w:val="clear" w:color="000000" w:fill="FFFFFF"/>
            <w:noWrap/>
            <w:vAlign w:val="center"/>
            <w:hideMark/>
          </w:tcPr>
          <w:p w14:paraId="732936D7"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2.197</w:t>
            </w:r>
          </w:p>
        </w:tc>
        <w:tc>
          <w:tcPr>
            <w:tcW w:w="960" w:type="dxa"/>
            <w:tcBorders>
              <w:top w:val="nil"/>
              <w:left w:val="nil"/>
              <w:bottom w:val="single" w:sz="4" w:space="0" w:color="auto"/>
              <w:right w:val="nil"/>
            </w:tcBorders>
            <w:shd w:val="clear" w:color="000000" w:fill="FFFFFF"/>
            <w:noWrap/>
            <w:vAlign w:val="center"/>
            <w:hideMark/>
          </w:tcPr>
          <w:p w14:paraId="0F29DE7A"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64</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5448B84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16.837</w:t>
            </w:r>
          </w:p>
        </w:tc>
        <w:tc>
          <w:tcPr>
            <w:tcW w:w="960" w:type="dxa"/>
            <w:tcBorders>
              <w:top w:val="nil"/>
              <w:left w:val="nil"/>
              <w:bottom w:val="single" w:sz="4" w:space="0" w:color="auto"/>
              <w:right w:val="single" w:sz="4" w:space="0" w:color="auto"/>
            </w:tcBorders>
            <w:shd w:val="clear" w:color="000000" w:fill="FFFFFF"/>
            <w:noWrap/>
            <w:vAlign w:val="center"/>
            <w:hideMark/>
          </w:tcPr>
          <w:p w14:paraId="04D239F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1007493F" w14:textId="41062B00" w:rsidR="00976B8D" w:rsidRPr="00650EE4" w:rsidRDefault="009955BE"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r>
      <w:tr w:rsidR="00976B8D" w:rsidRPr="00650EE4" w14:paraId="6C507D00" w14:textId="77777777" w:rsidTr="00115A00">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CB5DCF2"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1032" w:type="dxa"/>
            <w:tcBorders>
              <w:top w:val="nil"/>
              <w:left w:val="nil"/>
              <w:bottom w:val="single" w:sz="4" w:space="0" w:color="auto"/>
              <w:right w:val="nil"/>
            </w:tcBorders>
            <w:shd w:val="clear" w:color="000000" w:fill="FFFFFF"/>
            <w:noWrap/>
            <w:vAlign w:val="center"/>
            <w:hideMark/>
          </w:tcPr>
          <w:p w14:paraId="57E9F6C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67%</w:t>
            </w:r>
          </w:p>
        </w:tc>
        <w:tc>
          <w:tcPr>
            <w:tcW w:w="960" w:type="dxa"/>
            <w:tcBorders>
              <w:top w:val="nil"/>
              <w:left w:val="nil"/>
              <w:bottom w:val="single" w:sz="4" w:space="0" w:color="auto"/>
              <w:right w:val="nil"/>
            </w:tcBorders>
            <w:shd w:val="clear" w:color="000000" w:fill="FFFFFF"/>
            <w:noWrap/>
            <w:vAlign w:val="center"/>
            <w:hideMark/>
          </w:tcPr>
          <w:p w14:paraId="45ADDA82"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960" w:type="dxa"/>
            <w:tcBorders>
              <w:top w:val="nil"/>
              <w:left w:val="nil"/>
              <w:bottom w:val="single" w:sz="4" w:space="0" w:color="auto"/>
              <w:right w:val="nil"/>
            </w:tcBorders>
            <w:shd w:val="clear" w:color="000000" w:fill="FFFFFF"/>
            <w:noWrap/>
            <w:vAlign w:val="center"/>
            <w:hideMark/>
          </w:tcPr>
          <w:p w14:paraId="39A4845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960" w:type="dxa"/>
            <w:tcBorders>
              <w:top w:val="nil"/>
              <w:left w:val="nil"/>
              <w:bottom w:val="single" w:sz="4" w:space="0" w:color="auto"/>
              <w:right w:val="nil"/>
            </w:tcBorders>
            <w:shd w:val="clear" w:color="000000" w:fill="FFFFFF"/>
            <w:noWrap/>
            <w:vAlign w:val="center"/>
            <w:hideMark/>
          </w:tcPr>
          <w:p w14:paraId="7776ED80"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0,4%</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28824229"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2830DFB6"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76030129" w14:textId="77777777" w:rsidR="00976B8D" w:rsidRPr="00650EE4" w:rsidRDefault="00976B8D" w:rsidP="00A67C41">
            <w:pPr>
              <w:spacing w:line="240" w:lineRule="auto"/>
              <w:rPr>
                <w:rFonts w:ascii="Times New Roman" w:eastAsia="Times New Roman" w:hAnsi="Times New Roman"/>
                <w:sz w:val="20"/>
                <w:szCs w:val="20"/>
              </w:rPr>
            </w:pPr>
          </w:p>
        </w:tc>
      </w:tr>
    </w:tbl>
    <w:p w14:paraId="66D8539F" w14:textId="115FDA29"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NTR duomenys (2019.12.31), Studijos</w:t>
      </w:r>
      <w:r w:rsidR="005567C4">
        <w:rPr>
          <w:rFonts w:ascii="Times New Roman" w:eastAsia="Times New Roman" w:hAnsi="Times New Roman"/>
          <w:i/>
          <w:color w:val="000000" w:themeColor="text1"/>
          <w:sz w:val="20"/>
          <w:szCs w:val="28"/>
        </w:rPr>
        <w:t xml:space="preserve"> </w:t>
      </w:r>
      <w:r w:rsidR="005567C4">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140CE6E3" w14:textId="77777777" w:rsidR="00976B8D" w:rsidRPr="00650EE4" w:rsidRDefault="00976B8D" w:rsidP="00976B8D">
      <w:pPr>
        <w:pStyle w:val="Pagrindinispaprastastekstas"/>
        <w:rPr>
          <w:rFonts w:ascii="Times New Roman" w:hAnsi="Times New Roman"/>
        </w:rPr>
      </w:pPr>
    </w:p>
    <w:p w14:paraId="0D4018A4" w14:textId="77777777" w:rsidR="00A306BC" w:rsidRPr="00650EE4" w:rsidRDefault="00A306BC">
      <w:pPr>
        <w:spacing w:after="240"/>
        <w:rPr>
          <w:rFonts w:ascii="Times New Roman" w:eastAsiaTheme="minorHAnsi" w:hAnsi="Times New Roman"/>
          <w:bCs/>
          <w:i/>
          <w:color w:val="000000" w:themeColor="text1"/>
          <w:sz w:val="20"/>
          <w:szCs w:val="20"/>
        </w:rPr>
      </w:pPr>
      <w:r w:rsidRPr="00650EE4">
        <w:br w:type="page"/>
      </w:r>
    </w:p>
    <w:p w14:paraId="4E024A10" w14:textId="250D609C" w:rsidR="00976B8D" w:rsidRPr="00650EE4" w:rsidRDefault="00976B8D"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85" w:name="_Toc59094215"/>
      <w:r w:rsidR="00F25C65">
        <w:t>32</w:t>
      </w:r>
      <w:r w:rsidRPr="00650EE4">
        <w:rPr>
          <w:noProof w:val="0"/>
        </w:rPr>
        <w:fldChar w:fldCharType="end"/>
      </w:r>
      <w:r w:rsidRPr="00650EE4">
        <w:rPr>
          <w:noProof w:val="0"/>
        </w:rPr>
        <w:t xml:space="preserve"> lentelė. Viešųjų pastatų pirminės energijos vartojimas pagal grupes ir </w:t>
      </w:r>
      <w:r w:rsidR="00F4660E" w:rsidRPr="00650EE4">
        <w:rPr>
          <w:noProof w:val="0"/>
        </w:rPr>
        <w:t>ENK</w:t>
      </w:r>
      <w:r w:rsidR="005A2552" w:rsidRPr="00650EE4">
        <w:rPr>
          <w:noProof w:val="0"/>
        </w:rPr>
        <w:t xml:space="preserve"> (</w:t>
      </w:r>
      <w:proofErr w:type="spellStart"/>
      <w:r w:rsidR="005A2552" w:rsidRPr="00650EE4">
        <w:rPr>
          <w:noProof w:val="0"/>
        </w:rPr>
        <w:t>GWh</w:t>
      </w:r>
      <w:proofErr w:type="spellEnd"/>
      <w:r w:rsidR="005A2552" w:rsidRPr="00650EE4">
        <w:rPr>
          <w:noProof w:val="0"/>
        </w:rPr>
        <w:t>/metus)</w:t>
      </w:r>
      <w:bookmarkEnd w:id="85"/>
    </w:p>
    <w:tbl>
      <w:tblPr>
        <w:tblW w:w="10099" w:type="dxa"/>
        <w:tblLook w:val="04A0" w:firstRow="1" w:lastRow="0" w:firstColumn="1" w:lastColumn="0" w:noHBand="0" w:noVBand="1"/>
      </w:tblPr>
      <w:tblGrid>
        <w:gridCol w:w="2972"/>
        <w:gridCol w:w="960"/>
        <w:gridCol w:w="960"/>
        <w:gridCol w:w="960"/>
        <w:gridCol w:w="960"/>
        <w:gridCol w:w="960"/>
        <w:gridCol w:w="960"/>
        <w:gridCol w:w="1367"/>
      </w:tblGrid>
      <w:tr w:rsidR="00976B8D" w:rsidRPr="00650EE4" w14:paraId="7689F559" w14:textId="77777777" w:rsidTr="003B5931">
        <w:trPr>
          <w:trHeight w:val="70"/>
        </w:trPr>
        <w:tc>
          <w:tcPr>
            <w:tcW w:w="2972" w:type="dxa"/>
            <w:vMerge w:val="restart"/>
            <w:tcBorders>
              <w:top w:val="single" w:sz="4" w:space="0" w:color="auto"/>
              <w:left w:val="single" w:sz="4" w:space="0" w:color="auto"/>
              <w:bottom w:val="nil"/>
              <w:right w:val="nil"/>
            </w:tcBorders>
            <w:shd w:val="clear" w:color="000000" w:fill="FFFFFF"/>
            <w:vAlign w:val="center"/>
            <w:hideMark/>
          </w:tcPr>
          <w:p w14:paraId="48E0191C"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Grupė</w:t>
            </w:r>
          </w:p>
        </w:tc>
        <w:tc>
          <w:tcPr>
            <w:tcW w:w="3840" w:type="dxa"/>
            <w:gridSpan w:val="4"/>
            <w:tcBorders>
              <w:top w:val="single" w:sz="4" w:space="0" w:color="auto"/>
              <w:left w:val="single" w:sz="4" w:space="0" w:color="auto"/>
              <w:bottom w:val="single" w:sz="4" w:space="0" w:color="auto"/>
              <w:right w:val="nil"/>
            </w:tcBorders>
            <w:shd w:val="clear" w:color="000000" w:fill="FFFFFF"/>
            <w:noWrap/>
            <w:vAlign w:val="center"/>
            <w:hideMark/>
          </w:tcPr>
          <w:p w14:paraId="58302415"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Energinio naudingumo klasė</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49E51C76"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vMerge w:val="restart"/>
            <w:tcBorders>
              <w:top w:val="single" w:sz="4" w:space="0" w:color="auto"/>
              <w:left w:val="single" w:sz="4" w:space="0" w:color="auto"/>
              <w:bottom w:val="nil"/>
              <w:right w:val="single" w:sz="4" w:space="0" w:color="auto"/>
            </w:tcBorders>
            <w:shd w:val="clear" w:color="000000" w:fill="FFFFFF"/>
            <w:vAlign w:val="center"/>
            <w:hideMark/>
          </w:tcPr>
          <w:p w14:paraId="7581A4BE"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proc.</w:t>
            </w:r>
          </w:p>
        </w:tc>
        <w:tc>
          <w:tcPr>
            <w:tcW w:w="1367" w:type="dxa"/>
            <w:vMerge w:val="restart"/>
            <w:tcBorders>
              <w:top w:val="single" w:sz="4" w:space="0" w:color="auto"/>
              <w:left w:val="single" w:sz="4" w:space="0" w:color="auto"/>
              <w:right w:val="single" w:sz="4" w:space="0" w:color="auto"/>
            </w:tcBorders>
            <w:shd w:val="clear" w:color="000000" w:fill="FFFFFF"/>
          </w:tcPr>
          <w:p w14:paraId="099A10FA"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Nuo viso fondo, proc.</w:t>
            </w:r>
          </w:p>
        </w:tc>
      </w:tr>
      <w:tr w:rsidR="00976B8D" w:rsidRPr="00650EE4" w14:paraId="2A54CBC7" w14:textId="77777777" w:rsidTr="00A67C41">
        <w:trPr>
          <w:trHeight w:val="50"/>
        </w:trPr>
        <w:tc>
          <w:tcPr>
            <w:tcW w:w="2972" w:type="dxa"/>
            <w:vMerge/>
            <w:tcBorders>
              <w:top w:val="single" w:sz="4" w:space="0" w:color="auto"/>
              <w:left w:val="single" w:sz="4" w:space="0" w:color="auto"/>
              <w:bottom w:val="nil"/>
              <w:right w:val="nil"/>
            </w:tcBorders>
            <w:vAlign w:val="center"/>
            <w:hideMark/>
          </w:tcPr>
          <w:p w14:paraId="25964FD2"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tcBorders>
              <w:top w:val="nil"/>
              <w:left w:val="single" w:sz="4" w:space="0" w:color="auto"/>
              <w:bottom w:val="nil"/>
              <w:right w:val="nil"/>
            </w:tcBorders>
            <w:shd w:val="clear" w:color="000000" w:fill="FFFFFF"/>
            <w:vAlign w:val="center"/>
            <w:hideMark/>
          </w:tcPr>
          <w:p w14:paraId="1280E1C4"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w:t>
            </w:r>
          </w:p>
        </w:tc>
        <w:tc>
          <w:tcPr>
            <w:tcW w:w="960" w:type="dxa"/>
            <w:tcBorders>
              <w:top w:val="nil"/>
              <w:left w:val="nil"/>
              <w:bottom w:val="nil"/>
              <w:right w:val="nil"/>
            </w:tcBorders>
            <w:shd w:val="clear" w:color="000000" w:fill="FFFFFF"/>
            <w:vAlign w:val="center"/>
            <w:hideMark/>
          </w:tcPr>
          <w:p w14:paraId="7561D1B3"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C</w:t>
            </w:r>
          </w:p>
        </w:tc>
        <w:tc>
          <w:tcPr>
            <w:tcW w:w="960" w:type="dxa"/>
            <w:tcBorders>
              <w:top w:val="nil"/>
              <w:left w:val="nil"/>
              <w:bottom w:val="nil"/>
              <w:right w:val="nil"/>
            </w:tcBorders>
            <w:shd w:val="clear" w:color="000000" w:fill="FFFFFF"/>
            <w:vAlign w:val="center"/>
            <w:hideMark/>
          </w:tcPr>
          <w:p w14:paraId="44B6B464"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B</w:t>
            </w:r>
          </w:p>
        </w:tc>
        <w:tc>
          <w:tcPr>
            <w:tcW w:w="960" w:type="dxa"/>
            <w:tcBorders>
              <w:top w:val="nil"/>
              <w:left w:val="nil"/>
              <w:bottom w:val="nil"/>
              <w:right w:val="nil"/>
            </w:tcBorders>
            <w:shd w:val="clear" w:color="000000" w:fill="FFFFFF"/>
            <w:vAlign w:val="center"/>
            <w:hideMark/>
          </w:tcPr>
          <w:p w14:paraId="30333D9D" w14:textId="77777777" w:rsidR="00976B8D" w:rsidRPr="00650EE4" w:rsidRDefault="00976B8D" w:rsidP="00A67C41">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≥A</w:t>
            </w:r>
          </w:p>
        </w:tc>
        <w:tc>
          <w:tcPr>
            <w:tcW w:w="960" w:type="dxa"/>
            <w:vMerge/>
            <w:tcBorders>
              <w:top w:val="single" w:sz="4" w:space="0" w:color="auto"/>
              <w:left w:val="single" w:sz="4" w:space="0" w:color="auto"/>
              <w:bottom w:val="nil"/>
              <w:right w:val="single" w:sz="4" w:space="0" w:color="auto"/>
            </w:tcBorders>
            <w:vAlign w:val="center"/>
            <w:hideMark/>
          </w:tcPr>
          <w:p w14:paraId="38CF8F58" w14:textId="77777777" w:rsidR="00976B8D" w:rsidRPr="00650EE4" w:rsidRDefault="00976B8D" w:rsidP="00A67C41">
            <w:pPr>
              <w:spacing w:line="240" w:lineRule="auto"/>
              <w:rPr>
                <w:rFonts w:ascii="Times New Roman" w:eastAsia="Times New Roman" w:hAnsi="Times New Roman"/>
                <w:b/>
                <w:bCs/>
                <w:sz w:val="20"/>
                <w:szCs w:val="20"/>
              </w:rPr>
            </w:pPr>
          </w:p>
        </w:tc>
        <w:tc>
          <w:tcPr>
            <w:tcW w:w="960" w:type="dxa"/>
            <w:vMerge/>
            <w:tcBorders>
              <w:top w:val="single" w:sz="4" w:space="0" w:color="auto"/>
              <w:left w:val="single" w:sz="4" w:space="0" w:color="auto"/>
              <w:bottom w:val="nil"/>
              <w:right w:val="single" w:sz="4" w:space="0" w:color="auto"/>
            </w:tcBorders>
            <w:vAlign w:val="center"/>
            <w:hideMark/>
          </w:tcPr>
          <w:p w14:paraId="0DBAFE9C" w14:textId="77777777" w:rsidR="00976B8D" w:rsidRPr="00650EE4" w:rsidRDefault="00976B8D" w:rsidP="00A67C41">
            <w:pPr>
              <w:spacing w:line="240" w:lineRule="auto"/>
              <w:rPr>
                <w:rFonts w:ascii="Times New Roman" w:eastAsia="Times New Roman" w:hAnsi="Times New Roman"/>
                <w:b/>
                <w:bCs/>
                <w:sz w:val="20"/>
                <w:szCs w:val="20"/>
              </w:rPr>
            </w:pPr>
          </w:p>
        </w:tc>
        <w:tc>
          <w:tcPr>
            <w:tcW w:w="1367" w:type="dxa"/>
            <w:vMerge/>
            <w:tcBorders>
              <w:left w:val="single" w:sz="4" w:space="0" w:color="auto"/>
              <w:bottom w:val="nil"/>
              <w:right w:val="single" w:sz="4" w:space="0" w:color="auto"/>
            </w:tcBorders>
          </w:tcPr>
          <w:p w14:paraId="59C65FC4" w14:textId="77777777" w:rsidR="00976B8D" w:rsidRPr="00650EE4" w:rsidRDefault="00976B8D" w:rsidP="00A67C41">
            <w:pPr>
              <w:spacing w:line="240" w:lineRule="auto"/>
              <w:rPr>
                <w:rFonts w:ascii="Times New Roman" w:eastAsia="Times New Roman" w:hAnsi="Times New Roman"/>
                <w:b/>
                <w:bCs/>
                <w:sz w:val="20"/>
                <w:szCs w:val="20"/>
              </w:rPr>
            </w:pPr>
          </w:p>
        </w:tc>
      </w:tr>
      <w:tr w:rsidR="00976B8D" w:rsidRPr="00650EE4" w14:paraId="232B69E3" w14:textId="77777777" w:rsidTr="00D612BA">
        <w:trPr>
          <w:trHeight w:val="70"/>
        </w:trPr>
        <w:tc>
          <w:tcPr>
            <w:tcW w:w="2972" w:type="dxa"/>
            <w:tcBorders>
              <w:top w:val="single" w:sz="4" w:space="0" w:color="auto"/>
              <w:left w:val="single" w:sz="4" w:space="0" w:color="auto"/>
              <w:bottom w:val="nil"/>
              <w:right w:val="single" w:sz="4" w:space="0" w:color="auto"/>
            </w:tcBorders>
            <w:shd w:val="clear" w:color="000000" w:fill="FFFFFF"/>
            <w:noWrap/>
            <w:vAlign w:val="center"/>
            <w:hideMark/>
          </w:tcPr>
          <w:p w14:paraId="121A6883" w14:textId="2B553763" w:rsidR="00976B8D" w:rsidRPr="00650EE4" w:rsidRDefault="00F84B1E"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Individualūs</w:t>
            </w:r>
          </w:p>
        </w:tc>
        <w:tc>
          <w:tcPr>
            <w:tcW w:w="960" w:type="dxa"/>
            <w:tcBorders>
              <w:top w:val="single" w:sz="4" w:space="0" w:color="auto"/>
              <w:left w:val="nil"/>
              <w:bottom w:val="nil"/>
              <w:right w:val="nil"/>
            </w:tcBorders>
            <w:shd w:val="clear" w:color="000000" w:fill="FFFFFF"/>
            <w:noWrap/>
            <w:vAlign w:val="center"/>
            <w:hideMark/>
          </w:tcPr>
          <w:p w14:paraId="1A282D8D"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51</w:t>
            </w:r>
          </w:p>
        </w:tc>
        <w:tc>
          <w:tcPr>
            <w:tcW w:w="960" w:type="dxa"/>
            <w:tcBorders>
              <w:top w:val="single" w:sz="4" w:space="0" w:color="auto"/>
              <w:left w:val="nil"/>
              <w:bottom w:val="nil"/>
              <w:right w:val="nil"/>
            </w:tcBorders>
            <w:shd w:val="clear" w:color="000000" w:fill="FFFFFF"/>
            <w:noWrap/>
            <w:vAlign w:val="center"/>
            <w:hideMark/>
          </w:tcPr>
          <w:p w14:paraId="12684A66"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10</w:t>
            </w:r>
          </w:p>
        </w:tc>
        <w:tc>
          <w:tcPr>
            <w:tcW w:w="960" w:type="dxa"/>
            <w:tcBorders>
              <w:top w:val="single" w:sz="4" w:space="0" w:color="auto"/>
              <w:left w:val="nil"/>
              <w:bottom w:val="nil"/>
              <w:right w:val="nil"/>
            </w:tcBorders>
            <w:shd w:val="clear" w:color="000000" w:fill="FFFFFF"/>
            <w:noWrap/>
            <w:vAlign w:val="center"/>
            <w:hideMark/>
          </w:tcPr>
          <w:p w14:paraId="45FAEC2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nil"/>
              <w:bottom w:val="nil"/>
              <w:right w:val="nil"/>
            </w:tcBorders>
            <w:shd w:val="clear" w:color="000000" w:fill="FFFFFF"/>
            <w:noWrap/>
            <w:vAlign w:val="center"/>
            <w:hideMark/>
          </w:tcPr>
          <w:p w14:paraId="4643018A"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w:t>
            </w:r>
          </w:p>
        </w:tc>
        <w:tc>
          <w:tcPr>
            <w:tcW w:w="960" w:type="dxa"/>
            <w:tcBorders>
              <w:top w:val="single" w:sz="4" w:space="0" w:color="auto"/>
              <w:left w:val="single" w:sz="4" w:space="0" w:color="auto"/>
              <w:bottom w:val="nil"/>
              <w:right w:val="single" w:sz="4" w:space="0" w:color="auto"/>
            </w:tcBorders>
            <w:shd w:val="clear" w:color="000000" w:fill="FFFFFF"/>
            <w:noWrap/>
            <w:vAlign w:val="center"/>
            <w:hideMark/>
          </w:tcPr>
          <w:p w14:paraId="139EF5C2"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61</w:t>
            </w:r>
          </w:p>
        </w:tc>
        <w:tc>
          <w:tcPr>
            <w:tcW w:w="960" w:type="dxa"/>
            <w:tcBorders>
              <w:top w:val="single" w:sz="4" w:space="0" w:color="auto"/>
              <w:left w:val="nil"/>
              <w:bottom w:val="nil"/>
              <w:right w:val="single" w:sz="4" w:space="0" w:color="auto"/>
            </w:tcBorders>
            <w:shd w:val="clear" w:color="000000" w:fill="FFFFFF"/>
            <w:noWrap/>
            <w:vAlign w:val="center"/>
            <w:hideMark/>
          </w:tcPr>
          <w:p w14:paraId="5446D92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c>
          <w:tcPr>
            <w:tcW w:w="1367" w:type="dxa"/>
            <w:tcBorders>
              <w:top w:val="single" w:sz="4" w:space="0" w:color="auto"/>
              <w:left w:val="nil"/>
              <w:bottom w:val="nil"/>
              <w:right w:val="single" w:sz="4" w:space="0" w:color="auto"/>
            </w:tcBorders>
            <w:shd w:val="clear" w:color="000000" w:fill="FFFFFF"/>
          </w:tcPr>
          <w:p w14:paraId="3D05D0E3" w14:textId="1E684609" w:rsidR="00976B8D" w:rsidRPr="00650EE4" w:rsidRDefault="00C16BE4"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0,4%</w:t>
            </w:r>
          </w:p>
        </w:tc>
      </w:tr>
      <w:tr w:rsidR="00976B8D" w:rsidRPr="00650EE4" w14:paraId="7E6F636F" w14:textId="77777777" w:rsidTr="001223A0">
        <w:trPr>
          <w:trHeight w:val="80"/>
        </w:trPr>
        <w:tc>
          <w:tcPr>
            <w:tcW w:w="2972" w:type="dxa"/>
            <w:tcBorders>
              <w:top w:val="nil"/>
              <w:left w:val="single" w:sz="4" w:space="0" w:color="auto"/>
              <w:bottom w:val="nil"/>
              <w:right w:val="single" w:sz="4" w:space="0" w:color="auto"/>
            </w:tcBorders>
            <w:shd w:val="clear" w:color="000000" w:fill="FFFFFF"/>
            <w:noWrap/>
            <w:vAlign w:val="center"/>
            <w:hideMark/>
          </w:tcPr>
          <w:p w14:paraId="5389DFA3" w14:textId="77777777" w:rsidR="00976B8D" w:rsidRPr="00650EE4" w:rsidRDefault="00976B8D" w:rsidP="00A67C41">
            <w:pPr>
              <w:spacing w:line="240" w:lineRule="auto"/>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Daugiabučiai</w:t>
            </w:r>
          </w:p>
        </w:tc>
        <w:tc>
          <w:tcPr>
            <w:tcW w:w="960" w:type="dxa"/>
            <w:tcBorders>
              <w:top w:val="nil"/>
              <w:left w:val="nil"/>
              <w:bottom w:val="nil"/>
              <w:right w:val="nil"/>
            </w:tcBorders>
            <w:shd w:val="clear" w:color="000000" w:fill="FFFFFF"/>
            <w:noWrap/>
            <w:vAlign w:val="center"/>
            <w:hideMark/>
          </w:tcPr>
          <w:p w14:paraId="6B555691"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183</w:t>
            </w:r>
          </w:p>
        </w:tc>
        <w:tc>
          <w:tcPr>
            <w:tcW w:w="960" w:type="dxa"/>
            <w:tcBorders>
              <w:top w:val="nil"/>
              <w:left w:val="nil"/>
              <w:bottom w:val="nil"/>
              <w:right w:val="nil"/>
            </w:tcBorders>
            <w:shd w:val="clear" w:color="000000" w:fill="FFFFFF"/>
            <w:noWrap/>
            <w:vAlign w:val="center"/>
            <w:hideMark/>
          </w:tcPr>
          <w:p w14:paraId="43E6D729"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31</w:t>
            </w:r>
          </w:p>
        </w:tc>
        <w:tc>
          <w:tcPr>
            <w:tcW w:w="960" w:type="dxa"/>
            <w:tcBorders>
              <w:top w:val="nil"/>
              <w:left w:val="nil"/>
              <w:bottom w:val="nil"/>
              <w:right w:val="nil"/>
            </w:tcBorders>
            <w:shd w:val="clear" w:color="000000" w:fill="FFFFFF"/>
            <w:noWrap/>
            <w:vAlign w:val="center"/>
            <w:hideMark/>
          </w:tcPr>
          <w:p w14:paraId="09D91BAF"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22</w:t>
            </w:r>
          </w:p>
        </w:tc>
        <w:tc>
          <w:tcPr>
            <w:tcW w:w="960" w:type="dxa"/>
            <w:tcBorders>
              <w:top w:val="nil"/>
              <w:left w:val="nil"/>
              <w:bottom w:val="nil"/>
              <w:right w:val="nil"/>
            </w:tcBorders>
            <w:shd w:val="clear" w:color="000000" w:fill="FFFFFF"/>
            <w:noWrap/>
            <w:vAlign w:val="center"/>
            <w:hideMark/>
          </w:tcPr>
          <w:p w14:paraId="6907CF9B"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1</w:t>
            </w:r>
          </w:p>
        </w:tc>
        <w:tc>
          <w:tcPr>
            <w:tcW w:w="960" w:type="dxa"/>
            <w:tcBorders>
              <w:top w:val="nil"/>
              <w:left w:val="single" w:sz="4" w:space="0" w:color="auto"/>
              <w:bottom w:val="nil"/>
              <w:right w:val="single" w:sz="4" w:space="0" w:color="auto"/>
            </w:tcBorders>
            <w:shd w:val="clear" w:color="000000" w:fill="FFFFFF"/>
            <w:noWrap/>
            <w:vAlign w:val="center"/>
            <w:hideMark/>
          </w:tcPr>
          <w:p w14:paraId="6BB44EA3" w14:textId="77777777" w:rsidR="00976B8D" w:rsidRPr="00650EE4" w:rsidRDefault="00976B8D" w:rsidP="00A67C41">
            <w:pPr>
              <w:spacing w:line="240" w:lineRule="auto"/>
              <w:jc w:val="right"/>
              <w:rPr>
                <w:rFonts w:ascii="Times New Roman" w:eastAsia="Times New Roman" w:hAnsi="Times New Roman"/>
                <w:b/>
                <w:bCs/>
                <w:color w:val="auto"/>
                <w:sz w:val="20"/>
                <w:szCs w:val="20"/>
              </w:rPr>
            </w:pPr>
            <w:r w:rsidRPr="00650EE4">
              <w:rPr>
                <w:rFonts w:ascii="Times New Roman" w:eastAsia="Times New Roman" w:hAnsi="Times New Roman"/>
                <w:b/>
                <w:bCs/>
                <w:color w:val="auto"/>
                <w:sz w:val="20"/>
                <w:szCs w:val="20"/>
              </w:rPr>
              <w:t>237</w:t>
            </w:r>
          </w:p>
        </w:tc>
        <w:tc>
          <w:tcPr>
            <w:tcW w:w="960" w:type="dxa"/>
            <w:tcBorders>
              <w:top w:val="nil"/>
              <w:left w:val="nil"/>
              <w:bottom w:val="nil"/>
              <w:right w:val="single" w:sz="4" w:space="0" w:color="auto"/>
            </w:tcBorders>
            <w:shd w:val="clear" w:color="000000" w:fill="FFFFFF"/>
            <w:noWrap/>
            <w:vAlign w:val="center"/>
            <w:hideMark/>
          </w:tcPr>
          <w:p w14:paraId="7F39C18A" w14:textId="77777777" w:rsidR="00976B8D" w:rsidRPr="00650EE4" w:rsidRDefault="00976B8D"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7%</w:t>
            </w:r>
          </w:p>
        </w:tc>
        <w:tc>
          <w:tcPr>
            <w:tcW w:w="1367" w:type="dxa"/>
            <w:tcBorders>
              <w:top w:val="nil"/>
              <w:left w:val="nil"/>
              <w:bottom w:val="nil"/>
              <w:right w:val="single" w:sz="4" w:space="0" w:color="auto"/>
            </w:tcBorders>
            <w:shd w:val="clear" w:color="000000" w:fill="FFFFFF"/>
          </w:tcPr>
          <w:p w14:paraId="65C2D4ED" w14:textId="1AC6C0FE" w:rsidR="00976B8D" w:rsidRPr="00650EE4" w:rsidRDefault="00C16BE4" w:rsidP="00A67C41">
            <w:pPr>
              <w:spacing w:line="240" w:lineRule="auto"/>
              <w:jc w:val="right"/>
              <w:rPr>
                <w:rFonts w:ascii="Times New Roman" w:eastAsia="Times New Roman" w:hAnsi="Times New Roman"/>
                <w:color w:val="auto"/>
                <w:sz w:val="20"/>
                <w:szCs w:val="20"/>
              </w:rPr>
            </w:pPr>
            <w:r w:rsidRPr="00650EE4">
              <w:rPr>
                <w:rFonts w:ascii="Times New Roman" w:eastAsia="Times New Roman" w:hAnsi="Times New Roman"/>
                <w:color w:val="auto"/>
                <w:sz w:val="20"/>
                <w:szCs w:val="20"/>
              </w:rPr>
              <w:t>2%</w:t>
            </w:r>
          </w:p>
        </w:tc>
      </w:tr>
      <w:tr w:rsidR="00976B8D" w:rsidRPr="00650EE4" w14:paraId="0942FA4C" w14:textId="77777777" w:rsidTr="001223A0">
        <w:trPr>
          <w:trHeight w:val="80"/>
        </w:trPr>
        <w:tc>
          <w:tcPr>
            <w:tcW w:w="2972" w:type="dxa"/>
            <w:tcBorders>
              <w:top w:val="nil"/>
              <w:left w:val="single" w:sz="4" w:space="0" w:color="auto"/>
              <w:bottom w:val="nil"/>
              <w:right w:val="single" w:sz="4" w:space="0" w:color="auto"/>
            </w:tcBorders>
            <w:shd w:val="clear" w:color="000000" w:fill="FFFFFF"/>
            <w:noWrap/>
            <w:vAlign w:val="center"/>
            <w:hideMark/>
          </w:tcPr>
          <w:p w14:paraId="12468347"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Pramonė</w:t>
            </w:r>
          </w:p>
        </w:tc>
        <w:tc>
          <w:tcPr>
            <w:tcW w:w="960" w:type="dxa"/>
            <w:tcBorders>
              <w:top w:val="nil"/>
              <w:left w:val="nil"/>
              <w:bottom w:val="nil"/>
              <w:right w:val="nil"/>
            </w:tcBorders>
            <w:shd w:val="clear" w:color="000000" w:fill="FFFFFF"/>
            <w:noWrap/>
            <w:vAlign w:val="center"/>
            <w:hideMark/>
          </w:tcPr>
          <w:p w14:paraId="3626E84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240</w:t>
            </w:r>
          </w:p>
        </w:tc>
        <w:tc>
          <w:tcPr>
            <w:tcW w:w="960" w:type="dxa"/>
            <w:tcBorders>
              <w:top w:val="nil"/>
              <w:left w:val="nil"/>
              <w:bottom w:val="nil"/>
              <w:right w:val="nil"/>
            </w:tcBorders>
            <w:shd w:val="clear" w:color="000000" w:fill="FFFFFF"/>
            <w:noWrap/>
            <w:vAlign w:val="center"/>
            <w:hideMark/>
          </w:tcPr>
          <w:p w14:paraId="0DA9A916"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nil"/>
              <w:right w:val="nil"/>
            </w:tcBorders>
            <w:shd w:val="clear" w:color="000000" w:fill="FFFFFF"/>
            <w:noWrap/>
            <w:vAlign w:val="center"/>
            <w:hideMark/>
          </w:tcPr>
          <w:p w14:paraId="40C87ACC"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960" w:type="dxa"/>
            <w:tcBorders>
              <w:top w:val="nil"/>
              <w:left w:val="nil"/>
              <w:bottom w:val="nil"/>
              <w:right w:val="nil"/>
            </w:tcBorders>
            <w:shd w:val="clear" w:color="000000" w:fill="FFFFFF"/>
            <w:noWrap/>
            <w:vAlign w:val="center"/>
            <w:hideMark/>
          </w:tcPr>
          <w:p w14:paraId="661BBAB9"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w:t>
            </w:r>
          </w:p>
        </w:tc>
        <w:tc>
          <w:tcPr>
            <w:tcW w:w="960" w:type="dxa"/>
            <w:tcBorders>
              <w:top w:val="nil"/>
              <w:left w:val="single" w:sz="4" w:space="0" w:color="auto"/>
              <w:bottom w:val="nil"/>
              <w:right w:val="single" w:sz="4" w:space="0" w:color="auto"/>
            </w:tcBorders>
            <w:shd w:val="clear" w:color="000000" w:fill="FFFFFF"/>
            <w:noWrap/>
            <w:vAlign w:val="center"/>
            <w:hideMark/>
          </w:tcPr>
          <w:p w14:paraId="50D74A82"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252</w:t>
            </w:r>
          </w:p>
        </w:tc>
        <w:tc>
          <w:tcPr>
            <w:tcW w:w="960" w:type="dxa"/>
            <w:tcBorders>
              <w:top w:val="nil"/>
              <w:left w:val="nil"/>
              <w:bottom w:val="nil"/>
              <w:right w:val="single" w:sz="4" w:space="0" w:color="auto"/>
            </w:tcBorders>
            <w:shd w:val="clear" w:color="000000" w:fill="FFFFFF"/>
            <w:noWrap/>
            <w:vAlign w:val="center"/>
            <w:hideMark/>
          </w:tcPr>
          <w:p w14:paraId="6E524E5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1367" w:type="dxa"/>
            <w:tcBorders>
              <w:top w:val="nil"/>
              <w:left w:val="nil"/>
              <w:bottom w:val="nil"/>
              <w:right w:val="single" w:sz="4" w:space="0" w:color="auto"/>
            </w:tcBorders>
            <w:shd w:val="clear" w:color="000000" w:fill="FFFFFF"/>
          </w:tcPr>
          <w:p w14:paraId="669550A0" w14:textId="08E5DC94"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r>
      <w:tr w:rsidR="00976B8D" w:rsidRPr="00650EE4" w14:paraId="5B249BB7" w14:textId="77777777" w:rsidTr="009868A0">
        <w:trPr>
          <w:trHeight w:val="8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6988E5DC"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Kiti negyvenamieji</w:t>
            </w:r>
          </w:p>
        </w:tc>
        <w:tc>
          <w:tcPr>
            <w:tcW w:w="960" w:type="dxa"/>
            <w:tcBorders>
              <w:top w:val="nil"/>
              <w:left w:val="nil"/>
              <w:bottom w:val="single" w:sz="4" w:space="0" w:color="auto"/>
              <w:right w:val="nil"/>
            </w:tcBorders>
            <w:shd w:val="clear" w:color="000000" w:fill="FFFFFF"/>
            <w:noWrap/>
            <w:vAlign w:val="center"/>
            <w:hideMark/>
          </w:tcPr>
          <w:p w14:paraId="43E7283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2.177</w:t>
            </w:r>
          </w:p>
        </w:tc>
        <w:tc>
          <w:tcPr>
            <w:tcW w:w="960" w:type="dxa"/>
            <w:tcBorders>
              <w:top w:val="nil"/>
              <w:left w:val="nil"/>
              <w:bottom w:val="single" w:sz="4" w:space="0" w:color="auto"/>
              <w:right w:val="nil"/>
            </w:tcBorders>
            <w:shd w:val="clear" w:color="000000" w:fill="FFFFFF"/>
            <w:noWrap/>
            <w:vAlign w:val="center"/>
            <w:hideMark/>
          </w:tcPr>
          <w:p w14:paraId="15FF03D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425</w:t>
            </w:r>
          </w:p>
        </w:tc>
        <w:tc>
          <w:tcPr>
            <w:tcW w:w="960" w:type="dxa"/>
            <w:tcBorders>
              <w:top w:val="nil"/>
              <w:left w:val="nil"/>
              <w:bottom w:val="single" w:sz="4" w:space="0" w:color="auto"/>
              <w:right w:val="nil"/>
            </w:tcBorders>
            <w:shd w:val="clear" w:color="000000" w:fill="FFFFFF"/>
            <w:noWrap/>
            <w:vAlign w:val="center"/>
            <w:hideMark/>
          </w:tcPr>
          <w:p w14:paraId="7343804F"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274</w:t>
            </w:r>
          </w:p>
        </w:tc>
        <w:tc>
          <w:tcPr>
            <w:tcW w:w="960" w:type="dxa"/>
            <w:tcBorders>
              <w:top w:val="nil"/>
              <w:left w:val="nil"/>
              <w:bottom w:val="single" w:sz="4" w:space="0" w:color="auto"/>
              <w:right w:val="nil"/>
            </w:tcBorders>
            <w:shd w:val="clear" w:color="000000" w:fill="FFFFFF"/>
            <w:noWrap/>
            <w:vAlign w:val="center"/>
            <w:hideMark/>
          </w:tcPr>
          <w:p w14:paraId="7F9E46C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760EA964"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2.884</w:t>
            </w:r>
          </w:p>
        </w:tc>
        <w:tc>
          <w:tcPr>
            <w:tcW w:w="960" w:type="dxa"/>
            <w:tcBorders>
              <w:top w:val="nil"/>
              <w:left w:val="nil"/>
              <w:bottom w:val="single" w:sz="4" w:space="0" w:color="auto"/>
              <w:right w:val="single" w:sz="4" w:space="0" w:color="auto"/>
            </w:tcBorders>
            <w:shd w:val="clear" w:color="000000" w:fill="FFFFFF"/>
            <w:noWrap/>
            <w:vAlign w:val="center"/>
            <w:hideMark/>
          </w:tcPr>
          <w:p w14:paraId="2B8564D4"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84%</w:t>
            </w:r>
          </w:p>
        </w:tc>
        <w:tc>
          <w:tcPr>
            <w:tcW w:w="1367" w:type="dxa"/>
            <w:tcBorders>
              <w:top w:val="nil"/>
              <w:left w:val="nil"/>
              <w:bottom w:val="single" w:sz="4" w:space="0" w:color="auto"/>
              <w:right w:val="single" w:sz="4" w:space="0" w:color="auto"/>
            </w:tcBorders>
            <w:shd w:val="clear" w:color="000000" w:fill="FFFFFF"/>
          </w:tcPr>
          <w:p w14:paraId="3779EA77" w14:textId="6B3C3784"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r>
      <w:tr w:rsidR="00976B8D" w:rsidRPr="00650EE4" w14:paraId="7B314F45" w14:textId="77777777" w:rsidTr="007D3639">
        <w:trPr>
          <w:trHeight w:val="7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6769612" w14:textId="77777777" w:rsidR="00976B8D" w:rsidRPr="00650EE4" w:rsidRDefault="00976B8D" w:rsidP="00A67C41">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Iš viso</w:t>
            </w:r>
          </w:p>
        </w:tc>
        <w:tc>
          <w:tcPr>
            <w:tcW w:w="960" w:type="dxa"/>
            <w:tcBorders>
              <w:top w:val="nil"/>
              <w:left w:val="nil"/>
              <w:bottom w:val="single" w:sz="4" w:space="0" w:color="auto"/>
              <w:right w:val="nil"/>
            </w:tcBorders>
            <w:shd w:val="clear" w:color="000000" w:fill="FFFFFF"/>
            <w:noWrap/>
            <w:vAlign w:val="center"/>
            <w:hideMark/>
          </w:tcPr>
          <w:p w14:paraId="2E67FB2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2.651</w:t>
            </w:r>
          </w:p>
        </w:tc>
        <w:tc>
          <w:tcPr>
            <w:tcW w:w="960" w:type="dxa"/>
            <w:tcBorders>
              <w:top w:val="nil"/>
              <w:left w:val="nil"/>
              <w:bottom w:val="single" w:sz="4" w:space="0" w:color="auto"/>
              <w:right w:val="nil"/>
            </w:tcBorders>
            <w:shd w:val="clear" w:color="000000" w:fill="FFFFFF"/>
            <w:noWrap/>
            <w:vAlign w:val="center"/>
            <w:hideMark/>
          </w:tcPr>
          <w:p w14:paraId="661B7729"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472</w:t>
            </w:r>
          </w:p>
        </w:tc>
        <w:tc>
          <w:tcPr>
            <w:tcW w:w="960" w:type="dxa"/>
            <w:tcBorders>
              <w:top w:val="nil"/>
              <w:left w:val="nil"/>
              <w:bottom w:val="single" w:sz="4" w:space="0" w:color="auto"/>
              <w:right w:val="nil"/>
            </w:tcBorders>
            <w:shd w:val="clear" w:color="000000" w:fill="FFFFFF"/>
            <w:noWrap/>
            <w:vAlign w:val="center"/>
            <w:hideMark/>
          </w:tcPr>
          <w:p w14:paraId="46B7583B"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301</w:t>
            </w:r>
          </w:p>
        </w:tc>
        <w:tc>
          <w:tcPr>
            <w:tcW w:w="960" w:type="dxa"/>
            <w:tcBorders>
              <w:top w:val="nil"/>
              <w:left w:val="nil"/>
              <w:bottom w:val="single" w:sz="4" w:space="0" w:color="auto"/>
              <w:right w:val="nil"/>
            </w:tcBorders>
            <w:shd w:val="clear" w:color="000000" w:fill="FFFFFF"/>
            <w:noWrap/>
            <w:vAlign w:val="center"/>
            <w:hideMark/>
          </w:tcPr>
          <w:p w14:paraId="02C09E56"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8</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28706FC" w14:textId="77777777" w:rsidR="00976B8D" w:rsidRPr="00650EE4" w:rsidRDefault="00976B8D" w:rsidP="00A67C41">
            <w:pPr>
              <w:spacing w:line="240" w:lineRule="auto"/>
              <w:jc w:val="right"/>
              <w:rPr>
                <w:rFonts w:ascii="Times New Roman" w:eastAsia="Times New Roman" w:hAnsi="Times New Roman"/>
                <w:b/>
                <w:bCs/>
                <w:sz w:val="20"/>
                <w:szCs w:val="20"/>
              </w:rPr>
            </w:pPr>
            <w:r w:rsidRPr="00650EE4">
              <w:rPr>
                <w:rFonts w:ascii="Times New Roman" w:eastAsia="Times New Roman" w:hAnsi="Times New Roman"/>
                <w:b/>
                <w:bCs/>
                <w:sz w:val="20"/>
                <w:szCs w:val="20"/>
              </w:rPr>
              <w:t>3.434</w:t>
            </w:r>
          </w:p>
        </w:tc>
        <w:tc>
          <w:tcPr>
            <w:tcW w:w="960" w:type="dxa"/>
            <w:tcBorders>
              <w:top w:val="nil"/>
              <w:left w:val="nil"/>
              <w:bottom w:val="single" w:sz="4" w:space="0" w:color="auto"/>
              <w:right w:val="single" w:sz="4" w:space="0" w:color="auto"/>
            </w:tcBorders>
            <w:shd w:val="clear" w:color="000000" w:fill="FFFFFF"/>
            <w:noWrap/>
            <w:vAlign w:val="center"/>
            <w:hideMark/>
          </w:tcPr>
          <w:p w14:paraId="0123BECE"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1367" w:type="dxa"/>
            <w:tcBorders>
              <w:top w:val="nil"/>
              <w:left w:val="nil"/>
              <w:bottom w:val="single" w:sz="4" w:space="0" w:color="auto"/>
              <w:right w:val="single" w:sz="4" w:space="0" w:color="auto"/>
            </w:tcBorders>
            <w:shd w:val="clear" w:color="000000" w:fill="FFFFFF"/>
          </w:tcPr>
          <w:p w14:paraId="535B935E" w14:textId="02E12F0B" w:rsidR="00976B8D" w:rsidRPr="00650EE4" w:rsidRDefault="00C16BE4"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r>
      <w:tr w:rsidR="00976B8D" w:rsidRPr="00650EE4" w14:paraId="2D4AC5B3" w14:textId="77777777" w:rsidTr="007D3639">
        <w:trPr>
          <w:trHeight w:val="70"/>
        </w:trPr>
        <w:tc>
          <w:tcPr>
            <w:tcW w:w="2972" w:type="dxa"/>
            <w:tcBorders>
              <w:top w:val="nil"/>
              <w:left w:val="single" w:sz="4" w:space="0" w:color="auto"/>
              <w:bottom w:val="single" w:sz="4" w:space="0" w:color="auto"/>
              <w:right w:val="single" w:sz="4" w:space="0" w:color="auto"/>
            </w:tcBorders>
            <w:shd w:val="clear" w:color="000000" w:fill="FFFFFF"/>
            <w:noWrap/>
            <w:vAlign w:val="center"/>
            <w:hideMark/>
          </w:tcPr>
          <w:p w14:paraId="2DBAF25E"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Iš viso, proc.</w:t>
            </w:r>
          </w:p>
        </w:tc>
        <w:tc>
          <w:tcPr>
            <w:tcW w:w="960" w:type="dxa"/>
            <w:tcBorders>
              <w:top w:val="nil"/>
              <w:left w:val="nil"/>
              <w:bottom w:val="single" w:sz="4" w:space="0" w:color="auto"/>
              <w:right w:val="nil"/>
            </w:tcBorders>
            <w:shd w:val="clear" w:color="000000" w:fill="FFFFFF"/>
            <w:noWrap/>
            <w:vAlign w:val="center"/>
            <w:hideMark/>
          </w:tcPr>
          <w:p w14:paraId="77F0D3F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77%</w:t>
            </w:r>
          </w:p>
        </w:tc>
        <w:tc>
          <w:tcPr>
            <w:tcW w:w="960" w:type="dxa"/>
            <w:tcBorders>
              <w:top w:val="nil"/>
              <w:left w:val="nil"/>
              <w:bottom w:val="single" w:sz="4" w:space="0" w:color="auto"/>
              <w:right w:val="nil"/>
            </w:tcBorders>
            <w:shd w:val="clear" w:color="000000" w:fill="FFFFFF"/>
            <w:noWrap/>
            <w:vAlign w:val="center"/>
            <w:hideMark/>
          </w:tcPr>
          <w:p w14:paraId="6D019AED"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960" w:type="dxa"/>
            <w:tcBorders>
              <w:top w:val="nil"/>
              <w:left w:val="nil"/>
              <w:bottom w:val="single" w:sz="4" w:space="0" w:color="auto"/>
              <w:right w:val="nil"/>
            </w:tcBorders>
            <w:shd w:val="clear" w:color="000000" w:fill="FFFFFF"/>
            <w:noWrap/>
            <w:vAlign w:val="center"/>
            <w:hideMark/>
          </w:tcPr>
          <w:p w14:paraId="71A1666A"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960" w:type="dxa"/>
            <w:tcBorders>
              <w:top w:val="nil"/>
              <w:left w:val="nil"/>
              <w:bottom w:val="single" w:sz="4" w:space="0" w:color="auto"/>
              <w:right w:val="nil"/>
            </w:tcBorders>
            <w:shd w:val="clear" w:color="000000" w:fill="FFFFFF"/>
            <w:noWrap/>
            <w:vAlign w:val="center"/>
            <w:hideMark/>
          </w:tcPr>
          <w:p w14:paraId="57E2D523"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0,2%</w:t>
            </w:r>
          </w:p>
        </w:tc>
        <w:tc>
          <w:tcPr>
            <w:tcW w:w="960" w:type="dxa"/>
            <w:tcBorders>
              <w:top w:val="nil"/>
              <w:left w:val="single" w:sz="4" w:space="0" w:color="auto"/>
              <w:bottom w:val="single" w:sz="4" w:space="0" w:color="auto"/>
              <w:right w:val="single" w:sz="4" w:space="0" w:color="auto"/>
            </w:tcBorders>
            <w:shd w:val="clear" w:color="000000" w:fill="FFFFFF"/>
            <w:noWrap/>
            <w:vAlign w:val="center"/>
            <w:hideMark/>
          </w:tcPr>
          <w:p w14:paraId="34177775" w14:textId="77777777" w:rsidR="00976B8D" w:rsidRPr="00650EE4" w:rsidRDefault="00976B8D" w:rsidP="00A67C41">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100%</w:t>
            </w:r>
          </w:p>
        </w:tc>
        <w:tc>
          <w:tcPr>
            <w:tcW w:w="960" w:type="dxa"/>
            <w:tcBorders>
              <w:top w:val="nil"/>
              <w:left w:val="nil"/>
              <w:bottom w:val="single" w:sz="4" w:space="0" w:color="auto"/>
              <w:right w:val="single" w:sz="4" w:space="0" w:color="auto"/>
            </w:tcBorders>
            <w:shd w:val="clear" w:color="000000" w:fill="FFFFFF"/>
            <w:noWrap/>
            <w:vAlign w:val="center"/>
            <w:hideMark/>
          </w:tcPr>
          <w:p w14:paraId="034E91E2" w14:textId="77777777" w:rsidR="00976B8D" w:rsidRPr="00650EE4" w:rsidRDefault="00976B8D" w:rsidP="00A67C41">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w:t>
            </w:r>
          </w:p>
        </w:tc>
        <w:tc>
          <w:tcPr>
            <w:tcW w:w="1367" w:type="dxa"/>
            <w:tcBorders>
              <w:top w:val="nil"/>
              <w:left w:val="nil"/>
              <w:bottom w:val="single" w:sz="4" w:space="0" w:color="auto"/>
              <w:right w:val="single" w:sz="4" w:space="0" w:color="auto"/>
            </w:tcBorders>
            <w:shd w:val="clear" w:color="000000" w:fill="FFFFFF"/>
          </w:tcPr>
          <w:p w14:paraId="783F3E6D" w14:textId="77777777" w:rsidR="00976B8D" w:rsidRPr="00650EE4" w:rsidRDefault="00976B8D" w:rsidP="00A67C41">
            <w:pPr>
              <w:spacing w:line="240" w:lineRule="auto"/>
              <w:rPr>
                <w:rFonts w:ascii="Times New Roman" w:eastAsia="Times New Roman" w:hAnsi="Times New Roman"/>
                <w:sz w:val="20"/>
                <w:szCs w:val="20"/>
              </w:rPr>
            </w:pPr>
          </w:p>
        </w:tc>
      </w:tr>
    </w:tbl>
    <w:p w14:paraId="288F3660" w14:textId="4A5D3A03" w:rsidR="00976B8D" w:rsidRPr="00650EE4" w:rsidRDefault="00976B8D" w:rsidP="00976B8D">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5567C4">
        <w:rPr>
          <w:rFonts w:ascii="Times New Roman" w:eastAsia="Times New Roman" w:hAnsi="Times New Roman"/>
          <w:i/>
          <w:color w:val="000000" w:themeColor="text1"/>
          <w:sz w:val="20"/>
          <w:szCs w:val="28"/>
        </w:rPr>
        <w:t xml:space="preserve"> </w:t>
      </w:r>
      <w:r w:rsidR="005567C4">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1925CC41" w14:textId="77777777" w:rsidR="00976B8D" w:rsidRPr="00650EE4" w:rsidRDefault="00976B8D" w:rsidP="00976B8D">
      <w:pPr>
        <w:pStyle w:val="Pagrindinispaprastastekstas"/>
        <w:rPr>
          <w:rFonts w:ascii="Times New Roman" w:hAnsi="Times New Roman"/>
        </w:rPr>
      </w:pPr>
    </w:p>
    <w:p w14:paraId="5A19A91C" w14:textId="09E825EF" w:rsidR="00976B8D" w:rsidRPr="00650EE4" w:rsidRDefault="00195067" w:rsidP="0074044A">
      <w:pPr>
        <w:spacing w:after="120"/>
        <w:rPr>
          <w:rFonts w:ascii="Times New Roman" w:hAnsi="Times New Roman"/>
          <w:color w:val="000000" w:themeColor="text1"/>
          <w:szCs w:val="28"/>
        </w:rPr>
      </w:pPr>
      <w:r w:rsidRPr="00650EE4">
        <w:rPr>
          <w:rFonts w:ascii="Times New Roman" w:hAnsi="Times New Roman"/>
          <w:color w:val="000000" w:themeColor="text1"/>
          <w:szCs w:val="28"/>
        </w:rPr>
        <w:t xml:space="preserve">Apibendrinant aukščiau pateiktus duomenis galima </w:t>
      </w:r>
      <w:r w:rsidR="00940E08" w:rsidRPr="00650EE4">
        <w:rPr>
          <w:rFonts w:ascii="Times New Roman" w:hAnsi="Times New Roman"/>
          <w:color w:val="000000" w:themeColor="text1"/>
          <w:szCs w:val="28"/>
        </w:rPr>
        <w:t>pastebėti</w:t>
      </w:r>
      <w:r w:rsidRPr="00650EE4">
        <w:rPr>
          <w:rFonts w:ascii="Times New Roman" w:hAnsi="Times New Roman"/>
          <w:color w:val="000000" w:themeColor="text1"/>
          <w:szCs w:val="28"/>
        </w:rPr>
        <w:t>, kad:</w:t>
      </w:r>
    </w:p>
    <w:p w14:paraId="12564D36" w14:textId="4FB4735B" w:rsidR="007F2772" w:rsidRPr="00650EE4" w:rsidRDefault="00050ED5" w:rsidP="007F2772">
      <w:pPr>
        <w:pStyle w:val="Pagrindinispaprastastekstas"/>
        <w:numPr>
          <w:ilvl w:val="0"/>
          <w:numId w:val="10"/>
        </w:numPr>
        <w:spacing w:after="60"/>
        <w:ind w:left="714" w:hanging="357"/>
        <w:rPr>
          <w:rFonts w:ascii="Times New Roman" w:hAnsi="Times New Roman"/>
          <w:szCs w:val="22"/>
        </w:rPr>
      </w:pPr>
      <w:r>
        <w:rPr>
          <w:rFonts w:ascii="Times New Roman" w:hAnsi="Times New Roman"/>
          <w:color w:val="000000" w:themeColor="text1"/>
          <w:szCs w:val="22"/>
        </w:rPr>
        <w:t>v</w:t>
      </w:r>
      <w:r w:rsidR="00195067" w:rsidRPr="00650EE4">
        <w:rPr>
          <w:rFonts w:ascii="Times New Roman" w:hAnsi="Times New Roman"/>
          <w:color w:val="000000" w:themeColor="text1"/>
          <w:szCs w:val="22"/>
        </w:rPr>
        <w:t xml:space="preserve">iešųjų pastatų fondas </w:t>
      </w:r>
      <w:r w:rsidR="00747700" w:rsidRPr="00650EE4">
        <w:rPr>
          <w:rFonts w:ascii="Times New Roman" w:hAnsi="Times New Roman"/>
          <w:color w:val="000000" w:themeColor="text1"/>
          <w:szCs w:val="22"/>
        </w:rPr>
        <w:t>sudaro</w:t>
      </w:r>
      <w:r w:rsidR="00195067" w:rsidRPr="00650EE4">
        <w:rPr>
          <w:rFonts w:ascii="Times New Roman" w:hAnsi="Times New Roman"/>
          <w:color w:val="000000" w:themeColor="text1"/>
          <w:szCs w:val="22"/>
        </w:rPr>
        <w:t xml:space="preserve"> nereikšmingą pastatų fondo dalį – tiek apimtimi (skaičiumi ir plotu), tiek pirminės energijos vartojimu</w:t>
      </w:r>
      <w:r>
        <w:rPr>
          <w:rFonts w:ascii="Times New Roman" w:hAnsi="Times New Roman"/>
          <w:color w:val="000000" w:themeColor="text1"/>
          <w:szCs w:val="22"/>
        </w:rPr>
        <w:t>;</w:t>
      </w:r>
      <w:r w:rsidR="007F2772" w:rsidRPr="00650EE4">
        <w:rPr>
          <w:rFonts w:ascii="Times New Roman" w:hAnsi="Times New Roman"/>
          <w:color w:val="000000" w:themeColor="text1"/>
          <w:szCs w:val="22"/>
        </w:rPr>
        <w:t xml:space="preserve"> </w:t>
      </w:r>
    </w:p>
    <w:p w14:paraId="6450F4F2" w14:textId="7D109D1F" w:rsidR="007F2772" w:rsidRPr="00650EE4" w:rsidRDefault="00050ED5" w:rsidP="007F2772">
      <w:pPr>
        <w:pStyle w:val="Pagrindinispaprastastekstas"/>
        <w:numPr>
          <w:ilvl w:val="0"/>
          <w:numId w:val="10"/>
        </w:numPr>
        <w:spacing w:after="60"/>
        <w:ind w:left="714" w:hanging="357"/>
        <w:rPr>
          <w:rFonts w:ascii="Times New Roman" w:hAnsi="Times New Roman"/>
          <w:szCs w:val="22"/>
        </w:rPr>
      </w:pPr>
      <w:r>
        <w:rPr>
          <w:rFonts w:ascii="Times New Roman" w:hAnsi="Times New Roman"/>
          <w:color w:val="000000" w:themeColor="text1"/>
          <w:szCs w:val="22"/>
        </w:rPr>
        <w:t>d</w:t>
      </w:r>
      <w:r w:rsidR="007F2772" w:rsidRPr="00650EE4">
        <w:rPr>
          <w:rFonts w:ascii="Times New Roman" w:hAnsi="Times New Roman"/>
          <w:color w:val="000000" w:themeColor="text1"/>
          <w:szCs w:val="22"/>
        </w:rPr>
        <w:t>idžioji dalis viešųjų pastatų yra blogiausios energinio naudingumo klasės, taip pat jie sudaro reikšmingą negyvenamųjų pastatų dalį;</w:t>
      </w:r>
    </w:p>
    <w:p w14:paraId="238C4B99" w14:textId="2495C409" w:rsidR="00195067" w:rsidRPr="00650EE4" w:rsidRDefault="00050ED5" w:rsidP="00940E0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a</w:t>
      </w:r>
      <w:r w:rsidR="00195067" w:rsidRPr="00650EE4">
        <w:rPr>
          <w:rFonts w:ascii="Times New Roman" w:hAnsi="Times New Roman"/>
          <w:color w:val="000000" w:themeColor="text1"/>
          <w:szCs w:val="22"/>
        </w:rPr>
        <w:t xml:space="preserve">titinkamai, </w:t>
      </w:r>
      <w:r w:rsidR="00940E08" w:rsidRPr="00650EE4">
        <w:rPr>
          <w:rFonts w:ascii="Times New Roman" w:hAnsi="Times New Roman"/>
          <w:color w:val="000000" w:themeColor="text1"/>
          <w:szCs w:val="22"/>
        </w:rPr>
        <w:t>viešųjų pastatų renovacija neturėtų reikšmingo poveikio energijos vartojimo mažėjimui šalies mastu;</w:t>
      </w:r>
    </w:p>
    <w:p w14:paraId="41E8E274" w14:textId="4DFC577D" w:rsidR="0025047E" w:rsidRPr="00650EE4" w:rsidRDefault="00C15F48" w:rsidP="00DA0D14">
      <w:pPr>
        <w:pStyle w:val="Pagrindinispaprastastekstas"/>
        <w:numPr>
          <w:ilvl w:val="0"/>
          <w:numId w:val="10"/>
        </w:numPr>
        <w:spacing w:after="60"/>
        <w:ind w:left="714" w:hanging="357"/>
        <w:rPr>
          <w:rFonts w:ascii="Times New Roman" w:hAnsi="Times New Roman"/>
          <w:szCs w:val="22"/>
        </w:rPr>
      </w:pPr>
      <w:r w:rsidRPr="00650EE4">
        <w:rPr>
          <w:rFonts w:ascii="Times New Roman" w:hAnsi="Times New Roman"/>
          <w:color w:val="000000" w:themeColor="text1"/>
          <w:szCs w:val="22"/>
        </w:rPr>
        <w:t>intensyvi ir sėkminga</w:t>
      </w:r>
      <w:r w:rsidR="0025047E" w:rsidRPr="00650EE4">
        <w:rPr>
          <w:rFonts w:ascii="Times New Roman" w:hAnsi="Times New Roman"/>
          <w:color w:val="000000" w:themeColor="text1"/>
          <w:szCs w:val="22"/>
        </w:rPr>
        <w:t xml:space="preserve"> viešųjų pastatų renovacijos galėtų</w:t>
      </w:r>
      <w:r w:rsidRPr="00650EE4">
        <w:rPr>
          <w:rFonts w:ascii="Times New Roman" w:hAnsi="Times New Roman"/>
          <w:color w:val="000000" w:themeColor="text1"/>
          <w:szCs w:val="22"/>
        </w:rPr>
        <w:t xml:space="preserve"> tapti sektinu pavyzdžiu.</w:t>
      </w:r>
    </w:p>
    <w:p w14:paraId="1110CFD2" w14:textId="62C119F3" w:rsidR="00AA5541" w:rsidRPr="00650EE4" w:rsidRDefault="00AA5541">
      <w:pPr>
        <w:spacing w:after="240"/>
        <w:rPr>
          <w:rFonts w:ascii="Times New Roman" w:hAnsi="Times New Roman"/>
          <w:color w:val="auto"/>
          <w:szCs w:val="22"/>
        </w:rPr>
      </w:pPr>
    </w:p>
    <w:p w14:paraId="4F0347F3" w14:textId="275C34D6" w:rsidR="0064148C" w:rsidRPr="00650EE4" w:rsidRDefault="0064148C" w:rsidP="00653EEF">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86" w:name="_Toc59107521"/>
      <w:r w:rsidRPr="00650EE4">
        <w:rPr>
          <w:rFonts w:ascii="Times New Roman" w:hAnsi="Times New Roman"/>
          <w:color w:val="auto"/>
          <w:sz w:val="24"/>
          <w:szCs w:val="24"/>
          <w:lang w:val="lt-LT"/>
        </w:rPr>
        <w:t>Esminiai skyriaus pastebėjimai</w:t>
      </w:r>
      <w:bookmarkEnd w:id="86"/>
    </w:p>
    <w:tbl>
      <w:tblPr>
        <w:tblW w:w="10161" w:type="dxa"/>
        <w:tblBorders>
          <w:left w:val="single" w:sz="36" w:space="0" w:color="EA0D2C"/>
        </w:tblBorders>
        <w:tblLayout w:type="fixed"/>
        <w:tblLook w:val="00A0" w:firstRow="1" w:lastRow="0" w:firstColumn="1" w:lastColumn="0" w:noHBand="0" w:noVBand="0"/>
      </w:tblPr>
      <w:tblGrid>
        <w:gridCol w:w="10161"/>
      </w:tblGrid>
      <w:tr w:rsidR="0064148C" w:rsidRPr="00650EE4" w14:paraId="77B3AA7F" w14:textId="77777777" w:rsidTr="003D42F9">
        <w:tc>
          <w:tcPr>
            <w:tcW w:w="10161" w:type="dxa"/>
            <w:tcBorders>
              <w:left w:val="single" w:sz="36" w:space="0" w:color="002060"/>
            </w:tcBorders>
            <w:shd w:val="clear" w:color="auto" w:fill="F0F0F0"/>
          </w:tcPr>
          <w:p w14:paraId="65BD4D0B" w14:textId="77777777" w:rsidR="00BE24D7" w:rsidRPr="00650EE4" w:rsidRDefault="00BE24D7"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Tik 2 proc. pastatų fondo pastatų (7 proc. ploto) sudaro vieša (savivaldybių ir valstybės) nuosavybė t.y. tik tokią Pastatų fondo transformacijos dalį galima patikimai planuoti ir kontroliuoti iš valstybės perspektyvos. Likusi pastatų savininkų dalis turi pati priimti sprendimą dalyvauti renovacijoje.</w:t>
            </w:r>
          </w:p>
          <w:p w14:paraId="2A41844D" w14:textId="77777777" w:rsidR="00BE24D7" w:rsidRPr="00650EE4" w:rsidRDefault="00BE24D7"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Beveik pusę (45 proc.) Pastatų fondo pagal plotą, sudaro mišri nuosavybė, t.y. kartu tiek vieša, tiek privati, tiek valdomą bendrasavininkių. Šis faktas gali papildomai apsunkinti pastatų savininkų sprendimo priėmimo procesą.</w:t>
            </w:r>
          </w:p>
          <w:p w14:paraId="2E7D47A1" w14:textId="183F1F73" w:rsidR="00BE24D7" w:rsidRPr="00650EE4" w:rsidRDefault="004147B2"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58</w:t>
            </w:r>
            <w:r w:rsidR="00050ED5">
              <w:rPr>
                <w:rFonts w:ascii="Times New Roman" w:hAnsi="Times New Roman"/>
                <w:szCs w:val="22"/>
                <w:lang w:val="lt-LT"/>
              </w:rPr>
              <w:t xml:space="preserve"> proc. p</w:t>
            </w:r>
            <w:r w:rsidR="00BE24D7" w:rsidRPr="00650EE4">
              <w:rPr>
                <w:rFonts w:ascii="Times New Roman" w:hAnsi="Times New Roman"/>
                <w:szCs w:val="22"/>
                <w:lang w:val="lt-LT"/>
              </w:rPr>
              <w:t>astatų fondo ploto sudaro pastatai pastatyti 1961-1992 m. Šio laikotarpio statybos pastatų architektūrinė ir konstrukcinė įvairovė nėra didelė. Tai sudaro prielaidas kartotiniams (standartiniams) renovacijos sprendimams realizuoti.</w:t>
            </w:r>
          </w:p>
          <w:p w14:paraId="1731B42C" w14:textId="36D83AD1" w:rsidR="00BE24D7" w:rsidRPr="00650EE4" w:rsidRDefault="00050ED5"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75 proc. p</w:t>
            </w:r>
            <w:r w:rsidR="00BE24D7" w:rsidRPr="00650EE4">
              <w:rPr>
                <w:rFonts w:ascii="Times New Roman" w:hAnsi="Times New Roman"/>
                <w:szCs w:val="22"/>
                <w:lang w:val="lt-LT"/>
              </w:rPr>
              <w:t>astatų fondo ploto pastatyta iki 1992 m. Atitinkamai IRS įgyvendinimo pabaigoje (2050 m.), absoliuti dauguma esamo pastatų fondo bus senesni nei 60 m. ir siekiant juos toliau eksploatuoti bus privalomas jų atnaujinimas (pvz. stogo remontas).</w:t>
            </w:r>
          </w:p>
          <w:p w14:paraId="64BE462F" w14:textId="24767427" w:rsidR="00F242D3" w:rsidRPr="00650EE4" w:rsidRDefault="00050ED5"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szCs w:val="22"/>
                <w:lang w:val="lt-LT"/>
              </w:rPr>
              <w:t>2/3 (63 proc.) visos p</w:t>
            </w:r>
            <w:r w:rsidR="00F242D3" w:rsidRPr="00650EE4">
              <w:rPr>
                <w:rFonts w:ascii="Times New Roman" w:hAnsi="Times New Roman"/>
                <w:szCs w:val="22"/>
                <w:lang w:val="lt-LT"/>
              </w:rPr>
              <w:t>astatų fondo pirminės energijos vartoja gyvenamieji pastatai, 34 proc. - individualūs gyvenamieji namai, 29  proc. – daugiabučiai.</w:t>
            </w:r>
          </w:p>
          <w:p w14:paraId="686EA4C3" w14:textId="2CCBCEA4" w:rsidR="005F748A" w:rsidRPr="00050ED5" w:rsidRDefault="004147B2" w:rsidP="004147B2">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Pr>
                <w:rFonts w:ascii="Times New Roman" w:hAnsi="Times New Roman"/>
                <w:color w:val="000000" w:themeColor="text1"/>
                <w:szCs w:val="22"/>
              </w:rPr>
              <w:t>4/5 (77 proc</w:t>
            </w:r>
            <w:r w:rsidRPr="004147B2">
              <w:rPr>
                <w:rFonts w:ascii="Times New Roman" w:hAnsi="Times New Roman"/>
                <w:color w:val="000000" w:themeColor="text1"/>
                <w:szCs w:val="22"/>
                <w:lang w:val="lt-LT"/>
              </w:rPr>
              <w:t>.) visos pastatų fondo pirminės energijos vartoja D ir žemesnės energ</w:t>
            </w:r>
            <w:r>
              <w:rPr>
                <w:rFonts w:ascii="Times New Roman" w:hAnsi="Times New Roman"/>
                <w:color w:val="000000" w:themeColor="text1"/>
                <w:szCs w:val="22"/>
                <w:lang w:val="lt-LT"/>
              </w:rPr>
              <w:t>inio naudingumo klasės pastatai</w:t>
            </w:r>
            <w:r>
              <w:rPr>
                <w:rFonts w:ascii="Times New Roman" w:hAnsi="Times New Roman"/>
                <w:szCs w:val="22"/>
                <w:lang w:val="lt-LT"/>
              </w:rPr>
              <w:t xml:space="preserve"> </w:t>
            </w:r>
            <w:r w:rsidRPr="00650EE4">
              <w:rPr>
                <w:rFonts w:ascii="Times New Roman" w:hAnsi="Times New Roman"/>
                <w:szCs w:val="22"/>
                <w:lang w:val="lt-LT"/>
              </w:rPr>
              <w:t>–</w:t>
            </w:r>
            <w:r w:rsidR="00050ED5">
              <w:rPr>
                <w:rFonts w:ascii="Times New Roman" w:hAnsi="Times New Roman"/>
                <w:szCs w:val="22"/>
                <w:lang w:val="lt-LT"/>
              </w:rPr>
              <w:t xml:space="preserve"> šis p</w:t>
            </w:r>
            <w:r w:rsidR="00F242D3" w:rsidRPr="00650EE4">
              <w:rPr>
                <w:rFonts w:ascii="Times New Roman" w:hAnsi="Times New Roman"/>
                <w:szCs w:val="22"/>
                <w:lang w:val="lt-LT"/>
              </w:rPr>
              <w:t>astatų fondo segmentas vertinamas kaip prioritetinis IRS kontekste.</w:t>
            </w:r>
          </w:p>
        </w:tc>
      </w:tr>
    </w:tbl>
    <w:p w14:paraId="02248B5E" w14:textId="77777777" w:rsidR="0064148C" w:rsidRPr="00650EE4" w:rsidRDefault="0064148C" w:rsidP="00BF1AC5">
      <w:pPr>
        <w:pStyle w:val="Pagrindinispaprastastekstas"/>
        <w:rPr>
          <w:rFonts w:ascii="Times New Roman" w:hAnsi="Times New Roman"/>
        </w:rPr>
      </w:pPr>
    </w:p>
    <w:p w14:paraId="7C7706CC" w14:textId="3C5296F3" w:rsidR="00895743" w:rsidRPr="00650EE4" w:rsidRDefault="00895743">
      <w:pPr>
        <w:spacing w:after="240"/>
        <w:rPr>
          <w:rFonts w:ascii="Times New Roman" w:hAnsi="Times New Roman"/>
          <w:color w:val="000000" w:themeColor="text1"/>
          <w:sz w:val="24"/>
          <w:szCs w:val="24"/>
        </w:rPr>
      </w:pPr>
      <w:r w:rsidRPr="00650EE4">
        <w:rPr>
          <w:rFonts w:ascii="Times New Roman" w:hAnsi="Times New Roman"/>
          <w:color w:val="000000" w:themeColor="text1"/>
          <w:sz w:val="24"/>
          <w:szCs w:val="24"/>
        </w:rPr>
        <w:br w:type="page"/>
      </w:r>
    </w:p>
    <w:p w14:paraId="3733B629" w14:textId="6C3C41C1" w:rsidR="00175B85" w:rsidRPr="00650EE4" w:rsidRDefault="00BF1AC5" w:rsidP="004F40D8">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bookmarkStart w:id="87" w:name="_Toc59107522"/>
      <w:r w:rsidRPr="00650EE4">
        <w:rPr>
          <w:rFonts w:ascii="Times New Roman" w:hAnsi="Times New Roman"/>
          <w:color w:val="002060"/>
          <w:sz w:val="24"/>
          <w:szCs w:val="24"/>
        </w:rPr>
        <w:lastRenderedPageBreak/>
        <w:t>E</w:t>
      </w:r>
      <w:r w:rsidR="00EA6D24" w:rsidRPr="00650EE4">
        <w:rPr>
          <w:rFonts w:ascii="Times New Roman" w:hAnsi="Times New Roman"/>
          <w:color w:val="002060"/>
          <w:sz w:val="24"/>
          <w:szCs w:val="24"/>
        </w:rPr>
        <w:t>KONOMIŠKAI EFEKTYVI</w:t>
      </w:r>
      <w:r w:rsidR="00D031A3" w:rsidRPr="00650EE4">
        <w:rPr>
          <w:rFonts w:ascii="Times New Roman" w:hAnsi="Times New Roman"/>
          <w:color w:val="002060"/>
          <w:sz w:val="24"/>
          <w:szCs w:val="24"/>
        </w:rPr>
        <w:t>AUSI</w:t>
      </w:r>
      <w:r w:rsidR="002C4D59" w:rsidRPr="00650EE4">
        <w:rPr>
          <w:rFonts w:ascii="Times New Roman" w:hAnsi="Times New Roman"/>
          <w:color w:val="002060"/>
          <w:sz w:val="24"/>
          <w:szCs w:val="24"/>
        </w:rPr>
        <w:t xml:space="preserve"> </w:t>
      </w:r>
      <w:r w:rsidR="00EA6D24" w:rsidRPr="00650EE4">
        <w:rPr>
          <w:rFonts w:ascii="Times New Roman" w:hAnsi="Times New Roman"/>
          <w:color w:val="002060"/>
          <w:sz w:val="24"/>
          <w:szCs w:val="24"/>
        </w:rPr>
        <w:t>RENOVA</w:t>
      </w:r>
      <w:r w:rsidR="0041260E" w:rsidRPr="00650EE4">
        <w:rPr>
          <w:rFonts w:ascii="Times New Roman" w:hAnsi="Times New Roman"/>
          <w:color w:val="002060"/>
          <w:sz w:val="24"/>
          <w:szCs w:val="24"/>
        </w:rPr>
        <w:t>CIJOS BŪD</w:t>
      </w:r>
      <w:r w:rsidR="00D031A3" w:rsidRPr="00650EE4">
        <w:rPr>
          <w:rFonts w:ascii="Times New Roman" w:hAnsi="Times New Roman"/>
          <w:color w:val="002060"/>
          <w:sz w:val="24"/>
          <w:szCs w:val="24"/>
        </w:rPr>
        <w:t>AI</w:t>
      </w:r>
      <w:bookmarkEnd w:id="87"/>
    </w:p>
    <w:p w14:paraId="60D7E502" w14:textId="77777777" w:rsidR="00BF1AC5" w:rsidRPr="00650EE4" w:rsidRDefault="00BF1AC5" w:rsidP="00BF1AC5">
      <w:pPr>
        <w:rPr>
          <w:rFonts w:ascii="Times New Roman" w:hAnsi="Times New Roman"/>
          <w:color w:val="000000" w:themeColor="text1"/>
          <w:lang w:eastAsia="lt-LT"/>
        </w:rPr>
      </w:pPr>
      <w:r w:rsidRPr="00650EE4">
        <w:rPr>
          <w:rFonts w:ascii="Times New Roman" w:hAnsi="Times New Roman"/>
          <w:noProof/>
          <w:color w:val="000000" w:themeColor="text1"/>
          <w:sz w:val="24"/>
          <w:szCs w:val="24"/>
          <w:lang w:eastAsia="lt-LT"/>
        </w:rPr>
        <mc:AlternateContent>
          <mc:Choice Requires="wps">
            <w:drawing>
              <wp:inline distT="0" distB="0" distL="0" distR="0" wp14:anchorId="0BEADC82" wp14:editId="1377BC6E">
                <wp:extent cx="6479540" cy="648118"/>
                <wp:effectExtent l="0" t="0" r="0" b="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48118"/>
                        </a:xfrm>
                        <a:prstGeom prst="rect">
                          <a:avLst/>
                        </a:prstGeom>
                        <a:solidFill>
                          <a:schemeClr val="bg1">
                            <a:lumMod val="85000"/>
                          </a:schemeClr>
                        </a:solidFill>
                        <a:ln>
                          <a:noFill/>
                        </a:ln>
                      </wps:spPr>
                      <wps:txbx>
                        <w:txbxContent>
                          <w:p w14:paraId="52C4BEC8" w14:textId="3CAB6A4D" w:rsidR="003E0C4E" w:rsidRPr="00315966" w:rsidRDefault="003E0C4E" w:rsidP="00BF1AC5">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 xml:space="preserve">PEND 2a straipsnio 1 dalies b punkte nustatyta, kad </w:t>
                            </w:r>
                            <w:r>
                              <w:rPr>
                                <w:rFonts w:ascii="Times New Roman" w:hAnsi="Times New Roman" w:cs="Times New Roman"/>
                                <w:bCs/>
                                <w:color w:val="000000" w:themeColor="text1"/>
                                <w:sz w:val="22"/>
                              </w:rPr>
                              <w:t xml:space="preserve">„į kiekvieną IRS </w:t>
                            </w:r>
                            <w:r w:rsidRPr="00315966">
                              <w:rPr>
                                <w:rFonts w:ascii="Times New Roman" w:hAnsi="Times New Roman" w:cs="Times New Roman"/>
                                <w:bCs/>
                                <w:color w:val="000000" w:themeColor="text1"/>
                                <w:sz w:val="22"/>
                              </w:rPr>
                              <w:t>įtraukiama nustatyti ekonomiškai efektyvūs renovacijos būdai pagal pastato tipą ir klimato zoną, atsižvelgiant į galimus aktualius inicijavimo momentus, kai taikytina, per pastato gyvavimo ciklą“.</w:t>
                            </w:r>
                          </w:p>
                        </w:txbxContent>
                      </wps:txbx>
                      <wps:bodyPr rot="0" vert="horz" wrap="square" lIns="91440" tIns="45720" rIns="91440" bIns="45720" anchor="t" anchorCtr="0" upright="1">
                        <a:noAutofit/>
                      </wps:bodyPr>
                    </wps:wsp>
                  </a:graphicData>
                </a:graphic>
              </wp:inline>
            </w:drawing>
          </mc:Choice>
          <mc:Fallback>
            <w:pict>
              <v:shape id="Text Box 18" o:spid="_x0000_s1031" type="#_x0000_t202" style="width:510.2pt;height:5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" fillcolor="#d8d8d8 [2732]" stroked="f">
                <v:textbox>
                  <w:txbxContent>
                    <w:p w14:paraId="52C4BEC8" w14:textId="3CAB6A4D" w:rsidR="003E0C4E" w:rsidRPr="00315966" w:rsidRDefault="003E0C4E" w:rsidP="00BF1AC5">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 xml:space="preserve">PEND 2a straipsnio 1 dalies b punkte nustatyta, kad </w:t>
                      </w:r>
                      <w:r>
                        <w:rPr>
                          <w:rFonts w:ascii="Times New Roman" w:hAnsi="Times New Roman" w:cs="Times New Roman"/>
                          <w:bCs/>
                          <w:color w:val="000000" w:themeColor="text1"/>
                          <w:sz w:val="22"/>
                        </w:rPr>
                        <w:t xml:space="preserve">„į kiekvieną IRS </w:t>
                      </w:r>
                      <w:r w:rsidRPr="00315966">
                        <w:rPr>
                          <w:rFonts w:ascii="Times New Roman" w:hAnsi="Times New Roman" w:cs="Times New Roman"/>
                          <w:bCs/>
                          <w:color w:val="000000" w:themeColor="text1"/>
                          <w:sz w:val="22"/>
                        </w:rPr>
                        <w:t>įtraukiama nustatyti ekonomiškai efektyvūs renovacijos būdai pagal pastato tipą ir klimato zoną, atsižvelgiant į galimus aktualius inicijavimo momentus, kai taikytina, per pastato gyvavimo ciklą“.</w:t>
                      </w:r>
                    </w:p>
                  </w:txbxContent>
                </v:textbox>
                <w10:anchorlock/>
              </v:shape>
            </w:pict>
          </mc:Fallback>
        </mc:AlternateContent>
      </w:r>
    </w:p>
    <w:p w14:paraId="55795C36" w14:textId="7A63F85A" w:rsidR="00BF1AC5" w:rsidRPr="00650EE4" w:rsidRDefault="00BF1AC5" w:rsidP="00BF1AC5">
      <w:pPr>
        <w:rPr>
          <w:rFonts w:ascii="Times New Roman" w:hAnsi="Times New Roman"/>
          <w:color w:val="000000" w:themeColor="text1"/>
          <w:szCs w:val="22"/>
          <w:lang w:eastAsia="lt-LT"/>
        </w:rPr>
      </w:pPr>
    </w:p>
    <w:p w14:paraId="7634CD65" w14:textId="77777777" w:rsidR="00461CE9" w:rsidRPr="00650EE4" w:rsidRDefault="00461CE9" w:rsidP="00461CE9">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Efektyviausio renovacijos būdo nustatymas atliktas derinant tarpusavyje 3 pagrindinius vertinimo parametrus:</w:t>
      </w:r>
    </w:p>
    <w:p w14:paraId="62B89EE4" w14:textId="31CC130B" w:rsidR="00461CE9" w:rsidRPr="00650EE4" w:rsidRDefault="00461CE9" w:rsidP="00BD4925">
      <w:pPr>
        <w:pStyle w:val="Pagrindinispaprastastekstas"/>
        <w:numPr>
          <w:ilvl w:val="0"/>
          <w:numId w:val="21"/>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 xml:space="preserve">Finansinį atsipirkimą – modeliuojamas taškas už kurio kiekvienas papildomai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sukuria maž</w:t>
      </w:r>
      <w:r w:rsidR="003D3F10" w:rsidRPr="00650EE4">
        <w:rPr>
          <w:rFonts w:ascii="Times New Roman" w:hAnsi="Times New Roman"/>
          <w:color w:val="000000" w:themeColor="text1"/>
          <w:szCs w:val="22"/>
        </w:rPr>
        <w:t>esnę</w:t>
      </w:r>
      <w:r w:rsidRPr="00650EE4">
        <w:rPr>
          <w:rFonts w:ascii="Times New Roman" w:hAnsi="Times New Roman"/>
          <w:color w:val="000000" w:themeColor="text1"/>
          <w:szCs w:val="22"/>
        </w:rPr>
        <w:t xml:space="preserve"> nei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finansinę naudą (</w:t>
      </w:r>
      <w:r w:rsidR="003D3F10" w:rsidRPr="00650EE4">
        <w:rPr>
          <w:rFonts w:ascii="Times New Roman" w:hAnsi="Times New Roman"/>
          <w:color w:val="000000" w:themeColor="text1"/>
          <w:szCs w:val="22"/>
        </w:rPr>
        <w:t xml:space="preserve">pagal </w:t>
      </w:r>
      <w:r w:rsidRPr="00650EE4">
        <w:rPr>
          <w:rFonts w:ascii="Times New Roman" w:hAnsi="Times New Roman"/>
          <w:color w:val="000000" w:themeColor="text1"/>
          <w:szCs w:val="22"/>
        </w:rPr>
        <w:t>sutaupytą pirminės energijos ir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w:t>
      </w:r>
      <w:r w:rsidR="00640A54" w:rsidRPr="00650EE4">
        <w:rPr>
          <w:rFonts w:ascii="Times New Roman" w:hAnsi="Times New Roman"/>
          <w:color w:val="000000" w:themeColor="text1"/>
          <w:szCs w:val="22"/>
        </w:rPr>
        <w:t>ų vertę) pastatų fondo lygmeniu.</w:t>
      </w:r>
    </w:p>
    <w:p w14:paraId="5FB46CC3" w14:textId="02CCDC9D" w:rsidR="00461CE9" w:rsidRPr="00650EE4" w:rsidRDefault="00461CE9" w:rsidP="00BD4925">
      <w:pPr>
        <w:pStyle w:val="Pagrindinispaprastastekstas"/>
        <w:numPr>
          <w:ilvl w:val="0"/>
          <w:numId w:val="21"/>
        </w:numPr>
        <w:spacing w:after="60"/>
        <w:rPr>
          <w:rFonts w:ascii="Times New Roman" w:hAnsi="Times New Roman"/>
          <w:color w:val="000000" w:themeColor="text1"/>
          <w:szCs w:val="22"/>
        </w:rPr>
      </w:pPr>
      <w:r w:rsidRPr="00650EE4">
        <w:rPr>
          <w:rFonts w:ascii="Times New Roman" w:hAnsi="Times New Roman"/>
          <w:color w:val="000000" w:themeColor="text1"/>
          <w:szCs w:val="22"/>
        </w:rPr>
        <w:t xml:space="preserve">Ekonominį atsipirkimą – modeliuojamas taškas už kurio kiekvienas papildomai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sukuria </w:t>
      </w:r>
      <w:r w:rsidR="003C6374" w:rsidRPr="00650EE4">
        <w:rPr>
          <w:rFonts w:ascii="Times New Roman" w:hAnsi="Times New Roman"/>
          <w:color w:val="000000" w:themeColor="text1"/>
          <w:szCs w:val="22"/>
        </w:rPr>
        <w:t xml:space="preserve">mažesnę nei </w:t>
      </w:r>
      <w:r w:rsidRPr="00650EE4">
        <w:rPr>
          <w:rFonts w:ascii="Times New Roman" w:hAnsi="Times New Roman"/>
          <w:color w:val="000000" w:themeColor="text1"/>
          <w:szCs w:val="22"/>
        </w:rPr>
        <w:t xml:space="preserve">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ekonominę naudą (finansinė nauda + BVP padidėjimo vertė + kitų socialinių naud</w:t>
      </w:r>
      <w:r w:rsidR="00640A54" w:rsidRPr="00650EE4">
        <w:rPr>
          <w:rFonts w:ascii="Times New Roman" w:hAnsi="Times New Roman"/>
          <w:color w:val="000000" w:themeColor="text1"/>
          <w:szCs w:val="22"/>
        </w:rPr>
        <w:t>ų vertė) pastatų fondo lygmeniu.</w:t>
      </w:r>
    </w:p>
    <w:p w14:paraId="27BD702C" w14:textId="7272AAC6" w:rsidR="00461CE9" w:rsidRPr="00650EE4" w:rsidRDefault="00461CE9" w:rsidP="00BD4925">
      <w:pPr>
        <w:pStyle w:val="Pagrindinispaprastastekstas"/>
        <w:numPr>
          <w:ilvl w:val="0"/>
          <w:numId w:val="21"/>
        </w:numPr>
        <w:rPr>
          <w:rFonts w:ascii="Times New Roman" w:hAnsi="Times New Roman"/>
          <w:color w:val="000000" w:themeColor="text1"/>
          <w:szCs w:val="22"/>
        </w:rPr>
      </w:pPr>
      <w:r w:rsidRPr="00650EE4">
        <w:rPr>
          <w:rFonts w:ascii="Times New Roman" w:hAnsi="Times New Roman"/>
          <w:color w:val="000000" w:themeColor="text1"/>
          <w:szCs w:val="22"/>
        </w:rPr>
        <w:t>Techninius apribojimus – techninius (inžinerinius) barjerus, dėl kurių pasirinktas ekonomiškai efektyvus renovacijos b</w:t>
      </w:r>
      <w:r w:rsidR="00BD074F" w:rsidRPr="00650EE4">
        <w:rPr>
          <w:rFonts w:ascii="Times New Roman" w:hAnsi="Times New Roman"/>
          <w:color w:val="000000" w:themeColor="text1"/>
          <w:szCs w:val="22"/>
        </w:rPr>
        <w:t>ūdas negalėtų būti įgyvendintas</w:t>
      </w:r>
      <w:r w:rsidRPr="00650EE4">
        <w:rPr>
          <w:rFonts w:ascii="Times New Roman" w:hAnsi="Times New Roman"/>
          <w:color w:val="000000" w:themeColor="text1"/>
          <w:szCs w:val="22"/>
        </w:rPr>
        <w:t xml:space="preserve">. </w:t>
      </w:r>
    </w:p>
    <w:p w14:paraId="7C6CD503" w14:textId="77777777" w:rsidR="00461CE9" w:rsidRPr="00650EE4" w:rsidRDefault="00461CE9" w:rsidP="001D5775">
      <w:pPr>
        <w:spacing w:line="240" w:lineRule="auto"/>
        <w:jc w:val="both"/>
        <w:rPr>
          <w:rFonts w:ascii="Times New Roman" w:hAnsi="Times New Roman"/>
          <w:color w:val="000000" w:themeColor="text1"/>
          <w:szCs w:val="22"/>
        </w:rPr>
      </w:pPr>
    </w:p>
    <w:p w14:paraId="2BD35F55" w14:textId="75B35911" w:rsidR="00BF1AC5" w:rsidRPr="00650EE4" w:rsidRDefault="004B6383" w:rsidP="00BF6DB0">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E</w:t>
      </w:r>
      <w:r w:rsidR="009B3303" w:rsidRPr="00650EE4">
        <w:rPr>
          <w:rFonts w:ascii="Times New Roman" w:hAnsi="Times New Roman"/>
          <w:color w:val="000000" w:themeColor="text1"/>
          <w:szCs w:val="22"/>
        </w:rPr>
        <w:t>konomiškai efe</w:t>
      </w:r>
      <w:r w:rsidRPr="00650EE4">
        <w:rPr>
          <w:rFonts w:ascii="Times New Roman" w:hAnsi="Times New Roman"/>
          <w:color w:val="000000" w:themeColor="text1"/>
          <w:szCs w:val="22"/>
        </w:rPr>
        <w:t>ktyviausio renovacijos būdo nustatymas atliktas žemiau nurodyta tvarka</w:t>
      </w:r>
      <w:r w:rsidR="00BF1AC5" w:rsidRPr="00650EE4">
        <w:rPr>
          <w:rFonts w:ascii="Times New Roman" w:hAnsi="Times New Roman"/>
          <w:color w:val="000000" w:themeColor="text1"/>
          <w:szCs w:val="22"/>
        </w:rPr>
        <w:t>:</w:t>
      </w:r>
    </w:p>
    <w:p w14:paraId="12F3A602" w14:textId="74F4D1A8" w:rsidR="00BF1AC5" w:rsidRPr="00650EE4" w:rsidRDefault="00BF1AC5"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Renovacijos </w:t>
      </w:r>
      <w:r w:rsidR="00AD5116" w:rsidRPr="00650EE4">
        <w:rPr>
          <w:rFonts w:ascii="Times New Roman" w:hAnsi="Times New Roman"/>
          <w:color w:val="000000" w:themeColor="text1"/>
          <w:szCs w:val="22"/>
        </w:rPr>
        <w:t xml:space="preserve">paketų </w:t>
      </w:r>
      <w:r w:rsidR="004B6383" w:rsidRPr="00650EE4">
        <w:rPr>
          <w:rFonts w:ascii="Times New Roman" w:hAnsi="Times New Roman"/>
          <w:color w:val="000000" w:themeColor="text1"/>
          <w:szCs w:val="22"/>
        </w:rPr>
        <w:t>suformavimas</w:t>
      </w:r>
      <w:r w:rsidRPr="00650EE4">
        <w:rPr>
          <w:rFonts w:ascii="Times New Roman" w:hAnsi="Times New Roman"/>
          <w:color w:val="000000" w:themeColor="text1"/>
          <w:szCs w:val="22"/>
        </w:rPr>
        <w:t xml:space="preserve"> </w:t>
      </w:r>
      <w:r w:rsidR="00BF6DB0" w:rsidRPr="00650EE4">
        <w:rPr>
          <w:rFonts w:ascii="Times New Roman" w:hAnsi="Times New Roman"/>
          <w:color w:val="000000" w:themeColor="text1"/>
          <w:szCs w:val="22"/>
        </w:rPr>
        <w:t>(</w:t>
      </w:r>
      <w:r w:rsidR="00725391">
        <w:rPr>
          <w:rFonts w:ascii="Times New Roman" w:hAnsi="Times New Roman"/>
          <w:color w:val="000000" w:themeColor="text1"/>
          <w:szCs w:val="22"/>
        </w:rPr>
        <w:t>2</w:t>
      </w:r>
      <w:r w:rsidR="00BF6DB0" w:rsidRPr="00650EE4">
        <w:rPr>
          <w:rFonts w:ascii="Times New Roman" w:hAnsi="Times New Roman"/>
          <w:color w:val="000000" w:themeColor="text1"/>
          <w:szCs w:val="22"/>
        </w:rPr>
        <w:t>.1</w:t>
      </w:r>
      <w:r w:rsidR="003E53FA" w:rsidRPr="00650EE4">
        <w:rPr>
          <w:rFonts w:ascii="Times New Roman" w:hAnsi="Times New Roman"/>
          <w:color w:val="000000" w:themeColor="text1"/>
          <w:szCs w:val="22"/>
        </w:rPr>
        <w:t xml:space="preserve"> skyrius)</w:t>
      </w:r>
      <w:r w:rsidR="000B7032" w:rsidRPr="00650EE4">
        <w:rPr>
          <w:rFonts w:ascii="Times New Roman" w:hAnsi="Times New Roman"/>
          <w:color w:val="000000" w:themeColor="text1"/>
          <w:szCs w:val="22"/>
        </w:rPr>
        <w:t>.</w:t>
      </w:r>
    </w:p>
    <w:p w14:paraId="7CB16001" w14:textId="6F1C0F5E" w:rsidR="00B2750B" w:rsidRPr="00650EE4" w:rsidRDefault="00B2750B"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Investicijų kainos nustatymas (</w:t>
      </w:r>
      <w:r w:rsidR="00725391">
        <w:rPr>
          <w:rFonts w:ascii="Times New Roman" w:hAnsi="Times New Roman"/>
          <w:color w:val="000000" w:themeColor="text1"/>
          <w:szCs w:val="22"/>
        </w:rPr>
        <w:t>2</w:t>
      </w:r>
      <w:r w:rsidRPr="00650EE4">
        <w:rPr>
          <w:rFonts w:ascii="Times New Roman" w:hAnsi="Times New Roman"/>
          <w:color w:val="000000" w:themeColor="text1"/>
          <w:szCs w:val="22"/>
        </w:rPr>
        <w:t>.2 skyrius)</w:t>
      </w:r>
      <w:r w:rsidR="000B7032" w:rsidRPr="00650EE4">
        <w:rPr>
          <w:rFonts w:ascii="Times New Roman" w:hAnsi="Times New Roman"/>
          <w:color w:val="000000" w:themeColor="text1"/>
          <w:szCs w:val="22"/>
        </w:rPr>
        <w:t>.</w:t>
      </w:r>
    </w:p>
    <w:p w14:paraId="48152E92" w14:textId="22867439" w:rsidR="00B2750B" w:rsidRPr="00650EE4" w:rsidRDefault="009D62B6"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Energijos ir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sutaupymų nustatymas</w:t>
      </w:r>
      <w:r w:rsidR="00213F70"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213F70" w:rsidRPr="00650EE4">
        <w:rPr>
          <w:rFonts w:ascii="Times New Roman" w:hAnsi="Times New Roman"/>
          <w:color w:val="000000" w:themeColor="text1"/>
          <w:szCs w:val="22"/>
        </w:rPr>
        <w:t>.3 skyrius)</w:t>
      </w:r>
      <w:r w:rsidR="000B7032" w:rsidRPr="00650EE4">
        <w:rPr>
          <w:rFonts w:ascii="Times New Roman" w:hAnsi="Times New Roman"/>
          <w:color w:val="000000" w:themeColor="text1"/>
          <w:szCs w:val="22"/>
        </w:rPr>
        <w:t>.</w:t>
      </w:r>
    </w:p>
    <w:p w14:paraId="546D16C7" w14:textId="1B2577EA" w:rsidR="00751D2E" w:rsidRPr="00650EE4" w:rsidRDefault="00751D2E"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Kitų modeliavimo parametrų nustatymas</w:t>
      </w:r>
      <w:r w:rsidR="00213F70"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213F70" w:rsidRPr="00650EE4">
        <w:rPr>
          <w:rFonts w:ascii="Times New Roman" w:hAnsi="Times New Roman"/>
          <w:color w:val="000000" w:themeColor="text1"/>
          <w:szCs w:val="22"/>
        </w:rPr>
        <w:t>.4 skyrius)</w:t>
      </w:r>
      <w:r w:rsidR="000B7032" w:rsidRPr="00650EE4">
        <w:rPr>
          <w:rFonts w:ascii="Times New Roman" w:hAnsi="Times New Roman"/>
          <w:color w:val="000000" w:themeColor="text1"/>
          <w:szCs w:val="22"/>
        </w:rPr>
        <w:t>.</w:t>
      </w:r>
    </w:p>
    <w:p w14:paraId="73EE5C01" w14:textId="0776113F" w:rsidR="000B7032" w:rsidRPr="00650EE4" w:rsidRDefault="000B7032"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Modeliavimo algoritmo </w:t>
      </w:r>
      <w:r w:rsidR="00196535" w:rsidRPr="00650EE4">
        <w:rPr>
          <w:rFonts w:ascii="Times New Roman" w:hAnsi="Times New Roman"/>
          <w:color w:val="000000" w:themeColor="text1"/>
          <w:szCs w:val="22"/>
        </w:rPr>
        <w:t>nustatymas (</w:t>
      </w:r>
      <w:r w:rsidR="00725391">
        <w:rPr>
          <w:rFonts w:ascii="Times New Roman" w:hAnsi="Times New Roman"/>
          <w:color w:val="000000" w:themeColor="text1"/>
          <w:szCs w:val="22"/>
        </w:rPr>
        <w:t>2</w:t>
      </w:r>
      <w:r w:rsidR="00196535" w:rsidRPr="00650EE4">
        <w:rPr>
          <w:rFonts w:ascii="Times New Roman" w:hAnsi="Times New Roman"/>
          <w:color w:val="000000" w:themeColor="text1"/>
          <w:szCs w:val="22"/>
        </w:rPr>
        <w:t>.5 skyrius).</w:t>
      </w:r>
    </w:p>
    <w:p w14:paraId="6E0A5576" w14:textId="57804B11" w:rsidR="009D62B6" w:rsidRPr="00650EE4" w:rsidRDefault="009D62B6" w:rsidP="00BF6DB0">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Finansiškai efektyvaus būdo nustatymas</w:t>
      </w:r>
      <w:r w:rsidR="000B7032"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000B7032" w:rsidRPr="00650EE4">
        <w:rPr>
          <w:rFonts w:ascii="Times New Roman" w:hAnsi="Times New Roman"/>
          <w:color w:val="000000" w:themeColor="text1"/>
          <w:szCs w:val="22"/>
        </w:rPr>
        <w:t>.6</w:t>
      </w:r>
      <w:r w:rsidR="00213F70" w:rsidRPr="00650EE4">
        <w:rPr>
          <w:rFonts w:ascii="Times New Roman" w:hAnsi="Times New Roman"/>
          <w:color w:val="000000" w:themeColor="text1"/>
          <w:szCs w:val="22"/>
        </w:rPr>
        <w:t xml:space="preserve"> skyrius)</w:t>
      </w:r>
      <w:r w:rsidR="000B7032" w:rsidRPr="00650EE4">
        <w:rPr>
          <w:rFonts w:ascii="Times New Roman" w:hAnsi="Times New Roman"/>
          <w:color w:val="000000" w:themeColor="text1"/>
          <w:szCs w:val="22"/>
        </w:rPr>
        <w:t>.</w:t>
      </w:r>
    </w:p>
    <w:p w14:paraId="47762D52" w14:textId="6FCCB951" w:rsidR="009D62B6" w:rsidRPr="00650EE4" w:rsidRDefault="00213F70" w:rsidP="009D62B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Ekonomiškai</w:t>
      </w:r>
      <w:r w:rsidR="009D62B6" w:rsidRPr="00650EE4">
        <w:rPr>
          <w:rFonts w:ascii="Times New Roman" w:hAnsi="Times New Roman"/>
          <w:color w:val="000000" w:themeColor="text1"/>
          <w:szCs w:val="22"/>
        </w:rPr>
        <w:t xml:space="preserve"> efektyv</w:t>
      </w:r>
      <w:r w:rsidR="00152AB2" w:rsidRPr="00650EE4">
        <w:rPr>
          <w:rFonts w:ascii="Times New Roman" w:hAnsi="Times New Roman"/>
          <w:color w:val="000000" w:themeColor="text1"/>
          <w:szCs w:val="22"/>
        </w:rPr>
        <w:t>aus</w:t>
      </w:r>
      <w:r w:rsidR="009D62B6" w:rsidRPr="00650EE4">
        <w:rPr>
          <w:rFonts w:ascii="Times New Roman" w:hAnsi="Times New Roman"/>
          <w:color w:val="000000" w:themeColor="text1"/>
          <w:szCs w:val="22"/>
        </w:rPr>
        <w:t xml:space="preserve"> būdo nustatymas</w:t>
      </w:r>
      <w:r w:rsidRPr="00650EE4">
        <w:rPr>
          <w:rFonts w:ascii="Times New Roman" w:hAnsi="Times New Roman"/>
          <w:color w:val="000000" w:themeColor="text1"/>
          <w:szCs w:val="22"/>
        </w:rPr>
        <w:t xml:space="preserve">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0B7032" w:rsidRPr="00650EE4">
        <w:rPr>
          <w:rFonts w:ascii="Times New Roman" w:hAnsi="Times New Roman"/>
          <w:color w:val="000000" w:themeColor="text1"/>
          <w:szCs w:val="22"/>
        </w:rPr>
        <w:t>7</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395039D6" w14:textId="1BEE5915" w:rsidR="00295F54" w:rsidRPr="00650EE4" w:rsidRDefault="00295F54" w:rsidP="009D62B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Techninių apribojimų įvertinimas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0B7032" w:rsidRPr="00650EE4">
        <w:rPr>
          <w:rFonts w:ascii="Times New Roman" w:hAnsi="Times New Roman"/>
          <w:color w:val="000000" w:themeColor="text1"/>
          <w:szCs w:val="22"/>
        </w:rPr>
        <w:t>8</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550298A3" w14:textId="21DC2976" w:rsidR="00152AB2" w:rsidRPr="00650EE4" w:rsidRDefault="00152AB2" w:rsidP="001A1B7A">
      <w:pPr>
        <w:pStyle w:val="Pagrindinispaprastastekstas"/>
        <w:numPr>
          <w:ilvl w:val="0"/>
          <w:numId w:val="10"/>
        </w:numPr>
        <w:spacing w:after="480"/>
        <w:ind w:left="714" w:hanging="357"/>
        <w:rPr>
          <w:rFonts w:ascii="Times New Roman" w:hAnsi="Times New Roman"/>
          <w:color w:val="000000" w:themeColor="text1"/>
          <w:szCs w:val="22"/>
        </w:rPr>
      </w:pPr>
      <w:r w:rsidRPr="00650EE4">
        <w:rPr>
          <w:rFonts w:ascii="Times New Roman" w:hAnsi="Times New Roman"/>
          <w:color w:val="000000" w:themeColor="text1"/>
          <w:szCs w:val="22"/>
        </w:rPr>
        <w:t>Inicijavimo momentų įvertinimas (</w:t>
      </w:r>
      <w:r w:rsidR="00725391">
        <w:rPr>
          <w:rFonts w:ascii="Times New Roman" w:hAnsi="Times New Roman"/>
          <w:color w:val="000000" w:themeColor="text1"/>
          <w:szCs w:val="22"/>
        </w:rPr>
        <w:t>2</w:t>
      </w:r>
      <w:r w:rsidRPr="00650EE4">
        <w:rPr>
          <w:rFonts w:ascii="Times New Roman" w:hAnsi="Times New Roman"/>
          <w:color w:val="000000" w:themeColor="text1"/>
          <w:szCs w:val="22"/>
        </w:rPr>
        <w:t>.</w:t>
      </w:r>
      <w:r w:rsidR="00196535" w:rsidRPr="00650EE4">
        <w:rPr>
          <w:rFonts w:ascii="Times New Roman" w:hAnsi="Times New Roman"/>
          <w:color w:val="000000" w:themeColor="text1"/>
          <w:szCs w:val="22"/>
        </w:rPr>
        <w:t>9</w:t>
      </w:r>
      <w:r w:rsidRPr="00650EE4">
        <w:rPr>
          <w:rFonts w:ascii="Times New Roman" w:hAnsi="Times New Roman"/>
          <w:color w:val="000000" w:themeColor="text1"/>
          <w:szCs w:val="22"/>
        </w:rPr>
        <w:t xml:space="preserve"> skyrius)</w:t>
      </w:r>
      <w:r w:rsidR="00B22F11" w:rsidRPr="00650EE4">
        <w:rPr>
          <w:rFonts w:ascii="Times New Roman" w:hAnsi="Times New Roman"/>
          <w:color w:val="000000" w:themeColor="text1"/>
          <w:szCs w:val="22"/>
        </w:rPr>
        <w:t>.</w:t>
      </w:r>
    </w:p>
    <w:p w14:paraId="2EA400BB" w14:textId="22159B3D" w:rsidR="00BF1AC5" w:rsidRPr="00650EE4" w:rsidRDefault="00656DAF" w:rsidP="009E4B9B">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88" w:name="_Toc59107523"/>
      <w:r w:rsidRPr="00650EE4">
        <w:rPr>
          <w:rFonts w:ascii="Times New Roman" w:hAnsi="Times New Roman"/>
          <w:color w:val="auto"/>
          <w:sz w:val="24"/>
          <w:szCs w:val="24"/>
          <w:lang w:val="lt-LT"/>
        </w:rPr>
        <w:t xml:space="preserve">Renovacijos priemonių </w:t>
      </w:r>
      <w:r w:rsidR="00832366" w:rsidRPr="00650EE4">
        <w:rPr>
          <w:rFonts w:ascii="Times New Roman" w:hAnsi="Times New Roman"/>
          <w:color w:val="auto"/>
          <w:sz w:val="24"/>
          <w:szCs w:val="24"/>
          <w:lang w:val="lt-LT"/>
        </w:rPr>
        <w:t>paketai</w:t>
      </w:r>
      <w:bookmarkEnd w:id="88"/>
    </w:p>
    <w:p w14:paraId="4BFA91EA" w14:textId="7B44CD8D" w:rsidR="007C4A64" w:rsidRPr="00650EE4" w:rsidRDefault="00A12E7D" w:rsidP="007C4A64">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 xml:space="preserve">Ekonomiškai efektyviausių renovacijos būdų nustatymui suformuoti renovacijos priemonių paketai. </w:t>
      </w:r>
    </w:p>
    <w:p w14:paraId="66BCA5EE" w14:textId="77777777" w:rsidR="007C4A64" w:rsidRPr="00650EE4" w:rsidRDefault="007C4A64" w:rsidP="007C4A64">
      <w:pPr>
        <w:spacing w:line="240" w:lineRule="auto"/>
        <w:jc w:val="both"/>
        <w:rPr>
          <w:rFonts w:ascii="Times New Roman" w:hAnsi="Times New Roman"/>
          <w:color w:val="000000" w:themeColor="text1"/>
          <w:szCs w:val="22"/>
        </w:rPr>
      </w:pPr>
    </w:p>
    <w:p w14:paraId="6E369930"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Visas tipines renovacijos priemones galima suskirstyti į dvi bazines grupes, atitinkančias esminius IRS tikslus:</w:t>
      </w:r>
    </w:p>
    <w:p w14:paraId="3F9FBEB3" w14:textId="77777777" w:rsidR="007C4A64" w:rsidRPr="00650EE4" w:rsidRDefault="007C4A64" w:rsidP="007C4A64">
      <w:pPr>
        <w:pStyle w:val="BodyText"/>
        <w:numPr>
          <w:ilvl w:val="0"/>
          <w:numId w:val="9"/>
        </w:numPr>
        <w:spacing w:before="120" w:after="60"/>
        <w:ind w:left="714" w:hanging="357"/>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efektyvumo didinimo priemonės (EE);</w:t>
      </w:r>
    </w:p>
    <w:p w14:paraId="6E63A108" w14:textId="77777777" w:rsidR="007C4A64" w:rsidRPr="00650EE4" w:rsidRDefault="007C4A64" w:rsidP="00196535">
      <w:pPr>
        <w:pStyle w:val="BodyText"/>
        <w:numPr>
          <w:ilvl w:val="0"/>
          <w:numId w:val="9"/>
        </w:numPr>
        <w:rPr>
          <w:rFonts w:ascii="Times New Roman" w:hAnsi="Times New Roman"/>
          <w:color w:val="000000" w:themeColor="text1"/>
          <w:szCs w:val="22"/>
          <w:lang w:val="lt-LT"/>
        </w:rPr>
      </w:pPr>
      <w:r w:rsidRPr="00650EE4">
        <w:rPr>
          <w:rFonts w:ascii="Times New Roman" w:hAnsi="Times New Roman"/>
          <w:color w:val="000000" w:themeColor="text1"/>
          <w:szCs w:val="22"/>
          <w:lang w:val="lt-LT"/>
        </w:rPr>
        <w:t>Atsinaujinančių energijos išteklių panaudojimo didinimo priemonės (AEI).</w:t>
      </w:r>
    </w:p>
    <w:p w14:paraId="7F259F19" w14:textId="77777777" w:rsidR="007C4A64" w:rsidRPr="00650EE4" w:rsidRDefault="007C4A64" w:rsidP="007C4A64">
      <w:pPr>
        <w:spacing w:line="240" w:lineRule="auto"/>
        <w:jc w:val="both"/>
        <w:rPr>
          <w:rFonts w:ascii="Times New Roman" w:hAnsi="Times New Roman"/>
          <w:color w:val="000000" w:themeColor="text1"/>
          <w:szCs w:val="22"/>
        </w:rPr>
      </w:pPr>
    </w:p>
    <w:p w14:paraId="61557133" w14:textId="230C6B86" w:rsidR="007C4A64" w:rsidRPr="00650EE4" w:rsidRDefault="007C4A64"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89" w:name="_Toc59094216"/>
      <w:r w:rsidR="00F25C65">
        <w:t>33</w:t>
      </w:r>
      <w:r w:rsidRPr="00650EE4">
        <w:rPr>
          <w:noProof w:val="0"/>
        </w:rPr>
        <w:fldChar w:fldCharType="end"/>
      </w:r>
      <w:r w:rsidRPr="00650EE4">
        <w:rPr>
          <w:noProof w:val="0"/>
        </w:rPr>
        <w:t xml:space="preserve"> lentelė. Renovacijos priemonės</w:t>
      </w:r>
      <w:bookmarkEnd w:id="89"/>
    </w:p>
    <w:tbl>
      <w:tblPr>
        <w:tblW w:w="5000" w:type="pct"/>
        <w:tblLook w:val="04A0" w:firstRow="1" w:lastRow="0" w:firstColumn="1" w:lastColumn="0" w:noHBand="0" w:noVBand="1"/>
      </w:tblPr>
      <w:tblGrid>
        <w:gridCol w:w="1022"/>
        <w:gridCol w:w="6843"/>
        <w:gridCol w:w="1408"/>
        <w:gridCol w:w="1147"/>
      </w:tblGrid>
      <w:tr w:rsidR="007C4A64" w:rsidRPr="00650EE4" w14:paraId="603B8B5E" w14:textId="77777777" w:rsidTr="004F0624">
        <w:trPr>
          <w:tblHeader/>
        </w:trPr>
        <w:tc>
          <w:tcPr>
            <w:tcW w:w="1000" w:type="dxa"/>
            <w:vMerge w:val="restart"/>
            <w:tcBorders>
              <w:top w:val="single" w:sz="4" w:space="0" w:color="auto"/>
              <w:left w:val="single" w:sz="4" w:space="0" w:color="auto"/>
              <w:bottom w:val="single" w:sz="4" w:space="0" w:color="000000"/>
              <w:right w:val="nil"/>
            </w:tcBorders>
            <w:shd w:val="clear" w:color="000000" w:fill="FFFFFF"/>
            <w:noWrap/>
            <w:vAlign w:val="center"/>
            <w:hideMark/>
          </w:tcPr>
          <w:p w14:paraId="25E499C1"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Eil. Nr.</w:t>
            </w:r>
          </w:p>
        </w:tc>
        <w:tc>
          <w:tcPr>
            <w:tcW w:w="66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EB4DFD"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Renovacijos priemonė</w:t>
            </w:r>
          </w:p>
        </w:tc>
        <w:tc>
          <w:tcPr>
            <w:tcW w:w="2499" w:type="dxa"/>
            <w:gridSpan w:val="2"/>
            <w:tcBorders>
              <w:top w:val="single" w:sz="4" w:space="0" w:color="auto"/>
              <w:left w:val="nil"/>
              <w:bottom w:val="single" w:sz="4" w:space="0" w:color="auto"/>
              <w:right w:val="single" w:sz="4" w:space="0" w:color="auto"/>
            </w:tcBorders>
            <w:shd w:val="clear" w:color="000000" w:fill="FFFFFF"/>
            <w:noWrap/>
            <w:vAlign w:val="bottom"/>
            <w:hideMark/>
          </w:tcPr>
          <w:p w14:paraId="571BCAAF"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Priemonių grupė</w:t>
            </w:r>
          </w:p>
        </w:tc>
      </w:tr>
      <w:tr w:rsidR="007C4A64" w:rsidRPr="00650EE4" w14:paraId="33B813BA" w14:textId="77777777" w:rsidTr="004F0624">
        <w:trPr>
          <w:tblHeader/>
        </w:trPr>
        <w:tc>
          <w:tcPr>
            <w:tcW w:w="1000" w:type="dxa"/>
            <w:vMerge/>
            <w:tcBorders>
              <w:top w:val="single" w:sz="4" w:space="0" w:color="auto"/>
              <w:left w:val="single" w:sz="4" w:space="0" w:color="auto"/>
              <w:bottom w:val="single" w:sz="4" w:space="0" w:color="000000"/>
              <w:right w:val="nil"/>
            </w:tcBorders>
            <w:vAlign w:val="center"/>
            <w:hideMark/>
          </w:tcPr>
          <w:p w14:paraId="675E6F49" w14:textId="77777777" w:rsidR="007C4A64" w:rsidRPr="00650EE4" w:rsidRDefault="007C4A64" w:rsidP="000C1D71">
            <w:pPr>
              <w:spacing w:line="240" w:lineRule="auto"/>
              <w:rPr>
                <w:rFonts w:ascii="Times New Roman" w:eastAsia="Times New Roman" w:hAnsi="Times New Roman"/>
                <w:b/>
                <w:bCs/>
                <w:color w:val="000000" w:themeColor="text1"/>
                <w:sz w:val="20"/>
                <w:szCs w:val="20"/>
              </w:rPr>
            </w:pPr>
          </w:p>
        </w:tc>
        <w:tc>
          <w:tcPr>
            <w:tcW w:w="6695" w:type="dxa"/>
            <w:vMerge/>
            <w:tcBorders>
              <w:top w:val="single" w:sz="4" w:space="0" w:color="auto"/>
              <w:left w:val="single" w:sz="4" w:space="0" w:color="auto"/>
              <w:bottom w:val="single" w:sz="4" w:space="0" w:color="auto"/>
              <w:right w:val="single" w:sz="4" w:space="0" w:color="auto"/>
            </w:tcBorders>
            <w:vAlign w:val="center"/>
            <w:hideMark/>
          </w:tcPr>
          <w:p w14:paraId="2CE03111" w14:textId="77777777" w:rsidR="007C4A64" w:rsidRPr="00650EE4" w:rsidRDefault="007C4A64" w:rsidP="000C1D71">
            <w:pPr>
              <w:spacing w:line="240" w:lineRule="auto"/>
              <w:rPr>
                <w:rFonts w:ascii="Times New Roman" w:eastAsia="Times New Roman" w:hAnsi="Times New Roman"/>
                <w:b/>
                <w:bCs/>
                <w:color w:val="000000" w:themeColor="text1"/>
                <w:sz w:val="20"/>
                <w:szCs w:val="20"/>
              </w:rPr>
            </w:pPr>
          </w:p>
        </w:tc>
        <w:tc>
          <w:tcPr>
            <w:tcW w:w="1377" w:type="dxa"/>
            <w:tcBorders>
              <w:top w:val="nil"/>
              <w:left w:val="nil"/>
              <w:bottom w:val="single" w:sz="4" w:space="0" w:color="auto"/>
              <w:right w:val="single" w:sz="4" w:space="0" w:color="auto"/>
            </w:tcBorders>
            <w:shd w:val="clear" w:color="000000" w:fill="FFFFFF"/>
            <w:noWrap/>
            <w:vAlign w:val="bottom"/>
            <w:hideMark/>
          </w:tcPr>
          <w:p w14:paraId="2FC72215"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EE</w:t>
            </w:r>
          </w:p>
        </w:tc>
        <w:tc>
          <w:tcPr>
            <w:tcW w:w="1122" w:type="dxa"/>
            <w:tcBorders>
              <w:top w:val="nil"/>
              <w:left w:val="nil"/>
              <w:bottom w:val="single" w:sz="4" w:space="0" w:color="auto"/>
              <w:right w:val="single" w:sz="4" w:space="0" w:color="auto"/>
            </w:tcBorders>
            <w:shd w:val="clear" w:color="000000" w:fill="FFFFFF"/>
            <w:noWrap/>
            <w:vAlign w:val="bottom"/>
          </w:tcPr>
          <w:p w14:paraId="05734F5B" w14:textId="77777777" w:rsidR="007C4A64" w:rsidRPr="00650EE4" w:rsidRDefault="007C4A64" w:rsidP="000C1D71">
            <w:pPr>
              <w:spacing w:line="240" w:lineRule="auto"/>
              <w:jc w:val="center"/>
              <w:rPr>
                <w:rFonts w:ascii="Times New Roman" w:eastAsia="Times New Roman" w:hAnsi="Times New Roman"/>
                <w:b/>
                <w:bCs/>
                <w:color w:val="000000" w:themeColor="text1"/>
                <w:sz w:val="20"/>
                <w:szCs w:val="20"/>
              </w:rPr>
            </w:pPr>
            <w:r w:rsidRPr="00650EE4">
              <w:rPr>
                <w:rFonts w:ascii="Times New Roman" w:eastAsia="Times New Roman" w:hAnsi="Times New Roman"/>
                <w:b/>
                <w:bCs/>
                <w:color w:val="000000" w:themeColor="text1"/>
                <w:sz w:val="20"/>
                <w:szCs w:val="20"/>
              </w:rPr>
              <w:t>AEI</w:t>
            </w:r>
          </w:p>
        </w:tc>
      </w:tr>
      <w:tr w:rsidR="007C4A64" w:rsidRPr="00650EE4" w14:paraId="202EF01D"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37D98CD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w:t>
            </w:r>
          </w:p>
        </w:tc>
        <w:tc>
          <w:tcPr>
            <w:tcW w:w="6695" w:type="dxa"/>
            <w:tcBorders>
              <w:top w:val="nil"/>
              <w:left w:val="nil"/>
              <w:bottom w:val="single" w:sz="4" w:space="0" w:color="auto"/>
              <w:right w:val="single" w:sz="4" w:space="0" w:color="auto"/>
            </w:tcBorders>
            <w:shd w:val="clear" w:color="000000" w:fill="FFFFFF"/>
            <w:vAlign w:val="center"/>
            <w:hideMark/>
          </w:tcPr>
          <w:p w14:paraId="2FFD6F92" w14:textId="5D8B7DF9" w:rsidR="007C4A64" w:rsidRPr="00650EE4" w:rsidRDefault="00D1778A"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Šildymo</w:t>
            </w:r>
            <w:r w:rsidR="007C4A64" w:rsidRPr="00650EE4">
              <w:rPr>
                <w:rFonts w:ascii="Times New Roman" w:eastAsia="Times New Roman" w:hAnsi="Times New Roman"/>
                <w:color w:val="000000" w:themeColor="text1"/>
                <w:sz w:val="20"/>
                <w:szCs w:val="20"/>
              </w:rPr>
              <w:t xml:space="preserve"> sistemų modernizavimas</w:t>
            </w:r>
          </w:p>
        </w:tc>
        <w:tc>
          <w:tcPr>
            <w:tcW w:w="1377" w:type="dxa"/>
            <w:tcBorders>
              <w:top w:val="nil"/>
              <w:left w:val="nil"/>
              <w:bottom w:val="single" w:sz="4" w:space="0" w:color="auto"/>
              <w:right w:val="single" w:sz="4" w:space="0" w:color="auto"/>
            </w:tcBorders>
            <w:shd w:val="clear" w:color="000000" w:fill="FFFFFF"/>
            <w:noWrap/>
            <w:vAlign w:val="center"/>
            <w:hideMark/>
          </w:tcPr>
          <w:p w14:paraId="28AE0ED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387CA0B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2FCE67BC"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3BE5BA1"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2.</w:t>
            </w:r>
          </w:p>
        </w:tc>
        <w:tc>
          <w:tcPr>
            <w:tcW w:w="6695" w:type="dxa"/>
            <w:tcBorders>
              <w:top w:val="nil"/>
              <w:left w:val="nil"/>
              <w:bottom w:val="single" w:sz="4" w:space="0" w:color="auto"/>
              <w:right w:val="single" w:sz="4" w:space="0" w:color="auto"/>
            </w:tcBorders>
            <w:shd w:val="clear" w:color="000000" w:fill="FFFFFF"/>
            <w:vAlign w:val="center"/>
            <w:hideMark/>
          </w:tcPr>
          <w:p w14:paraId="78CE1A2F" w14:textId="3601D7A3" w:rsidR="007C4A64" w:rsidRPr="00650EE4" w:rsidRDefault="00504ABC"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xml:space="preserve">Karšto vandens </w:t>
            </w:r>
            <w:r w:rsidR="00D1778A" w:rsidRPr="00650EE4">
              <w:rPr>
                <w:rFonts w:ascii="Times New Roman" w:eastAsia="Times New Roman" w:hAnsi="Times New Roman"/>
                <w:color w:val="000000" w:themeColor="text1"/>
                <w:sz w:val="20"/>
                <w:szCs w:val="20"/>
              </w:rPr>
              <w:t xml:space="preserve">ruošimo </w:t>
            </w:r>
            <w:r w:rsidR="007C4A64" w:rsidRPr="00650EE4">
              <w:rPr>
                <w:rFonts w:ascii="Times New Roman" w:eastAsia="Times New Roman" w:hAnsi="Times New Roman"/>
                <w:color w:val="000000" w:themeColor="text1"/>
                <w:sz w:val="20"/>
                <w:szCs w:val="20"/>
              </w:rPr>
              <w:t>sistemos modernizavimas</w:t>
            </w:r>
          </w:p>
        </w:tc>
        <w:tc>
          <w:tcPr>
            <w:tcW w:w="1377" w:type="dxa"/>
            <w:tcBorders>
              <w:top w:val="nil"/>
              <w:left w:val="nil"/>
              <w:bottom w:val="single" w:sz="4" w:space="0" w:color="auto"/>
              <w:right w:val="single" w:sz="4" w:space="0" w:color="auto"/>
            </w:tcBorders>
            <w:shd w:val="clear" w:color="000000" w:fill="FFFFFF"/>
            <w:noWrap/>
            <w:vAlign w:val="center"/>
            <w:hideMark/>
          </w:tcPr>
          <w:p w14:paraId="15CF7018"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520BF54D"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0E6C3AEC"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1C6E6C31"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3.</w:t>
            </w:r>
          </w:p>
        </w:tc>
        <w:tc>
          <w:tcPr>
            <w:tcW w:w="6695" w:type="dxa"/>
            <w:tcBorders>
              <w:top w:val="nil"/>
              <w:left w:val="nil"/>
              <w:bottom w:val="single" w:sz="4" w:space="0" w:color="auto"/>
              <w:right w:val="single" w:sz="4" w:space="0" w:color="auto"/>
            </w:tcBorders>
            <w:shd w:val="clear" w:color="000000" w:fill="FFFFFF"/>
            <w:vAlign w:val="center"/>
            <w:hideMark/>
          </w:tcPr>
          <w:p w14:paraId="533965EC"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Individualios šilumos apskaitos įrengimas</w:t>
            </w:r>
          </w:p>
        </w:tc>
        <w:tc>
          <w:tcPr>
            <w:tcW w:w="1377" w:type="dxa"/>
            <w:tcBorders>
              <w:top w:val="nil"/>
              <w:left w:val="nil"/>
              <w:bottom w:val="single" w:sz="4" w:space="0" w:color="auto"/>
              <w:right w:val="single" w:sz="4" w:space="0" w:color="auto"/>
            </w:tcBorders>
            <w:shd w:val="clear" w:color="000000" w:fill="FFFFFF"/>
            <w:noWrap/>
            <w:vAlign w:val="center"/>
            <w:hideMark/>
          </w:tcPr>
          <w:p w14:paraId="5C07EB92"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36E51BE7"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664EA363"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691D2694"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4.</w:t>
            </w:r>
          </w:p>
        </w:tc>
        <w:tc>
          <w:tcPr>
            <w:tcW w:w="6695" w:type="dxa"/>
            <w:tcBorders>
              <w:top w:val="nil"/>
              <w:left w:val="nil"/>
              <w:bottom w:val="single" w:sz="4" w:space="0" w:color="auto"/>
              <w:right w:val="single" w:sz="4" w:space="0" w:color="auto"/>
            </w:tcBorders>
            <w:shd w:val="clear" w:color="000000" w:fill="FFFFFF"/>
            <w:vAlign w:val="center"/>
            <w:hideMark/>
          </w:tcPr>
          <w:p w14:paraId="1E5DFA79"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Stogo/palėpės perdangos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165EAD5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492D34C7"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6A425B37"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71DEF8C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5.</w:t>
            </w:r>
          </w:p>
        </w:tc>
        <w:tc>
          <w:tcPr>
            <w:tcW w:w="6695" w:type="dxa"/>
            <w:tcBorders>
              <w:top w:val="nil"/>
              <w:left w:val="nil"/>
              <w:bottom w:val="single" w:sz="4" w:space="0" w:color="auto"/>
              <w:right w:val="single" w:sz="4" w:space="0" w:color="auto"/>
            </w:tcBorders>
            <w:shd w:val="clear" w:color="000000" w:fill="FFFFFF"/>
            <w:vAlign w:val="center"/>
            <w:hideMark/>
          </w:tcPr>
          <w:p w14:paraId="11FB1F79"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Fasado sienų ir cokolio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69F3208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2F339E08"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38886335"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EB243AC"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6.</w:t>
            </w:r>
          </w:p>
        </w:tc>
        <w:tc>
          <w:tcPr>
            <w:tcW w:w="6695" w:type="dxa"/>
            <w:tcBorders>
              <w:top w:val="nil"/>
              <w:left w:val="nil"/>
              <w:bottom w:val="single" w:sz="4" w:space="0" w:color="auto"/>
              <w:right w:val="single" w:sz="4" w:space="0" w:color="auto"/>
            </w:tcBorders>
            <w:shd w:val="clear" w:color="000000" w:fill="FFFFFF"/>
            <w:vAlign w:val="center"/>
            <w:hideMark/>
          </w:tcPr>
          <w:p w14:paraId="67DAC62B"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Balkono/</w:t>
            </w:r>
            <w:proofErr w:type="spellStart"/>
            <w:r w:rsidRPr="00650EE4">
              <w:rPr>
                <w:rFonts w:ascii="Times New Roman" w:eastAsia="Times New Roman" w:hAnsi="Times New Roman"/>
                <w:color w:val="000000" w:themeColor="text1"/>
                <w:sz w:val="20"/>
                <w:szCs w:val="20"/>
              </w:rPr>
              <w:t>lodžijų</w:t>
            </w:r>
            <w:proofErr w:type="spellEnd"/>
            <w:r w:rsidRPr="00650EE4">
              <w:rPr>
                <w:rFonts w:ascii="Times New Roman" w:eastAsia="Times New Roman" w:hAnsi="Times New Roman"/>
                <w:color w:val="000000" w:themeColor="text1"/>
                <w:sz w:val="20"/>
                <w:szCs w:val="20"/>
              </w:rPr>
              <w:t xml:space="preserve"> stiklinimas</w:t>
            </w:r>
          </w:p>
        </w:tc>
        <w:tc>
          <w:tcPr>
            <w:tcW w:w="1377" w:type="dxa"/>
            <w:tcBorders>
              <w:top w:val="nil"/>
              <w:left w:val="nil"/>
              <w:bottom w:val="single" w:sz="4" w:space="0" w:color="auto"/>
              <w:right w:val="single" w:sz="4" w:space="0" w:color="auto"/>
            </w:tcBorders>
            <w:shd w:val="clear" w:color="000000" w:fill="FFFFFF"/>
            <w:noWrap/>
            <w:vAlign w:val="center"/>
            <w:hideMark/>
          </w:tcPr>
          <w:p w14:paraId="4EF151A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1AD6ABC5"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1A3F5C32"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6352BC6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7.</w:t>
            </w:r>
          </w:p>
        </w:tc>
        <w:tc>
          <w:tcPr>
            <w:tcW w:w="6695" w:type="dxa"/>
            <w:tcBorders>
              <w:top w:val="nil"/>
              <w:left w:val="nil"/>
              <w:bottom w:val="single" w:sz="4" w:space="0" w:color="auto"/>
              <w:right w:val="single" w:sz="4" w:space="0" w:color="auto"/>
            </w:tcBorders>
            <w:shd w:val="clear" w:color="000000" w:fill="FFFFFF"/>
            <w:vAlign w:val="center"/>
            <w:hideMark/>
          </w:tcPr>
          <w:p w14:paraId="78126E37" w14:textId="7FBA5B75" w:rsidR="007C4A64" w:rsidRPr="00650EE4" w:rsidRDefault="00504ABC"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xml:space="preserve">Lauko durų </w:t>
            </w:r>
            <w:r w:rsidR="007C4A64" w:rsidRPr="00650EE4">
              <w:rPr>
                <w:rFonts w:ascii="Times New Roman" w:eastAsia="Times New Roman" w:hAnsi="Times New Roman"/>
                <w:color w:val="000000" w:themeColor="text1"/>
                <w:sz w:val="20"/>
                <w:szCs w:val="20"/>
              </w:rPr>
              <w:t>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761B3A06"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D8DF6BD"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300D6911"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BC0B219"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8.</w:t>
            </w:r>
          </w:p>
        </w:tc>
        <w:tc>
          <w:tcPr>
            <w:tcW w:w="6695" w:type="dxa"/>
            <w:tcBorders>
              <w:top w:val="nil"/>
              <w:left w:val="nil"/>
              <w:bottom w:val="single" w:sz="4" w:space="0" w:color="auto"/>
              <w:right w:val="single" w:sz="4" w:space="0" w:color="auto"/>
            </w:tcBorders>
            <w:shd w:val="clear" w:color="000000" w:fill="FFFFFF"/>
            <w:vAlign w:val="center"/>
            <w:hideMark/>
          </w:tcPr>
          <w:p w14:paraId="7A7D2AF1"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Langų 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2EE552CB"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2EA5F74F"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7C4A64" w:rsidRPr="00650EE4" w14:paraId="015F3C01"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D848313"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9.</w:t>
            </w:r>
          </w:p>
        </w:tc>
        <w:tc>
          <w:tcPr>
            <w:tcW w:w="6695" w:type="dxa"/>
            <w:tcBorders>
              <w:top w:val="nil"/>
              <w:left w:val="nil"/>
              <w:bottom w:val="single" w:sz="4" w:space="0" w:color="auto"/>
              <w:right w:val="single" w:sz="4" w:space="0" w:color="auto"/>
            </w:tcBorders>
            <w:shd w:val="clear" w:color="000000" w:fill="FFFFFF"/>
            <w:vAlign w:val="center"/>
            <w:hideMark/>
          </w:tcPr>
          <w:p w14:paraId="2FA537D6" w14:textId="77777777" w:rsidR="007C4A64" w:rsidRPr="00650EE4" w:rsidRDefault="007C4A64" w:rsidP="000C1D71">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Rūsio perdangos, grindų šiltinimas</w:t>
            </w:r>
          </w:p>
        </w:tc>
        <w:tc>
          <w:tcPr>
            <w:tcW w:w="1377" w:type="dxa"/>
            <w:tcBorders>
              <w:top w:val="nil"/>
              <w:left w:val="nil"/>
              <w:bottom w:val="single" w:sz="4" w:space="0" w:color="auto"/>
              <w:right w:val="single" w:sz="4" w:space="0" w:color="auto"/>
            </w:tcBorders>
            <w:shd w:val="clear" w:color="000000" w:fill="FFFFFF"/>
            <w:noWrap/>
            <w:vAlign w:val="center"/>
            <w:hideMark/>
          </w:tcPr>
          <w:p w14:paraId="705BCE9A"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D11DD30" w14:textId="77777777" w:rsidR="007C4A64" w:rsidRPr="00650EE4" w:rsidRDefault="007C4A64" w:rsidP="000C1D71">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r>
      <w:tr w:rsidR="00C70792" w:rsidRPr="00650EE4" w14:paraId="4D37F432"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tcPr>
          <w:p w14:paraId="29CE3E60" w14:textId="637201AB"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10.</w:t>
            </w:r>
          </w:p>
        </w:tc>
        <w:tc>
          <w:tcPr>
            <w:tcW w:w="6695" w:type="dxa"/>
            <w:tcBorders>
              <w:top w:val="nil"/>
              <w:left w:val="nil"/>
              <w:bottom w:val="single" w:sz="4" w:space="0" w:color="auto"/>
              <w:right w:val="single" w:sz="4" w:space="0" w:color="auto"/>
            </w:tcBorders>
            <w:shd w:val="clear" w:color="000000" w:fill="FFFFFF"/>
            <w:vAlign w:val="center"/>
          </w:tcPr>
          <w:p w14:paraId="683BBDEB" w14:textId="6D69D946"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Priemonės pastato sandarumo užtikrinimui</w:t>
            </w:r>
          </w:p>
        </w:tc>
        <w:tc>
          <w:tcPr>
            <w:tcW w:w="1377" w:type="dxa"/>
            <w:tcBorders>
              <w:top w:val="nil"/>
              <w:left w:val="nil"/>
              <w:bottom w:val="single" w:sz="4" w:space="0" w:color="auto"/>
              <w:right w:val="single" w:sz="4" w:space="0" w:color="auto"/>
            </w:tcBorders>
            <w:shd w:val="clear" w:color="000000" w:fill="FFFFFF"/>
            <w:noWrap/>
            <w:vAlign w:val="center"/>
          </w:tcPr>
          <w:p w14:paraId="56F1C06E" w14:textId="10C14E11"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1370108F"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p>
        </w:tc>
      </w:tr>
      <w:tr w:rsidR="00C70792" w:rsidRPr="00650EE4" w14:paraId="3A6E9A4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3D8DA35E" w14:textId="2B539024"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11.</w:t>
            </w:r>
          </w:p>
        </w:tc>
        <w:tc>
          <w:tcPr>
            <w:tcW w:w="6695" w:type="dxa"/>
            <w:tcBorders>
              <w:top w:val="nil"/>
              <w:left w:val="nil"/>
              <w:bottom w:val="single" w:sz="4" w:space="0" w:color="auto"/>
              <w:right w:val="single" w:sz="4" w:space="0" w:color="auto"/>
            </w:tcBorders>
            <w:shd w:val="clear" w:color="000000" w:fill="FFFFFF"/>
            <w:vAlign w:val="center"/>
            <w:hideMark/>
          </w:tcPr>
          <w:p w14:paraId="7DC11F0B"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Katilo keitimas</w:t>
            </w:r>
          </w:p>
        </w:tc>
        <w:tc>
          <w:tcPr>
            <w:tcW w:w="1377" w:type="dxa"/>
            <w:tcBorders>
              <w:top w:val="nil"/>
              <w:left w:val="nil"/>
              <w:bottom w:val="single" w:sz="4" w:space="0" w:color="auto"/>
              <w:right w:val="single" w:sz="4" w:space="0" w:color="auto"/>
            </w:tcBorders>
            <w:shd w:val="clear" w:color="000000" w:fill="FFFFFF"/>
            <w:noWrap/>
            <w:vAlign w:val="center"/>
            <w:hideMark/>
          </w:tcPr>
          <w:p w14:paraId="74D0E2C0"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0C97E666"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37C0F74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020F9EC" w14:textId="3FCD79A3"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12.</w:t>
            </w:r>
          </w:p>
        </w:tc>
        <w:tc>
          <w:tcPr>
            <w:tcW w:w="6695" w:type="dxa"/>
            <w:tcBorders>
              <w:top w:val="nil"/>
              <w:left w:val="nil"/>
              <w:bottom w:val="single" w:sz="4" w:space="0" w:color="auto"/>
              <w:right w:val="single" w:sz="4" w:space="0" w:color="auto"/>
            </w:tcBorders>
            <w:shd w:val="clear" w:color="000000" w:fill="FFFFFF"/>
            <w:vAlign w:val="center"/>
            <w:hideMark/>
          </w:tcPr>
          <w:p w14:paraId="4C2096B2"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CŠT prijungimas</w:t>
            </w:r>
          </w:p>
        </w:tc>
        <w:tc>
          <w:tcPr>
            <w:tcW w:w="1377" w:type="dxa"/>
            <w:tcBorders>
              <w:top w:val="nil"/>
              <w:left w:val="nil"/>
              <w:bottom w:val="single" w:sz="4" w:space="0" w:color="auto"/>
              <w:right w:val="single" w:sz="4" w:space="0" w:color="auto"/>
            </w:tcBorders>
            <w:shd w:val="clear" w:color="000000" w:fill="FFFFFF"/>
            <w:noWrap/>
            <w:vAlign w:val="bottom"/>
            <w:hideMark/>
          </w:tcPr>
          <w:p w14:paraId="1941FAD7"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1340CB39"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6410041E"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00DAAFF8" w14:textId="48C043C5"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lastRenderedPageBreak/>
              <w:t>13.</w:t>
            </w:r>
          </w:p>
        </w:tc>
        <w:tc>
          <w:tcPr>
            <w:tcW w:w="6695" w:type="dxa"/>
            <w:tcBorders>
              <w:top w:val="nil"/>
              <w:left w:val="nil"/>
              <w:bottom w:val="single" w:sz="4" w:space="0" w:color="auto"/>
              <w:right w:val="single" w:sz="4" w:space="0" w:color="auto"/>
            </w:tcBorders>
            <w:shd w:val="clear" w:color="000000" w:fill="FFFFFF"/>
            <w:vAlign w:val="center"/>
            <w:hideMark/>
          </w:tcPr>
          <w:p w14:paraId="609D5C6A"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Šilumos siurblio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0FEF2581"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647E8061"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4E952043"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557AEEE7" w14:textId="12F4C971"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14.</w:t>
            </w:r>
          </w:p>
        </w:tc>
        <w:tc>
          <w:tcPr>
            <w:tcW w:w="6695" w:type="dxa"/>
            <w:tcBorders>
              <w:top w:val="nil"/>
              <w:left w:val="nil"/>
              <w:bottom w:val="single" w:sz="4" w:space="0" w:color="auto"/>
              <w:right w:val="single" w:sz="4" w:space="0" w:color="auto"/>
            </w:tcBorders>
            <w:shd w:val="clear" w:color="000000" w:fill="FFFFFF"/>
            <w:vAlign w:val="center"/>
            <w:hideMark/>
          </w:tcPr>
          <w:p w14:paraId="682C055B"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Saulės kolektorių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7BD67468"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6D3CBFC0"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29A8AC1D"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A037964" w14:textId="53E0A49A"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15.</w:t>
            </w:r>
          </w:p>
        </w:tc>
        <w:tc>
          <w:tcPr>
            <w:tcW w:w="6695" w:type="dxa"/>
            <w:tcBorders>
              <w:top w:val="nil"/>
              <w:left w:val="nil"/>
              <w:bottom w:val="single" w:sz="4" w:space="0" w:color="auto"/>
              <w:right w:val="single" w:sz="4" w:space="0" w:color="auto"/>
            </w:tcBorders>
            <w:shd w:val="clear" w:color="000000" w:fill="FFFFFF"/>
            <w:vAlign w:val="center"/>
            <w:hideMark/>
          </w:tcPr>
          <w:p w14:paraId="0254BD03"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Fotovoltinių saulės elementų (PV)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07E3BABD"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467FA34D"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r w:rsidR="00C70792" w:rsidRPr="00650EE4" w14:paraId="52414DD4"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6DF9559" w14:textId="6C179CC2"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16.</w:t>
            </w:r>
          </w:p>
        </w:tc>
        <w:tc>
          <w:tcPr>
            <w:tcW w:w="6695" w:type="dxa"/>
            <w:tcBorders>
              <w:top w:val="nil"/>
              <w:left w:val="nil"/>
              <w:bottom w:val="single" w:sz="4" w:space="0" w:color="auto"/>
              <w:right w:val="single" w:sz="4" w:space="0" w:color="auto"/>
            </w:tcBorders>
            <w:shd w:val="clear" w:color="000000" w:fill="FFFFFF"/>
            <w:vAlign w:val="center"/>
            <w:hideMark/>
          </w:tcPr>
          <w:p w14:paraId="0A7155BF" w14:textId="77777777" w:rsidR="00C70792" w:rsidRPr="00650EE4" w:rsidRDefault="00C70792" w:rsidP="00C70792">
            <w:pPr>
              <w:spacing w:line="240" w:lineRule="auto"/>
              <w:rPr>
                <w:rFonts w:ascii="Times New Roman" w:eastAsia="Times New Roman" w:hAnsi="Times New Roman"/>
                <w:color w:val="000000" w:themeColor="text1"/>
                <w:sz w:val="20"/>
                <w:szCs w:val="20"/>
              </w:rPr>
            </w:pPr>
            <w:proofErr w:type="spellStart"/>
            <w:r w:rsidRPr="00650EE4">
              <w:rPr>
                <w:rFonts w:ascii="Times New Roman" w:eastAsia="Times New Roman" w:hAnsi="Times New Roman"/>
                <w:color w:val="000000" w:themeColor="text1"/>
                <w:sz w:val="20"/>
                <w:szCs w:val="20"/>
              </w:rPr>
              <w:t>Rekuperacijos</w:t>
            </w:r>
            <w:proofErr w:type="spellEnd"/>
            <w:r w:rsidRPr="00650EE4">
              <w:rPr>
                <w:rFonts w:ascii="Times New Roman" w:eastAsia="Times New Roman" w:hAnsi="Times New Roman"/>
                <w:color w:val="000000" w:themeColor="text1"/>
                <w:sz w:val="20"/>
                <w:szCs w:val="20"/>
              </w:rPr>
              <w:t xml:space="preserve">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38F32EC5" w14:textId="26114B48" w:rsidR="00C70792" w:rsidRPr="00650EE4" w:rsidRDefault="00C70792" w:rsidP="00883EAD">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c>
          <w:tcPr>
            <w:tcW w:w="1122" w:type="dxa"/>
            <w:tcBorders>
              <w:top w:val="nil"/>
              <w:left w:val="nil"/>
              <w:bottom w:val="single" w:sz="4" w:space="0" w:color="auto"/>
              <w:right w:val="single" w:sz="4" w:space="0" w:color="auto"/>
            </w:tcBorders>
            <w:shd w:val="clear" w:color="000000" w:fill="FFFFFF"/>
            <w:noWrap/>
            <w:vAlign w:val="center"/>
          </w:tcPr>
          <w:p w14:paraId="6455FFC0" w14:textId="60E59F22" w:rsidR="00C70792" w:rsidRPr="00650EE4" w:rsidRDefault="00C70792" w:rsidP="00C70792">
            <w:pPr>
              <w:spacing w:line="240" w:lineRule="auto"/>
              <w:jc w:val="center"/>
              <w:rPr>
                <w:rFonts w:ascii="Times New Roman" w:eastAsia="Times New Roman" w:hAnsi="Times New Roman"/>
                <w:color w:val="000000" w:themeColor="text1"/>
                <w:sz w:val="20"/>
                <w:szCs w:val="20"/>
              </w:rPr>
            </w:pPr>
          </w:p>
        </w:tc>
      </w:tr>
      <w:tr w:rsidR="00C70792" w:rsidRPr="00650EE4" w14:paraId="01A766F9" w14:textId="77777777" w:rsidTr="004F0624">
        <w:tc>
          <w:tcPr>
            <w:tcW w:w="1000" w:type="dxa"/>
            <w:tcBorders>
              <w:top w:val="nil"/>
              <w:left w:val="single" w:sz="4" w:space="0" w:color="auto"/>
              <w:bottom w:val="single" w:sz="4" w:space="0" w:color="auto"/>
              <w:right w:val="single" w:sz="4" w:space="0" w:color="auto"/>
            </w:tcBorders>
            <w:shd w:val="clear" w:color="000000" w:fill="FFFFFF"/>
            <w:noWrap/>
            <w:vAlign w:val="bottom"/>
            <w:hideMark/>
          </w:tcPr>
          <w:p w14:paraId="44E8D029" w14:textId="6416C17A"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17.</w:t>
            </w:r>
          </w:p>
        </w:tc>
        <w:tc>
          <w:tcPr>
            <w:tcW w:w="6695" w:type="dxa"/>
            <w:tcBorders>
              <w:top w:val="nil"/>
              <w:left w:val="nil"/>
              <w:bottom w:val="single" w:sz="4" w:space="0" w:color="auto"/>
              <w:right w:val="single" w:sz="4" w:space="0" w:color="auto"/>
            </w:tcBorders>
            <w:shd w:val="clear" w:color="000000" w:fill="FFFFFF"/>
            <w:noWrap/>
            <w:vAlign w:val="bottom"/>
            <w:hideMark/>
          </w:tcPr>
          <w:p w14:paraId="32868F56"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Vėjo jėgainės įrengimas</w:t>
            </w:r>
          </w:p>
        </w:tc>
        <w:tc>
          <w:tcPr>
            <w:tcW w:w="1377" w:type="dxa"/>
            <w:tcBorders>
              <w:top w:val="nil"/>
              <w:left w:val="nil"/>
              <w:bottom w:val="single" w:sz="4" w:space="0" w:color="auto"/>
              <w:right w:val="single" w:sz="4" w:space="0" w:color="auto"/>
            </w:tcBorders>
            <w:shd w:val="clear" w:color="000000" w:fill="FFFFFF"/>
            <w:noWrap/>
            <w:vAlign w:val="bottom"/>
            <w:hideMark/>
          </w:tcPr>
          <w:p w14:paraId="6F3592EE" w14:textId="77777777" w:rsidR="00C70792" w:rsidRPr="00650EE4" w:rsidRDefault="00C70792" w:rsidP="00C70792">
            <w:pPr>
              <w:spacing w:line="240" w:lineRule="auto"/>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 </w:t>
            </w:r>
          </w:p>
        </w:tc>
        <w:tc>
          <w:tcPr>
            <w:tcW w:w="1122" w:type="dxa"/>
            <w:tcBorders>
              <w:top w:val="nil"/>
              <w:left w:val="nil"/>
              <w:bottom w:val="single" w:sz="4" w:space="0" w:color="auto"/>
              <w:right w:val="single" w:sz="4" w:space="0" w:color="auto"/>
            </w:tcBorders>
            <w:shd w:val="clear" w:color="000000" w:fill="FFFFFF"/>
            <w:noWrap/>
            <w:vAlign w:val="center"/>
          </w:tcPr>
          <w:p w14:paraId="7552B99B" w14:textId="77777777" w:rsidR="00C70792" w:rsidRPr="00650EE4" w:rsidRDefault="00C70792" w:rsidP="00C70792">
            <w:pPr>
              <w:spacing w:line="240" w:lineRule="auto"/>
              <w:jc w:val="center"/>
              <w:rPr>
                <w:rFonts w:ascii="Times New Roman" w:eastAsia="Times New Roman" w:hAnsi="Times New Roman"/>
                <w:color w:val="000000" w:themeColor="text1"/>
                <w:sz w:val="20"/>
                <w:szCs w:val="20"/>
              </w:rPr>
            </w:pPr>
            <w:r w:rsidRPr="00650EE4">
              <w:rPr>
                <w:rFonts w:ascii="Times New Roman" w:eastAsia="Times New Roman" w:hAnsi="Times New Roman"/>
                <w:color w:val="000000" w:themeColor="text1"/>
                <w:sz w:val="20"/>
                <w:szCs w:val="20"/>
              </w:rPr>
              <w:t>X</w:t>
            </w:r>
          </w:p>
        </w:tc>
      </w:tr>
    </w:tbl>
    <w:p w14:paraId="0E261515" w14:textId="78C52363" w:rsidR="007C4A64" w:rsidRPr="00650EE4" w:rsidRDefault="007C4A64" w:rsidP="001A1B7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2A4FB163" w14:textId="77777777" w:rsidR="00196535" w:rsidRPr="00650EE4" w:rsidRDefault="00196535" w:rsidP="007C4A64">
      <w:pPr>
        <w:spacing w:line="240" w:lineRule="auto"/>
        <w:jc w:val="both"/>
        <w:rPr>
          <w:rFonts w:ascii="Times New Roman" w:hAnsi="Times New Roman"/>
          <w:color w:val="000000" w:themeColor="text1"/>
          <w:szCs w:val="22"/>
        </w:rPr>
      </w:pPr>
    </w:p>
    <w:p w14:paraId="30D47F70"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Bendru atveju, renovacijos priemonės, orientuotos į konkrečius pastato elementus, techniškai gali būti įdiegtos tiek pavieniui, tiek kompleksiškai. IRS kontekste, vertinant pastatą kaip </w:t>
      </w:r>
      <w:proofErr w:type="spellStart"/>
      <w:r w:rsidRPr="00650EE4">
        <w:rPr>
          <w:rFonts w:ascii="Times New Roman" w:hAnsi="Times New Roman"/>
          <w:color w:val="000000" w:themeColor="text1"/>
          <w:szCs w:val="22"/>
        </w:rPr>
        <w:t>inžineriškai</w:t>
      </w:r>
      <w:proofErr w:type="spellEnd"/>
      <w:r w:rsidRPr="00650EE4">
        <w:rPr>
          <w:rFonts w:ascii="Times New Roman" w:hAnsi="Times New Roman"/>
          <w:color w:val="000000" w:themeColor="text1"/>
          <w:szCs w:val="22"/>
        </w:rPr>
        <w:t xml:space="preserve"> vientisą darinį ir atsižvelgiant į sukauptą patirtį įgyvendinant renovacijos projektus, Žaliojo kurso, Rekomendacijų, NECP ir kitų strateginių dokumentų nuostatas, prioritetas teikiamas kompleksiniams, esminiams renovacijos sprendimams („giliai“ renovacijai), apjungiant tiek energinio efektyvumo, tiek AEI panaudojimo didinimo priemones. </w:t>
      </w:r>
    </w:p>
    <w:p w14:paraId="6329B1F8" w14:textId="77777777" w:rsidR="007C4A64" w:rsidRPr="00650EE4" w:rsidRDefault="007C4A64" w:rsidP="007C4A64">
      <w:pPr>
        <w:spacing w:line="240" w:lineRule="auto"/>
        <w:jc w:val="both"/>
        <w:rPr>
          <w:rFonts w:ascii="Times New Roman" w:hAnsi="Times New Roman"/>
          <w:color w:val="000000" w:themeColor="text1"/>
          <w:szCs w:val="22"/>
        </w:rPr>
      </w:pPr>
    </w:p>
    <w:p w14:paraId="519D5F78"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Atitinkamai, efektyviausių renovacijos priemonių vertinimas vyko ne pavienių priemonių, o priemonių paketų lygmeniu. Priemonių paketai suformuoti taip, kad kiekvienas paketas apimtų renovacijos priemones reikalingas konkrečios energinio naudingumo klasės pasiekimui, pradedant C ir baigiant A++ energinio naudingumo klase. </w:t>
      </w:r>
    </w:p>
    <w:p w14:paraId="1D645969" w14:textId="77777777" w:rsidR="007C4A64" w:rsidRPr="00650EE4" w:rsidRDefault="007C4A64" w:rsidP="007C4A64">
      <w:pPr>
        <w:spacing w:line="240" w:lineRule="auto"/>
        <w:jc w:val="both"/>
        <w:rPr>
          <w:rFonts w:ascii="Times New Roman" w:hAnsi="Times New Roman"/>
          <w:color w:val="000000" w:themeColor="text1"/>
          <w:szCs w:val="22"/>
        </w:rPr>
      </w:pPr>
    </w:p>
    <w:p w14:paraId="2DC6CA51" w14:textId="77777777" w:rsidR="007C4A64" w:rsidRPr="00650EE4" w:rsidRDefault="007C4A64"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Minimalūs energinio naudingumo reikalavimai visų paskirčių pastatams Lietuvoje yra nustatyti Statybos techniniame reglamente STR 2.01.02:2016 „Pastatų energinio naudingumo projektavimas ir sertifikavimas“. Svarbu pastebėti, kad:</w:t>
      </w:r>
    </w:p>
    <w:p w14:paraId="3E4C4F9B" w14:textId="3434D348" w:rsidR="007C4A64" w:rsidRPr="00650EE4" w:rsidRDefault="007C4A64" w:rsidP="00BD4925">
      <w:pPr>
        <w:pStyle w:val="ListParagraph"/>
        <w:numPr>
          <w:ilvl w:val="0"/>
          <w:numId w:val="52"/>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STR nenumato konkrečių renovacijos priemonių (darbų), būtinų pasiekti aukštesnę energinio naudingumo klasę. Pastato energinio naudingumo klasė nustatoma pagal techninių rodiklių vertes</w:t>
      </w:r>
      <w:r w:rsidRPr="00650EE4">
        <w:rPr>
          <w:rStyle w:val="FootnoteReference"/>
          <w:rFonts w:ascii="Times New Roman" w:hAnsi="Times New Roman"/>
          <w:color w:val="000000" w:themeColor="text1"/>
          <w:szCs w:val="22"/>
          <w:lang w:val="lt-LT"/>
        </w:rPr>
        <w:footnoteReference w:id="12"/>
      </w:r>
      <w:r w:rsidRPr="00650EE4">
        <w:rPr>
          <w:rFonts w:ascii="Times New Roman" w:hAnsi="Times New Roman"/>
          <w:color w:val="000000" w:themeColor="text1"/>
          <w:szCs w:val="22"/>
          <w:lang w:val="lt-LT"/>
        </w:rPr>
        <w:t xml:space="preserve">. </w:t>
      </w:r>
      <w:r w:rsidR="00A12E7D">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uformuoti paketai vertinti kaip renovacijos priemonių kompleksas, pasiekiantis konkrečios aukštesnės energinio naudingumo klasės reikšmes. Kiekvienam priemonių paketui nustatoma bendra vidutinė investicijų vertė (</w:t>
      </w:r>
      <w:r w:rsidR="00A12E7D">
        <w:rPr>
          <w:rFonts w:ascii="Times New Roman" w:hAnsi="Times New Roman"/>
          <w:color w:val="000000" w:themeColor="text1"/>
          <w:szCs w:val="22"/>
        </w:rPr>
        <w:t>2</w:t>
      </w:r>
      <w:r w:rsidRPr="00650EE4">
        <w:rPr>
          <w:rFonts w:ascii="Times New Roman" w:hAnsi="Times New Roman"/>
          <w:color w:val="000000" w:themeColor="text1"/>
          <w:szCs w:val="22"/>
          <w:lang w:val="lt-LT"/>
        </w:rPr>
        <w:t>.2 skyrius) ir energijos sutaupymas (</w:t>
      </w:r>
      <w:r w:rsidR="00A12E7D">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.3 skyrius).</w:t>
      </w:r>
    </w:p>
    <w:p w14:paraId="1096C068" w14:textId="6AF5C4F2" w:rsidR="007C4A64" w:rsidRPr="00650EE4" w:rsidRDefault="007C4A64" w:rsidP="00BD4925">
      <w:pPr>
        <w:pStyle w:val="ListParagraph"/>
        <w:numPr>
          <w:ilvl w:val="0"/>
          <w:numId w:val="52"/>
        </w:numPr>
        <w:spacing w:line="240" w:lineRule="auto"/>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STR nenumato AEI priemonių visoms energinio naudingumo klasėms. Tačiau siekiant skatinti AEI panaudojimą ir įvertinti AEI investicijų įtaką paketų ekonominiam atsipirkimui, net ir žemesnių klasių priemonių paketai buvo papildyti universaliausiai pastatuose pritaikomomis AEI panaudojimo didinimo priemonėmis: šilumos siurbliais ir foto</w:t>
      </w:r>
      <w:r w:rsidR="005F1063" w:rsidRPr="00650EE4">
        <w:rPr>
          <w:rFonts w:ascii="Times New Roman" w:hAnsi="Times New Roman"/>
          <w:color w:val="000000" w:themeColor="text1"/>
          <w:szCs w:val="22"/>
          <w:lang w:val="lt-LT"/>
        </w:rPr>
        <w:t>voltiniais saulės</w:t>
      </w:r>
      <w:r w:rsidRPr="00650EE4">
        <w:rPr>
          <w:rFonts w:ascii="Times New Roman" w:hAnsi="Times New Roman"/>
          <w:color w:val="000000" w:themeColor="text1"/>
          <w:szCs w:val="22"/>
          <w:lang w:val="lt-LT"/>
        </w:rPr>
        <w:t xml:space="preserve"> elementais (žr. lentelę žemiau).</w:t>
      </w:r>
    </w:p>
    <w:p w14:paraId="02601A1F" w14:textId="77777777" w:rsidR="007C4A64" w:rsidRPr="00650EE4" w:rsidRDefault="007C4A64" w:rsidP="007C4A64">
      <w:pPr>
        <w:spacing w:line="240" w:lineRule="auto"/>
        <w:jc w:val="both"/>
        <w:rPr>
          <w:rFonts w:ascii="Times New Roman" w:hAnsi="Times New Roman"/>
          <w:color w:val="000000" w:themeColor="text1"/>
          <w:szCs w:val="22"/>
        </w:rPr>
      </w:pPr>
    </w:p>
    <w:p w14:paraId="3BD6BD8D" w14:textId="77777777" w:rsidR="007C4A64" w:rsidRPr="00650EE4" w:rsidRDefault="007C4A64" w:rsidP="007C4A64">
      <w:pPr>
        <w:shd w:val="clear" w:color="auto" w:fill="FFFFFF"/>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Nors konkrečios renovacijos priemonės reikalingos siektinos energinio naudingumo klasės pasiekimui gali skirtis priklausomai nuo pastato faktinės būklės, pastato paskirties ir pasirenkamų technologinių sprendimų (pvz., fasado šiltinimo technologijos), tačiau žemiau išskirtų priemonių diegimas pastatuose yra būtinas:</w:t>
      </w:r>
    </w:p>
    <w:p w14:paraId="38329D19" w14:textId="77777777" w:rsidR="007C4A64" w:rsidRPr="00650EE4" w:rsidRDefault="007C4A64" w:rsidP="007C4A64">
      <w:pPr>
        <w:pStyle w:val="BodyText"/>
        <w:numPr>
          <w:ilvl w:val="0"/>
          <w:numId w:val="9"/>
        </w:numPr>
        <w:spacing w:before="120" w:after="6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B ir aukštesnės energinio naudingumo klasės: pastato šildymo ir karšto vandens sistemos atnaujinimas visų paskirčių pastatuose.</w:t>
      </w:r>
    </w:p>
    <w:p w14:paraId="08C18E85" w14:textId="77777777" w:rsidR="007C4A64" w:rsidRPr="00650EE4" w:rsidRDefault="007C4A64" w:rsidP="007C4A64">
      <w:pPr>
        <w:pStyle w:val="BodyText"/>
        <w:numPr>
          <w:ilvl w:val="0"/>
          <w:numId w:val="9"/>
        </w:numPr>
        <w:spacing w:before="120" w:after="6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 ir A++ energinio naudingumo klasės: Vėdinimo sistemos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įrengimas administracinės, mokslo, gydymo, prekybos, kultūros, viešbučių ir paslaugų paskirties pastatuose.</w:t>
      </w:r>
    </w:p>
    <w:p w14:paraId="04852DE8" w14:textId="77777777" w:rsidR="007C4A64" w:rsidRPr="00650EE4" w:rsidRDefault="007C4A64" w:rsidP="007C4A64">
      <w:pPr>
        <w:pStyle w:val="BodyText"/>
        <w:numPr>
          <w:ilvl w:val="0"/>
          <w:numId w:val="9"/>
        </w:numPr>
        <w:spacing w:before="120"/>
        <w:ind w:left="714" w:hanging="3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 energinio naudingumo klasė: Vėdinimo sistemos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įrengimas visų paskirčių pastatuose; šilumos siurblio ir fotovoltinių saulės elementų įrengimas administracinės, mokslo, gydymo, prekybos, kultūros, viešbučių ir paslaugų paskirties pastatuose.</w:t>
      </w:r>
    </w:p>
    <w:p w14:paraId="043EC97E" w14:textId="77777777" w:rsidR="007C4A64" w:rsidRPr="00650EE4" w:rsidRDefault="007C4A64" w:rsidP="007C4A64">
      <w:pPr>
        <w:spacing w:line="240" w:lineRule="auto"/>
        <w:jc w:val="both"/>
        <w:rPr>
          <w:rFonts w:ascii="Times New Roman" w:hAnsi="Times New Roman"/>
          <w:color w:val="000000" w:themeColor="text1"/>
          <w:szCs w:val="22"/>
        </w:rPr>
      </w:pPr>
    </w:p>
    <w:p w14:paraId="069E2C35" w14:textId="699A3424" w:rsidR="00CA6415" w:rsidRPr="00650EE4" w:rsidRDefault="004446CD" w:rsidP="004446CD">
      <w:pPr>
        <w:spacing w:after="240"/>
        <w:jc w:val="both"/>
        <w:rPr>
          <w:rFonts w:ascii="Times New Roman" w:hAnsi="Times New Roman"/>
        </w:rPr>
      </w:pPr>
      <w:r>
        <w:rPr>
          <w:rFonts w:ascii="Times New Roman" w:hAnsi="Times New Roman"/>
        </w:rPr>
        <w:t>N</w:t>
      </w:r>
      <w:r w:rsidR="00AB34ED" w:rsidRPr="00650EE4">
        <w:rPr>
          <w:rFonts w:ascii="Times New Roman" w:hAnsi="Times New Roman"/>
        </w:rPr>
        <w:t xml:space="preserve">ors vėdinimo sistemos su </w:t>
      </w:r>
      <w:proofErr w:type="spellStart"/>
      <w:r w:rsidR="00AB34ED" w:rsidRPr="00650EE4">
        <w:rPr>
          <w:rFonts w:ascii="Times New Roman" w:hAnsi="Times New Roman"/>
        </w:rPr>
        <w:t>rekuperacija</w:t>
      </w:r>
      <w:proofErr w:type="spellEnd"/>
      <w:r w:rsidR="00AB34ED" w:rsidRPr="00650EE4">
        <w:rPr>
          <w:rFonts w:ascii="Times New Roman" w:hAnsi="Times New Roman"/>
        </w:rPr>
        <w:t xml:space="preserve"> įrengimas būtinas siekiant A++ energinio naudingumo klasės reikalavimų, rekomenduojama mechaninio vėdinimo sistemas su šilumos atgavimu numatyti ir žemesnės energinio naudingumo klasės pastatuose. Siekiant aukštesnių A, A+ ir A++ energinio naudingumo klasių, didėja pastatų sandarumo reikalavimai, sandariuose pastatuose oras nebegali taip lengvai cirkuliuoti kaip senos statybos pastatuose. Dėl šios priežasties didėja patalpų oro užterštumas, CO2 koncentracija, blogėja žmonių savijauta, darbingumas, sveikata.</w:t>
      </w:r>
    </w:p>
    <w:p w14:paraId="36B48970" w14:textId="77777777" w:rsidR="00F73F9C" w:rsidRDefault="00F73F9C">
      <w:pPr>
        <w:spacing w:after="240"/>
        <w:rPr>
          <w:rFonts w:ascii="Times New Roman" w:eastAsiaTheme="minorHAnsi" w:hAnsi="Times New Roman"/>
          <w:bCs/>
          <w:i/>
          <w:color w:val="000000" w:themeColor="text1"/>
          <w:sz w:val="20"/>
          <w:szCs w:val="20"/>
        </w:rPr>
      </w:pPr>
      <w:r>
        <w:br w:type="page"/>
      </w:r>
    </w:p>
    <w:p w14:paraId="4D558FCD" w14:textId="5BCF31C0" w:rsidR="007C4A64" w:rsidRPr="00650EE4" w:rsidRDefault="007C4A64"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0" w:name="_Toc59094217"/>
      <w:r w:rsidR="00F25C65">
        <w:t>34</w:t>
      </w:r>
      <w:r w:rsidRPr="00650EE4">
        <w:rPr>
          <w:noProof w:val="0"/>
        </w:rPr>
        <w:fldChar w:fldCharType="end"/>
      </w:r>
      <w:r w:rsidRPr="00650EE4">
        <w:rPr>
          <w:noProof w:val="0"/>
        </w:rPr>
        <w:t xml:space="preserve"> lentelė. Pirminis renovacijos priemonių paketų sąrašas</w:t>
      </w:r>
      <w:bookmarkEnd w:id="90"/>
    </w:p>
    <w:tbl>
      <w:tblPr>
        <w:tblStyle w:val="TableGrid"/>
        <w:tblW w:w="0" w:type="auto"/>
        <w:tblLook w:val="04A0" w:firstRow="1" w:lastRow="0" w:firstColumn="1" w:lastColumn="0" w:noHBand="0" w:noVBand="1"/>
      </w:tblPr>
      <w:tblGrid>
        <w:gridCol w:w="988"/>
        <w:gridCol w:w="9206"/>
      </w:tblGrid>
      <w:tr w:rsidR="004F0624" w:rsidRPr="00650EE4" w14:paraId="13B1A770" w14:textId="77777777" w:rsidTr="00064053">
        <w:tc>
          <w:tcPr>
            <w:tcW w:w="988" w:type="dxa"/>
            <w:vAlign w:val="center"/>
          </w:tcPr>
          <w:p w14:paraId="5DAD214D" w14:textId="7179226A" w:rsidR="004F0624" w:rsidRPr="00650EE4" w:rsidRDefault="004F0624" w:rsidP="00631BA6">
            <w:pPr>
              <w:pStyle w:val="TESlentelspavadinimas"/>
              <w:rPr>
                <w:noProof w:val="0"/>
              </w:rPr>
            </w:pPr>
            <w:r w:rsidRPr="00650EE4">
              <w:rPr>
                <w:noProof w:val="0"/>
              </w:rPr>
              <w:t>Eil. Nr.</w:t>
            </w:r>
          </w:p>
        </w:tc>
        <w:tc>
          <w:tcPr>
            <w:tcW w:w="9206" w:type="dxa"/>
            <w:vAlign w:val="center"/>
          </w:tcPr>
          <w:p w14:paraId="55E37FFB" w14:textId="4F2A2A94" w:rsidR="004F0624" w:rsidRPr="00650EE4" w:rsidRDefault="004F0624" w:rsidP="00631BA6">
            <w:pPr>
              <w:pStyle w:val="TESlentelspavadinimas"/>
              <w:rPr>
                <w:noProof w:val="0"/>
              </w:rPr>
            </w:pPr>
            <w:r w:rsidRPr="00650EE4">
              <w:rPr>
                <w:noProof w:val="0"/>
              </w:rPr>
              <w:t>Renovacijos priemonių paketas</w:t>
            </w:r>
          </w:p>
        </w:tc>
      </w:tr>
      <w:tr w:rsidR="004F0624" w:rsidRPr="00650EE4" w14:paraId="02480204" w14:textId="77777777" w:rsidTr="00C437DC">
        <w:tc>
          <w:tcPr>
            <w:tcW w:w="988" w:type="dxa"/>
            <w:vAlign w:val="center"/>
          </w:tcPr>
          <w:p w14:paraId="217132B4" w14:textId="1FB0432A" w:rsidR="004F0624" w:rsidRPr="00650EE4" w:rsidRDefault="004F0624" w:rsidP="00631BA6">
            <w:pPr>
              <w:pStyle w:val="TESlentelspavadinimas"/>
              <w:rPr>
                <w:noProof w:val="0"/>
              </w:rPr>
            </w:pPr>
            <w:r w:rsidRPr="00650EE4">
              <w:rPr>
                <w:noProof w:val="0"/>
              </w:rPr>
              <w:t>1.</w:t>
            </w:r>
          </w:p>
        </w:tc>
        <w:tc>
          <w:tcPr>
            <w:tcW w:w="9206" w:type="dxa"/>
            <w:vAlign w:val="center"/>
          </w:tcPr>
          <w:p w14:paraId="0EB2F404" w14:textId="480D5C1A" w:rsidR="004F0624" w:rsidRPr="00650EE4" w:rsidRDefault="004F0624" w:rsidP="00631BA6">
            <w:pPr>
              <w:pStyle w:val="TESlentelspavadinimas"/>
              <w:rPr>
                <w:noProof w:val="0"/>
              </w:rPr>
            </w:pPr>
            <w:r w:rsidRPr="00650EE4">
              <w:rPr>
                <w:noProof w:val="0"/>
              </w:rPr>
              <w:t>C klasė</w:t>
            </w:r>
          </w:p>
        </w:tc>
      </w:tr>
      <w:tr w:rsidR="004F0624" w:rsidRPr="00650EE4" w14:paraId="41F0657C" w14:textId="77777777" w:rsidTr="00C437DC">
        <w:tc>
          <w:tcPr>
            <w:tcW w:w="988" w:type="dxa"/>
            <w:vAlign w:val="center"/>
          </w:tcPr>
          <w:p w14:paraId="1F820EA6" w14:textId="439333FA" w:rsidR="004F0624" w:rsidRPr="00650EE4" w:rsidRDefault="004F0624" w:rsidP="00631BA6">
            <w:pPr>
              <w:pStyle w:val="TESlentelspavadinimas"/>
              <w:rPr>
                <w:noProof w:val="0"/>
              </w:rPr>
            </w:pPr>
            <w:r w:rsidRPr="00650EE4">
              <w:rPr>
                <w:noProof w:val="0"/>
              </w:rPr>
              <w:t>2.</w:t>
            </w:r>
          </w:p>
        </w:tc>
        <w:tc>
          <w:tcPr>
            <w:tcW w:w="9206" w:type="dxa"/>
            <w:vAlign w:val="bottom"/>
          </w:tcPr>
          <w:p w14:paraId="5B78BCD0" w14:textId="013DD232" w:rsidR="004F0624" w:rsidRPr="00650EE4" w:rsidRDefault="004F0624" w:rsidP="00631BA6">
            <w:pPr>
              <w:pStyle w:val="TESlentelspavadinimas"/>
              <w:rPr>
                <w:noProof w:val="0"/>
              </w:rPr>
            </w:pPr>
            <w:r w:rsidRPr="00650EE4">
              <w:rPr>
                <w:noProof w:val="0"/>
              </w:rPr>
              <w:t>C klasė + Šilumos siurblys</w:t>
            </w:r>
          </w:p>
        </w:tc>
      </w:tr>
      <w:tr w:rsidR="004F0624" w:rsidRPr="00650EE4" w14:paraId="3F4040F4" w14:textId="77777777" w:rsidTr="00C437DC">
        <w:tc>
          <w:tcPr>
            <w:tcW w:w="988" w:type="dxa"/>
            <w:vAlign w:val="center"/>
          </w:tcPr>
          <w:p w14:paraId="3E720B6E" w14:textId="3BB56982" w:rsidR="004F0624" w:rsidRPr="00650EE4" w:rsidRDefault="004F0624" w:rsidP="00631BA6">
            <w:pPr>
              <w:pStyle w:val="TESlentelspavadinimas"/>
              <w:rPr>
                <w:noProof w:val="0"/>
              </w:rPr>
            </w:pPr>
            <w:r w:rsidRPr="00650EE4">
              <w:rPr>
                <w:noProof w:val="0"/>
              </w:rPr>
              <w:t>3.</w:t>
            </w:r>
          </w:p>
        </w:tc>
        <w:tc>
          <w:tcPr>
            <w:tcW w:w="9206" w:type="dxa"/>
            <w:vAlign w:val="bottom"/>
          </w:tcPr>
          <w:p w14:paraId="382D5C72" w14:textId="399D738C" w:rsidR="004F0624" w:rsidRPr="00650EE4" w:rsidRDefault="004F0624" w:rsidP="00631BA6">
            <w:pPr>
              <w:pStyle w:val="TESlentelspavadinimas"/>
              <w:rPr>
                <w:noProof w:val="0"/>
              </w:rPr>
            </w:pPr>
            <w:r w:rsidRPr="00650EE4">
              <w:rPr>
                <w:noProof w:val="0"/>
              </w:rPr>
              <w:t>C klasė + Šilumos siurblys + Fotovoltiniai (FV) saulės elementai</w:t>
            </w:r>
          </w:p>
        </w:tc>
      </w:tr>
      <w:tr w:rsidR="004F0624" w:rsidRPr="00650EE4" w14:paraId="16AAD4B4" w14:textId="77777777" w:rsidTr="00C437DC">
        <w:tc>
          <w:tcPr>
            <w:tcW w:w="988" w:type="dxa"/>
            <w:vAlign w:val="center"/>
          </w:tcPr>
          <w:p w14:paraId="1F08ABAE" w14:textId="6866A690" w:rsidR="004F0624" w:rsidRPr="00650EE4" w:rsidRDefault="004F0624" w:rsidP="00631BA6">
            <w:pPr>
              <w:pStyle w:val="TESlentelspavadinimas"/>
              <w:rPr>
                <w:noProof w:val="0"/>
              </w:rPr>
            </w:pPr>
            <w:r w:rsidRPr="00650EE4">
              <w:rPr>
                <w:noProof w:val="0"/>
              </w:rPr>
              <w:t>4.</w:t>
            </w:r>
          </w:p>
        </w:tc>
        <w:tc>
          <w:tcPr>
            <w:tcW w:w="9206" w:type="dxa"/>
            <w:vAlign w:val="center"/>
          </w:tcPr>
          <w:p w14:paraId="2AAF004A" w14:textId="4510C0F2" w:rsidR="004F0624" w:rsidRPr="00650EE4" w:rsidRDefault="004F0624" w:rsidP="00631BA6">
            <w:pPr>
              <w:pStyle w:val="TESlentelspavadinimas"/>
              <w:rPr>
                <w:noProof w:val="0"/>
              </w:rPr>
            </w:pPr>
            <w:r w:rsidRPr="00650EE4">
              <w:rPr>
                <w:noProof w:val="0"/>
              </w:rPr>
              <w:t>B klasė</w:t>
            </w:r>
          </w:p>
        </w:tc>
      </w:tr>
      <w:tr w:rsidR="004F0624" w:rsidRPr="00650EE4" w14:paraId="16924B62" w14:textId="77777777" w:rsidTr="00C437DC">
        <w:tc>
          <w:tcPr>
            <w:tcW w:w="988" w:type="dxa"/>
            <w:vAlign w:val="center"/>
          </w:tcPr>
          <w:p w14:paraId="32AEAB3F" w14:textId="2EC6ED90" w:rsidR="004F0624" w:rsidRPr="00650EE4" w:rsidRDefault="004F0624" w:rsidP="00631BA6">
            <w:pPr>
              <w:pStyle w:val="TESlentelspavadinimas"/>
              <w:rPr>
                <w:noProof w:val="0"/>
              </w:rPr>
            </w:pPr>
            <w:r w:rsidRPr="00650EE4">
              <w:rPr>
                <w:noProof w:val="0"/>
              </w:rPr>
              <w:t>5.</w:t>
            </w:r>
          </w:p>
        </w:tc>
        <w:tc>
          <w:tcPr>
            <w:tcW w:w="9206" w:type="dxa"/>
            <w:vAlign w:val="bottom"/>
          </w:tcPr>
          <w:p w14:paraId="71EC7004" w14:textId="20948B80" w:rsidR="004F0624" w:rsidRPr="00650EE4" w:rsidRDefault="004F0624" w:rsidP="00631BA6">
            <w:pPr>
              <w:pStyle w:val="TESlentelspavadinimas"/>
              <w:rPr>
                <w:noProof w:val="0"/>
              </w:rPr>
            </w:pPr>
            <w:r w:rsidRPr="00650EE4">
              <w:rPr>
                <w:noProof w:val="0"/>
              </w:rPr>
              <w:t>B klasė + Šilumos siurblys</w:t>
            </w:r>
          </w:p>
        </w:tc>
      </w:tr>
      <w:tr w:rsidR="004F0624" w:rsidRPr="00650EE4" w14:paraId="4E73F453" w14:textId="77777777" w:rsidTr="00C437DC">
        <w:tc>
          <w:tcPr>
            <w:tcW w:w="988" w:type="dxa"/>
            <w:vAlign w:val="center"/>
          </w:tcPr>
          <w:p w14:paraId="0562A0E2" w14:textId="7DB86D56" w:rsidR="004F0624" w:rsidRPr="00650EE4" w:rsidRDefault="004F0624" w:rsidP="00631BA6">
            <w:pPr>
              <w:pStyle w:val="TESlentelspavadinimas"/>
              <w:rPr>
                <w:noProof w:val="0"/>
              </w:rPr>
            </w:pPr>
            <w:r w:rsidRPr="00650EE4">
              <w:rPr>
                <w:noProof w:val="0"/>
              </w:rPr>
              <w:t>6.</w:t>
            </w:r>
          </w:p>
        </w:tc>
        <w:tc>
          <w:tcPr>
            <w:tcW w:w="9206" w:type="dxa"/>
            <w:vAlign w:val="bottom"/>
          </w:tcPr>
          <w:p w14:paraId="33C2AD02" w14:textId="27477328" w:rsidR="004F0624" w:rsidRPr="00650EE4" w:rsidRDefault="004F0624" w:rsidP="00631BA6">
            <w:pPr>
              <w:pStyle w:val="TESlentelspavadinimas"/>
              <w:rPr>
                <w:noProof w:val="0"/>
              </w:rPr>
            </w:pPr>
            <w:r w:rsidRPr="00650EE4">
              <w:rPr>
                <w:noProof w:val="0"/>
              </w:rPr>
              <w:t>B klasė + Šilumos siurblys + Fotovoltiniai (FV) saulės elementai</w:t>
            </w:r>
          </w:p>
        </w:tc>
      </w:tr>
      <w:tr w:rsidR="004F0624" w:rsidRPr="00650EE4" w14:paraId="5DD9AD68" w14:textId="77777777" w:rsidTr="00C437DC">
        <w:tc>
          <w:tcPr>
            <w:tcW w:w="988" w:type="dxa"/>
            <w:vAlign w:val="center"/>
          </w:tcPr>
          <w:p w14:paraId="6429CD9F" w14:textId="7B198332" w:rsidR="004F0624" w:rsidRPr="00650EE4" w:rsidRDefault="004F0624" w:rsidP="00631BA6">
            <w:pPr>
              <w:pStyle w:val="TESlentelspavadinimas"/>
              <w:rPr>
                <w:noProof w:val="0"/>
              </w:rPr>
            </w:pPr>
            <w:r w:rsidRPr="00650EE4">
              <w:rPr>
                <w:noProof w:val="0"/>
              </w:rPr>
              <w:t>7.</w:t>
            </w:r>
          </w:p>
        </w:tc>
        <w:tc>
          <w:tcPr>
            <w:tcW w:w="9206" w:type="dxa"/>
            <w:vAlign w:val="center"/>
          </w:tcPr>
          <w:p w14:paraId="32C22A33" w14:textId="1CCB01D0" w:rsidR="004F0624" w:rsidRPr="00650EE4" w:rsidRDefault="004F0624" w:rsidP="00631BA6">
            <w:pPr>
              <w:pStyle w:val="TESlentelspavadinimas"/>
              <w:rPr>
                <w:noProof w:val="0"/>
              </w:rPr>
            </w:pPr>
            <w:r w:rsidRPr="00650EE4">
              <w:rPr>
                <w:noProof w:val="0"/>
              </w:rPr>
              <w:t>A klasė</w:t>
            </w:r>
          </w:p>
        </w:tc>
      </w:tr>
      <w:tr w:rsidR="004F0624" w:rsidRPr="00650EE4" w14:paraId="09D812B8" w14:textId="77777777" w:rsidTr="00C437DC">
        <w:tc>
          <w:tcPr>
            <w:tcW w:w="988" w:type="dxa"/>
            <w:vAlign w:val="center"/>
          </w:tcPr>
          <w:p w14:paraId="71C52241" w14:textId="33114ABA" w:rsidR="004F0624" w:rsidRPr="00650EE4" w:rsidRDefault="004F0624" w:rsidP="00631BA6">
            <w:pPr>
              <w:pStyle w:val="TESlentelspavadinimas"/>
              <w:rPr>
                <w:noProof w:val="0"/>
              </w:rPr>
            </w:pPr>
            <w:r w:rsidRPr="00650EE4">
              <w:rPr>
                <w:noProof w:val="0"/>
              </w:rPr>
              <w:t>8.</w:t>
            </w:r>
          </w:p>
        </w:tc>
        <w:tc>
          <w:tcPr>
            <w:tcW w:w="9206" w:type="dxa"/>
            <w:vAlign w:val="bottom"/>
          </w:tcPr>
          <w:p w14:paraId="32BFF99F" w14:textId="396C83F5" w:rsidR="004F0624" w:rsidRPr="00650EE4" w:rsidRDefault="004F0624" w:rsidP="00631BA6">
            <w:pPr>
              <w:pStyle w:val="TESlentelspavadinimas"/>
              <w:rPr>
                <w:noProof w:val="0"/>
              </w:rPr>
            </w:pPr>
            <w:r w:rsidRPr="00650EE4">
              <w:rPr>
                <w:noProof w:val="0"/>
              </w:rPr>
              <w:t>A klasė + Šilumos siurblys</w:t>
            </w:r>
          </w:p>
        </w:tc>
      </w:tr>
      <w:tr w:rsidR="004F0624" w:rsidRPr="00650EE4" w14:paraId="12E6B664" w14:textId="77777777" w:rsidTr="00C437DC">
        <w:tc>
          <w:tcPr>
            <w:tcW w:w="988" w:type="dxa"/>
            <w:vAlign w:val="center"/>
          </w:tcPr>
          <w:p w14:paraId="386DF7C7" w14:textId="130F254C" w:rsidR="004F0624" w:rsidRPr="00650EE4" w:rsidRDefault="004F0624" w:rsidP="00631BA6">
            <w:pPr>
              <w:pStyle w:val="TESlentelspavadinimas"/>
              <w:rPr>
                <w:noProof w:val="0"/>
              </w:rPr>
            </w:pPr>
            <w:r w:rsidRPr="00650EE4">
              <w:rPr>
                <w:noProof w:val="0"/>
              </w:rPr>
              <w:t>9.</w:t>
            </w:r>
          </w:p>
        </w:tc>
        <w:tc>
          <w:tcPr>
            <w:tcW w:w="9206" w:type="dxa"/>
            <w:vAlign w:val="bottom"/>
          </w:tcPr>
          <w:p w14:paraId="6DC753CC" w14:textId="47169F8A" w:rsidR="004F0624" w:rsidRPr="00650EE4" w:rsidRDefault="004F0624" w:rsidP="00631BA6">
            <w:pPr>
              <w:pStyle w:val="TESlentelspavadinimas"/>
              <w:rPr>
                <w:noProof w:val="0"/>
              </w:rPr>
            </w:pPr>
            <w:r w:rsidRPr="00650EE4">
              <w:rPr>
                <w:noProof w:val="0"/>
              </w:rPr>
              <w:t>A klasė + Šilumos siurblys + Fotovoltiniai (FV) saulės elementai</w:t>
            </w:r>
          </w:p>
        </w:tc>
      </w:tr>
      <w:tr w:rsidR="004F0624" w:rsidRPr="00650EE4" w14:paraId="42392621" w14:textId="77777777" w:rsidTr="00C437DC">
        <w:tc>
          <w:tcPr>
            <w:tcW w:w="988" w:type="dxa"/>
            <w:vAlign w:val="center"/>
          </w:tcPr>
          <w:p w14:paraId="1CE00A81" w14:textId="49F33D2F" w:rsidR="004F0624" w:rsidRPr="00650EE4" w:rsidRDefault="004F0624" w:rsidP="00631BA6">
            <w:pPr>
              <w:pStyle w:val="TESlentelspavadinimas"/>
              <w:rPr>
                <w:noProof w:val="0"/>
              </w:rPr>
            </w:pPr>
            <w:r w:rsidRPr="00650EE4">
              <w:rPr>
                <w:noProof w:val="0"/>
              </w:rPr>
              <w:t>10.</w:t>
            </w:r>
          </w:p>
        </w:tc>
        <w:tc>
          <w:tcPr>
            <w:tcW w:w="9206" w:type="dxa"/>
            <w:vAlign w:val="center"/>
          </w:tcPr>
          <w:p w14:paraId="59FFB7C0" w14:textId="137F1BEE" w:rsidR="004F0624" w:rsidRPr="00650EE4" w:rsidRDefault="004F0624" w:rsidP="00631BA6">
            <w:pPr>
              <w:pStyle w:val="TESlentelspavadinimas"/>
              <w:rPr>
                <w:noProof w:val="0"/>
              </w:rPr>
            </w:pPr>
            <w:r w:rsidRPr="00650EE4">
              <w:rPr>
                <w:noProof w:val="0"/>
              </w:rPr>
              <w:t>A+ klasė</w:t>
            </w:r>
          </w:p>
        </w:tc>
      </w:tr>
      <w:tr w:rsidR="004F0624" w:rsidRPr="00650EE4" w14:paraId="23FB5D49" w14:textId="77777777" w:rsidTr="00C437DC">
        <w:tc>
          <w:tcPr>
            <w:tcW w:w="988" w:type="dxa"/>
            <w:vAlign w:val="center"/>
          </w:tcPr>
          <w:p w14:paraId="19B1D599" w14:textId="0E5F2380" w:rsidR="004F0624" w:rsidRPr="00650EE4" w:rsidRDefault="004F0624" w:rsidP="00631BA6">
            <w:pPr>
              <w:pStyle w:val="TESlentelspavadinimas"/>
              <w:rPr>
                <w:noProof w:val="0"/>
              </w:rPr>
            </w:pPr>
            <w:r w:rsidRPr="00650EE4">
              <w:rPr>
                <w:noProof w:val="0"/>
              </w:rPr>
              <w:t>11.</w:t>
            </w:r>
          </w:p>
        </w:tc>
        <w:tc>
          <w:tcPr>
            <w:tcW w:w="9206" w:type="dxa"/>
            <w:vAlign w:val="bottom"/>
          </w:tcPr>
          <w:p w14:paraId="565C0A13" w14:textId="72E19527" w:rsidR="004F0624" w:rsidRPr="00650EE4" w:rsidRDefault="004F0624" w:rsidP="00631BA6">
            <w:pPr>
              <w:pStyle w:val="TESlentelspavadinimas"/>
              <w:rPr>
                <w:noProof w:val="0"/>
              </w:rPr>
            </w:pPr>
            <w:r w:rsidRPr="00650EE4">
              <w:rPr>
                <w:noProof w:val="0"/>
              </w:rPr>
              <w:t>A+ klasė + Šilumos siurblys</w:t>
            </w:r>
          </w:p>
        </w:tc>
      </w:tr>
      <w:tr w:rsidR="004F0624" w:rsidRPr="00650EE4" w14:paraId="15FBAD4B" w14:textId="77777777" w:rsidTr="00C437DC">
        <w:tc>
          <w:tcPr>
            <w:tcW w:w="988" w:type="dxa"/>
            <w:vAlign w:val="center"/>
          </w:tcPr>
          <w:p w14:paraId="15F90F99" w14:textId="5323E716" w:rsidR="004F0624" w:rsidRPr="00650EE4" w:rsidRDefault="004F0624" w:rsidP="00631BA6">
            <w:pPr>
              <w:pStyle w:val="TESlentelspavadinimas"/>
              <w:rPr>
                <w:noProof w:val="0"/>
              </w:rPr>
            </w:pPr>
            <w:r w:rsidRPr="00650EE4">
              <w:rPr>
                <w:noProof w:val="0"/>
              </w:rPr>
              <w:t>12.</w:t>
            </w:r>
          </w:p>
        </w:tc>
        <w:tc>
          <w:tcPr>
            <w:tcW w:w="9206" w:type="dxa"/>
            <w:vAlign w:val="bottom"/>
          </w:tcPr>
          <w:p w14:paraId="0ED82B24" w14:textId="236522D1" w:rsidR="004F0624" w:rsidRPr="00650EE4" w:rsidRDefault="004F0624" w:rsidP="00631BA6">
            <w:pPr>
              <w:pStyle w:val="TESlentelspavadinimas"/>
              <w:rPr>
                <w:noProof w:val="0"/>
              </w:rPr>
            </w:pPr>
            <w:r w:rsidRPr="00650EE4">
              <w:rPr>
                <w:noProof w:val="0"/>
              </w:rPr>
              <w:t>A+ klasė + Šilumos siurblys + Fotovoltiniai (FV) saulės elementai</w:t>
            </w:r>
          </w:p>
        </w:tc>
      </w:tr>
      <w:tr w:rsidR="004F0624" w:rsidRPr="00650EE4" w14:paraId="3D64F10D" w14:textId="77777777" w:rsidTr="00C437DC">
        <w:tc>
          <w:tcPr>
            <w:tcW w:w="988" w:type="dxa"/>
            <w:vAlign w:val="center"/>
          </w:tcPr>
          <w:p w14:paraId="482B5072" w14:textId="79F56E02" w:rsidR="004F0624" w:rsidRPr="00650EE4" w:rsidRDefault="004F0624" w:rsidP="00631BA6">
            <w:pPr>
              <w:pStyle w:val="TESlentelspavadinimas"/>
              <w:rPr>
                <w:noProof w:val="0"/>
              </w:rPr>
            </w:pPr>
            <w:r w:rsidRPr="00650EE4">
              <w:rPr>
                <w:noProof w:val="0"/>
              </w:rPr>
              <w:t>13.</w:t>
            </w:r>
          </w:p>
        </w:tc>
        <w:tc>
          <w:tcPr>
            <w:tcW w:w="9206" w:type="dxa"/>
            <w:vAlign w:val="center"/>
          </w:tcPr>
          <w:p w14:paraId="40BA1283" w14:textId="578A4ADF" w:rsidR="004F0624" w:rsidRPr="00650EE4" w:rsidRDefault="004F0624" w:rsidP="00631BA6">
            <w:pPr>
              <w:pStyle w:val="TESlentelspavadinimas"/>
              <w:rPr>
                <w:noProof w:val="0"/>
              </w:rPr>
            </w:pPr>
            <w:r w:rsidRPr="00650EE4">
              <w:rPr>
                <w:noProof w:val="0"/>
              </w:rPr>
              <w:t>A++ klasė</w:t>
            </w:r>
          </w:p>
        </w:tc>
      </w:tr>
      <w:tr w:rsidR="004F0624" w:rsidRPr="00650EE4" w14:paraId="22333A85" w14:textId="77777777" w:rsidTr="00C437DC">
        <w:tc>
          <w:tcPr>
            <w:tcW w:w="988" w:type="dxa"/>
            <w:vAlign w:val="center"/>
          </w:tcPr>
          <w:p w14:paraId="2B33C0F2" w14:textId="6F67287F" w:rsidR="004F0624" w:rsidRPr="00650EE4" w:rsidRDefault="004F0624" w:rsidP="00631BA6">
            <w:pPr>
              <w:pStyle w:val="TESlentelspavadinimas"/>
              <w:rPr>
                <w:noProof w:val="0"/>
              </w:rPr>
            </w:pPr>
            <w:r w:rsidRPr="00650EE4">
              <w:rPr>
                <w:noProof w:val="0"/>
              </w:rPr>
              <w:t>14.</w:t>
            </w:r>
          </w:p>
        </w:tc>
        <w:tc>
          <w:tcPr>
            <w:tcW w:w="9206" w:type="dxa"/>
            <w:vAlign w:val="bottom"/>
          </w:tcPr>
          <w:p w14:paraId="7B7DBFC7" w14:textId="63898805" w:rsidR="004F0624" w:rsidRPr="00650EE4" w:rsidRDefault="004F0624" w:rsidP="00631BA6">
            <w:pPr>
              <w:pStyle w:val="TESlentelspavadinimas"/>
              <w:rPr>
                <w:noProof w:val="0"/>
              </w:rPr>
            </w:pPr>
            <w:r w:rsidRPr="00650EE4">
              <w:rPr>
                <w:noProof w:val="0"/>
              </w:rPr>
              <w:t>A++ klasė + Šilumos siurblys</w:t>
            </w:r>
          </w:p>
        </w:tc>
      </w:tr>
      <w:tr w:rsidR="004F0624" w:rsidRPr="00650EE4" w14:paraId="4674EBFB" w14:textId="77777777" w:rsidTr="00C437DC">
        <w:tc>
          <w:tcPr>
            <w:tcW w:w="988" w:type="dxa"/>
            <w:vAlign w:val="center"/>
          </w:tcPr>
          <w:p w14:paraId="52706AB8" w14:textId="2E3419A2" w:rsidR="004F0624" w:rsidRPr="00650EE4" w:rsidRDefault="004F0624" w:rsidP="00631BA6">
            <w:pPr>
              <w:pStyle w:val="TESlentelspavadinimas"/>
              <w:rPr>
                <w:noProof w:val="0"/>
              </w:rPr>
            </w:pPr>
            <w:r w:rsidRPr="00650EE4">
              <w:rPr>
                <w:noProof w:val="0"/>
              </w:rPr>
              <w:t>15.</w:t>
            </w:r>
          </w:p>
        </w:tc>
        <w:tc>
          <w:tcPr>
            <w:tcW w:w="9206" w:type="dxa"/>
            <w:vAlign w:val="bottom"/>
          </w:tcPr>
          <w:p w14:paraId="3DBAE877" w14:textId="1FC83252" w:rsidR="004F0624" w:rsidRPr="00650EE4" w:rsidRDefault="004F0624" w:rsidP="00631BA6">
            <w:pPr>
              <w:pStyle w:val="TESlentelspavadinimas"/>
              <w:rPr>
                <w:noProof w:val="0"/>
              </w:rPr>
            </w:pPr>
            <w:r w:rsidRPr="00650EE4">
              <w:rPr>
                <w:noProof w:val="0"/>
              </w:rPr>
              <w:t>A++ klasė + Šilumos siurblys + Fotovoltiniai (FV) saulės elementai</w:t>
            </w:r>
          </w:p>
        </w:tc>
      </w:tr>
    </w:tbl>
    <w:p w14:paraId="675A66A3" w14:textId="141F30A4" w:rsidR="007C4A64" w:rsidRPr="00650EE4" w:rsidRDefault="007C4A64" w:rsidP="007C4A64">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12206ED5" w14:textId="77777777" w:rsidR="007C4A64" w:rsidRPr="00650EE4" w:rsidRDefault="007C4A64" w:rsidP="007C4A64">
      <w:pPr>
        <w:pStyle w:val="Pagrindinispaprastastekstas"/>
        <w:rPr>
          <w:rFonts w:ascii="Times New Roman" w:hAnsi="Times New Roman"/>
          <w:color w:val="000000" w:themeColor="text1"/>
          <w:szCs w:val="22"/>
        </w:rPr>
      </w:pPr>
    </w:p>
    <w:p w14:paraId="01489F46" w14:textId="77777777" w:rsidR="007C4A64" w:rsidRPr="00650EE4" w:rsidRDefault="007C4A64" w:rsidP="007C4A64">
      <w:pPr>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Papildomai, siekiant įvertinti dalinės renovacijos efektyvumą, suformuoti 4 dalinės renovacijos paketai:</w:t>
      </w:r>
    </w:p>
    <w:p w14:paraId="5A12F541" w14:textId="4D378A56"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m</w:t>
      </w:r>
      <w:r w:rsidR="007C4A64" w:rsidRPr="00650EE4">
        <w:rPr>
          <w:rFonts w:ascii="Times New Roman" w:hAnsi="Times New Roman"/>
          <w:color w:val="000000" w:themeColor="text1"/>
          <w:szCs w:val="22"/>
          <w:lang w:val="lt-LT"/>
        </w:rPr>
        <w:t>ažoji renovacija: šildymo ir karšto vandens sistemų modernizavimas;</w:t>
      </w:r>
    </w:p>
    <w:p w14:paraId="24579AA1" w14:textId="5F959C09"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f</w:t>
      </w:r>
      <w:r w:rsidR="007C4A64" w:rsidRPr="00650EE4">
        <w:rPr>
          <w:rFonts w:ascii="Times New Roman" w:hAnsi="Times New Roman"/>
          <w:color w:val="000000" w:themeColor="text1"/>
          <w:szCs w:val="22"/>
          <w:lang w:val="lt-LT"/>
        </w:rPr>
        <w:t>asado šiltinimas (iki C energinio naudingumo klasės reikšmių);</w:t>
      </w:r>
    </w:p>
    <w:p w14:paraId="4FD3D387" w14:textId="74544E74"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s</w:t>
      </w:r>
      <w:r w:rsidR="007C4A64" w:rsidRPr="00650EE4">
        <w:rPr>
          <w:rFonts w:ascii="Times New Roman" w:hAnsi="Times New Roman"/>
          <w:color w:val="000000" w:themeColor="text1"/>
          <w:szCs w:val="22"/>
          <w:lang w:val="lt-LT"/>
        </w:rPr>
        <w:t>togo perdangos šiltinimas (iki C energinio naudingumo klasės reikšmių);</w:t>
      </w:r>
    </w:p>
    <w:p w14:paraId="0C66AEFF" w14:textId="3E570FA1" w:rsidR="007C4A64" w:rsidRPr="00650EE4" w:rsidRDefault="00F73F9C" w:rsidP="007C4A64">
      <w:pPr>
        <w:pStyle w:val="BodyText"/>
        <w:numPr>
          <w:ilvl w:val="0"/>
          <w:numId w:val="1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l</w:t>
      </w:r>
      <w:r w:rsidR="007C4A64" w:rsidRPr="00650EE4">
        <w:rPr>
          <w:rFonts w:ascii="Times New Roman" w:hAnsi="Times New Roman"/>
          <w:color w:val="000000" w:themeColor="text1"/>
          <w:szCs w:val="22"/>
          <w:lang w:val="lt-LT"/>
        </w:rPr>
        <w:t>angų keitimas (iki C energinio naudingumo klasės reikšmių).</w:t>
      </w:r>
    </w:p>
    <w:p w14:paraId="5A543504" w14:textId="77777777" w:rsidR="007C4A64" w:rsidRPr="00650EE4" w:rsidRDefault="007C4A64" w:rsidP="007C4A64">
      <w:pPr>
        <w:rPr>
          <w:rFonts w:ascii="Times New Roman" w:hAnsi="Times New Roman"/>
          <w:szCs w:val="22"/>
          <w:lang w:eastAsia="lt-LT"/>
        </w:rPr>
      </w:pPr>
    </w:p>
    <w:p w14:paraId="6B82C61F" w14:textId="77777777" w:rsidR="007C4A64" w:rsidRPr="00650EE4" w:rsidRDefault="007C4A64" w:rsidP="007C4A64">
      <w:pPr>
        <w:shd w:val="clear" w:color="auto" w:fill="FFFFFF"/>
        <w:spacing w:after="120" w:line="240" w:lineRule="auto"/>
        <w:rPr>
          <w:rFonts w:ascii="Times New Roman" w:hAnsi="Times New Roman"/>
          <w:color w:val="000000" w:themeColor="text1"/>
          <w:szCs w:val="22"/>
        </w:rPr>
      </w:pPr>
      <w:r w:rsidRPr="00650EE4">
        <w:rPr>
          <w:rFonts w:ascii="Times New Roman" w:hAnsi="Times New Roman"/>
          <w:color w:val="000000" w:themeColor="text1"/>
          <w:szCs w:val="22"/>
        </w:rPr>
        <w:t>Mažosios renovacijos paketą sudaro:</w:t>
      </w:r>
    </w:p>
    <w:p w14:paraId="12F79424" w14:textId="5CDE6F06"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7C4A64" w:rsidRPr="00650EE4">
        <w:rPr>
          <w:rFonts w:ascii="Times New Roman" w:hAnsi="Times New Roman"/>
          <w:color w:val="000000" w:themeColor="text1"/>
          <w:szCs w:val="22"/>
          <w:lang w:val="lt-LT"/>
        </w:rPr>
        <w:t xml:space="preserve">enų </w:t>
      </w:r>
      <w:proofErr w:type="spellStart"/>
      <w:r w:rsidR="007C4A64" w:rsidRPr="00650EE4">
        <w:rPr>
          <w:rFonts w:ascii="Times New Roman" w:hAnsi="Times New Roman"/>
          <w:color w:val="000000" w:themeColor="text1"/>
          <w:szCs w:val="22"/>
          <w:lang w:val="lt-LT"/>
        </w:rPr>
        <w:t>elevatorinių</w:t>
      </w:r>
      <w:proofErr w:type="spellEnd"/>
      <w:r w:rsidR="007C4A64" w:rsidRPr="00650EE4">
        <w:rPr>
          <w:rFonts w:ascii="Times New Roman" w:hAnsi="Times New Roman"/>
          <w:color w:val="000000" w:themeColor="text1"/>
          <w:szCs w:val="22"/>
          <w:lang w:val="lt-LT"/>
        </w:rPr>
        <w:t xml:space="preserve"> šilumos punktų keitimas į naujus automatizuotus šilumos punktus ar senų susidėvėjusių automatinių šilumos punktų, kurie automatiškai nepalaiko užduotos karšto vandens temperatūros pastato vidaus karšto vandens tiekimo sistemoje, atnaujinimas;</w:t>
      </w:r>
    </w:p>
    <w:p w14:paraId="3EFAECBD" w14:textId="6FEA788B"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r</w:t>
      </w:r>
      <w:r w:rsidR="007C4A64" w:rsidRPr="00650EE4">
        <w:rPr>
          <w:rFonts w:ascii="Times New Roman" w:hAnsi="Times New Roman"/>
          <w:color w:val="000000" w:themeColor="text1"/>
          <w:szCs w:val="22"/>
          <w:lang w:val="lt-LT"/>
        </w:rPr>
        <w:t xml:space="preserve">adiatorių keitimas, </w:t>
      </w:r>
      <w:proofErr w:type="spellStart"/>
      <w:r w:rsidR="007C4A64" w:rsidRPr="00650EE4">
        <w:rPr>
          <w:rFonts w:ascii="Times New Roman" w:hAnsi="Times New Roman"/>
          <w:color w:val="000000" w:themeColor="text1"/>
          <w:szCs w:val="22"/>
          <w:lang w:val="lt-LT"/>
        </w:rPr>
        <w:t>termostatinių</w:t>
      </w:r>
      <w:proofErr w:type="spellEnd"/>
      <w:r w:rsidR="007C4A64" w:rsidRPr="00650EE4">
        <w:rPr>
          <w:rFonts w:ascii="Times New Roman" w:hAnsi="Times New Roman"/>
          <w:color w:val="000000" w:themeColor="text1"/>
          <w:szCs w:val="22"/>
          <w:lang w:val="lt-LT"/>
        </w:rPr>
        <w:t xml:space="preserve"> ventilių įrengimas, vamzdynų keitimas, individualių šilumos apskaitos prietaisų ar šilumos daliklių sistemos įrengimas, išmaniosios apskaitos įdiegimas;</w:t>
      </w:r>
    </w:p>
    <w:p w14:paraId="3B58E953" w14:textId="7A77E4C7"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7C4A64" w:rsidRPr="00650EE4">
        <w:rPr>
          <w:rFonts w:ascii="Times New Roman" w:hAnsi="Times New Roman"/>
          <w:color w:val="000000" w:themeColor="text1"/>
          <w:szCs w:val="22"/>
          <w:lang w:val="lt-LT"/>
        </w:rPr>
        <w:t>aršto vandens vamzdynų keitimas ir apšiltinimas, karšto vandens ventilių montavimas karšto vandens cirkuliacinės sistemos stovuose, karšto vandens skaitiklių įrengimas, išmaniosios apskaitos įdiegimas;</w:t>
      </w:r>
    </w:p>
    <w:p w14:paraId="5CFBE6BF" w14:textId="1C13CA87" w:rsidR="007C4A64" w:rsidRPr="00650EE4" w:rsidRDefault="00F73F9C" w:rsidP="00BD4925">
      <w:pPr>
        <w:pStyle w:val="BodyText"/>
        <w:numPr>
          <w:ilvl w:val="0"/>
          <w:numId w:val="20"/>
        </w:numPr>
        <w:spacing w:after="60" w:line="240" w:lineRule="auto"/>
        <w:jc w:val="both"/>
        <w:rPr>
          <w:rFonts w:ascii="Times New Roman" w:hAnsi="Times New Roman"/>
          <w:color w:val="000000" w:themeColor="text1"/>
          <w:szCs w:val="22"/>
          <w:lang w:val="lt-LT"/>
        </w:rPr>
      </w:pPr>
      <w:r>
        <w:rPr>
          <w:rFonts w:ascii="Times New Roman" w:hAnsi="Times New Roman"/>
          <w:color w:val="000000" w:themeColor="text1"/>
          <w:szCs w:val="22"/>
          <w:lang w:val="lt-LT"/>
        </w:rPr>
        <w:t>š</w:t>
      </w:r>
      <w:r w:rsidR="007C4A64" w:rsidRPr="00650EE4">
        <w:rPr>
          <w:rFonts w:ascii="Times New Roman" w:hAnsi="Times New Roman"/>
          <w:color w:val="000000" w:themeColor="text1"/>
          <w:szCs w:val="22"/>
          <w:lang w:val="lt-LT"/>
        </w:rPr>
        <w:t>ildymo ir karšto vandens sistemų balansavimas.</w:t>
      </w:r>
    </w:p>
    <w:p w14:paraId="46D0262C" w14:textId="77777777" w:rsidR="007C4A64" w:rsidRPr="00650EE4" w:rsidRDefault="007C4A64" w:rsidP="007C4A64">
      <w:pPr>
        <w:spacing w:line="240" w:lineRule="auto"/>
        <w:jc w:val="both"/>
        <w:rPr>
          <w:rFonts w:ascii="Times New Roman" w:hAnsi="Times New Roman"/>
          <w:color w:val="000000" w:themeColor="text1"/>
          <w:szCs w:val="22"/>
        </w:rPr>
      </w:pPr>
    </w:p>
    <w:p w14:paraId="3A553855" w14:textId="7E89852B" w:rsidR="007C4A64" w:rsidRPr="00650EE4" w:rsidRDefault="00396E79" w:rsidP="007C4A6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Tam, kad būtų galima nustatyti reikalingas investicijas ir planuojamus energijos sutaupymus s</w:t>
      </w:r>
      <w:r w:rsidR="007C4A64" w:rsidRPr="00650EE4">
        <w:rPr>
          <w:rFonts w:ascii="Times New Roman" w:hAnsi="Times New Roman"/>
          <w:color w:val="000000" w:themeColor="text1"/>
          <w:szCs w:val="22"/>
        </w:rPr>
        <w:t xml:space="preserve">kirtingo </w:t>
      </w:r>
      <w:r w:rsidRPr="00650EE4">
        <w:rPr>
          <w:rFonts w:ascii="Times New Roman" w:hAnsi="Times New Roman"/>
          <w:color w:val="000000" w:themeColor="text1"/>
          <w:szCs w:val="22"/>
        </w:rPr>
        <w:t xml:space="preserve">energinio naudingumo pastatams, </w:t>
      </w:r>
      <w:r w:rsidR="007C4A64" w:rsidRPr="00650EE4">
        <w:rPr>
          <w:rFonts w:ascii="Times New Roman" w:hAnsi="Times New Roman"/>
          <w:color w:val="000000" w:themeColor="text1"/>
          <w:szCs w:val="22"/>
        </w:rPr>
        <w:t>15 pirminių bazinių renovacijos paketų buvo papildomai suskaidyti į 33 galutinius bazinius renovacijos paketus, atsižvelgiant į pastatų, kuriems renovacijos paketai gali būti taikomi, pradines energinio naudingumo klases</w:t>
      </w:r>
      <w:r w:rsidRPr="00650EE4">
        <w:rPr>
          <w:rFonts w:ascii="Times New Roman" w:hAnsi="Times New Roman"/>
          <w:color w:val="000000" w:themeColor="text1"/>
          <w:szCs w:val="22"/>
        </w:rPr>
        <w:t xml:space="preserve"> (pvz. D </w:t>
      </w:r>
      <w:r w:rsidR="00050C2F" w:rsidRPr="00650EE4">
        <w:rPr>
          <w:rFonts w:ascii="Times New Roman" w:hAnsi="Times New Roman"/>
          <w:color w:val="000000" w:themeColor="text1"/>
          <w:szCs w:val="22"/>
        </w:rPr>
        <w:t xml:space="preserve">ir </w:t>
      </w:r>
      <w:r w:rsidRPr="00650EE4">
        <w:rPr>
          <w:rFonts w:ascii="Times New Roman" w:hAnsi="Times New Roman"/>
          <w:color w:val="000000" w:themeColor="text1"/>
          <w:szCs w:val="22"/>
        </w:rPr>
        <w:t>B</w:t>
      </w:r>
      <w:r w:rsidR="00050C2F" w:rsidRPr="00650EE4">
        <w:rPr>
          <w:rFonts w:ascii="Times New Roman" w:hAnsi="Times New Roman"/>
          <w:color w:val="000000" w:themeColor="text1"/>
          <w:szCs w:val="22"/>
        </w:rPr>
        <w:t xml:space="preserve"> energinio naudingumo</w:t>
      </w:r>
      <w:r w:rsidRPr="00650EE4">
        <w:rPr>
          <w:rFonts w:ascii="Times New Roman" w:hAnsi="Times New Roman"/>
          <w:color w:val="000000" w:themeColor="text1"/>
          <w:szCs w:val="22"/>
        </w:rPr>
        <w:t xml:space="preserve"> klas</w:t>
      </w:r>
      <w:r w:rsidR="00050C2F" w:rsidRPr="00650EE4">
        <w:rPr>
          <w:rFonts w:ascii="Times New Roman" w:hAnsi="Times New Roman"/>
          <w:color w:val="000000" w:themeColor="text1"/>
          <w:szCs w:val="22"/>
        </w:rPr>
        <w:t>ių</w:t>
      </w:r>
      <w:r w:rsidRPr="00650EE4">
        <w:rPr>
          <w:rFonts w:ascii="Times New Roman" w:hAnsi="Times New Roman"/>
          <w:color w:val="000000" w:themeColor="text1"/>
          <w:szCs w:val="22"/>
        </w:rPr>
        <w:t xml:space="preserve"> pastat</w:t>
      </w:r>
      <w:r w:rsidR="00050C2F" w:rsidRPr="00650EE4">
        <w:rPr>
          <w:rFonts w:ascii="Times New Roman" w:hAnsi="Times New Roman"/>
          <w:color w:val="000000" w:themeColor="text1"/>
          <w:szCs w:val="22"/>
        </w:rPr>
        <w:t>ų</w:t>
      </w:r>
      <w:r w:rsidRPr="00650EE4">
        <w:rPr>
          <w:rFonts w:ascii="Times New Roman" w:hAnsi="Times New Roman"/>
          <w:color w:val="000000" w:themeColor="text1"/>
          <w:szCs w:val="22"/>
        </w:rPr>
        <w:t xml:space="preserve"> renovacijai iki A+ klasės reikės skirtingų investicijų ir bus pasiektas skirtingas energijos vartojimo sutaupymas),  </w:t>
      </w:r>
      <w:r w:rsidR="007C4A64" w:rsidRPr="00650EE4">
        <w:rPr>
          <w:rFonts w:ascii="Times New Roman" w:hAnsi="Times New Roman"/>
          <w:color w:val="000000" w:themeColor="text1"/>
          <w:szCs w:val="22"/>
        </w:rPr>
        <w:t>žr. lentelę žemiau.</w:t>
      </w:r>
    </w:p>
    <w:p w14:paraId="725EE041" w14:textId="7B96BC0E" w:rsidR="00396E79" w:rsidRPr="00650EE4" w:rsidRDefault="00396E79">
      <w:pPr>
        <w:spacing w:after="240"/>
        <w:rPr>
          <w:rFonts w:ascii="Times New Roman" w:hAnsi="Times New Roman"/>
          <w:szCs w:val="22"/>
          <w:lang w:eastAsia="lt-LT"/>
        </w:rPr>
      </w:pPr>
      <w:r w:rsidRPr="00650EE4">
        <w:rPr>
          <w:rFonts w:ascii="Times New Roman" w:hAnsi="Times New Roman"/>
          <w:szCs w:val="22"/>
          <w:lang w:eastAsia="lt-LT"/>
        </w:rPr>
        <w:br w:type="page"/>
      </w:r>
    </w:p>
    <w:p w14:paraId="3CCE137A" w14:textId="67FBF10D" w:rsidR="007C4A64" w:rsidRPr="00650EE4" w:rsidRDefault="007C4A64"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1" w:name="_Toc59094218"/>
      <w:r w:rsidR="00F25C65">
        <w:t>35</w:t>
      </w:r>
      <w:r w:rsidRPr="00650EE4">
        <w:rPr>
          <w:noProof w:val="0"/>
        </w:rPr>
        <w:fldChar w:fldCharType="end"/>
      </w:r>
      <w:r w:rsidRPr="00650EE4">
        <w:rPr>
          <w:noProof w:val="0"/>
        </w:rPr>
        <w:t xml:space="preserve"> lentelė. Renovacijos priemonių paketai</w:t>
      </w:r>
      <w:bookmarkEnd w:id="91"/>
    </w:p>
    <w:tbl>
      <w:tblPr>
        <w:tblW w:w="5000" w:type="pct"/>
        <w:tblLook w:val="04A0" w:firstRow="1" w:lastRow="0" w:firstColumn="1" w:lastColumn="0" w:noHBand="0" w:noVBand="1"/>
      </w:tblPr>
      <w:tblGrid>
        <w:gridCol w:w="1252"/>
        <w:gridCol w:w="1071"/>
        <w:gridCol w:w="4912"/>
        <w:gridCol w:w="1594"/>
        <w:gridCol w:w="1591"/>
      </w:tblGrid>
      <w:tr w:rsidR="007C4A64" w:rsidRPr="00650EE4" w14:paraId="5AA1D1C6" w14:textId="77777777" w:rsidTr="00A97F1B">
        <w:trPr>
          <w:tblHeader/>
        </w:trPr>
        <w:tc>
          <w:tcPr>
            <w:tcW w:w="122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CDFE85"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049"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AA0DEF"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Grupė</w:t>
            </w:r>
          </w:p>
        </w:tc>
        <w:tc>
          <w:tcPr>
            <w:tcW w:w="48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3E54698"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p>
        </w:tc>
        <w:tc>
          <w:tcPr>
            <w:tcW w:w="3119" w:type="dxa"/>
            <w:gridSpan w:val="2"/>
            <w:tcBorders>
              <w:top w:val="single" w:sz="4" w:space="0" w:color="auto"/>
              <w:left w:val="nil"/>
              <w:bottom w:val="single" w:sz="4" w:space="0" w:color="auto"/>
              <w:right w:val="single" w:sz="4" w:space="0" w:color="auto"/>
            </w:tcBorders>
            <w:shd w:val="clear" w:color="000000" w:fill="FFFFFF"/>
            <w:noWrap/>
            <w:vAlign w:val="center"/>
            <w:hideMark/>
          </w:tcPr>
          <w:p w14:paraId="5DD1F49B"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Energinio naudingumo klasė</w:t>
            </w:r>
          </w:p>
        </w:tc>
      </w:tr>
      <w:tr w:rsidR="007C4A64" w:rsidRPr="00650EE4" w14:paraId="4CB398C8" w14:textId="77777777" w:rsidTr="00A97F1B">
        <w:trPr>
          <w:tblHeader/>
        </w:trPr>
        <w:tc>
          <w:tcPr>
            <w:tcW w:w="1225" w:type="dxa"/>
            <w:vMerge/>
            <w:tcBorders>
              <w:top w:val="single" w:sz="4" w:space="0" w:color="auto"/>
              <w:left w:val="single" w:sz="4" w:space="0" w:color="auto"/>
              <w:bottom w:val="single" w:sz="4" w:space="0" w:color="auto"/>
              <w:right w:val="single" w:sz="4" w:space="0" w:color="auto"/>
            </w:tcBorders>
            <w:vAlign w:val="center"/>
            <w:hideMark/>
          </w:tcPr>
          <w:p w14:paraId="0CF96F40"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1049" w:type="dxa"/>
            <w:vMerge/>
            <w:tcBorders>
              <w:top w:val="single" w:sz="4" w:space="0" w:color="auto"/>
              <w:left w:val="single" w:sz="4" w:space="0" w:color="auto"/>
              <w:bottom w:val="single" w:sz="4" w:space="0" w:color="auto"/>
              <w:right w:val="single" w:sz="4" w:space="0" w:color="auto"/>
            </w:tcBorders>
            <w:vAlign w:val="center"/>
            <w:hideMark/>
          </w:tcPr>
          <w:p w14:paraId="582DA751"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4809" w:type="dxa"/>
            <w:vMerge/>
            <w:tcBorders>
              <w:top w:val="single" w:sz="4" w:space="0" w:color="auto"/>
              <w:left w:val="single" w:sz="4" w:space="0" w:color="auto"/>
              <w:bottom w:val="single" w:sz="4" w:space="0" w:color="auto"/>
              <w:right w:val="single" w:sz="4" w:space="0" w:color="auto"/>
            </w:tcBorders>
            <w:vAlign w:val="center"/>
          </w:tcPr>
          <w:p w14:paraId="6A78A9B0" w14:textId="77777777" w:rsidR="007C4A64" w:rsidRPr="00650EE4" w:rsidRDefault="007C4A64" w:rsidP="000C1D71">
            <w:pPr>
              <w:spacing w:line="240" w:lineRule="auto"/>
              <w:rPr>
                <w:rFonts w:ascii="Times New Roman" w:eastAsia="Times New Roman" w:hAnsi="Times New Roman"/>
                <w:b/>
                <w:bCs/>
                <w:sz w:val="20"/>
                <w:szCs w:val="20"/>
                <w:lang w:eastAsia="lt-LT"/>
              </w:rPr>
            </w:pPr>
          </w:p>
        </w:tc>
        <w:tc>
          <w:tcPr>
            <w:tcW w:w="1561" w:type="dxa"/>
            <w:tcBorders>
              <w:top w:val="nil"/>
              <w:left w:val="nil"/>
              <w:bottom w:val="single" w:sz="4" w:space="0" w:color="auto"/>
              <w:right w:val="single" w:sz="4" w:space="0" w:color="auto"/>
            </w:tcBorders>
            <w:shd w:val="clear" w:color="000000" w:fill="FFFFFF"/>
            <w:noWrap/>
            <w:vAlign w:val="center"/>
            <w:hideMark/>
          </w:tcPr>
          <w:p w14:paraId="3212A7EB"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Pradinė</w:t>
            </w:r>
          </w:p>
        </w:tc>
        <w:tc>
          <w:tcPr>
            <w:tcW w:w="1558" w:type="dxa"/>
            <w:tcBorders>
              <w:top w:val="nil"/>
              <w:left w:val="nil"/>
              <w:bottom w:val="single" w:sz="4" w:space="0" w:color="auto"/>
              <w:right w:val="single" w:sz="4" w:space="0" w:color="auto"/>
            </w:tcBorders>
            <w:shd w:val="clear" w:color="000000" w:fill="FFFFFF"/>
            <w:noWrap/>
            <w:vAlign w:val="center"/>
            <w:hideMark/>
          </w:tcPr>
          <w:p w14:paraId="10C0BA31" w14:textId="77777777" w:rsidR="007C4A64" w:rsidRPr="00650EE4" w:rsidRDefault="007C4A64" w:rsidP="000C1D71">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Siekiama</w:t>
            </w:r>
          </w:p>
        </w:tc>
      </w:tr>
      <w:tr w:rsidR="007C4A64" w:rsidRPr="00650EE4" w14:paraId="5830F9D2" w14:textId="77777777" w:rsidTr="00A97F1B">
        <w:tc>
          <w:tcPr>
            <w:tcW w:w="22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9063A" w14:textId="77777777" w:rsidR="007C4A64" w:rsidRPr="00650EE4" w:rsidRDefault="007C4A64" w:rsidP="000C1D71">
            <w:pPr>
              <w:spacing w:line="240" w:lineRule="auto"/>
              <w:ind w:firstLineChars="100" w:firstLine="201"/>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Baziniai paketai</w:t>
            </w:r>
          </w:p>
        </w:tc>
        <w:tc>
          <w:tcPr>
            <w:tcW w:w="7928"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0C70A32F" w14:textId="77777777" w:rsidR="007C4A64" w:rsidRPr="00650EE4" w:rsidRDefault="007C4A64" w:rsidP="000C1D71">
            <w:pPr>
              <w:spacing w:line="240" w:lineRule="auto"/>
              <w:rPr>
                <w:rFonts w:ascii="Times New Roman" w:eastAsia="Times New Roman" w:hAnsi="Times New Roman"/>
                <w:b/>
                <w:bCs/>
                <w:sz w:val="20"/>
                <w:szCs w:val="20"/>
                <w:lang w:eastAsia="lt-LT"/>
              </w:rPr>
            </w:pPr>
          </w:p>
        </w:tc>
      </w:tr>
      <w:tr w:rsidR="007C4A64" w:rsidRPr="00650EE4" w14:paraId="65FD5BE4"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9ECCC8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049" w:type="dxa"/>
            <w:vMerge w:val="restart"/>
            <w:tcBorders>
              <w:top w:val="nil"/>
              <w:left w:val="nil"/>
              <w:right w:val="single" w:sz="4" w:space="0" w:color="auto"/>
            </w:tcBorders>
            <w:shd w:val="clear" w:color="000000" w:fill="FFFFFF"/>
            <w:noWrap/>
            <w:vAlign w:val="center"/>
          </w:tcPr>
          <w:p w14:paraId="3C6F055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4809" w:type="dxa"/>
            <w:tcBorders>
              <w:top w:val="nil"/>
              <w:left w:val="nil"/>
              <w:bottom w:val="single" w:sz="4" w:space="0" w:color="auto"/>
              <w:right w:val="single" w:sz="4" w:space="0" w:color="auto"/>
            </w:tcBorders>
            <w:shd w:val="clear" w:color="000000" w:fill="FFFFFF"/>
            <w:vAlign w:val="center"/>
          </w:tcPr>
          <w:p w14:paraId="0A2D0AE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D0875D7"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89DBA3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49637CFD"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3BB357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049" w:type="dxa"/>
            <w:vMerge/>
            <w:tcBorders>
              <w:left w:val="nil"/>
              <w:right w:val="single" w:sz="4" w:space="0" w:color="auto"/>
            </w:tcBorders>
            <w:shd w:val="clear" w:color="000000" w:fill="FFFFFF"/>
            <w:noWrap/>
            <w:vAlign w:val="center"/>
          </w:tcPr>
          <w:p w14:paraId="7FFEBE77"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ADDC9D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5994816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313495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2F0C5B27"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8BED380"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049" w:type="dxa"/>
            <w:vMerge/>
            <w:tcBorders>
              <w:left w:val="nil"/>
              <w:bottom w:val="single" w:sz="4" w:space="0" w:color="auto"/>
              <w:right w:val="single" w:sz="4" w:space="0" w:color="auto"/>
            </w:tcBorders>
            <w:shd w:val="clear" w:color="000000" w:fill="FFFFFF"/>
            <w:noWrap/>
            <w:vAlign w:val="center"/>
          </w:tcPr>
          <w:p w14:paraId="1BC483F5"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D07192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745CF47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D1C3AE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r>
      <w:tr w:rsidR="007C4A64" w:rsidRPr="00650EE4" w14:paraId="11593C1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811B99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049" w:type="dxa"/>
            <w:vMerge w:val="restart"/>
            <w:tcBorders>
              <w:top w:val="nil"/>
              <w:left w:val="nil"/>
              <w:right w:val="single" w:sz="4" w:space="0" w:color="auto"/>
            </w:tcBorders>
            <w:shd w:val="clear" w:color="000000" w:fill="FFFFFF"/>
            <w:noWrap/>
            <w:vAlign w:val="center"/>
          </w:tcPr>
          <w:p w14:paraId="2B09A83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4809" w:type="dxa"/>
            <w:tcBorders>
              <w:top w:val="nil"/>
              <w:left w:val="nil"/>
              <w:bottom w:val="single" w:sz="4" w:space="0" w:color="auto"/>
              <w:right w:val="single" w:sz="4" w:space="0" w:color="auto"/>
            </w:tcBorders>
            <w:shd w:val="clear" w:color="000000" w:fill="FFFFFF"/>
            <w:vAlign w:val="center"/>
          </w:tcPr>
          <w:p w14:paraId="2C869E4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3728C9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C8765C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75038C3A"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7643227"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049" w:type="dxa"/>
            <w:vMerge/>
            <w:tcBorders>
              <w:left w:val="nil"/>
              <w:right w:val="single" w:sz="4" w:space="0" w:color="auto"/>
            </w:tcBorders>
            <w:shd w:val="clear" w:color="000000" w:fill="FFFFFF"/>
            <w:noWrap/>
            <w:vAlign w:val="center"/>
          </w:tcPr>
          <w:p w14:paraId="49E4C12F"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7D3F8B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49F8AF9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474EF0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25B8F57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4278A5A"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049" w:type="dxa"/>
            <w:vMerge/>
            <w:tcBorders>
              <w:left w:val="nil"/>
              <w:bottom w:val="single" w:sz="4" w:space="0" w:color="auto"/>
              <w:right w:val="single" w:sz="4" w:space="0" w:color="auto"/>
            </w:tcBorders>
            <w:shd w:val="clear" w:color="000000" w:fill="FFFFFF"/>
            <w:noWrap/>
            <w:vAlign w:val="center"/>
          </w:tcPr>
          <w:p w14:paraId="1BF36D2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4AF0519"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2963761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7B4FF7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r>
      <w:tr w:rsidR="007C4A64" w:rsidRPr="00650EE4" w14:paraId="28C7CD0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3AD6E0F"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049" w:type="dxa"/>
            <w:vMerge w:val="restart"/>
            <w:tcBorders>
              <w:top w:val="nil"/>
              <w:left w:val="nil"/>
              <w:right w:val="single" w:sz="4" w:space="0" w:color="auto"/>
            </w:tcBorders>
            <w:shd w:val="clear" w:color="000000" w:fill="FFFFFF"/>
            <w:noWrap/>
            <w:vAlign w:val="center"/>
          </w:tcPr>
          <w:p w14:paraId="6F64062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6B4CAB5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55B95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EB31F6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8CCD085"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411DBB1"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049" w:type="dxa"/>
            <w:vMerge/>
            <w:tcBorders>
              <w:left w:val="nil"/>
              <w:right w:val="single" w:sz="4" w:space="0" w:color="auto"/>
            </w:tcBorders>
            <w:shd w:val="clear" w:color="000000" w:fill="FFFFFF"/>
            <w:noWrap/>
            <w:vAlign w:val="center"/>
          </w:tcPr>
          <w:p w14:paraId="0C25CDB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2152036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625A68E7"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1774CD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81C7BDD"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4683910"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049" w:type="dxa"/>
            <w:vMerge/>
            <w:tcBorders>
              <w:left w:val="nil"/>
              <w:right w:val="single" w:sz="4" w:space="0" w:color="auto"/>
            </w:tcBorders>
            <w:shd w:val="clear" w:color="000000" w:fill="FFFFFF"/>
            <w:noWrap/>
            <w:vAlign w:val="center"/>
          </w:tcPr>
          <w:p w14:paraId="2D61DDE0"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E89A3A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2158303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4F3F3D3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C39769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07C8A40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049" w:type="dxa"/>
            <w:vMerge/>
            <w:tcBorders>
              <w:left w:val="nil"/>
              <w:right w:val="single" w:sz="4" w:space="0" w:color="auto"/>
            </w:tcBorders>
            <w:shd w:val="clear" w:color="000000" w:fill="FFFFFF"/>
            <w:noWrap/>
            <w:vAlign w:val="center"/>
          </w:tcPr>
          <w:p w14:paraId="374A6D9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D5B6F7B"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D0A6E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1AA021B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45D9548"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38853C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049" w:type="dxa"/>
            <w:vMerge/>
            <w:tcBorders>
              <w:left w:val="nil"/>
              <w:right w:val="single" w:sz="4" w:space="0" w:color="auto"/>
            </w:tcBorders>
            <w:shd w:val="clear" w:color="000000" w:fill="FFFFFF"/>
            <w:noWrap/>
            <w:vAlign w:val="center"/>
          </w:tcPr>
          <w:p w14:paraId="7002E4F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A16B23F"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13C0DE8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69267B8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821E93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534973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049" w:type="dxa"/>
            <w:vMerge/>
            <w:tcBorders>
              <w:left w:val="nil"/>
              <w:bottom w:val="single" w:sz="4" w:space="0" w:color="auto"/>
              <w:right w:val="single" w:sz="4" w:space="0" w:color="auto"/>
            </w:tcBorders>
            <w:shd w:val="clear" w:color="000000" w:fill="FFFFFF"/>
            <w:noWrap/>
            <w:vAlign w:val="center"/>
          </w:tcPr>
          <w:p w14:paraId="1D99EB54"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4E5C0E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6D25E0B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6129B56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CE68B5C"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7FDD6C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049" w:type="dxa"/>
            <w:vMerge w:val="restart"/>
            <w:tcBorders>
              <w:top w:val="nil"/>
              <w:left w:val="nil"/>
              <w:right w:val="single" w:sz="4" w:space="0" w:color="auto"/>
            </w:tcBorders>
            <w:shd w:val="clear" w:color="000000" w:fill="FFFFFF"/>
            <w:noWrap/>
            <w:vAlign w:val="center"/>
          </w:tcPr>
          <w:p w14:paraId="10254F5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02605A5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575E6B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720B5A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BB5DC38"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37D164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049" w:type="dxa"/>
            <w:vMerge/>
            <w:tcBorders>
              <w:left w:val="nil"/>
              <w:right w:val="single" w:sz="4" w:space="0" w:color="auto"/>
            </w:tcBorders>
            <w:shd w:val="clear" w:color="000000" w:fill="FFFFFF"/>
            <w:noWrap/>
            <w:vAlign w:val="center"/>
          </w:tcPr>
          <w:p w14:paraId="00CC4AB5"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85ABBF9"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BEA1E7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F9FACD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E711681"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ACE0159"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049" w:type="dxa"/>
            <w:vMerge/>
            <w:tcBorders>
              <w:left w:val="nil"/>
              <w:right w:val="single" w:sz="4" w:space="0" w:color="auto"/>
            </w:tcBorders>
            <w:shd w:val="clear" w:color="000000" w:fill="FFFFFF"/>
            <w:noWrap/>
            <w:vAlign w:val="center"/>
          </w:tcPr>
          <w:p w14:paraId="3C16853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701F05D"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06F080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2E9327F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4C11B3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37942A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049" w:type="dxa"/>
            <w:vMerge/>
            <w:tcBorders>
              <w:left w:val="nil"/>
              <w:right w:val="single" w:sz="4" w:space="0" w:color="auto"/>
            </w:tcBorders>
            <w:shd w:val="clear" w:color="000000" w:fill="FFFFFF"/>
            <w:noWrap/>
            <w:vAlign w:val="center"/>
          </w:tcPr>
          <w:p w14:paraId="4DFF012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ADCBC2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112B868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4DD4B8C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F85660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F3E931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049" w:type="dxa"/>
            <w:vMerge/>
            <w:tcBorders>
              <w:left w:val="nil"/>
              <w:right w:val="single" w:sz="4" w:space="0" w:color="auto"/>
            </w:tcBorders>
            <w:shd w:val="clear" w:color="000000" w:fill="FFFFFF"/>
            <w:noWrap/>
            <w:vAlign w:val="center"/>
          </w:tcPr>
          <w:p w14:paraId="0E9D4ECB"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43E4842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30ADE3A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1A02FBD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6925BE81"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BA95BAA"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049" w:type="dxa"/>
            <w:vMerge/>
            <w:tcBorders>
              <w:left w:val="nil"/>
              <w:right w:val="single" w:sz="4" w:space="0" w:color="auto"/>
            </w:tcBorders>
            <w:shd w:val="clear" w:color="000000" w:fill="FFFFFF"/>
            <w:noWrap/>
            <w:vAlign w:val="center"/>
          </w:tcPr>
          <w:p w14:paraId="6B2E594E"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C24E94A"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5F16A1B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0246974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272837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80A3A8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049" w:type="dxa"/>
            <w:vMerge/>
            <w:tcBorders>
              <w:left w:val="nil"/>
              <w:right w:val="single" w:sz="4" w:space="0" w:color="auto"/>
            </w:tcBorders>
            <w:shd w:val="clear" w:color="000000" w:fill="FFFFFF"/>
            <w:noWrap/>
            <w:vAlign w:val="center"/>
          </w:tcPr>
          <w:p w14:paraId="6B74FBFA"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01F38DF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779A4F8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75E94E6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60ED8ED0"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E2B2EC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049" w:type="dxa"/>
            <w:vMerge/>
            <w:tcBorders>
              <w:left w:val="nil"/>
              <w:right w:val="single" w:sz="4" w:space="0" w:color="auto"/>
            </w:tcBorders>
            <w:shd w:val="clear" w:color="000000" w:fill="FFFFFF"/>
            <w:noWrap/>
            <w:vAlign w:val="center"/>
          </w:tcPr>
          <w:p w14:paraId="69AF2086"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7E7F9B6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079BFC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59BDC9A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2679BE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48CBEFF"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049" w:type="dxa"/>
            <w:vMerge/>
            <w:tcBorders>
              <w:left w:val="nil"/>
              <w:bottom w:val="single" w:sz="4" w:space="0" w:color="auto"/>
              <w:right w:val="single" w:sz="4" w:space="0" w:color="auto"/>
            </w:tcBorders>
            <w:shd w:val="clear" w:color="000000" w:fill="FFFFFF"/>
            <w:noWrap/>
            <w:vAlign w:val="center"/>
          </w:tcPr>
          <w:p w14:paraId="7687F2A8" w14:textId="77777777" w:rsidR="007C4A64" w:rsidRPr="00650EE4" w:rsidRDefault="007C4A64" w:rsidP="000C1D71">
            <w:pPr>
              <w:spacing w:line="240" w:lineRule="auto"/>
              <w:jc w:val="center"/>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87515CF" w14:textId="77777777" w:rsidR="007C4A64" w:rsidRPr="00650EE4" w:rsidRDefault="007C4A64" w:rsidP="000C1D71">
            <w:pPr>
              <w:spacing w:line="240" w:lineRule="auto"/>
              <w:ind w:right="-4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1ED28CE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0E753B1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45A1FF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D56EA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049" w:type="dxa"/>
            <w:vMerge w:val="restart"/>
            <w:tcBorders>
              <w:top w:val="nil"/>
              <w:left w:val="nil"/>
              <w:right w:val="single" w:sz="4" w:space="0" w:color="auto"/>
            </w:tcBorders>
            <w:shd w:val="clear" w:color="000000" w:fill="FFFFFF"/>
            <w:noWrap/>
            <w:vAlign w:val="center"/>
          </w:tcPr>
          <w:p w14:paraId="6603905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4809" w:type="dxa"/>
            <w:tcBorders>
              <w:top w:val="nil"/>
              <w:left w:val="nil"/>
              <w:bottom w:val="single" w:sz="4" w:space="0" w:color="auto"/>
              <w:right w:val="single" w:sz="4" w:space="0" w:color="auto"/>
            </w:tcBorders>
            <w:shd w:val="clear" w:color="000000" w:fill="FFFFFF"/>
            <w:vAlign w:val="center"/>
          </w:tcPr>
          <w:p w14:paraId="31C4CA2C"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658CC3C9"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643FF2F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208EB63"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0882B5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049" w:type="dxa"/>
            <w:vMerge/>
            <w:tcBorders>
              <w:left w:val="nil"/>
              <w:right w:val="single" w:sz="4" w:space="0" w:color="auto"/>
            </w:tcBorders>
            <w:shd w:val="clear" w:color="000000" w:fill="FFFFFF"/>
            <w:noWrap/>
            <w:vAlign w:val="center"/>
          </w:tcPr>
          <w:p w14:paraId="52F319FE"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339155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4FF586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9411D2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036B5709"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B3B1CF7"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049" w:type="dxa"/>
            <w:vMerge/>
            <w:tcBorders>
              <w:left w:val="nil"/>
              <w:right w:val="single" w:sz="4" w:space="0" w:color="auto"/>
            </w:tcBorders>
            <w:shd w:val="clear" w:color="000000" w:fill="FFFFFF"/>
            <w:noWrap/>
            <w:vAlign w:val="center"/>
          </w:tcPr>
          <w:p w14:paraId="05D30E12"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0CCF6FF4" w14:textId="77777777" w:rsidR="007C4A64" w:rsidRPr="00650EE4" w:rsidRDefault="007C4A64" w:rsidP="000C1D71">
            <w:pPr>
              <w:spacing w:line="240" w:lineRule="auto"/>
              <w:ind w:right="-190"/>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0D06ABF3"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3FF479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F00AA1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47F6B78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049" w:type="dxa"/>
            <w:vMerge/>
            <w:tcBorders>
              <w:left w:val="nil"/>
              <w:right w:val="single" w:sz="4" w:space="0" w:color="auto"/>
            </w:tcBorders>
            <w:shd w:val="clear" w:color="000000" w:fill="FFFFFF"/>
            <w:noWrap/>
            <w:vAlign w:val="center"/>
          </w:tcPr>
          <w:p w14:paraId="5EECA0C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36E08BC5"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5F5ED51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54229D7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18514E7"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6789FA7C"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049" w:type="dxa"/>
            <w:vMerge/>
            <w:tcBorders>
              <w:left w:val="nil"/>
              <w:right w:val="single" w:sz="4" w:space="0" w:color="auto"/>
            </w:tcBorders>
            <w:shd w:val="clear" w:color="000000" w:fill="FFFFFF"/>
            <w:noWrap/>
            <w:vAlign w:val="center"/>
          </w:tcPr>
          <w:p w14:paraId="335B67DA"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4ABD2E3"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5EC62D3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73C2C178"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2E6CB8C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97FA295"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049" w:type="dxa"/>
            <w:vMerge/>
            <w:tcBorders>
              <w:left w:val="nil"/>
              <w:right w:val="single" w:sz="4" w:space="0" w:color="auto"/>
            </w:tcBorders>
            <w:shd w:val="clear" w:color="000000" w:fill="FFFFFF"/>
            <w:noWrap/>
            <w:vAlign w:val="center"/>
          </w:tcPr>
          <w:p w14:paraId="708CFE99"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C1036E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4518325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558" w:type="dxa"/>
            <w:tcBorders>
              <w:top w:val="nil"/>
              <w:left w:val="nil"/>
              <w:bottom w:val="single" w:sz="4" w:space="0" w:color="auto"/>
              <w:right w:val="single" w:sz="4" w:space="0" w:color="auto"/>
            </w:tcBorders>
            <w:shd w:val="clear" w:color="000000" w:fill="FFFFFF"/>
            <w:noWrap/>
            <w:vAlign w:val="bottom"/>
            <w:hideMark/>
          </w:tcPr>
          <w:p w14:paraId="4C4FDA0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15EF5E46"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FA8464"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049" w:type="dxa"/>
            <w:vMerge/>
            <w:tcBorders>
              <w:left w:val="nil"/>
              <w:right w:val="single" w:sz="4" w:space="0" w:color="auto"/>
            </w:tcBorders>
            <w:shd w:val="clear" w:color="000000" w:fill="FFFFFF"/>
            <w:noWrap/>
            <w:vAlign w:val="center"/>
          </w:tcPr>
          <w:p w14:paraId="74B5A3BA"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775707A2"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60CCD5C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2D32EE5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46FA7EF"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B0059E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049" w:type="dxa"/>
            <w:vMerge/>
            <w:tcBorders>
              <w:left w:val="nil"/>
              <w:right w:val="single" w:sz="4" w:space="0" w:color="auto"/>
            </w:tcBorders>
            <w:shd w:val="clear" w:color="000000" w:fill="FFFFFF"/>
            <w:noWrap/>
            <w:vAlign w:val="center"/>
          </w:tcPr>
          <w:p w14:paraId="7785CEC7"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35A9CA8"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2638B652"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68B720B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FD7B55E"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5A8A5B48"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049" w:type="dxa"/>
            <w:vMerge/>
            <w:tcBorders>
              <w:left w:val="nil"/>
              <w:right w:val="single" w:sz="4" w:space="0" w:color="auto"/>
            </w:tcBorders>
            <w:shd w:val="clear" w:color="000000" w:fill="FFFFFF"/>
            <w:noWrap/>
            <w:vAlign w:val="center"/>
          </w:tcPr>
          <w:p w14:paraId="08DCC2BC"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827572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847372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558" w:type="dxa"/>
            <w:tcBorders>
              <w:top w:val="nil"/>
              <w:left w:val="nil"/>
              <w:bottom w:val="single" w:sz="4" w:space="0" w:color="auto"/>
              <w:right w:val="single" w:sz="4" w:space="0" w:color="auto"/>
            </w:tcBorders>
            <w:shd w:val="clear" w:color="000000" w:fill="FFFFFF"/>
            <w:noWrap/>
            <w:vAlign w:val="bottom"/>
            <w:hideMark/>
          </w:tcPr>
          <w:p w14:paraId="1F1ABD2A"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38E415EB"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7155D16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049" w:type="dxa"/>
            <w:vMerge/>
            <w:tcBorders>
              <w:left w:val="nil"/>
              <w:right w:val="single" w:sz="4" w:space="0" w:color="auto"/>
            </w:tcBorders>
            <w:shd w:val="clear" w:color="000000" w:fill="FFFFFF"/>
            <w:noWrap/>
            <w:vAlign w:val="center"/>
          </w:tcPr>
          <w:p w14:paraId="04505396"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18A36741"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w:t>
            </w:r>
          </w:p>
        </w:tc>
        <w:tc>
          <w:tcPr>
            <w:tcW w:w="1561" w:type="dxa"/>
            <w:tcBorders>
              <w:top w:val="nil"/>
              <w:left w:val="nil"/>
              <w:bottom w:val="single" w:sz="4" w:space="0" w:color="auto"/>
              <w:right w:val="single" w:sz="4" w:space="0" w:color="auto"/>
            </w:tcBorders>
            <w:shd w:val="clear" w:color="000000" w:fill="FFFFFF"/>
            <w:noWrap/>
            <w:vAlign w:val="bottom"/>
            <w:hideMark/>
          </w:tcPr>
          <w:p w14:paraId="4FBCE036"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1BF248E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7678F5C4"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129BB34"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049" w:type="dxa"/>
            <w:vMerge/>
            <w:tcBorders>
              <w:left w:val="nil"/>
              <w:right w:val="single" w:sz="4" w:space="0" w:color="auto"/>
            </w:tcBorders>
            <w:shd w:val="clear" w:color="000000" w:fill="FFFFFF"/>
            <w:noWrap/>
            <w:vAlign w:val="center"/>
          </w:tcPr>
          <w:p w14:paraId="58FF83C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5D6EFA26"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w:t>
            </w:r>
          </w:p>
        </w:tc>
        <w:tc>
          <w:tcPr>
            <w:tcW w:w="1561" w:type="dxa"/>
            <w:tcBorders>
              <w:top w:val="nil"/>
              <w:left w:val="nil"/>
              <w:bottom w:val="single" w:sz="4" w:space="0" w:color="auto"/>
              <w:right w:val="single" w:sz="4" w:space="0" w:color="auto"/>
            </w:tcBorders>
            <w:shd w:val="clear" w:color="000000" w:fill="FFFFFF"/>
            <w:noWrap/>
            <w:vAlign w:val="bottom"/>
            <w:hideMark/>
          </w:tcPr>
          <w:p w14:paraId="057F7EFE"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07377B11"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43A12C99"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1979620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049" w:type="dxa"/>
            <w:vMerge/>
            <w:tcBorders>
              <w:left w:val="nil"/>
              <w:bottom w:val="single" w:sz="4" w:space="0" w:color="auto"/>
              <w:right w:val="single" w:sz="4" w:space="0" w:color="auto"/>
            </w:tcBorders>
            <w:shd w:val="clear" w:color="000000" w:fill="FFFFFF"/>
            <w:noWrap/>
            <w:vAlign w:val="center"/>
          </w:tcPr>
          <w:p w14:paraId="60B384AE"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center"/>
          </w:tcPr>
          <w:p w14:paraId="61F5FFF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klasė + Šilumos siurblys + FV saulės elementai</w:t>
            </w:r>
          </w:p>
        </w:tc>
        <w:tc>
          <w:tcPr>
            <w:tcW w:w="1561" w:type="dxa"/>
            <w:tcBorders>
              <w:top w:val="nil"/>
              <w:left w:val="nil"/>
              <w:bottom w:val="single" w:sz="4" w:space="0" w:color="auto"/>
              <w:right w:val="single" w:sz="4" w:space="0" w:color="auto"/>
            </w:tcBorders>
            <w:shd w:val="clear" w:color="000000" w:fill="FFFFFF"/>
            <w:noWrap/>
            <w:vAlign w:val="bottom"/>
            <w:hideMark/>
          </w:tcPr>
          <w:p w14:paraId="356AABF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558" w:type="dxa"/>
            <w:tcBorders>
              <w:top w:val="nil"/>
              <w:left w:val="nil"/>
              <w:bottom w:val="single" w:sz="4" w:space="0" w:color="auto"/>
              <w:right w:val="single" w:sz="4" w:space="0" w:color="auto"/>
            </w:tcBorders>
            <w:shd w:val="clear" w:color="000000" w:fill="FFFFFF"/>
            <w:noWrap/>
            <w:vAlign w:val="bottom"/>
            <w:hideMark/>
          </w:tcPr>
          <w:p w14:paraId="5854ADE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r>
      <w:tr w:rsidR="007C4A64" w:rsidRPr="00650EE4" w14:paraId="5BEB924E" w14:textId="77777777" w:rsidTr="00A97F1B">
        <w:tc>
          <w:tcPr>
            <w:tcW w:w="227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38B8B6" w14:textId="77777777" w:rsidR="007C4A64" w:rsidRPr="00650EE4" w:rsidRDefault="007C4A64" w:rsidP="000C1D71">
            <w:pPr>
              <w:spacing w:line="240" w:lineRule="auto"/>
              <w:ind w:firstLineChars="100" w:firstLine="201"/>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Daliniai paketai</w:t>
            </w:r>
          </w:p>
        </w:tc>
        <w:tc>
          <w:tcPr>
            <w:tcW w:w="7928" w:type="dxa"/>
            <w:gridSpan w:val="3"/>
            <w:tcBorders>
              <w:top w:val="single" w:sz="4" w:space="0" w:color="auto"/>
              <w:left w:val="single" w:sz="4" w:space="0" w:color="auto"/>
              <w:bottom w:val="single" w:sz="4" w:space="0" w:color="auto"/>
              <w:right w:val="single" w:sz="4" w:space="0" w:color="000000"/>
            </w:tcBorders>
            <w:shd w:val="clear" w:color="000000" w:fill="FFFFFF"/>
            <w:vAlign w:val="center"/>
          </w:tcPr>
          <w:p w14:paraId="3012CA67" w14:textId="77777777" w:rsidR="007C4A64" w:rsidRPr="00650EE4" w:rsidRDefault="007C4A64" w:rsidP="000C1D71">
            <w:pPr>
              <w:spacing w:line="240" w:lineRule="auto"/>
              <w:rPr>
                <w:rFonts w:ascii="Times New Roman" w:eastAsia="Times New Roman" w:hAnsi="Times New Roman"/>
                <w:b/>
                <w:bCs/>
                <w:sz w:val="20"/>
                <w:szCs w:val="20"/>
                <w:lang w:eastAsia="lt-LT"/>
              </w:rPr>
            </w:pPr>
          </w:p>
        </w:tc>
      </w:tr>
      <w:tr w:rsidR="007C4A64" w:rsidRPr="00650EE4" w14:paraId="18486E4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77589FB6"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049" w:type="dxa"/>
            <w:vMerge w:val="restart"/>
            <w:tcBorders>
              <w:top w:val="nil"/>
              <w:left w:val="nil"/>
              <w:right w:val="single" w:sz="4" w:space="0" w:color="auto"/>
            </w:tcBorders>
            <w:shd w:val="clear" w:color="000000" w:fill="FFFFFF"/>
            <w:noWrap/>
            <w:vAlign w:val="center"/>
          </w:tcPr>
          <w:p w14:paraId="1DF4001B"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Dalinė renovacija</w:t>
            </w:r>
          </w:p>
        </w:tc>
        <w:tc>
          <w:tcPr>
            <w:tcW w:w="4809" w:type="dxa"/>
            <w:tcBorders>
              <w:top w:val="nil"/>
              <w:left w:val="nil"/>
              <w:bottom w:val="single" w:sz="4" w:space="0" w:color="auto"/>
              <w:right w:val="single" w:sz="4" w:space="0" w:color="auto"/>
            </w:tcBorders>
            <w:shd w:val="clear" w:color="000000" w:fill="FFFFFF"/>
            <w:vAlign w:val="bottom"/>
          </w:tcPr>
          <w:p w14:paraId="34B4D05E"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1561" w:type="dxa"/>
            <w:tcBorders>
              <w:top w:val="nil"/>
              <w:left w:val="nil"/>
              <w:bottom w:val="single" w:sz="4" w:space="0" w:color="auto"/>
              <w:right w:val="single" w:sz="4" w:space="0" w:color="auto"/>
            </w:tcBorders>
            <w:shd w:val="clear" w:color="000000" w:fill="FFFFFF"/>
            <w:noWrap/>
            <w:vAlign w:val="bottom"/>
            <w:hideMark/>
          </w:tcPr>
          <w:p w14:paraId="17AA87B5"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0424F14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09DE999C"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DBAA86E"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1049" w:type="dxa"/>
            <w:vMerge/>
            <w:tcBorders>
              <w:left w:val="nil"/>
              <w:right w:val="single" w:sz="4" w:space="0" w:color="auto"/>
            </w:tcBorders>
            <w:shd w:val="clear" w:color="000000" w:fill="FFFFFF"/>
            <w:noWrap/>
            <w:vAlign w:val="bottom"/>
          </w:tcPr>
          <w:p w14:paraId="6CDC3E41"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584D2997"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1561" w:type="dxa"/>
            <w:tcBorders>
              <w:top w:val="nil"/>
              <w:left w:val="nil"/>
              <w:bottom w:val="single" w:sz="4" w:space="0" w:color="auto"/>
              <w:right w:val="single" w:sz="4" w:space="0" w:color="auto"/>
            </w:tcBorders>
            <w:shd w:val="clear" w:color="000000" w:fill="FFFFFF"/>
            <w:noWrap/>
            <w:vAlign w:val="bottom"/>
            <w:hideMark/>
          </w:tcPr>
          <w:p w14:paraId="234167F0"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1F3D331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0DB2E122"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3BB7A062"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049" w:type="dxa"/>
            <w:vMerge/>
            <w:tcBorders>
              <w:left w:val="nil"/>
              <w:right w:val="single" w:sz="4" w:space="0" w:color="auto"/>
            </w:tcBorders>
            <w:shd w:val="clear" w:color="000000" w:fill="FFFFFF"/>
            <w:noWrap/>
            <w:vAlign w:val="bottom"/>
          </w:tcPr>
          <w:p w14:paraId="0E90979C"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5C150480"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1561" w:type="dxa"/>
            <w:tcBorders>
              <w:top w:val="nil"/>
              <w:left w:val="nil"/>
              <w:bottom w:val="single" w:sz="4" w:space="0" w:color="auto"/>
              <w:right w:val="single" w:sz="4" w:space="0" w:color="auto"/>
            </w:tcBorders>
            <w:shd w:val="clear" w:color="000000" w:fill="FFFFFF"/>
            <w:noWrap/>
            <w:vAlign w:val="bottom"/>
            <w:hideMark/>
          </w:tcPr>
          <w:p w14:paraId="2D5A919F"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0691428D"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r w:rsidR="007C4A64" w:rsidRPr="00650EE4" w14:paraId="172A4DBA" w14:textId="77777777" w:rsidTr="00A97F1B">
        <w:tc>
          <w:tcPr>
            <w:tcW w:w="1225" w:type="dxa"/>
            <w:tcBorders>
              <w:top w:val="nil"/>
              <w:left w:val="single" w:sz="4" w:space="0" w:color="auto"/>
              <w:bottom w:val="single" w:sz="4" w:space="0" w:color="auto"/>
              <w:right w:val="single" w:sz="4" w:space="0" w:color="auto"/>
            </w:tcBorders>
            <w:shd w:val="clear" w:color="000000" w:fill="FFFFFF"/>
            <w:noWrap/>
            <w:vAlign w:val="bottom"/>
            <w:hideMark/>
          </w:tcPr>
          <w:p w14:paraId="22739AE3" w14:textId="77777777" w:rsidR="007C4A64" w:rsidRPr="00650EE4" w:rsidRDefault="007C4A64" w:rsidP="000C1D71">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1049" w:type="dxa"/>
            <w:vMerge/>
            <w:tcBorders>
              <w:left w:val="nil"/>
              <w:bottom w:val="single" w:sz="4" w:space="0" w:color="auto"/>
              <w:right w:val="single" w:sz="4" w:space="0" w:color="auto"/>
            </w:tcBorders>
            <w:shd w:val="clear" w:color="000000" w:fill="FFFFFF"/>
            <w:noWrap/>
            <w:vAlign w:val="bottom"/>
          </w:tcPr>
          <w:p w14:paraId="4809BF85" w14:textId="77777777" w:rsidR="007C4A64" w:rsidRPr="00650EE4" w:rsidRDefault="007C4A64" w:rsidP="000C1D71">
            <w:pPr>
              <w:spacing w:line="240" w:lineRule="auto"/>
              <w:rPr>
                <w:rFonts w:ascii="Times New Roman" w:eastAsia="Times New Roman" w:hAnsi="Times New Roman"/>
                <w:sz w:val="20"/>
                <w:szCs w:val="20"/>
                <w:lang w:eastAsia="lt-LT"/>
              </w:rPr>
            </w:pPr>
          </w:p>
        </w:tc>
        <w:tc>
          <w:tcPr>
            <w:tcW w:w="4809" w:type="dxa"/>
            <w:tcBorders>
              <w:top w:val="nil"/>
              <w:left w:val="nil"/>
              <w:bottom w:val="single" w:sz="4" w:space="0" w:color="auto"/>
              <w:right w:val="single" w:sz="4" w:space="0" w:color="auto"/>
            </w:tcBorders>
            <w:shd w:val="clear" w:color="000000" w:fill="FFFFFF"/>
            <w:vAlign w:val="bottom"/>
          </w:tcPr>
          <w:p w14:paraId="39052EFA" w14:textId="77777777" w:rsidR="007C4A64" w:rsidRPr="00650EE4" w:rsidRDefault="007C4A64" w:rsidP="000C1D71">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1561" w:type="dxa"/>
            <w:tcBorders>
              <w:top w:val="nil"/>
              <w:left w:val="nil"/>
              <w:bottom w:val="single" w:sz="4" w:space="0" w:color="auto"/>
              <w:right w:val="single" w:sz="4" w:space="0" w:color="auto"/>
            </w:tcBorders>
            <w:shd w:val="clear" w:color="000000" w:fill="FFFFFF"/>
            <w:noWrap/>
            <w:vAlign w:val="bottom"/>
            <w:hideMark/>
          </w:tcPr>
          <w:p w14:paraId="16E8089C"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1558" w:type="dxa"/>
            <w:tcBorders>
              <w:top w:val="nil"/>
              <w:left w:val="nil"/>
              <w:bottom w:val="single" w:sz="4" w:space="0" w:color="auto"/>
              <w:right w:val="single" w:sz="4" w:space="0" w:color="auto"/>
            </w:tcBorders>
            <w:shd w:val="clear" w:color="000000" w:fill="FFFFFF"/>
            <w:noWrap/>
            <w:vAlign w:val="bottom"/>
            <w:hideMark/>
          </w:tcPr>
          <w:p w14:paraId="5E9F0FB4" w14:textId="77777777" w:rsidR="007C4A64" w:rsidRPr="00650EE4" w:rsidRDefault="007C4A64" w:rsidP="000C1D71">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r>
    </w:tbl>
    <w:p w14:paraId="4CF48A2C" w14:textId="25356D0F" w:rsidR="007C4A64" w:rsidRPr="00650EE4" w:rsidRDefault="007C4A64" w:rsidP="007C4A64">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C659D43" w14:textId="77777777" w:rsidR="007C4A64" w:rsidRPr="00650EE4" w:rsidRDefault="007C4A64" w:rsidP="007C4A64">
      <w:pPr>
        <w:shd w:val="clear" w:color="auto" w:fill="FFFFFF"/>
        <w:spacing w:line="240" w:lineRule="auto"/>
        <w:jc w:val="both"/>
        <w:rPr>
          <w:rFonts w:ascii="Times New Roman" w:hAnsi="Times New Roman"/>
          <w:color w:val="000000" w:themeColor="text1"/>
          <w:szCs w:val="22"/>
        </w:rPr>
      </w:pPr>
    </w:p>
    <w:p w14:paraId="579E01B8" w14:textId="7432D178" w:rsidR="003A73B9" w:rsidRPr="00650EE4" w:rsidRDefault="003165D2" w:rsidP="00396E79">
      <w:pPr>
        <w:pStyle w:val="Antrastes2"/>
        <w:numPr>
          <w:ilvl w:val="1"/>
          <w:numId w:val="4"/>
        </w:numPr>
        <w:pBdr>
          <w:bottom w:val="single" w:sz="4" w:space="1" w:color="auto"/>
        </w:pBdr>
        <w:spacing w:before="120"/>
        <w:ind w:left="576" w:hanging="576"/>
        <w:jc w:val="both"/>
        <w:rPr>
          <w:rFonts w:ascii="Times New Roman" w:hAnsi="Times New Roman"/>
          <w:color w:val="auto"/>
          <w:sz w:val="24"/>
          <w:szCs w:val="24"/>
          <w:lang w:val="lt-LT"/>
        </w:rPr>
      </w:pPr>
      <w:bookmarkStart w:id="92" w:name="_Toc59107524"/>
      <w:r w:rsidRPr="00650EE4">
        <w:rPr>
          <w:rFonts w:ascii="Times New Roman" w:hAnsi="Times New Roman"/>
          <w:color w:val="auto"/>
          <w:sz w:val="24"/>
          <w:szCs w:val="24"/>
          <w:lang w:val="lt-LT"/>
        </w:rPr>
        <w:t xml:space="preserve">Investicijų poreikio </w:t>
      </w:r>
      <w:r w:rsidR="0064426D" w:rsidRPr="00650EE4">
        <w:rPr>
          <w:rFonts w:ascii="Times New Roman" w:hAnsi="Times New Roman"/>
          <w:color w:val="auto"/>
          <w:sz w:val="24"/>
          <w:szCs w:val="24"/>
          <w:lang w:val="lt-LT"/>
        </w:rPr>
        <w:t>nustatymas</w:t>
      </w:r>
      <w:bookmarkEnd w:id="92"/>
    </w:p>
    <w:p w14:paraId="6069BB13" w14:textId="2B65D771" w:rsidR="00224070" w:rsidRPr="00650EE4" w:rsidRDefault="00A12E7D" w:rsidP="00224070">
      <w:pPr>
        <w:spacing w:line="240" w:lineRule="auto"/>
        <w:jc w:val="both"/>
        <w:rPr>
          <w:rFonts w:ascii="Times New Roman" w:hAnsi="Times New Roman"/>
          <w:color w:val="000000" w:themeColor="text1"/>
          <w:szCs w:val="22"/>
        </w:rPr>
      </w:pPr>
      <w:r>
        <w:rPr>
          <w:rFonts w:ascii="Times New Roman" w:hAnsi="Times New Roman"/>
          <w:color w:val="000000" w:themeColor="text1"/>
          <w:szCs w:val="22"/>
        </w:rPr>
        <w:t>Nustatant investicijų poreikį</w:t>
      </w:r>
      <w:r w:rsidR="00224070" w:rsidRPr="00650EE4">
        <w:rPr>
          <w:rFonts w:ascii="Times New Roman" w:hAnsi="Times New Roman"/>
          <w:color w:val="000000" w:themeColor="text1"/>
          <w:szCs w:val="22"/>
        </w:rPr>
        <w:t xml:space="preserve"> kiekvienam renovacijos priemonių paketui apskaičiuot</w:t>
      </w:r>
      <w:r>
        <w:rPr>
          <w:rFonts w:ascii="Times New Roman" w:hAnsi="Times New Roman"/>
          <w:color w:val="000000" w:themeColor="text1"/>
          <w:szCs w:val="22"/>
        </w:rPr>
        <w:t>os</w:t>
      </w:r>
      <w:r w:rsidR="00224070" w:rsidRPr="00650EE4">
        <w:rPr>
          <w:rFonts w:ascii="Times New Roman" w:hAnsi="Times New Roman"/>
          <w:color w:val="000000" w:themeColor="text1"/>
          <w:szCs w:val="22"/>
        </w:rPr>
        <w:t xml:space="preserve"> ir priskirt</w:t>
      </w:r>
      <w:r>
        <w:rPr>
          <w:rFonts w:ascii="Times New Roman" w:hAnsi="Times New Roman"/>
          <w:color w:val="000000" w:themeColor="text1"/>
          <w:szCs w:val="22"/>
        </w:rPr>
        <w:t>os</w:t>
      </w:r>
      <w:r w:rsidR="00224070" w:rsidRPr="00650EE4">
        <w:rPr>
          <w:rFonts w:ascii="Times New Roman" w:hAnsi="Times New Roman"/>
          <w:color w:val="000000" w:themeColor="text1"/>
          <w:szCs w:val="22"/>
        </w:rPr>
        <w:t xml:space="preserve"> paketo įgyvendinimui reikaling</w:t>
      </w:r>
      <w:r>
        <w:rPr>
          <w:rFonts w:ascii="Times New Roman" w:hAnsi="Times New Roman"/>
          <w:color w:val="000000" w:themeColor="text1"/>
          <w:szCs w:val="22"/>
        </w:rPr>
        <w:t>o</w:t>
      </w:r>
      <w:r w:rsidR="00224070" w:rsidRPr="00650EE4">
        <w:rPr>
          <w:rFonts w:ascii="Times New Roman" w:hAnsi="Times New Roman"/>
          <w:color w:val="000000" w:themeColor="text1"/>
          <w:szCs w:val="22"/>
        </w:rPr>
        <w:t>s investicij</w:t>
      </w:r>
      <w:r>
        <w:rPr>
          <w:rFonts w:ascii="Times New Roman" w:hAnsi="Times New Roman"/>
          <w:color w:val="000000" w:themeColor="text1"/>
          <w:szCs w:val="22"/>
        </w:rPr>
        <w:t>o</w:t>
      </w:r>
      <w:r w:rsidR="00224070" w:rsidRPr="00650EE4">
        <w:rPr>
          <w:rFonts w:ascii="Times New Roman" w:hAnsi="Times New Roman"/>
          <w:color w:val="000000" w:themeColor="text1"/>
          <w:szCs w:val="22"/>
        </w:rPr>
        <w:t>s.</w:t>
      </w:r>
    </w:p>
    <w:p w14:paraId="3885729E" w14:textId="77777777" w:rsidR="00FC56AA" w:rsidRPr="00650EE4" w:rsidRDefault="00FC56AA" w:rsidP="00FC56AA">
      <w:pPr>
        <w:pStyle w:val="BodyText"/>
        <w:jc w:val="both"/>
        <w:rPr>
          <w:rFonts w:ascii="Times New Roman" w:hAnsi="Times New Roman"/>
          <w:color w:val="000000" w:themeColor="text1"/>
          <w:szCs w:val="22"/>
          <w:lang w:val="lt-LT"/>
        </w:rPr>
      </w:pPr>
    </w:p>
    <w:p w14:paraId="545FBBBF" w14:textId="7C92B490" w:rsidR="00FC56AA" w:rsidRPr="00650EE4" w:rsidRDefault="00FC56AA" w:rsidP="00FC56AA">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pateikiama visiems modeliuojamiems renovacijos priemonių paketams įgyvendinti reikalingų investicijų suvestinė (vidutiniai dydžiai). Kadangi AEI priemonių kaina priklauso nuo konkrečios modeliuojamos kombinacijos pastato ploto, tiksli investicijų suma gali skirtis. </w:t>
      </w:r>
    </w:p>
    <w:p w14:paraId="333B729A" w14:textId="77777777" w:rsidR="003C65BF" w:rsidRDefault="003C65BF">
      <w:pPr>
        <w:spacing w:after="240"/>
        <w:rPr>
          <w:rFonts w:ascii="Times New Roman" w:eastAsiaTheme="minorHAnsi" w:hAnsi="Times New Roman"/>
          <w:bCs/>
          <w:i/>
          <w:color w:val="000000" w:themeColor="text1"/>
          <w:sz w:val="20"/>
          <w:szCs w:val="20"/>
        </w:rPr>
      </w:pPr>
      <w:r>
        <w:br w:type="page"/>
      </w:r>
    </w:p>
    <w:p w14:paraId="23E35FF5" w14:textId="11D1A88A" w:rsidR="002946C8" w:rsidRDefault="00FC56AA"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93" w:name="_Toc59094219"/>
      <w:r w:rsidR="00F25C65">
        <w:t>36</w:t>
      </w:r>
      <w:r w:rsidRPr="00650EE4">
        <w:rPr>
          <w:noProof w:val="0"/>
        </w:rPr>
        <w:fldChar w:fldCharType="end"/>
      </w:r>
      <w:r w:rsidRPr="00650EE4">
        <w:rPr>
          <w:noProof w:val="0"/>
        </w:rPr>
        <w:t xml:space="preserve"> lentelė. Renovacijos priemonių investicijos (</w:t>
      </w:r>
      <w:proofErr w:type="spellStart"/>
      <w:r w:rsidRPr="00650EE4">
        <w:rPr>
          <w:noProof w:val="0"/>
        </w:rPr>
        <w:t>Eur</w:t>
      </w:r>
      <w:proofErr w:type="spellEnd"/>
      <w:r w:rsidRPr="00650EE4">
        <w:rPr>
          <w:noProof w:val="0"/>
        </w:rPr>
        <w:t>/m</w:t>
      </w:r>
      <w:r w:rsidRPr="00650EE4">
        <w:rPr>
          <w:noProof w:val="0"/>
          <w:vertAlign w:val="superscript"/>
        </w:rPr>
        <w:t>2</w:t>
      </w:r>
      <w:r w:rsidRPr="00650EE4">
        <w:rPr>
          <w:noProof w:val="0"/>
        </w:rPr>
        <w:t>)</w:t>
      </w:r>
      <w:bookmarkEnd w:id="93"/>
    </w:p>
    <w:tbl>
      <w:tblPr>
        <w:tblW w:w="5000" w:type="pct"/>
        <w:tblLayout w:type="fixed"/>
        <w:tblLook w:val="04A0" w:firstRow="1" w:lastRow="0" w:firstColumn="1" w:lastColumn="0" w:noHBand="0" w:noVBand="1"/>
      </w:tblPr>
      <w:tblGrid>
        <w:gridCol w:w="575"/>
        <w:gridCol w:w="1736"/>
        <w:gridCol w:w="725"/>
        <w:gridCol w:w="725"/>
        <w:gridCol w:w="1207"/>
        <w:gridCol w:w="1207"/>
        <w:gridCol w:w="1209"/>
        <w:gridCol w:w="1450"/>
        <w:gridCol w:w="1586"/>
      </w:tblGrid>
      <w:tr w:rsidR="004446CD" w:rsidRPr="00650EE4" w14:paraId="074EBBBC" w14:textId="77777777" w:rsidTr="001E13DD">
        <w:trPr>
          <w:trHeight w:val="204"/>
          <w:tblHeader/>
        </w:trPr>
        <w:tc>
          <w:tcPr>
            <w:tcW w:w="27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501B33"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Nr.</w:t>
            </w:r>
          </w:p>
          <w:p w14:paraId="3030407B" w14:textId="77777777" w:rsidR="004446CD" w:rsidRPr="00650EE4" w:rsidRDefault="004446CD" w:rsidP="001E13DD">
            <w:pPr>
              <w:spacing w:line="240" w:lineRule="auto"/>
              <w:jc w:val="center"/>
              <w:rPr>
                <w:rFonts w:ascii="Times New Roman" w:eastAsia="Times New Roman" w:hAnsi="Times New Roman"/>
                <w:b/>
                <w:bCs/>
                <w:sz w:val="20"/>
                <w:szCs w:val="20"/>
              </w:rPr>
            </w:pPr>
          </w:p>
        </w:tc>
        <w:tc>
          <w:tcPr>
            <w:tcW w:w="833"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267710"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Paketas</w:t>
            </w:r>
          </w:p>
        </w:tc>
        <w:tc>
          <w:tcPr>
            <w:tcW w:w="696"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4CB28C7C"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ENK</w:t>
            </w:r>
          </w:p>
        </w:tc>
        <w:tc>
          <w:tcPr>
            <w:tcW w:w="1738" w:type="pct"/>
            <w:gridSpan w:val="3"/>
            <w:tcBorders>
              <w:top w:val="single" w:sz="4" w:space="0" w:color="auto"/>
              <w:left w:val="nil"/>
              <w:bottom w:val="single" w:sz="4" w:space="0" w:color="auto"/>
              <w:right w:val="single" w:sz="4" w:space="0" w:color="auto"/>
            </w:tcBorders>
            <w:shd w:val="clear" w:color="auto" w:fill="auto"/>
            <w:noWrap/>
            <w:vAlign w:val="center"/>
            <w:hideMark/>
          </w:tcPr>
          <w:p w14:paraId="78C44B8F"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Daugiabučiai</w:t>
            </w:r>
          </w:p>
        </w:tc>
        <w:tc>
          <w:tcPr>
            <w:tcW w:w="696"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9396FA"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Individualūs</w:t>
            </w:r>
          </w:p>
        </w:tc>
        <w:tc>
          <w:tcPr>
            <w:tcW w:w="761" w:type="pct"/>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13A932"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Negyvenamieji</w:t>
            </w:r>
          </w:p>
        </w:tc>
      </w:tr>
      <w:tr w:rsidR="004446CD" w:rsidRPr="00650EE4" w14:paraId="6E85DA24" w14:textId="77777777" w:rsidTr="001E13DD">
        <w:trPr>
          <w:trHeight w:val="214"/>
          <w:tblHeader/>
        </w:trPr>
        <w:tc>
          <w:tcPr>
            <w:tcW w:w="276" w:type="pct"/>
            <w:vMerge/>
            <w:tcBorders>
              <w:top w:val="single" w:sz="4" w:space="0" w:color="auto"/>
              <w:left w:val="single" w:sz="4" w:space="0" w:color="auto"/>
              <w:bottom w:val="single" w:sz="4" w:space="0" w:color="auto"/>
              <w:right w:val="single" w:sz="4" w:space="0" w:color="auto"/>
            </w:tcBorders>
            <w:vAlign w:val="center"/>
            <w:hideMark/>
          </w:tcPr>
          <w:p w14:paraId="7284C33B" w14:textId="77777777" w:rsidR="004446CD" w:rsidRPr="00650EE4" w:rsidRDefault="004446CD" w:rsidP="001E13DD">
            <w:pPr>
              <w:spacing w:line="240" w:lineRule="auto"/>
              <w:rPr>
                <w:rFonts w:ascii="Times New Roman" w:eastAsia="Times New Roman" w:hAnsi="Times New Roman"/>
                <w:b/>
                <w:bCs/>
                <w:sz w:val="20"/>
                <w:szCs w:val="20"/>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6A42A784" w14:textId="77777777" w:rsidR="004446CD" w:rsidRPr="00650EE4" w:rsidRDefault="004446CD" w:rsidP="001E13DD">
            <w:pPr>
              <w:spacing w:line="240" w:lineRule="auto"/>
              <w:rPr>
                <w:rFonts w:ascii="Times New Roman" w:eastAsia="Times New Roman" w:hAnsi="Times New Roman"/>
                <w:b/>
                <w:bCs/>
                <w:sz w:val="20"/>
                <w:szCs w:val="20"/>
              </w:rPr>
            </w:pPr>
          </w:p>
        </w:tc>
        <w:tc>
          <w:tcPr>
            <w:tcW w:w="348" w:type="pct"/>
            <w:tcBorders>
              <w:top w:val="nil"/>
              <w:left w:val="nil"/>
              <w:bottom w:val="single" w:sz="4" w:space="0" w:color="auto"/>
              <w:right w:val="single" w:sz="4" w:space="0" w:color="auto"/>
            </w:tcBorders>
            <w:shd w:val="clear" w:color="000000" w:fill="FFFFFF"/>
            <w:noWrap/>
            <w:vAlign w:val="center"/>
            <w:hideMark/>
          </w:tcPr>
          <w:p w14:paraId="1A21612D" w14:textId="77777777" w:rsidR="004446CD" w:rsidRPr="00650EE4" w:rsidRDefault="004446CD" w:rsidP="001E13DD">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Prieš</w:t>
            </w:r>
          </w:p>
        </w:tc>
        <w:tc>
          <w:tcPr>
            <w:tcW w:w="348" w:type="pct"/>
            <w:tcBorders>
              <w:top w:val="nil"/>
              <w:left w:val="nil"/>
              <w:bottom w:val="single" w:sz="4" w:space="0" w:color="auto"/>
              <w:right w:val="single" w:sz="4" w:space="0" w:color="auto"/>
            </w:tcBorders>
            <w:shd w:val="clear" w:color="000000" w:fill="FFFFFF"/>
            <w:noWrap/>
            <w:vAlign w:val="center"/>
            <w:hideMark/>
          </w:tcPr>
          <w:p w14:paraId="0D99B63F" w14:textId="77777777" w:rsidR="004446CD" w:rsidRPr="00650EE4" w:rsidRDefault="004446CD" w:rsidP="001E13DD">
            <w:pPr>
              <w:spacing w:line="240" w:lineRule="auto"/>
              <w:ind w:hanging="8"/>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Po</w:t>
            </w:r>
          </w:p>
        </w:tc>
        <w:tc>
          <w:tcPr>
            <w:tcW w:w="579" w:type="pct"/>
            <w:tcBorders>
              <w:top w:val="nil"/>
              <w:left w:val="nil"/>
              <w:bottom w:val="single" w:sz="4" w:space="0" w:color="auto"/>
              <w:right w:val="single" w:sz="4" w:space="0" w:color="auto"/>
            </w:tcBorders>
            <w:shd w:val="clear" w:color="000000" w:fill="FFFFFF"/>
            <w:noWrap/>
            <w:vAlign w:val="center"/>
            <w:hideMark/>
          </w:tcPr>
          <w:p w14:paraId="5CF139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Iki 1000 m</w:t>
            </w:r>
            <w:r w:rsidRPr="00650EE4">
              <w:rPr>
                <w:rFonts w:ascii="Times New Roman" w:eastAsia="Times New Roman" w:hAnsi="Times New Roman"/>
                <w:sz w:val="20"/>
                <w:szCs w:val="20"/>
                <w:vertAlign w:val="superscript"/>
              </w:rPr>
              <w:t>2</w:t>
            </w:r>
          </w:p>
        </w:tc>
        <w:tc>
          <w:tcPr>
            <w:tcW w:w="579" w:type="pct"/>
            <w:tcBorders>
              <w:top w:val="nil"/>
              <w:left w:val="nil"/>
              <w:bottom w:val="single" w:sz="4" w:space="0" w:color="auto"/>
              <w:right w:val="single" w:sz="4" w:space="0" w:color="auto"/>
            </w:tcBorders>
            <w:shd w:val="clear" w:color="000000" w:fill="FFFFFF"/>
            <w:noWrap/>
            <w:vAlign w:val="center"/>
            <w:hideMark/>
          </w:tcPr>
          <w:p w14:paraId="2D388AB8" w14:textId="77777777" w:rsidR="004446CD" w:rsidRPr="00650EE4" w:rsidRDefault="004446CD" w:rsidP="001E13DD">
            <w:pPr>
              <w:spacing w:line="240" w:lineRule="auto"/>
              <w:ind w:right="-159" w:hanging="153"/>
              <w:jc w:val="center"/>
              <w:rPr>
                <w:rFonts w:ascii="Times New Roman" w:eastAsia="Times New Roman" w:hAnsi="Times New Roman"/>
                <w:sz w:val="20"/>
                <w:szCs w:val="20"/>
              </w:rPr>
            </w:pPr>
            <w:r w:rsidRPr="00650EE4">
              <w:rPr>
                <w:rFonts w:ascii="Times New Roman" w:eastAsia="Times New Roman" w:hAnsi="Times New Roman"/>
                <w:sz w:val="20"/>
                <w:szCs w:val="20"/>
              </w:rPr>
              <w:t>1000-5000 m</w:t>
            </w:r>
            <w:r w:rsidRPr="00650EE4">
              <w:rPr>
                <w:rFonts w:ascii="Times New Roman" w:eastAsia="Times New Roman" w:hAnsi="Times New Roman"/>
                <w:sz w:val="20"/>
                <w:szCs w:val="20"/>
                <w:vertAlign w:val="superscript"/>
              </w:rPr>
              <w:t>2</w:t>
            </w:r>
          </w:p>
        </w:tc>
        <w:tc>
          <w:tcPr>
            <w:tcW w:w="580" w:type="pct"/>
            <w:tcBorders>
              <w:top w:val="nil"/>
              <w:left w:val="nil"/>
              <w:bottom w:val="single" w:sz="4" w:space="0" w:color="auto"/>
              <w:right w:val="single" w:sz="4" w:space="0" w:color="auto"/>
            </w:tcBorders>
            <w:shd w:val="clear" w:color="000000" w:fill="FFFFFF"/>
            <w:noWrap/>
            <w:vAlign w:val="center"/>
            <w:hideMark/>
          </w:tcPr>
          <w:p w14:paraId="6D2E81CB" w14:textId="77777777" w:rsidR="004446CD" w:rsidRPr="00650EE4" w:rsidRDefault="004446CD" w:rsidP="001E13DD">
            <w:pPr>
              <w:spacing w:line="240" w:lineRule="auto"/>
              <w:ind w:right="-110" w:hanging="199"/>
              <w:jc w:val="center"/>
              <w:rPr>
                <w:rFonts w:ascii="Times New Roman" w:eastAsia="Times New Roman" w:hAnsi="Times New Roman"/>
                <w:sz w:val="20"/>
                <w:szCs w:val="20"/>
              </w:rPr>
            </w:pPr>
            <w:r w:rsidRPr="00650EE4">
              <w:rPr>
                <w:rFonts w:ascii="Times New Roman" w:eastAsia="Times New Roman" w:hAnsi="Times New Roman"/>
                <w:sz w:val="20"/>
                <w:szCs w:val="20"/>
              </w:rPr>
              <w:t>Virš 5000 m</w:t>
            </w:r>
            <w:r w:rsidRPr="00650EE4">
              <w:rPr>
                <w:rFonts w:ascii="Times New Roman" w:eastAsia="Times New Roman" w:hAnsi="Times New Roman"/>
                <w:sz w:val="20"/>
                <w:szCs w:val="20"/>
                <w:vertAlign w:val="superscript"/>
              </w:rPr>
              <w:t>2</w:t>
            </w:r>
          </w:p>
        </w:tc>
        <w:tc>
          <w:tcPr>
            <w:tcW w:w="696" w:type="pct"/>
            <w:vMerge/>
            <w:tcBorders>
              <w:top w:val="single" w:sz="4" w:space="0" w:color="auto"/>
              <w:left w:val="single" w:sz="4" w:space="0" w:color="auto"/>
              <w:bottom w:val="single" w:sz="4" w:space="0" w:color="auto"/>
              <w:right w:val="single" w:sz="4" w:space="0" w:color="auto"/>
            </w:tcBorders>
            <w:vAlign w:val="center"/>
            <w:hideMark/>
          </w:tcPr>
          <w:p w14:paraId="2C36377E" w14:textId="77777777" w:rsidR="004446CD" w:rsidRPr="00650EE4" w:rsidRDefault="004446CD" w:rsidP="001E13DD">
            <w:pPr>
              <w:spacing w:line="240" w:lineRule="auto"/>
              <w:rPr>
                <w:rFonts w:ascii="Times New Roman" w:eastAsia="Times New Roman" w:hAnsi="Times New Roman"/>
                <w:b/>
                <w:bCs/>
                <w:sz w:val="20"/>
                <w:szCs w:val="20"/>
              </w:rPr>
            </w:pPr>
          </w:p>
        </w:tc>
        <w:tc>
          <w:tcPr>
            <w:tcW w:w="761" w:type="pct"/>
            <w:vMerge/>
            <w:tcBorders>
              <w:top w:val="single" w:sz="4" w:space="0" w:color="auto"/>
              <w:left w:val="single" w:sz="4" w:space="0" w:color="auto"/>
              <w:bottom w:val="single" w:sz="4" w:space="0" w:color="auto"/>
              <w:right w:val="single" w:sz="4" w:space="0" w:color="auto"/>
            </w:tcBorders>
            <w:vAlign w:val="center"/>
            <w:hideMark/>
          </w:tcPr>
          <w:p w14:paraId="36FBA215" w14:textId="77777777" w:rsidR="004446CD" w:rsidRPr="00650EE4" w:rsidRDefault="004446CD" w:rsidP="001E13DD">
            <w:pPr>
              <w:spacing w:line="240" w:lineRule="auto"/>
              <w:rPr>
                <w:rFonts w:ascii="Times New Roman" w:eastAsia="Times New Roman" w:hAnsi="Times New Roman"/>
                <w:b/>
                <w:bCs/>
                <w:sz w:val="20"/>
                <w:szCs w:val="20"/>
              </w:rPr>
            </w:pPr>
          </w:p>
        </w:tc>
      </w:tr>
      <w:tr w:rsidR="004446CD" w:rsidRPr="00650EE4" w14:paraId="677B9D2E" w14:textId="77777777" w:rsidTr="001E13DD">
        <w:trPr>
          <w:trHeight w:val="214"/>
          <w:tblHeader/>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00E811B" w14:textId="77777777" w:rsidR="004446CD" w:rsidRPr="00650EE4" w:rsidRDefault="004446CD" w:rsidP="001E13DD">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Pagrindiniai paketai</w:t>
            </w:r>
          </w:p>
        </w:tc>
      </w:tr>
      <w:tr w:rsidR="004446CD" w:rsidRPr="00650EE4" w14:paraId="746FDBD9"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49ECA5"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w:t>
            </w:r>
          </w:p>
        </w:tc>
        <w:tc>
          <w:tcPr>
            <w:tcW w:w="833" w:type="pct"/>
            <w:tcBorders>
              <w:top w:val="nil"/>
              <w:left w:val="nil"/>
              <w:bottom w:val="single" w:sz="4" w:space="0" w:color="auto"/>
              <w:right w:val="single" w:sz="4" w:space="0" w:color="auto"/>
            </w:tcBorders>
            <w:shd w:val="clear" w:color="000000" w:fill="FFFFFF"/>
            <w:noWrap/>
            <w:vAlign w:val="center"/>
            <w:hideMark/>
          </w:tcPr>
          <w:p w14:paraId="0B081DE2"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C </w:t>
            </w:r>
          </w:p>
        </w:tc>
        <w:tc>
          <w:tcPr>
            <w:tcW w:w="348" w:type="pct"/>
            <w:tcBorders>
              <w:top w:val="nil"/>
              <w:left w:val="nil"/>
              <w:bottom w:val="single" w:sz="4" w:space="0" w:color="auto"/>
              <w:right w:val="single" w:sz="4" w:space="0" w:color="auto"/>
            </w:tcBorders>
            <w:shd w:val="clear" w:color="000000" w:fill="FFFFFF"/>
            <w:noWrap/>
            <w:vAlign w:val="center"/>
            <w:hideMark/>
          </w:tcPr>
          <w:p w14:paraId="516F137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D4A5D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579" w:type="pct"/>
            <w:tcBorders>
              <w:top w:val="nil"/>
              <w:left w:val="nil"/>
              <w:bottom w:val="single" w:sz="4" w:space="0" w:color="auto"/>
              <w:right w:val="single" w:sz="4" w:space="0" w:color="auto"/>
            </w:tcBorders>
            <w:shd w:val="clear" w:color="000000" w:fill="FFFFFF"/>
            <w:noWrap/>
            <w:vAlign w:val="center"/>
            <w:hideMark/>
          </w:tcPr>
          <w:p w14:paraId="18FA63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323</w:t>
            </w:r>
          </w:p>
        </w:tc>
        <w:tc>
          <w:tcPr>
            <w:tcW w:w="579" w:type="pct"/>
            <w:tcBorders>
              <w:top w:val="nil"/>
              <w:left w:val="nil"/>
              <w:bottom w:val="single" w:sz="4" w:space="0" w:color="auto"/>
              <w:right w:val="single" w:sz="4" w:space="0" w:color="auto"/>
            </w:tcBorders>
            <w:shd w:val="clear" w:color="000000" w:fill="FFFFFF"/>
            <w:noWrap/>
            <w:vAlign w:val="center"/>
            <w:hideMark/>
          </w:tcPr>
          <w:p w14:paraId="58C69D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c>
          <w:tcPr>
            <w:tcW w:w="580" w:type="pct"/>
            <w:tcBorders>
              <w:top w:val="nil"/>
              <w:left w:val="nil"/>
              <w:bottom w:val="single" w:sz="4" w:space="0" w:color="auto"/>
              <w:right w:val="single" w:sz="4" w:space="0" w:color="auto"/>
            </w:tcBorders>
            <w:shd w:val="clear" w:color="000000" w:fill="FFFFFF"/>
            <w:noWrap/>
            <w:vAlign w:val="center"/>
            <w:hideMark/>
          </w:tcPr>
          <w:p w14:paraId="568AA17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186</w:t>
            </w:r>
          </w:p>
        </w:tc>
        <w:tc>
          <w:tcPr>
            <w:tcW w:w="696" w:type="pct"/>
            <w:tcBorders>
              <w:top w:val="nil"/>
              <w:left w:val="nil"/>
              <w:bottom w:val="single" w:sz="4" w:space="0" w:color="auto"/>
              <w:right w:val="single" w:sz="4" w:space="0" w:color="auto"/>
            </w:tcBorders>
            <w:shd w:val="clear" w:color="000000" w:fill="FFFFFF"/>
            <w:noWrap/>
            <w:vAlign w:val="center"/>
            <w:hideMark/>
          </w:tcPr>
          <w:p w14:paraId="1F616BE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761" w:type="pct"/>
            <w:tcBorders>
              <w:top w:val="nil"/>
              <w:left w:val="nil"/>
              <w:bottom w:val="single" w:sz="4" w:space="0" w:color="auto"/>
              <w:right w:val="single" w:sz="4" w:space="0" w:color="auto"/>
            </w:tcBorders>
            <w:shd w:val="clear" w:color="000000" w:fill="FFFFFF"/>
            <w:noWrap/>
            <w:vAlign w:val="center"/>
            <w:hideMark/>
          </w:tcPr>
          <w:p w14:paraId="7775920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r>
      <w:tr w:rsidR="004446CD" w:rsidRPr="00650EE4" w14:paraId="024BEDF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25214CA"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w:t>
            </w:r>
          </w:p>
        </w:tc>
        <w:tc>
          <w:tcPr>
            <w:tcW w:w="833" w:type="pct"/>
            <w:tcBorders>
              <w:top w:val="nil"/>
              <w:left w:val="nil"/>
              <w:bottom w:val="single" w:sz="4" w:space="0" w:color="auto"/>
              <w:right w:val="single" w:sz="4" w:space="0" w:color="auto"/>
            </w:tcBorders>
            <w:shd w:val="clear" w:color="000000" w:fill="FFFFFF"/>
            <w:noWrap/>
            <w:vAlign w:val="center"/>
            <w:hideMark/>
          </w:tcPr>
          <w:p w14:paraId="21F42DBA"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C  + ŠS</w:t>
            </w:r>
          </w:p>
        </w:tc>
        <w:tc>
          <w:tcPr>
            <w:tcW w:w="348" w:type="pct"/>
            <w:tcBorders>
              <w:top w:val="nil"/>
              <w:left w:val="nil"/>
              <w:bottom w:val="single" w:sz="4" w:space="0" w:color="auto"/>
              <w:right w:val="single" w:sz="4" w:space="0" w:color="auto"/>
            </w:tcBorders>
            <w:shd w:val="clear" w:color="000000" w:fill="FFFFFF"/>
            <w:noWrap/>
            <w:vAlign w:val="center"/>
            <w:hideMark/>
          </w:tcPr>
          <w:p w14:paraId="2F8AEFB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01B4AB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579" w:type="pct"/>
            <w:tcBorders>
              <w:top w:val="nil"/>
              <w:left w:val="nil"/>
              <w:bottom w:val="single" w:sz="4" w:space="0" w:color="auto"/>
              <w:right w:val="single" w:sz="4" w:space="0" w:color="auto"/>
            </w:tcBorders>
            <w:shd w:val="clear" w:color="000000" w:fill="FFFFFF"/>
            <w:noWrap/>
            <w:vAlign w:val="center"/>
            <w:hideMark/>
          </w:tcPr>
          <w:p w14:paraId="320D7B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361</w:t>
            </w:r>
          </w:p>
        </w:tc>
        <w:tc>
          <w:tcPr>
            <w:tcW w:w="579" w:type="pct"/>
            <w:tcBorders>
              <w:top w:val="nil"/>
              <w:left w:val="nil"/>
              <w:bottom w:val="single" w:sz="4" w:space="0" w:color="auto"/>
              <w:right w:val="single" w:sz="4" w:space="0" w:color="auto"/>
            </w:tcBorders>
            <w:shd w:val="clear" w:color="000000" w:fill="FFFFFF"/>
            <w:noWrap/>
            <w:vAlign w:val="center"/>
            <w:hideMark/>
          </w:tcPr>
          <w:p w14:paraId="4A3D8E3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300</w:t>
            </w:r>
          </w:p>
        </w:tc>
        <w:tc>
          <w:tcPr>
            <w:tcW w:w="580" w:type="pct"/>
            <w:tcBorders>
              <w:top w:val="nil"/>
              <w:left w:val="nil"/>
              <w:bottom w:val="single" w:sz="4" w:space="0" w:color="auto"/>
              <w:right w:val="single" w:sz="4" w:space="0" w:color="auto"/>
            </w:tcBorders>
            <w:shd w:val="clear" w:color="000000" w:fill="FFFFFF"/>
            <w:noWrap/>
            <w:vAlign w:val="center"/>
            <w:hideMark/>
          </w:tcPr>
          <w:p w14:paraId="36854E3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226</w:t>
            </w:r>
          </w:p>
        </w:tc>
        <w:tc>
          <w:tcPr>
            <w:tcW w:w="696" w:type="pct"/>
            <w:tcBorders>
              <w:top w:val="nil"/>
              <w:left w:val="nil"/>
              <w:bottom w:val="single" w:sz="4" w:space="0" w:color="auto"/>
              <w:right w:val="single" w:sz="4" w:space="0" w:color="auto"/>
            </w:tcBorders>
            <w:shd w:val="clear" w:color="000000" w:fill="FFFFFF"/>
            <w:noWrap/>
            <w:vAlign w:val="center"/>
            <w:hideMark/>
          </w:tcPr>
          <w:p w14:paraId="331647F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405</w:t>
            </w:r>
          </w:p>
        </w:tc>
        <w:tc>
          <w:tcPr>
            <w:tcW w:w="761" w:type="pct"/>
            <w:tcBorders>
              <w:top w:val="nil"/>
              <w:left w:val="nil"/>
              <w:bottom w:val="single" w:sz="4" w:space="0" w:color="auto"/>
              <w:right w:val="single" w:sz="4" w:space="0" w:color="auto"/>
            </w:tcBorders>
            <w:shd w:val="clear" w:color="000000" w:fill="FFFFFF"/>
            <w:noWrap/>
            <w:vAlign w:val="center"/>
            <w:hideMark/>
          </w:tcPr>
          <w:p w14:paraId="78D444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317-349</w:t>
            </w:r>
          </w:p>
        </w:tc>
      </w:tr>
      <w:tr w:rsidR="004446CD" w:rsidRPr="00650EE4" w14:paraId="24E0B71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5F53A4E"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w:t>
            </w:r>
          </w:p>
        </w:tc>
        <w:tc>
          <w:tcPr>
            <w:tcW w:w="833" w:type="pct"/>
            <w:tcBorders>
              <w:top w:val="nil"/>
              <w:left w:val="nil"/>
              <w:bottom w:val="single" w:sz="4" w:space="0" w:color="auto"/>
              <w:right w:val="single" w:sz="4" w:space="0" w:color="auto"/>
            </w:tcBorders>
            <w:shd w:val="clear" w:color="000000" w:fill="FFFFFF"/>
            <w:noWrap/>
            <w:vAlign w:val="center"/>
            <w:hideMark/>
          </w:tcPr>
          <w:p w14:paraId="1BCA9BCE"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C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46C7F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7FDBCC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579" w:type="pct"/>
            <w:tcBorders>
              <w:top w:val="nil"/>
              <w:left w:val="nil"/>
              <w:bottom w:val="single" w:sz="4" w:space="0" w:color="auto"/>
              <w:right w:val="single" w:sz="4" w:space="0" w:color="auto"/>
            </w:tcBorders>
            <w:shd w:val="clear" w:color="000000" w:fill="FFFFFF"/>
            <w:noWrap/>
            <w:vAlign w:val="center"/>
            <w:hideMark/>
          </w:tcPr>
          <w:p w14:paraId="2E2FDBE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400</w:t>
            </w:r>
          </w:p>
        </w:tc>
        <w:tc>
          <w:tcPr>
            <w:tcW w:w="579" w:type="pct"/>
            <w:tcBorders>
              <w:top w:val="nil"/>
              <w:left w:val="nil"/>
              <w:bottom w:val="single" w:sz="4" w:space="0" w:color="auto"/>
              <w:right w:val="single" w:sz="4" w:space="0" w:color="auto"/>
            </w:tcBorders>
            <w:shd w:val="clear" w:color="000000" w:fill="FFFFFF"/>
            <w:noWrap/>
            <w:vAlign w:val="center"/>
            <w:hideMark/>
          </w:tcPr>
          <w:p w14:paraId="7D13E3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80" w:type="pct"/>
            <w:tcBorders>
              <w:top w:val="nil"/>
              <w:left w:val="nil"/>
              <w:bottom w:val="single" w:sz="4" w:space="0" w:color="auto"/>
              <w:right w:val="single" w:sz="4" w:space="0" w:color="auto"/>
            </w:tcBorders>
            <w:shd w:val="clear" w:color="000000" w:fill="FFFFFF"/>
            <w:noWrap/>
            <w:vAlign w:val="center"/>
            <w:hideMark/>
          </w:tcPr>
          <w:p w14:paraId="7F188E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251</w:t>
            </w:r>
          </w:p>
        </w:tc>
        <w:tc>
          <w:tcPr>
            <w:tcW w:w="696" w:type="pct"/>
            <w:tcBorders>
              <w:top w:val="nil"/>
              <w:left w:val="nil"/>
              <w:bottom w:val="single" w:sz="4" w:space="0" w:color="auto"/>
              <w:right w:val="single" w:sz="4" w:space="0" w:color="auto"/>
            </w:tcBorders>
            <w:shd w:val="clear" w:color="000000" w:fill="FFFFFF"/>
            <w:noWrap/>
            <w:vAlign w:val="center"/>
            <w:hideMark/>
          </w:tcPr>
          <w:p w14:paraId="6C1C542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473</w:t>
            </w:r>
          </w:p>
        </w:tc>
        <w:tc>
          <w:tcPr>
            <w:tcW w:w="761" w:type="pct"/>
            <w:tcBorders>
              <w:top w:val="nil"/>
              <w:left w:val="nil"/>
              <w:bottom w:val="single" w:sz="4" w:space="0" w:color="auto"/>
              <w:right w:val="single" w:sz="4" w:space="0" w:color="auto"/>
            </w:tcBorders>
            <w:shd w:val="clear" w:color="000000" w:fill="FFFFFF"/>
            <w:noWrap/>
            <w:vAlign w:val="center"/>
            <w:hideMark/>
          </w:tcPr>
          <w:p w14:paraId="15D4EEF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385-416</w:t>
            </w:r>
          </w:p>
        </w:tc>
      </w:tr>
      <w:tr w:rsidR="004446CD" w:rsidRPr="00650EE4" w14:paraId="4306DFE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BDC2DF7"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4</w:t>
            </w:r>
          </w:p>
        </w:tc>
        <w:tc>
          <w:tcPr>
            <w:tcW w:w="833" w:type="pct"/>
            <w:tcBorders>
              <w:top w:val="nil"/>
              <w:left w:val="nil"/>
              <w:bottom w:val="single" w:sz="4" w:space="0" w:color="auto"/>
              <w:right w:val="single" w:sz="4" w:space="0" w:color="auto"/>
            </w:tcBorders>
            <w:shd w:val="clear" w:color="000000" w:fill="FFFFFF"/>
            <w:noWrap/>
            <w:vAlign w:val="center"/>
            <w:hideMark/>
          </w:tcPr>
          <w:p w14:paraId="28DC434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B </w:t>
            </w:r>
          </w:p>
        </w:tc>
        <w:tc>
          <w:tcPr>
            <w:tcW w:w="348" w:type="pct"/>
            <w:tcBorders>
              <w:top w:val="nil"/>
              <w:left w:val="nil"/>
              <w:bottom w:val="single" w:sz="4" w:space="0" w:color="auto"/>
              <w:right w:val="single" w:sz="4" w:space="0" w:color="auto"/>
            </w:tcBorders>
            <w:shd w:val="clear" w:color="000000" w:fill="FFFFFF"/>
            <w:noWrap/>
            <w:vAlign w:val="center"/>
            <w:hideMark/>
          </w:tcPr>
          <w:p w14:paraId="250EFA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AB580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301F9EE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79" w:type="pct"/>
            <w:tcBorders>
              <w:top w:val="nil"/>
              <w:left w:val="nil"/>
              <w:bottom w:val="single" w:sz="4" w:space="0" w:color="auto"/>
              <w:right w:val="single" w:sz="4" w:space="0" w:color="auto"/>
            </w:tcBorders>
            <w:shd w:val="clear" w:color="000000" w:fill="FFFFFF"/>
            <w:noWrap/>
            <w:vAlign w:val="center"/>
            <w:hideMark/>
          </w:tcPr>
          <w:p w14:paraId="48209E9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255</w:t>
            </w:r>
          </w:p>
        </w:tc>
        <w:tc>
          <w:tcPr>
            <w:tcW w:w="580" w:type="pct"/>
            <w:tcBorders>
              <w:top w:val="nil"/>
              <w:left w:val="nil"/>
              <w:bottom w:val="single" w:sz="4" w:space="0" w:color="auto"/>
              <w:right w:val="single" w:sz="4" w:space="0" w:color="auto"/>
            </w:tcBorders>
            <w:shd w:val="clear" w:color="000000" w:fill="FFFFFF"/>
            <w:noWrap/>
            <w:vAlign w:val="center"/>
            <w:hideMark/>
          </w:tcPr>
          <w:p w14:paraId="267220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191</w:t>
            </w:r>
          </w:p>
        </w:tc>
        <w:tc>
          <w:tcPr>
            <w:tcW w:w="696" w:type="pct"/>
            <w:tcBorders>
              <w:top w:val="nil"/>
              <w:left w:val="nil"/>
              <w:bottom w:val="single" w:sz="4" w:space="0" w:color="auto"/>
              <w:right w:val="single" w:sz="4" w:space="0" w:color="auto"/>
            </w:tcBorders>
            <w:shd w:val="clear" w:color="000000" w:fill="FFFFFF"/>
            <w:noWrap/>
            <w:vAlign w:val="center"/>
            <w:hideMark/>
          </w:tcPr>
          <w:p w14:paraId="034C96C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322</w:t>
            </w:r>
          </w:p>
        </w:tc>
        <w:tc>
          <w:tcPr>
            <w:tcW w:w="761" w:type="pct"/>
            <w:tcBorders>
              <w:top w:val="nil"/>
              <w:left w:val="nil"/>
              <w:bottom w:val="single" w:sz="4" w:space="0" w:color="auto"/>
              <w:right w:val="single" w:sz="4" w:space="0" w:color="auto"/>
            </w:tcBorders>
            <w:shd w:val="clear" w:color="000000" w:fill="FFFFFF"/>
            <w:noWrap/>
            <w:vAlign w:val="center"/>
            <w:hideMark/>
          </w:tcPr>
          <w:p w14:paraId="2C408A5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255</w:t>
            </w:r>
          </w:p>
        </w:tc>
      </w:tr>
      <w:tr w:rsidR="004446CD" w:rsidRPr="00650EE4" w14:paraId="1AC02CD0"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9C789C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5</w:t>
            </w:r>
          </w:p>
        </w:tc>
        <w:tc>
          <w:tcPr>
            <w:tcW w:w="833" w:type="pct"/>
            <w:tcBorders>
              <w:top w:val="nil"/>
              <w:left w:val="nil"/>
              <w:bottom w:val="single" w:sz="4" w:space="0" w:color="auto"/>
              <w:right w:val="single" w:sz="4" w:space="0" w:color="auto"/>
            </w:tcBorders>
            <w:shd w:val="clear" w:color="000000" w:fill="FFFFFF"/>
            <w:noWrap/>
            <w:vAlign w:val="center"/>
            <w:hideMark/>
          </w:tcPr>
          <w:p w14:paraId="76FDD60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B  + ŠS</w:t>
            </w:r>
          </w:p>
        </w:tc>
        <w:tc>
          <w:tcPr>
            <w:tcW w:w="348" w:type="pct"/>
            <w:tcBorders>
              <w:top w:val="nil"/>
              <w:left w:val="nil"/>
              <w:bottom w:val="single" w:sz="4" w:space="0" w:color="auto"/>
              <w:right w:val="single" w:sz="4" w:space="0" w:color="auto"/>
            </w:tcBorders>
            <w:shd w:val="clear" w:color="000000" w:fill="FFFFFF"/>
            <w:noWrap/>
            <w:vAlign w:val="center"/>
            <w:hideMark/>
          </w:tcPr>
          <w:p w14:paraId="0309E8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E35A55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5B15E24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370</w:t>
            </w:r>
          </w:p>
        </w:tc>
        <w:tc>
          <w:tcPr>
            <w:tcW w:w="579" w:type="pct"/>
            <w:tcBorders>
              <w:top w:val="nil"/>
              <w:left w:val="nil"/>
              <w:bottom w:val="single" w:sz="4" w:space="0" w:color="auto"/>
              <w:right w:val="single" w:sz="4" w:space="0" w:color="auto"/>
            </w:tcBorders>
            <w:shd w:val="clear" w:color="000000" w:fill="FFFFFF"/>
            <w:noWrap/>
            <w:vAlign w:val="center"/>
            <w:hideMark/>
          </w:tcPr>
          <w:p w14:paraId="719610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80" w:type="pct"/>
            <w:tcBorders>
              <w:top w:val="nil"/>
              <w:left w:val="nil"/>
              <w:bottom w:val="single" w:sz="4" w:space="0" w:color="auto"/>
              <w:right w:val="single" w:sz="4" w:space="0" w:color="auto"/>
            </w:tcBorders>
            <w:shd w:val="clear" w:color="000000" w:fill="FFFFFF"/>
            <w:noWrap/>
            <w:vAlign w:val="center"/>
            <w:hideMark/>
          </w:tcPr>
          <w:p w14:paraId="24FF7CF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231</w:t>
            </w:r>
          </w:p>
        </w:tc>
        <w:tc>
          <w:tcPr>
            <w:tcW w:w="696" w:type="pct"/>
            <w:tcBorders>
              <w:top w:val="nil"/>
              <w:left w:val="nil"/>
              <w:bottom w:val="single" w:sz="4" w:space="0" w:color="auto"/>
              <w:right w:val="single" w:sz="4" w:space="0" w:color="auto"/>
            </w:tcBorders>
            <w:shd w:val="clear" w:color="000000" w:fill="FFFFFF"/>
            <w:noWrap/>
            <w:vAlign w:val="center"/>
            <w:hideMark/>
          </w:tcPr>
          <w:p w14:paraId="7869987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413</w:t>
            </w:r>
          </w:p>
        </w:tc>
        <w:tc>
          <w:tcPr>
            <w:tcW w:w="761" w:type="pct"/>
            <w:tcBorders>
              <w:top w:val="nil"/>
              <w:left w:val="nil"/>
              <w:bottom w:val="single" w:sz="4" w:space="0" w:color="auto"/>
              <w:right w:val="single" w:sz="4" w:space="0" w:color="auto"/>
            </w:tcBorders>
            <w:shd w:val="clear" w:color="000000" w:fill="FFFFFF"/>
            <w:noWrap/>
            <w:vAlign w:val="center"/>
            <w:hideMark/>
          </w:tcPr>
          <w:p w14:paraId="060C23A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324-356</w:t>
            </w:r>
          </w:p>
        </w:tc>
      </w:tr>
      <w:tr w:rsidR="004446CD" w:rsidRPr="00650EE4" w14:paraId="4A0CB68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983E00F"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6</w:t>
            </w:r>
          </w:p>
        </w:tc>
        <w:tc>
          <w:tcPr>
            <w:tcW w:w="833" w:type="pct"/>
            <w:tcBorders>
              <w:top w:val="nil"/>
              <w:left w:val="nil"/>
              <w:bottom w:val="single" w:sz="4" w:space="0" w:color="auto"/>
              <w:right w:val="single" w:sz="4" w:space="0" w:color="auto"/>
            </w:tcBorders>
            <w:shd w:val="clear" w:color="000000" w:fill="FFFFFF"/>
            <w:noWrap/>
            <w:vAlign w:val="center"/>
            <w:hideMark/>
          </w:tcPr>
          <w:p w14:paraId="333777A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B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71F5A06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7717506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579" w:type="pct"/>
            <w:tcBorders>
              <w:top w:val="nil"/>
              <w:left w:val="nil"/>
              <w:bottom w:val="single" w:sz="4" w:space="0" w:color="auto"/>
              <w:right w:val="single" w:sz="4" w:space="0" w:color="auto"/>
            </w:tcBorders>
            <w:shd w:val="clear" w:color="000000" w:fill="FFFFFF"/>
            <w:noWrap/>
            <w:vAlign w:val="center"/>
            <w:hideMark/>
          </w:tcPr>
          <w:p w14:paraId="547385A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6EDB77F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338</w:t>
            </w:r>
          </w:p>
        </w:tc>
        <w:tc>
          <w:tcPr>
            <w:tcW w:w="580" w:type="pct"/>
            <w:tcBorders>
              <w:top w:val="nil"/>
              <w:left w:val="nil"/>
              <w:bottom w:val="single" w:sz="4" w:space="0" w:color="auto"/>
              <w:right w:val="single" w:sz="4" w:space="0" w:color="auto"/>
            </w:tcBorders>
            <w:shd w:val="clear" w:color="000000" w:fill="FFFFFF"/>
            <w:noWrap/>
            <w:vAlign w:val="center"/>
            <w:hideMark/>
          </w:tcPr>
          <w:p w14:paraId="7495205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256</w:t>
            </w:r>
          </w:p>
        </w:tc>
        <w:tc>
          <w:tcPr>
            <w:tcW w:w="696" w:type="pct"/>
            <w:tcBorders>
              <w:top w:val="nil"/>
              <w:left w:val="nil"/>
              <w:bottom w:val="single" w:sz="4" w:space="0" w:color="auto"/>
              <w:right w:val="single" w:sz="4" w:space="0" w:color="auto"/>
            </w:tcBorders>
            <w:shd w:val="clear" w:color="000000" w:fill="FFFFFF"/>
            <w:noWrap/>
            <w:vAlign w:val="center"/>
            <w:hideMark/>
          </w:tcPr>
          <w:p w14:paraId="1806372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481</w:t>
            </w:r>
          </w:p>
        </w:tc>
        <w:tc>
          <w:tcPr>
            <w:tcW w:w="761" w:type="pct"/>
            <w:tcBorders>
              <w:top w:val="nil"/>
              <w:left w:val="nil"/>
              <w:bottom w:val="single" w:sz="4" w:space="0" w:color="auto"/>
              <w:right w:val="single" w:sz="4" w:space="0" w:color="auto"/>
            </w:tcBorders>
            <w:shd w:val="clear" w:color="000000" w:fill="FFFFFF"/>
            <w:noWrap/>
            <w:vAlign w:val="center"/>
            <w:hideMark/>
          </w:tcPr>
          <w:p w14:paraId="417F41D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391-422</w:t>
            </w:r>
          </w:p>
        </w:tc>
      </w:tr>
      <w:tr w:rsidR="004446CD" w:rsidRPr="00650EE4" w14:paraId="675C9CA0"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4C4584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7</w:t>
            </w:r>
          </w:p>
        </w:tc>
        <w:tc>
          <w:tcPr>
            <w:tcW w:w="833" w:type="pct"/>
            <w:tcBorders>
              <w:top w:val="nil"/>
              <w:left w:val="nil"/>
              <w:bottom w:val="single" w:sz="4" w:space="0" w:color="auto"/>
              <w:right w:val="single" w:sz="4" w:space="0" w:color="auto"/>
            </w:tcBorders>
            <w:shd w:val="clear" w:color="000000" w:fill="FFFFFF"/>
            <w:noWrap/>
            <w:vAlign w:val="center"/>
            <w:hideMark/>
          </w:tcPr>
          <w:p w14:paraId="5B7C5F55"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4D62262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95EA4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EC8403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351</w:t>
            </w:r>
          </w:p>
        </w:tc>
        <w:tc>
          <w:tcPr>
            <w:tcW w:w="579" w:type="pct"/>
            <w:tcBorders>
              <w:top w:val="nil"/>
              <w:left w:val="nil"/>
              <w:bottom w:val="single" w:sz="4" w:space="0" w:color="auto"/>
              <w:right w:val="single" w:sz="4" w:space="0" w:color="auto"/>
            </w:tcBorders>
            <w:shd w:val="clear" w:color="000000" w:fill="FFFFFF"/>
            <w:noWrap/>
            <w:vAlign w:val="center"/>
            <w:hideMark/>
          </w:tcPr>
          <w:p w14:paraId="73537DD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271</w:t>
            </w:r>
          </w:p>
        </w:tc>
        <w:tc>
          <w:tcPr>
            <w:tcW w:w="580" w:type="pct"/>
            <w:tcBorders>
              <w:top w:val="nil"/>
              <w:left w:val="nil"/>
              <w:bottom w:val="single" w:sz="4" w:space="0" w:color="auto"/>
              <w:right w:val="single" w:sz="4" w:space="0" w:color="auto"/>
            </w:tcBorders>
            <w:shd w:val="clear" w:color="000000" w:fill="FFFFFF"/>
            <w:noWrap/>
            <w:vAlign w:val="center"/>
            <w:hideMark/>
          </w:tcPr>
          <w:p w14:paraId="650FFD2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202</w:t>
            </w:r>
          </w:p>
        </w:tc>
        <w:tc>
          <w:tcPr>
            <w:tcW w:w="696" w:type="pct"/>
            <w:tcBorders>
              <w:top w:val="nil"/>
              <w:left w:val="nil"/>
              <w:bottom w:val="single" w:sz="4" w:space="0" w:color="auto"/>
              <w:right w:val="single" w:sz="4" w:space="0" w:color="auto"/>
            </w:tcBorders>
            <w:shd w:val="clear" w:color="000000" w:fill="FFFFFF"/>
            <w:noWrap/>
            <w:vAlign w:val="center"/>
            <w:hideMark/>
          </w:tcPr>
          <w:p w14:paraId="317046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341</w:t>
            </w:r>
          </w:p>
        </w:tc>
        <w:tc>
          <w:tcPr>
            <w:tcW w:w="761" w:type="pct"/>
            <w:tcBorders>
              <w:top w:val="nil"/>
              <w:left w:val="nil"/>
              <w:bottom w:val="single" w:sz="4" w:space="0" w:color="auto"/>
              <w:right w:val="single" w:sz="4" w:space="0" w:color="auto"/>
            </w:tcBorders>
            <w:shd w:val="clear" w:color="000000" w:fill="FFFFFF"/>
            <w:noWrap/>
            <w:vAlign w:val="center"/>
            <w:hideMark/>
          </w:tcPr>
          <w:p w14:paraId="3B5C84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271</w:t>
            </w:r>
          </w:p>
        </w:tc>
      </w:tr>
      <w:tr w:rsidR="004446CD" w:rsidRPr="00650EE4" w14:paraId="72AB3486"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6F183C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8</w:t>
            </w:r>
          </w:p>
        </w:tc>
        <w:tc>
          <w:tcPr>
            <w:tcW w:w="833" w:type="pct"/>
            <w:tcBorders>
              <w:top w:val="nil"/>
              <w:left w:val="nil"/>
              <w:bottom w:val="single" w:sz="4" w:space="0" w:color="auto"/>
              <w:right w:val="single" w:sz="4" w:space="0" w:color="auto"/>
            </w:tcBorders>
            <w:shd w:val="clear" w:color="000000" w:fill="FFFFFF"/>
            <w:noWrap/>
            <w:vAlign w:val="center"/>
            <w:hideMark/>
          </w:tcPr>
          <w:p w14:paraId="5A5991CE"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393B793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39A6ADC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A65102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381</w:t>
            </w:r>
          </w:p>
        </w:tc>
        <w:tc>
          <w:tcPr>
            <w:tcW w:w="579" w:type="pct"/>
            <w:tcBorders>
              <w:top w:val="nil"/>
              <w:left w:val="nil"/>
              <w:bottom w:val="single" w:sz="4" w:space="0" w:color="auto"/>
              <w:right w:val="single" w:sz="4" w:space="0" w:color="auto"/>
            </w:tcBorders>
            <w:shd w:val="clear" w:color="000000" w:fill="FFFFFF"/>
            <w:noWrap/>
            <w:vAlign w:val="center"/>
            <w:hideMark/>
          </w:tcPr>
          <w:p w14:paraId="222A24E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310</w:t>
            </w:r>
          </w:p>
        </w:tc>
        <w:tc>
          <w:tcPr>
            <w:tcW w:w="580" w:type="pct"/>
            <w:tcBorders>
              <w:top w:val="nil"/>
              <w:left w:val="nil"/>
              <w:bottom w:val="single" w:sz="4" w:space="0" w:color="auto"/>
              <w:right w:val="single" w:sz="4" w:space="0" w:color="auto"/>
            </w:tcBorders>
            <w:shd w:val="clear" w:color="000000" w:fill="FFFFFF"/>
            <w:noWrap/>
            <w:vAlign w:val="center"/>
            <w:hideMark/>
          </w:tcPr>
          <w:p w14:paraId="45D67F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233</w:t>
            </w:r>
          </w:p>
        </w:tc>
        <w:tc>
          <w:tcPr>
            <w:tcW w:w="696" w:type="pct"/>
            <w:tcBorders>
              <w:top w:val="nil"/>
              <w:left w:val="nil"/>
              <w:bottom w:val="single" w:sz="4" w:space="0" w:color="auto"/>
              <w:right w:val="single" w:sz="4" w:space="0" w:color="auto"/>
            </w:tcBorders>
            <w:shd w:val="clear" w:color="000000" w:fill="FFFFFF"/>
            <w:noWrap/>
            <w:vAlign w:val="center"/>
            <w:hideMark/>
          </w:tcPr>
          <w:p w14:paraId="50DC58B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414</w:t>
            </w:r>
          </w:p>
        </w:tc>
        <w:tc>
          <w:tcPr>
            <w:tcW w:w="761" w:type="pct"/>
            <w:tcBorders>
              <w:top w:val="nil"/>
              <w:left w:val="nil"/>
              <w:bottom w:val="single" w:sz="4" w:space="0" w:color="auto"/>
              <w:right w:val="single" w:sz="4" w:space="0" w:color="auto"/>
            </w:tcBorders>
            <w:shd w:val="clear" w:color="000000" w:fill="FFFFFF"/>
            <w:noWrap/>
            <w:vAlign w:val="center"/>
            <w:hideMark/>
          </w:tcPr>
          <w:p w14:paraId="30456E7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315-340</w:t>
            </w:r>
          </w:p>
        </w:tc>
      </w:tr>
      <w:tr w:rsidR="004446CD" w:rsidRPr="00650EE4" w14:paraId="3425DDFF"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D0AF77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9</w:t>
            </w:r>
          </w:p>
        </w:tc>
        <w:tc>
          <w:tcPr>
            <w:tcW w:w="833" w:type="pct"/>
            <w:tcBorders>
              <w:top w:val="nil"/>
              <w:left w:val="nil"/>
              <w:bottom w:val="single" w:sz="4" w:space="0" w:color="auto"/>
              <w:right w:val="single" w:sz="4" w:space="0" w:color="auto"/>
            </w:tcBorders>
            <w:shd w:val="clear" w:color="000000" w:fill="FFFFFF"/>
            <w:noWrap/>
            <w:vAlign w:val="center"/>
            <w:hideMark/>
          </w:tcPr>
          <w:p w14:paraId="18C42A3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894F46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570B42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FBC713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410</w:t>
            </w:r>
          </w:p>
        </w:tc>
        <w:tc>
          <w:tcPr>
            <w:tcW w:w="579" w:type="pct"/>
            <w:tcBorders>
              <w:top w:val="nil"/>
              <w:left w:val="nil"/>
              <w:bottom w:val="single" w:sz="4" w:space="0" w:color="auto"/>
              <w:right w:val="single" w:sz="4" w:space="0" w:color="auto"/>
            </w:tcBorders>
            <w:shd w:val="clear" w:color="000000" w:fill="FFFFFF"/>
            <w:noWrap/>
            <w:vAlign w:val="center"/>
            <w:hideMark/>
          </w:tcPr>
          <w:p w14:paraId="4B4F5F0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334</w:t>
            </w:r>
          </w:p>
        </w:tc>
        <w:tc>
          <w:tcPr>
            <w:tcW w:w="580" w:type="pct"/>
            <w:tcBorders>
              <w:top w:val="nil"/>
              <w:left w:val="nil"/>
              <w:bottom w:val="single" w:sz="4" w:space="0" w:color="auto"/>
              <w:right w:val="single" w:sz="4" w:space="0" w:color="auto"/>
            </w:tcBorders>
            <w:shd w:val="clear" w:color="000000" w:fill="FFFFFF"/>
            <w:noWrap/>
            <w:vAlign w:val="center"/>
            <w:hideMark/>
          </w:tcPr>
          <w:p w14:paraId="3EFCB3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252</w:t>
            </w:r>
          </w:p>
        </w:tc>
        <w:tc>
          <w:tcPr>
            <w:tcW w:w="696" w:type="pct"/>
            <w:tcBorders>
              <w:top w:val="nil"/>
              <w:left w:val="nil"/>
              <w:bottom w:val="single" w:sz="4" w:space="0" w:color="auto"/>
              <w:right w:val="single" w:sz="4" w:space="0" w:color="auto"/>
            </w:tcBorders>
            <w:shd w:val="clear" w:color="000000" w:fill="FFFFFF"/>
            <w:noWrap/>
            <w:vAlign w:val="center"/>
            <w:hideMark/>
          </w:tcPr>
          <w:p w14:paraId="7F7A80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465</w:t>
            </w:r>
          </w:p>
        </w:tc>
        <w:tc>
          <w:tcPr>
            <w:tcW w:w="761" w:type="pct"/>
            <w:tcBorders>
              <w:top w:val="nil"/>
              <w:left w:val="nil"/>
              <w:bottom w:val="single" w:sz="4" w:space="0" w:color="auto"/>
              <w:right w:val="single" w:sz="4" w:space="0" w:color="auto"/>
            </w:tcBorders>
            <w:shd w:val="clear" w:color="000000" w:fill="FFFFFF"/>
            <w:noWrap/>
            <w:vAlign w:val="center"/>
            <w:hideMark/>
          </w:tcPr>
          <w:p w14:paraId="199CEC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361-381</w:t>
            </w:r>
          </w:p>
        </w:tc>
      </w:tr>
      <w:tr w:rsidR="004446CD" w:rsidRPr="00650EE4" w14:paraId="6751C98F"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BC24A6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10</w:t>
            </w:r>
          </w:p>
        </w:tc>
        <w:tc>
          <w:tcPr>
            <w:tcW w:w="833" w:type="pct"/>
            <w:tcBorders>
              <w:top w:val="nil"/>
              <w:left w:val="nil"/>
              <w:bottom w:val="single" w:sz="4" w:space="0" w:color="auto"/>
              <w:right w:val="single" w:sz="4" w:space="0" w:color="auto"/>
            </w:tcBorders>
            <w:shd w:val="clear" w:color="000000" w:fill="FFFFFF"/>
            <w:noWrap/>
            <w:vAlign w:val="center"/>
            <w:hideMark/>
          </w:tcPr>
          <w:p w14:paraId="57ADA8F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3C38BBA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678352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3F6582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316</w:t>
            </w:r>
          </w:p>
        </w:tc>
        <w:tc>
          <w:tcPr>
            <w:tcW w:w="579" w:type="pct"/>
            <w:tcBorders>
              <w:top w:val="nil"/>
              <w:left w:val="nil"/>
              <w:bottom w:val="single" w:sz="4" w:space="0" w:color="auto"/>
              <w:right w:val="single" w:sz="4" w:space="0" w:color="auto"/>
            </w:tcBorders>
            <w:shd w:val="clear" w:color="000000" w:fill="FFFFFF"/>
            <w:noWrap/>
            <w:vAlign w:val="center"/>
            <w:hideMark/>
          </w:tcPr>
          <w:p w14:paraId="0C9FDAC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244</w:t>
            </w:r>
          </w:p>
        </w:tc>
        <w:tc>
          <w:tcPr>
            <w:tcW w:w="580" w:type="pct"/>
            <w:tcBorders>
              <w:top w:val="nil"/>
              <w:left w:val="nil"/>
              <w:bottom w:val="single" w:sz="4" w:space="0" w:color="auto"/>
              <w:right w:val="single" w:sz="4" w:space="0" w:color="auto"/>
            </w:tcBorders>
            <w:shd w:val="clear" w:color="000000" w:fill="FFFFFF"/>
            <w:noWrap/>
            <w:vAlign w:val="center"/>
            <w:hideMark/>
          </w:tcPr>
          <w:p w14:paraId="6B9806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182</w:t>
            </w:r>
          </w:p>
        </w:tc>
        <w:tc>
          <w:tcPr>
            <w:tcW w:w="696" w:type="pct"/>
            <w:tcBorders>
              <w:top w:val="nil"/>
              <w:left w:val="nil"/>
              <w:bottom w:val="single" w:sz="4" w:space="0" w:color="auto"/>
              <w:right w:val="single" w:sz="4" w:space="0" w:color="auto"/>
            </w:tcBorders>
            <w:shd w:val="clear" w:color="000000" w:fill="FFFFFF"/>
            <w:noWrap/>
            <w:vAlign w:val="center"/>
            <w:hideMark/>
          </w:tcPr>
          <w:p w14:paraId="422F64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761" w:type="pct"/>
            <w:tcBorders>
              <w:top w:val="nil"/>
              <w:left w:val="nil"/>
              <w:bottom w:val="single" w:sz="4" w:space="0" w:color="auto"/>
              <w:right w:val="single" w:sz="4" w:space="0" w:color="auto"/>
            </w:tcBorders>
            <w:shd w:val="clear" w:color="000000" w:fill="FFFFFF"/>
            <w:noWrap/>
            <w:vAlign w:val="center"/>
            <w:hideMark/>
          </w:tcPr>
          <w:p w14:paraId="2F3D8CD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244</w:t>
            </w:r>
          </w:p>
        </w:tc>
      </w:tr>
      <w:tr w:rsidR="004446CD" w:rsidRPr="00650EE4" w14:paraId="2545A619"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7AE538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11</w:t>
            </w:r>
          </w:p>
        </w:tc>
        <w:tc>
          <w:tcPr>
            <w:tcW w:w="833" w:type="pct"/>
            <w:tcBorders>
              <w:top w:val="nil"/>
              <w:left w:val="nil"/>
              <w:bottom w:val="single" w:sz="4" w:space="0" w:color="auto"/>
              <w:right w:val="single" w:sz="4" w:space="0" w:color="auto"/>
            </w:tcBorders>
            <w:shd w:val="clear" w:color="000000" w:fill="FFFFFF"/>
            <w:noWrap/>
            <w:vAlign w:val="center"/>
            <w:hideMark/>
          </w:tcPr>
          <w:p w14:paraId="05C7676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DD733A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348" w:type="pct"/>
            <w:tcBorders>
              <w:top w:val="nil"/>
              <w:left w:val="nil"/>
              <w:bottom w:val="single" w:sz="4" w:space="0" w:color="auto"/>
              <w:right w:val="single" w:sz="4" w:space="0" w:color="auto"/>
            </w:tcBorders>
            <w:shd w:val="clear" w:color="000000" w:fill="FFFFFF"/>
            <w:noWrap/>
            <w:vAlign w:val="center"/>
            <w:hideMark/>
          </w:tcPr>
          <w:p w14:paraId="53E4BDC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951FC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579" w:type="pct"/>
            <w:tcBorders>
              <w:top w:val="nil"/>
              <w:left w:val="nil"/>
              <w:bottom w:val="single" w:sz="4" w:space="0" w:color="auto"/>
              <w:right w:val="single" w:sz="4" w:space="0" w:color="auto"/>
            </w:tcBorders>
            <w:shd w:val="clear" w:color="000000" w:fill="FFFFFF"/>
            <w:noWrap/>
            <w:vAlign w:val="center"/>
            <w:hideMark/>
          </w:tcPr>
          <w:p w14:paraId="295CE99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281</w:t>
            </w:r>
          </w:p>
        </w:tc>
        <w:tc>
          <w:tcPr>
            <w:tcW w:w="580" w:type="pct"/>
            <w:tcBorders>
              <w:top w:val="nil"/>
              <w:left w:val="nil"/>
              <w:bottom w:val="single" w:sz="4" w:space="0" w:color="auto"/>
              <w:right w:val="single" w:sz="4" w:space="0" w:color="auto"/>
            </w:tcBorders>
            <w:shd w:val="clear" w:color="000000" w:fill="FFFFFF"/>
            <w:noWrap/>
            <w:vAlign w:val="center"/>
            <w:hideMark/>
          </w:tcPr>
          <w:p w14:paraId="6C7A35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213</w:t>
            </w:r>
          </w:p>
        </w:tc>
        <w:tc>
          <w:tcPr>
            <w:tcW w:w="696" w:type="pct"/>
            <w:tcBorders>
              <w:top w:val="nil"/>
              <w:left w:val="nil"/>
              <w:bottom w:val="single" w:sz="4" w:space="0" w:color="auto"/>
              <w:right w:val="single" w:sz="4" w:space="0" w:color="auto"/>
            </w:tcBorders>
            <w:shd w:val="clear" w:color="000000" w:fill="FFFFFF"/>
            <w:noWrap/>
            <w:vAlign w:val="center"/>
            <w:hideMark/>
          </w:tcPr>
          <w:p w14:paraId="27719B0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382</w:t>
            </w:r>
          </w:p>
        </w:tc>
        <w:tc>
          <w:tcPr>
            <w:tcW w:w="761" w:type="pct"/>
            <w:tcBorders>
              <w:top w:val="nil"/>
              <w:left w:val="nil"/>
              <w:bottom w:val="single" w:sz="4" w:space="0" w:color="auto"/>
              <w:right w:val="single" w:sz="4" w:space="0" w:color="auto"/>
            </w:tcBorders>
            <w:shd w:val="clear" w:color="000000" w:fill="FFFFFF"/>
            <w:noWrap/>
            <w:vAlign w:val="center"/>
            <w:hideMark/>
          </w:tcPr>
          <w:p w14:paraId="4C56494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291-311</w:t>
            </w:r>
          </w:p>
        </w:tc>
      </w:tr>
      <w:tr w:rsidR="004446CD" w:rsidRPr="00650EE4" w14:paraId="5AB4D32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C01D23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12</w:t>
            </w:r>
          </w:p>
        </w:tc>
        <w:tc>
          <w:tcPr>
            <w:tcW w:w="833" w:type="pct"/>
            <w:tcBorders>
              <w:top w:val="nil"/>
              <w:left w:val="nil"/>
              <w:bottom w:val="single" w:sz="4" w:space="0" w:color="auto"/>
              <w:right w:val="single" w:sz="4" w:space="0" w:color="auto"/>
            </w:tcBorders>
            <w:shd w:val="clear" w:color="000000" w:fill="FFFFFF"/>
            <w:noWrap/>
            <w:vAlign w:val="center"/>
            <w:hideMark/>
          </w:tcPr>
          <w:p w14:paraId="6CEB6119"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1CF8EE5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 </w:t>
            </w:r>
          </w:p>
        </w:tc>
        <w:tc>
          <w:tcPr>
            <w:tcW w:w="348" w:type="pct"/>
            <w:tcBorders>
              <w:top w:val="nil"/>
              <w:left w:val="nil"/>
              <w:bottom w:val="single" w:sz="4" w:space="0" w:color="auto"/>
              <w:right w:val="single" w:sz="4" w:space="0" w:color="auto"/>
            </w:tcBorders>
            <w:shd w:val="clear" w:color="000000" w:fill="FFFFFF"/>
            <w:noWrap/>
            <w:vAlign w:val="center"/>
            <w:hideMark/>
          </w:tcPr>
          <w:p w14:paraId="14DCA6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FE5776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383</w:t>
            </w:r>
          </w:p>
        </w:tc>
        <w:tc>
          <w:tcPr>
            <w:tcW w:w="579" w:type="pct"/>
            <w:tcBorders>
              <w:top w:val="nil"/>
              <w:left w:val="nil"/>
              <w:bottom w:val="single" w:sz="4" w:space="0" w:color="auto"/>
              <w:right w:val="single" w:sz="4" w:space="0" w:color="auto"/>
            </w:tcBorders>
            <w:shd w:val="clear" w:color="000000" w:fill="FFFFFF"/>
            <w:noWrap/>
            <w:vAlign w:val="center"/>
            <w:hideMark/>
          </w:tcPr>
          <w:p w14:paraId="5122553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304</w:t>
            </w:r>
          </w:p>
        </w:tc>
        <w:tc>
          <w:tcPr>
            <w:tcW w:w="580" w:type="pct"/>
            <w:tcBorders>
              <w:top w:val="nil"/>
              <w:left w:val="nil"/>
              <w:bottom w:val="single" w:sz="4" w:space="0" w:color="auto"/>
              <w:right w:val="single" w:sz="4" w:space="0" w:color="auto"/>
            </w:tcBorders>
            <w:shd w:val="clear" w:color="000000" w:fill="FFFFFF"/>
            <w:noWrap/>
            <w:vAlign w:val="center"/>
            <w:hideMark/>
          </w:tcPr>
          <w:p w14:paraId="2D2B7AF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96" w:type="pct"/>
            <w:tcBorders>
              <w:top w:val="nil"/>
              <w:left w:val="nil"/>
              <w:bottom w:val="single" w:sz="4" w:space="0" w:color="auto"/>
              <w:right w:val="single" w:sz="4" w:space="0" w:color="auto"/>
            </w:tcBorders>
            <w:shd w:val="clear" w:color="000000" w:fill="FFFFFF"/>
            <w:noWrap/>
            <w:vAlign w:val="center"/>
            <w:hideMark/>
          </w:tcPr>
          <w:p w14:paraId="78183B3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431</w:t>
            </w:r>
          </w:p>
        </w:tc>
        <w:tc>
          <w:tcPr>
            <w:tcW w:w="761" w:type="pct"/>
            <w:tcBorders>
              <w:top w:val="nil"/>
              <w:left w:val="nil"/>
              <w:bottom w:val="single" w:sz="4" w:space="0" w:color="auto"/>
              <w:right w:val="single" w:sz="4" w:space="0" w:color="auto"/>
            </w:tcBorders>
            <w:shd w:val="clear" w:color="000000" w:fill="FFFFFF"/>
            <w:noWrap/>
            <w:vAlign w:val="center"/>
            <w:hideMark/>
          </w:tcPr>
          <w:p w14:paraId="54A50B7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336-355</w:t>
            </w:r>
          </w:p>
        </w:tc>
      </w:tr>
      <w:tr w:rsidR="004446CD" w:rsidRPr="00650EE4" w14:paraId="4DFCDA4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614741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13</w:t>
            </w:r>
          </w:p>
        </w:tc>
        <w:tc>
          <w:tcPr>
            <w:tcW w:w="833" w:type="pct"/>
            <w:tcBorders>
              <w:top w:val="nil"/>
              <w:left w:val="nil"/>
              <w:bottom w:val="single" w:sz="4" w:space="0" w:color="auto"/>
              <w:right w:val="single" w:sz="4" w:space="0" w:color="auto"/>
            </w:tcBorders>
            <w:shd w:val="clear" w:color="000000" w:fill="FFFFFF"/>
            <w:noWrap/>
            <w:vAlign w:val="center"/>
            <w:hideMark/>
          </w:tcPr>
          <w:p w14:paraId="39B6DE7D"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3782417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1B166D3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667A70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379</w:t>
            </w:r>
          </w:p>
        </w:tc>
        <w:tc>
          <w:tcPr>
            <w:tcW w:w="579" w:type="pct"/>
            <w:tcBorders>
              <w:top w:val="nil"/>
              <w:left w:val="nil"/>
              <w:bottom w:val="single" w:sz="4" w:space="0" w:color="auto"/>
              <w:right w:val="single" w:sz="4" w:space="0" w:color="auto"/>
            </w:tcBorders>
            <w:shd w:val="clear" w:color="000000" w:fill="FFFFFF"/>
            <w:noWrap/>
            <w:vAlign w:val="center"/>
            <w:hideMark/>
          </w:tcPr>
          <w:p w14:paraId="118064A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292</w:t>
            </w:r>
          </w:p>
        </w:tc>
        <w:tc>
          <w:tcPr>
            <w:tcW w:w="580" w:type="pct"/>
            <w:tcBorders>
              <w:top w:val="nil"/>
              <w:left w:val="nil"/>
              <w:bottom w:val="single" w:sz="4" w:space="0" w:color="auto"/>
              <w:right w:val="single" w:sz="4" w:space="0" w:color="auto"/>
            </w:tcBorders>
            <w:shd w:val="clear" w:color="000000" w:fill="FFFFFF"/>
            <w:noWrap/>
            <w:vAlign w:val="center"/>
            <w:hideMark/>
          </w:tcPr>
          <w:p w14:paraId="05A3419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218</w:t>
            </w:r>
          </w:p>
        </w:tc>
        <w:tc>
          <w:tcPr>
            <w:tcW w:w="696" w:type="pct"/>
            <w:tcBorders>
              <w:top w:val="nil"/>
              <w:left w:val="nil"/>
              <w:bottom w:val="single" w:sz="4" w:space="0" w:color="auto"/>
              <w:right w:val="single" w:sz="4" w:space="0" w:color="auto"/>
            </w:tcBorders>
            <w:shd w:val="clear" w:color="000000" w:fill="FFFFFF"/>
            <w:noWrap/>
            <w:vAlign w:val="center"/>
            <w:hideMark/>
          </w:tcPr>
          <w:p w14:paraId="6317807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369</w:t>
            </w:r>
          </w:p>
        </w:tc>
        <w:tc>
          <w:tcPr>
            <w:tcW w:w="761" w:type="pct"/>
            <w:tcBorders>
              <w:top w:val="nil"/>
              <w:left w:val="nil"/>
              <w:bottom w:val="single" w:sz="4" w:space="0" w:color="auto"/>
              <w:right w:val="single" w:sz="4" w:space="0" w:color="auto"/>
            </w:tcBorders>
            <w:shd w:val="clear" w:color="000000" w:fill="FFFFFF"/>
            <w:noWrap/>
            <w:vAlign w:val="center"/>
            <w:hideMark/>
          </w:tcPr>
          <w:p w14:paraId="17A91E5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292</w:t>
            </w:r>
          </w:p>
        </w:tc>
      </w:tr>
      <w:tr w:rsidR="004446CD" w:rsidRPr="00650EE4" w14:paraId="15F9BE9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84E88E4"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14</w:t>
            </w:r>
          </w:p>
        </w:tc>
        <w:tc>
          <w:tcPr>
            <w:tcW w:w="833" w:type="pct"/>
            <w:tcBorders>
              <w:top w:val="nil"/>
              <w:left w:val="nil"/>
              <w:bottom w:val="single" w:sz="4" w:space="0" w:color="auto"/>
              <w:right w:val="single" w:sz="4" w:space="0" w:color="auto"/>
            </w:tcBorders>
            <w:shd w:val="clear" w:color="000000" w:fill="FFFFFF"/>
            <w:noWrap/>
            <w:vAlign w:val="center"/>
            <w:hideMark/>
          </w:tcPr>
          <w:p w14:paraId="77E68E62"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62F13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5A5820E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1F237F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409</w:t>
            </w:r>
          </w:p>
        </w:tc>
        <w:tc>
          <w:tcPr>
            <w:tcW w:w="579" w:type="pct"/>
            <w:tcBorders>
              <w:top w:val="nil"/>
              <w:left w:val="nil"/>
              <w:bottom w:val="single" w:sz="4" w:space="0" w:color="auto"/>
              <w:right w:val="single" w:sz="4" w:space="0" w:color="auto"/>
            </w:tcBorders>
            <w:shd w:val="clear" w:color="000000" w:fill="FFFFFF"/>
            <w:noWrap/>
            <w:vAlign w:val="center"/>
            <w:hideMark/>
          </w:tcPr>
          <w:p w14:paraId="4459217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331</w:t>
            </w:r>
          </w:p>
        </w:tc>
        <w:tc>
          <w:tcPr>
            <w:tcW w:w="580" w:type="pct"/>
            <w:tcBorders>
              <w:top w:val="nil"/>
              <w:left w:val="nil"/>
              <w:bottom w:val="single" w:sz="4" w:space="0" w:color="auto"/>
              <w:right w:val="single" w:sz="4" w:space="0" w:color="auto"/>
            </w:tcBorders>
            <w:shd w:val="clear" w:color="000000" w:fill="FFFFFF"/>
            <w:noWrap/>
            <w:vAlign w:val="center"/>
            <w:hideMark/>
          </w:tcPr>
          <w:p w14:paraId="2A64E6C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249</w:t>
            </w:r>
          </w:p>
        </w:tc>
        <w:tc>
          <w:tcPr>
            <w:tcW w:w="696" w:type="pct"/>
            <w:tcBorders>
              <w:top w:val="nil"/>
              <w:left w:val="nil"/>
              <w:bottom w:val="single" w:sz="4" w:space="0" w:color="auto"/>
              <w:right w:val="single" w:sz="4" w:space="0" w:color="auto"/>
            </w:tcBorders>
            <w:shd w:val="clear" w:color="000000" w:fill="FFFFFF"/>
            <w:noWrap/>
            <w:vAlign w:val="center"/>
            <w:hideMark/>
          </w:tcPr>
          <w:p w14:paraId="7BF68BB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442</w:t>
            </w:r>
          </w:p>
        </w:tc>
        <w:tc>
          <w:tcPr>
            <w:tcW w:w="761" w:type="pct"/>
            <w:tcBorders>
              <w:top w:val="nil"/>
              <w:left w:val="nil"/>
              <w:bottom w:val="single" w:sz="4" w:space="0" w:color="auto"/>
              <w:right w:val="single" w:sz="4" w:space="0" w:color="auto"/>
            </w:tcBorders>
            <w:shd w:val="clear" w:color="000000" w:fill="FFFFFF"/>
            <w:noWrap/>
            <w:vAlign w:val="center"/>
            <w:hideMark/>
          </w:tcPr>
          <w:p w14:paraId="3C5B4F3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337-362</w:t>
            </w:r>
          </w:p>
        </w:tc>
      </w:tr>
      <w:tr w:rsidR="004446CD" w:rsidRPr="00650EE4" w14:paraId="47A51EFB" w14:textId="77777777" w:rsidTr="001E13DD">
        <w:trPr>
          <w:trHeight w:val="21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910FAF3"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15</w:t>
            </w:r>
          </w:p>
        </w:tc>
        <w:tc>
          <w:tcPr>
            <w:tcW w:w="833" w:type="pct"/>
            <w:tcBorders>
              <w:top w:val="nil"/>
              <w:left w:val="nil"/>
              <w:bottom w:val="single" w:sz="4" w:space="0" w:color="auto"/>
              <w:right w:val="single" w:sz="4" w:space="0" w:color="auto"/>
            </w:tcBorders>
            <w:shd w:val="clear" w:color="000000" w:fill="FFFFFF"/>
            <w:noWrap/>
            <w:vAlign w:val="center"/>
            <w:hideMark/>
          </w:tcPr>
          <w:p w14:paraId="0B780530"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166BAB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3BAA952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A284C5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439</w:t>
            </w:r>
          </w:p>
        </w:tc>
        <w:tc>
          <w:tcPr>
            <w:tcW w:w="579" w:type="pct"/>
            <w:tcBorders>
              <w:top w:val="nil"/>
              <w:left w:val="nil"/>
              <w:bottom w:val="single" w:sz="4" w:space="0" w:color="auto"/>
              <w:right w:val="single" w:sz="4" w:space="0" w:color="auto"/>
            </w:tcBorders>
            <w:shd w:val="clear" w:color="000000" w:fill="FFFFFF"/>
            <w:noWrap/>
            <w:vAlign w:val="center"/>
            <w:hideMark/>
          </w:tcPr>
          <w:p w14:paraId="17064D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356</w:t>
            </w:r>
          </w:p>
        </w:tc>
        <w:tc>
          <w:tcPr>
            <w:tcW w:w="580" w:type="pct"/>
            <w:tcBorders>
              <w:top w:val="nil"/>
              <w:left w:val="nil"/>
              <w:bottom w:val="single" w:sz="4" w:space="0" w:color="auto"/>
              <w:right w:val="single" w:sz="4" w:space="0" w:color="auto"/>
            </w:tcBorders>
            <w:shd w:val="clear" w:color="000000" w:fill="FFFFFF"/>
            <w:noWrap/>
            <w:vAlign w:val="center"/>
            <w:hideMark/>
          </w:tcPr>
          <w:p w14:paraId="67E365E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268</w:t>
            </w:r>
          </w:p>
        </w:tc>
        <w:tc>
          <w:tcPr>
            <w:tcW w:w="696" w:type="pct"/>
            <w:tcBorders>
              <w:top w:val="nil"/>
              <w:left w:val="nil"/>
              <w:bottom w:val="single" w:sz="4" w:space="0" w:color="auto"/>
              <w:right w:val="single" w:sz="4" w:space="0" w:color="auto"/>
            </w:tcBorders>
            <w:shd w:val="clear" w:color="000000" w:fill="FFFFFF"/>
            <w:noWrap/>
            <w:vAlign w:val="center"/>
            <w:hideMark/>
          </w:tcPr>
          <w:p w14:paraId="19C9EE4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493</w:t>
            </w:r>
          </w:p>
        </w:tc>
        <w:tc>
          <w:tcPr>
            <w:tcW w:w="761" w:type="pct"/>
            <w:tcBorders>
              <w:top w:val="nil"/>
              <w:left w:val="nil"/>
              <w:bottom w:val="single" w:sz="4" w:space="0" w:color="auto"/>
              <w:right w:val="single" w:sz="4" w:space="0" w:color="auto"/>
            </w:tcBorders>
            <w:shd w:val="clear" w:color="000000" w:fill="FFFFFF"/>
            <w:noWrap/>
            <w:vAlign w:val="center"/>
            <w:hideMark/>
          </w:tcPr>
          <w:p w14:paraId="72C697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382-403</w:t>
            </w:r>
          </w:p>
        </w:tc>
      </w:tr>
      <w:tr w:rsidR="004446CD" w:rsidRPr="00650EE4" w14:paraId="3A6DD40D"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4A26DF5"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833" w:type="pct"/>
            <w:tcBorders>
              <w:top w:val="nil"/>
              <w:left w:val="nil"/>
              <w:bottom w:val="single" w:sz="4" w:space="0" w:color="auto"/>
              <w:right w:val="single" w:sz="4" w:space="0" w:color="auto"/>
            </w:tcBorders>
            <w:shd w:val="clear" w:color="000000" w:fill="FFFFFF"/>
            <w:noWrap/>
            <w:vAlign w:val="center"/>
            <w:hideMark/>
          </w:tcPr>
          <w:p w14:paraId="066123A1"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57A07FE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3568A8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A0DCB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341</w:t>
            </w:r>
          </w:p>
        </w:tc>
        <w:tc>
          <w:tcPr>
            <w:tcW w:w="579" w:type="pct"/>
            <w:tcBorders>
              <w:top w:val="nil"/>
              <w:left w:val="nil"/>
              <w:bottom w:val="single" w:sz="4" w:space="0" w:color="auto"/>
              <w:right w:val="single" w:sz="4" w:space="0" w:color="auto"/>
            </w:tcBorders>
            <w:shd w:val="clear" w:color="000000" w:fill="FFFFFF"/>
            <w:noWrap/>
            <w:vAlign w:val="center"/>
            <w:hideMark/>
          </w:tcPr>
          <w:p w14:paraId="2E578C6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580" w:type="pct"/>
            <w:tcBorders>
              <w:top w:val="nil"/>
              <w:left w:val="nil"/>
              <w:bottom w:val="single" w:sz="4" w:space="0" w:color="auto"/>
              <w:right w:val="single" w:sz="4" w:space="0" w:color="auto"/>
            </w:tcBorders>
            <w:shd w:val="clear" w:color="000000" w:fill="FFFFFF"/>
            <w:noWrap/>
            <w:vAlign w:val="center"/>
            <w:hideMark/>
          </w:tcPr>
          <w:p w14:paraId="6FB2A0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197</w:t>
            </w:r>
          </w:p>
        </w:tc>
        <w:tc>
          <w:tcPr>
            <w:tcW w:w="696" w:type="pct"/>
            <w:tcBorders>
              <w:top w:val="nil"/>
              <w:left w:val="nil"/>
              <w:bottom w:val="single" w:sz="4" w:space="0" w:color="auto"/>
              <w:right w:val="single" w:sz="4" w:space="0" w:color="auto"/>
            </w:tcBorders>
            <w:shd w:val="clear" w:color="000000" w:fill="FFFFFF"/>
            <w:noWrap/>
            <w:vAlign w:val="center"/>
            <w:hideMark/>
          </w:tcPr>
          <w:p w14:paraId="32CD51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332</w:t>
            </w:r>
          </w:p>
        </w:tc>
        <w:tc>
          <w:tcPr>
            <w:tcW w:w="761" w:type="pct"/>
            <w:tcBorders>
              <w:top w:val="nil"/>
              <w:left w:val="nil"/>
              <w:bottom w:val="single" w:sz="4" w:space="0" w:color="auto"/>
              <w:right w:val="single" w:sz="4" w:space="0" w:color="auto"/>
            </w:tcBorders>
            <w:shd w:val="clear" w:color="000000" w:fill="FFFFFF"/>
            <w:noWrap/>
            <w:vAlign w:val="center"/>
            <w:hideMark/>
          </w:tcPr>
          <w:p w14:paraId="09BD338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r>
      <w:tr w:rsidR="004446CD" w:rsidRPr="00650EE4" w14:paraId="0A387D28"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26CB7B0"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17</w:t>
            </w:r>
          </w:p>
        </w:tc>
        <w:tc>
          <w:tcPr>
            <w:tcW w:w="833" w:type="pct"/>
            <w:tcBorders>
              <w:top w:val="nil"/>
              <w:left w:val="nil"/>
              <w:bottom w:val="single" w:sz="4" w:space="0" w:color="auto"/>
              <w:right w:val="single" w:sz="4" w:space="0" w:color="auto"/>
            </w:tcBorders>
            <w:shd w:val="clear" w:color="000000" w:fill="FFFFFF"/>
            <w:noWrap/>
            <w:vAlign w:val="center"/>
            <w:hideMark/>
          </w:tcPr>
          <w:p w14:paraId="3FCFA0EC"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1B5D4A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64F5CB1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47D35C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380</w:t>
            </w:r>
          </w:p>
        </w:tc>
        <w:tc>
          <w:tcPr>
            <w:tcW w:w="579" w:type="pct"/>
            <w:tcBorders>
              <w:top w:val="nil"/>
              <w:left w:val="nil"/>
              <w:bottom w:val="single" w:sz="4" w:space="0" w:color="auto"/>
              <w:right w:val="single" w:sz="4" w:space="0" w:color="auto"/>
            </w:tcBorders>
            <w:shd w:val="clear" w:color="000000" w:fill="FFFFFF"/>
            <w:noWrap/>
            <w:vAlign w:val="center"/>
            <w:hideMark/>
          </w:tcPr>
          <w:p w14:paraId="128405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301</w:t>
            </w:r>
          </w:p>
        </w:tc>
        <w:tc>
          <w:tcPr>
            <w:tcW w:w="580" w:type="pct"/>
            <w:tcBorders>
              <w:top w:val="nil"/>
              <w:left w:val="nil"/>
              <w:bottom w:val="single" w:sz="4" w:space="0" w:color="auto"/>
              <w:right w:val="single" w:sz="4" w:space="0" w:color="auto"/>
            </w:tcBorders>
            <w:shd w:val="clear" w:color="000000" w:fill="FFFFFF"/>
            <w:noWrap/>
            <w:vAlign w:val="center"/>
            <w:hideMark/>
          </w:tcPr>
          <w:p w14:paraId="6DCF330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696" w:type="pct"/>
            <w:tcBorders>
              <w:top w:val="nil"/>
              <w:left w:val="nil"/>
              <w:bottom w:val="single" w:sz="4" w:space="0" w:color="auto"/>
              <w:right w:val="single" w:sz="4" w:space="0" w:color="auto"/>
            </w:tcBorders>
            <w:shd w:val="clear" w:color="000000" w:fill="FFFFFF"/>
            <w:noWrap/>
            <w:vAlign w:val="center"/>
            <w:hideMark/>
          </w:tcPr>
          <w:p w14:paraId="40E576C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407</w:t>
            </w:r>
          </w:p>
        </w:tc>
        <w:tc>
          <w:tcPr>
            <w:tcW w:w="761" w:type="pct"/>
            <w:tcBorders>
              <w:top w:val="nil"/>
              <w:left w:val="nil"/>
              <w:bottom w:val="single" w:sz="4" w:space="0" w:color="auto"/>
              <w:right w:val="single" w:sz="4" w:space="0" w:color="auto"/>
            </w:tcBorders>
            <w:shd w:val="clear" w:color="000000" w:fill="FFFFFF"/>
            <w:noWrap/>
            <w:vAlign w:val="center"/>
            <w:hideMark/>
          </w:tcPr>
          <w:p w14:paraId="3E096A1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310-330</w:t>
            </w:r>
          </w:p>
        </w:tc>
      </w:tr>
      <w:tr w:rsidR="004446CD" w:rsidRPr="00650EE4" w14:paraId="709C6B6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42617DC"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18</w:t>
            </w:r>
          </w:p>
        </w:tc>
        <w:tc>
          <w:tcPr>
            <w:tcW w:w="833" w:type="pct"/>
            <w:tcBorders>
              <w:top w:val="nil"/>
              <w:left w:val="nil"/>
              <w:bottom w:val="single" w:sz="4" w:space="0" w:color="auto"/>
              <w:right w:val="single" w:sz="4" w:space="0" w:color="auto"/>
            </w:tcBorders>
            <w:shd w:val="clear" w:color="000000" w:fill="FFFFFF"/>
            <w:noWrap/>
            <w:vAlign w:val="center"/>
            <w:hideMark/>
          </w:tcPr>
          <w:p w14:paraId="346E32D5"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02A0DC0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70262A1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32AD3D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409</w:t>
            </w:r>
          </w:p>
        </w:tc>
        <w:tc>
          <w:tcPr>
            <w:tcW w:w="579" w:type="pct"/>
            <w:tcBorders>
              <w:top w:val="nil"/>
              <w:left w:val="nil"/>
              <w:bottom w:val="single" w:sz="4" w:space="0" w:color="auto"/>
              <w:right w:val="single" w:sz="4" w:space="0" w:color="auto"/>
            </w:tcBorders>
            <w:shd w:val="clear" w:color="000000" w:fill="FFFFFF"/>
            <w:noWrap/>
            <w:vAlign w:val="center"/>
            <w:hideMark/>
          </w:tcPr>
          <w:p w14:paraId="1D0D8AC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323</w:t>
            </w:r>
          </w:p>
        </w:tc>
        <w:tc>
          <w:tcPr>
            <w:tcW w:w="580" w:type="pct"/>
            <w:tcBorders>
              <w:top w:val="nil"/>
              <w:left w:val="nil"/>
              <w:bottom w:val="single" w:sz="4" w:space="0" w:color="auto"/>
              <w:right w:val="single" w:sz="4" w:space="0" w:color="auto"/>
            </w:tcBorders>
            <w:shd w:val="clear" w:color="000000" w:fill="FFFFFF"/>
            <w:noWrap/>
            <w:vAlign w:val="center"/>
            <w:hideMark/>
          </w:tcPr>
          <w:p w14:paraId="2B923D4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247</w:t>
            </w:r>
          </w:p>
        </w:tc>
        <w:tc>
          <w:tcPr>
            <w:tcW w:w="696" w:type="pct"/>
            <w:tcBorders>
              <w:top w:val="nil"/>
              <w:left w:val="nil"/>
              <w:bottom w:val="single" w:sz="4" w:space="0" w:color="auto"/>
              <w:right w:val="single" w:sz="4" w:space="0" w:color="auto"/>
            </w:tcBorders>
            <w:shd w:val="clear" w:color="000000" w:fill="FFFFFF"/>
            <w:noWrap/>
            <w:vAlign w:val="center"/>
            <w:hideMark/>
          </w:tcPr>
          <w:p w14:paraId="2444B73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456</w:t>
            </w:r>
          </w:p>
        </w:tc>
        <w:tc>
          <w:tcPr>
            <w:tcW w:w="761" w:type="pct"/>
            <w:tcBorders>
              <w:top w:val="nil"/>
              <w:left w:val="nil"/>
              <w:bottom w:val="single" w:sz="4" w:space="0" w:color="auto"/>
              <w:right w:val="single" w:sz="4" w:space="0" w:color="auto"/>
            </w:tcBorders>
            <w:shd w:val="clear" w:color="000000" w:fill="FFFFFF"/>
            <w:noWrap/>
            <w:vAlign w:val="center"/>
            <w:hideMark/>
          </w:tcPr>
          <w:p w14:paraId="7B3663B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356-375</w:t>
            </w:r>
          </w:p>
        </w:tc>
      </w:tr>
      <w:tr w:rsidR="004446CD" w:rsidRPr="00650EE4" w14:paraId="2655000C"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BD114E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19</w:t>
            </w:r>
          </w:p>
        </w:tc>
        <w:tc>
          <w:tcPr>
            <w:tcW w:w="833" w:type="pct"/>
            <w:tcBorders>
              <w:top w:val="nil"/>
              <w:left w:val="nil"/>
              <w:bottom w:val="single" w:sz="4" w:space="0" w:color="auto"/>
              <w:right w:val="single" w:sz="4" w:space="0" w:color="auto"/>
            </w:tcBorders>
            <w:shd w:val="clear" w:color="000000" w:fill="FFFFFF"/>
            <w:noWrap/>
            <w:vAlign w:val="center"/>
            <w:hideMark/>
          </w:tcPr>
          <w:p w14:paraId="5F1C9F16"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68100AC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7A2A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BBBFD9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79" w:type="pct"/>
            <w:tcBorders>
              <w:top w:val="nil"/>
              <w:left w:val="nil"/>
              <w:bottom w:val="single" w:sz="4" w:space="0" w:color="auto"/>
              <w:right w:val="single" w:sz="4" w:space="0" w:color="auto"/>
            </w:tcBorders>
            <w:shd w:val="clear" w:color="000000" w:fill="FFFFFF"/>
            <w:noWrap/>
            <w:vAlign w:val="center"/>
            <w:hideMark/>
          </w:tcPr>
          <w:p w14:paraId="05FC1B9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237</w:t>
            </w:r>
          </w:p>
        </w:tc>
        <w:tc>
          <w:tcPr>
            <w:tcW w:w="580" w:type="pct"/>
            <w:tcBorders>
              <w:top w:val="nil"/>
              <w:left w:val="nil"/>
              <w:bottom w:val="single" w:sz="4" w:space="0" w:color="auto"/>
              <w:right w:val="single" w:sz="4" w:space="0" w:color="auto"/>
            </w:tcBorders>
            <w:shd w:val="clear" w:color="000000" w:fill="FFFFFF"/>
            <w:noWrap/>
            <w:vAlign w:val="center"/>
            <w:hideMark/>
          </w:tcPr>
          <w:p w14:paraId="33BC31C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177</w:t>
            </w:r>
          </w:p>
        </w:tc>
        <w:tc>
          <w:tcPr>
            <w:tcW w:w="696" w:type="pct"/>
            <w:tcBorders>
              <w:top w:val="nil"/>
              <w:left w:val="nil"/>
              <w:bottom w:val="single" w:sz="4" w:space="0" w:color="auto"/>
              <w:right w:val="single" w:sz="4" w:space="0" w:color="auto"/>
            </w:tcBorders>
            <w:shd w:val="clear" w:color="000000" w:fill="FFFFFF"/>
            <w:noWrap/>
            <w:vAlign w:val="center"/>
            <w:hideMark/>
          </w:tcPr>
          <w:p w14:paraId="55CD52D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299</w:t>
            </w:r>
          </w:p>
        </w:tc>
        <w:tc>
          <w:tcPr>
            <w:tcW w:w="761" w:type="pct"/>
            <w:tcBorders>
              <w:top w:val="nil"/>
              <w:left w:val="nil"/>
              <w:bottom w:val="single" w:sz="4" w:space="0" w:color="auto"/>
              <w:right w:val="single" w:sz="4" w:space="0" w:color="auto"/>
            </w:tcBorders>
            <w:shd w:val="clear" w:color="000000" w:fill="FFFFFF"/>
            <w:noWrap/>
            <w:vAlign w:val="center"/>
            <w:hideMark/>
          </w:tcPr>
          <w:p w14:paraId="40EEDB0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237</w:t>
            </w:r>
          </w:p>
        </w:tc>
      </w:tr>
      <w:tr w:rsidR="004446CD" w:rsidRPr="00650EE4" w14:paraId="2831FE6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5EF8CC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20</w:t>
            </w:r>
          </w:p>
        </w:tc>
        <w:tc>
          <w:tcPr>
            <w:tcW w:w="833" w:type="pct"/>
            <w:tcBorders>
              <w:top w:val="nil"/>
              <w:left w:val="nil"/>
              <w:bottom w:val="single" w:sz="4" w:space="0" w:color="auto"/>
              <w:right w:val="single" w:sz="4" w:space="0" w:color="auto"/>
            </w:tcBorders>
            <w:shd w:val="clear" w:color="000000" w:fill="FFFFFF"/>
            <w:noWrap/>
            <w:vAlign w:val="center"/>
            <w:hideMark/>
          </w:tcPr>
          <w:p w14:paraId="71F9500A"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048078F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FAE1DD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5BC513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342</w:t>
            </w:r>
          </w:p>
        </w:tc>
        <w:tc>
          <w:tcPr>
            <w:tcW w:w="579" w:type="pct"/>
            <w:tcBorders>
              <w:top w:val="nil"/>
              <w:left w:val="nil"/>
              <w:bottom w:val="single" w:sz="4" w:space="0" w:color="auto"/>
              <w:right w:val="single" w:sz="4" w:space="0" w:color="auto"/>
            </w:tcBorders>
            <w:shd w:val="clear" w:color="000000" w:fill="FFFFFF"/>
            <w:noWrap/>
            <w:vAlign w:val="center"/>
            <w:hideMark/>
          </w:tcPr>
          <w:p w14:paraId="0485ACF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270</w:t>
            </w:r>
          </w:p>
        </w:tc>
        <w:tc>
          <w:tcPr>
            <w:tcW w:w="580" w:type="pct"/>
            <w:tcBorders>
              <w:top w:val="nil"/>
              <w:left w:val="nil"/>
              <w:bottom w:val="single" w:sz="4" w:space="0" w:color="auto"/>
              <w:right w:val="single" w:sz="4" w:space="0" w:color="auto"/>
            </w:tcBorders>
            <w:shd w:val="clear" w:color="000000" w:fill="FFFFFF"/>
            <w:noWrap/>
            <w:vAlign w:val="center"/>
            <w:hideMark/>
          </w:tcPr>
          <w:p w14:paraId="17483ED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211</w:t>
            </w:r>
          </w:p>
        </w:tc>
        <w:tc>
          <w:tcPr>
            <w:tcW w:w="696" w:type="pct"/>
            <w:tcBorders>
              <w:top w:val="nil"/>
              <w:left w:val="nil"/>
              <w:bottom w:val="single" w:sz="4" w:space="0" w:color="auto"/>
              <w:right w:val="single" w:sz="4" w:space="0" w:color="auto"/>
            </w:tcBorders>
            <w:shd w:val="clear" w:color="000000" w:fill="FFFFFF"/>
            <w:noWrap/>
            <w:vAlign w:val="center"/>
            <w:hideMark/>
          </w:tcPr>
          <w:p w14:paraId="49A08FA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367</w:t>
            </w:r>
          </w:p>
        </w:tc>
        <w:tc>
          <w:tcPr>
            <w:tcW w:w="761" w:type="pct"/>
            <w:tcBorders>
              <w:top w:val="nil"/>
              <w:left w:val="nil"/>
              <w:bottom w:val="single" w:sz="4" w:space="0" w:color="auto"/>
              <w:right w:val="single" w:sz="4" w:space="0" w:color="auto"/>
            </w:tcBorders>
            <w:shd w:val="clear" w:color="000000" w:fill="FFFFFF"/>
            <w:noWrap/>
            <w:vAlign w:val="center"/>
            <w:hideMark/>
          </w:tcPr>
          <w:p w14:paraId="2FB4050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287-306</w:t>
            </w:r>
          </w:p>
        </w:tc>
      </w:tr>
      <w:tr w:rsidR="004446CD" w:rsidRPr="00650EE4" w14:paraId="6CD564C3"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0FA01A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21</w:t>
            </w:r>
          </w:p>
        </w:tc>
        <w:tc>
          <w:tcPr>
            <w:tcW w:w="833" w:type="pct"/>
            <w:tcBorders>
              <w:top w:val="nil"/>
              <w:left w:val="nil"/>
              <w:bottom w:val="single" w:sz="4" w:space="0" w:color="auto"/>
              <w:right w:val="single" w:sz="4" w:space="0" w:color="auto"/>
            </w:tcBorders>
            <w:shd w:val="clear" w:color="000000" w:fill="FFFFFF"/>
            <w:noWrap/>
            <w:vAlign w:val="center"/>
            <w:hideMark/>
          </w:tcPr>
          <w:p w14:paraId="321F032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6AC960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90FD8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75A76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371</w:t>
            </w:r>
          </w:p>
        </w:tc>
        <w:tc>
          <w:tcPr>
            <w:tcW w:w="579" w:type="pct"/>
            <w:tcBorders>
              <w:top w:val="nil"/>
              <w:left w:val="nil"/>
              <w:bottom w:val="single" w:sz="4" w:space="0" w:color="auto"/>
              <w:right w:val="single" w:sz="4" w:space="0" w:color="auto"/>
            </w:tcBorders>
            <w:shd w:val="clear" w:color="000000" w:fill="FFFFFF"/>
            <w:noWrap/>
            <w:vAlign w:val="center"/>
            <w:hideMark/>
          </w:tcPr>
          <w:p w14:paraId="247203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290</w:t>
            </w:r>
          </w:p>
        </w:tc>
        <w:tc>
          <w:tcPr>
            <w:tcW w:w="580" w:type="pct"/>
            <w:tcBorders>
              <w:top w:val="nil"/>
              <w:left w:val="nil"/>
              <w:bottom w:val="single" w:sz="4" w:space="0" w:color="auto"/>
              <w:right w:val="single" w:sz="4" w:space="0" w:color="auto"/>
            </w:tcBorders>
            <w:shd w:val="clear" w:color="000000" w:fill="FFFFFF"/>
            <w:noWrap/>
            <w:vAlign w:val="center"/>
            <w:hideMark/>
          </w:tcPr>
          <w:p w14:paraId="44EE3B7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232</w:t>
            </w:r>
          </w:p>
        </w:tc>
        <w:tc>
          <w:tcPr>
            <w:tcW w:w="696" w:type="pct"/>
            <w:tcBorders>
              <w:top w:val="nil"/>
              <w:left w:val="nil"/>
              <w:bottom w:val="single" w:sz="4" w:space="0" w:color="auto"/>
              <w:right w:val="single" w:sz="4" w:space="0" w:color="auto"/>
            </w:tcBorders>
            <w:shd w:val="clear" w:color="000000" w:fill="FFFFFF"/>
            <w:noWrap/>
            <w:vAlign w:val="center"/>
            <w:hideMark/>
          </w:tcPr>
          <w:p w14:paraId="026B119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411</w:t>
            </w:r>
          </w:p>
        </w:tc>
        <w:tc>
          <w:tcPr>
            <w:tcW w:w="761" w:type="pct"/>
            <w:tcBorders>
              <w:top w:val="nil"/>
              <w:left w:val="nil"/>
              <w:bottom w:val="single" w:sz="4" w:space="0" w:color="auto"/>
              <w:right w:val="single" w:sz="4" w:space="0" w:color="auto"/>
            </w:tcBorders>
            <w:shd w:val="clear" w:color="000000" w:fill="FFFFFF"/>
            <w:noWrap/>
            <w:vAlign w:val="center"/>
            <w:hideMark/>
          </w:tcPr>
          <w:p w14:paraId="608F199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333-356</w:t>
            </w:r>
          </w:p>
        </w:tc>
      </w:tr>
      <w:tr w:rsidR="004446CD" w:rsidRPr="00650EE4" w14:paraId="525F712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51877271"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22</w:t>
            </w:r>
          </w:p>
        </w:tc>
        <w:tc>
          <w:tcPr>
            <w:tcW w:w="833" w:type="pct"/>
            <w:tcBorders>
              <w:top w:val="nil"/>
              <w:left w:val="nil"/>
              <w:bottom w:val="single" w:sz="4" w:space="0" w:color="auto"/>
              <w:right w:val="single" w:sz="4" w:space="0" w:color="auto"/>
            </w:tcBorders>
            <w:shd w:val="clear" w:color="000000" w:fill="FFFFFF"/>
            <w:noWrap/>
            <w:vAlign w:val="center"/>
            <w:hideMark/>
          </w:tcPr>
          <w:p w14:paraId="543E3E9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72F392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5415C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79339C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261BB44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c>
          <w:tcPr>
            <w:tcW w:w="580" w:type="pct"/>
            <w:tcBorders>
              <w:top w:val="nil"/>
              <w:left w:val="nil"/>
              <w:bottom w:val="single" w:sz="4" w:space="0" w:color="auto"/>
              <w:right w:val="single" w:sz="4" w:space="0" w:color="auto"/>
            </w:tcBorders>
            <w:shd w:val="clear" w:color="000000" w:fill="FFFFFF"/>
            <w:noWrap/>
            <w:vAlign w:val="center"/>
            <w:hideMark/>
          </w:tcPr>
          <w:p w14:paraId="0FDFB16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235</w:t>
            </w:r>
          </w:p>
        </w:tc>
        <w:tc>
          <w:tcPr>
            <w:tcW w:w="696" w:type="pct"/>
            <w:tcBorders>
              <w:top w:val="nil"/>
              <w:left w:val="nil"/>
              <w:bottom w:val="single" w:sz="4" w:space="0" w:color="auto"/>
              <w:right w:val="single" w:sz="4" w:space="0" w:color="auto"/>
            </w:tcBorders>
            <w:shd w:val="clear" w:color="000000" w:fill="FFFFFF"/>
            <w:noWrap/>
            <w:vAlign w:val="center"/>
            <w:hideMark/>
          </w:tcPr>
          <w:p w14:paraId="13A4A8D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396</w:t>
            </w:r>
          </w:p>
        </w:tc>
        <w:tc>
          <w:tcPr>
            <w:tcW w:w="761" w:type="pct"/>
            <w:tcBorders>
              <w:top w:val="nil"/>
              <w:left w:val="nil"/>
              <w:bottom w:val="single" w:sz="4" w:space="0" w:color="auto"/>
              <w:right w:val="single" w:sz="4" w:space="0" w:color="auto"/>
            </w:tcBorders>
            <w:shd w:val="clear" w:color="000000" w:fill="FFFFFF"/>
            <w:noWrap/>
            <w:vAlign w:val="center"/>
            <w:hideMark/>
          </w:tcPr>
          <w:p w14:paraId="2EECED7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314</w:t>
            </w:r>
          </w:p>
        </w:tc>
      </w:tr>
      <w:tr w:rsidR="004446CD" w:rsidRPr="00650EE4" w14:paraId="61D0271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285E853"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23</w:t>
            </w:r>
          </w:p>
        </w:tc>
        <w:tc>
          <w:tcPr>
            <w:tcW w:w="833" w:type="pct"/>
            <w:tcBorders>
              <w:top w:val="nil"/>
              <w:left w:val="nil"/>
              <w:bottom w:val="single" w:sz="4" w:space="0" w:color="auto"/>
              <w:right w:val="single" w:sz="4" w:space="0" w:color="auto"/>
            </w:tcBorders>
            <w:shd w:val="clear" w:color="000000" w:fill="FFFFFF"/>
            <w:noWrap/>
            <w:vAlign w:val="center"/>
            <w:hideMark/>
          </w:tcPr>
          <w:p w14:paraId="562E803B"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50FA4D9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D7FAB3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5D8458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438</w:t>
            </w:r>
          </w:p>
        </w:tc>
        <w:tc>
          <w:tcPr>
            <w:tcW w:w="579" w:type="pct"/>
            <w:tcBorders>
              <w:top w:val="nil"/>
              <w:left w:val="nil"/>
              <w:bottom w:val="single" w:sz="4" w:space="0" w:color="auto"/>
              <w:right w:val="single" w:sz="4" w:space="0" w:color="auto"/>
            </w:tcBorders>
            <w:shd w:val="clear" w:color="000000" w:fill="FFFFFF"/>
            <w:noWrap/>
            <w:vAlign w:val="center"/>
            <w:hideMark/>
          </w:tcPr>
          <w:p w14:paraId="24EF4E9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353</w:t>
            </w:r>
          </w:p>
        </w:tc>
        <w:tc>
          <w:tcPr>
            <w:tcW w:w="580" w:type="pct"/>
            <w:tcBorders>
              <w:top w:val="nil"/>
              <w:left w:val="nil"/>
              <w:bottom w:val="single" w:sz="4" w:space="0" w:color="auto"/>
              <w:right w:val="single" w:sz="4" w:space="0" w:color="auto"/>
            </w:tcBorders>
            <w:shd w:val="clear" w:color="000000" w:fill="FFFFFF"/>
            <w:noWrap/>
            <w:vAlign w:val="center"/>
            <w:hideMark/>
          </w:tcPr>
          <w:p w14:paraId="0BA7B45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265</w:t>
            </w:r>
          </w:p>
        </w:tc>
        <w:tc>
          <w:tcPr>
            <w:tcW w:w="696" w:type="pct"/>
            <w:tcBorders>
              <w:top w:val="nil"/>
              <w:left w:val="nil"/>
              <w:bottom w:val="single" w:sz="4" w:space="0" w:color="auto"/>
              <w:right w:val="single" w:sz="4" w:space="0" w:color="auto"/>
            </w:tcBorders>
            <w:shd w:val="clear" w:color="000000" w:fill="FFFFFF"/>
            <w:noWrap/>
            <w:vAlign w:val="center"/>
            <w:hideMark/>
          </w:tcPr>
          <w:p w14:paraId="3BBDC57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462</w:t>
            </w:r>
          </w:p>
        </w:tc>
        <w:tc>
          <w:tcPr>
            <w:tcW w:w="761" w:type="pct"/>
            <w:tcBorders>
              <w:top w:val="nil"/>
              <w:left w:val="nil"/>
              <w:bottom w:val="single" w:sz="4" w:space="0" w:color="auto"/>
              <w:right w:val="single" w:sz="4" w:space="0" w:color="auto"/>
            </w:tcBorders>
            <w:shd w:val="clear" w:color="000000" w:fill="FFFFFF"/>
            <w:noWrap/>
            <w:vAlign w:val="center"/>
            <w:hideMark/>
          </w:tcPr>
          <w:p w14:paraId="7A4C727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357-375</w:t>
            </w:r>
          </w:p>
        </w:tc>
      </w:tr>
      <w:tr w:rsidR="004446CD" w:rsidRPr="00650EE4" w14:paraId="65FBAD5E"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978210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24</w:t>
            </w:r>
          </w:p>
        </w:tc>
        <w:tc>
          <w:tcPr>
            <w:tcW w:w="833" w:type="pct"/>
            <w:tcBorders>
              <w:top w:val="nil"/>
              <w:left w:val="nil"/>
              <w:bottom w:val="single" w:sz="4" w:space="0" w:color="auto"/>
              <w:right w:val="single" w:sz="4" w:space="0" w:color="auto"/>
            </w:tcBorders>
            <w:shd w:val="clear" w:color="000000" w:fill="FFFFFF"/>
            <w:noWrap/>
            <w:vAlign w:val="center"/>
            <w:hideMark/>
          </w:tcPr>
          <w:p w14:paraId="6097DF8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D685ED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 </w:t>
            </w:r>
          </w:p>
        </w:tc>
        <w:tc>
          <w:tcPr>
            <w:tcW w:w="348" w:type="pct"/>
            <w:tcBorders>
              <w:top w:val="nil"/>
              <w:left w:val="nil"/>
              <w:bottom w:val="single" w:sz="4" w:space="0" w:color="auto"/>
              <w:right w:val="single" w:sz="4" w:space="0" w:color="auto"/>
            </w:tcBorders>
            <w:shd w:val="clear" w:color="000000" w:fill="FFFFFF"/>
            <w:noWrap/>
            <w:vAlign w:val="center"/>
            <w:hideMark/>
          </w:tcPr>
          <w:p w14:paraId="680C566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3C5B422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467</w:t>
            </w:r>
          </w:p>
        </w:tc>
        <w:tc>
          <w:tcPr>
            <w:tcW w:w="579" w:type="pct"/>
            <w:tcBorders>
              <w:top w:val="nil"/>
              <w:left w:val="nil"/>
              <w:bottom w:val="single" w:sz="4" w:space="0" w:color="auto"/>
              <w:right w:val="single" w:sz="4" w:space="0" w:color="auto"/>
            </w:tcBorders>
            <w:shd w:val="clear" w:color="000000" w:fill="FFFFFF"/>
            <w:noWrap/>
            <w:vAlign w:val="center"/>
            <w:hideMark/>
          </w:tcPr>
          <w:p w14:paraId="140677E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377</w:t>
            </w:r>
          </w:p>
        </w:tc>
        <w:tc>
          <w:tcPr>
            <w:tcW w:w="580" w:type="pct"/>
            <w:tcBorders>
              <w:top w:val="nil"/>
              <w:left w:val="nil"/>
              <w:bottom w:val="single" w:sz="4" w:space="0" w:color="auto"/>
              <w:right w:val="single" w:sz="4" w:space="0" w:color="auto"/>
            </w:tcBorders>
            <w:shd w:val="clear" w:color="000000" w:fill="FFFFFF"/>
            <w:noWrap/>
            <w:vAlign w:val="center"/>
            <w:hideMark/>
          </w:tcPr>
          <w:p w14:paraId="57321A8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284</w:t>
            </w:r>
          </w:p>
        </w:tc>
        <w:tc>
          <w:tcPr>
            <w:tcW w:w="696" w:type="pct"/>
            <w:tcBorders>
              <w:top w:val="nil"/>
              <w:left w:val="nil"/>
              <w:bottom w:val="single" w:sz="4" w:space="0" w:color="auto"/>
              <w:right w:val="single" w:sz="4" w:space="0" w:color="auto"/>
            </w:tcBorders>
            <w:shd w:val="clear" w:color="000000" w:fill="FFFFFF"/>
            <w:noWrap/>
            <w:vAlign w:val="center"/>
            <w:hideMark/>
          </w:tcPr>
          <w:p w14:paraId="382F94F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510</w:t>
            </w:r>
          </w:p>
        </w:tc>
        <w:tc>
          <w:tcPr>
            <w:tcW w:w="761" w:type="pct"/>
            <w:tcBorders>
              <w:top w:val="nil"/>
              <w:left w:val="nil"/>
              <w:bottom w:val="single" w:sz="4" w:space="0" w:color="auto"/>
              <w:right w:val="single" w:sz="4" w:space="0" w:color="auto"/>
            </w:tcBorders>
            <w:shd w:val="clear" w:color="000000" w:fill="FFFFFF"/>
            <w:noWrap/>
            <w:vAlign w:val="center"/>
            <w:hideMark/>
          </w:tcPr>
          <w:p w14:paraId="14719F5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398-415</w:t>
            </w:r>
          </w:p>
        </w:tc>
      </w:tr>
      <w:tr w:rsidR="004446CD" w:rsidRPr="00650EE4" w14:paraId="5AD53790"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336CF49"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833" w:type="pct"/>
            <w:tcBorders>
              <w:top w:val="nil"/>
              <w:left w:val="nil"/>
              <w:bottom w:val="single" w:sz="4" w:space="0" w:color="auto"/>
              <w:right w:val="single" w:sz="4" w:space="0" w:color="auto"/>
            </w:tcBorders>
            <w:shd w:val="clear" w:color="000000" w:fill="FFFFFF"/>
            <w:noWrap/>
            <w:vAlign w:val="center"/>
            <w:hideMark/>
          </w:tcPr>
          <w:p w14:paraId="68BAD8B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6318E35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CD6389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5145538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367</w:t>
            </w:r>
          </w:p>
        </w:tc>
        <w:tc>
          <w:tcPr>
            <w:tcW w:w="579" w:type="pct"/>
            <w:tcBorders>
              <w:top w:val="nil"/>
              <w:left w:val="nil"/>
              <w:bottom w:val="single" w:sz="4" w:space="0" w:color="auto"/>
              <w:right w:val="single" w:sz="4" w:space="0" w:color="auto"/>
            </w:tcBorders>
            <w:shd w:val="clear" w:color="000000" w:fill="FFFFFF"/>
            <w:noWrap/>
            <w:vAlign w:val="center"/>
            <w:hideMark/>
          </w:tcPr>
          <w:p w14:paraId="6BA2C3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283</w:t>
            </w:r>
          </w:p>
        </w:tc>
        <w:tc>
          <w:tcPr>
            <w:tcW w:w="580" w:type="pct"/>
            <w:tcBorders>
              <w:top w:val="nil"/>
              <w:left w:val="nil"/>
              <w:bottom w:val="single" w:sz="4" w:space="0" w:color="auto"/>
              <w:right w:val="single" w:sz="4" w:space="0" w:color="auto"/>
            </w:tcBorders>
            <w:shd w:val="clear" w:color="000000" w:fill="FFFFFF"/>
            <w:noWrap/>
            <w:vAlign w:val="center"/>
            <w:hideMark/>
          </w:tcPr>
          <w:p w14:paraId="5E3E742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211</w:t>
            </w:r>
          </w:p>
        </w:tc>
        <w:tc>
          <w:tcPr>
            <w:tcW w:w="696" w:type="pct"/>
            <w:tcBorders>
              <w:top w:val="nil"/>
              <w:left w:val="nil"/>
              <w:bottom w:val="single" w:sz="4" w:space="0" w:color="auto"/>
              <w:right w:val="single" w:sz="4" w:space="0" w:color="auto"/>
            </w:tcBorders>
            <w:shd w:val="clear" w:color="000000" w:fill="FFFFFF"/>
            <w:noWrap/>
            <w:vAlign w:val="center"/>
            <w:hideMark/>
          </w:tcPr>
          <w:p w14:paraId="1CFBC0F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357</w:t>
            </w:r>
          </w:p>
        </w:tc>
        <w:tc>
          <w:tcPr>
            <w:tcW w:w="761" w:type="pct"/>
            <w:tcBorders>
              <w:top w:val="nil"/>
              <w:left w:val="nil"/>
              <w:bottom w:val="single" w:sz="4" w:space="0" w:color="auto"/>
              <w:right w:val="single" w:sz="4" w:space="0" w:color="auto"/>
            </w:tcBorders>
            <w:shd w:val="clear" w:color="000000" w:fill="FFFFFF"/>
            <w:noWrap/>
            <w:vAlign w:val="center"/>
            <w:hideMark/>
          </w:tcPr>
          <w:p w14:paraId="012746D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283</w:t>
            </w:r>
          </w:p>
        </w:tc>
      </w:tr>
      <w:tr w:rsidR="004446CD" w:rsidRPr="00650EE4" w14:paraId="601AF63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0C17584"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26</w:t>
            </w:r>
          </w:p>
        </w:tc>
        <w:tc>
          <w:tcPr>
            <w:tcW w:w="833" w:type="pct"/>
            <w:tcBorders>
              <w:top w:val="nil"/>
              <w:left w:val="nil"/>
              <w:bottom w:val="single" w:sz="4" w:space="0" w:color="auto"/>
              <w:right w:val="single" w:sz="4" w:space="0" w:color="auto"/>
            </w:tcBorders>
            <w:shd w:val="clear" w:color="000000" w:fill="FFFFFF"/>
            <w:noWrap/>
            <w:vAlign w:val="center"/>
            <w:hideMark/>
          </w:tcPr>
          <w:p w14:paraId="58C624F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484F3A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3B84BC1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6E30977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406</w:t>
            </w:r>
          </w:p>
        </w:tc>
        <w:tc>
          <w:tcPr>
            <w:tcW w:w="579" w:type="pct"/>
            <w:tcBorders>
              <w:top w:val="nil"/>
              <w:left w:val="nil"/>
              <w:bottom w:val="single" w:sz="4" w:space="0" w:color="auto"/>
              <w:right w:val="single" w:sz="4" w:space="0" w:color="auto"/>
            </w:tcBorders>
            <w:shd w:val="clear" w:color="000000" w:fill="FFFFFF"/>
            <w:noWrap/>
            <w:vAlign w:val="center"/>
            <w:hideMark/>
          </w:tcPr>
          <w:p w14:paraId="592EC92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320</w:t>
            </w:r>
          </w:p>
        </w:tc>
        <w:tc>
          <w:tcPr>
            <w:tcW w:w="580" w:type="pct"/>
            <w:tcBorders>
              <w:top w:val="nil"/>
              <w:left w:val="nil"/>
              <w:bottom w:val="single" w:sz="4" w:space="0" w:color="auto"/>
              <w:right w:val="single" w:sz="4" w:space="0" w:color="auto"/>
            </w:tcBorders>
            <w:shd w:val="clear" w:color="000000" w:fill="FFFFFF"/>
            <w:noWrap/>
            <w:vAlign w:val="center"/>
            <w:hideMark/>
          </w:tcPr>
          <w:p w14:paraId="72E6D33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242</w:t>
            </w:r>
          </w:p>
        </w:tc>
        <w:tc>
          <w:tcPr>
            <w:tcW w:w="696" w:type="pct"/>
            <w:tcBorders>
              <w:top w:val="nil"/>
              <w:left w:val="nil"/>
              <w:bottom w:val="single" w:sz="4" w:space="0" w:color="auto"/>
              <w:right w:val="single" w:sz="4" w:space="0" w:color="auto"/>
            </w:tcBorders>
            <w:shd w:val="clear" w:color="000000" w:fill="FFFFFF"/>
            <w:noWrap/>
            <w:vAlign w:val="center"/>
            <w:hideMark/>
          </w:tcPr>
          <w:p w14:paraId="1C42228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427</w:t>
            </w:r>
          </w:p>
        </w:tc>
        <w:tc>
          <w:tcPr>
            <w:tcW w:w="761" w:type="pct"/>
            <w:tcBorders>
              <w:top w:val="nil"/>
              <w:left w:val="nil"/>
              <w:bottom w:val="single" w:sz="4" w:space="0" w:color="auto"/>
              <w:right w:val="single" w:sz="4" w:space="0" w:color="auto"/>
            </w:tcBorders>
            <w:shd w:val="clear" w:color="000000" w:fill="FFFFFF"/>
            <w:noWrap/>
            <w:vAlign w:val="center"/>
            <w:hideMark/>
          </w:tcPr>
          <w:p w14:paraId="303443D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325-344</w:t>
            </w:r>
          </w:p>
        </w:tc>
      </w:tr>
      <w:tr w:rsidR="004446CD" w:rsidRPr="00650EE4" w14:paraId="2A19BFB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565039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27</w:t>
            </w:r>
          </w:p>
        </w:tc>
        <w:tc>
          <w:tcPr>
            <w:tcW w:w="833" w:type="pct"/>
            <w:tcBorders>
              <w:top w:val="nil"/>
              <w:left w:val="nil"/>
              <w:bottom w:val="single" w:sz="4" w:space="0" w:color="auto"/>
              <w:right w:val="single" w:sz="4" w:space="0" w:color="auto"/>
            </w:tcBorders>
            <w:shd w:val="clear" w:color="000000" w:fill="FFFFFF"/>
            <w:noWrap/>
            <w:vAlign w:val="center"/>
            <w:hideMark/>
          </w:tcPr>
          <w:p w14:paraId="0F47564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3EC5B1E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C</w:t>
            </w:r>
          </w:p>
        </w:tc>
        <w:tc>
          <w:tcPr>
            <w:tcW w:w="348" w:type="pct"/>
            <w:tcBorders>
              <w:top w:val="nil"/>
              <w:left w:val="nil"/>
              <w:bottom w:val="single" w:sz="4" w:space="0" w:color="auto"/>
              <w:right w:val="single" w:sz="4" w:space="0" w:color="auto"/>
            </w:tcBorders>
            <w:shd w:val="clear" w:color="000000" w:fill="FFFFFF"/>
            <w:noWrap/>
            <w:vAlign w:val="center"/>
            <w:hideMark/>
          </w:tcPr>
          <w:p w14:paraId="4146585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42B7B34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434</w:t>
            </w:r>
          </w:p>
        </w:tc>
        <w:tc>
          <w:tcPr>
            <w:tcW w:w="579" w:type="pct"/>
            <w:tcBorders>
              <w:top w:val="nil"/>
              <w:left w:val="nil"/>
              <w:bottom w:val="single" w:sz="4" w:space="0" w:color="auto"/>
              <w:right w:val="single" w:sz="4" w:space="0" w:color="auto"/>
            </w:tcBorders>
            <w:shd w:val="clear" w:color="000000" w:fill="FFFFFF"/>
            <w:noWrap/>
            <w:vAlign w:val="center"/>
            <w:hideMark/>
          </w:tcPr>
          <w:p w14:paraId="1C65BB6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343</w:t>
            </w:r>
          </w:p>
        </w:tc>
        <w:tc>
          <w:tcPr>
            <w:tcW w:w="580" w:type="pct"/>
            <w:tcBorders>
              <w:top w:val="nil"/>
              <w:left w:val="nil"/>
              <w:bottom w:val="single" w:sz="4" w:space="0" w:color="auto"/>
              <w:right w:val="single" w:sz="4" w:space="0" w:color="auto"/>
            </w:tcBorders>
            <w:shd w:val="clear" w:color="000000" w:fill="FFFFFF"/>
            <w:noWrap/>
            <w:vAlign w:val="center"/>
            <w:hideMark/>
          </w:tcPr>
          <w:p w14:paraId="05D34D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262</w:t>
            </w:r>
          </w:p>
        </w:tc>
        <w:tc>
          <w:tcPr>
            <w:tcW w:w="696" w:type="pct"/>
            <w:tcBorders>
              <w:top w:val="nil"/>
              <w:left w:val="nil"/>
              <w:bottom w:val="single" w:sz="4" w:space="0" w:color="auto"/>
              <w:right w:val="single" w:sz="4" w:space="0" w:color="auto"/>
            </w:tcBorders>
            <w:shd w:val="clear" w:color="000000" w:fill="FFFFFF"/>
            <w:noWrap/>
            <w:vAlign w:val="center"/>
            <w:hideMark/>
          </w:tcPr>
          <w:p w14:paraId="1663A82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474</w:t>
            </w:r>
          </w:p>
        </w:tc>
        <w:tc>
          <w:tcPr>
            <w:tcW w:w="761" w:type="pct"/>
            <w:tcBorders>
              <w:top w:val="nil"/>
              <w:left w:val="nil"/>
              <w:bottom w:val="single" w:sz="4" w:space="0" w:color="auto"/>
              <w:right w:val="single" w:sz="4" w:space="0" w:color="auto"/>
            </w:tcBorders>
            <w:shd w:val="clear" w:color="000000" w:fill="FFFFFF"/>
            <w:noWrap/>
            <w:vAlign w:val="center"/>
            <w:hideMark/>
          </w:tcPr>
          <w:p w14:paraId="083666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366-384</w:t>
            </w:r>
          </w:p>
        </w:tc>
      </w:tr>
      <w:tr w:rsidR="004446CD" w:rsidRPr="00650EE4" w14:paraId="05FCC82F"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38DBC397"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28</w:t>
            </w:r>
          </w:p>
        </w:tc>
        <w:tc>
          <w:tcPr>
            <w:tcW w:w="833" w:type="pct"/>
            <w:tcBorders>
              <w:top w:val="nil"/>
              <w:left w:val="nil"/>
              <w:bottom w:val="single" w:sz="4" w:space="0" w:color="auto"/>
              <w:right w:val="single" w:sz="4" w:space="0" w:color="auto"/>
            </w:tcBorders>
            <w:shd w:val="clear" w:color="000000" w:fill="FFFFFF"/>
            <w:noWrap/>
            <w:vAlign w:val="center"/>
            <w:hideMark/>
          </w:tcPr>
          <w:p w14:paraId="61EB4CF9"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1AF4D37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3D620C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7587274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330</w:t>
            </w:r>
          </w:p>
        </w:tc>
        <w:tc>
          <w:tcPr>
            <w:tcW w:w="579" w:type="pct"/>
            <w:tcBorders>
              <w:top w:val="nil"/>
              <w:left w:val="nil"/>
              <w:bottom w:val="single" w:sz="4" w:space="0" w:color="auto"/>
              <w:right w:val="single" w:sz="4" w:space="0" w:color="auto"/>
            </w:tcBorders>
            <w:shd w:val="clear" w:color="000000" w:fill="FFFFFF"/>
            <w:noWrap/>
            <w:vAlign w:val="center"/>
            <w:hideMark/>
          </w:tcPr>
          <w:p w14:paraId="5CFB9EC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254</w:t>
            </w:r>
          </w:p>
        </w:tc>
        <w:tc>
          <w:tcPr>
            <w:tcW w:w="580" w:type="pct"/>
            <w:tcBorders>
              <w:top w:val="nil"/>
              <w:left w:val="nil"/>
              <w:bottom w:val="single" w:sz="4" w:space="0" w:color="auto"/>
              <w:right w:val="single" w:sz="4" w:space="0" w:color="auto"/>
            </w:tcBorders>
            <w:shd w:val="clear" w:color="000000" w:fill="FFFFFF"/>
            <w:noWrap/>
            <w:vAlign w:val="center"/>
            <w:hideMark/>
          </w:tcPr>
          <w:p w14:paraId="3C06D7B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190</w:t>
            </w:r>
          </w:p>
        </w:tc>
        <w:tc>
          <w:tcPr>
            <w:tcW w:w="696" w:type="pct"/>
            <w:tcBorders>
              <w:top w:val="nil"/>
              <w:left w:val="nil"/>
              <w:bottom w:val="single" w:sz="4" w:space="0" w:color="auto"/>
              <w:right w:val="single" w:sz="4" w:space="0" w:color="auto"/>
            </w:tcBorders>
            <w:shd w:val="clear" w:color="000000" w:fill="FFFFFF"/>
            <w:noWrap/>
            <w:vAlign w:val="center"/>
            <w:hideMark/>
          </w:tcPr>
          <w:p w14:paraId="6D8D58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321</w:t>
            </w:r>
          </w:p>
        </w:tc>
        <w:tc>
          <w:tcPr>
            <w:tcW w:w="761" w:type="pct"/>
            <w:tcBorders>
              <w:top w:val="nil"/>
              <w:left w:val="nil"/>
              <w:bottom w:val="single" w:sz="4" w:space="0" w:color="auto"/>
              <w:right w:val="single" w:sz="4" w:space="0" w:color="auto"/>
            </w:tcBorders>
            <w:shd w:val="clear" w:color="000000" w:fill="FFFFFF"/>
            <w:noWrap/>
            <w:vAlign w:val="center"/>
            <w:hideMark/>
          </w:tcPr>
          <w:p w14:paraId="629840D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254</w:t>
            </w:r>
          </w:p>
        </w:tc>
      </w:tr>
      <w:tr w:rsidR="004446CD" w:rsidRPr="00650EE4" w14:paraId="1B1C40CA"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4D987682"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30</w:t>
            </w:r>
          </w:p>
        </w:tc>
        <w:tc>
          <w:tcPr>
            <w:tcW w:w="833" w:type="pct"/>
            <w:tcBorders>
              <w:top w:val="nil"/>
              <w:left w:val="nil"/>
              <w:bottom w:val="single" w:sz="4" w:space="0" w:color="auto"/>
              <w:right w:val="single" w:sz="4" w:space="0" w:color="auto"/>
            </w:tcBorders>
            <w:shd w:val="clear" w:color="000000" w:fill="FFFFFF"/>
            <w:noWrap/>
            <w:vAlign w:val="center"/>
            <w:hideMark/>
          </w:tcPr>
          <w:p w14:paraId="6D07455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4AFC454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4AFB1F8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EF5F4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365</w:t>
            </w:r>
          </w:p>
        </w:tc>
        <w:tc>
          <w:tcPr>
            <w:tcW w:w="579" w:type="pct"/>
            <w:tcBorders>
              <w:top w:val="nil"/>
              <w:left w:val="nil"/>
              <w:bottom w:val="single" w:sz="4" w:space="0" w:color="auto"/>
              <w:right w:val="single" w:sz="4" w:space="0" w:color="auto"/>
            </w:tcBorders>
            <w:shd w:val="clear" w:color="000000" w:fill="FFFFFF"/>
            <w:noWrap/>
            <w:vAlign w:val="center"/>
            <w:hideMark/>
          </w:tcPr>
          <w:p w14:paraId="5CAE1C9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288</w:t>
            </w:r>
          </w:p>
        </w:tc>
        <w:tc>
          <w:tcPr>
            <w:tcW w:w="580" w:type="pct"/>
            <w:tcBorders>
              <w:top w:val="nil"/>
              <w:left w:val="nil"/>
              <w:bottom w:val="single" w:sz="4" w:space="0" w:color="auto"/>
              <w:right w:val="single" w:sz="4" w:space="0" w:color="auto"/>
            </w:tcBorders>
            <w:shd w:val="clear" w:color="000000" w:fill="FFFFFF"/>
            <w:noWrap/>
            <w:vAlign w:val="center"/>
            <w:hideMark/>
          </w:tcPr>
          <w:p w14:paraId="1E8C7C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224</w:t>
            </w:r>
          </w:p>
        </w:tc>
        <w:tc>
          <w:tcPr>
            <w:tcW w:w="696" w:type="pct"/>
            <w:tcBorders>
              <w:top w:val="nil"/>
              <w:left w:val="nil"/>
              <w:bottom w:val="single" w:sz="4" w:space="0" w:color="auto"/>
              <w:right w:val="single" w:sz="4" w:space="0" w:color="auto"/>
            </w:tcBorders>
            <w:shd w:val="clear" w:color="000000" w:fill="FFFFFF"/>
            <w:noWrap/>
            <w:vAlign w:val="center"/>
            <w:hideMark/>
          </w:tcPr>
          <w:p w14:paraId="0EA0FA9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388</w:t>
            </w:r>
          </w:p>
        </w:tc>
        <w:tc>
          <w:tcPr>
            <w:tcW w:w="761" w:type="pct"/>
            <w:tcBorders>
              <w:top w:val="nil"/>
              <w:left w:val="nil"/>
              <w:bottom w:val="single" w:sz="4" w:space="0" w:color="auto"/>
              <w:right w:val="single" w:sz="4" w:space="0" w:color="auto"/>
            </w:tcBorders>
            <w:shd w:val="clear" w:color="000000" w:fill="FFFFFF"/>
            <w:noWrap/>
            <w:vAlign w:val="center"/>
            <w:hideMark/>
          </w:tcPr>
          <w:p w14:paraId="50BA6E0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304-319</w:t>
            </w:r>
          </w:p>
        </w:tc>
      </w:tr>
      <w:tr w:rsidR="004446CD" w:rsidRPr="00650EE4" w14:paraId="063A793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25EE3FF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29</w:t>
            </w:r>
          </w:p>
        </w:tc>
        <w:tc>
          <w:tcPr>
            <w:tcW w:w="833" w:type="pct"/>
            <w:tcBorders>
              <w:top w:val="nil"/>
              <w:left w:val="nil"/>
              <w:bottom w:val="single" w:sz="4" w:space="0" w:color="auto"/>
              <w:right w:val="single" w:sz="4" w:space="0" w:color="auto"/>
            </w:tcBorders>
            <w:shd w:val="clear" w:color="000000" w:fill="FFFFFF"/>
            <w:noWrap/>
            <w:vAlign w:val="center"/>
            <w:hideMark/>
          </w:tcPr>
          <w:p w14:paraId="4019354F"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221EE93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B</w:t>
            </w:r>
          </w:p>
        </w:tc>
        <w:tc>
          <w:tcPr>
            <w:tcW w:w="348" w:type="pct"/>
            <w:tcBorders>
              <w:top w:val="nil"/>
              <w:left w:val="nil"/>
              <w:bottom w:val="single" w:sz="4" w:space="0" w:color="auto"/>
              <w:right w:val="single" w:sz="4" w:space="0" w:color="auto"/>
            </w:tcBorders>
            <w:shd w:val="clear" w:color="000000" w:fill="FFFFFF"/>
            <w:noWrap/>
            <w:vAlign w:val="center"/>
            <w:hideMark/>
          </w:tcPr>
          <w:p w14:paraId="16E5FB2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FE12A5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394</w:t>
            </w:r>
          </w:p>
        </w:tc>
        <w:tc>
          <w:tcPr>
            <w:tcW w:w="579" w:type="pct"/>
            <w:tcBorders>
              <w:top w:val="nil"/>
              <w:left w:val="nil"/>
              <w:bottom w:val="single" w:sz="4" w:space="0" w:color="auto"/>
              <w:right w:val="single" w:sz="4" w:space="0" w:color="auto"/>
            </w:tcBorders>
            <w:shd w:val="clear" w:color="000000" w:fill="FFFFFF"/>
            <w:noWrap/>
            <w:vAlign w:val="center"/>
            <w:hideMark/>
          </w:tcPr>
          <w:p w14:paraId="4C22FCC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307</w:t>
            </w:r>
          </w:p>
        </w:tc>
        <w:tc>
          <w:tcPr>
            <w:tcW w:w="580" w:type="pct"/>
            <w:tcBorders>
              <w:top w:val="nil"/>
              <w:left w:val="nil"/>
              <w:bottom w:val="single" w:sz="4" w:space="0" w:color="auto"/>
              <w:right w:val="single" w:sz="4" w:space="0" w:color="auto"/>
            </w:tcBorders>
            <w:shd w:val="clear" w:color="000000" w:fill="FFFFFF"/>
            <w:noWrap/>
            <w:vAlign w:val="center"/>
            <w:hideMark/>
          </w:tcPr>
          <w:p w14:paraId="7548A46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246</w:t>
            </w:r>
          </w:p>
        </w:tc>
        <w:tc>
          <w:tcPr>
            <w:tcW w:w="696" w:type="pct"/>
            <w:tcBorders>
              <w:top w:val="nil"/>
              <w:left w:val="nil"/>
              <w:bottom w:val="single" w:sz="4" w:space="0" w:color="auto"/>
              <w:right w:val="single" w:sz="4" w:space="0" w:color="auto"/>
            </w:tcBorders>
            <w:shd w:val="clear" w:color="000000" w:fill="FFFFFF"/>
            <w:noWrap/>
            <w:vAlign w:val="center"/>
            <w:hideMark/>
          </w:tcPr>
          <w:p w14:paraId="7ED7E72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429</w:t>
            </w:r>
          </w:p>
        </w:tc>
        <w:tc>
          <w:tcPr>
            <w:tcW w:w="761" w:type="pct"/>
            <w:tcBorders>
              <w:top w:val="nil"/>
              <w:left w:val="nil"/>
              <w:bottom w:val="single" w:sz="4" w:space="0" w:color="auto"/>
              <w:right w:val="single" w:sz="4" w:space="0" w:color="auto"/>
            </w:tcBorders>
            <w:shd w:val="clear" w:color="000000" w:fill="FFFFFF"/>
            <w:noWrap/>
            <w:vAlign w:val="center"/>
            <w:hideMark/>
          </w:tcPr>
          <w:p w14:paraId="3BCB6DA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343-364</w:t>
            </w:r>
          </w:p>
        </w:tc>
      </w:tr>
      <w:tr w:rsidR="004446CD" w:rsidRPr="00650EE4" w14:paraId="62582321"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48C26B"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833" w:type="pct"/>
            <w:tcBorders>
              <w:top w:val="nil"/>
              <w:left w:val="nil"/>
              <w:bottom w:val="single" w:sz="4" w:space="0" w:color="auto"/>
              <w:right w:val="single" w:sz="4" w:space="0" w:color="auto"/>
            </w:tcBorders>
            <w:shd w:val="clear" w:color="000000" w:fill="FFFFFF"/>
            <w:noWrap/>
            <w:vAlign w:val="center"/>
            <w:hideMark/>
          </w:tcPr>
          <w:p w14:paraId="5E574661"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 xml:space="preserve">A++ </w:t>
            </w:r>
          </w:p>
        </w:tc>
        <w:tc>
          <w:tcPr>
            <w:tcW w:w="348" w:type="pct"/>
            <w:tcBorders>
              <w:top w:val="nil"/>
              <w:left w:val="nil"/>
              <w:bottom w:val="single" w:sz="4" w:space="0" w:color="auto"/>
              <w:right w:val="single" w:sz="4" w:space="0" w:color="auto"/>
            </w:tcBorders>
            <w:shd w:val="clear" w:color="000000" w:fill="FFFFFF"/>
            <w:noWrap/>
            <w:vAlign w:val="center"/>
            <w:hideMark/>
          </w:tcPr>
          <w:p w14:paraId="5533EA5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43B1725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097CDEB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297</w:t>
            </w:r>
          </w:p>
        </w:tc>
        <w:tc>
          <w:tcPr>
            <w:tcW w:w="579" w:type="pct"/>
            <w:tcBorders>
              <w:top w:val="nil"/>
              <w:left w:val="nil"/>
              <w:bottom w:val="single" w:sz="4" w:space="0" w:color="auto"/>
              <w:right w:val="single" w:sz="4" w:space="0" w:color="auto"/>
            </w:tcBorders>
            <w:shd w:val="clear" w:color="000000" w:fill="FFFFFF"/>
            <w:noWrap/>
            <w:vAlign w:val="center"/>
            <w:hideMark/>
          </w:tcPr>
          <w:p w14:paraId="167985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229</w:t>
            </w:r>
          </w:p>
        </w:tc>
        <w:tc>
          <w:tcPr>
            <w:tcW w:w="580" w:type="pct"/>
            <w:tcBorders>
              <w:top w:val="nil"/>
              <w:left w:val="nil"/>
              <w:bottom w:val="single" w:sz="4" w:space="0" w:color="auto"/>
              <w:right w:val="single" w:sz="4" w:space="0" w:color="auto"/>
            </w:tcBorders>
            <w:shd w:val="clear" w:color="000000" w:fill="FFFFFF"/>
            <w:noWrap/>
            <w:vAlign w:val="center"/>
            <w:hideMark/>
          </w:tcPr>
          <w:p w14:paraId="4EFC8F6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171</w:t>
            </w:r>
          </w:p>
        </w:tc>
        <w:tc>
          <w:tcPr>
            <w:tcW w:w="696" w:type="pct"/>
            <w:tcBorders>
              <w:top w:val="nil"/>
              <w:left w:val="nil"/>
              <w:bottom w:val="single" w:sz="4" w:space="0" w:color="auto"/>
              <w:right w:val="single" w:sz="4" w:space="0" w:color="auto"/>
            </w:tcBorders>
            <w:shd w:val="clear" w:color="000000" w:fill="FFFFFF"/>
            <w:noWrap/>
            <w:vAlign w:val="center"/>
            <w:hideMark/>
          </w:tcPr>
          <w:p w14:paraId="4A1547F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289</w:t>
            </w:r>
          </w:p>
        </w:tc>
        <w:tc>
          <w:tcPr>
            <w:tcW w:w="761" w:type="pct"/>
            <w:tcBorders>
              <w:top w:val="nil"/>
              <w:left w:val="nil"/>
              <w:bottom w:val="single" w:sz="4" w:space="0" w:color="auto"/>
              <w:right w:val="single" w:sz="4" w:space="0" w:color="auto"/>
            </w:tcBorders>
            <w:shd w:val="clear" w:color="000000" w:fill="FFFFFF"/>
            <w:noWrap/>
            <w:vAlign w:val="center"/>
            <w:hideMark/>
          </w:tcPr>
          <w:p w14:paraId="2D77A74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229</w:t>
            </w:r>
          </w:p>
        </w:tc>
      </w:tr>
      <w:tr w:rsidR="004446CD" w:rsidRPr="00650EE4" w14:paraId="3BBDEBFD"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A48A3DE"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32</w:t>
            </w:r>
          </w:p>
        </w:tc>
        <w:tc>
          <w:tcPr>
            <w:tcW w:w="833" w:type="pct"/>
            <w:tcBorders>
              <w:top w:val="nil"/>
              <w:left w:val="nil"/>
              <w:bottom w:val="single" w:sz="4" w:space="0" w:color="auto"/>
              <w:right w:val="single" w:sz="4" w:space="0" w:color="auto"/>
            </w:tcBorders>
            <w:shd w:val="clear" w:color="000000" w:fill="FFFFFF"/>
            <w:noWrap/>
            <w:vAlign w:val="center"/>
            <w:hideMark/>
          </w:tcPr>
          <w:p w14:paraId="7FC377A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w:t>
            </w:r>
          </w:p>
        </w:tc>
        <w:tc>
          <w:tcPr>
            <w:tcW w:w="348" w:type="pct"/>
            <w:tcBorders>
              <w:top w:val="nil"/>
              <w:left w:val="nil"/>
              <w:bottom w:val="single" w:sz="4" w:space="0" w:color="auto"/>
              <w:right w:val="single" w:sz="4" w:space="0" w:color="auto"/>
            </w:tcBorders>
            <w:shd w:val="clear" w:color="000000" w:fill="FFFFFF"/>
            <w:noWrap/>
            <w:vAlign w:val="center"/>
            <w:hideMark/>
          </w:tcPr>
          <w:p w14:paraId="08D2331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02FF932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21BD6B8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363</w:t>
            </w:r>
          </w:p>
        </w:tc>
        <w:tc>
          <w:tcPr>
            <w:tcW w:w="579" w:type="pct"/>
            <w:tcBorders>
              <w:top w:val="nil"/>
              <w:left w:val="nil"/>
              <w:bottom w:val="single" w:sz="4" w:space="0" w:color="auto"/>
              <w:right w:val="single" w:sz="4" w:space="0" w:color="auto"/>
            </w:tcBorders>
            <w:shd w:val="clear" w:color="000000" w:fill="FFFFFF"/>
            <w:noWrap/>
            <w:vAlign w:val="center"/>
            <w:hideMark/>
          </w:tcPr>
          <w:p w14:paraId="7AD2050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277</w:t>
            </w:r>
          </w:p>
        </w:tc>
        <w:tc>
          <w:tcPr>
            <w:tcW w:w="580" w:type="pct"/>
            <w:tcBorders>
              <w:top w:val="nil"/>
              <w:left w:val="nil"/>
              <w:bottom w:val="single" w:sz="4" w:space="0" w:color="auto"/>
              <w:right w:val="single" w:sz="4" w:space="0" w:color="auto"/>
            </w:tcBorders>
            <w:shd w:val="clear" w:color="000000" w:fill="FFFFFF"/>
            <w:noWrap/>
            <w:vAlign w:val="center"/>
            <w:hideMark/>
          </w:tcPr>
          <w:p w14:paraId="66172A11"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227</w:t>
            </w:r>
          </w:p>
        </w:tc>
        <w:tc>
          <w:tcPr>
            <w:tcW w:w="696" w:type="pct"/>
            <w:tcBorders>
              <w:top w:val="nil"/>
              <w:left w:val="nil"/>
              <w:bottom w:val="single" w:sz="4" w:space="0" w:color="auto"/>
              <w:right w:val="single" w:sz="4" w:space="0" w:color="auto"/>
            </w:tcBorders>
            <w:shd w:val="clear" w:color="000000" w:fill="FFFFFF"/>
            <w:noWrap/>
            <w:vAlign w:val="center"/>
            <w:hideMark/>
          </w:tcPr>
          <w:p w14:paraId="21B5B04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355</w:t>
            </w:r>
          </w:p>
        </w:tc>
        <w:tc>
          <w:tcPr>
            <w:tcW w:w="761" w:type="pct"/>
            <w:tcBorders>
              <w:top w:val="nil"/>
              <w:left w:val="nil"/>
              <w:bottom w:val="single" w:sz="4" w:space="0" w:color="auto"/>
              <w:right w:val="single" w:sz="4" w:space="0" w:color="auto"/>
            </w:tcBorders>
            <w:shd w:val="clear" w:color="000000" w:fill="FFFFFF"/>
            <w:noWrap/>
            <w:vAlign w:val="center"/>
            <w:hideMark/>
          </w:tcPr>
          <w:p w14:paraId="5237A4E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275-299</w:t>
            </w:r>
          </w:p>
        </w:tc>
      </w:tr>
      <w:tr w:rsidR="004446CD" w:rsidRPr="00650EE4" w14:paraId="7FA474E9"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01319FD"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33</w:t>
            </w:r>
          </w:p>
        </w:tc>
        <w:tc>
          <w:tcPr>
            <w:tcW w:w="833" w:type="pct"/>
            <w:tcBorders>
              <w:top w:val="nil"/>
              <w:left w:val="nil"/>
              <w:bottom w:val="single" w:sz="4" w:space="0" w:color="auto"/>
              <w:right w:val="single" w:sz="4" w:space="0" w:color="auto"/>
            </w:tcBorders>
            <w:shd w:val="clear" w:color="000000" w:fill="FFFFFF"/>
            <w:noWrap/>
            <w:vAlign w:val="center"/>
            <w:hideMark/>
          </w:tcPr>
          <w:p w14:paraId="77D8A08D"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A++  + ŠS + FV</w:t>
            </w:r>
          </w:p>
        </w:tc>
        <w:tc>
          <w:tcPr>
            <w:tcW w:w="348" w:type="pct"/>
            <w:tcBorders>
              <w:top w:val="nil"/>
              <w:left w:val="nil"/>
              <w:bottom w:val="single" w:sz="4" w:space="0" w:color="auto"/>
              <w:right w:val="single" w:sz="4" w:space="0" w:color="auto"/>
            </w:tcBorders>
            <w:shd w:val="clear" w:color="000000" w:fill="FFFFFF"/>
            <w:noWrap/>
            <w:vAlign w:val="center"/>
            <w:hideMark/>
          </w:tcPr>
          <w:p w14:paraId="4C94306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348" w:type="pct"/>
            <w:tcBorders>
              <w:top w:val="nil"/>
              <w:left w:val="nil"/>
              <w:bottom w:val="single" w:sz="4" w:space="0" w:color="auto"/>
              <w:right w:val="single" w:sz="4" w:space="0" w:color="auto"/>
            </w:tcBorders>
            <w:shd w:val="clear" w:color="000000" w:fill="FFFFFF"/>
            <w:noWrap/>
            <w:vAlign w:val="center"/>
            <w:hideMark/>
          </w:tcPr>
          <w:p w14:paraId="6C124F4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A++</w:t>
            </w:r>
          </w:p>
        </w:tc>
        <w:tc>
          <w:tcPr>
            <w:tcW w:w="579" w:type="pct"/>
            <w:tcBorders>
              <w:top w:val="nil"/>
              <w:left w:val="nil"/>
              <w:bottom w:val="single" w:sz="4" w:space="0" w:color="auto"/>
              <w:right w:val="single" w:sz="4" w:space="0" w:color="auto"/>
            </w:tcBorders>
            <w:shd w:val="clear" w:color="000000" w:fill="FFFFFF"/>
            <w:noWrap/>
            <w:vAlign w:val="center"/>
            <w:hideMark/>
          </w:tcPr>
          <w:p w14:paraId="1577A7B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408</w:t>
            </w:r>
          </w:p>
        </w:tc>
        <w:tc>
          <w:tcPr>
            <w:tcW w:w="579" w:type="pct"/>
            <w:tcBorders>
              <w:top w:val="nil"/>
              <w:left w:val="nil"/>
              <w:bottom w:val="single" w:sz="4" w:space="0" w:color="auto"/>
              <w:right w:val="single" w:sz="4" w:space="0" w:color="auto"/>
            </w:tcBorders>
            <w:shd w:val="clear" w:color="000000" w:fill="FFFFFF"/>
            <w:noWrap/>
            <w:vAlign w:val="center"/>
            <w:hideMark/>
          </w:tcPr>
          <w:p w14:paraId="2A6AD4CE"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306</w:t>
            </w:r>
          </w:p>
        </w:tc>
        <w:tc>
          <w:tcPr>
            <w:tcW w:w="580" w:type="pct"/>
            <w:tcBorders>
              <w:top w:val="nil"/>
              <w:left w:val="nil"/>
              <w:bottom w:val="single" w:sz="4" w:space="0" w:color="auto"/>
              <w:right w:val="single" w:sz="4" w:space="0" w:color="auto"/>
            </w:tcBorders>
            <w:shd w:val="clear" w:color="000000" w:fill="FFFFFF"/>
            <w:noWrap/>
            <w:vAlign w:val="center"/>
            <w:hideMark/>
          </w:tcPr>
          <w:p w14:paraId="5F729FD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263</w:t>
            </w:r>
          </w:p>
        </w:tc>
        <w:tc>
          <w:tcPr>
            <w:tcW w:w="696" w:type="pct"/>
            <w:tcBorders>
              <w:top w:val="nil"/>
              <w:left w:val="nil"/>
              <w:bottom w:val="single" w:sz="4" w:space="0" w:color="auto"/>
              <w:right w:val="single" w:sz="4" w:space="0" w:color="auto"/>
            </w:tcBorders>
            <w:shd w:val="clear" w:color="000000" w:fill="FFFFFF"/>
            <w:noWrap/>
            <w:vAlign w:val="center"/>
            <w:hideMark/>
          </w:tcPr>
          <w:p w14:paraId="4B6A5C4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395</w:t>
            </w:r>
          </w:p>
        </w:tc>
        <w:tc>
          <w:tcPr>
            <w:tcW w:w="761" w:type="pct"/>
            <w:tcBorders>
              <w:top w:val="nil"/>
              <w:left w:val="nil"/>
              <w:bottom w:val="single" w:sz="4" w:space="0" w:color="auto"/>
              <w:right w:val="single" w:sz="4" w:space="0" w:color="auto"/>
            </w:tcBorders>
            <w:shd w:val="clear" w:color="000000" w:fill="FFFFFF"/>
            <w:noWrap/>
            <w:vAlign w:val="center"/>
            <w:hideMark/>
          </w:tcPr>
          <w:p w14:paraId="4A6429C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315-342</w:t>
            </w:r>
          </w:p>
        </w:tc>
      </w:tr>
      <w:tr w:rsidR="004446CD" w:rsidRPr="00650EE4" w14:paraId="45EF0E2F" w14:textId="77777777" w:rsidTr="001E13DD">
        <w:trPr>
          <w:trHeight w:val="204"/>
        </w:trPr>
        <w:tc>
          <w:tcPr>
            <w:tcW w:w="5000" w:type="pct"/>
            <w:gridSpan w:val="9"/>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63260DDF" w14:textId="77777777" w:rsidR="004446CD" w:rsidRPr="00650EE4" w:rsidRDefault="004446CD" w:rsidP="001E13DD">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Daliniai paketai</w:t>
            </w:r>
          </w:p>
        </w:tc>
      </w:tr>
      <w:tr w:rsidR="004446CD" w:rsidRPr="00650EE4" w14:paraId="22D8CF8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F0009AC"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34</w:t>
            </w:r>
          </w:p>
        </w:tc>
        <w:tc>
          <w:tcPr>
            <w:tcW w:w="833" w:type="pct"/>
            <w:tcBorders>
              <w:top w:val="nil"/>
              <w:left w:val="nil"/>
              <w:bottom w:val="single" w:sz="4" w:space="0" w:color="auto"/>
              <w:right w:val="single" w:sz="4" w:space="0" w:color="auto"/>
            </w:tcBorders>
            <w:shd w:val="clear" w:color="000000" w:fill="FFFFFF"/>
            <w:noWrap/>
            <w:vAlign w:val="center"/>
            <w:hideMark/>
          </w:tcPr>
          <w:p w14:paraId="3F7FFB34"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Mažoji renovacija</w:t>
            </w:r>
          </w:p>
        </w:tc>
        <w:tc>
          <w:tcPr>
            <w:tcW w:w="348" w:type="pct"/>
            <w:tcBorders>
              <w:top w:val="nil"/>
              <w:left w:val="nil"/>
              <w:bottom w:val="single" w:sz="4" w:space="0" w:color="auto"/>
              <w:right w:val="single" w:sz="4" w:space="0" w:color="auto"/>
            </w:tcBorders>
            <w:shd w:val="clear" w:color="000000" w:fill="FFFFFF"/>
            <w:noWrap/>
            <w:vAlign w:val="center"/>
            <w:hideMark/>
          </w:tcPr>
          <w:p w14:paraId="2BD4CD2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1DCE89FD"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1790735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54</w:t>
            </w:r>
          </w:p>
        </w:tc>
        <w:tc>
          <w:tcPr>
            <w:tcW w:w="579" w:type="pct"/>
            <w:tcBorders>
              <w:top w:val="nil"/>
              <w:left w:val="nil"/>
              <w:bottom w:val="single" w:sz="4" w:space="0" w:color="auto"/>
              <w:right w:val="single" w:sz="4" w:space="0" w:color="auto"/>
            </w:tcBorders>
            <w:shd w:val="clear" w:color="000000" w:fill="FFFFFF"/>
            <w:noWrap/>
            <w:vAlign w:val="center"/>
            <w:hideMark/>
          </w:tcPr>
          <w:p w14:paraId="1BA4E46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580" w:type="pct"/>
            <w:tcBorders>
              <w:top w:val="nil"/>
              <w:left w:val="nil"/>
              <w:bottom w:val="single" w:sz="4" w:space="0" w:color="auto"/>
              <w:right w:val="single" w:sz="4" w:space="0" w:color="auto"/>
            </w:tcBorders>
            <w:shd w:val="clear" w:color="000000" w:fill="FFFFFF"/>
            <w:noWrap/>
            <w:vAlign w:val="center"/>
            <w:hideMark/>
          </w:tcPr>
          <w:p w14:paraId="1FDB5E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31</w:t>
            </w:r>
          </w:p>
        </w:tc>
        <w:tc>
          <w:tcPr>
            <w:tcW w:w="696" w:type="pct"/>
            <w:tcBorders>
              <w:top w:val="nil"/>
              <w:left w:val="nil"/>
              <w:bottom w:val="single" w:sz="4" w:space="0" w:color="auto"/>
              <w:right w:val="single" w:sz="4" w:space="0" w:color="auto"/>
            </w:tcBorders>
            <w:shd w:val="clear" w:color="000000" w:fill="FFFFFF"/>
            <w:noWrap/>
            <w:vAlign w:val="center"/>
            <w:hideMark/>
          </w:tcPr>
          <w:p w14:paraId="3DD44D5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761" w:type="pct"/>
            <w:tcBorders>
              <w:top w:val="nil"/>
              <w:left w:val="nil"/>
              <w:bottom w:val="single" w:sz="4" w:space="0" w:color="auto"/>
              <w:right w:val="single" w:sz="4" w:space="0" w:color="auto"/>
            </w:tcBorders>
            <w:shd w:val="clear" w:color="000000" w:fill="FFFFFF"/>
            <w:noWrap/>
            <w:vAlign w:val="center"/>
            <w:hideMark/>
          </w:tcPr>
          <w:p w14:paraId="14A897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37</w:t>
            </w:r>
          </w:p>
        </w:tc>
      </w:tr>
      <w:tr w:rsidR="004446CD" w:rsidRPr="00650EE4" w14:paraId="3257AF86"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729DB6D1"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35</w:t>
            </w:r>
          </w:p>
        </w:tc>
        <w:tc>
          <w:tcPr>
            <w:tcW w:w="833" w:type="pct"/>
            <w:tcBorders>
              <w:top w:val="nil"/>
              <w:left w:val="nil"/>
              <w:bottom w:val="single" w:sz="4" w:space="0" w:color="auto"/>
              <w:right w:val="single" w:sz="4" w:space="0" w:color="auto"/>
            </w:tcBorders>
            <w:shd w:val="clear" w:color="000000" w:fill="FFFFFF"/>
            <w:noWrap/>
            <w:vAlign w:val="center"/>
            <w:hideMark/>
          </w:tcPr>
          <w:p w14:paraId="277B7526"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Fasado šiltinimas</w:t>
            </w:r>
          </w:p>
        </w:tc>
        <w:tc>
          <w:tcPr>
            <w:tcW w:w="348" w:type="pct"/>
            <w:tcBorders>
              <w:top w:val="nil"/>
              <w:left w:val="nil"/>
              <w:bottom w:val="single" w:sz="4" w:space="0" w:color="auto"/>
              <w:right w:val="single" w:sz="4" w:space="0" w:color="auto"/>
            </w:tcBorders>
            <w:shd w:val="clear" w:color="000000" w:fill="FFFFFF"/>
            <w:noWrap/>
            <w:vAlign w:val="center"/>
            <w:hideMark/>
          </w:tcPr>
          <w:p w14:paraId="464A0AFF"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2194AA76"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5F5C31D4"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126</w:t>
            </w:r>
          </w:p>
        </w:tc>
        <w:tc>
          <w:tcPr>
            <w:tcW w:w="579" w:type="pct"/>
            <w:tcBorders>
              <w:top w:val="nil"/>
              <w:left w:val="nil"/>
              <w:bottom w:val="single" w:sz="4" w:space="0" w:color="auto"/>
              <w:right w:val="single" w:sz="4" w:space="0" w:color="auto"/>
            </w:tcBorders>
            <w:shd w:val="clear" w:color="000000" w:fill="FFFFFF"/>
            <w:noWrap/>
            <w:vAlign w:val="center"/>
            <w:hideMark/>
          </w:tcPr>
          <w:p w14:paraId="6EF07E5C"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580" w:type="pct"/>
            <w:tcBorders>
              <w:top w:val="nil"/>
              <w:left w:val="nil"/>
              <w:bottom w:val="single" w:sz="4" w:space="0" w:color="auto"/>
              <w:right w:val="single" w:sz="4" w:space="0" w:color="auto"/>
            </w:tcBorders>
            <w:shd w:val="clear" w:color="000000" w:fill="FFFFFF"/>
            <w:noWrap/>
            <w:vAlign w:val="center"/>
            <w:hideMark/>
          </w:tcPr>
          <w:p w14:paraId="1B2C824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69</w:t>
            </w:r>
          </w:p>
        </w:tc>
        <w:tc>
          <w:tcPr>
            <w:tcW w:w="696" w:type="pct"/>
            <w:tcBorders>
              <w:top w:val="nil"/>
              <w:left w:val="nil"/>
              <w:bottom w:val="single" w:sz="4" w:space="0" w:color="auto"/>
              <w:right w:val="single" w:sz="4" w:space="0" w:color="auto"/>
            </w:tcBorders>
            <w:shd w:val="clear" w:color="000000" w:fill="FFFFFF"/>
            <w:noWrap/>
            <w:vAlign w:val="center"/>
            <w:hideMark/>
          </w:tcPr>
          <w:p w14:paraId="158F15E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c>
          <w:tcPr>
            <w:tcW w:w="761" w:type="pct"/>
            <w:tcBorders>
              <w:top w:val="nil"/>
              <w:left w:val="nil"/>
              <w:bottom w:val="single" w:sz="4" w:space="0" w:color="auto"/>
              <w:right w:val="single" w:sz="4" w:space="0" w:color="auto"/>
            </w:tcBorders>
            <w:shd w:val="clear" w:color="000000" w:fill="FFFFFF"/>
            <w:noWrap/>
            <w:vAlign w:val="center"/>
            <w:hideMark/>
          </w:tcPr>
          <w:p w14:paraId="2D47B0D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99</w:t>
            </w:r>
          </w:p>
        </w:tc>
      </w:tr>
      <w:tr w:rsidR="004446CD" w:rsidRPr="00650EE4" w14:paraId="41A25A57"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68F580D8"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36</w:t>
            </w:r>
          </w:p>
        </w:tc>
        <w:tc>
          <w:tcPr>
            <w:tcW w:w="833" w:type="pct"/>
            <w:tcBorders>
              <w:top w:val="nil"/>
              <w:left w:val="nil"/>
              <w:bottom w:val="single" w:sz="4" w:space="0" w:color="auto"/>
              <w:right w:val="single" w:sz="4" w:space="0" w:color="auto"/>
            </w:tcBorders>
            <w:shd w:val="clear" w:color="000000" w:fill="FFFFFF"/>
            <w:noWrap/>
            <w:vAlign w:val="center"/>
            <w:hideMark/>
          </w:tcPr>
          <w:p w14:paraId="2D5CBE27"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Stogo perdangos šiltinimas</w:t>
            </w:r>
          </w:p>
        </w:tc>
        <w:tc>
          <w:tcPr>
            <w:tcW w:w="348" w:type="pct"/>
            <w:tcBorders>
              <w:top w:val="nil"/>
              <w:left w:val="nil"/>
              <w:bottom w:val="single" w:sz="4" w:space="0" w:color="auto"/>
              <w:right w:val="single" w:sz="4" w:space="0" w:color="auto"/>
            </w:tcBorders>
            <w:shd w:val="clear" w:color="000000" w:fill="FFFFFF"/>
            <w:noWrap/>
            <w:vAlign w:val="center"/>
            <w:hideMark/>
          </w:tcPr>
          <w:p w14:paraId="59F7B64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0F18D96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4757FCF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56</w:t>
            </w:r>
          </w:p>
        </w:tc>
        <w:tc>
          <w:tcPr>
            <w:tcW w:w="579" w:type="pct"/>
            <w:tcBorders>
              <w:top w:val="nil"/>
              <w:left w:val="nil"/>
              <w:bottom w:val="single" w:sz="4" w:space="0" w:color="auto"/>
              <w:right w:val="single" w:sz="4" w:space="0" w:color="auto"/>
            </w:tcBorders>
            <w:shd w:val="clear" w:color="000000" w:fill="FFFFFF"/>
            <w:noWrap/>
            <w:vAlign w:val="center"/>
            <w:hideMark/>
          </w:tcPr>
          <w:p w14:paraId="15902EFA"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580" w:type="pct"/>
            <w:tcBorders>
              <w:top w:val="nil"/>
              <w:left w:val="nil"/>
              <w:bottom w:val="single" w:sz="4" w:space="0" w:color="auto"/>
              <w:right w:val="single" w:sz="4" w:space="0" w:color="auto"/>
            </w:tcBorders>
            <w:shd w:val="clear" w:color="000000" w:fill="FFFFFF"/>
            <w:noWrap/>
            <w:vAlign w:val="center"/>
            <w:hideMark/>
          </w:tcPr>
          <w:p w14:paraId="5766FCD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16</w:t>
            </w:r>
          </w:p>
        </w:tc>
        <w:tc>
          <w:tcPr>
            <w:tcW w:w="696" w:type="pct"/>
            <w:tcBorders>
              <w:top w:val="nil"/>
              <w:left w:val="nil"/>
              <w:bottom w:val="single" w:sz="4" w:space="0" w:color="auto"/>
              <w:right w:val="single" w:sz="4" w:space="0" w:color="auto"/>
            </w:tcBorders>
            <w:shd w:val="clear" w:color="000000" w:fill="FFFFFF"/>
            <w:noWrap/>
            <w:vAlign w:val="center"/>
            <w:hideMark/>
          </w:tcPr>
          <w:p w14:paraId="24FEC40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c>
          <w:tcPr>
            <w:tcW w:w="761" w:type="pct"/>
            <w:tcBorders>
              <w:top w:val="nil"/>
              <w:left w:val="nil"/>
              <w:bottom w:val="single" w:sz="4" w:space="0" w:color="auto"/>
              <w:right w:val="single" w:sz="4" w:space="0" w:color="auto"/>
            </w:tcBorders>
            <w:shd w:val="clear" w:color="000000" w:fill="FFFFFF"/>
            <w:noWrap/>
            <w:vAlign w:val="center"/>
            <w:hideMark/>
          </w:tcPr>
          <w:p w14:paraId="5CB25CE3"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25</w:t>
            </w:r>
          </w:p>
        </w:tc>
      </w:tr>
      <w:tr w:rsidR="004446CD" w:rsidRPr="00650EE4" w14:paraId="79F83624" w14:textId="77777777" w:rsidTr="001E13DD">
        <w:trPr>
          <w:trHeight w:val="204"/>
        </w:trPr>
        <w:tc>
          <w:tcPr>
            <w:tcW w:w="276" w:type="pct"/>
            <w:tcBorders>
              <w:top w:val="nil"/>
              <w:left w:val="single" w:sz="4" w:space="0" w:color="auto"/>
              <w:bottom w:val="single" w:sz="4" w:space="0" w:color="auto"/>
              <w:right w:val="single" w:sz="4" w:space="0" w:color="auto"/>
            </w:tcBorders>
            <w:shd w:val="clear" w:color="000000" w:fill="FFFFFF"/>
            <w:noWrap/>
            <w:vAlign w:val="center"/>
            <w:hideMark/>
          </w:tcPr>
          <w:p w14:paraId="0C708856" w14:textId="77777777" w:rsidR="004446CD" w:rsidRPr="00650EE4" w:rsidRDefault="004446CD" w:rsidP="001E13DD">
            <w:pPr>
              <w:spacing w:line="240" w:lineRule="auto"/>
              <w:jc w:val="right"/>
              <w:rPr>
                <w:rFonts w:ascii="Times New Roman" w:eastAsia="Times New Roman" w:hAnsi="Times New Roman"/>
                <w:sz w:val="20"/>
                <w:szCs w:val="20"/>
              </w:rPr>
            </w:pPr>
            <w:r w:rsidRPr="00650EE4">
              <w:rPr>
                <w:rFonts w:ascii="Times New Roman" w:eastAsia="Times New Roman" w:hAnsi="Times New Roman"/>
                <w:sz w:val="20"/>
                <w:szCs w:val="20"/>
              </w:rPr>
              <w:t>37</w:t>
            </w:r>
          </w:p>
        </w:tc>
        <w:tc>
          <w:tcPr>
            <w:tcW w:w="833" w:type="pct"/>
            <w:tcBorders>
              <w:top w:val="nil"/>
              <w:left w:val="nil"/>
              <w:bottom w:val="single" w:sz="4" w:space="0" w:color="auto"/>
              <w:right w:val="single" w:sz="4" w:space="0" w:color="auto"/>
            </w:tcBorders>
            <w:shd w:val="clear" w:color="000000" w:fill="FFFFFF"/>
            <w:noWrap/>
            <w:vAlign w:val="center"/>
            <w:hideMark/>
          </w:tcPr>
          <w:p w14:paraId="542AFEB8" w14:textId="77777777" w:rsidR="004446CD" w:rsidRPr="00650EE4" w:rsidRDefault="004446CD" w:rsidP="001E13DD">
            <w:pPr>
              <w:spacing w:line="240" w:lineRule="auto"/>
              <w:rPr>
                <w:rFonts w:ascii="Times New Roman" w:eastAsia="Times New Roman" w:hAnsi="Times New Roman"/>
                <w:sz w:val="20"/>
                <w:szCs w:val="20"/>
              </w:rPr>
            </w:pPr>
            <w:r w:rsidRPr="00650EE4">
              <w:rPr>
                <w:rFonts w:ascii="Times New Roman" w:eastAsia="Times New Roman" w:hAnsi="Times New Roman"/>
                <w:sz w:val="20"/>
                <w:szCs w:val="20"/>
              </w:rPr>
              <w:t>Langų keitimas</w:t>
            </w:r>
          </w:p>
        </w:tc>
        <w:tc>
          <w:tcPr>
            <w:tcW w:w="348" w:type="pct"/>
            <w:tcBorders>
              <w:top w:val="nil"/>
              <w:left w:val="nil"/>
              <w:bottom w:val="single" w:sz="4" w:space="0" w:color="auto"/>
              <w:right w:val="single" w:sz="4" w:space="0" w:color="auto"/>
            </w:tcBorders>
            <w:shd w:val="clear" w:color="000000" w:fill="FFFFFF"/>
            <w:noWrap/>
            <w:vAlign w:val="center"/>
            <w:hideMark/>
          </w:tcPr>
          <w:p w14:paraId="107AAA85"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≤D</w:t>
            </w:r>
          </w:p>
        </w:tc>
        <w:tc>
          <w:tcPr>
            <w:tcW w:w="348" w:type="pct"/>
            <w:tcBorders>
              <w:top w:val="nil"/>
              <w:left w:val="nil"/>
              <w:bottom w:val="single" w:sz="4" w:space="0" w:color="auto"/>
              <w:right w:val="single" w:sz="4" w:space="0" w:color="auto"/>
            </w:tcBorders>
            <w:shd w:val="clear" w:color="000000" w:fill="FFFFFF"/>
            <w:noWrap/>
            <w:vAlign w:val="center"/>
            <w:hideMark/>
          </w:tcPr>
          <w:p w14:paraId="4CEC6358"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w:t>
            </w:r>
          </w:p>
        </w:tc>
        <w:tc>
          <w:tcPr>
            <w:tcW w:w="579" w:type="pct"/>
            <w:tcBorders>
              <w:top w:val="nil"/>
              <w:left w:val="nil"/>
              <w:bottom w:val="single" w:sz="4" w:space="0" w:color="auto"/>
              <w:right w:val="single" w:sz="4" w:space="0" w:color="auto"/>
            </w:tcBorders>
            <w:shd w:val="clear" w:color="000000" w:fill="FFFFFF"/>
            <w:noWrap/>
            <w:vAlign w:val="center"/>
            <w:hideMark/>
          </w:tcPr>
          <w:p w14:paraId="23ABF532"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63</w:t>
            </w:r>
          </w:p>
        </w:tc>
        <w:tc>
          <w:tcPr>
            <w:tcW w:w="579" w:type="pct"/>
            <w:tcBorders>
              <w:top w:val="nil"/>
              <w:left w:val="nil"/>
              <w:bottom w:val="single" w:sz="4" w:space="0" w:color="auto"/>
              <w:right w:val="single" w:sz="4" w:space="0" w:color="auto"/>
            </w:tcBorders>
            <w:shd w:val="clear" w:color="000000" w:fill="FFFFFF"/>
            <w:noWrap/>
            <w:vAlign w:val="center"/>
            <w:hideMark/>
          </w:tcPr>
          <w:p w14:paraId="16EA4AEB"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580" w:type="pct"/>
            <w:tcBorders>
              <w:top w:val="nil"/>
              <w:left w:val="nil"/>
              <w:bottom w:val="single" w:sz="4" w:space="0" w:color="auto"/>
              <w:right w:val="single" w:sz="4" w:space="0" w:color="auto"/>
            </w:tcBorders>
            <w:shd w:val="clear" w:color="000000" w:fill="FFFFFF"/>
            <w:noWrap/>
            <w:vAlign w:val="center"/>
            <w:hideMark/>
          </w:tcPr>
          <w:p w14:paraId="3548E559"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51</w:t>
            </w:r>
          </w:p>
        </w:tc>
        <w:tc>
          <w:tcPr>
            <w:tcW w:w="696" w:type="pct"/>
            <w:tcBorders>
              <w:top w:val="nil"/>
              <w:left w:val="nil"/>
              <w:bottom w:val="single" w:sz="4" w:space="0" w:color="auto"/>
              <w:right w:val="single" w:sz="4" w:space="0" w:color="auto"/>
            </w:tcBorders>
            <w:shd w:val="clear" w:color="000000" w:fill="FFFFFF"/>
            <w:noWrap/>
            <w:vAlign w:val="center"/>
            <w:hideMark/>
          </w:tcPr>
          <w:p w14:paraId="48936837"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c>
          <w:tcPr>
            <w:tcW w:w="761" w:type="pct"/>
            <w:tcBorders>
              <w:top w:val="nil"/>
              <w:left w:val="nil"/>
              <w:bottom w:val="single" w:sz="4" w:space="0" w:color="auto"/>
              <w:right w:val="single" w:sz="4" w:space="0" w:color="auto"/>
            </w:tcBorders>
            <w:shd w:val="clear" w:color="000000" w:fill="FFFFFF"/>
            <w:noWrap/>
            <w:vAlign w:val="center"/>
            <w:hideMark/>
          </w:tcPr>
          <w:p w14:paraId="5A11DA80" w14:textId="77777777" w:rsidR="004446CD" w:rsidRPr="00650EE4" w:rsidRDefault="004446CD" w:rsidP="001E13DD">
            <w:pPr>
              <w:spacing w:line="240" w:lineRule="auto"/>
              <w:jc w:val="center"/>
              <w:rPr>
                <w:rFonts w:ascii="Times New Roman" w:eastAsia="Times New Roman" w:hAnsi="Times New Roman"/>
                <w:sz w:val="20"/>
                <w:szCs w:val="20"/>
              </w:rPr>
            </w:pPr>
            <w:r w:rsidRPr="00650EE4">
              <w:rPr>
                <w:rFonts w:ascii="Times New Roman" w:eastAsia="Times New Roman" w:hAnsi="Times New Roman"/>
                <w:sz w:val="20"/>
                <w:szCs w:val="20"/>
              </w:rPr>
              <w:t>53</w:t>
            </w:r>
          </w:p>
        </w:tc>
      </w:tr>
    </w:tbl>
    <w:p w14:paraId="3DBDE19F" w14:textId="50D63B98" w:rsidR="00FC56AA" w:rsidRPr="00650EE4" w:rsidRDefault="00FC56AA" w:rsidP="00FC56AA">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A12E7D">
        <w:rPr>
          <w:rFonts w:ascii="Times New Roman" w:hAnsi="Times New Roman"/>
          <w:i/>
          <w:iCs/>
          <w:color w:val="auto"/>
          <w:sz w:val="20"/>
          <w:szCs w:val="20"/>
        </w:rPr>
        <w:t>Lietuvos ilgalaikei renovacijos strategijai parengti</w:t>
      </w:r>
      <w:r w:rsidR="00A12E7D"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38AF4083" w14:textId="461B2389" w:rsidR="00EA563E" w:rsidRPr="00650EE4" w:rsidRDefault="00EA563E" w:rsidP="00EA563E">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94" w:name="_Toc59107525"/>
      <w:r w:rsidRPr="00650EE4">
        <w:rPr>
          <w:rFonts w:ascii="Times New Roman" w:hAnsi="Times New Roman"/>
          <w:color w:val="auto"/>
          <w:sz w:val="24"/>
          <w:szCs w:val="24"/>
          <w:lang w:val="lt-LT"/>
        </w:rPr>
        <w:t>Energijos ir CO</w:t>
      </w:r>
      <w:r w:rsidRPr="00650EE4">
        <w:rPr>
          <w:rFonts w:ascii="Times New Roman" w:hAnsi="Times New Roman"/>
          <w:color w:val="auto"/>
          <w:sz w:val="24"/>
          <w:szCs w:val="24"/>
          <w:vertAlign w:val="subscript"/>
          <w:lang w:val="lt-LT"/>
        </w:rPr>
        <w:t>2</w:t>
      </w:r>
      <w:r w:rsidRPr="00650EE4">
        <w:rPr>
          <w:rFonts w:ascii="Times New Roman" w:hAnsi="Times New Roman"/>
          <w:color w:val="auto"/>
          <w:sz w:val="24"/>
          <w:szCs w:val="24"/>
          <w:lang w:val="lt-LT"/>
        </w:rPr>
        <w:t xml:space="preserve"> sutaupymų nustatymas</w:t>
      </w:r>
      <w:bookmarkEnd w:id="94"/>
    </w:p>
    <w:p w14:paraId="26AF6392" w14:textId="77777777" w:rsidR="00DC1760" w:rsidRPr="00650EE4" w:rsidRDefault="00DC1760" w:rsidP="00DC1760">
      <w:pPr>
        <w:spacing w:after="120"/>
        <w:rPr>
          <w:rFonts w:ascii="Times New Roman" w:hAnsi="Times New Roman"/>
          <w:lang w:eastAsia="lt-LT"/>
        </w:rPr>
      </w:pPr>
      <w:r w:rsidRPr="00650EE4">
        <w:rPr>
          <w:rFonts w:ascii="Times New Roman" w:hAnsi="Times New Roman"/>
          <w:lang w:eastAsia="lt-LT"/>
        </w:rPr>
        <w:t>Renovacijos priemonių energijos sutaupymus sudaro:</w:t>
      </w:r>
    </w:p>
    <w:p w14:paraId="318B93D5" w14:textId="29080B17" w:rsidR="00DC1760" w:rsidRPr="00650EE4" w:rsidRDefault="00F73F9C" w:rsidP="00BD4925">
      <w:pPr>
        <w:pStyle w:val="BodyText"/>
        <w:numPr>
          <w:ilvl w:val="0"/>
          <w:numId w:val="31"/>
        </w:numPr>
        <w:spacing w:after="60"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e</w:t>
      </w:r>
      <w:r w:rsidR="00DC1760" w:rsidRPr="00650EE4">
        <w:rPr>
          <w:rFonts w:ascii="Times New Roman" w:hAnsi="Times New Roman"/>
          <w:color w:val="000000" w:themeColor="text1"/>
          <w:szCs w:val="22"/>
          <w:lang w:val="lt-LT"/>
        </w:rPr>
        <w:t>nerginio efektyvumo priemonių pasiektas šiluminės ir elektros energijos vartojimo sumažėjimas ir jį atitinkantis CO</w:t>
      </w:r>
      <w:r w:rsidR="00DC1760" w:rsidRPr="00650EE4">
        <w:rPr>
          <w:rFonts w:ascii="Times New Roman" w:hAnsi="Times New Roman"/>
          <w:color w:val="000000" w:themeColor="text1"/>
          <w:szCs w:val="22"/>
          <w:vertAlign w:val="subscript"/>
          <w:lang w:val="lt-LT"/>
        </w:rPr>
        <w:t>2</w:t>
      </w:r>
      <w:r>
        <w:rPr>
          <w:rFonts w:ascii="Times New Roman" w:hAnsi="Times New Roman"/>
          <w:color w:val="000000" w:themeColor="text1"/>
          <w:szCs w:val="22"/>
          <w:lang w:val="lt-LT"/>
        </w:rPr>
        <w:t xml:space="preserve"> emisijų sumažėjimas;</w:t>
      </w:r>
    </w:p>
    <w:p w14:paraId="52B32A45" w14:textId="340B9920" w:rsidR="00DC1760" w:rsidRPr="00650EE4" w:rsidRDefault="00F73F9C" w:rsidP="00BD4925">
      <w:pPr>
        <w:pStyle w:val="BodyText"/>
        <w:numPr>
          <w:ilvl w:val="0"/>
          <w:numId w:val="31"/>
        </w:numPr>
        <w:spacing w:line="240" w:lineRule="auto"/>
        <w:rPr>
          <w:rFonts w:ascii="Times New Roman" w:hAnsi="Times New Roman"/>
          <w:color w:val="000000" w:themeColor="text1"/>
          <w:szCs w:val="22"/>
          <w:lang w:val="lt-LT"/>
        </w:rPr>
      </w:pPr>
      <w:r>
        <w:rPr>
          <w:rFonts w:ascii="Times New Roman" w:hAnsi="Times New Roman"/>
          <w:color w:val="000000" w:themeColor="text1"/>
          <w:szCs w:val="22"/>
          <w:lang w:val="lt-LT"/>
        </w:rPr>
        <w:t>a</w:t>
      </w:r>
      <w:r w:rsidR="00DC1760" w:rsidRPr="00650EE4">
        <w:rPr>
          <w:rFonts w:ascii="Times New Roman" w:hAnsi="Times New Roman"/>
          <w:color w:val="000000" w:themeColor="text1"/>
          <w:szCs w:val="22"/>
          <w:lang w:val="lt-LT"/>
        </w:rPr>
        <w:t>tsinaujinančių energijos išteklių priemonių pasiektas energijos gamybos šaltinio pokytis ir jį atitinkantis pirminės energijos vartojimo sumažėjimas bei CO</w:t>
      </w:r>
      <w:r w:rsidR="00DC1760" w:rsidRPr="00650EE4">
        <w:rPr>
          <w:rFonts w:ascii="Times New Roman" w:hAnsi="Times New Roman"/>
          <w:color w:val="000000" w:themeColor="text1"/>
          <w:szCs w:val="22"/>
          <w:vertAlign w:val="subscript"/>
          <w:lang w:val="lt-LT"/>
        </w:rPr>
        <w:t>2</w:t>
      </w:r>
      <w:r w:rsidR="00DC1760" w:rsidRPr="00650EE4">
        <w:rPr>
          <w:rFonts w:ascii="Times New Roman" w:hAnsi="Times New Roman"/>
          <w:color w:val="000000" w:themeColor="text1"/>
          <w:szCs w:val="22"/>
          <w:lang w:val="lt-LT"/>
        </w:rPr>
        <w:t xml:space="preserve"> emisijų sumažėjimas.</w:t>
      </w:r>
    </w:p>
    <w:p w14:paraId="094BB479" w14:textId="77777777" w:rsidR="00B62276" w:rsidRPr="00650EE4" w:rsidRDefault="00B62276" w:rsidP="00B62276">
      <w:pPr>
        <w:pStyle w:val="BodyText"/>
        <w:spacing w:line="240" w:lineRule="auto"/>
        <w:rPr>
          <w:rFonts w:ascii="Times New Roman" w:hAnsi="Times New Roman"/>
          <w:color w:val="000000" w:themeColor="text1"/>
          <w:szCs w:val="22"/>
          <w:lang w:val="lt-LT"/>
        </w:rPr>
      </w:pPr>
    </w:p>
    <w:p w14:paraId="38574127" w14:textId="77777777" w:rsidR="00B62276" w:rsidRPr="00650EE4" w:rsidRDefault="00B62276" w:rsidP="00B62276">
      <w:pPr>
        <w:pStyle w:val="BodyText"/>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Renovacijos priemonių pasiektų energijos sutaupymų vertė apskaičiuota šiais etapais:</w:t>
      </w:r>
    </w:p>
    <w:p w14:paraId="066B3BAE" w14:textId="77777777" w:rsidR="00B62276" w:rsidRPr="00650EE4" w:rsidRDefault="00B62276" w:rsidP="00BD4925">
      <w:pPr>
        <w:pStyle w:val="BodyText"/>
        <w:numPr>
          <w:ilvl w:val="0"/>
          <w:numId w:val="50"/>
        </w:numPr>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Apskaičiuotas energijos sąnaudų (</w:t>
      </w:r>
      <w:proofErr w:type="spellStart"/>
      <w:r w:rsidRPr="00650EE4">
        <w:rPr>
          <w:rFonts w:ascii="Times New Roman" w:hAnsi="Times New Roman"/>
          <w:color w:val="000000" w:themeColor="text1"/>
          <w:szCs w:val="22"/>
          <w:lang w:val="lt-LT"/>
        </w:rPr>
        <w:t>kWh</w:t>
      </w:r>
      <w:proofErr w:type="spellEnd"/>
      <w:r w:rsidRPr="00650EE4">
        <w:rPr>
          <w:rFonts w:ascii="Times New Roman" w:hAnsi="Times New Roman"/>
          <w:color w:val="000000" w:themeColor="text1"/>
          <w:szCs w:val="22"/>
          <w:lang w:val="lt-LT"/>
        </w:rPr>
        <w:t>)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(kgCO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sutaupymas;</w:t>
      </w:r>
    </w:p>
    <w:p w14:paraId="5ADD32C3" w14:textId="1E1B556C"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t>a</w:t>
      </w:r>
      <w:r w:rsidR="00B62276" w:rsidRPr="00650EE4">
        <w:rPr>
          <w:rFonts w:ascii="Times New Roman" w:hAnsi="Times New Roman"/>
          <w:color w:val="000000" w:themeColor="text1"/>
          <w:szCs w:val="22"/>
          <w:lang w:val="lt-LT"/>
        </w:rPr>
        <w:t>pskaičiuoti energinio efektyvumo priemonių paketų šiluminės ir elektros energijos sutaupymai;</w:t>
      </w:r>
    </w:p>
    <w:p w14:paraId="72F157A6" w14:textId="7E6840BF"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t>a</w:t>
      </w:r>
      <w:r w:rsidR="00B62276" w:rsidRPr="00650EE4">
        <w:rPr>
          <w:rFonts w:ascii="Times New Roman" w:hAnsi="Times New Roman"/>
          <w:color w:val="000000" w:themeColor="text1"/>
          <w:szCs w:val="22"/>
          <w:lang w:val="lt-LT"/>
        </w:rPr>
        <w:t>pskaičiuoti AEI renovacijos priemonių šiluminės ir elektros energijos pokyčiai;</w:t>
      </w:r>
    </w:p>
    <w:p w14:paraId="2FBC8254" w14:textId="1C80C66B" w:rsidR="00B62276" w:rsidRPr="00650EE4" w:rsidRDefault="00F73F9C" w:rsidP="00BD4925">
      <w:pPr>
        <w:pStyle w:val="BodyText"/>
        <w:numPr>
          <w:ilvl w:val="1"/>
          <w:numId w:val="53"/>
        </w:numPr>
        <w:spacing w:after="60" w:line="240" w:lineRule="auto"/>
        <w:ind w:left="1134" w:hanging="283"/>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p</w:t>
      </w:r>
      <w:r w:rsidR="00B62276" w:rsidRPr="00650EE4">
        <w:rPr>
          <w:rFonts w:ascii="Times New Roman" w:hAnsi="Times New Roman"/>
          <w:color w:val="000000" w:themeColor="text1"/>
          <w:szCs w:val="22"/>
          <w:lang w:val="lt-LT"/>
        </w:rPr>
        <w:t>ritaikius STR 2.01.02:2016  pateikiamus faktorius apskaičiuoti pirminės energijos ir CO</w:t>
      </w:r>
      <w:r w:rsidR="00B62276" w:rsidRPr="003C65BF">
        <w:rPr>
          <w:rFonts w:ascii="Times New Roman" w:hAnsi="Times New Roman"/>
          <w:color w:val="000000" w:themeColor="text1"/>
          <w:szCs w:val="22"/>
          <w:vertAlign w:val="subscript"/>
          <w:lang w:val="lt-LT"/>
        </w:rPr>
        <w:t>2</w:t>
      </w:r>
      <w:r w:rsidR="00B62276" w:rsidRPr="00650EE4">
        <w:rPr>
          <w:rFonts w:ascii="Times New Roman" w:hAnsi="Times New Roman"/>
          <w:color w:val="000000" w:themeColor="text1"/>
          <w:szCs w:val="22"/>
          <w:lang w:val="lt-LT"/>
        </w:rPr>
        <w:t xml:space="preserve"> emisijų sutaupymai.</w:t>
      </w:r>
    </w:p>
    <w:p w14:paraId="6DE09047" w14:textId="1348AF85" w:rsidR="00B62276" w:rsidRPr="00650EE4" w:rsidRDefault="00B62276" w:rsidP="00BD4925">
      <w:pPr>
        <w:pStyle w:val="BodyText"/>
        <w:numPr>
          <w:ilvl w:val="0"/>
          <w:numId w:val="50"/>
        </w:numPr>
        <w:spacing w:after="12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Nustatytos energijos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kainos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w:t>
      </w:r>
      <w:proofErr w:type="spellStart"/>
      <w:r w:rsidRPr="00650EE4">
        <w:rPr>
          <w:rFonts w:ascii="Times New Roman" w:hAnsi="Times New Roman"/>
          <w:color w:val="000000" w:themeColor="text1"/>
          <w:szCs w:val="22"/>
          <w:lang w:val="lt-LT"/>
        </w:rPr>
        <w:t>MWh</w:t>
      </w:r>
      <w:proofErr w:type="spellEnd"/>
      <w:r w:rsidRPr="00650EE4">
        <w:rPr>
          <w:rFonts w:ascii="Times New Roman" w:hAnsi="Times New Roman"/>
          <w:color w:val="000000" w:themeColor="text1"/>
          <w:szCs w:val="22"/>
          <w:lang w:val="lt-LT"/>
        </w:rPr>
        <w:t xml:space="preserve"> ir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tC0</w:t>
      </w:r>
      <w:r w:rsidRPr="00650EE4">
        <w:rPr>
          <w:rFonts w:ascii="Times New Roman" w:hAnsi="Times New Roman"/>
          <w:color w:val="000000" w:themeColor="text1"/>
          <w:szCs w:val="22"/>
          <w:vertAlign w:val="subscript"/>
          <w:lang w:val="lt-LT"/>
        </w:rPr>
        <w:t>2</w:t>
      </w:r>
      <w:r w:rsidRPr="00650EE4">
        <w:rPr>
          <w:rFonts w:ascii="Times New Roman" w:hAnsi="Times New Roman"/>
          <w:lang w:val="lt-LT" w:eastAsia="lt-LT"/>
        </w:rPr>
        <w:t>)</w:t>
      </w:r>
      <w:r w:rsidR="00F73F9C">
        <w:rPr>
          <w:rFonts w:ascii="Times New Roman" w:hAnsi="Times New Roman"/>
          <w:lang w:val="lt-LT" w:eastAsia="lt-LT"/>
        </w:rPr>
        <w:t>.</w:t>
      </w:r>
    </w:p>
    <w:p w14:paraId="0467ADCF" w14:textId="3E1DC486" w:rsidR="001115ED" w:rsidRDefault="00B62276" w:rsidP="00BD4925">
      <w:pPr>
        <w:pStyle w:val="BodyText"/>
        <w:numPr>
          <w:ilvl w:val="0"/>
          <w:numId w:val="50"/>
        </w:numPr>
        <w:spacing w:after="60"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Apskaičiuota pirminės energijos sutaupymų vertė (1 x 2). </w:t>
      </w:r>
    </w:p>
    <w:p w14:paraId="170920E0" w14:textId="77777777" w:rsidR="00F73F9C" w:rsidRPr="00F73F9C" w:rsidRDefault="00F73F9C" w:rsidP="00F73F9C">
      <w:pPr>
        <w:pStyle w:val="BodyText"/>
        <w:spacing w:after="60" w:line="240" w:lineRule="auto"/>
        <w:rPr>
          <w:rFonts w:ascii="Times New Roman" w:hAnsi="Times New Roman"/>
          <w:color w:val="000000" w:themeColor="text1"/>
          <w:sz w:val="16"/>
          <w:szCs w:val="22"/>
          <w:lang w:val="lt-LT"/>
        </w:rPr>
      </w:pPr>
    </w:p>
    <w:p w14:paraId="7AB5A87F" w14:textId="418EC8BD" w:rsidR="0064426D" w:rsidRPr="00650EE4" w:rsidRDefault="001F01CD" w:rsidP="005B5705">
      <w:pPr>
        <w:pStyle w:val="Antrastes31"/>
        <w:numPr>
          <w:ilvl w:val="2"/>
          <w:numId w:val="4"/>
        </w:numPr>
        <w:spacing w:before="0"/>
        <w:ind w:left="720" w:hanging="720"/>
        <w:rPr>
          <w:rFonts w:ascii="Times New Roman" w:hAnsi="Times New Roman"/>
          <w:color w:val="000000" w:themeColor="text1"/>
          <w:sz w:val="24"/>
          <w:szCs w:val="24"/>
          <w:lang w:val="lt-LT"/>
        </w:rPr>
      </w:pPr>
      <w:bookmarkStart w:id="95" w:name="_Toc59107526"/>
      <w:r w:rsidRPr="00650EE4">
        <w:rPr>
          <w:rFonts w:ascii="Times New Roman" w:hAnsi="Times New Roman"/>
          <w:color w:val="000000" w:themeColor="text1"/>
          <w:sz w:val="24"/>
          <w:szCs w:val="24"/>
          <w:lang w:val="lt-LT"/>
        </w:rPr>
        <w:t>Pirminės e</w:t>
      </w:r>
      <w:r w:rsidR="006A470E" w:rsidRPr="00650EE4">
        <w:rPr>
          <w:rFonts w:ascii="Times New Roman" w:hAnsi="Times New Roman"/>
          <w:color w:val="000000" w:themeColor="text1"/>
          <w:sz w:val="24"/>
          <w:szCs w:val="24"/>
          <w:lang w:val="lt-LT"/>
        </w:rPr>
        <w:t>nergijos sutaupymai</w:t>
      </w:r>
      <w:bookmarkEnd w:id="95"/>
    </w:p>
    <w:p w14:paraId="2AD1F4F4" w14:textId="3EA18435" w:rsidR="00B62276" w:rsidRPr="00650EE4" w:rsidRDefault="00B62276" w:rsidP="00B62276">
      <w:pPr>
        <w:pStyle w:val="BodyText"/>
        <w:jc w:val="both"/>
        <w:rPr>
          <w:rFonts w:ascii="Times New Roman" w:hAnsi="Times New Roman"/>
          <w:color w:val="000000" w:themeColor="text1"/>
          <w:szCs w:val="22"/>
          <w:lang w:val="lt-LT"/>
        </w:rPr>
      </w:pPr>
      <w:r w:rsidRPr="00650EE4">
        <w:rPr>
          <w:rFonts w:ascii="Times New Roman" w:hAnsi="Times New Roman"/>
          <w:szCs w:val="22"/>
          <w:lang w:val="lt-LT" w:eastAsia="lt-LT"/>
        </w:rPr>
        <w:t xml:space="preserve">Pirminės energijos sutaupymai apskaičiuoti </w:t>
      </w:r>
      <w:r w:rsidR="00426B27" w:rsidRPr="00650EE4">
        <w:rPr>
          <w:rFonts w:ascii="Times New Roman" w:hAnsi="Times New Roman"/>
          <w:szCs w:val="22"/>
          <w:lang w:val="lt-LT" w:eastAsia="lt-LT"/>
        </w:rPr>
        <w:t>atsižvelgiant į</w:t>
      </w:r>
      <w:r w:rsidRPr="00650EE4">
        <w:rPr>
          <w:rFonts w:ascii="Times New Roman" w:hAnsi="Times New Roman"/>
          <w:color w:val="000000" w:themeColor="text1"/>
          <w:szCs w:val="22"/>
          <w:lang w:val="lt-LT"/>
        </w:rPr>
        <w:t>:</w:t>
      </w:r>
    </w:p>
    <w:p w14:paraId="53AEFDB2" w14:textId="14FA7E2A" w:rsidR="00B62276" w:rsidRPr="00650EE4" w:rsidRDefault="00F73F9C" w:rsidP="00B62276">
      <w:pPr>
        <w:pStyle w:val="Pagrindinispaprastastekstas"/>
        <w:numPr>
          <w:ilvl w:val="0"/>
          <w:numId w:val="10"/>
        </w:numPr>
        <w:spacing w:before="120" w:after="60"/>
        <w:ind w:left="714" w:hanging="357"/>
        <w:rPr>
          <w:rFonts w:ascii="Times New Roman" w:hAnsi="Times New Roman"/>
          <w:color w:val="000000" w:themeColor="text1"/>
          <w:szCs w:val="22"/>
        </w:rPr>
      </w:pPr>
      <w:r>
        <w:rPr>
          <w:rFonts w:ascii="Times New Roman" w:hAnsi="Times New Roman"/>
          <w:color w:val="000000" w:themeColor="text1"/>
          <w:szCs w:val="22"/>
        </w:rPr>
        <w:t>e</w:t>
      </w:r>
      <w:r w:rsidR="00B62276" w:rsidRPr="00650EE4">
        <w:rPr>
          <w:rFonts w:ascii="Times New Roman" w:hAnsi="Times New Roman"/>
          <w:color w:val="000000" w:themeColor="text1"/>
          <w:szCs w:val="22"/>
        </w:rPr>
        <w:t xml:space="preserve">nerginio efektyvumo ir </w:t>
      </w:r>
      <w:r w:rsidR="00426B27" w:rsidRPr="00650EE4">
        <w:rPr>
          <w:rFonts w:ascii="Times New Roman" w:hAnsi="Times New Roman"/>
          <w:color w:val="000000" w:themeColor="text1"/>
          <w:szCs w:val="22"/>
        </w:rPr>
        <w:t>AEI priemonių pasiektą</w:t>
      </w:r>
      <w:r w:rsidR="00B62276" w:rsidRPr="00650EE4">
        <w:rPr>
          <w:rFonts w:ascii="Times New Roman" w:hAnsi="Times New Roman"/>
          <w:color w:val="000000" w:themeColor="text1"/>
          <w:szCs w:val="22"/>
        </w:rPr>
        <w:t xml:space="preserve"> šiluminės ir elektros energijos vartojimo </w:t>
      </w:r>
      <w:r w:rsidR="00426B27" w:rsidRPr="00650EE4">
        <w:rPr>
          <w:rFonts w:ascii="Times New Roman" w:hAnsi="Times New Roman"/>
          <w:color w:val="000000" w:themeColor="text1"/>
          <w:szCs w:val="22"/>
        </w:rPr>
        <w:t>pokytį</w:t>
      </w:r>
      <w:r>
        <w:rPr>
          <w:rFonts w:ascii="Times New Roman" w:hAnsi="Times New Roman"/>
          <w:color w:val="000000" w:themeColor="text1"/>
          <w:szCs w:val="22"/>
        </w:rPr>
        <w:t>;</w:t>
      </w:r>
    </w:p>
    <w:p w14:paraId="7B477352" w14:textId="2F13F3D6" w:rsidR="00B62276" w:rsidRPr="00650EE4" w:rsidRDefault="00F73F9C" w:rsidP="00426B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62276" w:rsidRPr="00650EE4">
        <w:rPr>
          <w:rFonts w:ascii="Times New Roman" w:hAnsi="Times New Roman"/>
          <w:color w:val="000000" w:themeColor="text1"/>
          <w:szCs w:val="22"/>
        </w:rPr>
        <w:t xml:space="preserve">irminį energijos </w:t>
      </w:r>
      <w:r w:rsidR="000543F9" w:rsidRPr="00650EE4">
        <w:rPr>
          <w:rFonts w:ascii="Times New Roman" w:hAnsi="Times New Roman"/>
          <w:color w:val="000000" w:themeColor="text1"/>
          <w:szCs w:val="22"/>
        </w:rPr>
        <w:t xml:space="preserve">gamybos </w:t>
      </w:r>
      <w:r w:rsidR="00B62276" w:rsidRPr="00650EE4">
        <w:rPr>
          <w:rFonts w:ascii="Times New Roman" w:hAnsi="Times New Roman"/>
          <w:color w:val="000000" w:themeColor="text1"/>
          <w:szCs w:val="22"/>
        </w:rPr>
        <w:t xml:space="preserve">šaltinį (kuro rūšį) t.y. Pastatų fondo energijos gamybos struktūrą (žr. </w:t>
      </w:r>
      <w:r w:rsidR="004479AB">
        <w:rPr>
          <w:rFonts w:ascii="Times New Roman" w:hAnsi="Times New Roman"/>
          <w:color w:val="000000" w:themeColor="text1"/>
          <w:szCs w:val="22"/>
          <w:lang w:val="en-GB"/>
        </w:rPr>
        <w:t>1</w:t>
      </w:r>
      <w:r w:rsidR="00B62276" w:rsidRPr="00650EE4">
        <w:rPr>
          <w:rFonts w:ascii="Times New Roman" w:hAnsi="Times New Roman"/>
          <w:color w:val="000000" w:themeColor="text1"/>
          <w:szCs w:val="22"/>
        </w:rPr>
        <w:t>.2.5 skyrių);</w:t>
      </w:r>
    </w:p>
    <w:p w14:paraId="7F2012F0" w14:textId="232AF285" w:rsidR="00B62276" w:rsidRPr="00650EE4" w:rsidRDefault="00F73F9C" w:rsidP="00426B27">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B62276" w:rsidRPr="00650EE4">
        <w:rPr>
          <w:rFonts w:ascii="Times New Roman" w:hAnsi="Times New Roman"/>
          <w:color w:val="000000" w:themeColor="text1"/>
          <w:szCs w:val="22"/>
        </w:rPr>
        <w:t xml:space="preserve">irminės energijos faktorius (žr. </w:t>
      </w:r>
      <w:r w:rsidR="004479AB">
        <w:rPr>
          <w:rFonts w:ascii="Times New Roman" w:hAnsi="Times New Roman"/>
          <w:color w:val="000000" w:themeColor="text1"/>
          <w:szCs w:val="22"/>
        </w:rPr>
        <w:t>1</w:t>
      </w:r>
      <w:r w:rsidR="00B62276" w:rsidRPr="00650EE4">
        <w:rPr>
          <w:rFonts w:ascii="Times New Roman" w:hAnsi="Times New Roman"/>
          <w:color w:val="000000" w:themeColor="text1"/>
          <w:szCs w:val="22"/>
        </w:rPr>
        <w:t>.2.5 skyrių).</w:t>
      </w:r>
    </w:p>
    <w:p w14:paraId="0C836EA9" w14:textId="77777777" w:rsidR="00B62276" w:rsidRPr="00F73F9C" w:rsidRDefault="00B62276" w:rsidP="00B62276">
      <w:pPr>
        <w:pStyle w:val="BodyText"/>
        <w:jc w:val="both"/>
        <w:rPr>
          <w:rFonts w:ascii="Times New Roman" w:hAnsi="Times New Roman"/>
          <w:color w:val="000000" w:themeColor="text1"/>
          <w:sz w:val="10"/>
          <w:szCs w:val="22"/>
          <w:lang w:val="lt-LT"/>
        </w:rPr>
      </w:pPr>
    </w:p>
    <w:p w14:paraId="29390B68" w14:textId="3C313767" w:rsidR="00B62276" w:rsidRPr="00650EE4" w:rsidRDefault="00B62276" w:rsidP="00B6227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Lentelėje žemiau pateikiama visų modeliuojamų renovacijos priemonių paketų pasiektų pirminės energijos sutaupymų suvestinė. </w:t>
      </w:r>
      <w:r w:rsidR="00426B27"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utaupymų dydžiai priklauso nuo konkrečios modeliuojamos kombinacijos pastato statybos metų ir ploto, </w:t>
      </w:r>
      <w:r w:rsidR="00426B27" w:rsidRPr="00650EE4">
        <w:rPr>
          <w:rFonts w:ascii="Times New Roman" w:hAnsi="Times New Roman"/>
          <w:color w:val="000000" w:themeColor="text1"/>
          <w:szCs w:val="22"/>
          <w:lang w:val="lt-LT"/>
        </w:rPr>
        <w:t xml:space="preserve">todėl pateikiami vidutiniai dydžiai. </w:t>
      </w:r>
    </w:p>
    <w:p w14:paraId="0C776F99" w14:textId="77777777" w:rsidR="00B62276" w:rsidRPr="00650EE4" w:rsidRDefault="00B62276" w:rsidP="00B62276">
      <w:pPr>
        <w:pStyle w:val="BodyText"/>
        <w:jc w:val="both"/>
        <w:rPr>
          <w:rFonts w:ascii="Times New Roman" w:hAnsi="Times New Roman"/>
          <w:color w:val="000000" w:themeColor="text1"/>
          <w:szCs w:val="22"/>
          <w:lang w:val="lt-LT"/>
        </w:rPr>
      </w:pPr>
    </w:p>
    <w:p w14:paraId="5D00F9C0" w14:textId="5C8232F8"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96" w:name="_Toc59094220"/>
      <w:r w:rsidR="00F25C65">
        <w:t>37</w:t>
      </w:r>
      <w:r w:rsidRPr="00650EE4">
        <w:rPr>
          <w:noProof w:val="0"/>
        </w:rPr>
        <w:fldChar w:fldCharType="end"/>
      </w:r>
      <w:r w:rsidRPr="00650EE4">
        <w:rPr>
          <w:noProof w:val="0"/>
        </w:rPr>
        <w:t xml:space="preserve"> lentelė. Renovacijos priemonių pirminės energijos sutaupymai (</w:t>
      </w:r>
      <w:proofErr w:type="spellStart"/>
      <w:r w:rsidRPr="00650EE4">
        <w:rPr>
          <w:noProof w:val="0"/>
        </w:rPr>
        <w:t>kWh</w:t>
      </w:r>
      <w:proofErr w:type="spellEnd"/>
      <w:r w:rsidRPr="00650EE4">
        <w:rPr>
          <w:noProof w:val="0"/>
        </w:rPr>
        <w:t>/m</w:t>
      </w:r>
      <w:r w:rsidRPr="00650EE4">
        <w:rPr>
          <w:noProof w:val="0"/>
          <w:vertAlign w:val="superscript"/>
        </w:rPr>
        <w:t>2</w:t>
      </w:r>
      <w:r w:rsidRPr="00650EE4">
        <w:rPr>
          <w:noProof w:val="0"/>
        </w:rPr>
        <w:t>/metus)</w:t>
      </w:r>
      <w:bookmarkEnd w:id="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
        <w:gridCol w:w="1665"/>
        <w:gridCol w:w="790"/>
        <w:gridCol w:w="783"/>
        <w:gridCol w:w="1088"/>
        <w:gridCol w:w="1301"/>
        <w:gridCol w:w="1157"/>
        <w:gridCol w:w="1466"/>
        <w:gridCol w:w="1441"/>
      </w:tblGrid>
      <w:tr w:rsidR="00B62276" w:rsidRPr="00650EE4" w14:paraId="7D7C29CA" w14:textId="77777777" w:rsidTr="00E57787">
        <w:trPr>
          <w:tblHeader/>
        </w:trPr>
        <w:tc>
          <w:tcPr>
            <w:tcW w:w="713" w:type="dxa"/>
            <w:vMerge w:val="restart"/>
            <w:shd w:val="clear" w:color="000000" w:fill="FFFFFF"/>
            <w:noWrap/>
            <w:vAlign w:val="center"/>
            <w:hideMark/>
          </w:tcPr>
          <w:p w14:paraId="097A2B4C"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629" w:type="dxa"/>
            <w:vMerge w:val="restart"/>
            <w:shd w:val="clear" w:color="000000" w:fill="FFFFFF"/>
            <w:noWrap/>
            <w:vAlign w:val="center"/>
            <w:hideMark/>
          </w:tcPr>
          <w:p w14:paraId="2EDBAF58"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Paketas</w:t>
            </w:r>
          </w:p>
        </w:tc>
        <w:tc>
          <w:tcPr>
            <w:tcW w:w="1539" w:type="dxa"/>
            <w:gridSpan w:val="2"/>
            <w:tcBorders>
              <w:right w:val="single" w:sz="4" w:space="0" w:color="auto"/>
            </w:tcBorders>
            <w:shd w:val="clear" w:color="000000" w:fill="FFFFFF"/>
            <w:noWrap/>
            <w:vAlign w:val="center"/>
            <w:hideMark/>
          </w:tcPr>
          <w:p w14:paraId="3CE2874E"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ENK</w:t>
            </w:r>
          </w:p>
        </w:tc>
        <w:tc>
          <w:tcPr>
            <w:tcW w:w="3469" w:type="dxa"/>
            <w:gridSpan w:val="3"/>
            <w:tcBorders>
              <w:top w:val="single" w:sz="4" w:space="0" w:color="auto"/>
              <w:left w:val="single" w:sz="4" w:space="0" w:color="auto"/>
              <w:bottom w:val="nil"/>
              <w:right w:val="single" w:sz="4" w:space="0" w:color="auto"/>
            </w:tcBorders>
            <w:shd w:val="clear" w:color="auto" w:fill="auto"/>
            <w:noWrap/>
            <w:vAlign w:val="center"/>
            <w:hideMark/>
          </w:tcPr>
          <w:p w14:paraId="596D87FD"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Daugiabučiai</w:t>
            </w:r>
          </w:p>
        </w:tc>
        <w:tc>
          <w:tcPr>
            <w:tcW w:w="1434" w:type="dxa"/>
            <w:vMerge w:val="restart"/>
            <w:tcBorders>
              <w:left w:val="single" w:sz="4" w:space="0" w:color="auto"/>
            </w:tcBorders>
            <w:shd w:val="clear" w:color="000000" w:fill="FFFFFF"/>
            <w:noWrap/>
            <w:vAlign w:val="center"/>
            <w:hideMark/>
          </w:tcPr>
          <w:p w14:paraId="5A06C7C8"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Individualūs</w:t>
            </w:r>
          </w:p>
        </w:tc>
        <w:tc>
          <w:tcPr>
            <w:tcW w:w="1410" w:type="dxa"/>
            <w:vMerge w:val="restart"/>
            <w:shd w:val="clear" w:color="000000" w:fill="FFFFFF"/>
            <w:noWrap/>
            <w:vAlign w:val="center"/>
            <w:hideMark/>
          </w:tcPr>
          <w:p w14:paraId="512B1973" w14:textId="77777777" w:rsidR="00B62276" w:rsidRPr="00650EE4" w:rsidRDefault="00B62276" w:rsidP="00AE7CA9">
            <w:pPr>
              <w:spacing w:line="240" w:lineRule="auto"/>
              <w:ind w:left="-85" w:right="-115" w:hanging="46"/>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Negyvenamieji</w:t>
            </w:r>
          </w:p>
        </w:tc>
      </w:tr>
      <w:tr w:rsidR="00B62276" w:rsidRPr="00650EE4" w14:paraId="59FCD25F" w14:textId="77777777" w:rsidTr="00E57787">
        <w:trPr>
          <w:tblHeader/>
        </w:trPr>
        <w:tc>
          <w:tcPr>
            <w:tcW w:w="713" w:type="dxa"/>
            <w:vMerge/>
            <w:tcBorders>
              <w:bottom w:val="single" w:sz="4" w:space="0" w:color="auto"/>
            </w:tcBorders>
            <w:vAlign w:val="center"/>
            <w:hideMark/>
          </w:tcPr>
          <w:p w14:paraId="1F5C227F" w14:textId="77777777" w:rsidR="00B62276" w:rsidRPr="00650EE4" w:rsidRDefault="00B62276" w:rsidP="002D37AB">
            <w:pPr>
              <w:spacing w:line="240" w:lineRule="auto"/>
              <w:rPr>
                <w:rFonts w:ascii="Times New Roman" w:eastAsia="Times New Roman" w:hAnsi="Times New Roman"/>
                <w:b/>
                <w:bCs/>
                <w:sz w:val="20"/>
                <w:szCs w:val="20"/>
                <w:lang w:eastAsia="lt-LT"/>
              </w:rPr>
            </w:pPr>
          </w:p>
        </w:tc>
        <w:tc>
          <w:tcPr>
            <w:tcW w:w="1629" w:type="dxa"/>
            <w:vMerge/>
            <w:tcBorders>
              <w:bottom w:val="single" w:sz="4" w:space="0" w:color="auto"/>
            </w:tcBorders>
            <w:vAlign w:val="center"/>
            <w:hideMark/>
          </w:tcPr>
          <w:p w14:paraId="2CA41C35" w14:textId="77777777" w:rsidR="00B62276" w:rsidRPr="00650EE4" w:rsidRDefault="00B62276" w:rsidP="002D37AB">
            <w:pPr>
              <w:spacing w:line="240" w:lineRule="auto"/>
              <w:rPr>
                <w:rFonts w:ascii="Times New Roman" w:eastAsia="Times New Roman" w:hAnsi="Times New Roman"/>
                <w:b/>
                <w:bCs/>
                <w:sz w:val="20"/>
                <w:szCs w:val="20"/>
                <w:lang w:eastAsia="lt-LT"/>
              </w:rPr>
            </w:pPr>
          </w:p>
        </w:tc>
        <w:tc>
          <w:tcPr>
            <w:tcW w:w="773" w:type="dxa"/>
            <w:tcBorders>
              <w:bottom w:val="single" w:sz="4" w:space="0" w:color="auto"/>
            </w:tcBorders>
            <w:shd w:val="clear" w:color="000000" w:fill="FFFFFF"/>
            <w:noWrap/>
            <w:vAlign w:val="center"/>
            <w:hideMark/>
          </w:tcPr>
          <w:p w14:paraId="2EDAEE54"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Prieš</w:t>
            </w:r>
          </w:p>
        </w:tc>
        <w:tc>
          <w:tcPr>
            <w:tcW w:w="766" w:type="dxa"/>
            <w:tcBorders>
              <w:bottom w:val="single" w:sz="4" w:space="0" w:color="auto"/>
              <w:right w:val="single" w:sz="4" w:space="0" w:color="auto"/>
            </w:tcBorders>
            <w:shd w:val="clear" w:color="000000" w:fill="FFFFFF"/>
            <w:noWrap/>
            <w:vAlign w:val="center"/>
            <w:hideMark/>
          </w:tcPr>
          <w:p w14:paraId="1FF5D486" w14:textId="77777777" w:rsidR="00B62276" w:rsidRPr="00650EE4" w:rsidRDefault="00B62276" w:rsidP="002D37AB">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Po</w:t>
            </w:r>
          </w:p>
        </w:tc>
        <w:tc>
          <w:tcPr>
            <w:tcW w:w="1064" w:type="dxa"/>
            <w:tcBorders>
              <w:top w:val="nil"/>
              <w:left w:val="single" w:sz="4" w:space="0" w:color="auto"/>
              <w:bottom w:val="single" w:sz="4" w:space="0" w:color="auto"/>
              <w:right w:val="nil"/>
            </w:tcBorders>
            <w:shd w:val="clear" w:color="000000" w:fill="FFFFFF"/>
            <w:noWrap/>
            <w:vAlign w:val="bottom"/>
            <w:hideMark/>
          </w:tcPr>
          <w:p w14:paraId="34E6E183" w14:textId="39BBC1AF" w:rsidR="00B62276" w:rsidRPr="00650EE4" w:rsidRDefault="00426B27" w:rsidP="002D37AB">
            <w:pPr>
              <w:spacing w:line="240" w:lineRule="auto"/>
              <w:ind w:right="-112" w:hanging="3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&lt;</w:t>
            </w:r>
            <w:r w:rsidR="00B62276" w:rsidRPr="00650EE4">
              <w:rPr>
                <w:rFonts w:ascii="Times New Roman" w:eastAsia="Times New Roman" w:hAnsi="Times New Roman"/>
                <w:sz w:val="20"/>
                <w:szCs w:val="20"/>
                <w:lang w:eastAsia="lt-LT"/>
              </w:rPr>
              <w:t>1000 m</w:t>
            </w:r>
            <w:r w:rsidR="00B62276" w:rsidRPr="00650EE4">
              <w:rPr>
                <w:rFonts w:ascii="Times New Roman" w:eastAsia="Times New Roman" w:hAnsi="Times New Roman"/>
                <w:sz w:val="20"/>
                <w:szCs w:val="20"/>
                <w:vertAlign w:val="superscript"/>
                <w:lang w:eastAsia="lt-LT"/>
              </w:rPr>
              <w:t>2</w:t>
            </w:r>
          </w:p>
        </w:tc>
        <w:tc>
          <w:tcPr>
            <w:tcW w:w="1273" w:type="dxa"/>
            <w:tcBorders>
              <w:top w:val="nil"/>
              <w:left w:val="nil"/>
              <w:bottom w:val="single" w:sz="4" w:space="0" w:color="auto"/>
              <w:right w:val="nil"/>
            </w:tcBorders>
            <w:shd w:val="clear" w:color="000000" w:fill="FFFFFF"/>
            <w:noWrap/>
            <w:vAlign w:val="bottom"/>
            <w:hideMark/>
          </w:tcPr>
          <w:p w14:paraId="18662759" w14:textId="77777777" w:rsidR="00B62276" w:rsidRPr="00650EE4" w:rsidRDefault="00B62276" w:rsidP="00426B27">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1000-5000 m</w:t>
            </w:r>
            <w:r w:rsidRPr="00650EE4">
              <w:rPr>
                <w:rFonts w:ascii="Times New Roman" w:eastAsia="Times New Roman" w:hAnsi="Times New Roman"/>
                <w:sz w:val="20"/>
                <w:szCs w:val="20"/>
                <w:vertAlign w:val="superscript"/>
                <w:lang w:eastAsia="lt-LT"/>
              </w:rPr>
              <w:t>2</w:t>
            </w:r>
          </w:p>
        </w:tc>
        <w:tc>
          <w:tcPr>
            <w:tcW w:w="1132" w:type="dxa"/>
            <w:tcBorders>
              <w:top w:val="nil"/>
              <w:left w:val="nil"/>
              <w:bottom w:val="single" w:sz="4" w:space="0" w:color="auto"/>
              <w:right w:val="single" w:sz="4" w:space="0" w:color="auto"/>
            </w:tcBorders>
            <w:shd w:val="clear" w:color="000000" w:fill="FFFFFF"/>
            <w:noWrap/>
            <w:vAlign w:val="bottom"/>
            <w:hideMark/>
          </w:tcPr>
          <w:p w14:paraId="2200431F" w14:textId="54C384F5" w:rsidR="00B62276" w:rsidRPr="00650EE4" w:rsidRDefault="00426B27" w:rsidP="00426B27">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&gt;</w:t>
            </w:r>
            <w:r w:rsidR="00B62276" w:rsidRPr="00650EE4">
              <w:rPr>
                <w:rFonts w:ascii="Times New Roman" w:eastAsia="Times New Roman" w:hAnsi="Times New Roman"/>
                <w:sz w:val="20"/>
                <w:szCs w:val="20"/>
                <w:lang w:eastAsia="lt-LT"/>
              </w:rPr>
              <w:t>5000 m</w:t>
            </w:r>
            <w:r w:rsidR="00B62276" w:rsidRPr="00650EE4">
              <w:rPr>
                <w:rFonts w:ascii="Times New Roman" w:eastAsia="Times New Roman" w:hAnsi="Times New Roman"/>
                <w:sz w:val="20"/>
                <w:szCs w:val="20"/>
                <w:vertAlign w:val="superscript"/>
                <w:lang w:eastAsia="lt-LT"/>
              </w:rPr>
              <w:t>2</w:t>
            </w:r>
          </w:p>
        </w:tc>
        <w:tc>
          <w:tcPr>
            <w:tcW w:w="1434" w:type="dxa"/>
            <w:vMerge/>
            <w:tcBorders>
              <w:left w:val="single" w:sz="4" w:space="0" w:color="auto"/>
              <w:bottom w:val="single" w:sz="4" w:space="0" w:color="auto"/>
            </w:tcBorders>
            <w:shd w:val="clear" w:color="000000" w:fill="FFFFFF"/>
            <w:noWrap/>
            <w:vAlign w:val="bottom"/>
            <w:hideMark/>
          </w:tcPr>
          <w:p w14:paraId="7F1BC22B" w14:textId="77777777" w:rsidR="00B62276" w:rsidRPr="00650EE4" w:rsidRDefault="00B62276" w:rsidP="002D37AB">
            <w:pPr>
              <w:spacing w:line="240" w:lineRule="auto"/>
              <w:rPr>
                <w:rFonts w:ascii="Times New Roman" w:eastAsia="Times New Roman" w:hAnsi="Times New Roman"/>
                <w:sz w:val="20"/>
                <w:szCs w:val="20"/>
                <w:lang w:eastAsia="lt-LT"/>
              </w:rPr>
            </w:pPr>
          </w:p>
        </w:tc>
        <w:tc>
          <w:tcPr>
            <w:tcW w:w="1410" w:type="dxa"/>
            <w:vMerge/>
            <w:tcBorders>
              <w:bottom w:val="single" w:sz="4" w:space="0" w:color="auto"/>
            </w:tcBorders>
            <w:shd w:val="clear" w:color="000000" w:fill="FFFFFF"/>
            <w:noWrap/>
            <w:vAlign w:val="bottom"/>
            <w:hideMark/>
          </w:tcPr>
          <w:p w14:paraId="66F4D784" w14:textId="77777777" w:rsidR="00B62276" w:rsidRPr="00650EE4" w:rsidRDefault="00B62276" w:rsidP="002D37AB">
            <w:pPr>
              <w:spacing w:line="240" w:lineRule="auto"/>
              <w:rPr>
                <w:rFonts w:ascii="Times New Roman" w:eastAsia="Times New Roman" w:hAnsi="Times New Roman"/>
                <w:sz w:val="20"/>
                <w:szCs w:val="20"/>
                <w:lang w:eastAsia="lt-LT"/>
              </w:rPr>
            </w:pPr>
          </w:p>
        </w:tc>
      </w:tr>
      <w:tr w:rsidR="00B62276" w:rsidRPr="00650EE4" w14:paraId="6DDE14B6" w14:textId="77777777" w:rsidTr="00E57787">
        <w:tc>
          <w:tcPr>
            <w:tcW w:w="2342"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531F642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Pagrindiniai paketai</w:t>
            </w:r>
          </w:p>
        </w:tc>
        <w:tc>
          <w:tcPr>
            <w:tcW w:w="773" w:type="dxa"/>
            <w:tcBorders>
              <w:top w:val="single" w:sz="4" w:space="0" w:color="auto"/>
              <w:left w:val="nil"/>
              <w:bottom w:val="single" w:sz="4" w:space="0" w:color="auto"/>
              <w:right w:val="nil"/>
            </w:tcBorders>
            <w:shd w:val="clear" w:color="000000" w:fill="FFFFFF"/>
            <w:noWrap/>
            <w:vAlign w:val="center"/>
          </w:tcPr>
          <w:p w14:paraId="7652C7C5"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766" w:type="dxa"/>
            <w:tcBorders>
              <w:top w:val="single" w:sz="4" w:space="0" w:color="auto"/>
              <w:left w:val="nil"/>
              <w:bottom w:val="single" w:sz="4" w:space="0" w:color="auto"/>
              <w:right w:val="nil"/>
            </w:tcBorders>
            <w:shd w:val="clear" w:color="000000" w:fill="FFFFFF"/>
            <w:noWrap/>
            <w:vAlign w:val="center"/>
          </w:tcPr>
          <w:p w14:paraId="60C6BDF6"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064" w:type="dxa"/>
            <w:tcBorders>
              <w:top w:val="single" w:sz="4" w:space="0" w:color="auto"/>
              <w:left w:val="nil"/>
              <w:bottom w:val="single" w:sz="4" w:space="0" w:color="auto"/>
              <w:right w:val="nil"/>
            </w:tcBorders>
            <w:shd w:val="clear" w:color="000000" w:fill="FFFFFF"/>
            <w:noWrap/>
            <w:vAlign w:val="center"/>
          </w:tcPr>
          <w:p w14:paraId="437267B3"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273" w:type="dxa"/>
            <w:tcBorders>
              <w:top w:val="single" w:sz="4" w:space="0" w:color="auto"/>
              <w:left w:val="nil"/>
              <w:bottom w:val="single" w:sz="4" w:space="0" w:color="auto"/>
              <w:right w:val="nil"/>
            </w:tcBorders>
            <w:shd w:val="clear" w:color="000000" w:fill="FFFFFF"/>
            <w:noWrap/>
            <w:vAlign w:val="center"/>
          </w:tcPr>
          <w:p w14:paraId="170115FF"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132" w:type="dxa"/>
            <w:tcBorders>
              <w:top w:val="single" w:sz="4" w:space="0" w:color="auto"/>
              <w:left w:val="nil"/>
              <w:bottom w:val="single" w:sz="4" w:space="0" w:color="auto"/>
              <w:right w:val="nil"/>
            </w:tcBorders>
            <w:shd w:val="clear" w:color="000000" w:fill="FFFFFF"/>
            <w:noWrap/>
            <w:vAlign w:val="center"/>
          </w:tcPr>
          <w:p w14:paraId="1FB5948E"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34" w:type="dxa"/>
            <w:tcBorders>
              <w:top w:val="single" w:sz="4" w:space="0" w:color="auto"/>
              <w:left w:val="nil"/>
              <w:bottom w:val="single" w:sz="4" w:space="0" w:color="auto"/>
              <w:right w:val="nil"/>
            </w:tcBorders>
            <w:shd w:val="clear" w:color="000000" w:fill="FFFFFF"/>
            <w:noWrap/>
            <w:vAlign w:val="center"/>
          </w:tcPr>
          <w:p w14:paraId="1410D8EA"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10" w:type="dxa"/>
            <w:tcBorders>
              <w:top w:val="single" w:sz="4" w:space="0" w:color="auto"/>
              <w:left w:val="nil"/>
              <w:bottom w:val="single" w:sz="4" w:space="0" w:color="auto"/>
              <w:right w:val="single" w:sz="4" w:space="0" w:color="auto"/>
            </w:tcBorders>
            <w:shd w:val="clear" w:color="000000" w:fill="FFFFFF"/>
            <w:noWrap/>
            <w:vAlign w:val="bottom"/>
          </w:tcPr>
          <w:p w14:paraId="655E4DDD"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r>
      <w:tr w:rsidR="00B62276" w:rsidRPr="00650EE4" w14:paraId="433F49AD" w14:textId="77777777" w:rsidTr="00E57787">
        <w:tc>
          <w:tcPr>
            <w:tcW w:w="713" w:type="dxa"/>
            <w:tcBorders>
              <w:top w:val="single" w:sz="4" w:space="0" w:color="auto"/>
            </w:tcBorders>
            <w:shd w:val="clear" w:color="000000" w:fill="FFFFFF"/>
            <w:noWrap/>
            <w:vAlign w:val="center"/>
          </w:tcPr>
          <w:p w14:paraId="7BCD8CDD"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629" w:type="dxa"/>
            <w:tcBorders>
              <w:top w:val="single" w:sz="4" w:space="0" w:color="auto"/>
            </w:tcBorders>
            <w:shd w:val="clear" w:color="000000" w:fill="FFFFFF"/>
            <w:noWrap/>
            <w:vAlign w:val="center"/>
          </w:tcPr>
          <w:p w14:paraId="17A1F92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C </w:t>
            </w:r>
          </w:p>
        </w:tc>
        <w:tc>
          <w:tcPr>
            <w:tcW w:w="773" w:type="dxa"/>
            <w:tcBorders>
              <w:top w:val="single" w:sz="4" w:space="0" w:color="auto"/>
            </w:tcBorders>
            <w:shd w:val="clear" w:color="000000" w:fill="FFFFFF"/>
            <w:noWrap/>
            <w:vAlign w:val="center"/>
          </w:tcPr>
          <w:p w14:paraId="3BDFA17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0D42EFD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5BF88E4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w:t>
            </w:r>
          </w:p>
        </w:tc>
        <w:tc>
          <w:tcPr>
            <w:tcW w:w="1273" w:type="dxa"/>
            <w:tcBorders>
              <w:top w:val="single" w:sz="4" w:space="0" w:color="auto"/>
            </w:tcBorders>
            <w:shd w:val="clear" w:color="000000" w:fill="FFFFFF"/>
            <w:noWrap/>
            <w:vAlign w:val="bottom"/>
          </w:tcPr>
          <w:p w14:paraId="6977454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w:t>
            </w:r>
          </w:p>
        </w:tc>
        <w:tc>
          <w:tcPr>
            <w:tcW w:w="1132" w:type="dxa"/>
            <w:tcBorders>
              <w:top w:val="single" w:sz="4" w:space="0" w:color="auto"/>
            </w:tcBorders>
            <w:shd w:val="clear" w:color="000000" w:fill="FFFFFF"/>
            <w:noWrap/>
            <w:vAlign w:val="bottom"/>
          </w:tcPr>
          <w:p w14:paraId="1FAAC9C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88</w:t>
            </w:r>
          </w:p>
        </w:tc>
        <w:tc>
          <w:tcPr>
            <w:tcW w:w="1434" w:type="dxa"/>
            <w:tcBorders>
              <w:top w:val="single" w:sz="4" w:space="0" w:color="auto"/>
            </w:tcBorders>
            <w:shd w:val="clear" w:color="000000" w:fill="FFFFFF"/>
            <w:noWrap/>
            <w:vAlign w:val="bottom"/>
          </w:tcPr>
          <w:p w14:paraId="760BCE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221</w:t>
            </w:r>
          </w:p>
        </w:tc>
        <w:tc>
          <w:tcPr>
            <w:tcW w:w="1410" w:type="dxa"/>
            <w:tcBorders>
              <w:top w:val="single" w:sz="4" w:space="0" w:color="auto"/>
            </w:tcBorders>
            <w:shd w:val="clear" w:color="000000" w:fill="FFFFFF"/>
            <w:noWrap/>
            <w:vAlign w:val="bottom"/>
          </w:tcPr>
          <w:p w14:paraId="3E00E4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78-143</w:t>
            </w:r>
          </w:p>
        </w:tc>
      </w:tr>
      <w:tr w:rsidR="00B62276" w:rsidRPr="00650EE4" w14:paraId="2E66A59A" w14:textId="77777777" w:rsidTr="00E57787">
        <w:tc>
          <w:tcPr>
            <w:tcW w:w="713" w:type="dxa"/>
            <w:tcBorders>
              <w:top w:val="single" w:sz="4" w:space="0" w:color="auto"/>
            </w:tcBorders>
            <w:shd w:val="clear" w:color="000000" w:fill="FFFFFF"/>
            <w:noWrap/>
            <w:vAlign w:val="center"/>
          </w:tcPr>
          <w:p w14:paraId="6DFA40D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629" w:type="dxa"/>
            <w:tcBorders>
              <w:top w:val="single" w:sz="4" w:space="0" w:color="auto"/>
            </w:tcBorders>
            <w:shd w:val="clear" w:color="000000" w:fill="FFFFFF"/>
            <w:noWrap/>
            <w:vAlign w:val="center"/>
          </w:tcPr>
          <w:p w14:paraId="3495A35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w:t>
            </w:r>
          </w:p>
        </w:tc>
        <w:tc>
          <w:tcPr>
            <w:tcW w:w="773" w:type="dxa"/>
            <w:tcBorders>
              <w:top w:val="single" w:sz="4" w:space="0" w:color="auto"/>
            </w:tcBorders>
            <w:shd w:val="clear" w:color="000000" w:fill="FFFFFF"/>
            <w:noWrap/>
            <w:vAlign w:val="center"/>
          </w:tcPr>
          <w:p w14:paraId="6BA8EFF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4B0BA88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194C56C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169</w:t>
            </w:r>
          </w:p>
        </w:tc>
        <w:tc>
          <w:tcPr>
            <w:tcW w:w="1273" w:type="dxa"/>
            <w:tcBorders>
              <w:top w:val="single" w:sz="4" w:space="0" w:color="auto"/>
            </w:tcBorders>
            <w:shd w:val="clear" w:color="000000" w:fill="FFFFFF"/>
            <w:noWrap/>
            <w:vAlign w:val="bottom"/>
          </w:tcPr>
          <w:p w14:paraId="20A9B1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132" w:type="dxa"/>
            <w:tcBorders>
              <w:top w:val="single" w:sz="4" w:space="0" w:color="auto"/>
            </w:tcBorders>
            <w:shd w:val="clear" w:color="000000" w:fill="FFFFFF"/>
            <w:noWrap/>
            <w:vAlign w:val="bottom"/>
          </w:tcPr>
          <w:p w14:paraId="29136D6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w:t>
            </w:r>
          </w:p>
        </w:tc>
        <w:tc>
          <w:tcPr>
            <w:tcW w:w="1434" w:type="dxa"/>
            <w:tcBorders>
              <w:top w:val="single" w:sz="4" w:space="0" w:color="auto"/>
            </w:tcBorders>
            <w:shd w:val="clear" w:color="000000" w:fill="FFFFFF"/>
            <w:noWrap/>
            <w:vAlign w:val="bottom"/>
          </w:tcPr>
          <w:p w14:paraId="695903E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254</w:t>
            </w:r>
          </w:p>
        </w:tc>
        <w:tc>
          <w:tcPr>
            <w:tcW w:w="1410" w:type="dxa"/>
            <w:tcBorders>
              <w:top w:val="single" w:sz="4" w:space="0" w:color="auto"/>
            </w:tcBorders>
            <w:shd w:val="clear" w:color="000000" w:fill="FFFFFF"/>
            <w:noWrap/>
            <w:vAlign w:val="bottom"/>
          </w:tcPr>
          <w:p w14:paraId="16F7759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112-174</w:t>
            </w:r>
          </w:p>
        </w:tc>
      </w:tr>
      <w:tr w:rsidR="00B62276" w:rsidRPr="00650EE4" w14:paraId="640400C9" w14:textId="77777777" w:rsidTr="00E57787">
        <w:tc>
          <w:tcPr>
            <w:tcW w:w="713" w:type="dxa"/>
            <w:tcBorders>
              <w:top w:val="single" w:sz="4" w:space="0" w:color="auto"/>
            </w:tcBorders>
            <w:shd w:val="clear" w:color="000000" w:fill="FFFFFF"/>
            <w:noWrap/>
            <w:vAlign w:val="center"/>
          </w:tcPr>
          <w:p w14:paraId="32EBE1E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629" w:type="dxa"/>
            <w:tcBorders>
              <w:top w:val="single" w:sz="4" w:space="0" w:color="auto"/>
            </w:tcBorders>
            <w:shd w:val="clear" w:color="000000" w:fill="FFFFFF"/>
            <w:noWrap/>
            <w:vAlign w:val="center"/>
          </w:tcPr>
          <w:p w14:paraId="1E47514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 + FV</w:t>
            </w:r>
          </w:p>
        </w:tc>
        <w:tc>
          <w:tcPr>
            <w:tcW w:w="773" w:type="dxa"/>
            <w:tcBorders>
              <w:top w:val="single" w:sz="4" w:space="0" w:color="auto"/>
            </w:tcBorders>
            <w:shd w:val="clear" w:color="000000" w:fill="FFFFFF"/>
            <w:noWrap/>
            <w:vAlign w:val="center"/>
          </w:tcPr>
          <w:p w14:paraId="31053D1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3105C6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1064" w:type="dxa"/>
            <w:tcBorders>
              <w:top w:val="single" w:sz="4" w:space="0" w:color="auto"/>
            </w:tcBorders>
            <w:shd w:val="clear" w:color="000000" w:fill="FFFFFF"/>
            <w:noWrap/>
            <w:vAlign w:val="bottom"/>
          </w:tcPr>
          <w:p w14:paraId="458B654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202</w:t>
            </w:r>
          </w:p>
        </w:tc>
        <w:tc>
          <w:tcPr>
            <w:tcW w:w="1273" w:type="dxa"/>
            <w:tcBorders>
              <w:top w:val="single" w:sz="4" w:space="0" w:color="auto"/>
            </w:tcBorders>
            <w:shd w:val="clear" w:color="000000" w:fill="FFFFFF"/>
            <w:noWrap/>
            <w:vAlign w:val="bottom"/>
          </w:tcPr>
          <w:p w14:paraId="0FB9CB2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w:t>
            </w:r>
          </w:p>
        </w:tc>
        <w:tc>
          <w:tcPr>
            <w:tcW w:w="1132" w:type="dxa"/>
            <w:tcBorders>
              <w:top w:val="single" w:sz="4" w:space="0" w:color="auto"/>
            </w:tcBorders>
            <w:shd w:val="clear" w:color="000000" w:fill="FFFFFF"/>
            <w:noWrap/>
            <w:vAlign w:val="bottom"/>
          </w:tcPr>
          <w:p w14:paraId="65B3A05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98</w:t>
            </w:r>
          </w:p>
        </w:tc>
        <w:tc>
          <w:tcPr>
            <w:tcW w:w="1434" w:type="dxa"/>
            <w:tcBorders>
              <w:top w:val="single" w:sz="4" w:space="0" w:color="auto"/>
            </w:tcBorders>
            <w:shd w:val="clear" w:color="000000" w:fill="FFFFFF"/>
            <w:noWrap/>
            <w:vAlign w:val="bottom"/>
          </w:tcPr>
          <w:p w14:paraId="371BD9A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298</w:t>
            </w:r>
          </w:p>
        </w:tc>
        <w:tc>
          <w:tcPr>
            <w:tcW w:w="1410" w:type="dxa"/>
            <w:tcBorders>
              <w:top w:val="single" w:sz="4" w:space="0" w:color="auto"/>
            </w:tcBorders>
            <w:shd w:val="clear" w:color="000000" w:fill="FFFFFF"/>
            <w:noWrap/>
            <w:vAlign w:val="bottom"/>
          </w:tcPr>
          <w:p w14:paraId="427A2C5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139-232</w:t>
            </w:r>
          </w:p>
        </w:tc>
      </w:tr>
      <w:tr w:rsidR="00B62276" w:rsidRPr="00650EE4" w14:paraId="5223E8C6" w14:textId="77777777" w:rsidTr="00E57787">
        <w:tc>
          <w:tcPr>
            <w:tcW w:w="713" w:type="dxa"/>
            <w:shd w:val="clear" w:color="000000" w:fill="FFFFFF"/>
            <w:noWrap/>
            <w:vAlign w:val="center"/>
            <w:hideMark/>
          </w:tcPr>
          <w:p w14:paraId="089F108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629" w:type="dxa"/>
            <w:shd w:val="clear" w:color="000000" w:fill="FFFFFF"/>
            <w:noWrap/>
            <w:vAlign w:val="center"/>
            <w:hideMark/>
          </w:tcPr>
          <w:p w14:paraId="594A38B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B </w:t>
            </w:r>
          </w:p>
        </w:tc>
        <w:tc>
          <w:tcPr>
            <w:tcW w:w="773" w:type="dxa"/>
            <w:shd w:val="clear" w:color="000000" w:fill="FFFFFF"/>
            <w:noWrap/>
            <w:vAlign w:val="center"/>
            <w:hideMark/>
          </w:tcPr>
          <w:p w14:paraId="0F6F131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333AF7F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hideMark/>
          </w:tcPr>
          <w:p w14:paraId="7847D6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146</w:t>
            </w:r>
          </w:p>
        </w:tc>
        <w:tc>
          <w:tcPr>
            <w:tcW w:w="1273" w:type="dxa"/>
            <w:shd w:val="clear" w:color="000000" w:fill="FFFFFF"/>
            <w:noWrap/>
            <w:vAlign w:val="bottom"/>
            <w:hideMark/>
          </w:tcPr>
          <w:p w14:paraId="770C7F1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113</w:t>
            </w:r>
          </w:p>
        </w:tc>
        <w:tc>
          <w:tcPr>
            <w:tcW w:w="1132" w:type="dxa"/>
            <w:shd w:val="clear" w:color="000000" w:fill="FFFFFF"/>
            <w:noWrap/>
            <w:vAlign w:val="bottom"/>
            <w:hideMark/>
          </w:tcPr>
          <w:p w14:paraId="357546B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95</w:t>
            </w:r>
          </w:p>
        </w:tc>
        <w:tc>
          <w:tcPr>
            <w:tcW w:w="1434" w:type="dxa"/>
            <w:shd w:val="clear" w:color="000000" w:fill="FFFFFF"/>
            <w:noWrap/>
            <w:vAlign w:val="bottom"/>
            <w:hideMark/>
          </w:tcPr>
          <w:p w14:paraId="6F25AEF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224</w:t>
            </w:r>
          </w:p>
        </w:tc>
        <w:tc>
          <w:tcPr>
            <w:tcW w:w="1410" w:type="dxa"/>
            <w:shd w:val="clear" w:color="000000" w:fill="FFFFFF"/>
            <w:noWrap/>
            <w:vAlign w:val="bottom"/>
            <w:hideMark/>
          </w:tcPr>
          <w:p w14:paraId="13B642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81-147</w:t>
            </w:r>
          </w:p>
        </w:tc>
      </w:tr>
      <w:tr w:rsidR="00B62276" w:rsidRPr="00650EE4" w14:paraId="039BF98C" w14:textId="77777777" w:rsidTr="00E57787">
        <w:tc>
          <w:tcPr>
            <w:tcW w:w="713" w:type="dxa"/>
            <w:shd w:val="clear" w:color="000000" w:fill="FFFFFF"/>
            <w:noWrap/>
            <w:vAlign w:val="center"/>
          </w:tcPr>
          <w:p w14:paraId="46A5CDB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629" w:type="dxa"/>
            <w:shd w:val="clear" w:color="000000" w:fill="FFFFFF"/>
            <w:noWrap/>
            <w:vAlign w:val="center"/>
          </w:tcPr>
          <w:p w14:paraId="61D0F05E"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w:t>
            </w:r>
          </w:p>
        </w:tc>
        <w:tc>
          <w:tcPr>
            <w:tcW w:w="773" w:type="dxa"/>
            <w:shd w:val="clear" w:color="000000" w:fill="FFFFFF"/>
            <w:noWrap/>
            <w:vAlign w:val="center"/>
          </w:tcPr>
          <w:p w14:paraId="27A223A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123ED84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tcPr>
          <w:p w14:paraId="0FFAB82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171</w:t>
            </w:r>
          </w:p>
        </w:tc>
        <w:tc>
          <w:tcPr>
            <w:tcW w:w="1273" w:type="dxa"/>
            <w:shd w:val="clear" w:color="000000" w:fill="FFFFFF"/>
            <w:noWrap/>
            <w:vAlign w:val="bottom"/>
          </w:tcPr>
          <w:p w14:paraId="2077DD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117</w:t>
            </w:r>
          </w:p>
        </w:tc>
        <w:tc>
          <w:tcPr>
            <w:tcW w:w="1132" w:type="dxa"/>
            <w:shd w:val="clear" w:color="000000" w:fill="FFFFFF"/>
            <w:noWrap/>
            <w:vAlign w:val="bottom"/>
          </w:tcPr>
          <w:p w14:paraId="317870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w:t>
            </w:r>
          </w:p>
        </w:tc>
        <w:tc>
          <w:tcPr>
            <w:tcW w:w="1434" w:type="dxa"/>
            <w:shd w:val="clear" w:color="000000" w:fill="FFFFFF"/>
            <w:noWrap/>
            <w:vAlign w:val="bottom"/>
          </w:tcPr>
          <w:p w14:paraId="747A2CA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256</w:t>
            </w:r>
          </w:p>
        </w:tc>
        <w:tc>
          <w:tcPr>
            <w:tcW w:w="1410" w:type="dxa"/>
            <w:shd w:val="clear" w:color="000000" w:fill="FFFFFF"/>
            <w:noWrap/>
            <w:vAlign w:val="bottom"/>
          </w:tcPr>
          <w:p w14:paraId="0E0F7F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115-177</w:t>
            </w:r>
          </w:p>
        </w:tc>
      </w:tr>
      <w:tr w:rsidR="00B62276" w:rsidRPr="00650EE4" w14:paraId="069E7671" w14:textId="77777777" w:rsidTr="00E57787">
        <w:tc>
          <w:tcPr>
            <w:tcW w:w="713" w:type="dxa"/>
            <w:shd w:val="clear" w:color="000000" w:fill="FFFFFF"/>
            <w:noWrap/>
            <w:vAlign w:val="center"/>
          </w:tcPr>
          <w:p w14:paraId="11C1166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629" w:type="dxa"/>
            <w:shd w:val="clear" w:color="000000" w:fill="FFFFFF"/>
            <w:noWrap/>
            <w:vAlign w:val="center"/>
          </w:tcPr>
          <w:p w14:paraId="3784224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 + FV</w:t>
            </w:r>
          </w:p>
        </w:tc>
        <w:tc>
          <w:tcPr>
            <w:tcW w:w="773" w:type="dxa"/>
            <w:shd w:val="clear" w:color="000000" w:fill="FFFFFF"/>
            <w:noWrap/>
            <w:vAlign w:val="center"/>
          </w:tcPr>
          <w:p w14:paraId="63243A5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7FDDE9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1064" w:type="dxa"/>
            <w:shd w:val="clear" w:color="000000" w:fill="FFFFFF"/>
            <w:noWrap/>
            <w:vAlign w:val="bottom"/>
          </w:tcPr>
          <w:p w14:paraId="7F48371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204</w:t>
            </w:r>
          </w:p>
        </w:tc>
        <w:tc>
          <w:tcPr>
            <w:tcW w:w="1273" w:type="dxa"/>
            <w:shd w:val="clear" w:color="000000" w:fill="FFFFFF"/>
            <w:noWrap/>
            <w:vAlign w:val="bottom"/>
          </w:tcPr>
          <w:p w14:paraId="10759CF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w:t>
            </w:r>
          </w:p>
        </w:tc>
        <w:tc>
          <w:tcPr>
            <w:tcW w:w="1132" w:type="dxa"/>
            <w:shd w:val="clear" w:color="000000" w:fill="FFFFFF"/>
            <w:noWrap/>
            <w:vAlign w:val="bottom"/>
          </w:tcPr>
          <w:p w14:paraId="0B1340B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w:t>
            </w:r>
          </w:p>
        </w:tc>
        <w:tc>
          <w:tcPr>
            <w:tcW w:w="1434" w:type="dxa"/>
            <w:shd w:val="clear" w:color="000000" w:fill="FFFFFF"/>
            <w:noWrap/>
            <w:vAlign w:val="bottom"/>
          </w:tcPr>
          <w:p w14:paraId="7CA775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299</w:t>
            </w:r>
          </w:p>
        </w:tc>
        <w:tc>
          <w:tcPr>
            <w:tcW w:w="1410" w:type="dxa"/>
            <w:shd w:val="clear" w:color="000000" w:fill="FFFFFF"/>
            <w:noWrap/>
            <w:vAlign w:val="bottom"/>
          </w:tcPr>
          <w:p w14:paraId="3F504CC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143-233</w:t>
            </w:r>
          </w:p>
        </w:tc>
      </w:tr>
      <w:tr w:rsidR="00B62276" w:rsidRPr="00650EE4" w14:paraId="162EE473" w14:textId="77777777" w:rsidTr="00E57787">
        <w:tc>
          <w:tcPr>
            <w:tcW w:w="713" w:type="dxa"/>
            <w:shd w:val="clear" w:color="000000" w:fill="FFFFFF"/>
            <w:noWrap/>
            <w:vAlign w:val="center"/>
            <w:hideMark/>
          </w:tcPr>
          <w:p w14:paraId="0832821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629" w:type="dxa"/>
            <w:shd w:val="clear" w:color="000000" w:fill="FFFFFF"/>
            <w:noWrap/>
            <w:vAlign w:val="center"/>
            <w:hideMark/>
          </w:tcPr>
          <w:p w14:paraId="14B5EA00"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21DED1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7C1ACA7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2AD738A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165</w:t>
            </w:r>
          </w:p>
        </w:tc>
        <w:tc>
          <w:tcPr>
            <w:tcW w:w="1273" w:type="dxa"/>
            <w:shd w:val="clear" w:color="000000" w:fill="FFFFFF"/>
            <w:noWrap/>
            <w:vAlign w:val="bottom"/>
            <w:hideMark/>
          </w:tcPr>
          <w:p w14:paraId="1DA5930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141</w:t>
            </w:r>
          </w:p>
        </w:tc>
        <w:tc>
          <w:tcPr>
            <w:tcW w:w="1132" w:type="dxa"/>
            <w:shd w:val="clear" w:color="000000" w:fill="FFFFFF"/>
            <w:noWrap/>
            <w:vAlign w:val="bottom"/>
            <w:hideMark/>
          </w:tcPr>
          <w:p w14:paraId="740608A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111</w:t>
            </w:r>
          </w:p>
        </w:tc>
        <w:tc>
          <w:tcPr>
            <w:tcW w:w="1434" w:type="dxa"/>
            <w:shd w:val="clear" w:color="000000" w:fill="FFFFFF"/>
            <w:noWrap/>
            <w:vAlign w:val="bottom"/>
            <w:hideMark/>
          </w:tcPr>
          <w:p w14:paraId="268790D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254</w:t>
            </w:r>
          </w:p>
        </w:tc>
        <w:tc>
          <w:tcPr>
            <w:tcW w:w="1410" w:type="dxa"/>
            <w:shd w:val="clear" w:color="000000" w:fill="FFFFFF"/>
            <w:noWrap/>
            <w:vAlign w:val="bottom"/>
            <w:hideMark/>
          </w:tcPr>
          <w:p w14:paraId="39CD5B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99-164</w:t>
            </w:r>
          </w:p>
        </w:tc>
      </w:tr>
      <w:tr w:rsidR="00B62276" w:rsidRPr="00650EE4" w14:paraId="4C14CE90" w14:textId="77777777" w:rsidTr="00E57787">
        <w:tc>
          <w:tcPr>
            <w:tcW w:w="713" w:type="dxa"/>
            <w:shd w:val="clear" w:color="000000" w:fill="FFFFFF"/>
            <w:noWrap/>
            <w:vAlign w:val="center"/>
          </w:tcPr>
          <w:p w14:paraId="1FFEDE3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629" w:type="dxa"/>
            <w:shd w:val="clear" w:color="000000" w:fill="FFFFFF"/>
            <w:noWrap/>
            <w:vAlign w:val="center"/>
          </w:tcPr>
          <w:p w14:paraId="0FA037BB"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1086C0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1C959CD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32AFBA9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186</w:t>
            </w:r>
          </w:p>
        </w:tc>
        <w:tc>
          <w:tcPr>
            <w:tcW w:w="1273" w:type="dxa"/>
            <w:shd w:val="clear" w:color="000000" w:fill="FFFFFF"/>
            <w:noWrap/>
            <w:vAlign w:val="bottom"/>
          </w:tcPr>
          <w:p w14:paraId="1A968A8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144</w:t>
            </w:r>
          </w:p>
        </w:tc>
        <w:tc>
          <w:tcPr>
            <w:tcW w:w="1132" w:type="dxa"/>
            <w:shd w:val="clear" w:color="000000" w:fill="FFFFFF"/>
            <w:noWrap/>
            <w:vAlign w:val="bottom"/>
          </w:tcPr>
          <w:p w14:paraId="1C4C21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w:t>
            </w:r>
          </w:p>
        </w:tc>
        <w:tc>
          <w:tcPr>
            <w:tcW w:w="1434" w:type="dxa"/>
            <w:shd w:val="clear" w:color="000000" w:fill="FFFFFF"/>
            <w:noWrap/>
            <w:vAlign w:val="bottom"/>
          </w:tcPr>
          <w:p w14:paraId="2FA26D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278</w:t>
            </w:r>
          </w:p>
        </w:tc>
        <w:tc>
          <w:tcPr>
            <w:tcW w:w="1410" w:type="dxa"/>
            <w:shd w:val="clear" w:color="000000" w:fill="FFFFFF"/>
            <w:noWrap/>
            <w:vAlign w:val="bottom"/>
          </w:tcPr>
          <w:p w14:paraId="053E8F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128-189</w:t>
            </w:r>
          </w:p>
        </w:tc>
      </w:tr>
      <w:tr w:rsidR="00B62276" w:rsidRPr="00650EE4" w14:paraId="24CEC6E6" w14:textId="77777777" w:rsidTr="00E57787">
        <w:tc>
          <w:tcPr>
            <w:tcW w:w="713" w:type="dxa"/>
            <w:shd w:val="clear" w:color="000000" w:fill="FFFFFF"/>
            <w:noWrap/>
            <w:vAlign w:val="center"/>
          </w:tcPr>
          <w:p w14:paraId="55453DB5"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629" w:type="dxa"/>
            <w:shd w:val="clear" w:color="000000" w:fill="FFFFFF"/>
            <w:noWrap/>
            <w:vAlign w:val="center"/>
          </w:tcPr>
          <w:p w14:paraId="5C5D28F6"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7CF947E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024816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2A449F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214</w:t>
            </w:r>
          </w:p>
        </w:tc>
        <w:tc>
          <w:tcPr>
            <w:tcW w:w="1273" w:type="dxa"/>
            <w:shd w:val="clear" w:color="000000" w:fill="FFFFFF"/>
            <w:noWrap/>
            <w:vAlign w:val="bottom"/>
          </w:tcPr>
          <w:p w14:paraId="13B5F6E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w:t>
            </w:r>
          </w:p>
        </w:tc>
        <w:tc>
          <w:tcPr>
            <w:tcW w:w="1132" w:type="dxa"/>
            <w:shd w:val="clear" w:color="000000" w:fill="FFFFFF"/>
            <w:noWrap/>
            <w:vAlign w:val="bottom"/>
          </w:tcPr>
          <w:p w14:paraId="46CDBD8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119</w:t>
            </w:r>
          </w:p>
        </w:tc>
        <w:tc>
          <w:tcPr>
            <w:tcW w:w="1434" w:type="dxa"/>
            <w:shd w:val="clear" w:color="000000" w:fill="FFFFFF"/>
            <w:noWrap/>
            <w:vAlign w:val="bottom"/>
          </w:tcPr>
          <w:p w14:paraId="5DEDCEE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310</w:t>
            </w:r>
          </w:p>
        </w:tc>
        <w:tc>
          <w:tcPr>
            <w:tcW w:w="1410" w:type="dxa"/>
            <w:shd w:val="clear" w:color="000000" w:fill="FFFFFF"/>
            <w:noWrap/>
            <w:vAlign w:val="bottom"/>
          </w:tcPr>
          <w:p w14:paraId="0728018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148-240</w:t>
            </w:r>
          </w:p>
        </w:tc>
      </w:tr>
      <w:tr w:rsidR="00B62276" w:rsidRPr="00650EE4" w14:paraId="77DAD22A" w14:textId="77777777" w:rsidTr="00E57787">
        <w:tc>
          <w:tcPr>
            <w:tcW w:w="713" w:type="dxa"/>
            <w:shd w:val="clear" w:color="000000" w:fill="FFFFFF"/>
            <w:noWrap/>
            <w:vAlign w:val="center"/>
            <w:hideMark/>
          </w:tcPr>
          <w:p w14:paraId="2BB123E6"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629" w:type="dxa"/>
            <w:shd w:val="clear" w:color="000000" w:fill="FFFFFF"/>
            <w:noWrap/>
            <w:vAlign w:val="center"/>
            <w:hideMark/>
          </w:tcPr>
          <w:p w14:paraId="45BAE6D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2E36164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6C0266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3315F2B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49</w:t>
            </w:r>
          </w:p>
        </w:tc>
        <w:tc>
          <w:tcPr>
            <w:tcW w:w="1273" w:type="dxa"/>
            <w:shd w:val="clear" w:color="000000" w:fill="FFFFFF"/>
            <w:noWrap/>
            <w:vAlign w:val="bottom"/>
            <w:hideMark/>
          </w:tcPr>
          <w:p w14:paraId="6C0DE6D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132" w:type="dxa"/>
            <w:shd w:val="clear" w:color="000000" w:fill="FFFFFF"/>
            <w:noWrap/>
            <w:vAlign w:val="bottom"/>
            <w:hideMark/>
          </w:tcPr>
          <w:p w14:paraId="6C5DD06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38</w:t>
            </w:r>
          </w:p>
        </w:tc>
        <w:tc>
          <w:tcPr>
            <w:tcW w:w="1434" w:type="dxa"/>
            <w:shd w:val="clear" w:color="000000" w:fill="FFFFFF"/>
            <w:noWrap/>
            <w:vAlign w:val="bottom"/>
            <w:hideMark/>
          </w:tcPr>
          <w:p w14:paraId="6611A50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59</w:t>
            </w:r>
          </w:p>
        </w:tc>
        <w:tc>
          <w:tcPr>
            <w:tcW w:w="1410" w:type="dxa"/>
            <w:shd w:val="clear" w:color="000000" w:fill="FFFFFF"/>
            <w:noWrap/>
            <w:vAlign w:val="bottom"/>
            <w:hideMark/>
          </w:tcPr>
          <w:p w14:paraId="4DF62AF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26-40</w:t>
            </w:r>
          </w:p>
        </w:tc>
      </w:tr>
      <w:tr w:rsidR="00B62276" w:rsidRPr="00650EE4" w14:paraId="53BBD514" w14:textId="77777777" w:rsidTr="00E57787">
        <w:tc>
          <w:tcPr>
            <w:tcW w:w="713" w:type="dxa"/>
            <w:shd w:val="clear" w:color="000000" w:fill="FFFFFF"/>
            <w:noWrap/>
            <w:vAlign w:val="center"/>
          </w:tcPr>
          <w:p w14:paraId="20BD9B4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629" w:type="dxa"/>
            <w:shd w:val="clear" w:color="000000" w:fill="FFFFFF"/>
            <w:noWrap/>
            <w:vAlign w:val="center"/>
          </w:tcPr>
          <w:p w14:paraId="24FBD787"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6C8827D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3E6E309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44BBD1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69</w:t>
            </w:r>
          </w:p>
        </w:tc>
        <w:tc>
          <w:tcPr>
            <w:tcW w:w="1273" w:type="dxa"/>
            <w:shd w:val="clear" w:color="000000" w:fill="FFFFFF"/>
            <w:noWrap/>
            <w:vAlign w:val="bottom"/>
          </w:tcPr>
          <w:p w14:paraId="08A2153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w:t>
            </w:r>
          </w:p>
        </w:tc>
        <w:tc>
          <w:tcPr>
            <w:tcW w:w="1132" w:type="dxa"/>
            <w:shd w:val="clear" w:color="000000" w:fill="FFFFFF"/>
            <w:noWrap/>
            <w:vAlign w:val="bottom"/>
          </w:tcPr>
          <w:p w14:paraId="4D13B99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46</w:t>
            </w:r>
          </w:p>
        </w:tc>
        <w:tc>
          <w:tcPr>
            <w:tcW w:w="1434" w:type="dxa"/>
            <w:shd w:val="clear" w:color="000000" w:fill="FFFFFF"/>
            <w:noWrap/>
            <w:vAlign w:val="bottom"/>
          </w:tcPr>
          <w:p w14:paraId="08C49A7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83</w:t>
            </w:r>
          </w:p>
        </w:tc>
        <w:tc>
          <w:tcPr>
            <w:tcW w:w="1410" w:type="dxa"/>
            <w:shd w:val="clear" w:color="000000" w:fill="FFFFFF"/>
            <w:noWrap/>
            <w:vAlign w:val="bottom"/>
          </w:tcPr>
          <w:p w14:paraId="7965DC2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51-77</w:t>
            </w:r>
          </w:p>
        </w:tc>
      </w:tr>
      <w:tr w:rsidR="00B62276" w:rsidRPr="00650EE4" w14:paraId="68D44BB1" w14:textId="77777777" w:rsidTr="00E57787">
        <w:tc>
          <w:tcPr>
            <w:tcW w:w="713" w:type="dxa"/>
            <w:shd w:val="clear" w:color="000000" w:fill="FFFFFF"/>
            <w:noWrap/>
            <w:vAlign w:val="center"/>
          </w:tcPr>
          <w:p w14:paraId="67EA457E"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629" w:type="dxa"/>
            <w:shd w:val="clear" w:color="000000" w:fill="FFFFFF"/>
            <w:noWrap/>
            <w:vAlign w:val="center"/>
          </w:tcPr>
          <w:p w14:paraId="2178DBD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3495FA7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78B614F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7C4E7BD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93</w:t>
            </w:r>
          </w:p>
        </w:tc>
        <w:tc>
          <w:tcPr>
            <w:tcW w:w="1273" w:type="dxa"/>
            <w:shd w:val="clear" w:color="000000" w:fill="FFFFFF"/>
            <w:noWrap/>
            <w:vAlign w:val="bottom"/>
          </w:tcPr>
          <w:p w14:paraId="69F14DD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58</w:t>
            </w:r>
          </w:p>
        </w:tc>
        <w:tc>
          <w:tcPr>
            <w:tcW w:w="1132" w:type="dxa"/>
            <w:shd w:val="clear" w:color="000000" w:fill="FFFFFF"/>
            <w:noWrap/>
            <w:vAlign w:val="bottom"/>
          </w:tcPr>
          <w:p w14:paraId="69449C4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434" w:type="dxa"/>
            <w:shd w:val="clear" w:color="000000" w:fill="FFFFFF"/>
            <w:noWrap/>
            <w:vAlign w:val="bottom"/>
          </w:tcPr>
          <w:p w14:paraId="082D3CB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115</w:t>
            </w:r>
          </w:p>
        </w:tc>
        <w:tc>
          <w:tcPr>
            <w:tcW w:w="1410" w:type="dxa"/>
            <w:shd w:val="clear" w:color="000000" w:fill="FFFFFF"/>
            <w:noWrap/>
            <w:vAlign w:val="bottom"/>
          </w:tcPr>
          <w:p w14:paraId="4A7E42C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71-138</w:t>
            </w:r>
          </w:p>
        </w:tc>
      </w:tr>
      <w:tr w:rsidR="00B62276" w:rsidRPr="00650EE4" w14:paraId="54A50E5E" w14:textId="77777777" w:rsidTr="00E57787">
        <w:tc>
          <w:tcPr>
            <w:tcW w:w="713" w:type="dxa"/>
            <w:shd w:val="clear" w:color="000000" w:fill="FFFFFF"/>
            <w:noWrap/>
            <w:vAlign w:val="center"/>
            <w:hideMark/>
          </w:tcPr>
          <w:p w14:paraId="3368B41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629" w:type="dxa"/>
            <w:shd w:val="clear" w:color="000000" w:fill="FFFFFF"/>
            <w:noWrap/>
            <w:vAlign w:val="center"/>
            <w:hideMark/>
          </w:tcPr>
          <w:p w14:paraId="52D2D58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D56E5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09B0301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4731466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181</w:t>
            </w:r>
          </w:p>
        </w:tc>
        <w:tc>
          <w:tcPr>
            <w:tcW w:w="1273" w:type="dxa"/>
            <w:shd w:val="clear" w:color="000000" w:fill="FFFFFF"/>
            <w:noWrap/>
            <w:vAlign w:val="bottom"/>
            <w:hideMark/>
          </w:tcPr>
          <w:p w14:paraId="4866E7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146</w:t>
            </w:r>
          </w:p>
        </w:tc>
        <w:tc>
          <w:tcPr>
            <w:tcW w:w="1132" w:type="dxa"/>
            <w:shd w:val="clear" w:color="000000" w:fill="FFFFFF"/>
            <w:noWrap/>
            <w:vAlign w:val="bottom"/>
            <w:hideMark/>
          </w:tcPr>
          <w:p w14:paraId="2EBDFE0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w:t>
            </w:r>
          </w:p>
        </w:tc>
        <w:tc>
          <w:tcPr>
            <w:tcW w:w="1434" w:type="dxa"/>
            <w:shd w:val="clear" w:color="000000" w:fill="FFFFFF"/>
            <w:noWrap/>
            <w:vAlign w:val="bottom"/>
            <w:hideMark/>
          </w:tcPr>
          <w:p w14:paraId="49C679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262</w:t>
            </w:r>
          </w:p>
        </w:tc>
        <w:tc>
          <w:tcPr>
            <w:tcW w:w="1410" w:type="dxa"/>
            <w:shd w:val="clear" w:color="000000" w:fill="FFFFFF"/>
            <w:noWrap/>
            <w:vAlign w:val="bottom"/>
            <w:hideMark/>
          </w:tcPr>
          <w:p w14:paraId="5E3C917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105-164</w:t>
            </w:r>
          </w:p>
        </w:tc>
      </w:tr>
      <w:tr w:rsidR="00B62276" w:rsidRPr="00650EE4" w14:paraId="488B98DA" w14:textId="77777777" w:rsidTr="00E57787">
        <w:tc>
          <w:tcPr>
            <w:tcW w:w="713" w:type="dxa"/>
            <w:shd w:val="clear" w:color="000000" w:fill="FFFFFF"/>
            <w:noWrap/>
            <w:vAlign w:val="center"/>
          </w:tcPr>
          <w:p w14:paraId="5B25165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629" w:type="dxa"/>
            <w:shd w:val="clear" w:color="000000" w:fill="FFFFFF"/>
            <w:noWrap/>
            <w:vAlign w:val="center"/>
          </w:tcPr>
          <w:p w14:paraId="38D6306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0C0B35B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25174DB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A0E63B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199</w:t>
            </w:r>
          </w:p>
        </w:tc>
        <w:tc>
          <w:tcPr>
            <w:tcW w:w="1273" w:type="dxa"/>
            <w:shd w:val="clear" w:color="000000" w:fill="FFFFFF"/>
            <w:noWrap/>
            <w:vAlign w:val="bottom"/>
          </w:tcPr>
          <w:p w14:paraId="651345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149</w:t>
            </w:r>
          </w:p>
        </w:tc>
        <w:tc>
          <w:tcPr>
            <w:tcW w:w="1132" w:type="dxa"/>
            <w:shd w:val="clear" w:color="000000" w:fill="FFFFFF"/>
            <w:noWrap/>
            <w:vAlign w:val="bottom"/>
          </w:tcPr>
          <w:p w14:paraId="2F6ACFA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434" w:type="dxa"/>
            <w:shd w:val="clear" w:color="000000" w:fill="FFFFFF"/>
            <w:noWrap/>
            <w:vAlign w:val="bottom"/>
          </w:tcPr>
          <w:p w14:paraId="2FABFF6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283</w:t>
            </w:r>
          </w:p>
        </w:tc>
        <w:tc>
          <w:tcPr>
            <w:tcW w:w="1410" w:type="dxa"/>
            <w:shd w:val="clear" w:color="000000" w:fill="FFFFFF"/>
            <w:noWrap/>
            <w:vAlign w:val="bottom"/>
          </w:tcPr>
          <w:p w14:paraId="7471B0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131-189</w:t>
            </w:r>
          </w:p>
        </w:tc>
      </w:tr>
      <w:tr w:rsidR="00B62276" w:rsidRPr="00650EE4" w14:paraId="47937AF3" w14:textId="77777777" w:rsidTr="00E57787">
        <w:tc>
          <w:tcPr>
            <w:tcW w:w="713" w:type="dxa"/>
            <w:shd w:val="clear" w:color="000000" w:fill="FFFFFF"/>
            <w:noWrap/>
            <w:vAlign w:val="center"/>
          </w:tcPr>
          <w:p w14:paraId="2E73B1F2"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629" w:type="dxa"/>
            <w:shd w:val="clear" w:color="000000" w:fill="FFFFFF"/>
            <w:noWrap/>
            <w:vAlign w:val="center"/>
          </w:tcPr>
          <w:p w14:paraId="277E671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3745661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7C6B96C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4683BF6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223</w:t>
            </w:r>
          </w:p>
        </w:tc>
        <w:tc>
          <w:tcPr>
            <w:tcW w:w="1273" w:type="dxa"/>
            <w:shd w:val="clear" w:color="000000" w:fill="FFFFFF"/>
            <w:noWrap/>
            <w:vAlign w:val="bottom"/>
          </w:tcPr>
          <w:p w14:paraId="4753E44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153</w:t>
            </w:r>
          </w:p>
        </w:tc>
        <w:tc>
          <w:tcPr>
            <w:tcW w:w="1132" w:type="dxa"/>
            <w:shd w:val="clear" w:color="000000" w:fill="FFFFFF"/>
            <w:noWrap/>
            <w:vAlign w:val="bottom"/>
          </w:tcPr>
          <w:p w14:paraId="7868972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120</w:t>
            </w:r>
          </w:p>
        </w:tc>
        <w:tc>
          <w:tcPr>
            <w:tcW w:w="1434" w:type="dxa"/>
            <w:shd w:val="clear" w:color="000000" w:fill="FFFFFF"/>
            <w:noWrap/>
            <w:vAlign w:val="bottom"/>
          </w:tcPr>
          <w:p w14:paraId="5F7AE7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313</w:t>
            </w:r>
          </w:p>
        </w:tc>
        <w:tc>
          <w:tcPr>
            <w:tcW w:w="1410" w:type="dxa"/>
            <w:shd w:val="clear" w:color="000000" w:fill="FFFFFF"/>
            <w:noWrap/>
            <w:vAlign w:val="bottom"/>
          </w:tcPr>
          <w:p w14:paraId="090CB54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148-242</w:t>
            </w:r>
          </w:p>
        </w:tc>
      </w:tr>
      <w:tr w:rsidR="00B62276" w:rsidRPr="00650EE4" w14:paraId="4D75A589" w14:textId="77777777" w:rsidTr="00E57787">
        <w:tc>
          <w:tcPr>
            <w:tcW w:w="713" w:type="dxa"/>
            <w:shd w:val="clear" w:color="000000" w:fill="FFFFFF"/>
            <w:noWrap/>
            <w:vAlign w:val="center"/>
            <w:hideMark/>
          </w:tcPr>
          <w:p w14:paraId="7FE0966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629" w:type="dxa"/>
            <w:shd w:val="clear" w:color="000000" w:fill="FFFFFF"/>
            <w:noWrap/>
            <w:vAlign w:val="center"/>
            <w:hideMark/>
          </w:tcPr>
          <w:p w14:paraId="65F74E0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5B7A382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7AC89AB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7CE5207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66</w:t>
            </w:r>
          </w:p>
        </w:tc>
        <w:tc>
          <w:tcPr>
            <w:tcW w:w="1273" w:type="dxa"/>
            <w:shd w:val="clear" w:color="000000" w:fill="FFFFFF"/>
            <w:noWrap/>
            <w:vAlign w:val="bottom"/>
            <w:hideMark/>
          </w:tcPr>
          <w:p w14:paraId="7D1AA2E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132" w:type="dxa"/>
            <w:shd w:val="clear" w:color="000000" w:fill="FFFFFF"/>
            <w:noWrap/>
            <w:vAlign w:val="bottom"/>
            <w:hideMark/>
          </w:tcPr>
          <w:p w14:paraId="01E7A0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39</w:t>
            </w:r>
          </w:p>
        </w:tc>
        <w:tc>
          <w:tcPr>
            <w:tcW w:w="1434" w:type="dxa"/>
            <w:shd w:val="clear" w:color="000000" w:fill="FFFFFF"/>
            <w:noWrap/>
            <w:vAlign w:val="bottom"/>
            <w:hideMark/>
          </w:tcPr>
          <w:p w14:paraId="2E04433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68</w:t>
            </w:r>
          </w:p>
        </w:tc>
        <w:tc>
          <w:tcPr>
            <w:tcW w:w="1410" w:type="dxa"/>
            <w:shd w:val="clear" w:color="000000" w:fill="FFFFFF"/>
            <w:noWrap/>
            <w:vAlign w:val="bottom"/>
            <w:hideMark/>
          </w:tcPr>
          <w:p w14:paraId="74932EC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26-42</w:t>
            </w:r>
          </w:p>
        </w:tc>
      </w:tr>
      <w:tr w:rsidR="00B62276" w:rsidRPr="00650EE4" w14:paraId="5DABB72A" w14:textId="77777777" w:rsidTr="00E57787">
        <w:tc>
          <w:tcPr>
            <w:tcW w:w="713" w:type="dxa"/>
            <w:shd w:val="clear" w:color="000000" w:fill="FFFFFF"/>
            <w:noWrap/>
            <w:vAlign w:val="center"/>
          </w:tcPr>
          <w:p w14:paraId="355C69B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629" w:type="dxa"/>
            <w:shd w:val="clear" w:color="000000" w:fill="FFFFFF"/>
            <w:noWrap/>
            <w:vAlign w:val="center"/>
          </w:tcPr>
          <w:p w14:paraId="354F5483"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3F69FBA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5FE9371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10F3A1B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82</w:t>
            </w:r>
          </w:p>
        </w:tc>
        <w:tc>
          <w:tcPr>
            <w:tcW w:w="1273" w:type="dxa"/>
            <w:shd w:val="clear" w:color="000000" w:fill="FFFFFF"/>
            <w:noWrap/>
            <w:vAlign w:val="bottom"/>
          </w:tcPr>
          <w:p w14:paraId="6D8F7E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57</w:t>
            </w:r>
          </w:p>
        </w:tc>
        <w:tc>
          <w:tcPr>
            <w:tcW w:w="1132" w:type="dxa"/>
            <w:shd w:val="clear" w:color="000000" w:fill="FFFFFF"/>
            <w:noWrap/>
            <w:vAlign w:val="bottom"/>
          </w:tcPr>
          <w:p w14:paraId="34F909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434" w:type="dxa"/>
            <w:shd w:val="clear" w:color="000000" w:fill="FFFFFF"/>
            <w:noWrap/>
            <w:vAlign w:val="bottom"/>
          </w:tcPr>
          <w:p w14:paraId="50DD249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89</w:t>
            </w:r>
          </w:p>
        </w:tc>
        <w:tc>
          <w:tcPr>
            <w:tcW w:w="1410" w:type="dxa"/>
            <w:shd w:val="clear" w:color="000000" w:fill="FFFFFF"/>
            <w:noWrap/>
            <w:vAlign w:val="bottom"/>
          </w:tcPr>
          <w:p w14:paraId="4ED1B2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51-81</w:t>
            </w:r>
          </w:p>
        </w:tc>
      </w:tr>
      <w:tr w:rsidR="00B62276" w:rsidRPr="00650EE4" w14:paraId="1198E805" w14:textId="77777777" w:rsidTr="00E57787">
        <w:tc>
          <w:tcPr>
            <w:tcW w:w="713" w:type="dxa"/>
            <w:shd w:val="clear" w:color="000000" w:fill="FFFFFF"/>
            <w:noWrap/>
            <w:vAlign w:val="center"/>
          </w:tcPr>
          <w:p w14:paraId="1F9EA6E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629" w:type="dxa"/>
            <w:shd w:val="clear" w:color="000000" w:fill="FFFFFF"/>
            <w:noWrap/>
            <w:vAlign w:val="center"/>
          </w:tcPr>
          <w:p w14:paraId="247644FD"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6841598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2E15668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60BA0B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103</w:t>
            </w:r>
          </w:p>
        </w:tc>
        <w:tc>
          <w:tcPr>
            <w:tcW w:w="1273" w:type="dxa"/>
            <w:shd w:val="clear" w:color="000000" w:fill="FFFFFF"/>
            <w:noWrap/>
            <w:vAlign w:val="bottom"/>
          </w:tcPr>
          <w:p w14:paraId="072050A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63</w:t>
            </w:r>
          </w:p>
        </w:tc>
        <w:tc>
          <w:tcPr>
            <w:tcW w:w="1132" w:type="dxa"/>
            <w:shd w:val="clear" w:color="000000" w:fill="FFFFFF"/>
            <w:noWrap/>
            <w:vAlign w:val="bottom"/>
          </w:tcPr>
          <w:p w14:paraId="7DC248B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57</w:t>
            </w:r>
          </w:p>
        </w:tc>
        <w:tc>
          <w:tcPr>
            <w:tcW w:w="1434" w:type="dxa"/>
            <w:shd w:val="clear" w:color="000000" w:fill="FFFFFF"/>
            <w:noWrap/>
            <w:vAlign w:val="bottom"/>
          </w:tcPr>
          <w:p w14:paraId="216D7E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118</w:t>
            </w:r>
          </w:p>
        </w:tc>
        <w:tc>
          <w:tcPr>
            <w:tcW w:w="1410" w:type="dxa"/>
            <w:shd w:val="clear" w:color="000000" w:fill="FFFFFF"/>
            <w:noWrap/>
            <w:vAlign w:val="bottom"/>
          </w:tcPr>
          <w:p w14:paraId="00993BD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71-140</w:t>
            </w:r>
          </w:p>
        </w:tc>
      </w:tr>
      <w:tr w:rsidR="00B62276" w:rsidRPr="00650EE4" w14:paraId="2F251103" w14:textId="77777777" w:rsidTr="00E57787">
        <w:tc>
          <w:tcPr>
            <w:tcW w:w="713" w:type="dxa"/>
            <w:shd w:val="clear" w:color="000000" w:fill="FFFFFF"/>
            <w:noWrap/>
            <w:vAlign w:val="center"/>
            <w:hideMark/>
          </w:tcPr>
          <w:p w14:paraId="3209BD8B"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629" w:type="dxa"/>
            <w:shd w:val="clear" w:color="000000" w:fill="FFFFFF"/>
            <w:noWrap/>
            <w:vAlign w:val="center"/>
            <w:hideMark/>
          </w:tcPr>
          <w:p w14:paraId="3AB9458A"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0AD9EA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hideMark/>
          </w:tcPr>
          <w:p w14:paraId="4FAB606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7C9E28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273" w:type="dxa"/>
            <w:shd w:val="clear" w:color="000000" w:fill="FFFFFF"/>
            <w:noWrap/>
            <w:vAlign w:val="bottom"/>
            <w:hideMark/>
          </w:tcPr>
          <w:p w14:paraId="5A739C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w:t>
            </w:r>
          </w:p>
        </w:tc>
        <w:tc>
          <w:tcPr>
            <w:tcW w:w="1132" w:type="dxa"/>
            <w:shd w:val="clear" w:color="000000" w:fill="FFFFFF"/>
            <w:noWrap/>
            <w:vAlign w:val="bottom"/>
            <w:hideMark/>
          </w:tcPr>
          <w:p w14:paraId="20500D9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35</w:t>
            </w:r>
          </w:p>
        </w:tc>
        <w:tc>
          <w:tcPr>
            <w:tcW w:w="1434" w:type="dxa"/>
            <w:shd w:val="clear" w:color="000000" w:fill="FFFFFF"/>
            <w:noWrap/>
            <w:vAlign w:val="bottom"/>
            <w:hideMark/>
          </w:tcPr>
          <w:p w14:paraId="3A26566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w:t>
            </w:r>
          </w:p>
        </w:tc>
        <w:tc>
          <w:tcPr>
            <w:tcW w:w="1410" w:type="dxa"/>
            <w:shd w:val="clear" w:color="000000" w:fill="FFFFFF"/>
            <w:noWrap/>
            <w:vAlign w:val="bottom"/>
            <w:hideMark/>
          </w:tcPr>
          <w:p w14:paraId="6BCCE97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11-23</w:t>
            </w:r>
          </w:p>
        </w:tc>
      </w:tr>
      <w:tr w:rsidR="00B62276" w:rsidRPr="00650EE4" w14:paraId="59006FE0" w14:textId="77777777" w:rsidTr="00E57787">
        <w:tc>
          <w:tcPr>
            <w:tcW w:w="713" w:type="dxa"/>
            <w:shd w:val="clear" w:color="000000" w:fill="FFFFFF"/>
            <w:noWrap/>
            <w:vAlign w:val="center"/>
          </w:tcPr>
          <w:p w14:paraId="3C0A5BF5"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629" w:type="dxa"/>
            <w:shd w:val="clear" w:color="000000" w:fill="FFFFFF"/>
            <w:noWrap/>
            <w:vAlign w:val="center"/>
          </w:tcPr>
          <w:p w14:paraId="7476A4D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069F8A7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31903C3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562F84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74</w:t>
            </w:r>
          </w:p>
        </w:tc>
        <w:tc>
          <w:tcPr>
            <w:tcW w:w="1273" w:type="dxa"/>
            <w:shd w:val="clear" w:color="000000" w:fill="FFFFFF"/>
            <w:noWrap/>
            <w:vAlign w:val="bottom"/>
          </w:tcPr>
          <w:p w14:paraId="40DB7DA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46</w:t>
            </w:r>
          </w:p>
        </w:tc>
        <w:tc>
          <w:tcPr>
            <w:tcW w:w="1132" w:type="dxa"/>
            <w:shd w:val="clear" w:color="000000" w:fill="FFFFFF"/>
            <w:noWrap/>
            <w:vAlign w:val="bottom"/>
          </w:tcPr>
          <w:p w14:paraId="3F7062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w:t>
            </w:r>
          </w:p>
        </w:tc>
        <w:tc>
          <w:tcPr>
            <w:tcW w:w="1434" w:type="dxa"/>
            <w:shd w:val="clear" w:color="000000" w:fill="FFFFFF"/>
            <w:noWrap/>
            <w:vAlign w:val="bottom"/>
          </w:tcPr>
          <w:p w14:paraId="558F460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63</w:t>
            </w:r>
          </w:p>
        </w:tc>
        <w:tc>
          <w:tcPr>
            <w:tcW w:w="1410" w:type="dxa"/>
            <w:shd w:val="clear" w:color="000000" w:fill="FFFFFF"/>
            <w:noWrap/>
            <w:vAlign w:val="bottom"/>
          </w:tcPr>
          <w:p w14:paraId="747F76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25-68</w:t>
            </w:r>
          </w:p>
        </w:tc>
      </w:tr>
      <w:tr w:rsidR="00B62276" w:rsidRPr="00650EE4" w14:paraId="23AA92AC" w14:textId="77777777" w:rsidTr="00E57787">
        <w:tc>
          <w:tcPr>
            <w:tcW w:w="713" w:type="dxa"/>
            <w:shd w:val="clear" w:color="000000" w:fill="FFFFFF"/>
            <w:noWrap/>
            <w:vAlign w:val="center"/>
          </w:tcPr>
          <w:p w14:paraId="00D0D20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629" w:type="dxa"/>
            <w:shd w:val="clear" w:color="000000" w:fill="FFFFFF"/>
            <w:noWrap/>
            <w:vAlign w:val="center"/>
          </w:tcPr>
          <w:p w14:paraId="6614F382"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4CCEB43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30E3ABA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293DA0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96</w:t>
            </w:r>
          </w:p>
        </w:tc>
        <w:tc>
          <w:tcPr>
            <w:tcW w:w="1273" w:type="dxa"/>
            <w:shd w:val="clear" w:color="000000" w:fill="FFFFFF"/>
            <w:noWrap/>
            <w:vAlign w:val="bottom"/>
          </w:tcPr>
          <w:p w14:paraId="3C38BA7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w:t>
            </w:r>
          </w:p>
        </w:tc>
        <w:tc>
          <w:tcPr>
            <w:tcW w:w="1132" w:type="dxa"/>
            <w:shd w:val="clear" w:color="000000" w:fill="FFFFFF"/>
            <w:noWrap/>
            <w:vAlign w:val="bottom"/>
          </w:tcPr>
          <w:p w14:paraId="6757636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50</w:t>
            </w:r>
          </w:p>
        </w:tc>
        <w:tc>
          <w:tcPr>
            <w:tcW w:w="1434" w:type="dxa"/>
            <w:shd w:val="clear" w:color="000000" w:fill="FFFFFF"/>
            <w:noWrap/>
            <w:vAlign w:val="bottom"/>
          </w:tcPr>
          <w:p w14:paraId="1E8DCC1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w:t>
            </w:r>
          </w:p>
        </w:tc>
        <w:tc>
          <w:tcPr>
            <w:tcW w:w="1410" w:type="dxa"/>
            <w:shd w:val="clear" w:color="000000" w:fill="FFFFFF"/>
            <w:noWrap/>
            <w:vAlign w:val="bottom"/>
          </w:tcPr>
          <w:p w14:paraId="40DAC45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42-127</w:t>
            </w:r>
          </w:p>
        </w:tc>
      </w:tr>
      <w:tr w:rsidR="00B62276" w:rsidRPr="00650EE4" w14:paraId="7757E794" w14:textId="77777777" w:rsidTr="00E57787">
        <w:tc>
          <w:tcPr>
            <w:tcW w:w="713" w:type="dxa"/>
            <w:shd w:val="clear" w:color="000000" w:fill="FFFFFF"/>
            <w:noWrap/>
            <w:vAlign w:val="center"/>
            <w:hideMark/>
          </w:tcPr>
          <w:p w14:paraId="61C9A74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629" w:type="dxa"/>
            <w:shd w:val="clear" w:color="000000" w:fill="FFFFFF"/>
            <w:noWrap/>
            <w:vAlign w:val="center"/>
            <w:hideMark/>
          </w:tcPr>
          <w:p w14:paraId="10222921"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099099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0B5E8EE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459D43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186</w:t>
            </w:r>
          </w:p>
        </w:tc>
        <w:tc>
          <w:tcPr>
            <w:tcW w:w="1273" w:type="dxa"/>
            <w:shd w:val="clear" w:color="000000" w:fill="FFFFFF"/>
            <w:noWrap/>
            <w:vAlign w:val="bottom"/>
            <w:hideMark/>
          </w:tcPr>
          <w:p w14:paraId="3D2CE0A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148</w:t>
            </w:r>
          </w:p>
        </w:tc>
        <w:tc>
          <w:tcPr>
            <w:tcW w:w="1132" w:type="dxa"/>
            <w:shd w:val="clear" w:color="000000" w:fill="FFFFFF"/>
            <w:noWrap/>
            <w:vAlign w:val="bottom"/>
            <w:hideMark/>
          </w:tcPr>
          <w:p w14:paraId="7DB4540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114</w:t>
            </w:r>
          </w:p>
        </w:tc>
        <w:tc>
          <w:tcPr>
            <w:tcW w:w="1434" w:type="dxa"/>
            <w:shd w:val="clear" w:color="000000" w:fill="FFFFFF"/>
            <w:noWrap/>
            <w:vAlign w:val="bottom"/>
            <w:hideMark/>
          </w:tcPr>
          <w:p w14:paraId="0A08115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299</w:t>
            </w:r>
          </w:p>
        </w:tc>
        <w:tc>
          <w:tcPr>
            <w:tcW w:w="1410" w:type="dxa"/>
            <w:shd w:val="clear" w:color="000000" w:fill="FFFFFF"/>
            <w:noWrap/>
            <w:vAlign w:val="bottom"/>
            <w:hideMark/>
          </w:tcPr>
          <w:p w14:paraId="728F1CF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93-160</w:t>
            </w:r>
          </w:p>
        </w:tc>
      </w:tr>
      <w:tr w:rsidR="00B62276" w:rsidRPr="00650EE4" w14:paraId="3202C074" w14:textId="77777777" w:rsidTr="00E57787">
        <w:tc>
          <w:tcPr>
            <w:tcW w:w="713" w:type="dxa"/>
            <w:shd w:val="clear" w:color="000000" w:fill="FFFFFF"/>
            <w:noWrap/>
            <w:vAlign w:val="center"/>
          </w:tcPr>
          <w:p w14:paraId="025C18A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629" w:type="dxa"/>
            <w:shd w:val="clear" w:color="000000" w:fill="FFFFFF"/>
            <w:noWrap/>
            <w:vAlign w:val="center"/>
          </w:tcPr>
          <w:p w14:paraId="222B345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6E8477E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6AF8B8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62CBE43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204</w:t>
            </w:r>
          </w:p>
        </w:tc>
        <w:tc>
          <w:tcPr>
            <w:tcW w:w="1273" w:type="dxa"/>
            <w:shd w:val="clear" w:color="000000" w:fill="FFFFFF"/>
            <w:noWrap/>
            <w:vAlign w:val="bottom"/>
          </w:tcPr>
          <w:p w14:paraId="42FDFAD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151</w:t>
            </w:r>
          </w:p>
        </w:tc>
        <w:tc>
          <w:tcPr>
            <w:tcW w:w="1132" w:type="dxa"/>
            <w:shd w:val="clear" w:color="000000" w:fill="FFFFFF"/>
            <w:noWrap/>
            <w:vAlign w:val="bottom"/>
          </w:tcPr>
          <w:p w14:paraId="248D48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117</w:t>
            </w:r>
          </w:p>
        </w:tc>
        <w:tc>
          <w:tcPr>
            <w:tcW w:w="1434" w:type="dxa"/>
            <w:shd w:val="clear" w:color="000000" w:fill="FFFFFF"/>
            <w:noWrap/>
            <w:vAlign w:val="bottom"/>
          </w:tcPr>
          <w:p w14:paraId="5B317E6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310</w:t>
            </w:r>
          </w:p>
        </w:tc>
        <w:tc>
          <w:tcPr>
            <w:tcW w:w="1410" w:type="dxa"/>
            <w:shd w:val="clear" w:color="000000" w:fill="FFFFFF"/>
            <w:noWrap/>
            <w:vAlign w:val="bottom"/>
          </w:tcPr>
          <w:p w14:paraId="14CA5A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113-190</w:t>
            </w:r>
          </w:p>
        </w:tc>
      </w:tr>
      <w:tr w:rsidR="00B62276" w:rsidRPr="00650EE4" w14:paraId="1834DC84" w14:textId="77777777" w:rsidTr="00E57787">
        <w:tc>
          <w:tcPr>
            <w:tcW w:w="713" w:type="dxa"/>
            <w:shd w:val="clear" w:color="000000" w:fill="FFFFFF"/>
            <w:noWrap/>
            <w:vAlign w:val="center"/>
          </w:tcPr>
          <w:p w14:paraId="2E9DFB4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629" w:type="dxa"/>
            <w:shd w:val="clear" w:color="000000" w:fill="FFFFFF"/>
            <w:noWrap/>
            <w:vAlign w:val="center"/>
          </w:tcPr>
          <w:p w14:paraId="7DBEBF0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19B2FAE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tcPr>
          <w:p w14:paraId="02516DA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08E9714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226</w:t>
            </w:r>
          </w:p>
        </w:tc>
        <w:tc>
          <w:tcPr>
            <w:tcW w:w="1273" w:type="dxa"/>
            <w:shd w:val="clear" w:color="000000" w:fill="FFFFFF"/>
            <w:noWrap/>
            <w:vAlign w:val="bottom"/>
          </w:tcPr>
          <w:p w14:paraId="7EAC363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154</w:t>
            </w:r>
          </w:p>
        </w:tc>
        <w:tc>
          <w:tcPr>
            <w:tcW w:w="1132" w:type="dxa"/>
            <w:shd w:val="clear" w:color="000000" w:fill="FFFFFF"/>
            <w:noWrap/>
            <w:vAlign w:val="bottom"/>
          </w:tcPr>
          <w:p w14:paraId="2FA8E95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121</w:t>
            </w:r>
          </w:p>
        </w:tc>
        <w:tc>
          <w:tcPr>
            <w:tcW w:w="1434" w:type="dxa"/>
            <w:shd w:val="clear" w:color="000000" w:fill="FFFFFF"/>
            <w:noWrap/>
            <w:vAlign w:val="bottom"/>
          </w:tcPr>
          <w:p w14:paraId="7E0D56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326</w:t>
            </w:r>
          </w:p>
        </w:tc>
        <w:tc>
          <w:tcPr>
            <w:tcW w:w="1410" w:type="dxa"/>
            <w:shd w:val="clear" w:color="000000" w:fill="FFFFFF"/>
            <w:noWrap/>
            <w:vAlign w:val="bottom"/>
          </w:tcPr>
          <w:p w14:paraId="60AAEC3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139-243</w:t>
            </w:r>
          </w:p>
        </w:tc>
      </w:tr>
      <w:tr w:rsidR="00B62276" w:rsidRPr="00650EE4" w14:paraId="0B738E24" w14:textId="77777777" w:rsidTr="00E57787">
        <w:tc>
          <w:tcPr>
            <w:tcW w:w="713" w:type="dxa"/>
            <w:shd w:val="clear" w:color="000000" w:fill="FFFFFF"/>
            <w:noWrap/>
            <w:vAlign w:val="center"/>
            <w:hideMark/>
          </w:tcPr>
          <w:p w14:paraId="3EFC61F6"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629" w:type="dxa"/>
            <w:shd w:val="clear" w:color="000000" w:fill="FFFFFF"/>
            <w:noWrap/>
            <w:vAlign w:val="center"/>
            <w:hideMark/>
          </w:tcPr>
          <w:p w14:paraId="7346E212"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015BC63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hideMark/>
          </w:tcPr>
          <w:p w14:paraId="38D051F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2AE4979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71</w:t>
            </w:r>
          </w:p>
        </w:tc>
        <w:tc>
          <w:tcPr>
            <w:tcW w:w="1273" w:type="dxa"/>
            <w:shd w:val="clear" w:color="000000" w:fill="FFFFFF"/>
            <w:noWrap/>
            <w:vAlign w:val="bottom"/>
            <w:hideMark/>
          </w:tcPr>
          <w:p w14:paraId="1E97752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54</w:t>
            </w:r>
          </w:p>
        </w:tc>
        <w:tc>
          <w:tcPr>
            <w:tcW w:w="1132" w:type="dxa"/>
            <w:shd w:val="clear" w:color="000000" w:fill="FFFFFF"/>
            <w:noWrap/>
            <w:vAlign w:val="bottom"/>
            <w:hideMark/>
          </w:tcPr>
          <w:p w14:paraId="337582E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40</w:t>
            </w:r>
          </w:p>
        </w:tc>
        <w:tc>
          <w:tcPr>
            <w:tcW w:w="1434" w:type="dxa"/>
            <w:shd w:val="clear" w:color="000000" w:fill="FFFFFF"/>
            <w:noWrap/>
            <w:vAlign w:val="bottom"/>
            <w:hideMark/>
          </w:tcPr>
          <w:p w14:paraId="3E2C955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w:t>
            </w:r>
          </w:p>
        </w:tc>
        <w:tc>
          <w:tcPr>
            <w:tcW w:w="1410" w:type="dxa"/>
            <w:shd w:val="clear" w:color="000000" w:fill="FFFFFF"/>
            <w:noWrap/>
            <w:vAlign w:val="bottom"/>
            <w:hideMark/>
          </w:tcPr>
          <w:p w14:paraId="4F69086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16-46</w:t>
            </w:r>
          </w:p>
        </w:tc>
      </w:tr>
      <w:tr w:rsidR="00B62276" w:rsidRPr="00650EE4" w14:paraId="7C61C459" w14:textId="77777777" w:rsidTr="00E57787">
        <w:tc>
          <w:tcPr>
            <w:tcW w:w="713" w:type="dxa"/>
            <w:shd w:val="clear" w:color="000000" w:fill="FFFFFF"/>
            <w:noWrap/>
            <w:vAlign w:val="center"/>
          </w:tcPr>
          <w:p w14:paraId="6B20BC3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629" w:type="dxa"/>
            <w:shd w:val="clear" w:color="000000" w:fill="FFFFFF"/>
            <w:noWrap/>
            <w:vAlign w:val="center"/>
          </w:tcPr>
          <w:p w14:paraId="61E077B8"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7B5DB8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557A994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B570FE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87</w:t>
            </w:r>
          </w:p>
        </w:tc>
        <w:tc>
          <w:tcPr>
            <w:tcW w:w="1273" w:type="dxa"/>
            <w:shd w:val="clear" w:color="000000" w:fill="FFFFFF"/>
            <w:noWrap/>
            <w:vAlign w:val="bottom"/>
          </w:tcPr>
          <w:p w14:paraId="360B272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59</w:t>
            </w:r>
          </w:p>
        </w:tc>
        <w:tc>
          <w:tcPr>
            <w:tcW w:w="1132" w:type="dxa"/>
            <w:shd w:val="clear" w:color="000000" w:fill="FFFFFF"/>
            <w:noWrap/>
            <w:vAlign w:val="bottom"/>
          </w:tcPr>
          <w:p w14:paraId="64EAE401"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48</w:t>
            </w:r>
          </w:p>
        </w:tc>
        <w:tc>
          <w:tcPr>
            <w:tcW w:w="1434" w:type="dxa"/>
            <w:shd w:val="clear" w:color="000000" w:fill="FFFFFF"/>
            <w:noWrap/>
            <w:vAlign w:val="bottom"/>
          </w:tcPr>
          <w:p w14:paraId="2239E1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116</w:t>
            </w:r>
          </w:p>
        </w:tc>
        <w:tc>
          <w:tcPr>
            <w:tcW w:w="1410" w:type="dxa"/>
            <w:shd w:val="clear" w:color="000000" w:fill="FFFFFF"/>
            <w:noWrap/>
            <w:vAlign w:val="bottom"/>
          </w:tcPr>
          <w:p w14:paraId="218B69A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36-85</w:t>
            </w:r>
          </w:p>
        </w:tc>
      </w:tr>
      <w:tr w:rsidR="00B62276" w:rsidRPr="00650EE4" w14:paraId="3AF6A9E1" w14:textId="77777777" w:rsidTr="00E57787">
        <w:tc>
          <w:tcPr>
            <w:tcW w:w="713" w:type="dxa"/>
            <w:shd w:val="clear" w:color="000000" w:fill="FFFFFF"/>
            <w:noWrap/>
            <w:vAlign w:val="center"/>
          </w:tcPr>
          <w:p w14:paraId="4DB67481"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629" w:type="dxa"/>
            <w:shd w:val="clear" w:color="000000" w:fill="FFFFFF"/>
            <w:noWrap/>
            <w:vAlign w:val="center"/>
          </w:tcPr>
          <w:p w14:paraId="6BA06189"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02CABB7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6" w:type="dxa"/>
            <w:shd w:val="clear" w:color="000000" w:fill="FFFFFF"/>
            <w:noWrap/>
            <w:vAlign w:val="center"/>
          </w:tcPr>
          <w:p w14:paraId="3686468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84D814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106</w:t>
            </w:r>
          </w:p>
        </w:tc>
        <w:tc>
          <w:tcPr>
            <w:tcW w:w="1273" w:type="dxa"/>
            <w:shd w:val="clear" w:color="000000" w:fill="FFFFFF"/>
            <w:noWrap/>
            <w:vAlign w:val="bottom"/>
          </w:tcPr>
          <w:p w14:paraId="3064E9B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65</w:t>
            </w:r>
          </w:p>
        </w:tc>
        <w:tc>
          <w:tcPr>
            <w:tcW w:w="1132" w:type="dxa"/>
            <w:shd w:val="clear" w:color="000000" w:fill="FFFFFF"/>
            <w:noWrap/>
            <w:vAlign w:val="bottom"/>
          </w:tcPr>
          <w:p w14:paraId="2A66ED6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58</w:t>
            </w:r>
          </w:p>
        </w:tc>
        <w:tc>
          <w:tcPr>
            <w:tcW w:w="1434" w:type="dxa"/>
            <w:shd w:val="clear" w:color="000000" w:fill="FFFFFF"/>
            <w:noWrap/>
            <w:vAlign w:val="bottom"/>
          </w:tcPr>
          <w:p w14:paraId="49AEF6D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131</w:t>
            </w:r>
          </w:p>
        </w:tc>
        <w:tc>
          <w:tcPr>
            <w:tcW w:w="1410" w:type="dxa"/>
            <w:shd w:val="clear" w:color="000000" w:fill="FFFFFF"/>
            <w:noWrap/>
            <w:vAlign w:val="bottom"/>
          </w:tcPr>
          <w:p w14:paraId="58406F3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62-141</w:t>
            </w:r>
          </w:p>
        </w:tc>
      </w:tr>
      <w:tr w:rsidR="00B62276" w:rsidRPr="00650EE4" w14:paraId="23B72A28" w14:textId="77777777" w:rsidTr="00E57787">
        <w:tc>
          <w:tcPr>
            <w:tcW w:w="713" w:type="dxa"/>
            <w:shd w:val="clear" w:color="000000" w:fill="FFFFFF"/>
            <w:noWrap/>
            <w:vAlign w:val="center"/>
            <w:hideMark/>
          </w:tcPr>
          <w:p w14:paraId="23DFF8F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629" w:type="dxa"/>
            <w:shd w:val="clear" w:color="000000" w:fill="FFFFFF"/>
            <w:noWrap/>
            <w:vAlign w:val="center"/>
            <w:hideMark/>
          </w:tcPr>
          <w:p w14:paraId="625F594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shd w:val="clear" w:color="000000" w:fill="FFFFFF"/>
            <w:noWrap/>
            <w:vAlign w:val="center"/>
            <w:hideMark/>
          </w:tcPr>
          <w:p w14:paraId="7EF1A79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hideMark/>
          </w:tcPr>
          <w:p w14:paraId="17B6B2F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hideMark/>
          </w:tcPr>
          <w:p w14:paraId="56FD155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w:t>
            </w:r>
          </w:p>
        </w:tc>
        <w:tc>
          <w:tcPr>
            <w:tcW w:w="1273" w:type="dxa"/>
            <w:shd w:val="clear" w:color="000000" w:fill="FFFFFF"/>
            <w:noWrap/>
            <w:vAlign w:val="bottom"/>
            <w:hideMark/>
          </w:tcPr>
          <w:p w14:paraId="4628490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43</w:t>
            </w:r>
          </w:p>
        </w:tc>
        <w:tc>
          <w:tcPr>
            <w:tcW w:w="1132" w:type="dxa"/>
            <w:shd w:val="clear" w:color="000000" w:fill="FFFFFF"/>
            <w:noWrap/>
            <w:vAlign w:val="bottom"/>
            <w:hideMark/>
          </w:tcPr>
          <w:p w14:paraId="128661A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37</w:t>
            </w:r>
          </w:p>
        </w:tc>
        <w:tc>
          <w:tcPr>
            <w:tcW w:w="1434" w:type="dxa"/>
            <w:shd w:val="clear" w:color="000000" w:fill="FFFFFF"/>
            <w:noWrap/>
            <w:vAlign w:val="bottom"/>
            <w:hideMark/>
          </w:tcPr>
          <w:p w14:paraId="485CB11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w:t>
            </w:r>
          </w:p>
        </w:tc>
        <w:tc>
          <w:tcPr>
            <w:tcW w:w="1410" w:type="dxa"/>
            <w:shd w:val="clear" w:color="000000" w:fill="FFFFFF"/>
            <w:noWrap/>
            <w:vAlign w:val="bottom"/>
            <w:hideMark/>
          </w:tcPr>
          <w:p w14:paraId="2702710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8-28</w:t>
            </w:r>
          </w:p>
        </w:tc>
      </w:tr>
      <w:tr w:rsidR="00B62276" w:rsidRPr="00650EE4" w14:paraId="2B880B44" w14:textId="77777777" w:rsidTr="00E57787">
        <w:tc>
          <w:tcPr>
            <w:tcW w:w="713" w:type="dxa"/>
            <w:shd w:val="clear" w:color="000000" w:fill="FFFFFF"/>
            <w:noWrap/>
            <w:vAlign w:val="center"/>
          </w:tcPr>
          <w:p w14:paraId="44D909B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629" w:type="dxa"/>
            <w:shd w:val="clear" w:color="000000" w:fill="FFFFFF"/>
            <w:noWrap/>
            <w:vAlign w:val="center"/>
          </w:tcPr>
          <w:p w14:paraId="55575CE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shd w:val="clear" w:color="000000" w:fill="FFFFFF"/>
            <w:noWrap/>
            <w:vAlign w:val="center"/>
          </w:tcPr>
          <w:p w14:paraId="139390B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1F246A7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53144B5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78</w:t>
            </w:r>
          </w:p>
        </w:tc>
        <w:tc>
          <w:tcPr>
            <w:tcW w:w="1273" w:type="dxa"/>
            <w:shd w:val="clear" w:color="000000" w:fill="FFFFFF"/>
            <w:noWrap/>
            <w:vAlign w:val="bottom"/>
          </w:tcPr>
          <w:p w14:paraId="4C9B1DB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47</w:t>
            </w:r>
          </w:p>
        </w:tc>
        <w:tc>
          <w:tcPr>
            <w:tcW w:w="1132" w:type="dxa"/>
            <w:shd w:val="clear" w:color="000000" w:fill="FFFFFF"/>
            <w:noWrap/>
            <w:vAlign w:val="bottom"/>
          </w:tcPr>
          <w:p w14:paraId="75D029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43</w:t>
            </w:r>
          </w:p>
        </w:tc>
        <w:tc>
          <w:tcPr>
            <w:tcW w:w="1434" w:type="dxa"/>
            <w:shd w:val="clear" w:color="000000" w:fill="FFFFFF"/>
            <w:noWrap/>
            <w:vAlign w:val="bottom"/>
          </w:tcPr>
          <w:p w14:paraId="4DCAB34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90</w:t>
            </w:r>
          </w:p>
        </w:tc>
        <w:tc>
          <w:tcPr>
            <w:tcW w:w="1410" w:type="dxa"/>
            <w:shd w:val="clear" w:color="000000" w:fill="FFFFFF"/>
            <w:noWrap/>
            <w:vAlign w:val="bottom"/>
          </w:tcPr>
          <w:p w14:paraId="744C3B3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7-72</w:t>
            </w:r>
          </w:p>
        </w:tc>
      </w:tr>
      <w:tr w:rsidR="00B62276" w:rsidRPr="00650EE4" w14:paraId="2E899CAF" w14:textId="77777777" w:rsidTr="00E57787">
        <w:tc>
          <w:tcPr>
            <w:tcW w:w="713" w:type="dxa"/>
            <w:shd w:val="clear" w:color="000000" w:fill="FFFFFF"/>
            <w:noWrap/>
            <w:vAlign w:val="center"/>
          </w:tcPr>
          <w:p w14:paraId="1D24ED5F"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629" w:type="dxa"/>
            <w:shd w:val="clear" w:color="000000" w:fill="FFFFFF"/>
            <w:noWrap/>
            <w:vAlign w:val="center"/>
          </w:tcPr>
          <w:p w14:paraId="2CB31BC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shd w:val="clear" w:color="000000" w:fill="FFFFFF"/>
            <w:noWrap/>
            <w:vAlign w:val="center"/>
          </w:tcPr>
          <w:p w14:paraId="6E3E231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6" w:type="dxa"/>
            <w:shd w:val="clear" w:color="000000" w:fill="FFFFFF"/>
            <w:noWrap/>
            <w:vAlign w:val="center"/>
          </w:tcPr>
          <w:p w14:paraId="60D6371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shd w:val="clear" w:color="000000" w:fill="FFFFFF"/>
            <w:noWrap/>
            <w:vAlign w:val="bottom"/>
          </w:tcPr>
          <w:p w14:paraId="150BB37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99</w:t>
            </w:r>
          </w:p>
        </w:tc>
        <w:tc>
          <w:tcPr>
            <w:tcW w:w="1273" w:type="dxa"/>
            <w:shd w:val="clear" w:color="000000" w:fill="FFFFFF"/>
            <w:noWrap/>
            <w:vAlign w:val="bottom"/>
          </w:tcPr>
          <w:p w14:paraId="7CEF99D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w:t>
            </w:r>
          </w:p>
        </w:tc>
        <w:tc>
          <w:tcPr>
            <w:tcW w:w="1132" w:type="dxa"/>
            <w:shd w:val="clear" w:color="000000" w:fill="FFFFFF"/>
            <w:noWrap/>
            <w:vAlign w:val="bottom"/>
          </w:tcPr>
          <w:p w14:paraId="0EEEACB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51</w:t>
            </w:r>
          </w:p>
        </w:tc>
        <w:tc>
          <w:tcPr>
            <w:tcW w:w="1434" w:type="dxa"/>
            <w:shd w:val="clear" w:color="000000" w:fill="FFFFFF"/>
            <w:noWrap/>
            <w:vAlign w:val="bottom"/>
          </w:tcPr>
          <w:p w14:paraId="7565DFC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105</w:t>
            </w:r>
          </w:p>
        </w:tc>
        <w:tc>
          <w:tcPr>
            <w:tcW w:w="1410" w:type="dxa"/>
            <w:shd w:val="clear" w:color="000000" w:fill="FFFFFF"/>
            <w:noWrap/>
            <w:vAlign w:val="bottom"/>
          </w:tcPr>
          <w:p w14:paraId="604768B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33-127</w:t>
            </w:r>
          </w:p>
        </w:tc>
      </w:tr>
      <w:tr w:rsidR="00B62276" w:rsidRPr="00650EE4" w14:paraId="6CE2E577" w14:textId="77777777" w:rsidTr="00E57787">
        <w:tc>
          <w:tcPr>
            <w:tcW w:w="713" w:type="dxa"/>
            <w:tcBorders>
              <w:bottom w:val="single" w:sz="4" w:space="0" w:color="auto"/>
            </w:tcBorders>
            <w:shd w:val="clear" w:color="000000" w:fill="FFFFFF"/>
            <w:noWrap/>
            <w:vAlign w:val="center"/>
            <w:hideMark/>
          </w:tcPr>
          <w:p w14:paraId="704CBBBD"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629" w:type="dxa"/>
            <w:tcBorders>
              <w:bottom w:val="single" w:sz="4" w:space="0" w:color="auto"/>
            </w:tcBorders>
            <w:shd w:val="clear" w:color="000000" w:fill="FFFFFF"/>
            <w:noWrap/>
            <w:vAlign w:val="center"/>
            <w:hideMark/>
          </w:tcPr>
          <w:p w14:paraId="4ACB3D8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3" w:type="dxa"/>
            <w:tcBorders>
              <w:bottom w:val="single" w:sz="4" w:space="0" w:color="auto"/>
            </w:tcBorders>
            <w:shd w:val="clear" w:color="000000" w:fill="FFFFFF"/>
            <w:noWrap/>
            <w:vAlign w:val="center"/>
            <w:hideMark/>
          </w:tcPr>
          <w:p w14:paraId="7203D48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hideMark/>
          </w:tcPr>
          <w:p w14:paraId="17FD4E9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hideMark/>
          </w:tcPr>
          <w:p w14:paraId="6BBD6B0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3" w:type="dxa"/>
            <w:tcBorders>
              <w:bottom w:val="single" w:sz="4" w:space="0" w:color="auto"/>
            </w:tcBorders>
            <w:shd w:val="clear" w:color="000000" w:fill="FFFFFF"/>
            <w:noWrap/>
            <w:vAlign w:val="bottom"/>
            <w:hideMark/>
          </w:tcPr>
          <w:p w14:paraId="5CC083E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2" w:type="dxa"/>
            <w:tcBorders>
              <w:bottom w:val="single" w:sz="4" w:space="0" w:color="auto"/>
            </w:tcBorders>
            <w:shd w:val="clear" w:color="000000" w:fill="FFFFFF"/>
            <w:noWrap/>
            <w:vAlign w:val="bottom"/>
            <w:hideMark/>
          </w:tcPr>
          <w:p w14:paraId="6091E98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34" w:type="dxa"/>
            <w:tcBorders>
              <w:bottom w:val="single" w:sz="4" w:space="0" w:color="auto"/>
            </w:tcBorders>
            <w:shd w:val="clear" w:color="000000" w:fill="FFFFFF"/>
            <w:noWrap/>
            <w:vAlign w:val="bottom"/>
            <w:hideMark/>
          </w:tcPr>
          <w:p w14:paraId="58B9808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45</w:t>
            </w:r>
          </w:p>
        </w:tc>
        <w:tc>
          <w:tcPr>
            <w:tcW w:w="1410" w:type="dxa"/>
            <w:tcBorders>
              <w:bottom w:val="single" w:sz="4" w:space="0" w:color="auto"/>
            </w:tcBorders>
            <w:shd w:val="clear" w:color="000000" w:fill="FFFFFF"/>
            <w:noWrap/>
            <w:vAlign w:val="bottom"/>
            <w:hideMark/>
          </w:tcPr>
          <w:p w14:paraId="5F842D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5-25</w:t>
            </w:r>
          </w:p>
        </w:tc>
      </w:tr>
      <w:tr w:rsidR="00B62276" w:rsidRPr="00650EE4" w14:paraId="17B1F1E3" w14:textId="77777777" w:rsidTr="00E57787">
        <w:tc>
          <w:tcPr>
            <w:tcW w:w="713" w:type="dxa"/>
            <w:tcBorders>
              <w:bottom w:val="single" w:sz="4" w:space="0" w:color="auto"/>
            </w:tcBorders>
            <w:shd w:val="clear" w:color="000000" w:fill="FFFFFF"/>
            <w:noWrap/>
            <w:vAlign w:val="center"/>
          </w:tcPr>
          <w:p w14:paraId="5789F68C"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629" w:type="dxa"/>
            <w:tcBorders>
              <w:bottom w:val="single" w:sz="4" w:space="0" w:color="auto"/>
            </w:tcBorders>
            <w:shd w:val="clear" w:color="000000" w:fill="FFFFFF"/>
            <w:noWrap/>
            <w:vAlign w:val="center"/>
          </w:tcPr>
          <w:p w14:paraId="62C43D7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3" w:type="dxa"/>
            <w:tcBorders>
              <w:bottom w:val="single" w:sz="4" w:space="0" w:color="auto"/>
            </w:tcBorders>
            <w:shd w:val="clear" w:color="000000" w:fill="FFFFFF"/>
            <w:noWrap/>
            <w:vAlign w:val="center"/>
          </w:tcPr>
          <w:p w14:paraId="1D77BC1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tcPr>
          <w:p w14:paraId="157712AD"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tcPr>
          <w:p w14:paraId="14142E4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48</w:t>
            </w:r>
          </w:p>
        </w:tc>
        <w:tc>
          <w:tcPr>
            <w:tcW w:w="1273" w:type="dxa"/>
            <w:tcBorders>
              <w:bottom w:val="single" w:sz="4" w:space="0" w:color="auto"/>
            </w:tcBorders>
            <w:shd w:val="clear" w:color="000000" w:fill="FFFFFF"/>
            <w:noWrap/>
            <w:vAlign w:val="bottom"/>
          </w:tcPr>
          <w:p w14:paraId="6540DCF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132" w:type="dxa"/>
            <w:tcBorders>
              <w:bottom w:val="single" w:sz="4" w:space="0" w:color="auto"/>
            </w:tcBorders>
            <w:shd w:val="clear" w:color="000000" w:fill="FFFFFF"/>
            <w:noWrap/>
            <w:vAlign w:val="bottom"/>
          </w:tcPr>
          <w:p w14:paraId="0469FB4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434" w:type="dxa"/>
            <w:tcBorders>
              <w:bottom w:val="single" w:sz="4" w:space="0" w:color="auto"/>
            </w:tcBorders>
            <w:shd w:val="clear" w:color="000000" w:fill="FFFFFF"/>
            <w:noWrap/>
            <w:vAlign w:val="bottom"/>
          </w:tcPr>
          <w:p w14:paraId="70D881F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56</w:t>
            </w:r>
          </w:p>
        </w:tc>
        <w:tc>
          <w:tcPr>
            <w:tcW w:w="1410" w:type="dxa"/>
            <w:tcBorders>
              <w:bottom w:val="single" w:sz="4" w:space="0" w:color="auto"/>
            </w:tcBorders>
            <w:shd w:val="clear" w:color="000000" w:fill="FFFFFF"/>
            <w:noWrap/>
            <w:vAlign w:val="bottom"/>
          </w:tcPr>
          <w:p w14:paraId="3CFED80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5-55</w:t>
            </w:r>
          </w:p>
        </w:tc>
      </w:tr>
      <w:tr w:rsidR="00B62276" w:rsidRPr="00650EE4" w14:paraId="4F6544E0" w14:textId="77777777" w:rsidTr="00E57787">
        <w:tc>
          <w:tcPr>
            <w:tcW w:w="713" w:type="dxa"/>
            <w:tcBorders>
              <w:bottom w:val="single" w:sz="4" w:space="0" w:color="auto"/>
            </w:tcBorders>
            <w:shd w:val="clear" w:color="000000" w:fill="FFFFFF"/>
            <w:noWrap/>
            <w:vAlign w:val="center"/>
          </w:tcPr>
          <w:p w14:paraId="2099628A"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629" w:type="dxa"/>
            <w:tcBorders>
              <w:bottom w:val="single" w:sz="4" w:space="0" w:color="auto"/>
            </w:tcBorders>
            <w:shd w:val="clear" w:color="000000" w:fill="FFFFFF"/>
            <w:noWrap/>
            <w:vAlign w:val="center"/>
          </w:tcPr>
          <w:p w14:paraId="37661024"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3" w:type="dxa"/>
            <w:tcBorders>
              <w:bottom w:val="single" w:sz="4" w:space="0" w:color="auto"/>
            </w:tcBorders>
            <w:shd w:val="clear" w:color="000000" w:fill="FFFFFF"/>
            <w:noWrap/>
            <w:vAlign w:val="center"/>
          </w:tcPr>
          <w:p w14:paraId="6185FDE8"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6" w:type="dxa"/>
            <w:tcBorders>
              <w:bottom w:val="single" w:sz="4" w:space="0" w:color="auto"/>
            </w:tcBorders>
            <w:shd w:val="clear" w:color="000000" w:fill="FFFFFF"/>
            <w:noWrap/>
            <w:vAlign w:val="center"/>
          </w:tcPr>
          <w:p w14:paraId="6C6A9C6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1064" w:type="dxa"/>
            <w:tcBorders>
              <w:bottom w:val="single" w:sz="4" w:space="0" w:color="auto"/>
            </w:tcBorders>
            <w:shd w:val="clear" w:color="000000" w:fill="FFFFFF"/>
            <w:noWrap/>
            <w:vAlign w:val="bottom"/>
          </w:tcPr>
          <w:p w14:paraId="50FEDD34"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77</w:t>
            </w:r>
          </w:p>
        </w:tc>
        <w:tc>
          <w:tcPr>
            <w:tcW w:w="1273" w:type="dxa"/>
            <w:tcBorders>
              <w:bottom w:val="single" w:sz="4" w:space="0" w:color="auto"/>
            </w:tcBorders>
            <w:shd w:val="clear" w:color="000000" w:fill="FFFFFF"/>
            <w:noWrap/>
            <w:vAlign w:val="bottom"/>
          </w:tcPr>
          <w:p w14:paraId="5C79004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50</w:t>
            </w:r>
          </w:p>
        </w:tc>
        <w:tc>
          <w:tcPr>
            <w:tcW w:w="1132" w:type="dxa"/>
            <w:tcBorders>
              <w:bottom w:val="single" w:sz="4" w:space="0" w:color="auto"/>
            </w:tcBorders>
            <w:shd w:val="clear" w:color="000000" w:fill="FFFFFF"/>
            <w:noWrap/>
            <w:vAlign w:val="bottom"/>
          </w:tcPr>
          <w:p w14:paraId="290DD08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434" w:type="dxa"/>
            <w:tcBorders>
              <w:bottom w:val="single" w:sz="4" w:space="0" w:color="auto"/>
            </w:tcBorders>
            <w:shd w:val="clear" w:color="000000" w:fill="FFFFFF"/>
            <w:noWrap/>
            <w:vAlign w:val="bottom"/>
          </w:tcPr>
          <w:p w14:paraId="1205D89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w:t>
            </w:r>
          </w:p>
        </w:tc>
        <w:tc>
          <w:tcPr>
            <w:tcW w:w="1410" w:type="dxa"/>
            <w:tcBorders>
              <w:bottom w:val="single" w:sz="4" w:space="0" w:color="auto"/>
            </w:tcBorders>
            <w:shd w:val="clear" w:color="000000" w:fill="FFFFFF"/>
            <w:noWrap/>
            <w:vAlign w:val="bottom"/>
          </w:tcPr>
          <w:p w14:paraId="0552AA8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21-112</w:t>
            </w:r>
          </w:p>
        </w:tc>
      </w:tr>
      <w:tr w:rsidR="00B62276" w:rsidRPr="00650EE4" w14:paraId="01318EDF" w14:textId="77777777" w:rsidTr="00E57787">
        <w:tc>
          <w:tcPr>
            <w:tcW w:w="2342"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7B102FEB"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Daliniai paketai</w:t>
            </w:r>
          </w:p>
        </w:tc>
        <w:tc>
          <w:tcPr>
            <w:tcW w:w="773" w:type="dxa"/>
            <w:tcBorders>
              <w:top w:val="single" w:sz="4" w:space="0" w:color="auto"/>
              <w:left w:val="nil"/>
              <w:bottom w:val="single" w:sz="4" w:space="0" w:color="auto"/>
              <w:right w:val="nil"/>
            </w:tcBorders>
            <w:shd w:val="clear" w:color="000000" w:fill="FFFFFF"/>
            <w:noWrap/>
            <w:vAlign w:val="center"/>
          </w:tcPr>
          <w:p w14:paraId="370B55D0"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766" w:type="dxa"/>
            <w:tcBorders>
              <w:top w:val="single" w:sz="4" w:space="0" w:color="auto"/>
              <w:left w:val="nil"/>
              <w:bottom w:val="single" w:sz="4" w:space="0" w:color="auto"/>
              <w:right w:val="nil"/>
            </w:tcBorders>
            <w:shd w:val="clear" w:color="000000" w:fill="FFFFFF"/>
            <w:noWrap/>
            <w:vAlign w:val="center"/>
          </w:tcPr>
          <w:p w14:paraId="48E7E7C0"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064" w:type="dxa"/>
            <w:tcBorders>
              <w:top w:val="single" w:sz="4" w:space="0" w:color="auto"/>
              <w:left w:val="nil"/>
              <w:bottom w:val="single" w:sz="4" w:space="0" w:color="auto"/>
              <w:right w:val="nil"/>
            </w:tcBorders>
            <w:shd w:val="clear" w:color="000000" w:fill="FFFFFF"/>
            <w:noWrap/>
            <w:vAlign w:val="center"/>
          </w:tcPr>
          <w:p w14:paraId="03B28CC4"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273" w:type="dxa"/>
            <w:tcBorders>
              <w:top w:val="single" w:sz="4" w:space="0" w:color="auto"/>
              <w:left w:val="nil"/>
              <w:bottom w:val="single" w:sz="4" w:space="0" w:color="auto"/>
              <w:right w:val="nil"/>
            </w:tcBorders>
            <w:shd w:val="clear" w:color="000000" w:fill="FFFFFF"/>
            <w:noWrap/>
            <w:vAlign w:val="center"/>
          </w:tcPr>
          <w:p w14:paraId="73CEF0C6"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132" w:type="dxa"/>
            <w:tcBorders>
              <w:top w:val="single" w:sz="4" w:space="0" w:color="auto"/>
              <w:left w:val="nil"/>
              <w:bottom w:val="single" w:sz="4" w:space="0" w:color="auto"/>
              <w:right w:val="nil"/>
            </w:tcBorders>
            <w:shd w:val="clear" w:color="000000" w:fill="FFFFFF"/>
            <w:noWrap/>
            <w:vAlign w:val="center"/>
          </w:tcPr>
          <w:p w14:paraId="64F7D742"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34" w:type="dxa"/>
            <w:tcBorders>
              <w:top w:val="single" w:sz="4" w:space="0" w:color="auto"/>
              <w:left w:val="nil"/>
              <w:bottom w:val="single" w:sz="4" w:space="0" w:color="auto"/>
              <w:right w:val="nil"/>
            </w:tcBorders>
            <w:shd w:val="clear" w:color="000000" w:fill="FFFFFF"/>
            <w:noWrap/>
            <w:vAlign w:val="center"/>
          </w:tcPr>
          <w:p w14:paraId="1309FE95"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c>
          <w:tcPr>
            <w:tcW w:w="1410" w:type="dxa"/>
            <w:tcBorders>
              <w:top w:val="single" w:sz="4" w:space="0" w:color="auto"/>
              <w:left w:val="nil"/>
              <w:bottom w:val="single" w:sz="4" w:space="0" w:color="auto"/>
              <w:right w:val="single" w:sz="4" w:space="0" w:color="auto"/>
            </w:tcBorders>
            <w:shd w:val="clear" w:color="000000" w:fill="FFFFFF"/>
            <w:noWrap/>
            <w:vAlign w:val="center"/>
          </w:tcPr>
          <w:p w14:paraId="01785A6C" w14:textId="77777777" w:rsidR="00B62276" w:rsidRPr="00650EE4" w:rsidRDefault="00B62276" w:rsidP="002D37AB">
            <w:pPr>
              <w:spacing w:line="240" w:lineRule="auto"/>
              <w:jc w:val="center"/>
              <w:rPr>
                <w:rFonts w:ascii="Times New Roman" w:eastAsia="Times New Roman" w:hAnsi="Times New Roman"/>
                <w:sz w:val="20"/>
                <w:szCs w:val="20"/>
                <w:lang w:eastAsia="lt-LT"/>
              </w:rPr>
            </w:pPr>
          </w:p>
        </w:tc>
      </w:tr>
      <w:tr w:rsidR="00B62276" w:rsidRPr="00650EE4" w14:paraId="5BFC2E1D" w14:textId="77777777" w:rsidTr="00E57787">
        <w:tc>
          <w:tcPr>
            <w:tcW w:w="713" w:type="dxa"/>
            <w:tcBorders>
              <w:top w:val="single" w:sz="4" w:space="0" w:color="auto"/>
            </w:tcBorders>
            <w:shd w:val="clear" w:color="000000" w:fill="FFFFFF"/>
            <w:noWrap/>
            <w:vAlign w:val="center"/>
          </w:tcPr>
          <w:p w14:paraId="6542A5E0"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629" w:type="dxa"/>
            <w:tcBorders>
              <w:top w:val="single" w:sz="4" w:space="0" w:color="auto"/>
            </w:tcBorders>
            <w:shd w:val="clear" w:color="000000" w:fill="FFFFFF"/>
            <w:noWrap/>
            <w:vAlign w:val="center"/>
          </w:tcPr>
          <w:p w14:paraId="48E275CD" w14:textId="77777777" w:rsidR="00B62276" w:rsidRPr="00650EE4" w:rsidRDefault="00B62276" w:rsidP="00AE7CA9">
            <w:pPr>
              <w:spacing w:line="240" w:lineRule="auto"/>
              <w:ind w:right="-171"/>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773" w:type="dxa"/>
            <w:tcBorders>
              <w:top w:val="single" w:sz="4" w:space="0" w:color="auto"/>
            </w:tcBorders>
            <w:shd w:val="clear" w:color="000000" w:fill="FFFFFF"/>
            <w:noWrap/>
            <w:vAlign w:val="center"/>
          </w:tcPr>
          <w:p w14:paraId="32CE0886"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tcBorders>
              <w:top w:val="single" w:sz="4" w:space="0" w:color="auto"/>
            </w:tcBorders>
            <w:shd w:val="clear" w:color="000000" w:fill="FFFFFF"/>
            <w:noWrap/>
            <w:vAlign w:val="center"/>
          </w:tcPr>
          <w:p w14:paraId="2529C85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tcBorders>
              <w:top w:val="single" w:sz="4" w:space="0" w:color="auto"/>
            </w:tcBorders>
            <w:shd w:val="clear" w:color="000000" w:fill="FFFFFF"/>
            <w:noWrap/>
            <w:vAlign w:val="center"/>
          </w:tcPr>
          <w:p w14:paraId="4EF8366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w:t>
            </w:r>
          </w:p>
        </w:tc>
        <w:tc>
          <w:tcPr>
            <w:tcW w:w="1273" w:type="dxa"/>
            <w:tcBorders>
              <w:top w:val="single" w:sz="4" w:space="0" w:color="auto"/>
            </w:tcBorders>
            <w:shd w:val="clear" w:color="000000" w:fill="FFFFFF"/>
            <w:noWrap/>
            <w:vAlign w:val="center"/>
          </w:tcPr>
          <w:p w14:paraId="234CFEF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40</w:t>
            </w:r>
          </w:p>
        </w:tc>
        <w:tc>
          <w:tcPr>
            <w:tcW w:w="1132" w:type="dxa"/>
            <w:tcBorders>
              <w:top w:val="single" w:sz="4" w:space="0" w:color="auto"/>
            </w:tcBorders>
            <w:shd w:val="clear" w:color="000000" w:fill="FFFFFF"/>
            <w:noWrap/>
            <w:vAlign w:val="center"/>
          </w:tcPr>
          <w:p w14:paraId="5BDE1DE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34</w:t>
            </w:r>
          </w:p>
        </w:tc>
        <w:tc>
          <w:tcPr>
            <w:tcW w:w="1434" w:type="dxa"/>
            <w:tcBorders>
              <w:top w:val="single" w:sz="4" w:space="0" w:color="auto"/>
            </w:tcBorders>
            <w:shd w:val="clear" w:color="000000" w:fill="FFFFFF"/>
            <w:noWrap/>
            <w:vAlign w:val="center"/>
          </w:tcPr>
          <w:p w14:paraId="732CF38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54</w:t>
            </w:r>
          </w:p>
        </w:tc>
        <w:tc>
          <w:tcPr>
            <w:tcW w:w="1410" w:type="dxa"/>
            <w:tcBorders>
              <w:top w:val="single" w:sz="4" w:space="0" w:color="auto"/>
            </w:tcBorders>
            <w:shd w:val="clear" w:color="000000" w:fill="FFFFFF"/>
            <w:noWrap/>
            <w:vAlign w:val="center"/>
          </w:tcPr>
          <w:p w14:paraId="1E87D4D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16-30</w:t>
            </w:r>
          </w:p>
        </w:tc>
      </w:tr>
      <w:tr w:rsidR="00B62276" w:rsidRPr="00650EE4" w14:paraId="5C85C497" w14:textId="77777777" w:rsidTr="00E57787">
        <w:tc>
          <w:tcPr>
            <w:tcW w:w="713" w:type="dxa"/>
            <w:shd w:val="clear" w:color="000000" w:fill="FFFFFF"/>
            <w:noWrap/>
            <w:vAlign w:val="center"/>
            <w:hideMark/>
          </w:tcPr>
          <w:p w14:paraId="748206B8"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lastRenderedPageBreak/>
              <w:t>35</w:t>
            </w:r>
          </w:p>
        </w:tc>
        <w:tc>
          <w:tcPr>
            <w:tcW w:w="1629" w:type="dxa"/>
            <w:shd w:val="clear" w:color="000000" w:fill="FFFFFF"/>
            <w:noWrap/>
            <w:vAlign w:val="center"/>
            <w:hideMark/>
          </w:tcPr>
          <w:p w14:paraId="3B48A82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773" w:type="dxa"/>
            <w:shd w:val="clear" w:color="000000" w:fill="FFFFFF"/>
            <w:noWrap/>
            <w:vAlign w:val="center"/>
            <w:hideMark/>
          </w:tcPr>
          <w:p w14:paraId="6D68660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591F877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299CC78F"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53</w:t>
            </w:r>
          </w:p>
        </w:tc>
        <w:tc>
          <w:tcPr>
            <w:tcW w:w="1273" w:type="dxa"/>
            <w:shd w:val="clear" w:color="000000" w:fill="FFFFFF"/>
            <w:noWrap/>
            <w:vAlign w:val="center"/>
            <w:hideMark/>
          </w:tcPr>
          <w:p w14:paraId="7EA07E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45</w:t>
            </w:r>
          </w:p>
        </w:tc>
        <w:tc>
          <w:tcPr>
            <w:tcW w:w="1132" w:type="dxa"/>
            <w:shd w:val="clear" w:color="000000" w:fill="FFFFFF"/>
            <w:noWrap/>
            <w:vAlign w:val="center"/>
            <w:hideMark/>
          </w:tcPr>
          <w:p w14:paraId="6E32635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31</w:t>
            </w:r>
          </w:p>
        </w:tc>
        <w:tc>
          <w:tcPr>
            <w:tcW w:w="1434" w:type="dxa"/>
            <w:shd w:val="clear" w:color="000000" w:fill="FFFFFF"/>
            <w:noWrap/>
            <w:vAlign w:val="center"/>
            <w:hideMark/>
          </w:tcPr>
          <w:p w14:paraId="1E19528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118</w:t>
            </w:r>
          </w:p>
        </w:tc>
        <w:tc>
          <w:tcPr>
            <w:tcW w:w="1410" w:type="dxa"/>
            <w:shd w:val="clear" w:color="000000" w:fill="FFFFFF"/>
            <w:noWrap/>
            <w:vAlign w:val="center"/>
            <w:hideMark/>
          </w:tcPr>
          <w:p w14:paraId="4C7FC3C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10-41</w:t>
            </w:r>
          </w:p>
        </w:tc>
      </w:tr>
      <w:tr w:rsidR="00B62276" w:rsidRPr="00650EE4" w14:paraId="4167332A" w14:textId="77777777" w:rsidTr="00E57787">
        <w:tc>
          <w:tcPr>
            <w:tcW w:w="713" w:type="dxa"/>
            <w:shd w:val="clear" w:color="000000" w:fill="FFFFFF"/>
            <w:noWrap/>
            <w:vAlign w:val="center"/>
            <w:hideMark/>
          </w:tcPr>
          <w:p w14:paraId="12D3A9E7"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629" w:type="dxa"/>
            <w:shd w:val="clear" w:color="000000" w:fill="FFFFFF"/>
            <w:noWrap/>
            <w:vAlign w:val="center"/>
            <w:hideMark/>
          </w:tcPr>
          <w:p w14:paraId="5D29BC9C"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773" w:type="dxa"/>
            <w:shd w:val="clear" w:color="000000" w:fill="FFFFFF"/>
            <w:noWrap/>
            <w:vAlign w:val="center"/>
            <w:hideMark/>
          </w:tcPr>
          <w:p w14:paraId="2535A7A2"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166CA81A"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6179B467"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3" w:type="dxa"/>
            <w:shd w:val="clear" w:color="000000" w:fill="FFFFFF"/>
            <w:noWrap/>
            <w:vAlign w:val="center"/>
            <w:hideMark/>
          </w:tcPr>
          <w:p w14:paraId="150AADC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2" w:type="dxa"/>
            <w:shd w:val="clear" w:color="000000" w:fill="FFFFFF"/>
            <w:noWrap/>
            <w:vAlign w:val="center"/>
            <w:hideMark/>
          </w:tcPr>
          <w:p w14:paraId="55B9ADB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434" w:type="dxa"/>
            <w:shd w:val="clear" w:color="000000" w:fill="FFFFFF"/>
            <w:noWrap/>
            <w:vAlign w:val="center"/>
            <w:hideMark/>
          </w:tcPr>
          <w:p w14:paraId="4F4B34EE"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410" w:type="dxa"/>
            <w:shd w:val="clear" w:color="000000" w:fill="FFFFFF"/>
            <w:noWrap/>
            <w:vAlign w:val="center"/>
            <w:hideMark/>
          </w:tcPr>
          <w:p w14:paraId="133A5F50"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6-15</w:t>
            </w:r>
          </w:p>
        </w:tc>
      </w:tr>
      <w:tr w:rsidR="00B62276" w:rsidRPr="00650EE4" w14:paraId="21D86F27" w14:textId="77777777" w:rsidTr="00E57787">
        <w:tc>
          <w:tcPr>
            <w:tcW w:w="713" w:type="dxa"/>
            <w:shd w:val="clear" w:color="000000" w:fill="FFFFFF"/>
            <w:noWrap/>
            <w:vAlign w:val="center"/>
            <w:hideMark/>
          </w:tcPr>
          <w:p w14:paraId="2F22A774" w14:textId="77777777" w:rsidR="00B62276" w:rsidRPr="00650EE4" w:rsidRDefault="00B62276" w:rsidP="002D37AB">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1629" w:type="dxa"/>
            <w:shd w:val="clear" w:color="000000" w:fill="FFFFFF"/>
            <w:noWrap/>
            <w:vAlign w:val="center"/>
            <w:hideMark/>
          </w:tcPr>
          <w:p w14:paraId="5F7ED4C5" w14:textId="77777777" w:rsidR="00B62276" w:rsidRPr="00650EE4" w:rsidRDefault="00B62276" w:rsidP="002D37AB">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773" w:type="dxa"/>
            <w:shd w:val="clear" w:color="000000" w:fill="FFFFFF"/>
            <w:noWrap/>
            <w:vAlign w:val="center"/>
            <w:hideMark/>
          </w:tcPr>
          <w:p w14:paraId="1FB57C4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6" w:type="dxa"/>
            <w:shd w:val="clear" w:color="000000" w:fill="FFFFFF"/>
            <w:noWrap/>
            <w:vAlign w:val="center"/>
            <w:hideMark/>
          </w:tcPr>
          <w:p w14:paraId="106DB38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1064" w:type="dxa"/>
            <w:shd w:val="clear" w:color="000000" w:fill="FFFFFF"/>
            <w:noWrap/>
            <w:vAlign w:val="center"/>
            <w:hideMark/>
          </w:tcPr>
          <w:p w14:paraId="5B8CB53B"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273" w:type="dxa"/>
            <w:shd w:val="clear" w:color="000000" w:fill="FFFFFF"/>
            <w:noWrap/>
            <w:vAlign w:val="center"/>
            <w:hideMark/>
          </w:tcPr>
          <w:p w14:paraId="40116FF3"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w:t>
            </w:r>
          </w:p>
        </w:tc>
        <w:tc>
          <w:tcPr>
            <w:tcW w:w="1132" w:type="dxa"/>
            <w:shd w:val="clear" w:color="000000" w:fill="FFFFFF"/>
            <w:noWrap/>
            <w:vAlign w:val="center"/>
            <w:hideMark/>
          </w:tcPr>
          <w:p w14:paraId="78009D1C"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434" w:type="dxa"/>
            <w:shd w:val="clear" w:color="000000" w:fill="FFFFFF"/>
            <w:noWrap/>
            <w:vAlign w:val="center"/>
            <w:hideMark/>
          </w:tcPr>
          <w:p w14:paraId="4A982139"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410" w:type="dxa"/>
            <w:shd w:val="clear" w:color="000000" w:fill="FFFFFF"/>
            <w:noWrap/>
            <w:vAlign w:val="center"/>
            <w:hideMark/>
          </w:tcPr>
          <w:p w14:paraId="493F70D5" w14:textId="77777777" w:rsidR="00B62276" w:rsidRPr="00650EE4" w:rsidRDefault="00B62276" w:rsidP="002D37AB">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1-10</w:t>
            </w:r>
          </w:p>
        </w:tc>
      </w:tr>
    </w:tbl>
    <w:p w14:paraId="072CE17F" w14:textId="4581AD10" w:rsidR="00B62276" w:rsidRPr="00650EE4" w:rsidRDefault="00B62276" w:rsidP="006946CC">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4479AB">
        <w:rPr>
          <w:rFonts w:ascii="Times New Roman" w:hAnsi="Times New Roman"/>
          <w:i/>
          <w:iCs/>
          <w:color w:val="auto"/>
          <w:sz w:val="20"/>
          <w:szCs w:val="20"/>
        </w:rPr>
        <w:t>Lietuvos ilgalaikei renovacijos strategijai parengti</w:t>
      </w:r>
      <w:r w:rsidR="004479AB"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D7517A2" w14:textId="77777777" w:rsidR="00B62276" w:rsidRPr="00650EE4" w:rsidRDefault="00B62276" w:rsidP="00B62276">
      <w:pPr>
        <w:spacing w:after="120"/>
        <w:rPr>
          <w:rFonts w:ascii="Times New Roman" w:hAnsi="Times New Roman"/>
          <w:szCs w:val="22"/>
          <w:lang w:eastAsia="lt-LT"/>
        </w:rPr>
      </w:pPr>
    </w:p>
    <w:p w14:paraId="26880639" w14:textId="51BDDDC7" w:rsidR="001F01CD" w:rsidRPr="00650EE4" w:rsidRDefault="001F01CD" w:rsidP="006A470E">
      <w:pPr>
        <w:pStyle w:val="Antrastes31"/>
        <w:numPr>
          <w:ilvl w:val="2"/>
          <w:numId w:val="4"/>
        </w:numPr>
        <w:spacing w:before="0"/>
        <w:ind w:left="720" w:hanging="720"/>
        <w:rPr>
          <w:rFonts w:ascii="Times New Roman" w:hAnsi="Times New Roman"/>
          <w:color w:val="000000" w:themeColor="text1"/>
          <w:sz w:val="24"/>
          <w:szCs w:val="24"/>
          <w:lang w:val="lt-LT"/>
        </w:rPr>
      </w:pPr>
      <w:bookmarkStart w:id="97" w:name="_Toc59107527"/>
      <w:r w:rsidRPr="00650EE4">
        <w:rPr>
          <w:rFonts w:ascii="Times New Roman" w:hAnsi="Times New Roman"/>
          <w:color w:val="000000" w:themeColor="text1"/>
          <w:sz w:val="24"/>
          <w:szCs w:val="24"/>
          <w:lang w:val="lt-LT"/>
        </w:rPr>
        <w:t>CO</w:t>
      </w:r>
      <w:r w:rsidRPr="00650EE4">
        <w:rPr>
          <w:rFonts w:ascii="Times New Roman" w:hAnsi="Times New Roman"/>
          <w:color w:val="000000" w:themeColor="text1"/>
          <w:sz w:val="24"/>
          <w:szCs w:val="24"/>
          <w:vertAlign w:val="subscript"/>
          <w:lang w:val="lt-LT"/>
        </w:rPr>
        <w:t>2</w:t>
      </w:r>
      <w:r w:rsidRPr="00650EE4">
        <w:rPr>
          <w:rFonts w:ascii="Times New Roman" w:hAnsi="Times New Roman"/>
          <w:color w:val="000000" w:themeColor="text1"/>
          <w:sz w:val="24"/>
          <w:szCs w:val="24"/>
          <w:lang w:val="lt-LT"/>
        </w:rPr>
        <w:t xml:space="preserve"> emisijų </w:t>
      </w:r>
      <w:r w:rsidR="006A470E" w:rsidRPr="00650EE4">
        <w:rPr>
          <w:rFonts w:ascii="Times New Roman" w:hAnsi="Times New Roman"/>
          <w:color w:val="000000" w:themeColor="text1"/>
          <w:sz w:val="24"/>
          <w:szCs w:val="24"/>
          <w:lang w:val="lt-LT"/>
        </w:rPr>
        <w:t>sutaupymai</w:t>
      </w:r>
      <w:bookmarkEnd w:id="97"/>
    </w:p>
    <w:p w14:paraId="4B637D1E" w14:textId="6305DC71" w:rsidR="001F01CD" w:rsidRPr="00650EE4" w:rsidRDefault="001F01CD" w:rsidP="00086DC2">
      <w:pPr>
        <w:jc w:val="both"/>
        <w:rPr>
          <w:rFonts w:ascii="Times New Roman" w:hAnsi="Times New Roman"/>
          <w:color w:val="000000" w:themeColor="text1"/>
          <w:szCs w:val="22"/>
        </w:rPr>
      </w:pPr>
      <w:r w:rsidRPr="00650EE4">
        <w:rPr>
          <w:rFonts w:ascii="Times New Roman" w:hAnsi="Times New Roman"/>
          <w:szCs w:val="22"/>
          <w:lang w:eastAsia="lt-LT"/>
        </w:rPr>
        <w:t>CO</w:t>
      </w:r>
      <w:r w:rsidRPr="00650EE4">
        <w:rPr>
          <w:rFonts w:ascii="Times New Roman" w:hAnsi="Times New Roman"/>
          <w:szCs w:val="22"/>
          <w:vertAlign w:val="subscript"/>
          <w:lang w:eastAsia="lt-LT"/>
        </w:rPr>
        <w:t>2</w:t>
      </w:r>
      <w:r w:rsidRPr="00650EE4">
        <w:rPr>
          <w:rFonts w:ascii="Times New Roman" w:hAnsi="Times New Roman"/>
          <w:szCs w:val="22"/>
          <w:lang w:eastAsia="lt-LT"/>
        </w:rPr>
        <w:t xml:space="preserve"> emisijų pokytis apskaičiuotas pagal energinio efektyvumo ir atsinaujinančių energijos išteklių priemonių pasiekto pirminio energijos vartojimo sumažėjimo ir pasikeitusio gamybos šaltinio rezultatą naudojant CO</w:t>
      </w:r>
      <w:r w:rsidRPr="00650EE4">
        <w:rPr>
          <w:rFonts w:ascii="Times New Roman" w:hAnsi="Times New Roman"/>
          <w:szCs w:val="22"/>
          <w:vertAlign w:val="subscript"/>
          <w:lang w:eastAsia="lt-LT"/>
        </w:rPr>
        <w:t>2</w:t>
      </w:r>
      <w:r w:rsidRPr="00650EE4">
        <w:rPr>
          <w:rFonts w:ascii="Times New Roman" w:hAnsi="Times New Roman"/>
          <w:szCs w:val="22"/>
          <w:lang w:eastAsia="lt-LT"/>
        </w:rPr>
        <w:t xml:space="preserve"> emisijų faktorius (žr. </w:t>
      </w:r>
      <w:r w:rsidR="00605C66">
        <w:rPr>
          <w:rFonts w:ascii="Times New Roman" w:hAnsi="Times New Roman"/>
          <w:szCs w:val="22"/>
          <w:lang w:eastAsia="lt-LT"/>
        </w:rPr>
        <w:t>1</w:t>
      </w:r>
      <w:r w:rsidRPr="00650EE4">
        <w:rPr>
          <w:rFonts w:ascii="Times New Roman" w:hAnsi="Times New Roman"/>
          <w:szCs w:val="22"/>
          <w:lang w:eastAsia="lt-LT"/>
        </w:rPr>
        <w:t xml:space="preserve">.2.5. skyrių). </w:t>
      </w:r>
      <w:r w:rsidRPr="00650EE4">
        <w:rPr>
          <w:rFonts w:ascii="Times New Roman" w:hAnsi="Times New Roman"/>
          <w:color w:val="000000" w:themeColor="text1"/>
          <w:szCs w:val="22"/>
        </w:rPr>
        <w:t>Lentelėje žemiau pateikiama visų modeliuojamų renovacijos priemonių paketų pasiektų CO</w:t>
      </w:r>
      <w:r w:rsidRPr="00650EE4">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emisijų sutaupymų suvestinė. Pateikiami vidutiniai dydžiai. Kadangi sutaupymų dydžiai priklauso nuo konkrečios modeliuojamos kombinacijos pastato statybos metų ir ploto, tiksli sutaupymo reikšmė gali skirtis. </w:t>
      </w:r>
    </w:p>
    <w:p w14:paraId="4EF3CD63" w14:textId="77777777" w:rsidR="00AE7CA9" w:rsidRPr="00650EE4" w:rsidRDefault="00AE7CA9" w:rsidP="001F01CD">
      <w:pPr>
        <w:pStyle w:val="Pagrindinispaprastastekstas"/>
        <w:rPr>
          <w:rFonts w:ascii="Times New Roman" w:hAnsi="Times New Roman"/>
          <w:color w:val="000000" w:themeColor="text1"/>
          <w:szCs w:val="22"/>
        </w:rPr>
      </w:pPr>
    </w:p>
    <w:p w14:paraId="69FDAC10" w14:textId="2F0EB03B" w:rsidR="001F01CD" w:rsidRPr="00650EE4" w:rsidRDefault="001F01C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98" w:name="_Toc59094221"/>
      <w:r w:rsidR="00F25C65">
        <w:t>38</w:t>
      </w:r>
      <w:r w:rsidRPr="00650EE4">
        <w:rPr>
          <w:noProof w:val="0"/>
        </w:rPr>
        <w:fldChar w:fldCharType="end"/>
      </w:r>
      <w:r w:rsidRPr="00650EE4">
        <w:rPr>
          <w:noProof w:val="0"/>
        </w:rPr>
        <w:t xml:space="preserve"> lentelė. Renovacijos priemonių CO</w:t>
      </w:r>
      <w:r w:rsidRPr="00650EE4">
        <w:rPr>
          <w:noProof w:val="0"/>
          <w:vertAlign w:val="subscript"/>
        </w:rPr>
        <w:t>2</w:t>
      </w:r>
      <w:r w:rsidRPr="00650EE4">
        <w:rPr>
          <w:noProof w:val="0"/>
        </w:rPr>
        <w:t xml:space="preserve"> emisijų sutaupymai (kgCO</w:t>
      </w:r>
      <w:r w:rsidRPr="00650EE4">
        <w:rPr>
          <w:noProof w:val="0"/>
          <w:vertAlign w:val="subscript"/>
        </w:rPr>
        <w:t>2</w:t>
      </w:r>
      <w:r w:rsidRPr="00650EE4">
        <w:rPr>
          <w:noProof w:val="0"/>
        </w:rPr>
        <w:t>/m</w:t>
      </w:r>
      <w:r w:rsidRPr="00650EE4">
        <w:rPr>
          <w:noProof w:val="0"/>
          <w:vertAlign w:val="superscript"/>
        </w:rPr>
        <w:t>2</w:t>
      </w:r>
      <w:r w:rsidRPr="00650EE4">
        <w:rPr>
          <w:noProof w:val="0"/>
        </w:rPr>
        <w:t>/metus)</w:t>
      </w:r>
      <w:bookmarkEnd w:id="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
        <w:gridCol w:w="1671"/>
        <w:gridCol w:w="791"/>
        <w:gridCol w:w="784"/>
        <w:gridCol w:w="944"/>
        <w:gridCol w:w="1304"/>
        <w:gridCol w:w="1159"/>
        <w:gridCol w:w="1448"/>
        <w:gridCol w:w="1586"/>
      </w:tblGrid>
      <w:tr w:rsidR="001F01CD" w:rsidRPr="00650EE4" w14:paraId="6E359311" w14:textId="77777777" w:rsidTr="00E57787">
        <w:trPr>
          <w:tblHeader/>
        </w:trPr>
        <w:tc>
          <w:tcPr>
            <w:tcW w:w="716" w:type="dxa"/>
            <w:vMerge w:val="restart"/>
            <w:shd w:val="clear" w:color="000000" w:fill="FFFFFF"/>
            <w:noWrap/>
            <w:vAlign w:val="center"/>
            <w:hideMark/>
          </w:tcPr>
          <w:p w14:paraId="43BEDE58"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Nr.</w:t>
            </w:r>
          </w:p>
        </w:tc>
        <w:tc>
          <w:tcPr>
            <w:tcW w:w="1634" w:type="dxa"/>
            <w:vMerge w:val="restart"/>
            <w:shd w:val="clear" w:color="000000" w:fill="FFFFFF"/>
            <w:noWrap/>
            <w:vAlign w:val="center"/>
            <w:hideMark/>
          </w:tcPr>
          <w:p w14:paraId="0C64AB77"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Paketas</w:t>
            </w:r>
          </w:p>
        </w:tc>
        <w:tc>
          <w:tcPr>
            <w:tcW w:w="1541" w:type="dxa"/>
            <w:gridSpan w:val="2"/>
            <w:tcBorders>
              <w:right w:val="single" w:sz="4" w:space="0" w:color="auto"/>
            </w:tcBorders>
            <w:shd w:val="clear" w:color="000000" w:fill="FFFFFF"/>
            <w:noWrap/>
            <w:vAlign w:val="center"/>
            <w:hideMark/>
          </w:tcPr>
          <w:p w14:paraId="0D12B160"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ENK</w:t>
            </w:r>
          </w:p>
        </w:tc>
        <w:tc>
          <w:tcPr>
            <w:tcW w:w="3334" w:type="dxa"/>
            <w:gridSpan w:val="3"/>
            <w:tcBorders>
              <w:top w:val="single" w:sz="4" w:space="0" w:color="auto"/>
              <w:left w:val="single" w:sz="4" w:space="0" w:color="auto"/>
              <w:bottom w:val="nil"/>
              <w:right w:val="single" w:sz="4" w:space="0" w:color="auto"/>
            </w:tcBorders>
            <w:shd w:val="clear" w:color="auto" w:fill="auto"/>
            <w:noWrap/>
            <w:vAlign w:val="center"/>
            <w:hideMark/>
          </w:tcPr>
          <w:p w14:paraId="212B6BBF"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Daugiabučiai</w:t>
            </w:r>
          </w:p>
        </w:tc>
        <w:tc>
          <w:tcPr>
            <w:tcW w:w="1417" w:type="dxa"/>
            <w:vMerge w:val="restart"/>
            <w:tcBorders>
              <w:left w:val="single" w:sz="4" w:space="0" w:color="auto"/>
            </w:tcBorders>
            <w:shd w:val="clear" w:color="000000" w:fill="FFFFFF"/>
            <w:noWrap/>
            <w:vAlign w:val="center"/>
            <w:hideMark/>
          </w:tcPr>
          <w:p w14:paraId="19D136E3"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Individualūs</w:t>
            </w:r>
          </w:p>
        </w:tc>
        <w:tc>
          <w:tcPr>
            <w:tcW w:w="1552" w:type="dxa"/>
            <w:vMerge w:val="restart"/>
            <w:shd w:val="clear" w:color="000000" w:fill="FFFFFF"/>
            <w:noWrap/>
            <w:vAlign w:val="center"/>
            <w:hideMark/>
          </w:tcPr>
          <w:p w14:paraId="0A33544C"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Negyvenamieji</w:t>
            </w:r>
          </w:p>
        </w:tc>
      </w:tr>
      <w:tr w:rsidR="001F01CD" w:rsidRPr="00650EE4" w14:paraId="1EA2D64D" w14:textId="77777777" w:rsidTr="00E57787">
        <w:trPr>
          <w:tblHeader/>
        </w:trPr>
        <w:tc>
          <w:tcPr>
            <w:tcW w:w="716" w:type="dxa"/>
            <w:vMerge/>
            <w:tcBorders>
              <w:bottom w:val="single" w:sz="4" w:space="0" w:color="auto"/>
            </w:tcBorders>
            <w:vAlign w:val="center"/>
            <w:hideMark/>
          </w:tcPr>
          <w:p w14:paraId="1857DA81" w14:textId="77777777" w:rsidR="001F01CD" w:rsidRPr="00650EE4" w:rsidRDefault="001F01CD" w:rsidP="004F6509">
            <w:pPr>
              <w:spacing w:line="240" w:lineRule="auto"/>
              <w:rPr>
                <w:rFonts w:ascii="Times New Roman" w:eastAsia="Times New Roman" w:hAnsi="Times New Roman"/>
                <w:b/>
                <w:bCs/>
                <w:sz w:val="20"/>
                <w:szCs w:val="20"/>
                <w:lang w:eastAsia="lt-LT"/>
              </w:rPr>
            </w:pPr>
          </w:p>
        </w:tc>
        <w:tc>
          <w:tcPr>
            <w:tcW w:w="1634" w:type="dxa"/>
            <w:vMerge/>
            <w:tcBorders>
              <w:bottom w:val="single" w:sz="4" w:space="0" w:color="auto"/>
            </w:tcBorders>
            <w:vAlign w:val="center"/>
            <w:hideMark/>
          </w:tcPr>
          <w:p w14:paraId="7D664CEB" w14:textId="77777777" w:rsidR="001F01CD" w:rsidRPr="00650EE4" w:rsidRDefault="001F01CD" w:rsidP="004F6509">
            <w:pPr>
              <w:spacing w:line="240" w:lineRule="auto"/>
              <w:rPr>
                <w:rFonts w:ascii="Times New Roman" w:eastAsia="Times New Roman" w:hAnsi="Times New Roman"/>
                <w:b/>
                <w:bCs/>
                <w:sz w:val="20"/>
                <w:szCs w:val="20"/>
                <w:lang w:eastAsia="lt-LT"/>
              </w:rPr>
            </w:pPr>
          </w:p>
        </w:tc>
        <w:tc>
          <w:tcPr>
            <w:tcW w:w="774" w:type="dxa"/>
            <w:tcBorders>
              <w:bottom w:val="single" w:sz="4" w:space="0" w:color="auto"/>
            </w:tcBorders>
            <w:shd w:val="clear" w:color="000000" w:fill="FFFFFF"/>
            <w:noWrap/>
            <w:vAlign w:val="center"/>
            <w:hideMark/>
          </w:tcPr>
          <w:p w14:paraId="58A1CD34"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Prieš</w:t>
            </w:r>
          </w:p>
        </w:tc>
        <w:tc>
          <w:tcPr>
            <w:tcW w:w="767" w:type="dxa"/>
            <w:tcBorders>
              <w:bottom w:val="single" w:sz="4" w:space="0" w:color="auto"/>
              <w:right w:val="single" w:sz="4" w:space="0" w:color="auto"/>
            </w:tcBorders>
            <w:shd w:val="clear" w:color="000000" w:fill="FFFFFF"/>
            <w:noWrap/>
            <w:vAlign w:val="center"/>
            <w:hideMark/>
          </w:tcPr>
          <w:p w14:paraId="524A2B37" w14:textId="77777777" w:rsidR="001F01CD" w:rsidRPr="00650EE4" w:rsidRDefault="001F01CD" w:rsidP="004F6509">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Po</w:t>
            </w:r>
          </w:p>
        </w:tc>
        <w:tc>
          <w:tcPr>
            <w:tcW w:w="924" w:type="dxa"/>
            <w:tcBorders>
              <w:top w:val="nil"/>
              <w:left w:val="single" w:sz="4" w:space="0" w:color="auto"/>
              <w:bottom w:val="single" w:sz="4" w:space="0" w:color="auto"/>
              <w:right w:val="nil"/>
            </w:tcBorders>
            <w:shd w:val="clear" w:color="000000" w:fill="FFFFFF"/>
            <w:noWrap/>
            <w:vAlign w:val="bottom"/>
            <w:hideMark/>
          </w:tcPr>
          <w:p w14:paraId="0268C955" w14:textId="37D92D85" w:rsidR="001F01CD" w:rsidRPr="00650EE4" w:rsidRDefault="00332E90" w:rsidP="00332E90">
            <w:pPr>
              <w:spacing w:line="240" w:lineRule="auto"/>
              <w:ind w:right="-112" w:hanging="38"/>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&lt;</w:t>
            </w:r>
            <w:r w:rsidR="001F01CD" w:rsidRPr="00650EE4">
              <w:rPr>
                <w:rFonts w:ascii="Times New Roman" w:eastAsia="Times New Roman" w:hAnsi="Times New Roman"/>
                <w:sz w:val="20"/>
                <w:szCs w:val="20"/>
                <w:lang w:eastAsia="lt-LT"/>
              </w:rPr>
              <w:t>1000 m</w:t>
            </w:r>
            <w:r w:rsidR="001F01CD" w:rsidRPr="00650EE4">
              <w:rPr>
                <w:rFonts w:ascii="Times New Roman" w:eastAsia="Times New Roman" w:hAnsi="Times New Roman"/>
                <w:sz w:val="20"/>
                <w:szCs w:val="20"/>
                <w:vertAlign w:val="superscript"/>
                <w:lang w:eastAsia="lt-LT"/>
              </w:rPr>
              <w:t>2</w:t>
            </w:r>
          </w:p>
        </w:tc>
        <w:tc>
          <w:tcPr>
            <w:tcW w:w="1276" w:type="dxa"/>
            <w:tcBorders>
              <w:top w:val="nil"/>
              <w:left w:val="nil"/>
              <w:bottom w:val="single" w:sz="4" w:space="0" w:color="auto"/>
              <w:right w:val="nil"/>
            </w:tcBorders>
            <w:shd w:val="clear" w:color="000000" w:fill="FFFFFF"/>
            <w:noWrap/>
            <w:vAlign w:val="bottom"/>
            <w:hideMark/>
          </w:tcPr>
          <w:p w14:paraId="09006805" w14:textId="77777777" w:rsidR="001F01CD" w:rsidRPr="00650EE4" w:rsidRDefault="001F01CD" w:rsidP="00332E90">
            <w:pPr>
              <w:spacing w:line="240" w:lineRule="auto"/>
              <w:ind w:right="-108" w:hanging="108"/>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1000-5000 m</w:t>
            </w:r>
            <w:r w:rsidRPr="00650EE4">
              <w:rPr>
                <w:rFonts w:ascii="Times New Roman" w:eastAsia="Times New Roman" w:hAnsi="Times New Roman"/>
                <w:sz w:val="20"/>
                <w:szCs w:val="20"/>
                <w:vertAlign w:val="superscript"/>
                <w:lang w:eastAsia="lt-LT"/>
              </w:rPr>
              <w:t>2</w:t>
            </w:r>
          </w:p>
        </w:tc>
        <w:tc>
          <w:tcPr>
            <w:tcW w:w="1134" w:type="dxa"/>
            <w:tcBorders>
              <w:top w:val="nil"/>
              <w:left w:val="nil"/>
              <w:bottom w:val="single" w:sz="4" w:space="0" w:color="auto"/>
              <w:right w:val="single" w:sz="4" w:space="0" w:color="auto"/>
            </w:tcBorders>
            <w:shd w:val="clear" w:color="000000" w:fill="FFFFFF"/>
            <w:noWrap/>
            <w:vAlign w:val="bottom"/>
            <w:hideMark/>
          </w:tcPr>
          <w:p w14:paraId="6FA34CC0" w14:textId="1412E81B" w:rsidR="001F01CD" w:rsidRPr="00650EE4" w:rsidRDefault="00332E90"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&gt;</w:t>
            </w:r>
            <w:r w:rsidR="001F01CD" w:rsidRPr="00650EE4">
              <w:rPr>
                <w:rFonts w:ascii="Times New Roman" w:eastAsia="Times New Roman" w:hAnsi="Times New Roman"/>
                <w:sz w:val="20"/>
                <w:szCs w:val="20"/>
                <w:lang w:eastAsia="lt-LT"/>
              </w:rPr>
              <w:t>5000 m</w:t>
            </w:r>
            <w:r w:rsidR="001F01CD" w:rsidRPr="00650EE4">
              <w:rPr>
                <w:rFonts w:ascii="Times New Roman" w:eastAsia="Times New Roman" w:hAnsi="Times New Roman"/>
                <w:sz w:val="20"/>
                <w:szCs w:val="20"/>
                <w:vertAlign w:val="superscript"/>
                <w:lang w:eastAsia="lt-LT"/>
              </w:rPr>
              <w:t>2</w:t>
            </w:r>
          </w:p>
        </w:tc>
        <w:tc>
          <w:tcPr>
            <w:tcW w:w="1417" w:type="dxa"/>
            <w:vMerge/>
            <w:tcBorders>
              <w:left w:val="single" w:sz="4" w:space="0" w:color="auto"/>
              <w:bottom w:val="single" w:sz="4" w:space="0" w:color="auto"/>
            </w:tcBorders>
            <w:shd w:val="clear" w:color="000000" w:fill="FFFFFF"/>
            <w:noWrap/>
            <w:vAlign w:val="bottom"/>
            <w:hideMark/>
          </w:tcPr>
          <w:p w14:paraId="66C456C7" w14:textId="77777777" w:rsidR="001F01CD" w:rsidRPr="00650EE4" w:rsidRDefault="001F01CD" w:rsidP="004F6509">
            <w:pPr>
              <w:spacing w:line="240" w:lineRule="auto"/>
              <w:rPr>
                <w:rFonts w:ascii="Times New Roman" w:eastAsia="Times New Roman" w:hAnsi="Times New Roman"/>
                <w:sz w:val="20"/>
                <w:szCs w:val="20"/>
                <w:lang w:eastAsia="lt-LT"/>
              </w:rPr>
            </w:pPr>
          </w:p>
        </w:tc>
        <w:tc>
          <w:tcPr>
            <w:tcW w:w="1552" w:type="dxa"/>
            <w:vMerge/>
            <w:tcBorders>
              <w:bottom w:val="single" w:sz="4" w:space="0" w:color="auto"/>
            </w:tcBorders>
            <w:shd w:val="clear" w:color="000000" w:fill="FFFFFF"/>
            <w:noWrap/>
            <w:vAlign w:val="bottom"/>
            <w:hideMark/>
          </w:tcPr>
          <w:p w14:paraId="1541F6B9" w14:textId="77777777" w:rsidR="001F01CD" w:rsidRPr="00650EE4" w:rsidRDefault="001F01CD" w:rsidP="004F6509">
            <w:pPr>
              <w:spacing w:line="240" w:lineRule="auto"/>
              <w:rPr>
                <w:rFonts w:ascii="Times New Roman" w:eastAsia="Times New Roman" w:hAnsi="Times New Roman"/>
                <w:sz w:val="20"/>
                <w:szCs w:val="20"/>
                <w:lang w:eastAsia="lt-LT"/>
              </w:rPr>
            </w:pPr>
          </w:p>
        </w:tc>
      </w:tr>
      <w:tr w:rsidR="001F01CD" w:rsidRPr="00650EE4" w14:paraId="7A3344CB" w14:textId="77777777" w:rsidTr="00E57787">
        <w:tc>
          <w:tcPr>
            <w:tcW w:w="235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6803F933"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Pagrindiniai paketai</w:t>
            </w:r>
          </w:p>
        </w:tc>
        <w:tc>
          <w:tcPr>
            <w:tcW w:w="774" w:type="dxa"/>
            <w:tcBorders>
              <w:top w:val="single" w:sz="4" w:space="0" w:color="auto"/>
              <w:left w:val="nil"/>
              <w:bottom w:val="single" w:sz="4" w:space="0" w:color="auto"/>
              <w:right w:val="nil"/>
            </w:tcBorders>
            <w:shd w:val="clear" w:color="000000" w:fill="FFFFFF"/>
            <w:noWrap/>
            <w:vAlign w:val="center"/>
          </w:tcPr>
          <w:p w14:paraId="7B7C0053"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767" w:type="dxa"/>
            <w:tcBorders>
              <w:top w:val="single" w:sz="4" w:space="0" w:color="auto"/>
              <w:left w:val="nil"/>
              <w:bottom w:val="single" w:sz="4" w:space="0" w:color="auto"/>
              <w:right w:val="nil"/>
            </w:tcBorders>
            <w:shd w:val="clear" w:color="000000" w:fill="FFFFFF"/>
            <w:noWrap/>
            <w:vAlign w:val="center"/>
          </w:tcPr>
          <w:p w14:paraId="5F25787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924" w:type="dxa"/>
            <w:tcBorders>
              <w:top w:val="single" w:sz="4" w:space="0" w:color="auto"/>
              <w:left w:val="nil"/>
              <w:bottom w:val="single" w:sz="4" w:space="0" w:color="auto"/>
              <w:right w:val="nil"/>
            </w:tcBorders>
            <w:shd w:val="clear" w:color="000000" w:fill="FFFFFF"/>
            <w:noWrap/>
            <w:vAlign w:val="center"/>
          </w:tcPr>
          <w:p w14:paraId="3B8A96D7"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276" w:type="dxa"/>
            <w:tcBorders>
              <w:top w:val="single" w:sz="4" w:space="0" w:color="auto"/>
              <w:left w:val="nil"/>
              <w:bottom w:val="single" w:sz="4" w:space="0" w:color="auto"/>
              <w:right w:val="nil"/>
            </w:tcBorders>
            <w:shd w:val="clear" w:color="000000" w:fill="FFFFFF"/>
            <w:noWrap/>
            <w:vAlign w:val="center"/>
          </w:tcPr>
          <w:p w14:paraId="4EC97F6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134" w:type="dxa"/>
            <w:tcBorders>
              <w:top w:val="single" w:sz="4" w:space="0" w:color="auto"/>
              <w:left w:val="nil"/>
              <w:bottom w:val="single" w:sz="4" w:space="0" w:color="auto"/>
              <w:right w:val="nil"/>
            </w:tcBorders>
            <w:shd w:val="clear" w:color="000000" w:fill="FFFFFF"/>
            <w:noWrap/>
            <w:vAlign w:val="center"/>
          </w:tcPr>
          <w:p w14:paraId="2328C52B"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417" w:type="dxa"/>
            <w:tcBorders>
              <w:top w:val="single" w:sz="4" w:space="0" w:color="auto"/>
              <w:left w:val="nil"/>
              <w:bottom w:val="single" w:sz="4" w:space="0" w:color="auto"/>
              <w:right w:val="nil"/>
            </w:tcBorders>
            <w:shd w:val="clear" w:color="000000" w:fill="FFFFFF"/>
            <w:noWrap/>
            <w:vAlign w:val="center"/>
          </w:tcPr>
          <w:p w14:paraId="6E20D20B"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552" w:type="dxa"/>
            <w:tcBorders>
              <w:top w:val="single" w:sz="4" w:space="0" w:color="auto"/>
              <w:left w:val="nil"/>
              <w:bottom w:val="single" w:sz="4" w:space="0" w:color="auto"/>
              <w:right w:val="single" w:sz="4" w:space="0" w:color="auto"/>
            </w:tcBorders>
            <w:shd w:val="clear" w:color="000000" w:fill="FFFFFF"/>
            <w:noWrap/>
            <w:vAlign w:val="bottom"/>
          </w:tcPr>
          <w:p w14:paraId="7C26DE83"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r>
      <w:tr w:rsidR="001F01CD" w:rsidRPr="00650EE4" w14:paraId="78B5B86E" w14:textId="77777777" w:rsidTr="00E57787">
        <w:tc>
          <w:tcPr>
            <w:tcW w:w="716" w:type="dxa"/>
            <w:tcBorders>
              <w:top w:val="single" w:sz="4" w:space="0" w:color="auto"/>
            </w:tcBorders>
            <w:shd w:val="clear" w:color="000000" w:fill="FFFFFF"/>
            <w:noWrap/>
            <w:vAlign w:val="center"/>
          </w:tcPr>
          <w:p w14:paraId="1BE30DA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634" w:type="dxa"/>
            <w:tcBorders>
              <w:top w:val="single" w:sz="4" w:space="0" w:color="auto"/>
            </w:tcBorders>
            <w:shd w:val="clear" w:color="000000" w:fill="FFFFFF"/>
            <w:noWrap/>
            <w:vAlign w:val="center"/>
          </w:tcPr>
          <w:p w14:paraId="70901E94"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C </w:t>
            </w:r>
          </w:p>
        </w:tc>
        <w:tc>
          <w:tcPr>
            <w:tcW w:w="774" w:type="dxa"/>
            <w:tcBorders>
              <w:top w:val="single" w:sz="4" w:space="0" w:color="auto"/>
            </w:tcBorders>
            <w:shd w:val="clear" w:color="000000" w:fill="FFFFFF"/>
            <w:noWrap/>
            <w:vAlign w:val="center"/>
          </w:tcPr>
          <w:p w14:paraId="63F1FC3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5565ABE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3880F2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tcBorders>
              <w:top w:val="single" w:sz="4" w:space="0" w:color="auto"/>
            </w:tcBorders>
            <w:shd w:val="clear" w:color="000000" w:fill="FFFFFF"/>
            <w:noWrap/>
            <w:vAlign w:val="bottom"/>
          </w:tcPr>
          <w:p w14:paraId="45F6E2F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tcBorders>
              <w:top w:val="single" w:sz="4" w:space="0" w:color="auto"/>
            </w:tcBorders>
            <w:shd w:val="clear" w:color="000000" w:fill="FFFFFF"/>
            <w:noWrap/>
            <w:vAlign w:val="bottom"/>
          </w:tcPr>
          <w:p w14:paraId="2B6D549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417" w:type="dxa"/>
            <w:tcBorders>
              <w:top w:val="single" w:sz="4" w:space="0" w:color="auto"/>
            </w:tcBorders>
            <w:shd w:val="clear" w:color="000000" w:fill="FFFFFF"/>
            <w:noWrap/>
            <w:vAlign w:val="bottom"/>
          </w:tcPr>
          <w:p w14:paraId="1C5366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tcBorders>
              <w:top w:val="single" w:sz="4" w:space="0" w:color="auto"/>
            </w:tcBorders>
            <w:shd w:val="clear" w:color="000000" w:fill="FFFFFF"/>
            <w:noWrap/>
            <w:vAlign w:val="bottom"/>
          </w:tcPr>
          <w:p w14:paraId="46A3105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23-39</w:t>
            </w:r>
          </w:p>
        </w:tc>
      </w:tr>
      <w:tr w:rsidR="001F01CD" w:rsidRPr="00650EE4" w14:paraId="26B90CF2" w14:textId="77777777" w:rsidTr="00E57787">
        <w:tc>
          <w:tcPr>
            <w:tcW w:w="716" w:type="dxa"/>
            <w:tcBorders>
              <w:top w:val="single" w:sz="4" w:space="0" w:color="auto"/>
            </w:tcBorders>
            <w:shd w:val="clear" w:color="000000" w:fill="FFFFFF"/>
            <w:noWrap/>
            <w:vAlign w:val="center"/>
          </w:tcPr>
          <w:p w14:paraId="6E715F53"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634" w:type="dxa"/>
            <w:tcBorders>
              <w:top w:val="single" w:sz="4" w:space="0" w:color="auto"/>
            </w:tcBorders>
            <w:shd w:val="clear" w:color="000000" w:fill="FFFFFF"/>
            <w:noWrap/>
            <w:vAlign w:val="center"/>
          </w:tcPr>
          <w:p w14:paraId="0E62EDA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w:t>
            </w:r>
          </w:p>
        </w:tc>
        <w:tc>
          <w:tcPr>
            <w:tcW w:w="774" w:type="dxa"/>
            <w:tcBorders>
              <w:top w:val="single" w:sz="4" w:space="0" w:color="auto"/>
            </w:tcBorders>
            <w:shd w:val="clear" w:color="000000" w:fill="FFFFFF"/>
            <w:noWrap/>
            <w:vAlign w:val="center"/>
          </w:tcPr>
          <w:p w14:paraId="044445A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4A303E8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37DAAE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276" w:type="dxa"/>
            <w:tcBorders>
              <w:top w:val="single" w:sz="4" w:space="0" w:color="auto"/>
            </w:tcBorders>
            <w:shd w:val="clear" w:color="000000" w:fill="FFFFFF"/>
            <w:noWrap/>
            <w:vAlign w:val="bottom"/>
          </w:tcPr>
          <w:p w14:paraId="5B72F92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134" w:type="dxa"/>
            <w:tcBorders>
              <w:top w:val="single" w:sz="4" w:space="0" w:color="auto"/>
            </w:tcBorders>
            <w:shd w:val="clear" w:color="000000" w:fill="FFFFFF"/>
            <w:noWrap/>
            <w:vAlign w:val="bottom"/>
          </w:tcPr>
          <w:p w14:paraId="64CD0EB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417" w:type="dxa"/>
            <w:tcBorders>
              <w:top w:val="single" w:sz="4" w:space="0" w:color="auto"/>
            </w:tcBorders>
            <w:shd w:val="clear" w:color="000000" w:fill="FFFFFF"/>
            <w:noWrap/>
            <w:vAlign w:val="bottom"/>
          </w:tcPr>
          <w:p w14:paraId="29BAF34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w:t>
            </w:r>
          </w:p>
        </w:tc>
        <w:tc>
          <w:tcPr>
            <w:tcW w:w="1552" w:type="dxa"/>
            <w:tcBorders>
              <w:top w:val="single" w:sz="4" w:space="0" w:color="auto"/>
            </w:tcBorders>
            <w:shd w:val="clear" w:color="000000" w:fill="FFFFFF"/>
            <w:noWrap/>
            <w:vAlign w:val="bottom"/>
          </w:tcPr>
          <w:p w14:paraId="0414A2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19-29</w:t>
            </w:r>
          </w:p>
        </w:tc>
      </w:tr>
      <w:tr w:rsidR="001F01CD" w:rsidRPr="00650EE4" w14:paraId="0559C7C9" w14:textId="77777777" w:rsidTr="00E57787">
        <w:tc>
          <w:tcPr>
            <w:tcW w:w="716" w:type="dxa"/>
            <w:tcBorders>
              <w:top w:val="single" w:sz="4" w:space="0" w:color="auto"/>
            </w:tcBorders>
            <w:shd w:val="clear" w:color="000000" w:fill="FFFFFF"/>
            <w:noWrap/>
            <w:vAlign w:val="center"/>
          </w:tcPr>
          <w:p w14:paraId="243261C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634" w:type="dxa"/>
            <w:tcBorders>
              <w:top w:val="single" w:sz="4" w:space="0" w:color="auto"/>
            </w:tcBorders>
            <w:shd w:val="clear" w:color="000000" w:fill="FFFFFF"/>
            <w:noWrap/>
            <w:vAlign w:val="center"/>
          </w:tcPr>
          <w:p w14:paraId="3BDDDC2C"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  + ŠS + FV</w:t>
            </w:r>
          </w:p>
        </w:tc>
        <w:tc>
          <w:tcPr>
            <w:tcW w:w="774" w:type="dxa"/>
            <w:tcBorders>
              <w:top w:val="single" w:sz="4" w:space="0" w:color="auto"/>
            </w:tcBorders>
            <w:shd w:val="clear" w:color="000000" w:fill="FFFFFF"/>
            <w:noWrap/>
            <w:vAlign w:val="center"/>
          </w:tcPr>
          <w:p w14:paraId="4954456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40F7237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924" w:type="dxa"/>
            <w:tcBorders>
              <w:top w:val="single" w:sz="4" w:space="0" w:color="auto"/>
            </w:tcBorders>
            <w:shd w:val="clear" w:color="000000" w:fill="FFFFFF"/>
            <w:noWrap/>
            <w:vAlign w:val="bottom"/>
          </w:tcPr>
          <w:p w14:paraId="641926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tcBorders>
              <w:top w:val="single" w:sz="4" w:space="0" w:color="auto"/>
            </w:tcBorders>
            <w:shd w:val="clear" w:color="000000" w:fill="FFFFFF"/>
            <w:noWrap/>
            <w:vAlign w:val="bottom"/>
          </w:tcPr>
          <w:p w14:paraId="33DAC69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134" w:type="dxa"/>
            <w:tcBorders>
              <w:top w:val="single" w:sz="4" w:space="0" w:color="auto"/>
            </w:tcBorders>
            <w:shd w:val="clear" w:color="000000" w:fill="FFFFFF"/>
            <w:noWrap/>
            <w:vAlign w:val="bottom"/>
          </w:tcPr>
          <w:p w14:paraId="6B028AA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tcBorders>
              <w:top w:val="single" w:sz="4" w:space="0" w:color="auto"/>
            </w:tcBorders>
            <w:shd w:val="clear" w:color="000000" w:fill="FFFFFF"/>
            <w:noWrap/>
            <w:vAlign w:val="bottom"/>
          </w:tcPr>
          <w:p w14:paraId="5B8E91D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tcBorders>
              <w:top w:val="single" w:sz="4" w:space="0" w:color="auto"/>
            </w:tcBorders>
            <w:shd w:val="clear" w:color="000000" w:fill="FFFFFF"/>
            <w:noWrap/>
            <w:vAlign w:val="bottom"/>
          </w:tcPr>
          <w:p w14:paraId="077DEF8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3D4681CF" w14:textId="77777777" w:rsidTr="00E57787">
        <w:tc>
          <w:tcPr>
            <w:tcW w:w="716" w:type="dxa"/>
            <w:shd w:val="clear" w:color="000000" w:fill="FFFFFF"/>
            <w:noWrap/>
            <w:vAlign w:val="center"/>
            <w:hideMark/>
          </w:tcPr>
          <w:p w14:paraId="60522C08"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634" w:type="dxa"/>
            <w:shd w:val="clear" w:color="000000" w:fill="FFFFFF"/>
            <w:noWrap/>
            <w:vAlign w:val="center"/>
            <w:hideMark/>
          </w:tcPr>
          <w:p w14:paraId="4B7009B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B </w:t>
            </w:r>
          </w:p>
        </w:tc>
        <w:tc>
          <w:tcPr>
            <w:tcW w:w="774" w:type="dxa"/>
            <w:shd w:val="clear" w:color="000000" w:fill="FFFFFF"/>
            <w:noWrap/>
            <w:vAlign w:val="center"/>
            <w:hideMark/>
          </w:tcPr>
          <w:p w14:paraId="2431B76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2254CE6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hideMark/>
          </w:tcPr>
          <w:p w14:paraId="2A7FB1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shd w:val="clear" w:color="000000" w:fill="FFFFFF"/>
            <w:noWrap/>
            <w:vAlign w:val="bottom"/>
            <w:hideMark/>
          </w:tcPr>
          <w:p w14:paraId="7FDB3B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shd w:val="clear" w:color="000000" w:fill="FFFFFF"/>
            <w:noWrap/>
            <w:vAlign w:val="bottom"/>
            <w:hideMark/>
          </w:tcPr>
          <w:p w14:paraId="1883B79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hideMark/>
          </w:tcPr>
          <w:p w14:paraId="1027D4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shd w:val="clear" w:color="000000" w:fill="FFFFFF"/>
            <w:noWrap/>
            <w:vAlign w:val="bottom"/>
            <w:hideMark/>
          </w:tcPr>
          <w:p w14:paraId="63227D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24-39</w:t>
            </w:r>
          </w:p>
        </w:tc>
      </w:tr>
      <w:tr w:rsidR="001F01CD" w:rsidRPr="00650EE4" w14:paraId="4ED4D097" w14:textId="77777777" w:rsidTr="00E57787">
        <w:tc>
          <w:tcPr>
            <w:tcW w:w="716" w:type="dxa"/>
            <w:shd w:val="clear" w:color="000000" w:fill="FFFFFF"/>
            <w:noWrap/>
            <w:vAlign w:val="center"/>
          </w:tcPr>
          <w:p w14:paraId="54EEB45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634" w:type="dxa"/>
            <w:shd w:val="clear" w:color="000000" w:fill="FFFFFF"/>
            <w:noWrap/>
            <w:vAlign w:val="center"/>
          </w:tcPr>
          <w:p w14:paraId="64888AA0"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w:t>
            </w:r>
          </w:p>
        </w:tc>
        <w:tc>
          <w:tcPr>
            <w:tcW w:w="774" w:type="dxa"/>
            <w:shd w:val="clear" w:color="000000" w:fill="FFFFFF"/>
            <w:noWrap/>
            <w:vAlign w:val="center"/>
          </w:tcPr>
          <w:p w14:paraId="653AF7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24872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tcPr>
          <w:p w14:paraId="506D31D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276" w:type="dxa"/>
            <w:shd w:val="clear" w:color="000000" w:fill="FFFFFF"/>
            <w:noWrap/>
            <w:vAlign w:val="bottom"/>
          </w:tcPr>
          <w:p w14:paraId="081E76E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134" w:type="dxa"/>
            <w:shd w:val="clear" w:color="000000" w:fill="FFFFFF"/>
            <w:noWrap/>
            <w:vAlign w:val="bottom"/>
          </w:tcPr>
          <w:p w14:paraId="13C435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417" w:type="dxa"/>
            <w:shd w:val="clear" w:color="000000" w:fill="FFFFFF"/>
            <w:noWrap/>
            <w:vAlign w:val="bottom"/>
          </w:tcPr>
          <w:p w14:paraId="693E1D2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w:t>
            </w:r>
          </w:p>
        </w:tc>
        <w:tc>
          <w:tcPr>
            <w:tcW w:w="1552" w:type="dxa"/>
            <w:shd w:val="clear" w:color="000000" w:fill="FFFFFF"/>
            <w:noWrap/>
            <w:vAlign w:val="bottom"/>
          </w:tcPr>
          <w:p w14:paraId="0EF1018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19-29</w:t>
            </w:r>
          </w:p>
        </w:tc>
      </w:tr>
      <w:tr w:rsidR="001F01CD" w:rsidRPr="00650EE4" w14:paraId="1396FE4D" w14:textId="77777777" w:rsidTr="00E57787">
        <w:tc>
          <w:tcPr>
            <w:tcW w:w="716" w:type="dxa"/>
            <w:shd w:val="clear" w:color="000000" w:fill="FFFFFF"/>
            <w:noWrap/>
            <w:vAlign w:val="center"/>
          </w:tcPr>
          <w:p w14:paraId="5553194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634" w:type="dxa"/>
            <w:shd w:val="clear" w:color="000000" w:fill="FFFFFF"/>
            <w:noWrap/>
            <w:vAlign w:val="center"/>
          </w:tcPr>
          <w:p w14:paraId="6FFEA71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  + ŠS + FV</w:t>
            </w:r>
          </w:p>
        </w:tc>
        <w:tc>
          <w:tcPr>
            <w:tcW w:w="774" w:type="dxa"/>
            <w:shd w:val="clear" w:color="000000" w:fill="FFFFFF"/>
            <w:noWrap/>
            <w:vAlign w:val="center"/>
          </w:tcPr>
          <w:p w14:paraId="175E055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0CFE989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924" w:type="dxa"/>
            <w:shd w:val="clear" w:color="000000" w:fill="FFFFFF"/>
            <w:noWrap/>
            <w:vAlign w:val="bottom"/>
          </w:tcPr>
          <w:p w14:paraId="1E31B4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shd w:val="clear" w:color="000000" w:fill="FFFFFF"/>
            <w:noWrap/>
            <w:vAlign w:val="bottom"/>
          </w:tcPr>
          <w:p w14:paraId="73F88A8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134" w:type="dxa"/>
            <w:shd w:val="clear" w:color="000000" w:fill="FFFFFF"/>
            <w:noWrap/>
            <w:vAlign w:val="bottom"/>
          </w:tcPr>
          <w:p w14:paraId="20E811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01FDB40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7CEFB8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0E80FA05" w14:textId="77777777" w:rsidTr="00E57787">
        <w:tc>
          <w:tcPr>
            <w:tcW w:w="716" w:type="dxa"/>
            <w:shd w:val="clear" w:color="000000" w:fill="FFFFFF"/>
            <w:noWrap/>
            <w:vAlign w:val="center"/>
            <w:hideMark/>
          </w:tcPr>
          <w:p w14:paraId="22A6870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634" w:type="dxa"/>
            <w:shd w:val="clear" w:color="000000" w:fill="FFFFFF"/>
            <w:noWrap/>
            <w:vAlign w:val="center"/>
            <w:hideMark/>
          </w:tcPr>
          <w:p w14:paraId="69979E3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89E83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7437AE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1731464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w:t>
            </w:r>
          </w:p>
        </w:tc>
        <w:tc>
          <w:tcPr>
            <w:tcW w:w="1276" w:type="dxa"/>
            <w:shd w:val="clear" w:color="000000" w:fill="FFFFFF"/>
            <w:noWrap/>
            <w:vAlign w:val="bottom"/>
            <w:hideMark/>
          </w:tcPr>
          <w:p w14:paraId="5862A60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hideMark/>
          </w:tcPr>
          <w:p w14:paraId="5B8935C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39E049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w:t>
            </w:r>
          </w:p>
        </w:tc>
        <w:tc>
          <w:tcPr>
            <w:tcW w:w="1552" w:type="dxa"/>
            <w:shd w:val="clear" w:color="000000" w:fill="FFFFFF"/>
            <w:noWrap/>
            <w:vAlign w:val="bottom"/>
            <w:hideMark/>
          </w:tcPr>
          <w:p w14:paraId="6C5EDE3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24-40</w:t>
            </w:r>
          </w:p>
        </w:tc>
      </w:tr>
      <w:tr w:rsidR="001F01CD" w:rsidRPr="00650EE4" w14:paraId="2F6014D9" w14:textId="77777777" w:rsidTr="00E57787">
        <w:tc>
          <w:tcPr>
            <w:tcW w:w="716" w:type="dxa"/>
            <w:shd w:val="clear" w:color="000000" w:fill="FFFFFF"/>
            <w:noWrap/>
            <w:vAlign w:val="center"/>
          </w:tcPr>
          <w:p w14:paraId="05045149"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634" w:type="dxa"/>
            <w:shd w:val="clear" w:color="000000" w:fill="FFFFFF"/>
            <w:noWrap/>
            <w:vAlign w:val="center"/>
          </w:tcPr>
          <w:p w14:paraId="11AF0B3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034E824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75E84E8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6C18A8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16</w:t>
            </w:r>
          </w:p>
        </w:tc>
        <w:tc>
          <w:tcPr>
            <w:tcW w:w="1276" w:type="dxa"/>
            <w:shd w:val="clear" w:color="000000" w:fill="FFFFFF"/>
            <w:noWrap/>
            <w:vAlign w:val="bottom"/>
          </w:tcPr>
          <w:p w14:paraId="091717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55EC4DA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656BF18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27</w:t>
            </w:r>
          </w:p>
        </w:tc>
        <w:tc>
          <w:tcPr>
            <w:tcW w:w="1552" w:type="dxa"/>
            <w:shd w:val="clear" w:color="000000" w:fill="FFFFFF"/>
            <w:noWrap/>
            <w:vAlign w:val="bottom"/>
          </w:tcPr>
          <w:p w14:paraId="791ED86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21-31</w:t>
            </w:r>
          </w:p>
        </w:tc>
      </w:tr>
      <w:tr w:rsidR="001F01CD" w:rsidRPr="00650EE4" w14:paraId="7F24CAB9" w14:textId="77777777" w:rsidTr="00E57787">
        <w:tc>
          <w:tcPr>
            <w:tcW w:w="716" w:type="dxa"/>
            <w:shd w:val="clear" w:color="000000" w:fill="FFFFFF"/>
            <w:noWrap/>
            <w:vAlign w:val="center"/>
          </w:tcPr>
          <w:p w14:paraId="140C9C6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634" w:type="dxa"/>
            <w:shd w:val="clear" w:color="000000" w:fill="FFFFFF"/>
            <w:noWrap/>
            <w:vAlign w:val="center"/>
          </w:tcPr>
          <w:p w14:paraId="42D7FD0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7312831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83C77E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2D1A62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w:t>
            </w:r>
          </w:p>
        </w:tc>
        <w:tc>
          <w:tcPr>
            <w:tcW w:w="1276" w:type="dxa"/>
            <w:shd w:val="clear" w:color="000000" w:fill="FFFFFF"/>
            <w:noWrap/>
            <w:vAlign w:val="bottom"/>
          </w:tcPr>
          <w:p w14:paraId="2FDEEA1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15C79E1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tcPr>
          <w:p w14:paraId="2607DB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168ECB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2BF736D3" w14:textId="77777777" w:rsidTr="00E57787">
        <w:tc>
          <w:tcPr>
            <w:tcW w:w="716" w:type="dxa"/>
            <w:shd w:val="clear" w:color="000000" w:fill="FFFFFF"/>
            <w:noWrap/>
            <w:vAlign w:val="center"/>
            <w:hideMark/>
          </w:tcPr>
          <w:p w14:paraId="418212D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634" w:type="dxa"/>
            <w:shd w:val="clear" w:color="000000" w:fill="FFFFFF"/>
            <w:noWrap/>
            <w:vAlign w:val="center"/>
            <w:hideMark/>
          </w:tcPr>
          <w:p w14:paraId="361AABA3"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38374FA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3CF77F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7DE0568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276" w:type="dxa"/>
            <w:shd w:val="clear" w:color="000000" w:fill="FFFFFF"/>
            <w:noWrap/>
            <w:vAlign w:val="bottom"/>
            <w:hideMark/>
          </w:tcPr>
          <w:p w14:paraId="22657D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2A82B6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73AE72C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hideMark/>
          </w:tcPr>
          <w:p w14:paraId="06775B5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12-24</w:t>
            </w:r>
          </w:p>
        </w:tc>
      </w:tr>
      <w:tr w:rsidR="001F01CD" w:rsidRPr="00650EE4" w14:paraId="43E95A37" w14:textId="77777777" w:rsidTr="00E57787">
        <w:tc>
          <w:tcPr>
            <w:tcW w:w="716" w:type="dxa"/>
            <w:shd w:val="clear" w:color="000000" w:fill="FFFFFF"/>
            <w:noWrap/>
            <w:vAlign w:val="center"/>
          </w:tcPr>
          <w:p w14:paraId="45FF14E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634" w:type="dxa"/>
            <w:shd w:val="clear" w:color="000000" w:fill="FFFFFF"/>
            <w:noWrap/>
            <w:vAlign w:val="center"/>
          </w:tcPr>
          <w:p w14:paraId="65D25429"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50F38C1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2A5287C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B30B2D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6" w:type="dxa"/>
            <w:shd w:val="clear" w:color="000000" w:fill="FFFFFF"/>
            <w:noWrap/>
            <w:vAlign w:val="bottom"/>
          </w:tcPr>
          <w:p w14:paraId="5648D29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42C4D74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1484B85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552" w:type="dxa"/>
            <w:shd w:val="clear" w:color="000000" w:fill="FFFFFF"/>
            <w:noWrap/>
            <w:vAlign w:val="bottom"/>
          </w:tcPr>
          <w:p w14:paraId="42A15FE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9-14</w:t>
            </w:r>
          </w:p>
        </w:tc>
      </w:tr>
      <w:tr w:rsidR="001F01CD" w:rsidRPr="00650EE4" w14:paraId="607E1003" w14:textId="77777777" w:rsidTr="00E57787">
        <w:tc>
          <w:tcPr>
            <w:tcW w:w="716" w:type="dxa"/>
            <w:shd w:val="clear" w:color="000000" w:fill="FFFFFF"/>
            <w:noWrap/>
            <w:vAlign w:val="center"/>
          </w:tcPr>
          <w:p w14:paraId="6A36D163"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634" w:type="dxa"/>
            <w:shd w:val="clear" w:color="000000" w:fill="FFFFFF"/>
            <w:noWrap/>
            <w:vAlign w:val="center"/>
          </w:tcPr>
          <w:p w14:paraId="540BA1E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5D4ED3B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341CE1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2F789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7D5F69F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tcPr>
          <w:p w14:paraId="50712D5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20E5C3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29774AD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77CC6A69" w14:textId="77777777" w:rsidTr="00E57787">
        <w:tc>
          <w:tcPr>
            <w:tcW w:w="716" w:type="dxa"/>
            <w:shd w:val="clear" w:color="000000" w:fill="FFFFFF"/>
            <w:noWrap/>
            <w:vAlign w:val="center"/>
            <w:hideMark/>
          </w:tcPr>
          <w:p w14:paraId="5F3925F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1634" w:type="dxa"/>
            <w:shd w:val="clear" w:color="000000" w:fill="FFFFFF"/>
            <w:noWrap/>
            <w:vAlign w:val="center"/>
            <w:hideMark/>
          </w:tcPr>
          <w:p w14:paraId="2E73787C"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1EE2068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6020A4C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5F5E7AA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w:t>
            </w:r>
          </w:p>
        </w:tc>
        <w:tc>
          <w:tcPr>
            <w:tcW w:w="1276" w:type="dxa"/>
            <w:shd w:val="clear" w:color="000000" w:fill="FFFFFF"/>
            <w:noWrap/>
            <w:vAlign w:val="bottom"/>
            <w:hideMark/>
          </w:tcPr>
          <w:p w14:paraId="469425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hideMark/>
          </w:tcPr>
          <w:p w14:paraId="3C5D0E2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58F5BAA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33</w:t>
            </w:r>
          </w:p>
        </w:tc>
        <w:tc>
          <w:tcPr>
            <w:tcW w:w="1552" w:type="dxa"/>
            <w:shd w:val="clear" w:color="000000" w:fill="FFFFFF"/>
            <w:noWrap/>
            <w:vAlign w:val="bottom"/>
            <w:hideMark/>
          </w:tcPr>
          <w:p w14:paraId="660563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24-40</w:t>
            </w:r>
          </w:p>
        </w:tc>
      </w:tr>
      <w:tr w:rsidR="001F01CD" w:rsidRPr="00650EE4" w14:paraId="5B2754CF" w14:textId="77777777" w:rsidTr="00E57787">
        <w:tc>
          <w:tcPr>
            <w:tcW w:w="716" w:type="dxa"/>
            <w:shd w:val="clear" w:color="000000" w:fill="FFFFFF"/>
            <w:noWrap/>
            <w:vAlign w:val="center"/>
          </w:tcPr>
          <w:p w14:paraId="781B243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634" w:type="dxa"/>
            <w:shd w:val="clear" w:color="000000" w:fill="FFFFFF"/>
            <w:noWrap/>
            <w:vAlign w:val="center"/>
          </w:tcPr>
          <w:p w14:paraId="44487B4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2BAE99B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644C583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FE172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w:t>
            </w:r>
          </w:p>
        </w:tc>
        <w:tc>
          <w:tcPr>
            <w:tcW w:w="1276" w:type="dxa"/>
            <w:shd w:val="clear" w:color="000000" w:fill="FFFFFF"/>
            <w:noWrap/>
            <w:vAlign w:val="bottom"/>
          </w:tcPr>
          <w:p w14:paraId="6700D1F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2584D63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741AC6C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28</w:t>
            </w:r>
          </w:p>
        </w:tc>
        <w:tc>
          <w:tcPr>
            <w:tcW w:w="1552" w:type="dxa"/>
            <w:shd w:val="clear" w:color="000000" w:fill="FFFFFF"/>
            <w:noWrap/>
            <w:vAlign w:val="bottom"/>
          </w:tcPr>
          <w:p w14:paraId="4247E4F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22-31</w:t>
            </w:r>
          </w:p>
        </w:tc>
      </w:tr>
      <w:tr w:rsidR="001F01CD" w:rsidRPr="00650EE4" w14:paraId="27D8481E" w14:textId="77777777" w:rsidTr="00E57787">
        <w:tc>
          <w:tcPr>
            <w:tcW w:w="716" w:type="dxa"/>
            <w:shd w:val="clear" w:color="000000" w:fill="FFFFFF"/>
            <w:noWrap/>
            <w:vAlign w:val="center"/>
          </w:tcPr>
          <w:p w14:paraId="0EED5FD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1634" w:type="dxa"/>
            <w:shd w:val="clear" w:color="000000" w:fill="FFFFFF"/>
            <w:noWrap/>
            <w:vAlign w:val="center"/>
          </w:tcPr>
          <w:p w14:paraId="4381ADDE"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0F7E86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219C821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0C37030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6" w:type="dxa"/>
            <w:shd w:val="clear" w:color="000000" w:fill="FFFFFF"/>
            <w:noWrap/>
            <w:vAlign w:val="bottom"/>
          </w:tcPr>
          <w:p w14:paraId="357AC04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412F8D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tcPr>
          <w:p w14:paraId="5857578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29C5E4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7BF7D091" w14:textId="77777777" w:rsidTr="00E57787">
        <w:tc>
          <w:tcPr>
            <w:tcW w:w="716" w:type="dxa"/>
            <w:shd w:val="clear" w:color="000000" w:fill="FFFFFF"/>
            <w:noWrap/>
            <w:vAlign w:val="center"/>
            <w:hideMark/>
          </w:tcPr>
          <w:p w14:paraId="2F5374AD"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1634" w:type="dxa"/>
            <w:shd w:val="clear" w:color="000000" w:fill="FFFFFF"/>
            <w:noWrap/>
            <w:vAlign w:val="center"/>
            <w:hideMark/>
          </w:tcPr>
          <w:p w14:paraId="2FAFD92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082A91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642AF6A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5F45019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276" w:type="dxa"/>
            <w:shd w:val="clear" w:color="000000" w:fill="FFFFFF"/>
            <w:noWrap/>
            <w:vAlign w:val="bottom"/>
            <w:hideMark/>
          </w:tcPr>
          <w:p w14:paraId="755ADC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hideMark/>
          </w:tcPr>
          <w:p w14:paraId="39B851D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6F284F4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hideMark/>
          </w:tcPr>
          <w:p w14:paraId="7876ADD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12-24</w:t>
            </w:r>
          </w:p>
        </w:tc>
      </w:tr>
      <w:tr w:rsidR="001F01CD" w:rsidRPr="00650EE4" w14:paraId="2E553280" w14:textId="77777777" w:rsidTr="00E57787">
        <w:tc>
          <w:tcPr>
            <w:tcW w:w="716" w:type="dxa"/>
            <w:shd w:val="clear" w:color="000000" w:fill="FFFFFF"/>
            <w:noWrap/>
            <w:vAlign w:val="center"/>
          </w:tcPr>
          <w:p w14:paraId="6D09452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634" w:type="dxa"/>
            <w:shd w:val="clear" w:color="000000" w:fill="FFFFFF"/>
            <w:noWrap/>
            <w:vAlign w:val="center"/>
          </w:tcPr>
          <w:p w14:paraId="17AFF55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5462E4C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70EFF45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407DC17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shd w:val="clear" w:color="000000" w:fill="FFFFFF"/>
            <w:noWrap/>
            <w:vAlign w:val="bottom"/>
          </w:tcPr>
          <w:p w14:paraId="3372CE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565816A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0C68D7A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552" w:type="dxa"/>
            <w:shd w:val="clear" w:color="000000" w:fill="FFFFFF"/>
            <w:noWrap/>
            <w:vAlign w:val="bottom"/>
          </w:tcPr>
          <w:p w14:paraId="2D2638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9-14</w:t>
            </w:r>
          </w:p>
        </w:tc>
      </w:tr>
      <w:tr w:rsidR="001F01CD" w:rsidRPr="00650EE4" w14:paraId="492889E9" w14:textId="77777777" w:rsidTr="00E57787">
        <w:tc>
          <w:tcPr>
            <w:tcW w:w="716" w:type="dxa"/>
            <w:shd w:val="clear" w:color="000000" w:fill="FFFFFF"/>
            <w:noWrap/>
            <w:vAlign w:val="center"/>
          </w:tcPr>
          <w:p w14:paraId="157F1CD6"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1634" w:type="dxa"/>
            <w:shd w:val="clear" w:color="000000" w:fill="FFFFFF"/>
            <w:noWrap/>
            <w:vAlign w:val="center"/>
          </w:tcPr>
          <w:p w14:paraId="48820A6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3FD5979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0024451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0A7BF5D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092716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shd w:val="clear" w:color="000000" w:fill="FFFFFF"/>
            <w:noWrap/>
            <w:vAlign w:val="bottom"/>
          </w:tcPr>
          <w:p w14:paraId="1D1544C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53FCD5C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25A1BEF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77F9F4AA" w14:textId="77777777" w:rsidTr="00E57787">
        <w:tc>
          <w:tcPr>
            <w:tcW w:w="716" w:type="dxa"/>
            <w:shd w:val="clear" w:color="000000" w:fill="FFFFFF"/>
            <w:noWrap/>
            <w:vAlign w:val="center"/>
            <w:hideMark/>
          </w:tcPr>
          <w:p w14:paraId="333F8A9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634" w:type="dxa"/>
            <w:shd w:val="clear" w:color="000000" w:fill="FFFFFF"/>
            <w:noWrap/>
            <w:vAlign w:val="center"/>
            <w:hideMark/>
          </w:tcPr>
          <w:p w14:paraId="27B549C8"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0DC3F9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hideMark/>
          </w:tcPr>
          <w:p w14:paraId="4C807E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78710F8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276" w:type="dxa"/>
            <w:shd w:val="clear" w:color="000000" w:fill="FFFFFF"/>
            <w:noWrap/>
            <w:vAlign w:val="bottom"/>
            <w:hideMark/>
          </w:tcPr>
          <w:p w14:paraId="246E184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2EA5E1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hideMark/>
          </w:tcPr>
          <w:p w14:paraId="2CD0EA5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552" w:type="dxa"/>
            <w:shd w:val="clear" w:color="000000" w:fill="FFFFFF"/>
            <w:noWrap/>
            <w:vAlign w:val="bottom"/>
            <w:hideMark/>
          </w:tcPr>
          <w:p w14:paraId="65BBFD8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7-20</w:t>
            </w:r>
          </w:p>
        </w:tc>
      </w:tr>
      <w:tr w:rsidR="001F01CD" w:rsidRPr="00650EE4" w14:paraId="633494E2" w14:textId="77777777" w:rsidTr="00E57787">
        <w:tc>
          <w:tcPr>
            <w:tcW w:w="716" w:type="dxa"/>
            <w:shd w:val="clear" w:color="000000" w:fill="FFFFFF"/>
            <w:noWrap/>
            <w:vAlign w:val="center"/>
          </w:tcPr>
          <w:p w14:paraId="4B2C08A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1634" w:type="dxa"/>
            <w:shd w:val="clear" w:color="000000" w:fill="FFFFFF"/>
            <w:noWrap/>
            <w:vAlign w:val="center"/>
          </w:tcPr>
          <w:p w14:paraId="7355DCD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400617F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44D171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209E1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276" w:type="dxa"/>
            <w:shd w:val="clear" w:color="000000" w:fill="FFFFFF"/>
            <w:noWrap/>
            <w:vAlign w:val="bottom"/>
          </w:tcPr>
          <w:p w14:paraId="4023CB7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bottom"/>
          </w:tcPr>
          <w:p w14:paraId="38418C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bottom"/>
          </w:tcPr>
          <w:p w14:paraId="45C025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552" w:type="dxa"/>
            <w:shd w:val="clear" w:color="000000" w:fill="FFFFFF"/>
            <w:noWrap/>
            <w:vAlign w:val="bottom"/>
          </w:tcPr>
          <w:p w14:paraId="7764704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4-11</w:t>
            </w:r>
          </w:p>
        </w:tc>
      </w:tr>
      <w:tr w:rsidR="001F01CD" w:rsidRPr="00650EE4" w14:paraId="261C6349" w14:textId="77777777" w:rsidTr="00E57787">
        <w:tc>
          <w:tcPr>
            <w:tcW w:w="716" w:type="dxa"/>
            <w:shd w:val="clear" w:color="000000" w:fill="FFFFFF"/>
            <w:noWrap/>
            <w:vAlign w:val="center"/>
          </w:tcPr>
          <w:p w14:paraId="73407F6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c>
          <w:tcPr>
            <w:tcW w:w="1634" w:type="dxa"/>
            <w:shd w:val="clear" w:color="000000" w:fill="FFFFFF"/>
            <w:noWrap/>
            <w:vAlign w:val="center"/>
          </w:tcPr>
          <w:p w14:paraId="0C63D84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D6CD11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029D58A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695E289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C47748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3C4F64A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17" w:type="dxa"/>
            <w:shd w:val="clear" w:color="000000" w:fill="FFFFFF"/>
            <w:noWrap/>
            <w:vAlign w:val="bottom"/>
          </w:tcPr>
          <w:p w14:paraId="4CD5E25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552" w:type="dxa"/>
            <w:shd w:val="clear" w:color="000000" w:fill="FFFFFF"/>
            <w:noWrap/>
            <w:vAlign w:val="bottom"/>
          </w:tcPr>
          <w:p w14:paraId="445904D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9-27</w:t>
            </w:r>
          </w:p>
        </w:tc>
      </w:tr>
      <w:tr w:rsidR="001F01CD" w:rsidRPr="00650EE4" w14:paraId="56CFD104" w14:textId="77777777" w:rsidTr="00E57787">
        <w:tc>
          <w:tcPr>
            <w:tcW w:w="716" w:type="dxa"/>
            <w:shd w:val="clear" w:color="000000" w:fill="FFFFFF"/>
            <w:noWrap/>
            <w:vAlign w:val="center"/>
            <w:hideMark/>
          </w:tcPr>
          <w:p w14:paraId="2A19A88F"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634" w:type="dxa"/>
            <w:shd w:val="clear" w:color="000000" w:fill="FFFFFF"/>
            <w:noWrap/>
            <w:vAlign w:val="center"/>
            <w:hideMark/>
          </w:tcPr>
          <w:p w14:paraId="356442E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6267604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32E62F4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43B0B7A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22</w:t>
            </w:r>
          </w:p>
        </w:tc>
        <w:tc>
          <w:tcPr>
            <w:tcW w:w="1276" w:type="dxa"/>
            <w:shd w:val="clear" w:color="000000" w:fill="FFFFFF"/>
            <w:noWrap/>
            <w:vAlign w:val="bottom"/>
            <w:hideMark/>
          </w:tcPr>
          <w:p w14:paraId="6D83052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hideMark/>
          </w:tcPr>
          <w:p w14:paraId="5669371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417" w:type="dxa"/>
            <w:shd w:val="clear" w:color="000000" w:fill="FFFFFF"/>
            <w:noWrap/>
            <w:vAlign w:val="bottom"/>
            <w:hideMark/>
          </w:tcPr>
          <w:p w14:paraId="1D73D88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35</w:t>
            </w:r>
          </w:p>
        </w:tc>
        <w:tc>
          <w:tcPr>
            <w:tcW w:w="1552" w:type="dxa"/>
            <w:shd w:val="clear" w:color="000000" w:fill="FFFFFF"/>
            <w:noWrap/>
            <w:vAlign w:val="bottom"/>
            <w:hideMark/>
          </w:tcPr>
          <w:p w14:paraId="00479FF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23-41</w:t>
            </w:r>
          </w:p>
        </w:tc>
      </w:tr>
      <w:tr w:rsidR="001F01CD" w:rsidRPr="00650EE4" w14:paraId="24C91EB5" w14:textId="77777777" w:rsidTr="00E57787">
        <w:tc>
          <w:tcPr>
            <w:tcW w:w="716" w:type="dxa"/>
            <w:shd w:val="clear" w:color="000000" w:fill="FFFFFF"/>
            <w:noWrap/>
            <w:vAlign w:val="center"/>
          </w:tcPr>
          <w:p w14:paraId="7D9278F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1634" w:type="dxa"/>
            <w:shd w:val="clear" w:color="000000" w:fill="FFFFFF"/>
            <w:noWrap/>
            <w:vAlign w:val="center"/>
          </w:tcPr>
          <w:p w14:paraId="7736B2C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0874840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78FA12B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2CAD520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w:t>
            </w:r>
          </w:p>
        </w:tc>
        <w:tc>
          <w:tcPr>
            <w:tcW w:w="1276" w:type="dxa"/>
            <w:shd w:val="clear" w:color="000000" w:fill="FFFFFF"/>
            <w:noWrap/>
            <w:vAlign w:val="bottom"/>
          </w:tcPr>
          <w:p w14:paraId="10306B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134" w:type="dxa"/>
            <w:shd w:val="clear" w:color="000000" w:fill="FFFFFF"/>
            <w:noWrap/>
            <w:vAlign w:val="bottom"/>
          </w:tcPr>
          <w:p w14:paraId="2CA267B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417" w:type="dxa"/>
            <w:shd w:val="clear" w:color="000000" w:fill="FFFFFF"/>
            <w:noWrap/>
            <w:vAlign w:val="bottom"/>
          </w:tcPr>
          <w:p w14:paraId="6D727F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32</w:t>
            </w:r>
          </w:p>
        </w:tc>
        <w:tc>
          <w:tcPr>
            <w:tcW w:w="1552" w:type="dxa"/>
            <w:shd w:val="clear" w:color="000000" w:fill="FFFFFF"/>
            <w:noWrap/>
            <w:vAlign w:val="bottom"/>
          </w:tcPr>
          <w:p w14:paraId="5CA443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19-32</w:t>
            </w:r>
          </w:p>
        </w:tc>
      </w:tr>
      <w:tr w:rsidR="001F01CD" w:rsidRPr="00650EE4" w14:paraId="37F11253" w14:textId="77777777" w:rsidTr="00E57787">
        <w:tc>
          <w:tcPr>
            <w:tcW w:w="716" w:type="dxa"/>
            <w:shd w:val="clear" w:color="000000" w:fill="FFFFFF"/>
            <w:noWrap/>
            <w:vAlign w:val="center"/>
          </w:tcPr>
          <w:p w14:paraId="52ABD16E"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1634" w:type="dxa"/>
            <w:shd w:val="clear" w:color="000000" w:fill="FFFFFF"/>
            <w:noWrap/>
            <w:vAlign w:val="center"/>
          </w:tcPr>
          <w:p w14:paraId="248E545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034625E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tcPr>
          <w:p w14:paraId="3528233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FDD010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276" w:type="dxa"/>
            <w:shd w:val="clear" w:color="000000" w:fill="FFFFFF"/>
            <w:noWrap/>
            <w:vAlign w:val="bottom"/>
          </w:tcPr>
          <w:p w14:paraId="3C7E466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134" w:type="dxa"/>
            <w:shd w:val="clear" w:color="000000" w:fill="FFFFFF"/>
            <w:noWrap/>
            <w:vAlign w:val="bottom"/>
          </w:tcPr>
          <w:p w14:paraId="535FF93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417" w:type="dxa"/>
            <w:shd w:val="clear" w:color="000000" w:fill="FFFFFF"/>
            <w:noWrap/>
            <w:vAlign w:val="bottom"/>
          </w:tcPr>
          <w:p w14:paraId="23E7BED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36</w:t>
            </w:r>
          </w:p>
        </w:tc>
        <w:tc>
          <w:tcPr>
            <w:tcW w:w="1552" w:type="dxa"/>
            <w:shd w:val="clear" w:color="000000" w:fill="FFFFFF"/>
            <w:noWrap/>
            <w:vAlign w:val="bottom"/>
          </w:tcPr>
          <w:p w14:paraId="0C91297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26-47</w:t>
            </w:r>
          </w:p>
        </w:tc>
      </w:tr>
      <w:tr w:rsidR="001F01CD" w:rsidRPr="00650EE4" w14:paraId="5BB39EB8" w14:textId="77777777" w:rsidTr="00E57787">
        <w:tc>
          <w:tcPr>
            <w:tcW w:w="716" w:type="dxa"/>
            <w:shd w:val="clear" w:color="000000" w:fill="FFFFFF"/>
            <w:noWrap/>
            <w:vAlign w:val="center"/>
            <w:hideMark/>
          </w:tcPr>
          <w:p w14:paraId="3658CE4C"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634" w:type="dxa"/>
            <w:shd w:val="clear" w:color="000000" w:fill="FFFFFF"/>
            <w:noWrap/>
            <w:vAlign w:val="center"/>
            <w:hideMark/>
          </w:tcPr>
          <w:p w14:paraId="07EF12C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79B0159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hideMark/>
          </w:tcPr>
          <w:p w14:paraId="733A002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1324A30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bottom"/>
            <w:hideMark/>
          </w:tcPr>
          <w:p w14:paraId="7F8EE25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hideMark/>
          </w:tcPr>
          <w:p w14:paraId="278DF02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0B44072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w:t>
            </w:r>
          </w:p>
        </w:tc>
        <w:tc>
          <w:tcPr>
            <w:tcW w:w="1552" w:type="dxa"/>
            <w:shd w:val="clear" w:color="000000" w:fill="FFFFFF"/>
            <w:noWrap/>
            <w:vAlign w:val="bottom"/>
            <w:hideMark/>
          </w:tcPr>
          <w:p w14:paraId="4BD23E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11-24</w:t>
            </w:r>
          </w:p>
        </w:tc>
      </w:tr>
      <w:tr w:rsidR="001F01CD" w:rsidRPr="00650EE4" w14:paraId="616F8EED" w14:textId="77777777" w:rsidTr="00E57787">
        <w:tc>
          <w:tcPr>
            <w:tcW w:w="716" w:type="dxa"/>
            <w:shd w:val="clear" w:color="000000" w:fill="FFFFFF"/>
            <w:noWrap/>
            <w:vAlign w:val="center"/>
          </w:tcPr>
          <w:p w14:paraId="14DCCEDD"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634" w:type="dxa"/>
            <w:shd w:val="clear" w:color="000000" w:fill="FFFFFF"/>
            <w:noWrap/>
            <w:vAlign w:val="center"/>
          </w:tcPr>
          <w:p w14:paraId="75F8BBD7"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624B12D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751F16D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44BB907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276" w:type="dxa"/>
            <w:shd w:val="clear" w:color="000000" w:fill="FFFFFF"/>
            <w:noWrap/>
            <w:vAlign w:val="bottom"/>
          </w:tcPr>
          <w:p w14:paraId="6AA304B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tcPr>
          <w:p w14:paraId="0AF8E39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0940863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552" w:type="dxa"/>
            <w:shd w:val="clear" w:color="000000" w:fill="FFFFFF"/>
            <w:noWrap/>
            <w:vAlign w:val="bottom"/>
          </w:tcPr>
          <w:p w14:paraId="0B694B0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6-15</w:t>
            </w:r>
          </w:p>
        </w:tc>
      </w:tr>
      <w:tr w:rsidR="001F01CD" w:rsidRPr="00650EE4" w14:paraId="0C8C81B4" w14:textId="77777777" w:rsidTr="00E57787">
        <w:tc>
          <w:tcPr>
            <w:tcW w:w="716" w:type="dxa"/>
            <w:shd w:val="clear" w:color="000000" w:fill="FFFFFF"/>
            <w:noWrap/>
            <w:vAlign w:val="center"/>
          </w:tcPr>
          <w:p w14:paraId="0FCAF5F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1634" w:type="dxa"/>
            <w:shd w:val="clear" w:color="000000" w:fill="FFFFFF"/>
            <w:noWrap/>
            <w:vAlign w:val="center"/>
          </w:tcPr>
          <w:p w14:paraId="784AAC5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63C36F5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C</w:t>
            </w:r>
          </w:p>
        </w:tc>
        <w:tc>
          <w:tcPr>
            <w:tcW w:w="767" w:type="dxa"/>
            <w:shd w:val="clear" w:color="000000" w:fill="FFFFFF"/>
            <w:noWrap/>
            <w:vAlign w:val="center"/>
          </w:tcPr>
          <w:p w14:paraId="5B93F4C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621BC9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674D18A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shd w:val="clear" w:color="000000" w:fill="FFFFFF"/>
            <w:noWrap/>
            <w:vAlign w:val="bottom"/>
          </w:tcPr>
          <w:p w14:paraId="13B81ED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shd w:val="clear" w:color="000000" w:fill="FFFFFF"/>
            <w:noWrap/>
            <w:vAlign w:val="bottom"/>
          </w:tcPr>
          <w:p w14:paraId="19847D0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15</w:t>
            </w:r>
          </w:p>
        </w:tc>
        <w:tc>
          <w:tcPr>
            <w:tcW w:w="1552" w:type="dxa"/>
            <w:shd w:val="clear" w:color="000000" w:fill="FFFFFF"/>
            <w:noWrap/>
            <w:vAlign w:val="bottom"/>
          </w:tcPr>
          <w:p w14:paraId="0ABCEAE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14-31</w:t>
            </w:r>
          </w:p>
        </w:tc>
      </w:tr>
      <w:tr w:rsidR="001F01CD" w:rsidRPr="00650EE4" w14:paraId="0E473C10" w14:textId="77777777" w:rsidTr="00E57787">
        <w:tc>
          <w:tcPr>
            <w:tcW w:w="716" w:type="dxa"/>
            <w:shd w:val="clear" w:color="000000" w:fill="FFFFFF"/>
            <w:noWrap/>
            <w:vAlign w:val="center"/>
            <w:hideMark/>
          </w:tcPr>
          <w:p w14:paraId="05588B7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1634" w:type="dxa"/>
            <w:shd w:val="clear" w:color="000000" w:fill="FFFFFF"/>
            <w:noWrap/>
            <w:vAlign w:val="center"/>
            <w:hideMark/>
          </w:tcPr>
          <w:p w14:paraId="30EA389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shd w:val="clear" w:color="000000" w:fill="FFFFFF"/>
            <w:noWrap/>
            <w:vAlign w:val="center"/>
            <w:hideMark/>
          </w:tcPr>
          <w:p w14:paraId="248A61E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hideMark/>
          </w:tcPr>
          <w:p w14:paraId="6BD9F13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hideMark/>
          </w:tcPr>
          <w:p w14:paraId="2306D9B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276" w:type="dxa"/>
            <w:shd w:val="clear" w:color="000000" w:fill="FFFFFF"/>
            <w:noWrap/>
            <w:vAlign w:val="bottom"/>
            <w:hideMark/>
          </w:tcPr>
          <w:p w14:paraId="58DA1C9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134" w:type="dxa"/>
            <w:shd w:val="clear" w:color="000000" w:fill="FFFFFF"/>
            <w:noWrap/>
            <w:vAlign w:val="bottom"/>
            <w:hideMark/>
          </w:tcPr>
          <w:p w14:paraId="4286A22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bottom"/>
            <w:hideMark/>
          </w:tcPr>
          <w:p w14:paraId="42082E0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11</w:t>
            </w:r>
          </w:p>
        </w:tc>
        <w:tc>
          <w:tcPr>
            <w:tcW w:w="1552" w:type="dxa"/>
            <w:shd w:val="clear" w:color="000000" w:fill="FFFFFF"/>
            <w:noWrap/>
            <w:vAlign w:val="bottom"/>
            <w:hideMark/>
          </w:tcPr>
          <w:p w14:paraId="4ED9A2C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6-21</w:t>
            </w:r>
          </w:p>
        </w:tc>
      </w:tr>
      <w:tr w:rsidR="001F01CD" w:rsidRPr="00650EE4" w14:paraId="6612BFB1" w14:textId="77777777" w:rsidTr="00E57787">
        <w:tc>
          <w:tcPr>
            <w:tcW w:w="716" w:type="dxa"/>
            <w:shd w:val="clear" w:color="000000" w:fill="FFFFFF"/>
            <w:noWrap/>
            <w:vAlign w:val="center"/>
          </w:tcPr>
          <w:p w14:paraId="5DD7DE05"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634" w:type="dxa"/>
            <w:shd w:val="clear" w:color="000000" w:fill="FFFFFF"/>
            <w:noWrap/>
            <w:vAlign w:val="center"/>
          </w:tcPr>
          <w:p w14:paraId="3D6D461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shd w:val="clear" w:color="000000" w:fill="FFFFFF"/>
            <w:noWrap/>
            <w:vAlign w:val="center"/>
          </w:tcPr>
          <w:p w14:paraId="2427169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0A9A226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5625AB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shd w:val="clear" w:color="000000" w:fill="FFFFFF"/>
            <w:noWrap/>
            <w:vAlign w:val="bottom"/>
          </w:tcPr>
          <w:p w14:paraId="7E2A389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bottom"/>
          </w:tcPr>
          <w:p w14:paraId="34C9BD7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shd w:val="clear" w:color="000000" w:fill="FFFFFF"/>
            <w:noWrap/>
            <w:vAlign w:val="bottom"/>
          </w:tcPr>
          <w:p w14:paraId="3A774CF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552" w:type="dxa"/>
            <w:shd w:val="clear" w:color="000000" w:fill="FFFFFF"/>
            <w:noWrap/>
            <w:vAlign w:val="bottom"/>
          </w:tcPr>
          <w:p w14:paraId="0DCF559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2-11</w:t>
            </w:r>
          </w:p>
        </w:tc>
      </w:tr>
      <w:tr w:rsidR="001F01CD" w:rsidRPr="00650EE4" w14:paraId="45C3AAFB" w14:textId="77777777" w:rsidTr="00E57787">
        <w:tc>
          <w:tcPr>
            <w:tcW w:w="716" w:type="dxa"/>
            <w:shd w:val="clear" w:color="000000" w:fill="FFFFFF"/>
            <w:noWrap/>
            <w:vAlign w:val="center"/>
          </w:tcPr>
          <w:p w14:paraId="7850DA97"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1634" w:type="dxa"/>
            <w:shd w:val="clear" w:color="000000" w:fill="FFFFFF"/>
            <w:noWrap/>
            <w:vAlign w:val="center"/>
          </w:tcPr>
          <w:p w14:paraId="50DEC545"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shd w:val="clear" w:color="000000" w:fill="FFFFFF"/>
            <w:noWrap/>
            <w:vAlign w:val="center"/>
          </w:tcPr>
          <w:p w14:paraId="0D42CFF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B</w:t>
            </w:r>
          </w:p>
        </w:tc>
        <w:tc>
          <w:tcPr>
            <w:tcW w:w="767" w:type="dxa"/>
            <w:shd w:val="clear" w:color="000000" w:fill="FFFFFF"/>
            <w:noWrap/>
            <w:vAlign w:val="center"/>
          </w:tcPr>
          <w:p w14:paraId="57321A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shd w:val="clear" w:color="000000" w:fill="FFFFFF"/>
            <w:noWrap/>
            <w:vAlign w:val="bottom"/>
          </w:tcPr>
          <w:p w14:paraId="3834D7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shd w:val="clear" w:color="000000" w:fill="FFFFFF"/>
            <w:noWrap/>
            <w:vAlign w:val="bottom"/>
          </w:tcPr>
          <w:p w14:paraId="5E3B2B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bottom"/>
          </w:tcPr>
          <w:p w14:paraId="1EF71E7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417" w:type="dxa"/>
            <w:shd w:val="clear" w:color="000000" w:fill="FFFFFF"/>
            <w:noWrap/>
            <w:vAlign w:val="bottom"/>
          </w:tcPr>
          <w:p w14:paraId="0958FB33"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552" w:type="dxa"/>
            <w:shd w:val="clear" w:color="000000" w:fill="FFFFFF"/>
            <w:noWrap/>
            <w:vAlign w:val="bottom"/>
          </w:tcPr>
          <w:p w14:paraId="35A994F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9-27</w:t>
            </w:r>
          </w:p>
        </w:tc>
      </w:tr>
      <w:tr w:rsidR="001F01CD" w:rsidRPr="00650EE4" w14:paraId="2229CE3E" w14:textId="77777777" w:rsidTr="00E57787">
        <w:tc>
          <w:tcPr>
            <w:tcW w:w="716" w:type="dxa"/>
            <w:tcBorders>
              <w:bottom w:val="single" w:sz="4" w:space="0" w:color="auto"/>
            </w:tcBorders>
            <w:shd w:val="clear" w:color="000000" w:fill="FFFFFF"/>
            <w:noWrap/>
            <w:vAlign w:val="center"/>
            <w:hideMark/>
          </w:tcPr>
          <w:p w14:paraId="7E833952"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634" w:type="dxa"/>
            <w:tcBorders>
              <w:bottom w:val="single" w:sz="4" w:space="0" w:color="auto"/>
            </w:tcBorders>
            <w:shd w:val="clear" w:color="000000" w:fill="FFFFFF"/>
            <w:noWrap/>
            <w:vAlign w:val="center"/>
            <w:hideMark/>
          </w:tcPr>
          <w:p w14:paraId="0B3AEC5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A++ </w:t>
            </w:r>
          </w:p>
        </w:tc>
        <w:tc>
          <w:tcPr>
            <w:tcW w:w="774" w:type="dxa"/>
            <w:tcBorders>
              <w:bottom w:val="single" w:sz="4" w:space="0" w:color="auto"/>
            </w:tcBorders>
            <w:shd w:val="clear" w:color="000000" w:fill="FFFFFF"/>
            <w:noWrap/>
            <w:vAlign w:val="center"/>
            <w:hideMark/>
          </w:tcPr>
          <w:p w14:paraId="6E89684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hideMark/>
          </w:tcPr>
          <w:p w14:paraId="2873094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hideMark/>
          </w:tcPr>
          <w:p w14:paraId="6037780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276" w:type="dxa"/>
            <w:tcBorders>
              <w:bottom w:val="single" w:sz="4" w:space="0" w:color="auto"/>
            </w:tcBorders>
            <w:shd w:val="clear" w:color="000000" w:fill="FFFFFF"/>
            <w:noWrap/>
            <w:vAlign w:val="bottom"/>
            <w:hideMark/>
          </w:tcPr>
          <w:p w14:paraId="4B03935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tcBorders>
              <w:bottom w:val="single" w:sz="4" w:space="0" w:color="auto"/>
            </w:tcBorders>
            <w:shd w:val="clear" w:color="000000" w:fill="FFFFFF"/>
            <w:noWrap/>
            <w:vAlign w:val="bottom"/>
            <w:hideMark/>
          </w:tcPr>
          <w:p w14:paraId="6337FCF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417" w:type="dxa"/>
            <w:tcBorders>
              <w:bottom w:val="single" w:sz="4" w:space="0" w:color="auto"/>
            </w:tcBorders>
            <w:shd w:val="clear" w:color="000000" w:fill="FFFFFF"/>
            <w:noWrap/>
            <w:vAlign w:val="bottom"/>
            <w:hideMark/>
          </w:tcPr>
          <w:p w14:paraId="75F08EC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8</w:t>
            </w:r>
          </w:p>
        </w:tc>
        <w:tc>
          <w:tcPr>
            <w:tcW w:w="1552" w:type="dxa"/>
            <w:tcBorders>
              <w:bottom w:val="single" w:sz="4" w:space="0" w:color="auto"/>
            </w:tcBorders>
            <w:shd w:val="clear" w:color="000000" w:fill="FFFFFF"/>
            <w:noWrap/>
            <w:vAlign w:val="bottom"/>
            <w:hideMark/>
          </w:tcPr>
          <w:p w14:paraId="28A3777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4-18</w:t>
            </w:r>
          </w:p>
        </w:tc>
      </w:tr>
      <w:tr w:rsidR="001F01CD" w:rsidRPr="00650EE4" w14:paraId="31B9A1DD" w14:textId="77777777" w:rsidTr="00E57787">
        <w:tc>
          <w:tcPr>
            <w:tcW w:w="716" w:type="dxa"/>
            <w:tcBorders>
              <w:bottom w:val="single" w:sz="4" w:space="0" w:color="auto"/>
            </w:tcBorders>
            <w:shd w:val="clear" w:color="000000" w:fill="FFFFFF"/>
            <w:noWrap/>
            <w:vAlign w:val="center"/>
          </w:tcPr>
          <w:p w14:paraId="38D9F019"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1634" w:type="dxa"/>
            <w:tcBorders>
              <w:bottom w:val="single" w:sz="4" w:space="0" w:color="auto"/>
            </w:tcBorders>
            <w:shd w:val="clear" w:color="000000" w:fill="FFFFFF"/>
            <w:noWrap/>
            <w:vAlign w:val="center"/>
          </w:tcPr>
          <w:p w14:paraId="1BDCC52D"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w:t>
            </w:r>
          </w:p>
        </w:tc>
        <w:tc>
          <w:tcPr>
            <w:tcW w:w="774" w:type="dxa"/>
            <w:tcBorders>
              <w:bottom w:val="single" w:sz="4" w:space="0" w:color="auto"/>
            </w:tcBorders>
            <w:shd w:val="clear" w:color="000000" w:fill="FFFFFF"/>
            <w:noWrap/>
            <w:vAlign w:val="center"/>
          </w:tcPr>
          <w:p w14:paraId="7F851DD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tcPr>
          <w:p w14:paraId="30D7DBA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tcPr>
          <w:p w14:paraId="6411DE2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w:t>
            </w:r>
          </w:p>
        </w:tc>
        <w:tc>
          <w:tcPr>
            <w:tcW w:w="1276" w:type="dxa"/>
            <w:tcBorders>
              <w:bottom w:val="single" w:sz="4" w:space="0" w:color="auto"/>
            </w:tcBorders>
            <w:shd w:val="clear" w:color="000000" w:fill="FFFFFF"/>
            <w:noWrap/>
            <w:vAlign w:val="bottom"/>
          </w:tcPr>
          <w:p w14:paraId="1C841ACB"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w:t>
            </w:r>
          </w:p>
        </w:tc>
        <w:tc>
          <w:tcPr>
            <w:tcW w:w="1134" w:type="dxa"/>
            <w:tcBorders>
              <w:bottom w:val="single" w:sz="4" w:space="0" w:color="auto"/>
            </w:tcBorders>
            <w:shd w:val="clear" w:color="000000" w:fill="FFFFFF"/>
            <w:noWrap/>
            <w:vAlign w:val="bottom"/>
          </w:tcPr>
          <w:p w14:paraId="1304A01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0</w:t>
            </w:r>
          </w:p>
        </w:tc>
        <w:tc>
          <w:tcPr>
            <w:tcW w:w="1417" w:type="dxa"/>
            <w:tcBorders>
              <w:bottom w:val="single" w:sz="4" w:space="0" w:color="auto"/>
            </w:tcBorders>
            <w:shd w:val="clear" w:color="000000" w:fill="FFFFFF"/>
            <w:noWrap/>
            <w:vAlign w:val="bottom"/>
          </w:tcPr>
          <w:p w14:paraId="337D2FC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552" w:type="dxa"/>
            <w:tcBorders>
              <w:bottom w:val="single" w:sz="4" w:space="0" w:color="auto"/>
            </w:tcBorders>
            <w:shd w:val="clear" w:color="000000" w:fill="FFFFFF"/>
            <w:noWrap/>
            <w:vAlign w:val="bottom"/>
          </w:tcPr>
          <w:p w14:paraId="649E8DF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0-8</w:t>
            </w:r>
          </w:p>
        </w:tc>
      </w:tr>
      <w:tr w:rsidR="001F01CD" w:rsidRPr="00650EE4" w14:paraId="5FD5AA83" w14:textId="77777777" w:rsidTr="00E57787">
        <w:tc>
          <w:tcPr>
            <w:tcW w:w="716" w:type="dxa"/>
            <w:tcBorders>
              <w:bottom w:val="single" w:sz="4" w:space="0" w:color="auto"/>
            </w:tcBorders>
            <w:shd w:val="clear" w:color="000000" w:fill="FFFFFF"/>
            <w:noWrap/>
            <w:vAlign w:val="center"/>
          </w:tcPr>
          <w:p w14:paraId="3983604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1634" w:type="dxa"/>
            <w:tcBorders>
              <w:bottom w:val="single" w:sz="4" w:space="0" w:color="auto"/>
            </w:tcBorders>
            <w:shd w:val="clear" w:color="000000" w:fill="FFFFFF"/>
            <w:noWrap/>
            <w:vAlign w:val="center"/>
          </w:tcPr>
          <w:p w14:paraId="00120241"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  + ŠS + FV</w:t>
            </w:r>
          </w:p>
        </w:tc>
        <w:tc>
          <w:tcPr>
            <w:tcW w:w="774" w:type="dxa"/>
            <w:tcBorders>
              <w:bottom w:val="single" w:sz="4" w:space="0" w:color="auto"/>
            </w:tcBorders>
            <w:shd w:val="clear" w:color="000000" w:fill="FFFFFF"/>
            <w:noWrap/>
            <w:vAlign w:val="center"/>
          </w:tcPr>
          <w:p w14:paraId="4DED256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767" w:type="dxa"/>
            <w:tcBorders>
              <w:bottom w:val="single" w:sz="4" w:space="0" w:color="auto"/>
            </w:tcBorders>
            <w:shd w:val="clear" w:color="000000" w:fill="FFFFFF"/>
            <w:noWrap/>
            <w:vAlign w:val="center"/>
          </w:tcPr>
          <w:p w14:paraId="1DC06CDC"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w:t>
            </w:r>
          </w:p>
        </w:tc>
        <w:tc>
          <w:tcPr>
            <w:tcW w:w="924" w:type="dxa"/>
            <w:tcBorders>
              <w:bottom w:val="single" w:sz="4" w:space="0" w:color="auto"/>
            </w:tcBorders>
            <w:shd w:val="clear" w:color="000000" w:fill="FFFFFF"/>
            <w:noWrap/>
            <w:vAlign w:val="bottom"/>
          </w:tcPr>
          <w:p w14:paraId="7A1CFAE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tcBorders>
              <w:bottom w:val="single" w:sz="4" w:space="0" w:color="auto"/>
            </w:tcBorders>
            <w:shd w:val="clear" w:color="000000" w:fill="FFFFFF"/>
            <w:noWrap/>
            <w:vAlign w:val="bottom"/>
          </w:tcPr>
          <w:p w14:paraId="44D1641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134" w:type="dxa"/>
            <w:tcBorders>
              <w:bottom w:val="single" w:sz="4" w:space="0" w:color="auto"/>
            </w:tcBorders>
            <w:shd w:val="clear" w:color="000000" w:fill="FFFFFF"/>
            <w:noWrap/>
            <w:vAlign w:val="bottom"/>
          </w:tcPr>
          <w:p w14:paraId="2FFA15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w:t>
            </w:r>
          </w:p>
        </w:tc>
        <w:tc>
          <w:tcPr>
            <w:tcW w:w="1417" w:type="dxa"/>
            <w:tcBorders>
              <w:bottom w:val="single" w:sz="4" w:space="0" w:color="auto"/>
            </w:tcBorders>
            <w:shd w:val="clear" w:color="000000" w:fill="FFFFFF"/>
            <w:noWrap/>
            <w:vAlign w:val="bottom"/>
          </w:tcPr>
          <w:p w14:paraId="281EA50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9</w:t>
            </w:r>
          </w:p>
        </w:tc>
        <w:tc>
          <w:tcPr>
            <w:tcW w:w="1552" w:type="dxa"/>
            <w:tcBorders>
              <w:bottom w:val="single" w:sz="4" w:space="0" w:color="auto"/>
            </w:tcBorders>
            <w:shd w:val="clear" w:color="000000" w:fill="FFFFFF"/>
            <w:noWrap/>
            <w:vAlign w:val="bottom"/>
          </w:tcPr>
          <w:p w14:paraId="3AAED2B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7-24</w:t>
            </w:r>
          </w:p>
        </w:tc>
      </w:tr>
      <w:tr w:rsidR="001F01CD" w:rsidRPr="00650EE4" w14:paraId="784EC6A1" w14:textId="77777777" w:rsidTr="00E57787">
        <w:tc>
          <w:tcPr>
            <w:tcW w:w="2350"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22FB581B"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b/>
                <w:bCs/>
                <w:sz w:val="20"/>
                <w:szCs w:val="20"/>
                <w:lang w:eastAsia="lt-LT"/>
              </w:rPr>
              <w:t>Daliniai paketai</w:t>
            </w:r>
          </w:p>
        </w:tc>
        <w:tc>
          <w:tcPr>
            <w:tcW w:w="774" w:type="dxa"/>
            <w:tcBorders>
              <w:top w:val="single" w:sz="4" w:space="0" w:color="auto"/>
              <w:left w:val="nil"/>
              <w:bottom w:val="single" w:sz="4" w:space="0" w:color="auto"/>
              <w:right w:val="nil"/>
            </w:tcBorders>
            <w:shd w:val="clear" w:color="000000" w:fill="FFFFFF"/>
            <w:noWrap/>
            <w:vAlign w:val="center"/>
          </w:tcPr>
          <w:p w14:paraId="1F6FC898"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767" w:type="dxa"/>
            <w:tcBorders>
              <w:top w:val="single" w:sz="4" w:space="0" w:color="auto"/>
              <w:left w:val="nil"/>
              <w:bottom w:val="single" w:sz="4" w:space="0" w:color="auto"/>
              <w:right w:val="nil"/>
            </w:tcBorders>
            <w:shd w:val="clear" w:color="000000" w:fill="FFFFFF"/>
            <w:noWrap/>
            <w:vAlign w:val="center"/>
          </w:tcPr>
          <w:p w14:paraId="1E6F3F52"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924" w:type="dxa"/>
            <w:tcBorders>
              <w:top w:val="single" w:sz="4" w:space="0" w:color="auto"/>
              <w:left w:val="nil"/>
              <w:bottom w:val="single" w:sz="4" w:space="0" w:color="auto"/>
              <w:right w:val="nil"/>
            </w:tcBorders>
            <w:shd w:val="clear" w:color="000000" w:fill="FFFFFF"/>
            <w:noWrap/>
            <w:vAlign w:val="center"/>
          </w:tcPr>
          <w:p w14:paraId="2CDCE6EF"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276" w:type="dxa"/>
            <w:tcBorders>
              <w:top w:val="single" w:sz="4" w:space="0" w:color="auto"/>
              <w:left w:val="nil"/>
              <w:bottom w:val="single" w:sz="4" w:space="0" w:color="auto"/>
              <w:right w:val="nil"/>
            </w:tcBorders>
            <w:shd w:val="clear" w:color="000000" w:fill="FFFFFF"/>
            <w:noWrap/>
            <w:vAlign w:val="center"/>
          </w:tcPr>
          <w:p w14:paraId="319436DE"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134" w:type="dxa"/>
            <w:tcBorders>
              <w:top w:val="single" w:sz="4" w:space="0" w:color="auto"/>
              <w:left w:val="nil"/>
              <w:bottom w:val="single" w:sz="4" w:space="0" w:color="auto"/>
              <w:right w:val="nil"/>
            </w:tcBorders>
            <w:shd w:val="clear" w:color="000000" w:fill="FFFFFF"/>
            <w:noWrap/>
            <w:vAlign w:val="center"/>
          </w:tcPr>
          <w:p w14:paraId="1E09A689"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417" w:type="dxa"/>
            <w:tcBorders>
              <w:top w:val="single" w:sz="4" w:space="0" w:color="auto"/>
              <w:left w:val="nil"/>
              <w:bottom w:val="single" w:sz="4" w:space="0" w:color="auto"/>
              <w:right w:val="nil"/>
            </w:tcBorders>
            <w:shd w:val="clear" w:color="000000" w:fill="FFFFFF"/>
            <w:noWrap/>
            <w:vAlign w:val="center"/>
          </w:tcPr>
          <w:p w14:paraId="73469EF9"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c>
          <w:tcPr>
            <w:tcW w:w="1552" w:type="dxa"/>
            <w:tcBorders>
              <w:top w:val="single" w:sz="4" w:space="0" w:color="auto"/>
              <w:left w:val="nil"/>
              <w:bottom w:val="single" w:sz="4" w:space="0" w:color="auto"/>
              <w:right w:val="single" w:sz="4" w:space="0" w:color="auto"/>
            </w:tcBorders>
            <w:shd w:val="clear" w:color="000000" w:fill="FFFFFF"/>
            <w:noWrap/>
            <w:vAlign w:val="center"/>
          </w:tcPr>
          <w:p w14:paraId="774DA20D" w14:textId="77777777" w:rsidR="001F01CD" w:rsidRPr="00650EE4" w:rsidRDefault="001F01CD" w:rsidP="004F6509">
            <w:pPr>
              <w:spacing w:line="240" w:lineRule="auto"/>
              <w:jc w:val="center"/>
              <w:rPr>
                <w:rFonts w:ascii="Times New Roman" w:eastAsia="Times New Roman" w:hAnsi="Times New Roman"/>
                <w:sz w:val="20"/>
                <w:szCs w:val="20"/>
                <w:lang w:eastAsia="lt-LT"/>
              </w:rPr>
            </w:pPr>
          </w:p>
        </w:tc>
      </w:tr>
      <w:tr w:rsidR="001F01CD" w:rsidRPr="00650EE4" w14:paraId="07F8A470" w14:textId="77777777" w:rsidTr="00E57787">
        <w:tc>
          <w:tcPr>
            <w:tcW w:w="716" w:type="dxa"/>
            <w:tcBorders>
              <w:top w:val="single" w:sz="4" w:space="0" w:color="auto"/>
            </w:tcBorders>
            <w:shd w:val="clear" w:color="000000" w:fill="FFFFFF"/>
            <w:noWrap/>
            <w:vAlign w:val="center"/>
          </w:tcPr>
          <w:p w14:paraId="0126FCB6"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634" w:type="dxa"/>
            <w:tcBorders>
              <w:top w:val="single" w:sz="4" w:space="0" w:color="auto"/>
            </w:tcBorders>
            <w:shd w:val="clear" w:color="000000" w:fill="FFFFFF"/>
            <w:noWrap/>
            <w:vAlign w:val="center"/>
          </w:tcPr>
          <w:p w14:paraId="4FB98D16"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Mažoji renovacija</w:t>
            </w:r>
          </w:p>
        </w:tc>
        <w:tc>
          <w:tcPr>
            <w:tcW w:w="774" w:type="dxa"/>
            <w:tcBorders>
              <w:top w:val="single" w:sz="4" w:space="0" w:color="auto"/>
            </w:tcBorders>
            <w:shd w:val="clear" w:color="000000" w:fill="FFFFFF"/>
            <w:noWrap/>
            <w:vAlign w:val="center"/>
          </w:tcPr>
          <w:p w14:paraId="1C665CF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tcBorders>
              <w:top w:val="single" w:sz="4" w:space="0" w:color="auto"/>
            </w:tcBorders>
            <w:shd w:val="clear" w:color="000000" w:fill="FFFFFF"/>
            <w:noWrap/>
            <w:vAlign w:val="center"/>
          </w:tcPr>
          <w:p w14:paraId="1E0911C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tcBorders>
              <w:top w:val="single" w:sz="4" w:space="0" w:color="auto"/>
            </w:tcBorders>
            <w:shd w:val="clear" w:color="000000" w:fill="FFFFFF"/>
            <w:noWrap/>
            <w:vAlign w:val="center"/>
          </w:tcPr>
          <w:p w14:paraId="5CFAB80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12</w:t>
            </w:r>
          </w:p>
        </w:tc>
        <w:tc>
          <w:tcPr>
            <w:tcW w:w="1276" w:type="dxa"/>
            <w:tcBorders>
              <w:top w:val="single" w:sz="4" w:space="0" w:color="auto"/>
            </w:tcBorders>
            <w:shd w:val="clear" w:color="000000" w:fill="FFFFFF"/>
            <w:noWrap/>
            <w:vAlign w:val="center"/>
          </w:tcPr>
          <w:p w14:paraId="1973F1F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tcBorders>
              <w:top w:val="single" w:sz="4" w:space="0" w:color="auto"/>
            </w:tcBorders>
            <w:shd w:val="clear" w:color="000000" w:fill="FFFFFF"/>
            <w:noWrap/>
            <w:vAlign w:val="center"/>
          </w:tcPr>
          <w:p w14:paraId="10165465"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tcBorders>
              <w:top w:val="single" w:sz="4" w:space="0" w:color="auto"/>
            </w:tcBorders>
            <w:shd w:val="clear" w:color="000000" w:fill="FFFFFF"/>
            <w:noWrap/>
            <w:vAlign w:val="center"/>
          </w:tcPr>
          <w:p w14:paraId="43B05AF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w:t>
            </w:r>
          </w:p>
        </w:tc>
        <w:tc>
          <w:tcPr>
            <w:tcW w:w="1552" w:type="dxa"/>
            <w:tcBorders>
              <w:top w:val="single" w:sz="4" w:space="0" w:color="auto"/>
            </w:tcBorders>
            <w:shd w:val="clear" w:color="000000" w:fill="FFFFFF"/>
            <w:noWrap/>
            <w:vAlign w:val="center"/>
          </w:tcPr>
          <w:p w14:paraId="5F9F93D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19-35</w:t>
            </w:r>
          </w:p>
        </w:tc>
      </w:tr>
      <w:tr w:rsidR="001F01CD" w:rsidRPr="00650EE4" w14:paraId="69F72102" w14:textId="77777777" w:rsidTr="00E57787">
        <w:tc>
          <w:tcPr>
            <w:tcW w:w="716" w:type="dxa"/>
            <w:shd w:val="clear" w:color="000000" w:fill="FFFFFF"/>
            <w:noWrap/>
            <w:vAlign w:val="center"/>
            <w:hideMark/>
          </w:tcPr>
          <w:p w14:paraId="68C908A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1634" w:type="dxa"/>
            <w:shd w:val="clear" w:color="000000" w:fill="FFFFFF"/>
            <w:noWrap/>
            <w:vAlign w:val="center"/>
            <w:hideMark/>
          </w:tcPr>
          <w:p w14:paraId="035E79DE"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Fasado šiltinimas</w:t>
            </w:r>
          </w:p>
        </w:tc>
        <w:tc>
          <w:tcPr>
            <w:tcW w:w="774" w:type="dxa"/>
            <w:shd w:val="clear" w:color="000000" w:fill="FFFFFF"/>
            <w:noWrap/>
            <w:vAlign w:val="center"/>
            <w:hideMark/>
          </w:tcPr>
          <w:p w14:paraId="5A75E2C8"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778A0824"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0567461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13</w:t>
            </w:r>
          </w:p>
        </w:tc>
        <w:tc>
          <w:tcPr>
            <w:tcW w:w="1276" w:type="dxa"/>
            <w:shd w:val="clear" w:color="000000" w:fill="FFFFFF"/>
            <w:noWrap/>
            <w:vAlign w:val="center"/>
            <w:hideMark/>
          </w:tcPr>
          <w:p w14:paraId="65F8A15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6</w:t>
            </w:r>
          </w:p>
        </w:tc>
        <w:tc>
          <w:tcPr>
            <w:tcW w:w="1134" w:type="dxa"/>
            <w:shd w:val="clear" w:color="000000" w:fill="FFFFFF"/>
            <w:noWrap/>
            <w:vAlign w:val="center"/>
            <w:hideMark/>
          </w:tcPr>
          <w:p w14:paraId="0E518C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5</w:t>
            </w:r>
          </w:p>
        </w:tc>
        <w:tc>
          <w:tcPr>
            <w:tcW w:w="1417" w:type="dxa"/>
            <w:shd w:val="clear" w:color="000000" w:fill="FFFFFF"/>
            <w:noWrap/>
            <w:vAlign w:val="center"/>
            <w:hideMark/>
          </w:tcPr>
          <w:p w14:paraId="6992546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29</w:t>
            </w:r>
          </w:p>
        </w:tc>
        <w:tc>
          <w:tcPr>
            <w:tcW w:w="1552" w:type="dxa"/>
            <w:shd w:val="clear" w:color="000000" w:fill="FFFFFF"/>
            <w:noWrap/>
            <w:vAlign w:val="center"/>
            <w:hideMark/>
          </w:tcPr>
          <w:p w14:paraId="2DBDEB4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20-34</w:t>
            </w:r>
          </w:p>
        </w:tc>
      </w:tr>
      <w:tr w:rsidR="001F01CD" w:rsidRPr="00650EE4" w14:paraId="7CF8481A" w14:textId="77777777" w:rsidTr="00E57787">
        <w:tc>
          <w:tcPr>
            <w:tcW w:w="716" w:type="dxa"/>
            <w:shd w:val="clear" w:color="000000" w:fill="FFFFFF"/>
            <w:noWrap/>
            <w:vAlign w:val="center"/>
            <w:hideMark/>
          </w:tcPr>
          <w:p w14:paraId="48BA485B"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1634" w:type="dxa"/>
            <w:shd w:val="clear" w:color="000000" w:fill="FFFFFF"/>
            <w:noWrap/>
            <w:vAlign w:val="center"/>
            <w:hideMark/>
          </w:tcPr>
          <w:p w14:paraId="2D76A3DA"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Stogo perdangos šiltinimas</w:t>
            </w:r>
          </w:p>
        </w:tc>
        <w:tc>
          <w:tcPr>
            <w:tcW w:w="774" w:type="dxa"/>
            <w:shd w:val="clear" w:color="000000" w:fill="FFFFFF"/>
            <w:noWrap/>
            <w:vAlign w:val="center"/>
            <w:hideMark/>
          </w:tcPr>
          <w:p w14:paraId="3B789F0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1D7A08F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6DB7C140"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center"/>
            <w:hideMark/>
          </w:tcPr>
          <w:p w14:paraId="3D7DB14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134" w:type="dxa"/>
            <w:shd w:val="clear" w:color="000000" w:fill="FFFFFF"/>
            <w:noWrap/>
            <w:vAlign w:val="center"/>
            <w:hideMark/>
          </w:tcPr>
          <w:p w14:paraId="1A07DD52"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center"/>
            <w:hideMark/>
          </w:tcPr>
          <w:p w14:paraId="3AC2606A"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25</w:t>
            </w:r>
          </w:p>
        </w:tc>
        <w:tc>
          <w:tcPr>
            <w:tcW w:w="1552" w:type="dxa"/>
            <w:shd w:val="clear" w:color="000000" w:fill="FFFFFF"/>
            <w:noWrap/>
            <w:vAlign w:val="center"/>
            <w:hideMark/>
          </w:tcPr>
          <w:p w14:paraId="4DF9A33D"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18-33</w:t>
            </w:r>
          </w:p>
        </w:tc>
      </w:tr>
      <w:tr w:rsidR="001F01CD" w:rsidRPr="00650EE4" w14:paraId="588EE667" w14:textId="77777777" w:rsidTr="00E57787">
        <w:tc>
          <w:tcPr>
            <w:tcW w:w="716" w:type="dxa"/>
            <w:shd w:val="clear" w:color="000000" w:fill="FFFFFF"/>
            <w:noWrap/>
            <w:vAlign w:val="center"/>
            <w:hideMark/>
          </w:tcPr>
          <w:p w14:paraId="5BF311B1" w14:textId="77777777" w:rsidR="001F01CD" w:rsidRPr="00650EE4" w:rsidRDefault="001F01CD" w:rsidP="004F6509">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lastRenderedPageBreak/>
              <w:t>37</w:t>
            </w:r>
          </w:p>
        </w:tc>
        <w:tc>
          <w:tcPr>
            <w:tcW w:w="1634" w:type="dxa"/>
            <w:shd w:val="clear" w:color="000000" w:fill="FFFFFF"/>
            <w:noWrap/>
            <w:vAlign w:val="center"/>
            <w:hideMark/>
          </w:tcPr>
          <w:p w14:paraId="16FAA412" w14:textId="77777777" w:rsidR="001F01CD" w:rsidRPr="00650EE4" w:rsidRDefault="001F01CD" w:rsidP="004F6509">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Langų keitimas</w:t>
            </w:r>
          </w:p>
        </w:tc>
        <w:tc>
          <w:tcPr>
            <w:tcW w:w="774" w:type="dxa"/>
            <w:shd w:val="clear" w:color="000000" w:fill="FFFFFF"/>
            <w:noWrap/>
            <w:vAlign w:val="center"/>
            <w:hideMark/>
          </w:tcPr>
          <w:p w14:paraId="2875082E"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≤D</w:t>
            </w:r>
          </w:p>
        </w:tc>
        <w:tc>
          <w:tcPr>
            <w:tcW w:w="767" w:type="dxa"/>
            <w:shd w:val="clear" w:color="000000" w:fill="FFFFFF"/>
            <w:noWrap/>
            <w:vAlign w:val="center"/>
            <w:hideMark/>
          </w:tcPr>
          <w:p w14:paraId="2CC784AF"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924" w:type="dxa"/>
            <w:shd w:val="clear" w:color="000000" w:fill="FFFFFF"/>
            <w:noWrap/>
            <w:vAlign w:val="center"/>
            <w:hideMark/>
          </w:tcPr>
          <w:p w14:paraId="7D39FB5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10</w:t>
            </w:r>
          </w:p>
        </w:tc>
        <w:tc>
          <w:tcPr>
            <w:tcW w:w="1276" w:type="dxa"/>
            <w:shd w:val="clear" w:color="000000" w:fill="FFFFFF"/>
            <w:noWrap/>
            <w:vAlign w:val="center"/>
            <w:hideMark/>
          </w:tcPr>
          <w:p w14:paraId="346C7401"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4</w:t>
            </w:r>
          </w:p>
        </w:tc>
        <w:tc>
          <w:tcPr>
            <w:tcW w:w="1134" w:type="dxa"/>
            <w:shd w:val="clear" w:color="000000" w:fill="FFFFFF"/>
            <w:noWrap/>
            <w:vAlign w:val="center"/>
            <w:hideMark/>
          </w:tcPr>
          <w:p w14:paraId="3FAB08C7"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3</w:t>
            </w:r>
          </w:p>
        </w:tc>
        <w:tc>
          <w:tcPr>
            <w:tcW w:w="1417" w:type="dxa"/>
            <w:shd w:val="clear" w:color="000000" w:fill="FFFFFF"/>
            <w:noWrap/>
            <w:vAlign w:val="center"/>
            <w:hideMark/>
          </w:tcPr>
          <w:p w14:paraId="1F7C9FE6"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26</w:t>
            </w:r>
          </w:p>
        </w:tc>
        <w:tc>
          <w:tcPr>
            <w:tcW w:w="1552" w:type="dxa"/>
            <w:shd w:val="clear" w:color="000000" w:fill="FFFFFF"/>
            <w:noWrap/>
            <w:vAlign w:val="center"/>
            <w:hideMark/>
          </w:tcPr>
          <w:p w14:paraId="0B0EF9B9" w14:textId="77777777" w:rsidR="001F01CD" w:rsidRPr="00650EE4" w:rsidRDefault="001F01CD" w:rsidP="004F6509">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rPr>
              <w:t>19-33</w:t>
            </w:r>
          </w:p>
        </w:tc>
      </w:tr>
    </w:tbl>
    <w:p w14:paraId="7D29E018" w14:textId="208C9FBA" w:rsidR="001F01CD" w:rsidRPr="00650EE4" w:rsidRDefault="001F01CD" w:rsidP="00332E90">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605C66">
        <w:rPr>
          <w:rFonts w:ascii="Times New Roman" w:hAnsi="Times New Roman"/>
          <w:i/>
          <w:iCs/>
          <w:color w:val="auto"/>
          <w:sz w:val="20"/>
          <w:szCs w:val="20"/>
        </w:rPr>
        <w:t>Lietuvos ilgalaikei renovacijos strategijai parengti</w:t>
      </w:r>
      <w:r w:rsidR="00605C66"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079E3DDC" w14:textId="2E330073" w:rsidR="00B2750B" w:rsidRPr="00650EE4" w:rsidRDefault="00B2750B" w:rsidP="00332E90">
      <w:pPr>
        <w:pStyle w:val="Pagrindinispaprastastekstas"/>
        <w:spacing w:before="120"/>
        <w:rPr>
          <w:rFonts w:ascii="Times New Roman" w:hAnsi="Times New Roman"/>
          <w:color w:val="000000" w:themeColor="text1"/>
          <w:szCs w:val="22"/>
        </w:rPr>
      </w:pPr>
      <w:bookmarkStart w:id="99" w:name="_Toc47613714"/>
    </w:p>
    <w:p w14:paraId="47465C23" w14:textId="7C51B81B" w:rsidR="00B2750B" w:rsidRPr="00650EE4" w:rsidRDefault="006A470E" w:rsidP="00BB45F0">
      <w:pPr>
        <w:pStyle w:val="Antrastes31"/>
        <w:numPr>
          <w:ilvl w:val="2"/>
          <w:numId w:val="4"/>
        </w:numPr>
        <w:spacing w:before="0"/>
        <w:ind w:left="720" w:hanging="720"/>
        <w:rPr>
          <w:rFonts w:ascii="Times New Roman" w:hAnsi="Times New Roman"/>
          <w:color w:val="000000" w:themeColor="text1"/>
          <w:sz w:val="22"/>
          <w:szCs w:val="28"/>
          <w:lang w:val="lt-LT"/>
        </w:rPr>
      </w:pPr>
      <w:bookmarkStart w:id="100" w:name="_Toc59107528"/>
      <w:r w:rsidRPr="00650EE4">
        <w:rPr>
          <w:rFonts w:ascii="Times New Roman" w:hAnsi="Times New Roman"/>
          <w:color w:val="000000" w:themeColor="text1"/>
          <w:sz w:val="24"/>
          <w:szCs w:val="24"/>
          <w:lang w:val="lt-LT"/>
        </w:rPr>
        <w:t>Pirminės e</w:t>
      </w:r>
      <w:r w:rsidR="005B5705" w:rsidRPr="00650EE4">
        <w:rPr>
          <w:rFonts w:ascii="Times New Roman" w:hAnsi="Times New Roman"/>
          <w:color w:val="000000" w:themeColor="text1"/>
          <w:sz w:val="24"/>
          <w:szCs w:val="24"/>
          <w:lang w:val="lt-LT"/>
        </w:rPr>
        <w:t>nergijos kai</w:t>
      </w:r>
      <w:r w:rsidRPr="00650EE4">
        <w:rPr>
          <w:rFonts w:ascii="Times New Roman" w:hAnsi="Times New Roman"/>
          <w:color w:val="000000" w:themeColor="text1"/>
          <w:sz w:val="24"/>
          <w:szCs w:val="24"/>
          <w:lang w:val="lt-LT"/>
        </w:rPr>
        <w:t>na (</w:t>
      </w:r>
      <w:proofErr w:type="spellStart"/>
      <w:r w:rsidRPr="00650EE4">
        <w:rPr>
          <w:rFonts w:ascii="Times New Roman" w:hAnsi="Times New Roman"/>
          <w:color w:val="000000" w:themeColor="text1"/>
          <w:sz w:val="24"/>
          <w:szCs w:val="24"/>
          <w:lang w:val="lt-LT"/>
        </w:rPr>
        <w:t>Eur</w:t>
      </w:r>
      <w:proofErr w:type="spellEnd"/>
      <w:r w:rsidRPr="00650EE4">
        <w:rPr>
          <w:rFonts w:ascii="Times New Roman" w:hAnsi="Times New Roman"/>
          <w:color w:val="000000" w:themeColor="text1"/>
          <w:sz w:val="24"/>
          <w:szCs w:val="24"/>
          <w:lang w:val="lt-LT"/>
        </w:rPr>
        <w:t>/</w:t>
      </w:r>
      <w:proofErr w:type="spellStart"/>
      <w:r w:rsidRPr="00650EE4">
        <w:rPr>
          <w:rFonts w:ascii="Times New Roman" w:hAnsi="Times New Roman"/>
          <w:color w:val="000000" w:themeColor="text1"/>
          <w:sz w:val="24"/>
          <w:szCs w:val="24"/>
          <w:lang w:val="lt-LT"/>
        </w:rPr>
        <w:t>kWh</w:t>
      </w:r>
      <w:proofErr w:type="spellEnd"/>
      <w:r w:rsidRPr="00650EE4">
        <w:rPr>
          <w:rFonts w:ascii="Times New Roman" w:hAnsi="Times New Roman"/>
          <w:color w:val="000000" w:themeColor="text1"/>
          <w:sz w:val="24"/>
          <w:szCs w:val="24"/>
          <w:lang w:val="lt-LT"/>
        </w:rPr>
        <w:t>)</w:t>
      </w:r>
      <w:bookmarkEnd w:id="100"/>
    </w:p>
    <w:p w14:paraId="0F67A6E8" w14:textId="77777777" w:rsidR="00B62276" w:rsidRPr="00650EE4" w:rsidRDefault="00B62276" w:rsidP="00B62276">
      <w:pPr>
        <w:pStyle w:val="BodyText"/>
        <w:jc w:val="both"/>
        <w:rPr>
          <w:rFonts w:ascii="Times New Roman" w:hAnsi="Times New Roman"/>
          <w:szCs w:val="22"/>
          <w:lang w:val="lt-LT" w:eastAsia="lt-LT"/>
        </w:rPr>
      </w:pPr>
      <w:r w:rsidRPr="00650EE4">
        <w:rPr>
          <w:rFonts w:ascii="Times New Roman" w:hAnsi="Times New Roman"/>
          <w:szCs w:val="22"/>
          <w:lang w:val="lt-LT" w:eastAsia="lt-LT"/>
        </w:rPr>
        <w:t>Pirminės energijos kaina – išvestinis dydis, apskaičiuojamas pagal šiluminės energijos ir elektros energijos kainas.</w:t>
      </w:r>
    </w:p>
    <w:p w14:paraId="167AD1B6" w14:textId="77777777" w:rsidR="00B62276" w:rsidRPr="00650EE4" w:rsidRDefault="00B62276" w:rsidP="00B62276">
      <w:pPr>
        <w:pStyle w:val="BodyText"/>
        <w:jc w:val="both"/>
        <w:rPr>
          <w:rFonts w:ascii="Times New Roman" w:hAnsi="Times New Roman"/>
          <w:szCs w:val="22"/>
          <w:lang w:val="lt-LT" w:eastAsia="lt-LT"/>
        </w:rPr>
      </w:pPr>
    </w:p>
    <w:p w14:paraId="00CBF086" w14:textId="77777777" w:rsidR="00B62276" w:rsidRPr="00650EE4" w:rsidRDefault="00B62276" w:rsidP="00B62276">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Šilumos energijos kaina</w:t>
      </w:r>
    </w:p>
    <w:p w14:paraId="2AD705C2" w14:textId="77777777" w:rsidR="00B62276" w:rsidRPr="00650EE4" w:rsidRDefault="00B62276" w:rsidP="00B6227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Sutaupytos energijos vertės nustatoma kaip suminio per 30 metų sutaupyto energijos kiekio ir kainos sandaugos diskontuota vertė. Šiluminės energijos kaina vertinta remiantis centralizuotos šilumos vidutine kaina Lietuvoje, įvertinant prognozuojamą infliaciją, 3 scenarijais.</w:t>
      </w:r>
    </w:p>
    <w:p w14:paraId="1604A0BC" w14:textId="77777777" w:rsidR="00B62276" w:rsidRPr="00650EE4" w:rsidRDefault="00B62276" w:rsidP="00B62276">
      <w:pPr>
        <w:pStyle w:val="BodyText"/>
        <w:rPr>
          <w:rFonts w:ascii="Times New Roman" w:hAnsi="Times New Roman"/>
          <w:color w:val="000000" w:themeColor="text1"/>
          <w:szCs w:val="22"/>
          <w:lang w:val="lt-LT"/>
        </w:rPr>
      </w:pPr>
    </w:p>
    <w:p w14:paraId="4A970AF0" w14:textId="7774E7F6"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1" w:name="_Toc59094222"/>
      <w:r w:rsidR="00F25C65">
        <w:t>39</w:t>
      </w:r>
      <w:r w:rsidRPr="00650EE4">
        <w:rPr>
          <w:noProof w:val="0"/>
        </w:rPr>
        <w:fldChar w:fldCharType="end"/>
      </w:r>
      <w:r w:rsidRPr="00650EE4">
        <w:rPr>
          <w:noProof w:val="0"/>
        </w:rPr>
        <w:t xml:space="preserve"> lentelė. Šiluminės energijos kainos kitimo scenarijai (</w:t>
      </w:r>
      <w:proofErr w:type="spellStart"/>
      <w:r w:rsidRPr="00650EE4">
        <w:rPr>
          <w:noProof w:val="0"/>
        </w:rPr>
        <w:t>Eur</w:t>
      </w:r>
      <w:proofErr w:type="spellEnd"/>
      <w:r w:rsidRPr="00650EE4">
        <w:rPr>
          <w:noProof w:val="0"/>
        </w:rPr>
        <w:t>/</w:t>
      </w:r>
      <w:proofErr w:type="spellStart"/>
      <w:r w:rsidRPr="00650EE4">
        <w:rPr>
          <w:noProof w:val="0"/>
        </w:rPr>
        <w:t>MWh</w:t>
      </w:r>
      <w:proofErr w:type="spellEnd"/>
      <w:r w:rsidRPr="00650EE4">
        <w:rPr>
          <w:noProof w:val="0"/>
        </w:rPr>
        <w:t>)</w:t>
      </w:r>
      <w:bookmarkEnd w:id="101"/>
    </w:p>
    <w:tbl>
      <w:tblPr>
        <w:tblStyle w:val="TableGrid"/>
        <w:tblW w:w="0" w:type="auto"/>
        <w:tblLook w:val="04A0" w:firstRow="1" w:lastRow="0" w:firstColumn="1" w:lastColumn="0" w:noHBand="0" w:noVBand="1"/>
      </w:tblPr>
      <w:tblGrid>
        <w:gridCol w:w="552"/>
        <w:gridCol w:w="3412"/>
        <w:gridCol w:w="2127"/>
        <w:gridCol w:w="2976"/>
        <w:gridCol w:w="1127"/>
      </w:tblGrid>
      <w:tr w:rsidR="00B62276" w:rsidRPr="00650EE4" w14:paraId="7154B998" w14:textId="77777777" w:rsidTr="002D37AB">
        <w:tc>
          <w:tcPr>
            <w:tcW w:w="552" w:type="dxa"/>
          </w:tcPr>
          <w:p w14:paraId="1F8B6D56"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3412" w:type="dxa"/>
          </w:tcPr>
          <w:p w14:paraId="42EE2F0B"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Scenarijus</w:t>
            </w:r>
          </w:p>
        </w:tc>
        <w:tc>
          <w:tcPr>
            <w:tcW w:w="2127" w:type="dxa"/>
          </w:tcPr>
          <w:p w14:paraId="468F98AE"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2976" w:type="dxa"/>
          </w:tcPr>
          <w:p w14:paraId="0DE12354"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Metinis pokytis</w:t>
            </w:r>
          </w:p>
        </w:tc>
        <w:tc>
          <w:tcPr>
            <w:tcW w:w="1127" w:type="dxa"/>
          </w:tcPr>
          <w:p w14:paraId="1115185F"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B62276" w:rsidRPr="00650EE4" w14:paraId="6AB33BC4" w14:textId="77777777" w:rsidTr="002D37AB">
        <w:tc>
          <w:tcPr>
            <w:tcW w:w="552" w:type="dxa"/>
          </w:tcPr>
          <w:p w14:paraId="5A60E830"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3412" w:type="dxa"/>
          </w:tcPr>
          <w:p w14:paraId="52B86FE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2020 m. kainų lygis</w:t>
            </w:r>
          </w:p>
        </w:tc>
        <w:tc>
          <w:tcPr>
            <w:tcW w:w="2127" w:type="dxa"/>
          </w:tcPr>
          <w:p w14:paraId="08A9AB1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47,0</w:t>
            </w:r>
          </w:p>
        </w:tc>
        <w:tc>
          <w:tcPr>
            <w:tcW w:w="2976" w:type="dxa"/>
          </w:tcPr>
          <w:p w14:paraId="70145CDA"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583B017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85,1</w:t>
            </w:r>
          </w:p>
        </w:tc>
      </w:tr>
      <w:tr w:rsidR="00B62276" w:rsidRPr="00650EE4" w14:paraId="6C8678E3" w14:textId="77777777" w:rsidTr="002D37AB">
        <w:tc>
          <w:tcPr>
            <w:tcW w:w="552" w:type="dxa"/>
          </w:tcPr>
          <w:p w14:paraId="7908C7BC"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w:t>
            </w:r>
          </w:p>
        </w:tc>
        <w:tc>
          <w:tcPr>
            <w:tcW w:w="3412" w:type="dxa"/>
          </w:tcPr>
          <w:p w14:paraId="60E368F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2019 m. kainų lygis</w:t>
            </w:r>
          </w:p>
        </w:tc>
        <w:tc>
          <w:tcPr>
            <w:tcW w:w="2127" w:type="dxa"/>
          </w:tcPr>
          <w:p w14:paraId="0F3E945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54,0</w:t>
            </w:r>
          </w:p>
        </w:tc>
        <w:tc>
          <w:tcPr>
            <w:tcW w:w="2976" w:type="dxa"/>
          </w:tcPr>
          <w:p w14:paraId="6ECD8174"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5CEC33A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97,8</w:t>
            </w:r>
          </w:p>
        </w:tc>
      </w:tr>
      <w:tr w:rsidR="00B62276" w:rsidRPr="00650EE4" w14:paraId="6139509B" w14:textId="77777777" w:rsidTr="002D37AB">
        <w:tc>
          <w:tcPr>
            <w:tcW w:w="552" w:type="dxa"/>
          </w:tcPr>
          <w:p w14:paraId="7DD899E4"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w:t>
            </w:r>
          </w:p>
        </w:tc>
        <w:tc>
          <w:tcPr>
            <w:tcW w:w="3412" w:type="dxa"/>
          </w:tcPr>
          <w:p w14:paraId="7994C2BA"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2015-2016 m. kainų lygis</w:t>
            </w:r>
          </w:p>
        </w:tc>
        <w:tc>
          <w:tcPr>
            <w:tcW w:w="2127" w:type="dxa"/>
          </w:tcPr>
          <w:p w14:paraId="5AFF3FFF"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61,0</w:t>
            </w:r>
          </w:p>
        </w:tc>
        <w:tc>
          <w:tcPr>
            <w:tcW w:w="2976" w:type="dxa"/>
          </w:tcPr>
          <w:p w14:paraId="0D46FF2B"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77B7CCD0"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110,5</w:t>
            </w:r>
          </w:p>
        </w:tc>
      </w:tr>
    </w:tbl>
    <w:p w14:paraId="6ED62CB0" w14:textId="7FC8B7C3" w:rsidR="00B62276" w:rsidRPr="00650EE4" w:rsidRDefault="00B62276" w:rsidP="00B62276">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605C66" w:rsidRPr="00605C66">
        <w:rPr>
          <w:rFonts w:ascii="Times New Roman" w:hAnsi="Times New Roman"/>
          <w:i/>
          <w:iCs/>
          <w:color w:val="auto"/>
          <w:sz w:val="20"/>
          <w:szCs w:val="20"/>
        </w:rPr>
        <w:t xml:space="preserve"> </w:t>
      </w:r>
      <w:r w:rsidR="00605C66">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297D48BC" w14:textId="77777777" w:rsidR="00B62276" w:rsidRPr="00650EE4" w:rsidRDefault="00B62276" w:rsidP="00B62276">
      <w:pPr>
        <w:pStyle w:val="BodyText"/>
        <w:rPr>
          <w:rFonts w:ascii="Times New Roman" w:hAnsi="Times New Roman"/>
          <w:color w:val="000000" w:themeColor="text1"/>
          <w:szCs w:val="22"/>
          <w:lang w:val="lt-LT"/>
        </w:rPr>
      </w:pPr>
    </w:p>
    <w:p w14:paraId="465C243F" w14:textId="77777777" w:rsidR="00B62276" w:rsidRPr="00650EE4" w:rsidRDefault="00B62276" w:rsidP="00B62276">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Elektros energijos kaina</w:t>
      </w:r>
    </w:p>
    <w:p w14:paraId="57E75775" w14:textId="77777777" w:rsidR="00B62276" w:rsidRPr="00650EE4" w:rsidRDefault="00B62276" w:rsidP="00B6227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Elektros energijos kaina vertinta remiantis vidutine elektros kaina Lietuvoje buitiniams vartotojams, įvertinant prognozuojamą infliaciją.</w:t>
      </w:r>
    </w:p>
    <w:p w14:paraId="611303C9" w14:textId="77777777" w:rsidR="00B62276" w:rsidRPr="00650EE4" w:rsidRDefault="00B62276" w:rsidP="00B62276">
      <w:pPr>
        <w:pStyle w:val="BodyText"/>
        <w:rPr>
          <w:rFonts w:ascii="Times New Roman" w:hAnsi="Times New Roman"/>
          <w:color w:val="000000" w:themeColor="text1"/>
          <w:szCs w:val="22"/>
          <w:lang w:val="lt-LT"/>
        </w:rPr>
      </w:pPr>
    </w:p>
    <w:p w14:paraId="31851F85" w14:textId="70FD282F" w:rsidR="00B62276" w:rsidRPr="00650EE4" w:rsidRDefault="00B6227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2" w:name="_Toc59094223"/>
      <w:r w:rsidR="00F25C65">
        <w:t>40</w:t>
      </w:r>
      <w:r w:rsidRPr="00650EE4">
        <w:rPr>
          <w:noProof w:val="0"/>
        </w:rPr>
        <w:fldChar w:fldCharType="end"/>
      </w:r>
      <w:r w:rsidRPr="00650EE4">
        <w:rPr>
          <w:noProof w:val="0"/>
        </w:rPr>
        <w:t xml:space="preserve"> lentelė. Elektros energijos kainos kitimo scenarijai (</w:t>
      </w:r>
      <w:proofErr w:type="spellStart"/>
      <w:r w:rsidRPr="00650EE4">
        <w:rPr>
          <w:noProof w:val="0"/>
        </w:rPr>
        <w:t>Eur</w:t>
      </w:r>
      <w:proofErr w:type="spellEnd"/>
      <w:r w:rsidRPr="00650EE4">
        <w:rPr>
          <w:noProof w:val="0"/>
        </w:rPr>
        <w:t>/</w:t>
      </w:r>
      <w:proofErr w:type="spellStart"/>
      <w:r w:rsidRPr="00650EE4">
        <w:rPr>
          <w:noProof w:val="0"/>
        </w:rPr>
        <w:t>MWh</w:t>
      </w:r>
      <w:proofErr w:type="spellEnd"/>
      <w:r w:rsidRPr="00650EE4">
        <w:rPr>
          <w:noProof w:val="0"/>
        </w:rPr>
        <w:t>)</w:t>
      </w:r>
      <w:bookmarkEnd w:id="102"/>
    </w:p>
    <w:tbl>
      <w:tblPr>
        <w:tblStyle w:val="TableGrid"/>
        <w:tblW w:w="0" w:type="auto"/>
        <w:tblLook w:val="04A0" w:firstRow="1" w:lastRow="0" w:firstColumn="1" w:lastColumn="0" w:noHBand="0" w:noVBand="1"/>
      </w:tblPr>
      <w:tblGrid>
        <w:gridCol w:w="552"/>
        <w:gridCol w:w="3412"/>
        <w:gridCol w:w="2127"/>
        <w:gridCol w:w="2976"/>
        <w:gridCol w:w="1127"/>
      </w:tblGrid>
      <w:tr w:rsidR="00B62276" w:rsidRPr="00650EE4" w14:paraId="27F13503" w14:textId="77777777" w:rsidTr="002D37AB">
        <w:tc>
          <w:tcPr>
            <w:tcW w:w="552" w:type="dxa"/>
          </w:tcPr>
          <w:p w14:paraId="5B170190"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3412" w:type="dxa"/>
          </w:tcPr>
          <w:p w14:paraId="1CA3DFC2"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Scenarijus</w:t>
            </w:r>
          </w:p>
        </w:tc>
        <w:tc>
          <w:tcPr>
            <w:tcW w:w="2127" w:type="dxa"/>
          </w:tcPr>
          <w:p w14:paraId="55CBE546"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2976" w:type="dxa"/>
          </w:tcPr>
          <w:p w14:paraId="0A27996E"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Metinis pokytis</w:t>
            </w:r>
          </w:p>
        </w:tc>
        <w:tc>
          <w:tcPr>
            <w:tcW w:w="1127" w:type="dxa"/>
          </w:tcPr>
          <w:p w14:paraId="2C35D320" w14:textId="77777777" w:rsidR="00B62276" w:rsidRPr="00650EE4" w:rsidRDefault="00B62276" w:rsidP="002D37AB">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B62276" w:rsidRPr="00650EE4" w14:paraId="31F83F86" w14:textId="77777777" w:rsidTr="002D37AB">
        <w:tc>
          <w:tcPr>
            <w:tcW w:w="552" w:type="dxa"/>
          </w:tcPr>
          <w:p w14:paraId="6B8B8B61"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3412" w:type="dxa"/>
          </w:tcPr>
          <w:p w14:paraId="636EF987"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2020 m. kainų lygis</w:t>
            </w:r>
          </w:p>
        </w:tc>
        <w:tc>
          <w:tcPr>
            <w:tcW w:w="2127" w:type="dxa"/>
          </w:tcPr>
          <w:p w14:paraId="3367A276"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94,7</w:t>
            </w:r>
          </w:p>
        </w:tc>
        <w:tc>
          <w:tcPr>
            <w:tcW w:w="2976" w:type="dxa"/>
          </w:tcPr>
          <w:p w14:paraId="29D04A5B"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 proc.</w:t>
            </w:r>
          </w:p>
        </w:tc>
        <w:tc>
          <w:tcPr>
            <w:tcW w:w="1127" w:type="dxa"/>
          </w:tcPr>
          <w:p w14:paraId="36C15575" w14:textId="77777777" w:rsidR="00B62276" w:rsidRPr="00650EE4" w:rsidRDefault="00B62276" w:rsidP="002D37AB">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171,5</w:t>
            </w:r>
          </w:p>
        </w:tc>
      </w:tr>
    </w:tbl>
    <w:p w14:paraId="1BA9BF3D" w14:textId="28E5908B" w:rsidR="00B62276" w:rsidRDefault="00B62276" w:rsidP="00B62276">
      <w:pPr>
        <w:spacing w:before="60"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Šaltinis: Studijos</w:t>
      </w:r>
      <w:r w:rsidR="002D38BB">
        <w:rPr>
          <w:rFonts w:ascii="Times New Roman" w:eastAsia="Times New Roman" w:hAnsi="Times New Roman"/>
          <w:i/>
          <w:color w:val="000000" w:themeColor="text1"/>
          <w:sz w:val="20"/>
          <w:szCs w:val="20"/>
        </w:rPr>
        <w:t xml:space="preserve"> </w:t>
      </w:r>
      <w:r w:rsidR="002D38B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0"/>
        </w:rPr>
        <w:t xml:space="preserve"> autoriai.</w:t>
      </w:r>
    </w:p>
    <w:p w14:paraId="1061473D" w14:textId="77777777" w:rsidR="00CA09C2" w:rsidRPr="00650EE4" w:rsidRDefault="00CA09C2" w:rsidP="00B62276">
      <w:pPr>
        <w:spacing w:before="60" w:line="240" w:lineRule="auto"/>
        <w:jc w:val="both"/>
        <w:rPr>
          <w:rFonts w:ascii="Times New Roman" w:eastAsia="Times New Roman" w:hAnsi="Times New Roman"/>
          <w:i/>
          <w:color w:val="000000" w:themeColor="text1"/>
          <w:sz w:val="20"/>
          <w:szCs w:val="20"/>
        </w:rPr>
      </w:pPr>
    </w:p>
    <w:p w14:paraId="00B163D6" w14:textId="12CA661B" w:rsidR="00AA0D43" w:rsidRPr="00650EE4" w:rsidRDefault="006A470E" w:rsidP="006A470E">
      <w:pPr>
        <w:pStyle w:val="Antrastes31"/>
        <w:numPr>
          <w:ilvl w:val="2"/>
          <w:numId w:val="4"/>
        </w:numPr>
        <w:spacing w:before="0"/>
        <w:ind w:left="720" w:hanging="720"/>
        <w:rPr>
          <w:rFonts w:ascii="Times New Roman" w:hAnsi="Times New Roman"/>
          <w:color w:val="000000" w:themeColor="text1"/>
          <w:sz w:val="24"/>
          <w:szCs w:val="24"/>
          <w:lang w:val="lt-LT"/>
        </w:rPr>
      </w:pPr>
      <w:bookmarkStart w:id="103" w:name="_Toc59107529"/>
      <w:r w:rsidRPr="00650EE4">
        <w:rPr>
          <w:rFonts w:ascii="Times New Roman" w:hAnsi="Times New Roman"/>
          <w:color w:val="000000" w:themeColor="text1"/>
          <w:sz w:val="24"/>
          <w:szCs w:val="24"/>
          <w:lang w:val="lt-LT"/>
        </w:rPr>
        <w:t>CO2 emisijų kaina</w:t>
      </w:r>
      <w:bookmarkEnd w:id="103"/>
    </w:p>
    <w:p w14:paraId="7F367387" w14:textId="77777777" w:rsidR="00AA0D43" w:rsidRPr="00650EE4" w:rsidRDefault="00AA0D43" w:rsidP="00AA0D43">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vertė įvertinta remiantis Europos komisijos skelbiamomis anglies dioksido apyvartinių taršos leidimų kainų kitimo tendencijomis (scenarijais):</w:t>
      </w:r>
    </w:p>
    <w:p w14:paraId="66FB0C19" w14:textId="77777777" w:rsidR="00AA0D43" w:rsidRPr="00650EE4" w:rsidRDefault="00AA0D43" w:rsidP="00AA0D43">
      <w:pPr>
        <w:pStyle w:val="Default"/>
        <w:rPr>
          <w:rFonts w:ascii="Times New Roman" w:hAnsi="Times New Roman" w:cs="Times New Roman"/>
          <w:sz w:val="22"/>
          <w:szCs w:val="22"/>
          <w:lang w:val="lt-LT"/>
        </w:rPr>
      </w:pPr>
    </w:p>
    <w:p w14:paraId="480BFBAA" w14:textId="138B118A" w:rsidR="00AA0D43" w:rsidRPr="00650EE4" w:rsidRDefault="00AA0D43"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04" w:name="_Toc59094224"/>
      <w:r w:rsidR="00F25C65">
        <w:t>41</w:t>
      </w:r>
      <w:r w:rsidRPr="00650EE4">
        <w:rPr>
          <w:noProof w:val="0"/>
        </w:rPr>
        <w:fldChar w:fldCharType="end"/>
      </w:r>
      <w:r w:rsidRPr="00650EE4">
        <w:rPr>
          <w:noProof w:val="0"/>
        </w:rPr>
        <w:t xml:space="preserve"> lentelė. Europos komisijos išmetamo anglies dioksido kainų kitimo scenarijai (tCO</w:t>
      </w:r>
      <w:r w:rsidRPr="00650EE4">
        <w:rPr>
          <w:noProof w:val="0"/>
          <w:vertAlign w:val="subscript"/>
        </w:rPr>
        <w:t>2</w:t>
      </w:r>
      <w:r w:rsidRPr="00650EE4">
        <w:rPr>
          <w:noProof w:val="0"/>
        </w:rPr>
        <w:t>)</w:t>
      </w:r>
      <w:bookmarkEnd w:id="104"/>
    </w:p>
    <w:tbl>
      <w:tblPr>
        <w:tblStyle w:val="TableGrid"/>
        <w:tblW w:w="10194" w:type="dxa"/>
        <w:tblLook w:val="04A0" w:firstRow="1" w:lastRow="0" w:firstColumn="1" w:lastColumn="0" w:noHBand="0" w:noVBand="1"/>
      </w:tblPr>
      <w:tblGrid>
        <w:gridCol w:w="552"/>
        <w:gridCol w:w="4546"/>
        <w:gridCol w:w="728"/>
        <w:gridCol w:w="728"/>
        <w:gridCol w:w="728"/>
        <w:gridCol w:w="728"/>
        <w:gridCol w:w="728"/>
        <w:gridCol w:w="728"/>
        <w:gridCol w:w="728"/>
      </w:tblGrid>
      <w:tr w:rsidR="00AA0D43" w:rsidRPr="00650EE4" w14:paraId="07C0E1F9" w14:textId="77777777" w:rsidTr="000C1D71">
        <w:tc>
          <w:tcPr>
            <w:tcW w:w="552" w:type="dxa"/>
          </w:tcPr>
          <w:p w14:paraId="0EC287C5"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Nr.</w:t>
            </w:r>
          </w:p>
        </w:tc>
        <w:tc>
          <w:tcPr>
            <w:tcW w:w="4546" w:type="dxa"/>
          </w:tcPr>
          <w:p w14:paraId="57DF5054"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Anglies dioksido apyvartinių taršos leidimų kainos kitimo tendencija</w:t>
            </w:r>
          </w:p>
        </w:tc>
        <w:tc>
          <w:tcPr>
            <w:tcW w:w="728" w:type="dxa"/>
          </w:tcPr>
          <w:p w14:paraId="2D199676"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2020</w:t>
            </w:r>
          </w:p>
        </w:tc>
        <w:tc>
          <w:tcPr>
            <w:tcW w:w="728" w:type="dxa"/>
          </w:tcPr>
          <w:p w14:paraId="49ADEE94"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2025</w:t>
            </w:r>
          </w:p>
        </w:tc>
        <w:tc>
          <w:tcPr>
            <w:tcW w:w="728" w:type="dxa"/>
          </w:tcPr>
          <w:p w14:paraId="30A68912"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2030</w:t>
            </w:r>
          </w:p>
        </w:tc>
        <w:tc>
          <w:tcPr>
            <w:tcW w:w="728" w:type="dxa"/>
          </w:tcPr>
          <w:p w14:paraId="7FE54131"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2035</w:t>
            </w:r>
          </w:p>
        </w:tc>
        <w:tc>
          <w:tcPr>
            <w:tcW w:w="728" w:type="dxa"/>
          </w:tcPr>
          <w:p w14:paraId="1902E3D9"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2040</w:t>
            </w:r>
          </w:p>
        </w:tc>
        <w:tc>
          <w:tcPr>
            <w:tcW w:w="728" w:type="dxa"/>
          </w:tcPr>
          <w:p w14:paraId="1EEBB6CE"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2045</w:t>
            </w:r>
          </w:p>
        </w:tc>
        <w:tc>
          <w:tcPr>
            <w:tcW w:w="728" w:type="dxa"/>
          </w:tcPr>
          <w:p w14:paraId="53D0AE70" w14:textId="77777777" w:rsidR="00AA0D43" w:rsidRPr="00650EE4" w:rsidRDefault="00AA0D43" w:rsidP="000C1D71">
            <w:pPr>
              <w:pStyle w:val="Default"/>
              <w:rPr>
                <w:rFonts w:ascii="Times New Roman" w:hAnsi="Times New Roman" w:cs="Times New Roman"/>
                <w:b/>
                <w:bCs/>
                <w:sz w:val="20"/>
                <w:szCs w:val="20"/>
                <w:lang w:val="lt-LT"/>
              </w:rPr>
            </w:pPr>
            <w:r w:rsidRPr="00650EE4">
              <w:rPr>
                <w:rFonts w:ascii="Times New Roman" w:hAnsi="Times New Roman" w:cs="Times New Roman"/>
                <w:b/>
                <w:bCs/>
                <w:sz w:val="20"/>
                <w:szCs w:val="20"/>
                <w:lang w:val="lt-LT"/>
              </w:rPr>
              <w:t>2050</w:t>
            </w:r>
          </w:p>
        </w:tc>
      </w:tr>
      <w:tr w:rsidR="00AA0D43" w:rsidRPr="00650EE4" w14:paraId="74B20DFB" w14:textId="77777777" w:rsidTr="000C1D71">
        <w:tc>
          <w:tcPr>
            <w:tcW w:w="552" w:type="dxa"/>
          </w:tcPr>
          <w:p w14:paraId="0DA9B46C"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w:t>
            </w:r>
          </w:p>
        </w:tc>
        <w:tc>
          <w:tcPr>
            <w:tcW w:w="4546" w:type="dxa"/>
          </w:tcPr>
          <w:p w14:paraId="427B5818"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Pamatinė (pavieniai veiksmai, pamatinės iškastinio kuro kainos)</w:t>
            </w:r>
          </w:p>
        </w:tc>
        <w:tc>
          <w:tcPr>
            <w:tcW w:w="728" w:type="dxa"/>
          </w:tcPr>
          <w:p w14:paraId="10EF67CA"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16,5</w:t>
            </w:r>
          </w:p>
        </w:tc>
        <w:tc>
          <w:tcPr>
            <w:tcW w:w="728" w:type="dxa"/>
          </w:tcPr>
          <w:p w14:paraId="4B6D6668"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20</w:t>
            </w:r>
          </w:p>
        </w:tc>
        <w:tc>
          <w:tcPr>
            <w:tcW w:w="728" w:type="dxa"/>
          </w:tcPr>
          <w:p w14:paraId="3EFE7C32"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36</w:t>
            </w:r>
          </w:p>
        </w:tc>
        <w:tc>
          <w:tcPr>
            <w:tcW w:w="728" w:type="dxa"/>
          </w:tcPr>
          <w:p w14:paraId="43EF70E4"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50</w:t>
            </w:r>
          </w:p>
        </w:tc>
        <w:tc>
          <w:tcPr>
            <w:tcW w:w="728" w:type="dxa"/>
          </w:tcPr>
          <w:p w14:paraId="53CAB5CA"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52</w:t>
            </w:r>
          </w:p>
        </w:tc>
        <w:tc>
          <w:tcPr>
            <w:tcW w:w="728" w:type="dxa"/>
          </w:tcPr>
          <w:p w14:paraId="22ACF3DB"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51</w:t>
            </w:r>
          </w:p>
        </w:tc>
        <w:tc>
          <w:tcPr>
            <w:tcW w:w="728" w:type="dxa"/>
          </w:tcPr>
          <w:p w14:paraId="6013DA7E"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50</w:t>
            </w:r>
          </w:p>
        </w:tc>
      </w:tr>
      <w:tr w:rsidR="00AA0D43" w:rsidRPr="00650EE4" w14:paraId="7F17DC71" w14:textId="77777777" w:rsidTr="000C1D71">
        <w:tc>
          <w:tcPr>
            <w:tcW w:w="552" w:type="dxa"/>
          </w:tcPr>
          <w:p w14:paraId="6DCF39D6"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w:t>
            </w:r>
          </w:p>
        </w:tc>
        <w:tc>
          <w:tcPr>
            <w:tcW w:w="4546" w:type="dxa"/>
          </w:tcPr>
          <w:p w14:paraId="41EAB70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Veiksmingos technologijos (pavieniai veiksmai, pamatinės iškastinio kuro kainos)</w:t>
            </w:r>
          </w:p>
        </w:tc>
        <w:tc>
          <w:tcPr>
            <w:tcW w:w="728" w:type="dxa"/>
          </w:tcPr>
          <w:p w14:paraId="647D9F13"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w:t>
            </w:r>
          </w:p>
        </w:tc>
        <w:tc>
          <w:tcPr>
            <w:tcW w:w="728" w:type="dxa"/>
          </w:tcPr>
          <w:p w14:paraId="424C99E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34</w:t>
            </w:r>
          </w:p>
        </w:tc>
        <w:tc>
          <w:tcPr>
            <w:tcW w:w="728" w:type="dxa"/>
          </w:tcPr>
          <w:p w14:paraId="0FBA2D3C"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51</w:t>
            </w:r>
          </w:p>
        </w:tc>
        <w:tc>
          <w:tcPr>
            <w:tcW w:w="728" w:type="dxa"/>
          </w:tcPr>
          <w:p w14:paraId="74660E3E"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53</w:t>
            </w:r>
          </w:p>
        </w:tc>
        <w:tc>
          <w:tcPr>
            <w:tcW w:w="728" w:type="dxa"/>
          </w:tcPr>
          <w:p w14:paraId="0A3D4A4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64</w:t>
            </w:r>
          </w:p>
        </w:tc>
        <w:tc>
          <w:tcPr>
            <w:tcW w:w="728" w:type="dxa"/>
          </w:tcPr>
          <w:p w14:paraId="6C56381D"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92</w:t>
            </w:r>
          </w:p>
        </w:tc>
        <w:tc>
          <w:tcPr>
            <w:tcW w:w="728" w:type="dxa"/>
          </w:tcPr>
          <w:p w14:paraId="42B39996"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147</w:t>
            </w:r>
          </w:p>
        </w:tc>
      </w:tr>
      <w:tr w:rsidR="00AA0D43" w:rsidRPr="00650EE4" w14:paraId="4DC92C8C" w14:textId="77777777" w:rsidTr="000C1D71">
        <w:tc>
          <w:tcPr>
            <w:tcW w:w="552" w:type="dxa"/>
          </w:tcPr>
          <w:p w14:paraId="5170C9CB"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w:t>
            </w:r>
          </w:p>
        </w:tc>
        <w:tc>
          <w:tcPr>
            <w:tcW w:w="4546" w:type="dxa"/>
          </w:tcPr>
          <w:p w14:paraId="6EFA5C9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Veiksmingos technologijos (bendri veiksmai, mažos iškastinio kuro kainos)</w:t>
            </w:r>
          </w:p>
        </w:tc>
        <w:tc>
          <w:tcPr>
            <w:tcW w:w="728" w:type="dxa"/>
          </w:tcPr>
          <w:p w14:paraId="15BE0F2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25</w:t>
            </w:r>
          </w:p>
        </w:tc>
        <w:tc>
          <w:tcPr>
            <w:tcW w:w="728" w:type="dxa"/>
          </w:tcPr>
          <w:p w14:paraId="3757208F"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38</w:t>
            </w:r>
          </w:p>
        </w:tc>
        <w:tc>
          <w:tcPr>
            <w:tcW w:w="728" w:type="dxa"/>
          </w:tcPr>
          <w:p w14:paraId="2488D0F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60</w:t>
            </w:r>
          </w:p>
        </w:tc>
        <w:tc>
          <w:tcPr>
            <w:tcW w:w="728" w:type="dxa"/>
          </w:tcPr>
          <w:p w14:paraId="2FC44980"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64</w:t>
            </w:r>
          </w:p>
        </w:tc>
        <w:tc>
          <w:tcPr>
            <w:tcW w:w="728" w:type="dxa"/>
          </w:tcPr>
          <w:p w14:paraId="184483D3"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78</w:t>
            </w:r>
          </w:p>
        </w:tc>
        <w:tc>
          <w:tcPr>
            <w:tcW w:w="728" w:type="dxa"/>
          </w:tcPr>
          <w:p w14:paraId="178204B4"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115</w:t>
            </w:r>
          </w:p>
        </w:tc>
        <w:tc>
          <w:tcPr>
            <w:tcW w:w="728" w:type="dxa"/>
          </w:tcPr>
          <w:p w14:paraId="71FB3911" w14:textId="77777777" w:rsidR="00AA0D43" w:rsidRPr="00650EE4" w:rsidRDefault="00AA0D43" w:rsidP="000C1D71">
            <w:pPr>
              <w:pStyle w:val="Default"/>
              <w:rPr>
                <w:rFonts w:ascii="Times New Roman" w:hAnsi="Times New Roman" w:cs="Times New Roman"/>
                <w:sz w:val="20"/>
                <w:szCs w:val="20"/>
                <w:lang w:val="lt-LT"/>
              </w:rPr>
            </w:pPr>
            <w:r w:rsidRPr="00650EE4">
              <w:rPr>
                <w:rFonts w:ascii="Times New Roman" w:hAnsi="Times New Roman" w:cs="Times New Roman"/>
                <w:sz w:val="20"/>
                <w:szCs w:val="20"/>
                <w:lang w:val="lt-LT"/>
              </w:rPr>
              <w:t>190</w:t>
            </w:r>
          </w:p>
        </w:tc>
      </w:tr>
    </w:tbl>
    <w:p w14:paraId="39BEDBF0" w14:textId="17C25842" w:rsidR="00AA0D43" w:rsidRPr="00650EE4" w:rsidRDefault="00AA0D43" w:rsidP="00332E90">
      <w:pPr>
        <w:spacing w:line="240" w:lineRule="auto"/>
        <w:jc w:val="both"/>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r w:rsidR="002F421C" w:rsidRPr="00650EE4">
        <w:rPr>
          <w:rFonts w:ascii="Times New Roman" w:eastAsia="Times New Roman" w:hAnsi="Times New Roman"/>
          <w:i/>
          <w:color w:val="000000" w:themeColor="text1"/>
          <w:sz w:val="20"/>
          <w:szCs w:val="20"/>
        </w:rPr>
        <w:t>Europos komisija</w:t>
      </w:r>
    </w:p>
    <w:p w14:paraId="7F42867F" w14:textId="6F4F16DC" w:rsidR="0064426D" w:rsidRPr="00650EE4" w:rsidRDefault="0064426D" w:rsidP="0064426D">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05" w:name="_Toc59107530"/>
      <w:r w:rsidRPr="00650EE4">
        <w:rPr>
          <w:rFonts w:ascii="Times New Roman" w:hAnsi="Times New Roman"/>
          <w:color w:val="auto"/>
          <w:sz w:val="24"/>
          <w:szCs w:val="24"/>
          <w:lang w:val="lt-LT"/>
        </w:rPr>
        <w:t>Kitų modeliavimo parametrų nustatymas</w:t>
      </w:r>
      <w:bookmarkEnd w:id="105"/>
    </w:p>
    <w:p w14:paraId="325B016A" w14:textId="77777777" w:rsidR="00EF66CC" w:rsidRPr="00650EE4" w:rsidRDefault="00EF66CC" w:rsidP="00EF66CC">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Modeliuojamos kombinacijos</w:t>
      </w:r>
    </w:p>
    <w:p w14:paraId="4A4D9ED4" w14:textId="77777777" w:rsidR="00EB1D81" w:rsidRPr="00650EE4" w:rsidRDefault="00710FEE" w:rsidP="00EB1D81">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Modeliavimo metu, iš žemiau nurodytų unikalių pastatų požymių bu</w:t>
      </w:r>
      <w:r w:rsidR="00EB1D81" w:rsidRPr="00650EE4">
        <w:rPr>
          <w:rFonts w:ascii="Times New Roman" w:hAnsi="Times New Roman"/>
          <w:color w:val="000000" w:themeColor="text1"/>
          <w:szCs w:val="22"/>
        </w:rPr>
        <w:t xml:space="preserve">vo sudaryta </w:t>
      </w:r>
      <w:r w:rsidRPr="00650EE4">
        <w:rPr>
          <w:rFonts w:ascii="Times New Roman" w:hAnsi="Times New Roman"/>
          <w:color w:val="000000" w:themeColor="text1"/>
          <w:szCs w:val="22"/>
        </w:rPr>
        <w:t xml:space="preserve">816 </w:t>
      </w:r>
      <w:r w:rsidR="00EB1D81" w:rsidRPr="00650EE4">
        <w:rPr>
          <w:rFonts w:ascii="Times New Roman" w:hAnsi="Times New Roman"/>
          <w:color w:val="000000" w:themeColor="text1"/>
          <w:szCs w:val="22"/>
        </w:rPr>
        <w:t>unikalių</w:t>
      </w:r>
      <w:r w:rsidRPr="00650EE4">
        <w:rPr>
          <w:rFonts w:ascii="Times New Roman" w:hAnsi="Times New Roman"/>
          <w:color w:val="000000" w:themeColor="text1"/>
          <w:szCs w:val="22"/>
        </w:rPr>
        <w:t xml:space="preserve"> kombinaci</w:t>
      </w:r>
      <w:r w:rsidR="00EB1D81" w:rsidRPr="00650EE4">
        <w:rPr>
          <w:rFonts w:ascii="Times New Roman" w:hAnsi="Times New Roman"/>
          <w:color w:val="000000" w:themeColor="text1"/>
          <w:szCs w:val="22"/>
        </w:rPr>
        <w:t>jų.</w:t>
      </w:r>
    </w:p>
    <w:p w14:paraId="0847717E" w14:textId="1ED31843" w:rsidR="00EF66CC" w:rsidRPr="00650EE4" w:rsidRDefault="00EF66CC" w:rsidP="00EB1D81">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Pastatų paskirtis (17 šildomų pastatų paskirčių);</w:t>
      </w:r>
    </w:p>
    <w:p w14:paraId="37D9AB2B" w14:textId="77777777" w:rsidR="00EF66CC" w:rsidRPr="00650EE4" w:rsidRDefault="00EF66CC" w:rsidP="00EF66CC">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Statybos metai (8 periodai);</w:t>
      </w:r>
    </w:p>
    <w:p w14:paraId="34885388" w14:textId="77777777" w:rsidR="00EF66CC" w:rsidRPr="00650EE4" w:rsidRDefault="00EF66CC" w:rsidP="00EF66CC">
      <w:pPr>
        <w:pStyle w:val="BodyText"/>
        <w:numPr>
          <w:ilvl w:val="0"/>
          <w:numId w:val="9"/>
        </w:numPr>
        <w:spacing w:line="240" w:lineRule="auto"/>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Energinio naudingumo klasė (6 klasės);</w:t>
      </w:r>
    </w:p>
    <w:p w14:paraId="76B44FDA" w14:textId="12662529" w:rsidR="00EF66CC" w:rsidRPr="00650EE4" w:rsidRDefault="00EF66CC" w:rsidP="00EF66CC">
      <w:pPr>
        <w:spacing w:line="240" w:lineRule="auto"/>
        <w:jc w:val="both"/>
        <w:rPr>
          <w:rFonts w:ascii="Times New Roman" w:hAnsi="Times New Roman"/>
          <w:color w:val="000000" w:themeColor="text1"/>
          <w:szCs w:val="22"/>
        </w:rPr>
      </w:pPr>
    </w:p>
    <w:p w14:paraId="41E3B7AC" w14:textId="5CA013C1" w:rsidR="0010127C" w:rsidRPr="00650EE4" w:rsidRDefault="0010127C" w:rsidP="00EF66CC">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Šioms</w:t>
      </w:r>
      <w:r w:rsidR="00EF66CC" w:rsidRPr="00650EE4">
        <w:rPr>
          <w:rFonts w:ascii="Times New Roman" w:hAnsi="Times New Roman"/>
          <w:color w:val="000000" w:themeColor="text1"/>
          <w:szCs w:val="22"/>
        </w:rPr>
        <w:t xml:space="preserve"> pastatų </w:t>
      </w:r>
      <w:r w:rsidRPr="00650EE4">
        <w:rPr>
          <w:rFonts w:ascii="Times New Roman" w:hAnsi="Times New Roman"/>
          <w:color w:val="000000" w:themeColor="text1"/>
          <w:szCs w:val="22"/>
        </w:rPr>
        <w:t xml:space="preserve">kombinacijoms </w:t>
      </w:r>
      <w:r w:rsidR="00EF66CC" w:rsidRPr="00650EE4">
        <w:rPr>
          <w:rFonts w:ascii="Times New Roman" w:hAnsi="Times New Roman"/>
          <w:color w:val="000000" w:themeColor="text1"/>
          <w:szCs w:val="22"/>
        </w:rPr>
        <w:t xml:space="preserve">buvo </w:t>
      </w:r>
      <w:r w:rsidR="00EF34A2" w:rsidRPr="00650EE4">
        <w:rPr>
          <w:rFonts w:ascii="Times New Roman" w:hAnsi="Times New Roman"/>
          <w:color w:val="000000" w:themeColor="text1"/>
          <w:szCs w:val="22"/>
        </w:rPr>
        <w:t xml:space="preserve">priskirti </w:t>
      </w:r>
      <w:r w:rsidR="00EF66CC" w:rsidRPr="00650EE4">
        <w:rPr>
          <w:rFonts w:ascii="Times New Roman" w:hAnsi="Times New Roman"/>
          <w:color w:val="000000" w:themeColor="text1"/>
          <w:szCs w:val="22"/>
        </w:rPr>
        <w:t>3</w:t>
      </w:r>
      <w:r w:rsidRPr="00650EE4">
        <w:rPr>
          <w:rFonts w:ascii="Times New Roman" w:hAnsi="Times New Roman"/>
          <w:color w:val="000000" w:themeColor="text1"/>
          <w:szCs w:val="22"/>
        </w:rPr>
        <w:t>7 renovacijos priemonių paketai ir apskaičiuoti fin</w:t>
      </w:r>
      <w:r w:rsidR="00086DC2" w:rsidRPr="00650EE4">
        <w:rPr>
          <w:rFonts w:ascii="Times New Roman" w:hAnsi="Times New Roman"/>
          <w:color w:val="000000" w:themeColor="text1"/>
          <w:szCs w:val="22"/>
        </w:rPr>
        <w:t>ansinio bei</w:t>
      </w:r>
      <w:r w:rsidRPr="00650EE4">
        <w:rPr>
          <w:rFonts w:ascii="Times New Roman" w:hAnsi="Times New Roman"/>
          <w:color w:val="000000" w:themeColor="text1"/>
          <w:szCs w:val="22"/>
        </w:rPr>
        <w:t xml:space="preserve"> ekonominio  efektyvumo rodikliai (iš viso </w:t>
      </w:r>
      <w:r w:rsidR="00775642" w:rsidRPr="00650EE4">
        <w:rPr>
          <w:rFonts w:ascii="Times New Roman" w:hAnsi="Times New Roman"/>
          <w:color w:val="000000" w:themeColor="text1"/>
          <w:szCs w:val="22"/>
        </w:rPr>
        <w:t>8844</w:t>
      </w:r>
      <w:r w:rsidR="00775642" w:rsidRPr="00650EE4">
        <w:rPr>
          <w:rFonts w:ascii="Times New Roman" w:hAnsi="Times New Roman"/>
          <w:bCs/>
          <w:color w:val="000000" w:themeColor="text1"/>
          <w:szCs w:val="22"/>
        </w:rPr>
        <w:t xml:space="preserve"> unikalios</w:t>
      </w:r>
      <w:r w:rsidRPr="00650EE4">
        <w:rPr>
          <w:rFonts w:ascii="Times New Roman" w:hAnsi="Times New Roman"/>
          <w:bCs/>
          <w:color w:val="000000" w:themeColor="text1"/>
          <w:szCs w:val="22"/>
        </w:rPr>
        <w:t xml:space="preserve"> modeliavimo kombinacijos), t.y.</w:t>
      </w:r>
      <w:r w:rsidR="00086DC2" w:rsidRPr="00650EE4">
        <w:rPr>
          <w:rFonts w:ascii="Times New Roman" w:hAnsi="Times New Roman"/>
          <w:bCs/>
          <w:color w:val="000000" w:themeColor="text1"/>
          <w:szCs w:val="22"/>
        </w:rPr>
        <w:t>,</w:t>
      </w:r>
      <w:r w:rsidR="003833C1" w:rsidRPr="00650EE4">
        <w:rPr>
          <w:rFonts w:ascii="Times New Roman" w:hAnsi="Times New Roman"/>
          <w:color w:val="000000" w:themeColor="text1"/>
          <w:szCs w:val="22"/>
        </w:rPr>
        <w:t xml:space="preserve"> ta pati pastatų grupė</w:t>
      </w:r>
      <w:r w:rsidR="000C1D71" w:rsidRPr="00650EE4">
        <w:rPr>
          <w:rFonts w:ascii="Times New Roman" w:hAnsi="Times New Roman"/>
          <w:color w:val="000000" w:themeColor="text1"/>
          <w:szCs w:val="22"/>
        </w:rPr>
        <w:t xml:space="preserve"> modeliuojama tiek kartų, kiek skirtingų renovacijos priemonių paketų jai galima pritaikyti.</w:t>
      </w:r>
    </w:p>
    <w:p w14:paraId="5A472AAF" w14:textId="77777777" w:rsidR="001115ED" w:rsidRPr="00650EE4" w:rsidRDefault="001115ED" w:rsidP="00016352">
      <w:pPr>
        <w:pStyle w:val="Pagrindinispaprastastekstas"/>
        <w:spacing w:after="120"/>
        <w:rPr>
          <w:rFonts w:ascii="Times New Roman" w:hAnsi="Times New Roman"/>
          <w:b/>
          <w:bCs/>
          <w:color w:val="000000" w:themeColor="text1"/>
          <w:szCs w:val="22"/>
        </w:rPr>
      </w:pPr>
    </w:p>
    <w:p w14:paraId="57BB7DAF" w14:textId="77777777" w:rsidR="00B4765E" w:rsidRPr="00650EE4" w:rsidRDefault="00B4765E" w:rsidP="00016352">
      <w:pPr>
        <w:pStyle w:val="Pagrindinispaprastastekstas"/>
        <w:spacing w:after="120"/>
        <w:rPr>
          <w:rFonts w:ascii="Times New Roman" w:hAnsi="Times New Roman"/>
          <w:b/>
          <w:bCs/>
          <w:color w:val="000000" w:themeColor="text1"/>
          <w:szCs w:val="22"/>
        </w:rPr>
      </w:pPr>
      <w:r w:rsidRPr="00650EE4">
        <w:rPr>
          <w:rFonts w:ascii="Times New Roman" w:hAnsi="Times New Roman"/>
          <w:b/>
          <w:bCs/>
          <w:color w:val="000000" w:themeColor="text1"/>
          <w:szCs w:val="22"/>
        </w:rPr>
        <w:t>Kitos prielaidos</w:t>
      </w:r>
    </w:p>
    <w:p w14:paraId="593C5689" w14:textId="77777777" w:rsidR="00B4765E" w:rsidRPr="00650EE4" w:rsidRDefault="00B4765E" w:rsidP="007C2F3A">
      <w:pPr>
        <w:pStyle w:val="BodyText"/>
        <w:spacing w:after="120"/>
        <w:rPr>
          <w:rFonts w:ascii="Times New Roman" w:hAnsi="Times New Roman"/>
          <w:color w:val="000000" w:themeColor="text1"/>
          <w:szCs w:val="22"/>
          <w:lang w:val="lt-LT"/>
        </w:rPr>
      </w:pPr>
      <w:r w:rsidRPr="00650EE4">
        <w:rPr>
          <w:rFonts w:ascii="Times New Roman" w:hAnsi="Times New Roman"/>
          <w:color w:val="000000" w:themeColor="text1"/>
          <w:szCs w:val="22"/>
          <w:lang w:val="lt-LT"/>
        </w:rPr>
        <w:t>Kitos skaičiavimuose taikytos prielaidos:</w:t>
      </w:r>
    </w:p>
    <w:p w14:paraId="32D25AF6" w14:textId="4E2A3E70"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v</w:t>
      </w:r>
      <w:r w:rsidR="00882041" w:rsidRPr="00650EE4">
        <w:rPr>
          <w:rFonts w:ascii="Times New Roman" w:hAnsi="Times New Roman"/>
          <w:color w:val="000000" w:themeColor="text1"/>
          <w:szCs w:val="22"/>
        </w:rPr>
        <w:t>ertinimo</w:t>
      </w:r>
      <w:r>
        <w:rPr>
          <w:rFonts w:ascii="Times New Roman" w:hAnsi="Times New Roman"/>
          <w:color w:val="000000" w:themeColor="text1"/>
          <w:szCs w:val="22"/>
        </w:rPr>
        <w:t xml:space="preserve"> periodas: 30 m;</w:t>
      </w:r>
    </w:p>
    <w:p w14:paraId="4AF86C34" w14:textId="667A0AF2"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d</w:t>
      </w:r>
      <w:r w:rsidR="00B4765E" w:rsidRPr="00650EE4">
        <w:rPr>
          <w:rFonts w:ascii="Times New Roman" w:hAnsi="Times New Roman"/>
          <w:color w:val="000000" w:themeColor="text1"/>
          <w:szCs w:val="22"/>
        </w:rPr>
        <w:t>iskonto faktorius: 4 proc.</w:t>
      </w:r>
      <w:r w:rsidR="00B4765E" w:rsidRPr="00650EE4">
        <w:rPr>
          <w:rStyle w:val="FootnoteReference"/>
          <w:rFonts w:ascii="Times New Roman" w:hAnsi="Times New Roman"/>
          <w:color w:val="000000" w:themeColor="text1"/>
          <w:szCs w:val="22"/>
        </w:rPr>
        <w:footnoteReference w:id="13"/>
      </w:r>
      <w:r>
        <w:rPr>
          <w:rFonts w:ascii="Times New Roman" w:hAnsi="Times New Roman"/>
          <w:color w:val="000000" w:themeColor="text1"/>
          <w:szCs w:val="22"/>
        </w:rPr>
        <w:t>;</w:t>
      </w:r>
    </w:p>
    <w:p w14:paraId="375BE2C1" w14:textId="2A3827DB"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 xml:space="preserve">metinė infliacija: 2,5 </w:t>
      </w:r>
      <w:proofErr w:type="spellStart"/>
      <w:r>
        <w:rPr>
          <w:rFonts w:ascii="Times New Roman" w:hAnsi="Times New Roman"/>
          <w:color w:val="000000" w:themeColor="text1"/>
          <w:szCs w:val="22"/>
        </w:rPr>
        <w:t>proc</w:t>
      </w:r>
      <w:proofErr w:type="spellEnd"/>
      <w:r>
        <w:rPr>
          <w:rFonts w:ascii="Times New Roman" w:hAnsi="Times New Roman"/>
          <w:color w:val="000000" w:themeColor="text1"/>
          <w:szCs w:val="22"/>
        </w:rPr>
        <w:t>;</w:t>
      </w:r>
    </w:p>
    <w:p w14:paraId="5B16D41D" w14:textId="7D7C5A6C"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v</w:t>
      </w:r>
      <w:r w:rsidR="00B4765E" w:rsidRPr="00650EE4">
        <w:rPr>
          <w:rFonts w:ascii="Times New Roman" w:hAnsi="Times New Roman"/>
          <w:color w:val="000000" w:themeColor="text1"/>
          <w:szCs w:val="22"/>
        </w:rPr>
        <w:t xml:space="preserve">isos kainos </w:t>
      </w:r>
      <w:proofErr w:type="spellStart"/>
      <w:r w:rsidR="00B4765E" w:rsidRPr="00650EE4">
        <w:rPr>
          <w:rFonts w:ascii="Times New Roman" w:hAnsi="Times New Roman"/>
          <w:color w:val="000000" w:themeColor="text1"/>
          <w:szCs w:val="22"/>
        </w:rPr>
        <w:t>Eur</w:t>
      </w:r>
      <w:proofErr w:type="spellEnd"/>
      <w:r w:rsidR="00B4765E" w:rsidRPr="00650EE4">
        <w:rPr>
          <w:rFonts w:ascii="Times New Roman" w:hAnsi="Times New Roman"/>
          <w:color w:val="000000" w:themeColor="text1"/>
          <w:szCs w:val="22"/>
        </w:rPr>
        <w:t xml:space="preserve"> be PVM</w:t>
      </w:r>
      <w:r>
        <w:rPr>
          <w:rFonts w:ascii="Times New Roman" w:hAnsi="Times New Roman"/>
          <w:color w:val="000000" w:themeColor="text1"/>
          <w:szCs w:val="22"/>
        </w:rPr>
        <w:t>;</w:t>
      </w:r>
    </w:p>
    <w:p w14:paraId="635BD768" w14:textId="038A8B4C" w:rsidR="0046606F"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n</w:t>
      </w:r>
      <w:r w:rsidR="00882041" w:rsidRPr="00650EE4">
        <w:rPr>
          <w:rFonts w:ascii="Times New Roman" w:hAnsi="Times New Roman"/>
          <w:color w:val="000000" w:themeColor="text1"/>
          <w:szCs w:val="22"/>
        </w:rPr>
        <w:t>audingo t</w:t>
      </w:r>
      <w:r w:rsidR="001630DA" w:rsidRPr="00650EE4">
        <w:rPr>
          <w:rFonts w:ascii="Times New Roman" w:hAnsi="Times New Roman"/>
          <w:color w:val="000000" w:themeColor="text1"/>
          <w:szCs w:val="22"/>
        </w:rPr>
        <w:t xml:space="preserve">arnavimo </w:t>
      </w:r>
      <w:r w:rsidR="00215AC8" w:rsidRPr="00650EE4">
        <w:rPr>
          <w:rFonts w:ascii="Times New Roman" w:hAnsi="Times New Roman"/>
          <w:color w:val="000000" w:themeColor="text1"/>
          <w:szCs w:val="22"/>
        </w:rPr>
        <w:t>laikotarpiai</w:t>
      </w:r>
      <w:r w:rsidR="00882041" w:rsidRPr="00650EE4">
        <w:rPr>
          <w:rFonts w:ascii="Times New Roman" w:hAnsi="Times New Roman"/>
          <w:color w:val="000000" w:themeColor="text1"/>
          <w:szCs w:val="22"/>
        </w:rPr>
        <w:t xml:space="preserve"> (metais): EE priemonės – 30 m.</w:t>
      </w:r>
      <w:r w:rsidR="00B762E7" w:rsidRPr="00650EE4">
        <w:rPr>
          <w:rFonts w:ascii="Times New Roman" w:hAnsi="Times New Roman"/>
          <w:color w:val="000000" w:themeColor="text1"/>
          <w:szCs w:val="22"/>
        </w:rPr>
        <w:t>, šilumo</w:t>
      </w:r>
      <w:r w:rsidR="00882041" w:rsidRPr="00650EE4">
        <w:rPr>
          <w:rFonts w:ascii="Times New Roman" w:hAnsi="Times New Roman"/>
          <w:color w:val="000000" w:themeColor="text1"/>
          <w:szCs w:val="22"/>
        </w:rPr>
        <w:t>s siurblių kolektoriai – 30 m.</w:t>
      </w:r>
      <w:r w:rsidR="00B762E7" w:rsidRPr="00650EE4">
        <w:rPr>
          <w:rFonts w:ascii="Times New Roman" w:hAnsi="Times New Roman"/>
          <w:color w:val="000000" w:themeColor="text1"/>
          <w:szCs w:val="22"/>
        </w:rPr>
        <w:t>, šilumos siur</w:t>
      </w:r>
      <w:r w:rsidR="00882041" w:rsidRPr="00650EE4">
        <w:rPr>
          <w:rFonts w:ascii="Times New Roman" w:hAnsi="Times New Roman"/>
          <w:color w:val="000000" w:themeColor="text1"/>
          <w:szCs w:val="22"/>
        </w:rPr>
        <w:t>bliai (gruntas-vanduo) – 20 m.</w:t>
      </w:r>
      <w:r w:rsidR="00B762E7" w:rsidRPr="00650EE4">
        <w:rPr>
          <w:rFonts w:ascii="Times New Roman" w:hAnsi="Times New Roman"/>
          <w:color w:val="000000" w:themeColor="text1"/>
          <w:szCs w:val="22"/>
        </w:rPr>
        <w:t>, fotovolt</w:t>
      </w:r>
      <w:r w:rsidR="00882041" w:rsidRPr="00650EE4">
        <w:rPr>
          <w:rFonts w:ascii="Times New Roman" w:hAnsi="Times New Roman"/>
          <w:color w:val="000000" w:themeColor="text1"/>
          <w:szCs w:val="22"/>
        </w:rPr>
        <w:t>iniai saulės elementai – 20 m.</w:t>
      </w:r>
      <w:r w:rsidR="00B762E7" w:rsidRPr="00650EE4">
        <w:rPr>
          <w:rFonts w:ascii="Times New Roman" w:hAnsi="Times New Roman"/>
          <w:color w:val="000000" w:themeColor="text1"/>
          <w:szCs w:val="22"/>
        </w:rPr>
        <w:t>, šilumos si</w:t>
      </w:r>
      <w:r>
        <w:rPr>
          <w:rFonts w:ascii="Times New Roman" w:hAnsi="Times New Roman"/>
          <w:color w:val="000000" w:themeColor="text1"/>
          <w:szCs w:val="22"/>
        </w:rPr>
        <w:t>urbliai (oras-vanduo) – 15 m;</w:t>
      </w:r>
      <w:r w:rsidR="0046606F" w:rsidRPr="00650EE4">
        <w:rPr>
          <w:rFonts w:ascii="Times New Roman" w:hAnsi="Times New Roman"/>
          <w:color w:val="000000" w:themeColor="text1"/>
          <w:szCs w:val="22"/>
        </w:rPr>
        <w:t xml:space="preserve"> </w:t>
      </w:r>
    </w:p>
    <w:p w14:paraId="5D7A3858" w14:textId="34857671" w:rsidR="00B762E7"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i</w:t>
      </w:r>
      <w:r w:rsidR="00B8506E" w:rsidRPr="00650EE4">
        <w:rPr>
          <w:rFonts w:ascii="Times New Roman" w:hAnsi="Times New Roman"/>
          <w:color w:val="000000" w:themeColor="text1"/>
          <w:szCs w:val="22"/>
        </w:rPr>
        <w:t>nvesticijoms</w:t>
      </w:r>
      <w:r w:rsidR="0046606F" w:rsidRPr="00650EE4">
        <w:rPr>
          <w:rFonts w:ascii="Times New Roman" w:hAnsi="Times New Roman"/>
          <w:color w:val="000000" w:themeColor="text1"/>
          <w:szCs w:val="22"/>
        </w:rPr>
        <w:t>, kurių naudingi tarnavimo laikotarpiai trumpesni nei vertinimo laiko</w:t>
      </w:r>
      <w:r>
        <w:rPr>
          <w:rFonts w:ascii="Times New Roman" w:hAnsi="Times New Roman"/>
          <w:color w:val="000000" w:themeColor="text1"/>
          <w:szCs w:val="22"/>
        </w:rPr>
        <w:t>tarpis numatomos reinvesticijos;</w:t>
      </w:r>
      <w:r w:rsidR="0046606F" w:rsidRPr="00650EE4">
        <w:rPr>
          <w:rFonts w:ascii="Times New Roman" w:hAnsi="Times New Roman"/>
          <w:color w:val="000000" w:themeColor="text1"/>
          <w:szCs w:val="22"/>
        </w:rPr>
        <w:t xml:space="preserve"> </w:t>
      </w:r>
    </w:p>
    <w:p w14:paraId="09B82CBB" w14:textId="2DC69F74" w:rsidR="00B4765E" w:rsidRPr="00650EE4" w:rsidRDefault="007013A3" w:rsidP="00BD4925">
      <w:pPr>
        <w:pStyle w:val="Pagrindinispaprastastekstas"/>
        <w:numPr>
          <w:ilvl w:val="0"/>
          <w:numId w:val="29"/>
        </w:numPr>
        <w:spacing w:after="60"/>
        <w:rPr>
          <w:rFonts w:ascii="Times New Roman" w:hAnsi="Times New Roman"/>
          <w:color w:val="000000" w:themeColor="text1"/>
          <w:szCs w:val="22"/>
        </w:rPr>
      </w:pPr>
      <w:r>
        <w:rPr>
          <w:rFonts w:ascii="Times New Roman" w:hAnsi="Times New Roman"/>
          <w:color w:val="000000" w:themeColor="text1"/>
          <w:szCs w:val="22"/>
        </w:rPr>
        <w:t>n</w:t>
      </w:r>
      <w:r w:rsidR="00B4765E" w:rsidRPr="00650EE4">
        <w:rPr>
          <w:rFonts w:ascii="Times New Roman" w:hAnsi="Times New Roman"/>
          <w:color w:val="000000" w:themeColor="text1"/>
          <w:szCs w:val="22"/>
        </w:rPr>
        <w:t xml:space="preserve">evertinamos investicijos, kurios turėtų būti </w:t>
      </w:r>
      <w:r w:rsidR="001B1307" w:rsidRPr="00650EE4">
        <w:rPr>
          <w:rFonts w:ascii="Times New Roman" w:hAnsi="Times New Roman"/>
          <w:color w:val="000000" w:themeColor="text1"/>
          <w:szCs w:val="22"/>
        </w:rPr>
        <w:t>bet kokiu atveju atliktos (net ir</w:t>
      </w:r>
      <w:r w:rsidR="00B4765E" w:rsidRPr="00650EE4">
        <w:rPr>
          <w:rFonts w:ascii="Times New Roman" w:hAnsi="Times New Roman"/>
          <w:color w:val="000000" w:themeColor="text1"/>
          <w:szCs w:val="22"/>
        </w:rPr>
        <w:t xml:space="preserve"> nevykdant renovacijos</w:t>
      </w:r>
      <w:r w:rsidR="001B1307" w:rsidRPr="00650EE4">
        <w:rPr>
          <w:rFonts w:ascii="Times New Roman" w:hAnsi="Times New Roman"/>
          <w:color w:val="000000" w:themeColor="text1"/>
          <w:szCs w:val="22"/>
        </w:rPr>
        <w:t>)</w:t>
      </w:r>
      <w:r w:rsidR="00B4765E" w:rsidRPr="00650EE4">
        <w:rPr>
          <w:rFonts w:ascii="Times New Roman" w:hAnsi="Times New Roman"/>
          <w:color w:val="000000" w:themeColor="text1"/>
          <w:szCs w:val="22"/>
        </w:rPr>
        <w:t xml:space="preserve">. </w:t>
      </w:r>
    </w:p>
    <w:p w14:paraId="6ABC9FA0" w14:textId="418D6948" w:rsidR="00E74E23" w:rsidRPr="00650EE4" w:rsidRDefault="00E74E23" w:rsidP="001B1307">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06" w:name="_Toc59107531"/>
      <w:r w:rsidRPr="00650EE4">
        <w:rPr>
          <w:rFonts w:ascii="Times New Roman" w:hAnsi="Times New Roman"/>
          <w:color w:val="auto"/>
          <w:sz w:val="24"/>
          <w:szCs w:val="24"/>
          <w:lang w:val="lt-LT"/>
        </w:rPr>
        <w:t>Modeliavimo algoritmas</w:t>
      </w:r>
      <w:bookmarkEnd w:id="106"/>
    </w:p>
    <w:p w14:paraId="6144BB61" w14:textId="13B6FD1A" w:rsidR="00E74E23" w:rsidRPr="00650EE4" w:rsidRDefault="00E74E23" w:rsidP="00AF435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E</w:t>
      </w:r>
      <w:r w:rsidR="00B61CC9" w:rsidRPr="00650EE4">
        <w:rPr>
          <w:rFonts w:ascii="Times New Roman" w:hAnsi="Times New Roman"/>
          <w:color w:val="000000" w:themeColor="text1"/>
          <w:szCs w:val="22"/>
        </w:rPr>
        <w:t>konomiškai e</w:t>
      </w:r>
      <w:r w:rsidRPr="00650EE4">
        <w:rPr>
          <w:rFonts w:ascii="Times New Roman" w:hAnsi="Times New Roman"/>
          <w:color w:val="000000" w:themeColor="text1"/>
          <w:szCs w:val="22"/>
        </w:rPr>
        <w:t xml:space="preserve">fektyviausi renovacijos </w:t>
      </w:r>
      <w:r w:rsidR="00B61CC9" w:rsidRPr="00650EE4">
        <w:rPr>
          <w:rFonts w:ascii="Times New Roman" w:hAnsi="Times New Roman"/>
          <w:color w:val="000000" w:themeColor="text1"/>
          <w:szCs w:val="22"/>
        </w:rPr>
        <w:t xml:space="preserve">būdai </w:t>
      </w:r>
      <w:r w:rsidR="007A52B6">
        <w:rPr>
          <w:rFonts w:ascii="Times New Roman" w:hAnsi="Times New Roman"/>
          <w:color w:val="000000" w:themeColor="text1"/>
          <w:szCs w:val="22"/>
        </w:rPr>
        <w:t>p</w:t>
      </w:r>
      <w:r w:rsidR="00B22B2E" w:rsidRPr="00650EE4">
        <w:rPr>
          <w:rFonts w:ascii="Times New Roman" w:hAnsi="Times New Roman"/>
          <w:color w:val="000000" w:themeColor="text1"/>
          <w:szCs w:val="22"/>
        </w:rPr>
        <w:t>astatų</w:t>
      </w:r>
      <w:r w:rsidR="00B61CC9" w:rsidRPr="00650EE4">
        <w:rPr>
          <w:rFonts w:ascii="Times New Roman" w:hAnsi="Times New Roman"/>
          <w:color w:val="000000" w:themeColor="text1"/>
          <w:szCs w:val="22"/>
        </w:rPr>
        <w:t xml:space="preserve"> fondo lygmeniu buvo nustatyti </w:t>
      </w:r>
      <w:r w:rsidR="00F36C5C" w:rsidRPr="00650EE4">
        <w:rPr>
          <w:rFonts w:ascii="Times New Roman" w:hAnsi="Times New Roman"/>
          <w:color w:val="000000" w:themeColor="text1"/>
          <w:szCs w:val="22"/>
        </w:rPr>
        <w:t>žemiau nurodytais etapais</w:t>
      </w:r>
      <w:r w:rsidRPr="00650EE4">
        <w:rPr>
          <w:rFonts w:ascii="Times New Roman" w:hAnsi="Times New Roman"/>
          <w:color w:val="000000" w:themeColor="text1"/>
          <w:szCs w:val="22"/>
        </w:rPr>
        <w:t>:</w:t>
      </w:r>
    </w:p>
    <w:p w14:paraId="3B1ED6DB" w14:textId="47765857" w:rsidR="005C31E4" w:rsidRPr="00650EE4" w:rsidRDefault="0017670E" w:rsidP="00BD4925">
      <w:pPr>
        <w:pStyle w:val="Pagrindinispaprastastekstas"/>
        <w:numPr>
          <w:ilvl w:val="0"/>
          <w:numId w:val="23"/>
        </w:numPr>
        <w:spacing w:after="60"/>
        <w:rPr>
          <w:rFonts w:ascii="Times New Roman" w:hAnsi="Times New Roman"/>
          <w:color w:val="000000" w:themeColor="text1"/>
          <w:szCs w:val="22"/>
        </w:rPr>
      </w:pPr>
      <w:r w:rsidRPr="00650EE4">
        <w:rPr>
          <w:rFonts w:ascii="Times New Roman" w:hAnsi="Times New Roman"/>
          <w:color w:val="000000" w:themeColor="text1"/>
          <w:szCs w:val="22"/>
        </w:rPr>
        <w:t>Apskaičiuojami</w:t>
      </w:r>
      <w:r w:rsidR="005C31E4" w:rsidRPr="00650EE4">
        <w:rPr>
          <w:rFonts w:ascii="Times New Roman" w:hAnsi="Times New Roman"/>
          <w:color w:val="000000" w:themeColor="text1"/>
          <w:szCs w:val="22"/>
        </w:rPr>
        <w:t xml:space="preserve"> kiekvienos </w:t>
      </w:r>
      <w:r w:rsidR="001A75A5" w:rsidRPr="00650EE4">
        <w:rPr>
          <w:rFonts w:ascii="Times New Roman" w:hAnsi="Times New Roman"/>
          <w:color w:val="000000" w:themeColor="text1"/>
          <w:szCs w:val="22"/>
        </w:rPr>
        <w:t>modeliavimo</w:t>
      </w:r>
      <w:r w:rsidR="005C31E4" w:rsidRPr="00650EE4">
        <w:rPr>
          <w:rFonts w:ascii="Times New Roman" w:hAnsi="Times New Roman"/>
          <w:color w:val="000000" w:themeColor="text1"/>
          <w:szCs w:val="22"/>
        </w:rPr>
        <w:t xml:space="preserve"> kombinacijos </w:t>
      </w:r>
      <w:r w:rsidRPr="00650EE4">
        <w:rPr>
          <w:rFonts w:ascii="Times New Roman" w:hAnsi="Times New Roman"/>
          <w:color w:val="000000" w:themeColor="text1"/>
          <w:szCs w:val="22"/>
        </w:rPr>
        <w:t>pagrindiniai rodikliai</w:t>
      </w:r>
      <w:r w:rsidR="005C31E4" w:rsidRPr="00650EE4">
        <w:rPr>
          <w:rFonts w:ascii="Times New Roman" w:hAnsi="Times New Roman"/>
          <w:color w:val="000000" w:themeColor="text1"/>
          <w:szCs w:val="22"/>
        </w:rPr>
        <w:t xml:space="preserve">, </w:t>
      </w:r>
      <w:proofErr w:type="spellStart"/>
      <w:r w:rsidR="005C31E4" w:rsidRPr="00650EE4">
        <w:rPr>
          <w:rFonts w:ascii="Times New Roman" w:hAnsi="Times New Roman"/>
          <w:color w:val="000000" w:themeColor="text1"/>
          <w:szCs w:val="22"/>
        </w:rPr>
        <w:t>t.y</w:t>
      </w:r>
      <w:proofErr w:type="spellEnd"/>
      <w:r w:rsidR="005C31E4" w:rsidRPr="00650EE4">
        <w:rPr>
          <w:rFonts w:ascii="Times New Roman" w:hAnsi="Times New Roman"/>
          <w:color w:val="000000" w:themeColor="text1"/>
          <w:szCs w:val="22"/>
        </w:rPr>
        <w:t xml:space="preserve">: </w:t>
      </w:r>
    </w:p>
    <w:p w14:paraId="292575FD" w14:textId="5267010F"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priemonių paketui įgyve</w:t>
      </w:r>
      <w:r w:rsidR="007013A3">
        <w:rPr>
          <w:rFonts w:ascii="Times New Roman" w:hAnsi="Times New Roman"/>
          <w:color w:val="000000" w:themeColor="text1"/>
          <w:szCs w:val="22"/>
        </w:rPr>
        <w:t>ndinti reikalingos investicijos;</w:t>
      </w:r>
    </w:p>
    <w:p w14:paraId="1D2C2A01" w14:textId="2EA3FB7E"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prognozuojamas energijos sutaupymas ir jo vertė</w:t>
      </w:r>
      <w:r w:rsidR="00E54415"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finansinė nauda</w:t>
      </w:r>
      <w:r w:rsidR="00E54415" w:rsidRPr="00650EE4">
        <w:rPr>
          <w:rFonts w:ascii="Times New Roman" w:hAnsi="Times New Roman"/>
          <w:color w:val="000000" w:themeColor="text1"/>
          <w:szCs w:val="22"/>
        </w:rPr>
        <w:t>)</w:t>
      </w:r>
      <w:r w:rsidR="007013A3">
        <w:rPr>
          <w:rFonts w:ascii="Times New Roman" w:hAnsi="Times New Roman"/>
          <w:color w:val="000000" w:themeColor="text1"/>
          <w:szCs w:val="22"/>
        </w:rPr>
        <w:t>;</w:t>
      </w:r>
    </w:p>
    <w:p w14:paraId="42541997" w14:textId="1AFBAE92"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w:t>
      </w:r>
      <w:r w:rsidR="0017670E" w:rsidRPr="00650EE4">
        <w:rPr>
          <w:rFonts w:ascii="Times New Roman" w:hAnsi="Times New Roman"/>
          <w:color w:val="000000" w:themeColor="text1"/>
          <w:szCs w:val="22"/>
        </w:rPr>
        <w:t xml:space="preserve">ojama </w:t>
      </w:r>
      <w:r w:rsidRPr="00650EE4">
        <w:rPr>
          <w:rFonts w:ascii="Times New Roman" w:hAnsi="Times New Roman"/>
          <w:color w:val="000000" w:themeColor="text1"/>
          <w:szCs w:val="22"/>
        </w:rPr>
        <w:t>ek</w:t>
      </w:r>
      <w:r w:rsidR="0017670E" w:rsidRPr="00650EE4">
        <w:rPr>
          <w:rFonts w:ascii="Times New Roman" w:hAnsi="Times New Roman"/>
          <w:color w:val="000000" w:themeColor="text1"/>
          <w:szCs w:val="22"/>
        </w:rPr>
        <w:t xml:space="preserve">onominių naudų vertė </w:t>
      </w:r>
      <w:r w:rsidR="00E54415" w:rsidRPr="00650EE4">
        <w:rPr>
          <w:rFonts w:ascii="Times New Roman" w:hAnsi="Times New Roman"/>
          <w:color w:val="000000" w:themeColor="text1"/>
          <w:szCs w:val="22"/>
        </w:rPr>
        <w:t>(</w:t>
      </w:r>
      <w:r w:rsidRPr="00650EE4">
        <w:rPr>
          <w:rFonts w:ascii="Times New Roman" w:hAnsi="Times New Roman"/>
          <w:color w:val="000000" w:themeColor="text1"/>
          <w:szCs w:val="22"/>
        </w:rPr>
        <w:t>ekonominė nauda</w:t>
      </w:r>
      <w:r w:rsidR="00E54415" w:rsidRPr="00650EE4">
        <w:rPr>
          <w:rFonts w:ascii="Times New Roman" w:hAnsi="Times New Roman"/>
          <w:color w:val="000000" w:themeColor="text1"/>
          <w:szCs w:val="22"/>
        </w:rPr>
        <w:t>)</w:t>
      </w:r>
      <w:r w:rsidR="007013A3">
        <w:rPr>
          <w:rFonts w:ascii="Times New Roman" w:hAnsi="Times New Roman"/>
          <w:color w:val="000000" w:themeColor="text1"/>
          <w:szCs w:val="22"/>
        </w:rPr>
        <w:t>;</w:t>
      </w:r>
    </w:p>
    <w:p w14:paraId="2F669CA9" w14:textId="7A89367C" w:rsidR="005C31E4" w:rsidRPr="00650EE4" w:rsidRDefault="005C31E4" w:rsidP="00BD4925">
      <w:pPr>
        <w:pStyle w:val="Pagrindinispaprastastekstas"/>
        <w:numPr>
          <w:ilvl w:val="1"/>
          <w:numId w:val="24"/>
        </w:numPr>
        <w:spacing w:after="60"/>
        <w:ind w:left="993" w:hanging="284"/>
        <w:rPr>
          <w:rFonts w:ascii="Times New Roman" w:hAnsi="Times New Roman"/>
          <w:color w:val="000000" w:themeColor="text1"/>
          <w:szCs w:val="22"/>
        </w:rPr>
      </w:pPr>
      <w:r w:rsidRPr="00650EE4">
        <w:rPr>
          <w:rFonts w:ascii="Times New Roman" w:hAnsi="Times New Roman"/>
          <w:color w:val="000000" w:themeColor="text1"/>
          <w:szCs w:val="22"/>
        </w:rPr>
        <w:t>prognozuojama fina</w:t>
      </w:r>
      <w:r w:rsidR="0017670E" w:rsidRPr="00650EE4">
        <w:rPr>
          <w:rFonts w:ascii="Times New Roman" w:hAnsi="Times New Roman"/>
          <w:color w:val="000000" w:themeColor="text1"/>
          <w:szCs w:val="22"/>
        </w:rPr>
        <w:t>nsinė ir ekonominė grąža (</w:t>
      </w:r>
      <w:r w:rsidRPr="00650EE4">
        <w:rPr>
          <w:rFonts w:ascii="Times New Roman" w:hAnsi="Times New Roman"/>
          <w:color w:val="000000" w:themeColor="text1"/>
          <w:szCs w:val="22"/>
        </w:rPr>
        <w:t xml:space="preserve">skirtumas tarp reikalingos investicijos ir </w:t>
      </w:r>
      <w:r w:rsidR="0017670E" w:rsidRPr="00650EE4">
        <w:rPr>
          <w:rFonts w:ascii="Times New Roman" w:hAnsi="Times New Roman"/>
          <w:color w:val="000000" w:themeColor="text1"/>
          <w:szCs w:val="22"/>
        </w:rPr>
        <w:t xml:space="preserve">jos pasiekiamos finansinės ir </w:t>
      </w:r>
      <w:r w:rsidRPr="00650EE4">
        <w:rPr>
          <w:rFonts w:ascii="Times New Roman" w:hAnsi="Times New Roman"/>
          <w:color w:val="000000" w:themeColor="text1"/>
          <w:szCs w:val="22"/>
        </w:rPr>
        <w:t>ekonominės naudos</w:t>
      </w:r>
      <w:r w:rsidR="00ED030C" w:rsidRPr="00650EE4">
        <w:rPr>
          <w:rFonts w:ascii="Times New Roman" w:hAnsi="Times New Roman"/>
          <w:color w:val="000000" w:themeColor="text1"/>
          <w:szCs w:val="22"/>
        </w:rPr>
        <w:t xml:space="preserve"> per </w:t>
      </w:r>
      <w:r w:rsidR="0017670E" w:rsidRPr="00650EE4">
        <w:rPr>
          <w:rFonts w:ascii="Times New Roman" w:hAnsi="Times New Roman"/>
          <w:color w:val="000000" w:themeColor="text1"/>
          <w:szCs w:val="22"/>
        </w:rPr>
        <w:t>vertinimo</w:t>
      </w:r>
      <w:r w:rsidR="00ED030C" w:rsidRPr="00650EE4">
        <w:rPr>
          <w:rFonts w:ascii="Times New Roman" w:hAnsi="Times New Roman"/>
          <w:color w:val="000000" w:themeColor="text1"/>
          <w:szCs w:val="22"/>
        </w:rPr>
        <w:t xml:space="preserve"> laikotarpį</w:t>
      </w:r>
      <w:r w:rsidR="0017670E" w:rsidRPr="00650EE4">
        <w:rPr>
          <w:rFonts w:ascii="Times New Roman" w:hAnsi="Times New Roman"/>
          <w:color w:val="000000" w:themeColor="text1"/>
          <w:szCs w:val="22"/>
        </w:rPr>
        <w:t>).</w:t>
      </w:r>
    </w:p>
    <w:p w14:paraId="1F1FB8EB" w14:textId="0E0A69D0" w:rsidR="0017670E" w:rsidRPr="00650EE4" w:rsidRDefault="0017670E"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Kiekvienai modeliuojamai kombinacijai apskaičiuojama kokią finansinę arba ekonominę grąžą atneša sutaupyta 1 </w:t>
      </w:r>
      <w:proofErr w:type="spellStart"/>
      <w:r w:rsidRPr="00650EE4">
        <w:rPr>
          <w:rFonts w:ascii="Times New Roman" w:hAnsi="Times New Roman"/>
          <w:color w:val="000000" w:themeColor="text1"/>
          <w:szCs w:val="22"/>
        </w:rPr>
        <w:t>kWh</w:t>
      </w:r>
      <w:proofErr w:type="spellEnd"/>
      <w:r w:rsidRPr="00650EE4">
        <w:rPr>
          <w:rFonts w:ascii="Times New Roman" w:hAnsi="Times New Roman"/>
          <w:color w:val="000000" w:themeColor="text1"/>
          <w:szCs w:val="22"/>
        </w:rPr>
        <w:t xml:space="preserve"> (žr. lentelėje žemiau).</w:t>
      </w:r>
    </w:p>
    <w:p w14:paraId="0A94AC0F" w14:textId="324B011F" w:rsidR="001115ED" w:rsidRPr="007013A3" w:rsidRDefault="00BE1B05"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Visos modeliuojamos kombinacijos </w:t>
      </w:r>
      <w:proofErr w:type="spellStart"/>
      <w:r w:rsidRPr="00650EE4">
        <w:rPr>
          <w:rFonts w:ascii="Times New Roman" w:hAnsi="Times New Roman"/>
          <w:color w:val="000000" w:themeColor="text1"/>
          <w:szCs w:val="22"/>
        </w:rPr>
        <w:t>suranguojamos</w:t>
      </w:r>
      <w:proofErr w:type="spellEnd"/>
      <w:r w:rsidRPr="00650EE4">
        <w:rPr>
          <w:rFonts w:ascii="Times New Roman" w:hAnsi="Times New Roman"/>
          <w:color w:val="000000" w:themeColor="text1"/>
          <w:szCs w:val="22"/>
        </w:rPr>
        <w:t xml:space="preserve"> pagal grąžos kriterijų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w:t>
      </w:r>
      <w:proofErr w:type="spellStart"/>
      <w:r w:rsidRPr="00650EE4">
        <w:rPr>
          <w:rFonts w:ascii="Times New Roman" w:hAnsi="Times New Roman"/>
          <w:color w:val="000000" w:themeColor="text1"/>
          <w:szCs w:val="22"/>
        </w:rPr>
        <w:t>kWh</w:t>
      </w:r>
      <w:proofErr w:type="spellEnd"/>
      <w:r w:rsidRPr="00650EE4">
        <w:rPr>
          <w:rFonts w:ascii="Times New Roman" w:hAnsi="Times New Roman"/>
          <w:color w:val="000000" w:themeColor="text1"/>
          <w:szCs w:val="22"/>
        </w:rPr>
        <w:t>) – aukščiausias rangas priskiriamas maksimalią ekonominę naudą teikiantiems renovacijos priemonių paketams.</w:t>
      </w:r>
    </w:p>
    <w:p w14:paraId="40C90FFF" w14:textId="3CBED363" w:rsidR="00087A7F" w:rsidRPr="00650EE4" w:rsidRDefault="00087A7F"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Nustatomas siektinas pirminės energijos su</w:t>
      </w:r>
      <w:r w:rsidR="007A52B6">
        <w:rPr>
          <w:rFonts w:ascii="Times New Roman" w:hAnsi="Times New Roman"/>
          <w:color w:val="000000" w:themeColor="text1"/>
          <w:szCs w:val="22"/>
        </w:rPr>
        <w:t>taupymo dydis (</w:t>
      </w:r>
      <w:proofErr w:type="spellStart"/>
      <w:r w:rsidR="007A52B6">
        <w:rPr>
          <w:rFonts w:ascii="Times New Roman" w:hAnsi="Times New Roman"/>
          <w:color w:val="000000" w:themeColor="text1"/>
          <w:szCs w:val="22"/>
        </w:rPr>
        <w:t>GWh</w:t>
      </w:r>
      <w:proofErr w:type="spellEnd"/>
      <w:r w:rsidR="007A52B6">
        <w:rPr>
          <w:rFonts w:ascii="Times New Roman" w:hAnsi="Times New Roman"/>
          <w:color w:val="000000" w:themeColor="text1"/>
          <w:szCs w:val="22"/>
        </w:rPr>
        <w:t xml:space="preserve"> arba proc.) p</w:t>
      </w:r>
      <w:r w:rsidRPr="00650EE4">
        <w:rPr>
          <w:rFonts w:ascii="Times New Roman" w:hAnsi="Times New Roman"/>
          <w:color w:val="000000" w:themeColor="text1"/>
          <w:szCs w:val="22"/>
        </w:rPr>
        <w:t>astatų fondo lygmeniu;</w:t>
      </w:r>
    </w:p>
    <w:p w14:paraId="7C777B3B" w14:textId="068796D2" w:rsidR="00087A7F" w:rsidRPr="00650EE4" w:rsidRDefault="00087A7F" w:rsidP="00BD4925">
      <w:pPr>
        <w:pStyle w:val="Pagrindinispaprastastekstas"/>
        <w:numPr>
          <w:ilvl w:val="0"/>
          <w:numId w:val="23"/>
        </w:numPr>
        <w:spacing w:before="120"/>
        <w:rPr>
          <w:rFonts w:ascii="Times New Roman" w:hAnsi="Times New Roman"/>
          <w:color w:val="000000" w:themeColor="text1"/>
          <w:szCs w:val="22"/>
        </w:rPr>
      </w:pPr>
      <w:r w:rsidRPr="00650EE4">
        <w:rPr>
          <w:rFonts w:ascii="Times New Roman" w:hAnsi="Times New Roman"/>
          <w:color w:val="000000" w:themeColor="text1"/>
          <w:szCs w:val="22"/>
        </w:rPr>
        <w:t xml:space="preserve">Judant nuo </w:t>
      </w:r>
      <w:proofErr w:type="spellStart"/>
      <w:r w:rsidRPr="00650EE4">
        <w:rPr>
          <w:rFonts w:ascii="Times New Roman" w:hAnsi="Times New Roman"/>
          <w:color w:val="000000" w:themeColor="text1"/>
          <w:szCs w:val="22"/>
        </w:rPr>
        <w:t>suranguotų</w:t>
      </w:r>
      <w:proofErr w:type="spellEnd"/>
      <w:r w:rsidRPr="00650EE4">
        <w:rPr>
          <w:rFonts w:ascii="Times New Roman" w:hAnsi="Times New Roman"/>
          <w:color w:val="000000" w:themeColor="text1"/>
          <w:szCs w:val="22"/>
        </w:rPr>
        <w:t xml:space="preserve"> modeliavimo kombinacijų sąrašo viršaus, parenkamas modeliavimo kombinacijų sąrašas, tenkinantis 4 žingsnyje nustatytą pirminės energijos sutaupymo tikslą.</w:t>
      </w:r>
    </w:p>
    <w:p w14:paraId="0EBF7F39" w14:textId="2B506177" w:rsidR="00087A7F" w:rsidRPr="00650EE4" w:rsidRDefault="00087A7F" w:rsidP="00BD4925">
      <w:pPr>
        <w:pStyle w:val="Pagrindinispaprastastekstas"/>
        <w:numPr>
          <w:ilvl w:val="0"/>
          <w:numId w:val="23"/>
        </w:numPr>
        <w:spacing w:before="120" w:after="60"/>
        <w:rPr>
          <w:rFonts w:ascii="Times New Roman" w:hAnsi="Times New Roman"/>
          <w:color w:val="000000" w:themeColor="text1"/>
          <w:szCs w:val="22"/>
        </w:rPr>
      </w:pPr>
      <w:r w:rsidRPr="00650EE4">
        <w:rPr>
          <w:rFonts w:ascii="Times New Roman" w:hAnsi="Times New Roman"/>
          <w:color w:val="000000" w:themeColor="text1"/>
          <w:szCs w:val="22"/>
        </w:rPr>
        <w:t>Keičiant energijos sutaupymo tikslą, t.y. kartojant 4 žingsnį (kas 5 proc.) ir 5 žingsnį. gaunama renovacijos investicijų ir sutaupymo kreivė (žr. paveikslą žemiau).</w:t>
      </w:r>
    </w:p>
    <w:p w14:paraId="34F90516" w14:textId="77777777" w:rsidR="00087A7F" w:rsidRPr="00650EE4" w:rsidRDefault="00087A7F" w:rsidP="00613E0A">
      <w:pPr>
        <w:spacing w:line="240" w:lineRule="auto"/>
        <w:rPr>
          <w:rFonts w:ascii="Times New Roman" w:eastAsiaTheme="minorHAnsi" w:hAnsi="Times New Roman"/>
          <w:bCs/>
          <w:i/>
          <w:color w:val="000000" w:themeColor="text1"/>
          <w:sz w:val="20"/>
          <w:szCs w:val="20"/>
        </w:rPr>
      </w:pPr>
    </w:p>
    <w:p w14:paraId="23B8D0B3" w14:textId="77777777" w:rsidR="007013A3" w:rsidRDefault="007013A3">
      <w:pPr>
        <w:spacing w:after="240"/>
        <w:rPr>
          <w:rFonts w:ascii="Times New Roman" w:eastAsiaTheme="minorHAnsi" w:hAnsi="Times New Roman"/>
          <w:bCs/>
          <w:i/>
          <w:color w:val="000000" w:themeColor="text1"/>
          <w:sz w:val="20"/>
          <w:szCs w:val="20"/>
        </w:rPr>
      </w:pPr>
      <w:r>
        <w:br w:type="page"/>
      </w:r>
    </w:p>
    <w:p w14:paraId="05B12B7D" w14:textId="0276D43D" w:rsidR="00E74E23"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07" w:name="_Toc59094264"/>
      <w:r w:rsidR="00F25C65">
        <w:t>15</w:t>
      </w:r>
      <w:r w:rsidRPr="00650EE4">
        <w:rPr>
          <w:noProof w:val="0"/>
        </w:rPr>
        <w:fldChar w:fldCharType="end"/>
      </w:r>
      <w:r w:rsidR="00253E79" w:rsidRPr="00650EE4">
        <w:rPr>
          <w:noProof w:val="0"/>
        </w:rPr>
        <w:t xml:space="preserve"> paveikslas. Ekonominio modeliavimo rezultatai</w:t>
      </w:r>
      <w:bookmarkEnd w:id="107"/>
    </w:p>
    <w:p w14:paraId="78DE124E" w14:textId="68B99C5C" w:rsidR="00E74E23" w:rsidRPr="00650EE4" w:rsidRDefault="004446CD" w:rsidP="00E74E23">
      <w:pPr>
        <w:pStyle w:val="Pagrindinispaprastastekstas"/>
        <w:rPr>
          <w:rFonts w:ascii="Times New Roman" w:hAnsi="Times New Roman"/>
          <w:color w:val="000000" w:themeColor="text1"/>
          <w:sz w:val="24"/>
        </w:rPr>
      </w:pPr>
      <w:r w:rsidRPr="00650EE4">
        <w:rPr>
          <w:rFonts w:ascii="Times New Roman" w:hAnsi="Times New Roman"/>
          <w:noProof/>
          <w:lang w:eastAsia="lt-LT"/>
        </w:rPr>
        <w:drawing>
          <wp:inline distT="0" distB="0" distL="0" distR="0" wp14:anchorId="33B07434" wp14:editId="014362E9">
            <wp:extent cx="6479540" cy="2670279"/>
            <wp:effectExtent l="0" t="0" r="16510" b="15875"/>
            <wp:docPr id="14" name="Chart 14">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7D3EDC-3B6A-4788-8D3B-AB75779387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8C9E74" w14:textId="01214BA2" w:rsidR="00E410B0" w:rsidRPr="00650EE4" w:rsidRDefault="00E410B0" w:rsidP="00E410B0">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E12EB6">
        <w:rPr>
          <w:rFonts w:ascii="Times New Roman" w:hAnsi="Times New Roman"/>
          <w:i/>
          <w:iCs/>
          <w:color w:val="auto"/>
          <w:sz w:val="20"/>
          <w:szCs w:val="20"/>
        </w:rPr>
        <w:t>Lietuvos ilgalaikei renovacijos strategijai parengti</w:t>
      </w:r>
      <w:r w:rsidR="00E12EB6"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8"/>
        </w:rPr>
        <w:t>autoriai.</w:t>
      </w:r>
    </w:p>
    <w:p w14:paraId="6E210368" w14:textId="77777777" w:rsidR="00E410B0" w:rsidRPr="00650EE4" w:rsidRDefault="00E410B0" w:rsidP="00E74E23">
      <w:pPr>
        <w:pStyle w:val="Pagrindinispaprastastekstas"/>
        <w:rPr>
          <w:rFonts w:ascii="Times New Roman" w:hAnsi="Times New Roman"/>
          <w:color w:val="000000" w:themeColor="text1"/>
          <w:szCs w:val="22"/>
        </w:rPr>
      </w:pPr>
    </w:p>
    <w:p w14:paraId="419953CD" w14:textId="77777777" w:rsidR="00B33095" w:rsidRPr="00650EE4" w:rsidRDefault="00B33095" w:rsidP="00B219C4">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Pagrindiniai modeliavimo rezultatai:</w:t>
      </w:r>
    </w:p>
    <w:p w14:paraId="3230C287" w14:textId="77777777" w:rsidR="00B33095" w:rsidRPr="00650EE4" w:rsidRDefault="00B33095" w:rsidP="00BD4925">
      <w:pPr>
        <w:pStyle w:val="Pagrindinispaprastastekstas"/>
        <w:numPr>
          <w:ilvl w:val="0"/>
          <w:numId w:val="22"/>
        </w:numPr>
        <w:spacing w:after="60"/>
        <w:rPr>
          <w:rFonts w:ascii="Times New Roman" w:hAnsi="Times New Roman"/>
          <w:color w:val="000000" w:themeColor="text1"/>
          <w:szCs w:val="22"/>
        </w:rPr>
      </w:pPr>
      <w:r w:rsidRPr="00650EE4">
        <w:rPr>
          <w:rFonts w:ascii="Times New Roman" w:hAnsi="Times New Roman"/>
          <w:color w:val="000000" w:themeColor="text1"/>
          <w:szCs w:val="22"/>
        </w:rPr>
        <w:t>X ašis: siektinas pirminės energijos vartojimo sutaupymas, proc.;</w:t>
      </w:r>
    </w:p>
    <w:p w14:paraId="13A393D5" w14:textId="77777777" w:rsidR="00B33095" w:rsidRPr="00650EE4" w:rsidRDefault="00B33095" w:rsidP="00BD4925">
      <w:pPr>
        <w:pStyle w:val="Pagrindinispaprastastekstas"/>
        <w:numPr>
          <w:ilvl w:val="0"/>
          <w:numId w:val="22"/>
        </w:numPr>
        <w:spacing w:after="60"/>
        <w:rPr>
          <w:rFonts w:ascii="Times New Roman" w:hAnsi="Times New Roman"/>
          <w:color w:val="000000" w:themeColor="text1"/>
          <w:szCs w:val="22"/>
        </w:rPr>
      </w:pPr>
      <w:r w:rsidRPr="00650EE4">
        <w:rPr>
          <w:rFonts w:ascii="Times New Roman" w:hAnsi="Times New Roman"/>
          <w:color w:val="000000" w:themeColor="text1"/>
          <w:szCs w:val="22"/>
        </w:rPr>
        <w:t xml:space="preserve">Y ašis: investicijų ir energijos sutaupymų vertė vertinamu laikotarpiu,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w:t>
      </w:r>
    </w:p>
    <w:p w14:paraId="056AFD3E" w14:textId="059509D3" w:rsidR="00B33095"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B33095" w:rsidRPr="00650EE4">
        <w:rPr>
          <w:rFonts w:ascii="Times New Roman" w:hAnsi="Times New Roman"/>
          <w:color w:val="000000" w:themeColor="text1"/>
          <w:szCs w:val="22"/>
        </w:rPr>
        <w:t>reivė „Investicijos“: investicijos</w:t>
      </w:r>
      <w:r w:rsidR="00D0295F" w:rsidRPr="00650EE4">
        <w:rPr>
          <w:rFonts w:ascii="Times New Roman" w:hAnsi="Times New Roman"/>
          <w:color w:val="000000" w:themeColor="text1"/>
          <w:szCs w:val="22"/>
        </w:rPr>
        <w:t xml:space="preserve"> (</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r w:rsidR="00B33095" w:rsidRPr="00650EE4">
        <w:rPr>
          <w:rFonts w:ascii="Times New Roman" w:hAnsi="Times New Roman"/>
          <w:color w:val="000000" w:themeColor="text1"/>
          <w:szCs w:val="22"/>
        </w:rPr>
        <w:t>, reikalingos energijos sutaupymui pasiekti;</w:t>
      </w:r>
    </w:p>
    <w:p w14:paraId="7481E31A" w14:textId="2F345C55" w:rsidR="00B33095"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B33095" w:rsidRPr="00650EE4">
        <w:rPr>
          <w:rFonts w:ascii="Times New Roman" w:hAnsi="Times New Roman"/>
          <w:color w:val="000000" w:themeColor="text1"/>
          <w:szCs w:val="22"/>
        </w:rPr>
        <w:t>reivė „</w:t>
      </w:r>
      <w:r w:rsidR="00435878" w:rsidRPr="00650EE4">
        <w:rPr>
          <w:rFonts w:ascii="Times New Roman" w:hAnsi="Times New Roman"/>
          <w:color w:val="000000" w:themeColor="text1"/>
          <w:szCs w:val="22"/>
        </w:rPr>
        <w:t>Finansinė nauda</w:t>
      </w:r>
      <w:r w:rsidR="00B33095" w:rsidRPr="00650EE4">
        <w:rPr>
          <w:rFonts w:ascii="Times New Roman" w:hAnsi="Times New Roman"/>
          <w:color w:val="000000" w:themeColor="text1"/>
          <w:szCs w:val="22"/>
        </w:rPr>
        <w:t>“: pasiektų energijos sutaupymų vertė</w:t>
      </w:r>
      <w:r w:rsidR="00D0295F" w:rsidRPr="00650EE4">
        <w:rPr>
          <w:rFonts w:ascii="Times New Roman" w:hAnsi="Times New Roman"/>
          <w:color w:val="000000" w:themeColor="text1"/>
          <w:szCs w:val="22"/>
        </w:rPr>
        <w:t xml:space="preserve"> (</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r w:rsidR="00B33095" w:rsidRPr="00650EE4">
        <w:rPr>
          <w:rFonts w:ascii="Times New Roman" w:hAnsi="Times New Roman"/>
          <w:color w:val="000000" w:themeColor="text1"/>
          <w:szCs w:val="22"/>
        </w:rPr>
        <w:t xml:space="preserve"> (energijos ir CO</w:t>
      </w:r>
      <w:r w:rsidR="00B33095" w:rsidRPr="00650EE4">
        <w:rPr>
          <w:rFonts w:ascii="Times New Roman" w:hAnsi="Times New Roman"/>
          <w:color w:val="000000" w:themeColor="text1"/>
          <w:szCs w:val="22"/>
          <w:vertAlign w:val="subscript"/>
        </w:rPr>
        <w:t>2</w:t>
      </w:r>
      <w:r w:rsidR="00B33095" w:rsidRPr="00650EE4">
        <w:rPr>
          <w:rFonts w:ascii="Times New Roman" w:hAnsi="Times New Roman"/>
          <w:color w:val="000000" w:themeColor="text1"/>
          <w:szCs w:val="22"/>
        </w:rPr>
        <w:t xml:space="preserve"> emisijų kaina, pagal pasirinktą kainos kitimo prognozės scenarijų);</w:t>
      </w:r>
    </w:p>
    <w:p w14:paraId="1AD9F4FA" w14:textId="1C109AE6" w:rsidR="00D0295F"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D0295F" w:rsidRPr="00650EE4">
        <w:rPr>
          <w:rFonts w:ascii="Times New Roman" w:hAnsi="Times New Roman"/>
          <w:color w:val="000000" w:themeColor="text1"/>
          <w:szCs w:val="22"/>
        </w:rPr>
        <w:t>reivė „</w:t>
      </w:r>
      <w:r w:rsidR="00435878" w:rsidRPr="00650EE4">
        <w:rPr>
          <w:rFonts w:ascii="Times New Roman" w:hAnsi="Times New Roman"/>
          <w:color w:val="000000" w:themeColor="text1"/>
          <w:szCs w:val="22"/>
        </w:rPr>
        <w:t>Ekonominė nauda</w:t>
      </w:r>
      <w:r w:rsidR="00D0295F" w:rsidRPr="00650EE4">
        <w:rPr>
          <w:rFonts w:ascii="Times New Roman" w:hAnsi="Times New Roman"/>
          <w:color w:val="000000" w:themeColor="text1"/>
          <w:szCs w:val="22"/>
        </w:rPr>
        <w:t xml:space="preserve">“: pasiektų energijos sutaupymų vertė </w:t>
      </w:r>
      <w:r w:rsidR="00453932" w:rsidRPr="00650EE4">
        <w:rPr>
          <w:rFonts w:ascii="Times New Roman" w:hAnsi="Times New Roman"/>
          <w:color w:val="000000" w:themeColor="text1"/>
          <w:szCs w:val="22"/>
        </w:rPr>
        <w:t xml:space="preserve">ir ekonominių naudų vertė </w:t>
      </w:r>
      <w:r w:rsidR="00D0295F" w:rsidRPr="00650EE4">
        <w:rPr>
          <w:rFonts w:ascii="Times New Roman" w:hAnsi="Times New Roman"/>
          <w:color w:val="000000" w:themeColor="text1"/>
          <w:szCs w:val="22"/>
        </w:rPr>
        <w:t>(</w:t>
      </w:r>
      <w:proofErr w:type="spellStart"/>
      <w:r w:rsidR="00D0295F" w:rsidRPr="00650EE4">
        <w:rPr>
          <w:rFonts w:ascii="Times New Roman" w:hAnsi="Times New Roman"/>
          <w:color w:val="000000" w:themeColor="text1"/>
          <w:szCs w:val="22"/>
        </w:rPr>
        <w:t>Eur</w:t>
      </w:r>
      <w:proofErr w:type="spellEnd"/>
      <w:r w:rsidR="00D0295F" w:rsidRPr="00650EE4">
        <w:rPr>
          <w:rFonts w:ascii="Times New Roman" w:hAnsi="Times New Roman"/>
          <w:color w:val="000000" w:themeColor="text1"/>
          <w:szCs w:val="22"/>
        </w:rPr>
        <w:t>);</w:t>
      </w:r>
    </w:p>
    <w:p w14:paraId="35F24366" w14:textId="2C30CEDF" w:rsidR="00B33095" w:rsidRPr="00650EE4" w:rsidRDefault="007013A3" w:rsidP="00BD4925">
      <w:pPr>
        <w:pStyle w:val="Pagrindinispaprastastekstas"/>
        <w:numPr>
          <w:ilvl w:val="0"/>
          <w:numId w:val="22"/>
        </w:numPr>
        <w:spacing w:after="240"/>
        <w:rPr>
          <w:rFonts w:ascii="Times New Roman" w:hAnsi="Times New Roman"/>
          <w:color w:val="000000" w:themeColor="text1"/>
          <w:szCs w:val="22"/>
        </w:rPr>
      </w:pPr>
      <w:r>
        <w:rPr>
          <w:rFonts w:ascii="Times New Roman" w:hAnsi="Times New Roman"/>
          <w:color w:val="000000" w:themeColor="text1"/>
          <w:szCs w:val="22"/>
        </w:rPr>
        <w:t>t</w:t>
      </w:r>
      <w:r w:rsidR="00B33095" w:rsidRPr="00650EE4">
        <w:rPr>
          <w:rFonts w:ascii="Times New Roman" w:hAnsi="Times New Roman"/>
          <w:color w:val="000000" w:themeColor="text1"/>
          <w:szCs w:val="22"/>
        </w:rPr>
        <w:t>aškas „Maksimali reikšmė“: Maksimalūs pirminės energijos sutaupymai.</w:t>
      </w:r>
    </w:p>
    <w:p w14:paraId="7F380151" w14:textId="5D287238" w:rsidR="00E74E23" w:rsidRPr="00650EE4" w:rsidRDefault="000C151D" w:rsidP="00625082">
      <w:pPr>
        <w:pStyle w:val="Pagrindinispaprastastekstas"/>
        <w:spacing w:after="120"/>
        <w:rPr>
          <w:rFonts w:ascii="Times New Roman" w:hAnsi="Times New Roman"/>
          <w:color w:val="000000" w:themeColor="text1"/>
          <w:szCs w:val="22"/>
        </w:rPr>
      </w:pPr>
      <w:r w:rsidRPr="00650EE4">
        <w:rPr>
          <w:rFonts w:ascii="Times New Roman" w:hAnsi="Times New Roman"/>
          <w:color w:val="000000" w:themeColor="text1"/>
          <w:szCs w:val="22"/>
        </w:rPr>
        <w:t xml:space="preserve">Paveiksle </w:t>
      </w:r>
      <w:r w:rsidR="001B1683" w:rsidRPr="00650EE4">
        <w:rPr>
          <w:rFonts w:ascii="Times New Roman" w:hAnsi="Times New Roman"/>
          <w:color w:val="000000" w:themeColor="text1"/>
          <w:szCs w:val="22"/>
        </w:rPr>
        <w:t xml:space="preserve">aukščiau </w:t>
      </w:r>
      <w:r w:rsidRPr="00650EE4">
        <w:rPr>
          <w:rFonts w:ascii="Times New Roman" w:hAnsi="Times New Roman"/>
          <w:color w:val="000000" w:themeColor="text1"/>
          <w:szCs w:val="22"/>
        </w:rPr>
        <w:t>pateikti duomenys atskleidžia šią informaciją</w:t>
      </w:r>
      <w:r w:rsidR="00E74E23" w:rsidRPr="00650EE4">
        <w:rPr>
          <w:rFonts w:ascii="Times New Roman" w:hAnsi="Times New Roman"/>
          <w:color w:val="000000" w:themeColor="text1"/>
          <w:szCs w:val="22"/>
        </w:rPr>
        <w:t>:</w:t>
      </w:r>
    </w:p>
    <w:p w14:paraId="229771A5" w14:textId="7F9FDC7B" w:rsidR="00E74E23"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t</w:t>
      </w:r>
      <w:r w:rsidR="005A7BF1" w:rsidRPr="00650EE4">
        <w:rPr>
          <w:rFonts w:ascii="Times New Roman" w:hAnsi="Times New Roman"/>
          <w:color w:val="000000" w:themeColor="text1"/>
          <w:szCs w:val="22"/>
        </w:rPr>
        <w:t xml:space="preserve">aškas </w:t>
      </w:r>
      <w:r w:rsidR="00625082" w:rsidRPr="00650EE4">
        <w:rPr>
          <w:rFonts w:ascii="Times New Roman" w:hAnsi="Times New Roman"/>
          <w:color w:val="000000" w:themeColor="text1"/>
          <w:szCs w:val="22"/>
        </w:rPr>
        <w:t xml:space="preserve">„Maksimali reikšmė“ </w:t>
      </w:r>
      <w:r w:rsidR="005A7BF1" w:rsidRPr="00650EE4">
        <w:rPr>
          <w:rFonts w:ascii="Times New Roman" w:hAnsi="Times New Roman"/>
          <w:color w:val="000000" w:themeColor="text1"/>
          <w:szCs w:val="22"/>
        </w:rPr>
        <w:t xml:space="preserve">(65 proc.) </w:t>
      </w:r>
      <w:r w:rsidR="00E74E23" w:rsidRPr="00650EE4">
        <w:rPr>
          <w:rFonts w:ascii="Times New Roman" w:hAnsi="Times New Roman"/>
          <w:color w:val="000000" w:themeColor="text1"/>
          <w:szCs w:val="22"/>
        </w:rPr>
        <w:t xml:space="preserve">parodo maksimalų galimą pirminės energijos sutaupymą įgyvendinus daugiausiai energijos taupančias priemones, t.y. visam pastatų fondui pasiekus A+ arba </w:t>
      </w:r>
      <w:r>
        <w:rPr>
          <w:rFonts w:ascii="Times New Roman" w:hAnsi="Times New Roman"/>
          <w:color w:val="000000" w:themeColor="text1"/>
          <w:szCs w:val="22"/>
        </w:rPr>
        <w:t>A++ energinio naudingumo klases;</w:t>
      </w:r>
    </w:p>
    <w:p w14:paraId="26EF8C1A" w14:textId="4E7D7055" w:rsidR="00E74E23" w:rsidRPr="00650EE4" w:rsidRDefault="007013A3" w:rsidP="00BD4925">
      <w:pPr>
        <w:pStyle w:val="Pagrindinispaprastastekstas"/>
        <w:numPr>
          <w:ilvl w:val="0"/>
          <w:numId w:val="22"/>
        </w:numPr>
        <w:spacing w:after="60"/>
        <w:rPr>
          <w:rFonts w:ascii="Times New Roman" w:hAnsi="Times New Roman"/>
          <w:color w:val="000000" w:themeColor="text1"/>
          <w:szCs w:val="22"/>
        </w:rPr>
      </w:pPr>
      <w:r>
        <w:rPr>
          <w:rFonts w:ascii="Times New Roman" w:hAnsi="Times New Roman"/>
          <w:color w:val="000000" w:themeColor="text1"/>
          <w:szCs w:val="22"/>
        </w:rPr>
        <w:t>k</w:t>
      </w:r>
      <w:r w:rsidR="00E74E23" w:rsidRPr="00650EE4">
        <w:rPr>
          <w:rFonts w:ascii="Times New Roman" w:hAnsi="Times New Roman"/>
          <w:color w:val="000000" w:themeColor="text1"/>
          <w:szCs w:val="22"/>
        </w:rPr>
        <w:t xml:space="preserve">reivės </w:t>
      </w:r>
      <w:r w:rsidR="00625082" w:rsidRPr="00650EE4">
        <w:rPr>
          <w:rFonts w:ascii="Times New Roman" w:hAnsi="Times New Roman"/>
          <w:color w:val="000000" w:themeColor="text1"/>
          <w:szCs w:val="22"/>
        </w:rPr>
        <w:t xml:space="preserve">„Investicijos“ </w:t>
      </w:r>
      <w:r w:rsidR="00E74E23" w:rsidRPr="00650EE4">
        <w:rPr>
          <w:rFonts w:ascii="Times New Roman" w:hAnsi="Times New Roman"/>
          <w:color w:val="000000" w:themeColor="text1"/>
          <w:szCs w:val="22"/>
        </w:rPr>
        <w:t>statumas parodo investicijų intensyvumą, reikalinga papildomam energijos sutaupymui pasiekti, t.y. kiekvienas papildomas sutaupytos energijos vienetas ka</w:t>
      </w:r>
      <w:r>
        <w:rPr>
          <w:rFonts w:ascii="Times New Roman" w:hAnsi="Times New Roman"/>
          <w:color w:val="000000" w:themeColor="text1"/>
          <w:szCs w:val="22"/>
        </w:rPr>
        <w:t>inuoja brangiau;</w:t>
      </w:r>
    </w:p>
    <w:p w14:paraId="4EDE8E05" w14:textId="0F266D04" w:rsidR="00E74E23" w:rsidRPr="00650EE4" w:rsidRDefault="007013A3" w:rsidP="00BD4925">
      <w:pPr>
        <w:pStyle w:val="Pagrindinispaprastastekstas"/>
        <w:numPr>
          <w:ilvl w:val="0"/>
          <w:numId w:val="22"/>
        </w:numPr>
        <w:rPr>
          <w:rFonts w:ascii="Times New Roman" w:hAnsi="Times New Roman"/>
          <w:color w:val="000000" w:themeColor="text1"/>
          <w:szCs w:val="22"/>
        </w:rPr>
      </w:pPr>
      <w:r>
        <w:rPr>
          <w:rFonts w:ascii="Times New Roman" w:hAnsi="Times New Roman"/>
          <w:color w:val="000000" w:themeColor="text1"/>
          <w:szCs w:val="22"/>
        </w:rPr>
        <w:t>k</w:t>
      </w:r>
      <w:r w:rsidR="00625082" w:rsidRPr="00650EE4">
        <w:rPr>
          <w:rFonts w:ascii="Times New Roman" w:hAnsi="Times New Roman"/>
          <w:color w:val="000000" w:themeColor="text1"/>
          <w:szCs w:val="22"/>
        </w:rPr>
        <w:t xml:space="preserve">reivių „Investicijos“ ir „Sutaupymo vertė“ </w:t>
      </w:r>
      <w:r w:rsidR="000C151D" w:rsidRPr="00650EE4">
        <w:rPr>
          <w:rFonts w:ascii="Times New Roman" w:hAnsi="Times New Roman"/>
          <w:color w:val="000000" w:themeColor="text1"/>
          <w:szCs w:val="22"/>
        </w:rPr>
        <w:t xml:space="preserve">susikirtimo vieta atskleidžia tašką už kurio </w:t>
      </w:r>
      <w:r w:rsidR="00E74E23" w:rsidRPr="00650EE4">
        <w:rPr>
          <w:rFonts w:ascii="Times New Roman" w:hAnsi="Times New Roman"/>
          <w:color w:val="000000" w:themeColor="text1"/>
          <w:szCs w:val="22"/>
        </w:rPr>
        <w:t xml:space="preserve">kiekvienas papildomai investuojamas 1 </w:t>
      </w:r>
      <w:proofErr w:type="spellStart"/>
      <w:r w:rsidR="00E74E23" w:rsidRPr="00650EE4">
        <w:rPr>
          <w:rFonts w:ascii="Times New Roman" w:hAnsi="Times New Roman"/>
          <w:color w:val="000000" w:themeColor="text1"/>
          <w:szCs w:val="22"/>
        </w:rPr>
        <w:t>Eur</w:t>
      </w:r>
      <w:proofErr w:type="spellEnd"/>
      <w:r w:rsidR="00E74E23" w:rsidRPr="00650EE4">
        <w:rPr>
          <w:rFonts w:ascii="Times New Roman" w:hAnsi="Times New Roman"/>
          <w:color w:val="000000" w:themeColor="text1"/>
          <w:szCs w:val="22"/>
        </w:rPr>
        <w:t xml:space="preserve"> atneš</w:t>
      </w:r>
      <w:r w:rsidR="00625082" w:rsidRPr="00650EE4">
        <w:rPr>
          <w:rFonts w:ascii="Times New Roman" w:hAnsi="Times New Roman"/>
          <w:color w:val="000000" w:themeColor="text1"/>
          <w:szCs w:val="22"/>
        </w:rPr>
        <w:t xml:space="preserve"> </w:t>
      </w:r>
      <w:r w:rsidR="000C151D" w:rsidRPr="00650EE4">
        <w:rPr>
          <w:rFonts w:ascii="Times New Roman" w:hAnsi="Times New Roman"/>
          <w:color w:val="000000" w:themeColor="text1"/>
          <w:szCs w:val="22"/>
        </w:rPr>
        <w:t xml:space="preserve">mažiau nei 1 </w:t>
      </w:r>
      <w:proofErr w:type="spellStart"/>
      <w:r w:rsidR="000C151D" w:rsidRPr="00650EE4">
        <w:rPr>
          <w:rFonts w:ascii="Times New Roman" w:hAnsi="Times New Roman"/>
          <w:color w:val="000000" w:themeColor="text1"/>
          <w:szCs w:val="22"/>
        </w:rPr>
        <w:t>Eur</w:t>
      </w:r>
      <w:proofErr w:type="spellEnd"/>
      <w:r w:rsidR="000C151D" w:rsidRPr="00650EE4">
        <w:rPr>
          <w:rFonts w:ascii="Times New Roman" w:hAnsi="Times New Roman"/>
          <w:color w:val="000000" w:themeColor="text1"/>
          <w:szCs w:val="22"/>
        </w:rPr>
        <w:t xml:space="preserve"> finansinę naudą (prie pasirinkto energijos ir CO</w:t>
      </w:r>
      <w:r w:rsidR="000C151D" w:rsidRPr="00650EE4">
        <w:rPr>
          <w:rFonts w:ascii="Times New Roman" w:hAnsi="Times New Roman"/>
          <w:color w:val="000000" w:themeColor="text1"/>
          <w:szCs w:val="22"/>
          <w:vertAlign w:val="subscript"/>
        </w:rPr>
        <w:t>2</w:t>
      </w:r>
      <w:r w:rsidR="000C151D" w:rsidRPr="00650EE4">
        <w:rPr>
          <w:rFonts w:ascii="Times New Roman" w:hAnsi="Times New Roman"/>
          <w:color w:val="000000" w:themeColor="text1"/>
          <w:szCs w:val="22"/>
        </w:rPr>
        <w:t xml:space="preserve"> emisijų kainų lygio).</w:t>
      </w:r>
    </w:p>
    <w:p w14:paraId="40B32417" w14:textId="6F56DA76" w:rsidR="000C151D" w:rsidRPr="00650EE4" w:rsidRDefault="000C151D" w:rsidP="00B219C4">
      <w:pPr>
        <w:pStyle w:val="Pagrindinispaprastastekstas"/>
        <w:spacing w:before="240"/>
        <w:rPr>
          <w:rFonts w:ascii="Times New Roman" w:hAnsi="Times New Roman"/>
          <w:color w:val="000000" w:themeColor="text1"/>
          <w:szCs w:val="22"/>
        </w:rPr>
      </w:pPr>
    </w:p>
    <w:p w14:paraId="6B3ED822" w14:textId="12C59333" w:rsidR="00E74E23" w:rsidRPr="00650EE4" w:rsidRDefault="00E74E23" w:rsidP="00BF6DB0">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08" w:name="_Toc59107532"/>
      <w:r w:rsidRPr="00650EE4">
        <w:rPr>
          <w:rFonts w:ascii="Times New Roman" w:hAnsi="Times New Roman"/>
          <w:color w:val="auto"/>
          <w:sz w:val="24"/>
          <w:szCs w:val="24"/>
          <w:lang w:val="lt-LT"/>
        </w:rPr>
        <w:t>Finansi</w:t>
      </w:r>
      <w:bookmarkEnd w:id="99"/>
      <w:r w:rsidR="00BF6DB0" w:rsidRPr="00650EE4">
        <w:rPr>
          <w:rFonts w:ascii="Times New Roman" w:hAnsi="Times New Roman"/>
          <w:color w:val="auto"/>
          <w:sz w:val="24"/>
          <w:szCs w:val="24"/>
          <w:lang w:val="lt-LT"/>
        </w:rPr>
        <w:t>nio efektyvumo vertinimas</w:t>
      </w:r>
      <w:bookmarkEnd w:id="108"/>
    </w:p>
    <w:p w14:paraId="010C1D6A" w14:textId="10CAD360" w:rsidR="003C3CFF" w:rsidRPr="00650EE4" w:rsidRDefault="00C6230D" w:rsidP="00B73EAC">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Finansin</w:t>
      </w:r>
      <w:r w:rsidR="00215AC8" w:rsidRPr="00650EE4">
        <w:rPr>
          <w:rFonts w:ascii="Times New Roman" w:hAnsi="Times New Roman"/>
          <w:color w:val="000000" w:themeColor="text1"/>
          <w:szCs w:val="22"/>
          <w:lang w:val="lt-LT"/>
        </w:rPr>
        <w:t>i</w:t>
      </w:r>
      <w:r w:rsidR="00B1084F" w:rsidRPr="00650EE4">
        <w:rPr>
          <w:rFonts w:ascii="Times New Roman" w:hAnsi="Times New Roman"/>
          <w:color w:val="000000" w:themeColor="text1"/>
          <w:szCs w:val="22"/>
          <w:lang w:val="lt-LT"/>
        </w:rPr>
        <w:t>o</w:t>
      </w:r>
      <w:r w:rsidRPr="00650EE4">
        <w:rPr>
          <w:rFonts w:ascii="Times New Roman" w:hAnsi="Times New Roman"/>
          <w:color w:val="000000" w:themeColor="text1"/>
          <w:szCs w:val="22"/>
          <w:lang w:val="lt-LT"/>
        </w:rPr>
        <w:t xml:space="preserve"> atsipirkimo vertinimo metu modeliuojamas taškas už kurio kiekvienas papildomai investuotas 1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xml:space="preserve"> sukuria mažiau nei 1 </w:t>
      </w:r>
      <w:proofErr w:type="spellStart"/>
      <w:r w:rsidRPr="00650EE4">
        <w:rPr>
          <w:rFonts w:ascii="Times New Roman" w:hAnsi="Times New Roman"/>
          <w:color w:val="000000" w:themeColor="text1"/>
          <w:szCs w:val="22"/>
          <w:lang w:val="lt-LT"/>
        </w:rPr>
        <w:t>Eur</w:t>
      </w:r>
      <w:proofErr w:type="spellEnd"/>
      <w:r w:rsidRPr="00650EE4">
        <w:rPr>
          <w:rFonts w:ascii="Times New Roman" w:hAnsi="Times New Roman"/>
          <w:color w:val="000000" w:themeColor="text1"/>
          <w:szCs w:val="22"/>
          <w:lang w:val="lt-LT"/>
        </w:rPr>
        <w:t xml:space="preserve"> finansinę naudą (sutaupytą pirminės energijos ir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vertę)</w:t>
      </w:r>
      <w:r w:rsidR="00B1084F" w:rsidRPr="00650EE4">
        <w:rPr>
          <w:rFonts w:ascii="Times New Roman" w:hAnsi="Times New Roman"/>
          <w:color w:val="000000" w:themeColor="text1"/>
          <w:szCs w:val="22"/>
          <w:lang w:val="lt-LT"/>
        </w:rPr>
        <w:t>, t</w:t>
      </w:r>
      <w:r w:rsidR="004F6509" w:rsidRPr="00650EE4">
        <w:rPr>
          <w:rFonts w:ascii="Times New Roman" w:hAnsi="Times New Roman"/>
          <w:color w:val="000000" w:themeColor="text1"/>
          <w:szCs w:val="22"/>
          <w:lang w:val="lt-LT"/>
        </w:rPr>
        <w:t xml:space="preserve">.y. ieškomos finansiškai atsiperkančios </w:t>
      </w:r>
      <w:r w:rsidR="00B1084F" w:rsidRPr="00650EE4">
        <w:rPr>
          <w:rFonts w:ascii="Times New Roman" w:hAnsi="Times New Roman"/>
          <w:color w:val="000000" w:themeColor="text1"/>
          <w:szCs w:val="22"/>
          <w:lang w:val="lt-LT"/>
        </w:rPr>
        <w:t>pirminės ener</w:t>
      </w:r>
      <w:r w:rsidR="004F6509" w:rsidRPr="00650EE4">
        <w:rPr>
          <w:rFonts w:ascii="Times New Roman" w:hAnsi="Times New Roman"/>
          <w:color w:val="000000" w:themeColor="text1"/>
          <w:szCs w:val="22"/>
          <w:lang w:val="lt-LT"/>
        </w:rPr>
        <w:t>gijos ir CO</w:t>
      </w:r>
      <w:r w:rsidR="004F6509" w:rsidRPr="00650EE4">
        <w:rPr>
          <w:rFonts w:ascii="Times New Roman" w:hAnsi="Times New Roman"/>
          <w:color w:val="000000" w:themeColor="text1"/>
          <w:szCs w:val="22"/>
          <w:vertAlign w:val="subscript"/>
          <w:lang w:val="lt-LT"/>
        </w:rPr>
        <w:t>2</w:t>
      </w:r>
      <w:r w:rsidR="004F6509" w:rsidRPr="00650EE4">
        <w:rPr>
          <w:rFonts w:ascii="Times New Roman" w:hAnsi="Times New Roman"/>
          <w:color w:val="000000" w:themeColor="text1"/>
          <w:szCs w:val="22"/>
          <w:lang w:val="lt-LT"/>
        </w:rPr>
        <w:t xml:space="preserve"> emisijų sutaupymų apimtys. </w:t>
      </w:r>
    </w:p>
    <w:p w14:paraId="67788DAD" w14:textId="77777777" w:rsidR="004F6509" w:rsidRPr="00650EE4" w:rsidRDefault="004F6509" w:rsidP="00B73EAC">
      <w:pPr>
        <w:pStyle w:val="BodyText"/>
        <w:rPr>
          <w:rFonts w:ascii="Times New Roman" w:hAnsi="Times New Roman"/>
          <w:color w:val="000000" w:themeColor="text1"/>
          <w:szCs w:val="22"/>
          <w:lang w:val="lt-LT"/>
        </w:rPr>
      </w:pPr>
    </w:p>
    <w:p w14:paraId="2C899B5A" w14:textId="701A49BC" w:rsidR="00D63055" w:rsidRPr="00650EE4" w:rsidRDefault="00E74E23" w:rsidP="00B73EAC">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Paveiksl</w:t>
      </w:r>
      <w:r w:rsidR="00A36DD2" w:rsidRPr="00650EE4">
        <w:rPr>
          <w:rFonts w:ascii="Times New Roman" w:hAnsi="Times New Roman"/>
          <w:color w:val="000000" w:themeColor="text1"/>
          <w:szCs w:val="22"/>
          <w:lang w:val="lt-LT"/>
        </w:rPr>
        <w:t>e</w:t>
      </w:r>
      <w:r w:rsidR="00EE19C8" w:rsidRPr="00650EE4">
        <w:rPr>
          <w:rFonts w:ascii="Times New Roman" w:hAnsi="Times New Roman"/>
          <w:color w:val="000000" w:themeColor="text1"/>
          <w:szCs w:val="22"/>
          <w:lang w:val="lt-LT"/>
        </w:rPr>
        <w:t xml:space="preserve"> žemiau pateikiami finansinio efektyvumo modeliavimo rezultatai</w:t>
      </w:r>
      <w:r w:rsidR="003C3CFF" w:rsidRPr="00650EE4">
        <w:rPr>
          <w:rFonts w:ascii="Times New Roman" w:hAnsi="Times New Roman"/>
          <w:color w:val="000000" w:themeColor="text1"/>
          <w:szCs w:val="22"/>
          <w:lang w:val="lt-LT"/>
        </w:rPr>
        <w:t xml:space="preserve"> 3 skirtingais šilumos energijos kainos scenarijais.</w:t>
      </w:r>
    </w:p>
    <w:p w14:paraId="3419F03F" w14:textId="77777777" w:rsidR="005022C8" w:rsidRPr="00650EE4" w:rsidRDefault="005022C8" w:rsidP="00B73EAC">
      <w:pPr>
        <w:pStyle w:val="BodyText"/>
        <w:rPr>
          <w:rFonts w:ascii="Times New Roman" w:hAnsi="Times New Roman"/>
          <w:color w:val="000000" w:themeColor="text1"/>
          <w:szCs w:val="22"/>
          <w:lang w:val="lt-LT"/>
        </w:rPr>
      </w:pPr>
    </w:p>
    <w:p w14:paraId="71DB731E" w14:textId="77777777" w:rsidR="007013A3" w:rsidRDefault="007013A3">
      <w:pPr>
        <w:spacing w:after="240"/>
        <w:rPr>
          <w:rFonts w:ascii="Times New Roman" w:eastAsiaTheme="minorHAnsi" w:hAnsi="Times New Roman"/>
          <w:bCs/>
          <w:i/>
          <w:color w:val="000000" w:themeColor="text1"/>
          <w:sz w:val="20"/>
          <w:szCs w:val="20"/>
        </w:rPr>
      </w:pPr>
      <w:r>
        <w:br w:type="page"/>
      </w:r>
    </w:p>
    <w:p w14:paraId="5CCEC399" w14:textId="17D2177A" w:rsidR="00E74E23"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09" w:name="_Toc59094265"/>
      <w:r w:rsidR="00F25C65">
        <w:t>16</w:t>
      </w:r>
      <w:r w:rsidRPr="00650EE4">
        <w:rPr>
          <w:noProof w:val="0"/>
        </w:rPr>
        <w:fldChar w:fldCharType="end"/>
      </w:r>
      <w:r w:rsidR="00761ECA" w:rsidRPr="00650EE4">
        <w:rPr>
          <w:noProof w:val="0"/>
        </w:rPr>
        <w:t xml:space="preserve"> paveikslas.</w:t>
      </w:r>
      <w:r w:rsidR="00E74E23" w:rsidRPr="00650EE4">
        <w:rPr>
          <w:noProof w:val="0"/>
        </w:rPr>
        <w:t xml:space="preserve"> </w:t>
      </w:r>
      <w:r w:rsidR="00FD0366" w:rsidRPr="00650EE4">
        <w:rPr>
          <w:noProof w:val="0"/>
        </w:rPr>
        <w:t xml:space="preserve">Finansinio efektyvumo </w:t>
      </w:r>
      <w:r w:rsidR="009638F3" w:rsidRPr="00650EE4">
        <w:rPr>
          <w:noProof w:val="0"/>
        </w:rPr>
        <w:t>modeliavimo</w:t>
      </w:r>
      <w:r w:rsidR="00FD0366" w:rsidRPr="00650EE4">
        <w:rPr>
          <w:noProof w:val="0"/>
        </w:rPr>
        <w:t xml:space="preserve"> rezultatai</w:t>
      </w:r>
      <w:bookmarkEnd w:id="109"/>
    </w:p>
    <w:p w14:paraId="0332ADC9" w14:textId="142F9E35" w:rsidR="00E74E23" w:rsidRPr="00650EE4" w:rsidRDefault="000C1DED" w:rsidP="00E74E23">
      <w:pPr>
        <w:pStyle w:val="BodyText"/>
        <w:rPr>
          <w:rFonts w:ascii="Times New Roman" w:hAnsi="Times New Roman"/>
          <w:color w:val="000000" w:themeColor="text1"/>
          <w:sz w:val="24"/>
          <w:szCs w:val="24"/>
          <w:lang w:val="lt-LT"/>
        </w:rPr>
      </w:pPr>
      <w:r w:rsidRPr="00650EE4">
        <w:rPr>
          <w:rFonts w:ascii="Times New Roman" w:hAnsi="Times New Roman"/>
          <w:noProof/>
          <w:lang w:val="lt-LT" w:eastAsia="lt-LT"/>
        </w:rPr>
        <w:drawing>
          <wp:inline distT="0" distB="0" distL="0" distR="0" wp14:anchorId="01D50B68" wp14:editId="528D58FC">
            <wp:extent cx="6479540" cy="2656205"/>
            <wp:effectExtent l="0" t="0" r="16510" b="10795"/>
            <wp:docPr id="1" name="Chart 1">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768725-5D77-47C4-9F7E-4F6E41625F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818E2AE" w14:textId="01EEF4D6" w:rsidR="001B1683" w:rsidRDefault="00E410B0" w:rsidP="007013A3">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E12EB6">
        <w:rPr>
          <w:rFonts w:ascii="Times New Roman" w:hAnsi="Times New Roman"/>
          <w:i/>
          <w:iCs/>
          <w:color w:val="auto"/>
          <w:sz w:val="20"/>
          <w:szCs w:val="20"/>
        </w:rPr>
        <w:t>Lietuvos ilgalaikei renovacijos strategijai parengti</w:t>
      </w:r>
      <w:r w:rsidR="00E12EB6" w:rsidRPr="00650EE4">
        <w:rPr>
          <w:rFonts w:ascii="Times New Roman" w:eastAsia="Times New Roman" w:hAnsi="Times New Roman"/>
          <w:i/>
          <w:color w:val="000000" w:themeColor="text1"/>
          <w:sz w:val="20"/>
          <w:szCs w:val="20"/>
        </w:rPr>
        <w:t xml:space="preserve"> </w:t>
      </w:r>
      <w:bookmarkStart w:id="110" w:name="_Toc47613715"/>
      <w:r w:rsidR="007013A3">
        <w:rPr>
          <w:rFonts w:ascii="Times New Roman" w:eastAsia="Times New Roman" w:hAnsi="Times New Roman"/>
          <w:i/>
          <w:color w:val="000000" w:themeColor="text1"/>
          <w:sz w:val="20"/>
          <w:szCs w:val="28"/>
        </w:rPr>
        <w:t>autoriai.</w:t>
      </w:r>
    </w:p>
    <w:p w14:paraId="473354C3" w14:textId="77777777" w:rsidR="007013A3" w:rsidRPr="007013A3" w:rsidRDefault="007013A3" w:rsidP="007013A3">
      <w:pPr>
        <w:spacing w:before="60" w:line="240" w:lineRule="auto"/>
        <w:jc w:val="both"/>
        <w:rPr>
          <w:rFonts w:ascii="Times New Roman" w:eastAsia="Times New Roman" w:hAnsi="Times New Roman"/>
          <w:i/>
          <w:color w:val="000000" w:themeColor="text1"/>
          <w:sz w:val="20"/>
          <w:szCs w:val="28"/>
        </w:rPr>
      </w:pPr>
    </w:p>
    <w:p w14:paraId="59442C64" w14:textId="73B2A961" w:rsidR="00A230C6" w:rsidRPr="00650EE4" w:rsidRDefault="00A230C6" w:rsidP="00A230C6">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4E82DF0" w14:textId="26DBECF7" w:rsidR="00A230C6" w:rsidRPr="00650EE4" w:rsidRDefault="00120FAF" w:rsidP="00A230C6">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A230C6" w:rsidRPr="00650EE4">
        <w:rPr>
          <w:rFonts w:ascii="Times New Roman" w:hAnsi="Times New Roman"/>
          <w:color w:val="000000" w:themeColor="text1"/>
          <w:szCs w:val="22"/>
        </w:rPr>
        <w:t>rielaidos</w:t>
      </w:r>
      <w:r w:rsidR="00EE19C8" w:rsidRPr="00650EE4">
        <w:rPr>
          <w:rFonts w:ascii="Times New Roman" w:hAnsi="Times New Roman"/>
          <w:color w:val="000000" w:themeColor="text1"/>
          <w:szCs w:val="22"/>
        </w:rPr>
        <w:t xml:space="preserve"> dėl energijos ir CO</w:t>
      </w:r>
      <w:r w:rsidR="00EE19C8" w:rsidRPr="00650EE4">
        <w:rPr>
          <w:rFonts w:ascii="Times New Roman" w:hAnsi="Times New Roman"/>
          <w:color w:val="000000" w:themeColor="text1"/>
          <w:szCs w:val="22"/>
          <w:vertAlign w:val="subscript"/>
        </w:rPr>
        <w:t>2</w:t>
      </w:r>
      <w:r w:rsidR="00EE19C8" w:rsidRPr="00650EE4">
        <w:rPr>
          <w:rFonts w:ascii="Times New Roman" w:hAnsi="Times New Roman"/>
          <w:color w:val="000000" w:themeColor="text1"/>
          <w:szCs w:val="22"/>
        </w:rPr>
        <w:t xml:space="preserve"> kainų kitimo tendencijų </w:t>
      </w:r>
      <w:r w:rsidR="00A230C6" w:rsidRPr="00650EE4">
        <w:rPr>
          <w:rFonts w:ascii="Times New Roman" w:hAnsi="Times New Roman"/>
          <w:color w:val="000000" w:themeColor="text1"/>
          <w:szCs w:val="22"/>
        </w:rPr>
        <w:t>reikšmingai įtakoja finansin</w:t>
      </w:r>
      <w:r w:rsidR="00122C88" w:rsidRPr="00650EE4">
        <w:rPr>
          <w:rFonts w:ascii="Times New Roman" w:hAnsi="Times New Roman"/>
          <w:color w:val="000000" w:themeColor="text1"/>
          <w:szCs w:val="22"/>
        </w:rPr>
        <w:t xml:space="preserve">ę naudą ir </w:t>
      </w:r>
      <w:r w:rsidR="00A230C6" w:rsidRPr="00650EE4">
        <w:rPr>
          <w:rFonts w:ascii="Times New Roman" w:hAnsi="Times New Roman"/>
          <w:color w:val="000000" w:themeColor="text1"/>
          <w:szCs w:val="22"/>
        </w:rPr>
        <w:t>atsiperkamumą;</w:t>
      </w:r>
    </w:p>
    <w:p w14:paraId="3E97E16F" w14:textId="52503D40" w:rsidR="00EE19C8" w:rsidRPr="00650EE4" w:rsidRDefault="00120FAF" w:rsidP="00EE19C8">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p</w:t>
      </w:r>
      <w:r w:rsidR="00EE19C8" w:rsidRPr="00650EE4">
        <w:rPr>
          <w:rFonts w:ascii="Times New Roman" w:hAnsi="Times New Roman"/>
          <w:color w:val="000000" w:themeColor="text1"/>
          <w:szCs w:val="22"/>
        </w:rPr>
        <w:t xml:space="preserve">rielaidų patikimumas 30 m. laikotarpiu nėra didelis, atitinkamai negalima remtis vien tik </w:t>
      </w:r>
      <w:r w:rsidR="009901D2" w:rsidRPr="00650EE4">
        <w:rPr>
          <w:rFonts w:ascii="Times New Roman" w:hAnsi="Times New Roman"/>
          <w:color w:val="000000" w:themeColor="text1"/>
          <w:szCs w:val="22"/>
        </w:rPr>
        <w:t>finansinio</w:t>
      </w:r>
      <w:r w:rsidR="00FD0366" w:rsidRPr="00650EE4">
        <w:rPr>
          <w:rFonts w:ascii="Times New Roman" w:hAnsi="Times New Roman"/>
          <w:color w:val="000000" w:themeColor="text1"/>
          <w:szCs w:val="22"/>
        </w:rPr>
        <w:t xml:space="preserve"> vertinimo rezultatais;</w:t>
      </w:r>
    </w:p>
    <w:p w14:paraId="04B9DF1E" w14:textId="2AAC9782" w:rsidR="005802BA" w:rsidRPr="00650EE4" w:rsidRDefault="00120FAF" w:rsidP="009A511C">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i</w:t>
      </w:r>
      <w:r w:rsidR="005802BA" w:rsidRPr="00650EE4">
        <w:rPr>
          <w:rFonts w:ascii="Times New Roman" w:hAnsi="Times New Roman"/>
          <w:color w:val="000000" w:themeColor="text1"/>
          <w:szCs w:val="22"/>
        </w:rPr>
        <w:t>lgalaikė</w:t>
      </w:r>
      <w:r w:rsidR="00EE19C8" w:rsidRPr="00650EE4">
        <w:rPr>
          <w:rFonts w:ascii="Times New Roman" w:hAnsi="Times New Roman"/>
          <w:color w:val="000000" w:themeColor="text1"/>
          <w:szCs w:val="22"/>
        </w:rPr>
        <w:t xml:space="preserve">je perspektyvoje </w:t>
      </w:r>
      <w:r w:rsidR="00621D99" w:rsidRPr="00650EE4">
        <w:rPr>
          <w:rFonts w:ascii="Times New Roman" w:hAnsi="Times New Roman"/>
          <w:color w:val="000000" w:themeColor="text1"/>
          <w:szCs w:val="22"/>
        </w:rPr>
        <w:t xml:space="preserve">labiau </w:t>
      </w:r>
      <w:r w:rsidR="00EE19C8" w:rsidRPr="00650EE4">
        <w:rPr>
          <w:rFonts w:ascii="Times New Roman" w:hAnsi="Times New Roman"/>
          <w:color w:val="000000" w:themeColor="text1"/>
          <w:szCs w:val="22"/>
        </w:rPr>
        <w:t>tikėtina</w:t>
      </w:r>
      <w:r w:rsidR="00621D99" w:rsidRPr="00650EE4">
        <w:rPr>
          <w:rFonts w:ascii="Times New Roman" w:hAnsi="Times New Roman"/>
          <w:color w:val="000000" w:themeColor="text1"/>
          <w:szCs w:val="22"/>
        </w:rPr>
        <w:t xml:space="preserve">s agresyvesnio energijos kainų didėjimo scenarijus </w:t>
      </w:r>
      <w:r w:rsidR="005802BA" w:rsidRPr="00650EE4">
        <w:rPr>
          <w:rFonts w:ascii="Times New Roman" w:hAnsi="Times New Roman"/>
          <w:color w:val="000000" w:themeColor="text1"/>
          <w:szCs w:val="22"/>
        </w:rPr>
        <w:t>(</w:t>
      </w:r>
      <w:r w:rsidR="00EE19C8" w:rsidRPr="00650EE4">
        <w:rPr>
          <w:rFonts w:ascii="Times New Roman" w:hAnsi="Times New Roman"/>
          <w:color w:val="000000" w:themeColor="text1"/>
          <w:szCs w:val="22"/>
        </w:rPr>
        <w:t>dabartinis žaliavų kainų lygis istorinėse žemumose</w:t>
      </w:r>
      <w:r w:rsidR="005802BA" w:rsidRPr="00650EE4">
        <w:rPr>
          <w:rFonts w:ascii="Times New Roman" w:hAnsi="Times New Roman"/>
          <w:color w:val="000000" w:themeColor="text1"/>
          <w:szCs w:val="22"/>
        </w:rPr>
        <w:t>, tikėtina</w:t>
      </w:r>
      <w:r w:rsidR="00EE19C8" w:rsidRPr="00650EE4">
        <w:rPr>
          <w:rFonts w:ascii="Times New Roman" w:hAnsi="Times New Roman"/>
          <w:color w:val="000000" w:themeColor="text1"/>
          <w:szCs w:val="22"/>
        </w:rPr>
        <w:t>s</w:t>
      </w:r>
      <w:r w:rsidR="005802BA" w:rsidRPr="00650EE4">
        <w:rPr>
          <w:rFonts w:ascii="Times New Roman" w:hAnsi="Times New Roman"/>
          <w:color w:val="000000" w:themeColor="text1"/>
          <w:szCs w:val="22"/>
        </w:rPr>
        <w:t xml:space="preserve"> </w:t>
      </w:r>
      <w:r w:rsidR="00EE19C8" w:rsidRPr="00650EE4">
        <w:rPr>
          <w:rFonts w:ascii="Times New Roman" w:hAnsi="Times New Roman"/>
          <w:color w:val="000000" w:themeColor="text1"/>
          <w:szCs w:val="22"/>
        </w:rPr>
        <w:t>ES subsidijų energetikos infrastruktūrai mažėjimas).</w:t>
      </w:r>
    </w:p>
    <w:p w14:paraId="59C5CEEB" w14:textId="77777777" w:rsidR="001B1683" w:rsidRPr="00650EE4" w:rsidRDefault="001B1683" w:rsidP="001B1683">
      <w:pPr>
        <w:pStyle w:val="Pagrindinispaprastastekstas"/>
        <w:spacing w:after="120"/>
        <w:ind w:left="714"/>
        <w:rPr>
          <w:rFonts w:ascii="Times New Roman" w:hAnsi="Times New Roman"/>
          <w:color w:val="000000" w:themeColor="text1"/>
          <w:szCs w:val="22"/>
        </w:rPr>
      </w:pPr>
    </w:p>
    <w:p w14:paraId="0ABDED81" w14:textId="733873BC" w:rsidR="00E74E23" w:rsidRPr="00650EE4" w:rsidRDefault="00BF6DB0" w:rsidP="00BF6DB0">
      <w:pPr>
        <w:pStyle w:val="Antrastes2"/>
        <w:numPr>
          <w:ilvl w:val="1"/>
          <w:numId w:val="4"/>
        </w:numPr>
        <w:pBdr>
          <w:bottom w:val="single" w:sz="4" w:space="2" w:color="auto"/>
        </w:pBdr>
        <w:spacing w:before="0"/>
        <w:ind w:left="576" w:hanging="576"/>
        <w:jc w:val="both"/>
        <w:rPr>
          <w:rFonts w:ascii="Times New Roman" w:hAnsi="Times New Roman"/>
          <w:color w:val="auto"/>
          <w:sz w:val="24"/>
          <w:szCs w:val="24"/>
          <w:lang w:val="lt-LT"/>
        </w:rPr>
      </w:pPr>
      <w:bookmarkStart w:id="111" w:name="_Toc59107533"/>
      <w:r w:rsidRPr="00650EE4">
        <w:rPr>
          <w:rFonts w:ascii="Times New Roman" w:hAnsi="Times New Roman"/>
          <w:color w:val="auto"/>
          <w:sz w:val="24"/>
          <w:szCs w:val="24"/>
          <w:lang w:val="lt-LT"/>
        </w:rPr>
        <w:t xml:space="preserve">Ekonominio efektyvumo </w:t>
      </w:r>
      <w:bookmarkEnd w:id="110"/>
      <w:r w:rsidRPr="00650EE4">
        <w:rPr>
          <w:rFonts w:ascii="Times New Roman" w:hAnsi="Times New Roman"/>
          <w:color w:val="auto"/>
          <w:sz w:val="24"/>
          <w:szCs w:val="24"/>
          <w:lang w:val="lt-LT"/>
        </w:rPr>
        <w:t>vertinimas</w:t>
      </w:r>
      <w:bookmarkEnd w:id="111"/>
      <w:r w:rsidR="00E74E23" w:rsidRPr="00650EE4">
        <w:rPr>
          <w:rFonts w:ascii="Times New Roman" w:hAnsi="Times New Roman"/>
          <w:color w:val="auto"/>
          <w:sz w:val="24"/>
          <w:szCs w:val="24"/>
          <w:lang w:val="lt-LT"/>
        </w:rPr>
        <w:t xml:space="preserve"> </w:t>
      </w:r>
    </w:p>
    <w:p w14:paraId="2A6A86AF" w14:textId="2F0B6FB4" w:rsidR="004F6509" w:rsidRPr="00650EE4" w:rsidRDefault="009A511C" w:rsidP="004F6509">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Ekonominį atsipirkimo vertinimo metu </w:t>
      </w:r>
      <w:r w:rsidR="00424552" w:rsidRPr="00650EE4">
        <w:rPr>
          <w:rFonts w:ascii="Times New Roman" w:hAnsi="Times New Roman"/>
          <w:color w:val="000000" w:themeColor="text1"/>
          <w:szCs w:val="22"/>
          <w:lang w:val="lt-LT"/>
        </w:rPr>
        <w:t xml:space="preserve">modeliuojamas taškas už kurio kiekvienas papildomai investuotas 1 </w:t>
      </w:r>
      <w:proofErr w:type="spellStart"/>
      <w:r w:rsidR="00424552" w:rsidRPr="00650EE4">
        <w:rPr>
          <w:rFonts w:ascii="Times New Roman" w:hAnsi="Times New Roman"/>
          <w:color w:val="000000" w:themeColor="text1"/>
          <w:szCs w:val="22"/>
          <w:lang w:val="lt-LT"/>
        </w:rPr>
        <w:t>Eur</w:t>
      </w:r>
      <w:proofErr w:type="spellEnd"/>
      <w:r w:rsidR="00424552" w:rsidRPr="00650EE4">
        <w:rPr>
          <w:rFonts w:ascii="Times New Roman" w:hAnsi="Times New Roman"/>
          <w:color w:val="000000" w:themeColor="text1"/>
          <w:szCs w:val="22"/>
          <w:lang w:val="lt-LT"/>
        </w:rPr>
        <w:t xml:space="preserve"> sukuria mažiau nei 1 </w:t>
      </w:r>
      <w:proofErr w:type="spellStart"/>
      <w:r w:rsidR="00424552" w:rsidRPr="00650EE4">
        <w:rPr>
          <w:rFonts w:ascii="Times New Roman" w:hAnsi="Times New Roman"/>
          <w:color w:val="000000" w:themeColor="text1"/>
          <w:szCs w:val="22"/>
          <w:lang w:val="lt-LT"/>
        </w:rPr>
        <w:t>Eur</w:t>
      </w:r>
      <w:proofErr w:type="spellEnd"/>
      <w:r w:rsidR="00424552" w:rsidRPr="00650EE4">
        <w:rPr>
          <w:rFonts w:ascii="Times New Roman" w:hAnsi="Times New Roman"/>
          <w:color w:val="000000" w:themeColor="text1"/>
          <w:szCs w:val="22"/>
          <w:lang w:val="lt-LT"/>
        </w:rPr>
        <w:t xml:space="preserve"> ekonominę naudą (finansinė nauda + </w:t>
      </w:r>
      <w:r w:rsidRPr="00650EE4">
        <w:rPr>
          <w:rFonts w:ascii="Times New Roman" w:hAnsi="Times New Roman"/>
          <w:color w:val="000000" w:themeColor="text1"/>
          <w:szCs w:val="22"/>
          <w:lang w:val="lt-LT"/>
        </w:rPr>
        <w:t xml:space="preserve"> ekonominių naudų </w:t>
      </w:r>
      <w:r w:rsidR="00424552" w:rsidRPr="00650EE4">
        <w:rPr>
          <w:rFonts w:ascii="Times New Roman" w:hAnsi="Times New Roman"/>
          <w:color w:val="000000" w:themeColor="text1"/>
          <w:szCs w:val="22"/>
          <w:lang w:val="lt-LT"/>
        </w:rPr>
        <w:t>vertė</w:t>
      </w:r>
      <w:r w:rsidR="008E7EE4" w:rsidRPr="00650EE4">
        <w:rPr>
          <w:rFonts w:ascii="Times New Roman" w:hAnsi="Times New Roman"/>
          <w:color w:val="000000" w:themeColor="text1"/>
          <w:szCs w:val="22"/>
          <w:lang w:val="lt-LT"/>
        </w:rPr>
        <w:t xml:space="preserve">), t.y. </w:t>
      </w:r>
      <w:r w:rsidR="004F6509" w:rsidRPr="00650EE4">
        <w:rPr>
          <w:rFonts w:ascii="Times New Roman" w:hAnsi="Times New Roman"/>
          <w:color w:val="000000" w:themeColor="text1"/>
          <w:szCs w:val="22"/>
          <w:lang w:val="lt-LT"/>
        </w:rPr>
        <w:t>ieškomos ekonomiškai atsiperkančios pirminės energijos ir CO</w:t>
      </w:r>
      <w:r w:rsidR="004F6509" w:rsidRPr="00650EE4">
        <w:rPr>
          <w:rFonts w:ascii="Times New Roman" w:hAnsi="Times New Roman"/>
          <w:color w:val="000000" w:themeColor="text1"/>
          <w:szCs w:val="22"/>
          <w:vertAlign w:val="subscript"/>
          <w:lang w:val="lt-LT"/>
        </w:rPr>
        <w:t>2</w:t>
      </w:r>
      <w:r w:rsidR="004F6509" w:rsidRPr="00650EE4">
        <w:rPr>
          <w:rFonts w:ascii="Times New Roman" w:hAnsi="Times New Roman"/>
          <w:color w:val="000000" w:themeColor="text1"/>
          <w:szCs w:val="22"/>
          <w:lang w:val="lt-LT"/>
        </w:rPr>
        <w:t xml:space="preserve"> emisijų sutaupymų apimtys. </w:t>
      </w:r>
    </w:p>
    <w:p w14:paraId="78ABAE6B" w14:textId="6FBC6B3A" w:rsidR="004F6509" w:rsidRPr="00650EE4" w:rsidRDefault="004F6509" w:rsidP="008E7EE4">
      <w:pPr>
        <w:pStyle w:val="BodyText"/>
        <w:rPr>
          <w:rFonts w:ascii="Times New Roman" w:hAnsi="Times New Roman"/>
          <w:color w:val="000000" w:themeColor="text1"/>
          <w:szCs w:val="22"/>
          <w:lang w:val="lt-LT"/>
        </w:rPr>
      </w:pPr>
    </w:p>
    <w:p w14:paraId="1486E9D4" w14:textId="6CFDE639" w:rsidR="004F6509" w:rsidRPr="00650EE4" w:rsidRDefault="00CF2266" w:rsidP="004F6509">
      <w:pPr>
        <w:pStyle w:val="BodyText"/>
        <w:spacing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Esmines renovacijos </w:t>
      </w:r>
      <w:r w:rsidR="004F6509" w:rsidRPr="00650EE4">
        <w:rPr>
          <w:rFonts w:ascii="Times New Roman" w:hAnsi="Times New Roman"/>
          <w:color w:val="000000" w:themeColor="text1"/>
          <w:szCs w:val="22"/>
          <w:lang w:val="lt-LT"/>
        </w:rPr>
        <w:t>ekonomines naudas sudaro</w:t>
      </w:r>
      <w:r w:rsidRPr="00650EE4">
        <w:rPr>
          <w:rFonts w:ascii="Times New Roman" w:hAnsi="Times New Roman"/>
          <w:color w:val="000000" w:themeColor="text1"/>
          <w:szCs w:val="22"/>
          <w:lang w:val="lt-LT"/>
        </w:rPr>
        <w:t xml:space="preserve"> (detalus aprašymas pateiktas </w:t>
      </w:r>
      <w:r w:rsidR="00D34A7B">
        <w:rPr>
          <w:rFonts w:ascii="Times New Roman" w:hAnsi="Times New Roman"/>
          <w:color w:val="000000" w:themeColor="text1"/>
          <w:szCs w:val="22"/>
          <w:lang w:val="lt-LT"/>
        </w:rPr>
        <w:t>5</w:t>
      </w:r>
      <w:r w:rsidRPr="00650EE4">
        <w:rPr>
          <w:rFonts w:ascii="Times New Roman" w:hAnsi="Times New Roman"/>
          <w:color w:val="000000" w:themeColor="text1"/>
          <w:szCs w:val="22"/>
          <w:lang w:val="lt-LT"/>
        </w:rPr>
        <w:t>.3 skyriuje)</w:t>
      </w:r>
      <w:r w:rsidR="004F6509" w:rsidRPr="00650EE4">
        <w:rPr>
          <w:rFonts w:ascii="Times New Roman" w:hAnsi="Times New Roman"/>
          <w:color w:val="000000" w:themeColor="text1"/>
          <w:szCs w:val="22"/>
          <w:lang w:val="lt-LT"/>
        </w:rPr>
        <w:t xml:space="preserve">: </w:t>
      </w:r>
    </w:p>
    <w:p w14:paraId="16C518B3" w14:textId="136AA105" w:rsidR="004F6509" w:rsidRPr="00650EE4" w:rsidRDefault="004F6509" w:rsidP="00BD4925">
      <w:pPr>
        <w:pStyle w:val="Pagrindinispaprastastekstas"/>
        <w:numPr>
          <w:ilvl w:val="0"/>
          <w:numId w:val="25"/>
        </w:numPr>
        <w:spacing w:after="60"/>
        <w:rPr>
          <w:rFonts w:ascii="Times New Roman" w:hAnsi="Times New Roman"/>
          <w:color w:val="000000" w:themeColor="text1"/>
          <w:szCs w:val="22"/>
        </w:rPr>
      </w:pPr>
      <w:r w:rsidRPr="00650EE4">
        <w:rPr>
          <w:rFonts w:ascii="Times New Roman" w:hAnsi="Times New Roman"/>
          <w:bCs/>
          <w:color w:val="000000" w:themeColor="text1"/>
          <w:szCs w:val="22"/>
        </w:rPr>
        <w:t>BVP padidėjimas</w:t>
      </w:r>
      <w:r w:rsidRPr="00650EE4">
        <w:rPr>
          <w:rFonts w:ascii="Times New Roman" w:hAnsi="Times New Roman"/>
          <w:color w:val="000000" w:themeColor="text1"/>
          <w:szCs w:val="22"/>
        </w:rPr>
        <w:t xml:space="preserve">: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 nuo 0,88 iki 1,06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BVP padidėjimas</w:t>
      </w:r>
      <w:r w:rsidR="00996814" w:rsidRPr="00650EE4">
        <w:rPr>
          <w:rFonts w:ascii="Times New Roman" w:hAnsi="Times New Roman"/>
          <w:color w:val="000000" w:themeColor="text1"/>
          <w:szCs w:val="22"/>
        </w:rPr>
        <w:t>;</w:t>
      </w:r>
    </w:p>
    <w:p w14:paraId="225144B9" w14:textId="41CC553E" w:rsidR="004F6509"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bCs/>
          <w:color w:val="000000" w:themeColor="text1"/>
          <w:szCs w:val="22"/>
        </w:rPr>
        <w:t>p</w:t>
      </w:r>
      <w:r w:rsidR="004F6509" w:rsidRPr="00650EE4">
        <w:rPr>
          <w:rFonts w:ascii="Times New Roman" w:hAnsi="Times New Roman"/>
          <w:bCs/>
          <w:color w:val="000000" w:themeColor="text1"/>
          <w:szCs w:val="22"/>
        </w:rPr>
        <w:t>agerėjusi žmonių sveikata ir darbingumas</w:t>
      </w:r>
      <w:r w:rsidR="004F6509" w:rsidRPr="00650EE4">
        <w:rPr>
          <w:rFonts w:ascii="Times New Roman" w:hAnsi="Times New Roman"/>
          <w:color w:val="000000" w:themeColor="text1"/>
          <w:szCs w:val="22"/>
        </w:rPr>
        <w:t xml:space="preserve">: investuotas 1 </w:t>
      </w:r>
      <w:proofErr w:type="spellStart"/>
      <w:r w:rsidR="004F6509" w:rsidRPr="00650EE4">
        <w:rPr>
          <w:rFonts w:ascii="Times New Roman" w:hAnsi="Times New Roman"/>
          <w:color w:val="000000" w:themeColor="text1"/>
          <w:szCs w:val="22"/>
        </w:rPr>
        <w:t>Eur</w:t>
      </w:r>
      <w:proofErr w:type="spellEnd"/>
      <w:r w:rsidR="004F6509" w:rsidRPr="00650EE4">
        <w:rPr>
          <w:rFonts w:ascii="Times New Roman" w:hAnsi="Times New Roman"/>
          <w:color w:val="000000" w:themeColor="text1"/>
          <w:szCs w:val="22"/>
        </w:rPr>
        <w:t xml:space="preserve"> = nuo 0,21 iki 0,44 </w:t>
      </w:r>
      <w:proofErr w:type="spellStart"/>
      <w:r w:rsidR="004F6509" w:rsidRPr="00650EE4">
        <w:rPr>
          <w:rFonts w:ascii="Times New Roman" w:hAnsi="Times New Roman"/>
          <w:color w:val="000000" w:themeColor="text1"/>
          <w:szCs w:val="22"/>
        </w:rPr>
        <w:t>Eur</w:t>
      </w:r>
      <w:proofErr w:type="spellEnd"/>
      <w:r w:rsidR="004F6509" w:rsidRPr="00650EE4">
        <w:rPr>
          <w:rFonts w:ascii="Times New Roman" w:hAnsi="Times New Roman"/>
          <w:color w:val="000000" w:themeColor="text1"/>
          <w:szCs w:val="22"/>
        </w:rPr>
        <w:t xml:space="preserve"> ekonominė nauda;</w:t>
      </w:r>
    </w:p>
    <w:p w14:paraId="22C641CE" w14:textId="278B968A" w:rsidR="004F6509"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bCs/>
          <w:color w:val="000000" w:themeColor="text1"/>
          <w:szCs w:val="22"/>
        </w:rPr>
        <w:t>g</w:t>
      </w:r>
      <w:r w:rsidR="004F6509" w:rsidRPr="00650EE4">
        <w:rPr>
          <w:rFonts w:ascii="Times New Roman" w:hAnsi="Times New Roman"/>
          <w:bCs/>
          <w:color w:val="000000" w:themeColor="text1"/>
          <w:szCs w:val="22"/>
        </w:rPr>
        <w:t>yvenamojo būsto vertės padidėjimas</w:t>
      </w:r>
      <w:r w:rsidR="004F6509" w:rsidRPr="00650EE4">
        <w:rPr>
          <w:rFonts w:ascii="Times New Roman" w:hAnsi="Times New Roman"/>
          <w:color w:val="000000" w:themeColor="text1"/>
          <w:szCs w:val="22"/>
        </w:rPr>
        <w:t>: gyvenamojo būsto pagrindiniuose 5 miestuose (Vilnius, Kaunas, Klaipėda, Šiauliai ir Panevėžys) vertė padidėja iki 15%;</w:t>
      </w:r>
    </w:p>
    <w:p w14:paraId="2AD73216" w14:textId="06B04741" w:rsidR="004F6509" w:rsidRPr="00650EE4" w:rsidRDefault="004F6509" w:rsidP="00BD4925">
      <w:pPr>
        <w:pStyle w:val="Pagrindinispaprastastekstas"/>
        <w:numPr>
          <w:ilvl w:val="0"/>
          <w:numId w:val="25"/>
        </w:numPr>
        <w:spacing w:after="240"/>
        <w:rPr>
          <w:rFonts w:ascii="Times New Roman" w:hAnsi="Times New Roman"/>
          <w:color w:val="000000" w:themeColor="text1"/>
          <w:szCs w:val="22"/>
        </w:rPr>
      </w:pPr>
      <w:proofErr w:type="spellStart"/>
      <w:r w:rsidRPr="00650EE4">
        <w:rPr>
          <w:rFonts w:ascii="Times New Roman" w:hAnsi="Times New Roman"/>
          <w:bCs/>
          <w:color w:val="000000" w:themeColor="text1"/>
          <w:szCs w:val="22"/>
        </w:rPr>
        <w:t>NO</w:t>
      </w:r>
      <w:r w:rsidRPr="00650EE4">
        <w:rPr>
          <w:rFonts w:ascii="Times New Roman" w:hAnsi="Times New Roman"/>
          <w:bCs/>
          <w:color w:val="000000" w:themeColor="text1"/>
          <w:szCs w:val="22"/>
          <w:vertAlign w:val="subscript"/>
        </w:rPr>
        <w:t>x</w:t>
      </w:r>
      <w:proofErr w:type="spellEnd"/>
      <w:r w:rsidRPr="00650EE4">
        <w:rPr>
          <w:rFonts w:ascii="Times New Roman" w:hAnsi="Times New Roman"/>
          <w:bCs/>
          <w:color w:val="000000" w:themeColor="text1"/>
          <w:szCs w:val="22"/>
        </w:rPr>
        <w:t>, SO</w:t>
      </w:r>
      <w:r w:rsidRPr="00650EE4">
        <w:rPr>
          <w:rFonts w:ascii="Times New Roman" w:hAnsi="Times New Roman"/>
          <w:bCs/>
          <w:color w:val="000000" w:themeColor="text1"/>
          <w:szCs w:val="22"/>
          <w:vertAlign w:val="subscript"/>
        </w:rPr>
        <w:t>2</w:t>
      </w:r>
      <w:r w:rsidRPr="00650EE4">
        <w:rPr>
          <w:rFonts w:ascii="Times New Roman" w:hAnsi="Times New Roman"/>
          <w:bCs/>
          <w:color w:val="000000" w:themeColor="text1"/>
          <w:szCs w:val="22"/>
        </w:rPr>
        <w:t xml:space="preserve"> ir kietųjų dalelių sumažėjimas</w:t>
      </w:r>
      <w:r w:rsidRPr="00650EE4">
        <w:rPr>
          <w:rFonts w:ascii="Times New Roman" w:hAnsi="Times New Roman"/>
          <w:color w:val="000000" w:themeColor="text1"/>
          <w:szCs w:val="22"/>
        </w:rPr>
        <w:t xml:space="preserve">: investuotas 1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 0,015 </w:t>
      </w:r>
      <w:proofErr w:type="spellStart"/>
      <w:r w:rsidRPr="00650EE4">
        <w:rPr>
          <w:rFonts w:ascii="Times New Roman" w:hAnsi="Times New Roman"/>
          <w:color w:val="000000" w:themeColor="text1"/>
          <w:szCs w:val="22"/>
        </w:rPr>
        <w:t>Eur</w:t>
      </w:r>
      <w:proofErr w:type="spellEnd"/>
      <w:r w:rsidRPr="00650EE4">
        <w:rPr>
          <w:rFonts w:ascii="Times New Roman" w:hAnsi="Times New Roman"/>
          <w:color w:val="000000" w:themeColor="text1"/>
          <w:szCs w:val="22"/>
        </w:rPr>
        <w:t xml:space="preserve"> ekonominė nauda.</w:t>
      </w:r>
    </w:p>
    <w:p w14:paraId="70392A1A" w14:textId="369617AA" w:rsidR="00CF2266" w:rsidRPr="00650EE4" w:rsidRDefault="004F6509" w:rsidP="00CF2266">
      <w:pPr>
        <w:pStyle w:val="BodyText"/>
        <w:spacing w:after="120"/>
        <w:jc w:val="both"/>
        <w:rPr>
          <w:rFonts w:ascii="Times New Roman" w:hAnsi="Times New Roman"/>
          <w:b/>
          <w:color w:val="000000" w:themeColor="text1"/>
          <w:szCs w:val="22"/>
          <w:lang w:val="lt-LT"/>
        </w:rPr>
      </w:pPr>
      <w:r w:rsidRPr="00650EE4">
        <w:rPr>
          <w:rFonts w:ascii="Times New Roman" w:hAnsi="Times New Roman"/>
          <w:color w:val="000000" w:themeColor="text1"/>
          <w:szCs w:val="22"/>
          <w:lang w:val="lt-LT"/>
        </w:rPr>
        <w:t>Tačiau, vadovaujantis atsargum</w:t>
      </w:r>
      <w:r w:rsidR="00A90895" w:rsidRPr="00650EE4">
        <w:rPr>
          <w:rFonts w:ascii="Times New Roman" w:hAnsi="Times New Roman"/>
          <w:color w:val="000000" w:themeColor="text1"/>
          <w:szCs w:val="22"/>
          <w:lang w:val="lt-LT"/>
        </w:rPr>
        <w:t xml:space="preserve">o ir konservatyvumo principais </w:t>
      </w:r>
      <w:r w:rsidR="00CF2266" w:rsidRPr="00650EE4">
        <w:rPr>
          <w:rFonts w:ascii="Times New Roman" w:hAnsi="Times New Roman"/>
          <w:color w:val="000000" w:themeColor="text1"/>
          <w:szCs w:val="22"/>
          <w:lang w:val="lt-LT"/>
        </w:rPr>
        <w:t xml:space="preserve">bei </w:t>
      </w:r>
      <w:r w:rsidRPr="00650EE4">
        <w:rPr>
          <w:rFonts w:ascii="Times New Roman" w:hAnsi="Times New Roman"/>
          <w:color w:val="000000" w:themeColor="text1"/>
          <w:szCs w:val="22"/>
          <w:lang w:val="lt-LT"/>
        </w:rPr>
        <w:t>siekiant neiškreipti modeliavimo rezultatų pernelyg optimistiniais lūkesčiais, vertinant ekonom</w:t>
      </w:r>
      <w:r w:rsidR="00CF2266" w:rsidRPr="00650EE4">
        <w:rPr>
          <w:rFonts w:ascii="Times New Roman" w:hAnsi="Times New Roman"/>
          <w:color w:val="000000" w:themeColor="text1"/>
          <w:szCs w:val="22"/>
          <w:lang w:val="lt-LT"/>
        </w:rPr>
        <w:t>inį efektyvumą:</w:t>
      </w:r>
    </w:p>
    <w:p w14:paraId="70D47A19" w14:textId="1D7562AD" w:rsidR="00CF2266" w:rsidRPr="00650EE4" w:rsidRDefault="008E14A3" w:rsidP="00BD4925">
      <w:pPr>
        <w:pStyle w:val="Pagrindinispaprastastekstas"/>
        <w:numPr>
          <w:ilvl w:val="0"/>
          <w:numId w:val="25"/>
        </w:numPr>
        <w:spacing w:after="60"/>
        <w:rPr>
          <w:rFonts w:ascii="Times New Roman" w:hAnsi="Times New Roman"/>
          <w:color w:val="000000" w:themeColor="text1"/>
          <w:szCs w:val="22"/>
        </w:rPr>
      </w:pPr>
      <w:r>
        <w:rPr>
          <w:rFonts w:ascii="Times New Roman" w:hAnsi="Times New Roman"/>
          <w:color w:val="000000" w:themeColor="text1"/>
          <w:szCs w:val="22"/>
        </w:rPr>
        <w:t>n</w:t>
      </w:r>
      <w:r w:rsidR="00CF2266" w:rsidRPr="00650EE4">
        <w:rPr>
          <w:rFonts w:ascii="Times New Roman" w:hAnsi="Times New Roman"/>
          <w:bCs/>
          <w:color w:val="000000" w:themeColor="text1"/>
          <w:szCs w:val="22"/>
        </w:rPr>
        <w:t xml:space="preserve">audotas tik vienas ekonominių </w:t>
      </w:r>
      <w:r w:rsidR="004F6509" w:rsidRPr="00650EE4">
        <w:rPr>
          <w:rFonts w:ascii="Times New Roman" w:hAnsi="Times New Roman"/>
          <w:bCs/>
          <w:color w:val="000000" w:themeColor="text1"/>
          <w:szCs w:val="22"/>
        </w:rPr>
        <w:t>naudų kriterijus – BVP padidėjimas</w:t>
      </w:r>
      <w:r w:rsidR="00CF2266" w:rsidRPr="00650EE4">
        <w:rPr>
          <w:rFonts w:ascii="Times New Roman" w:hAnsi="Times New Roman"/>
          <w:bCs/>
          <w:color w:val="000000" w:themeColor="text1"/>
          <w:szCs w:val="22"/>
        </w:rPr>
        <w:t xml:space="preserve"> (</w:t>
      </w:r>
      <w:r w:rsidR="004F6509" w:rsidRPr="00650EE4">
        <w:rPr>
          <w:rFonts w:ascii="Times New Roman" w:hAnsi="Times New Roman"/>
          <w:bCs/>
          <w:color w:val="000000" w:themeColor="text1"/>
          <w:szCs w:val="22"/>
        </w:rPr>
        <w:t xml:space="preserve">kriterijus turintis didžiausią potencialą konvertuotis į finansines </w:t>
      </w:r>
      <w:r w:rsidR="00CF2266" w:rsidRPr="00650EE4">
        <w:rPr>
          <w:rFonts w:ascii="Times New Roman" w:hAnsi="Times New Roman"/>
          <w:bCs/>
          <w:color w:val="000000" w:themeColor="text1"/>
          <w:szCs w:val="22"/>
        </w:rPr>
        <w:t>naudas t.y. realų pinigų srautą)</w:t>
      </w:r>
      <w:r>
        <w:rPr>
          <w:rFonts w:ascii="Times New Roman" w:hAnsi="Times New Roman"/>
          <w:bCs/>
          <w:color w:val="000000" w:themeColor="text1"/>
          <w:szCs w:val="22"/>
        </w:rPr>
        <w:t>;</w:t>
      </w:r>
      <w:r w:rsidR="004F6509" w:rsidRPr="00650EE4">
        <w:rPr>
          <w:rFonts w:ascii="Times New Roman" w:hAnsi="Times New Roman"/>
          <w:bCs/>
          <w:color w:val="000000" w:themeColor="text1"/>
          <w:szCs w:val="22"/>
        </w:rPr>
        <w:t xml:space="preserve"> </w:t>
      </w:r>
    </w:p>
    <w:p w14:paraId="024F3FAB" w14:textId="1F39B33D" w:rsidR="004F6509" w:rsidRPr="00650EE4" w:rsidRDefault="008E14A3" w:rsidP="00BD4925">
      <w:pPr>
        <w:pStyle w:val="Pagrindinispaprastastekstas"/>
        <w:numPr>
          <w:ilvl w:val="0"/>
          <w:numId w:val="25"/>
        </w:numPr>
        <w:rPr>
          <w:rFonts w:ascii="Times New Roman" w:hAnsi="Times New Roman"/>
          <w:color w:val="000000" w:themeColor="text1"/>
          <w:szCs w:val="22"/>
        </w:rPr>
      </w:pPr>
      <w:r>
        <w:rPr>
          <w:rFonts w:ascii="Times New Roman" w:hAnsi="Times New Roman"/>
          <w:bCs/>
          <w:color w:val="000000" w:themeColor="text1"/>
          <w:szCs w:val="22"/>
        </w:rPr>
        <w:t>n</w:t>
      </w:r>
      <w:r w:rsidR="004F6509" w:rsidRPr="00650EE4">
        <w:rPr>
          <w:rFonts w:ascii="Times New Roman" w:hAnsi="Times New Roman"/>
          <w:bCs/>
          <w:color w:val="000000" w:themeColor="text1"/>
          <w:szCs w:val="22"/>
        </w:rPr>
        <w:t>audojamo kriterijaus vertė buvo dvigubai sumažinta nuo žemiausios reikšmės t.y., investuotas 1</w:t>
      </w:r>
      <w:r w:rsidR="00CF2266" w:rsidRPr="00650EE4">
        <w:rPr>
          <w:rFonts w:ascii="Times New Roman" w:hAnsi="Times New Roman"/>
          <w:bCs/>
          <w:color w:val="000000" w:themeColor="text1"/>
          <w:szCs w:val="22"/>
        </w:rPr>
        <w:t xml:space="preserve"> </w:t>
      </w:r>
      <w:proofErr w:type="spellStart"/>
      <w:r w:rsidR="00CF2266" w:rsidRPr="00650EE4">
        <w:rPr>
          <w:rFonts w:ascii="Times New Roman" w:hAnsi="Times New Roman"/>
          <w:bCs/>
          <w:color w:val="000000" w:themeColor="text1"/>
          <w:szCs w:val="22"/>
        </w:rPr>
        <w:t>Eur</w:t>
      </w:r>
      <w:proofErr w:type="spellEnd"/>
      <w:r w:rsidR="00CF2266" w:rsidRPr="00650EE4">
        <w:rPr>
          <w:rFonts w:ascii="Times New Roman" w:hAnsi="Times New Roman"/>
          <w:bCs/>
          <w:color w:val="000000" w:themeColor="text1"/>
          <w:szCs w:val="22"/>
        </w:rPr>
        <w:t xml:space="preserve"> = 0,5 </w:t>
      </w:r>
      <w:proofErr w:type="spellStart"/>
      <w:r w:rsidR="00CF2266" w:rsidRPr="00650EE4">
        <w:rPr>
          <w:rFonts w:ascii="Times New Roman" w:hAnsi="Times New Roman"/>
          <w:bCs/>
          <w:color w:val="000000" w:themeColor="text1"/>
          <w:szCs w:val="22"/>
        </w:rPr>
        <w:t>Eur</w:t>
      </w:r>
      <w:proofErr w:type="spellEnd"/>
      <w:r w:rsidR="00CF2266" w:rsidRPr="00650EE4">
        <w:rPr>
          <w:rFonts w:ascii="Times New Roman" w:hAnsi="Times New Roman"/>
          <w:bCs/>
          <w:color w:val="000000" w:themeColor="text1"/>
          <w:szCs w:val="22"/>
        </w:rPr>
        <w:t xml:space="preserve"> BVP padidėjimas (atsižvelgiant į tai, kad kriterijų vertės modeliuotos </w:t>
      </w:r>
      <w:r w:rsidR="00996814" w:rsidRPr="00650EE4">
        <w:rPr>
          <w:rFonts w:ascii="Times New Roman" w:hAnsi="Times New Roman"/>
          <w:bCs/>
          <w:color w:val="000000" w:themeColor="text1"/>
          <w:szCs w:val="22"/>
        </w:rPr>
        <w:t>visos ES</w:t>
      </w:r>
      <w:r w:rsidR="00CF2266" w:rsidRPr="00650EE4">
        <w:rPr>
          <w:rFonts w:ascii="Times New Roman" w:hAnsi="Times New Roman"/>
          <w:bCs/>
          <w:color w:val="000000" w:themeColor="text1"/>
          <w:szCs w:val="22"/>
        </w:rPr>
        <w:t xml:space="preserve"> lygmeniu)</w:t>
      </w:r>
      <w:r w:rsidR="00996814" w:rsidRPr="00650EE4">
        <w:rPr>
          <w:rFonts w:ascii="Times New Roman" w:hAnsi="Times New Roman"/>
          <w:bCs/>
          <w:color w:val="000000" w:themeColor="text1"/>
          <w:szCs w:val="22"/>
        </w:rPr>
        <w:t>.</w:t>
      </w:r>
    </w:p>
    <w:p w14:paraId="6D4F413E" w14:textId="77777777" w:rsidR="004F6509" w:rsidRPr="00650EE4" w:rsidRDefault="004F6509" w:rsidP="008E7EE4">
      <w:pPr>
        <w:pStyle w:val="BodyText"/>
        <w:rPr>
          <w:rFonts w:ascii="Times New Roman" w:hAnsi="Times New Roman"/>
          <w:color w:val="000000" w:themeColor="text1"/>
          <w:szCs w:val="22"/>
          <w:lang w:val="lt-LT"/>
        </w:rPr>
      </w:pPr>
    </w:p>
    <w:p w14:paraId="0494E4C2" w14:textId="42812C9F" w:rsidR="00FD0366" w:rsidRPr="00650EE4" w:rsidRDefault="00FD0366" w:rsidP="00A90895">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Paveiksle žemiau pateikiami ekonominio efektyvumo modeliavimo rezultatai</w:t>
      </w:r>
      <w:r w:rsidR="0004518A" w:rsidRPr="00650EE4">
        <w:rPr>
          <w:rFonts w:ascii="Times New Roman" w:hAnsi="Times New Roman"/>
          <w:color w:val="000000" w:themeColor="text1"/>
          <w:szCs w:val="22"/>
          <w:lang w:val="lt-LT"/>
        </w:rPr>
        <w:t xml:space="preserve"> reikšmingiausio energijos kainų didėjimo scenariju</w:t>
      </w:r>
      <w:r w:rsidR="00E3173A" w:rsidRPr="00650EE4">
        <w:rPr>
          <w:rFonts w:ascii="Times New Roman" w:hAnsi="Times New Roman"/>
          <w:color w:val="000000" w:themeColor="text1"/>
          <w:szCs w:val="22"/>
          <w:lang w:val="lt-LT"/>
        </w:rPr>
        <w:t>mi.</w:t>
      </w:r>
    </w:p>
    <w:p w14:paraId="4EC0F48C" w14:textId="4F3E4785" w:rsidR="00E74E23" w:rsidRPr="00650EE4" w:rsidRDefault="00E74E23" w:rsidP="00E74E23">
      <w:pPr>
        <w:pStyle w:val="BodyText"/>
        <w:jc w:val="both"/>
        <w:rPr>
          <w:rFonts w:ascii="Times New Roman" w:hAnsi="Times New Roman"/>
          <w:color w:val="000000" w:themeColor="text1"/>
          <w:szCs w:val="22"/>
          <w:lang w:val="lt-LT"/>
        </w:rPr>
      </w:pPr>
    </w:p>
    <w:p w14:paraId="59FA2A51" w14:textId="77777777" w:rsidR="008E14A3" w:rsidRDefault="008E14A3">
      <w:pPr>
        <w:spacing w:after="240"/>
        <w:rPr>
          <w:rFonts w:ascii="Times New Roman" w:eastAsiaTheme="minorHAnsi" w:hAnsi="Times New Roman"/>
          <w:bCs/>
          <w:i/>
          <w:color w:val="000000" w:themeColor="text1"/>
          <w:sz w:val="20"/>
          <w:szCs w:val="20"/>
        </w:rPr>
      </w:pPr>
      <w:r>
        <w:br w:type="page"/>
      </w:r>
    </w:p>
    <w:p w14:paraId="234A915C" w14:textId="039DDB7E" w:rsidR="00E410B0" w:rsidRPr="00650EE4" w:rsidRDefault="00761ECA"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12" w:name="_Toc59094266"/>
      <w:r w:rsidR="00F25C65">
        <w:t>17</w:t>
      </w:r>
      <w:r w:rsidRPr="00650EE4">
        <w:rPr>
          <w:noProof w:val="0"/>
        </w:rPr>
        <w:fldChar w:fldCharType="end"/>
      </w:r>
      <w:r w:rsidRPr="00650EE4">
        <w:rPr>
          <w:noProof w:val="0"/>
        </w:rPr>
        <w:t xml:space="preserve"> paveikslas.</w:t>
      </w:r>
      <w:r w:rsidR="00E410B0" w:rsidRPr="00650EE4">
        <w:rPr>
          <w:noProof w:val="0"/>
        </w:rPr>
        <w:t xml:space="preserve">. </w:t>
      </w:r>
      <w:r w:rsidR="00C815BF" w:rsidRPr="00650EE4">
        <w:rPr>
          <w:noProof w:val="0"/>
        </w:rPr>
        <w:t>Ekonominio</w:t>
      </w:r>
      <w:r w:rsidR="00FD0366" w:rsidRPr="00650EE4">
        <w:rPr>
          <w:noProof w:val="0"/>
        </w:rPr>
        <w:t xml:space="preserve"> efektyvumo </w:t>
      </w:r>
      <w:r w:rsidR="00C815BF" w:rsidRPr="00650EE4">
        <w:rPr>
          <w:noProof w:val="0"/>
        </w:rPr>
        <w:t>modeliavimo</w:t>
      </w:r>
      <w:r w:rsidR="00FD0366" w:rsidRPr="00650EE4">
        <w:rPr>
          <w:noProof w:val="0"/>
        </w:rPr>
        <w:t xml:space="preserve"> rezultatai</w:t>
      </w:r>
      <w:bookmarkEnd w:id="112"/>
      <w:r w:rsidR="00FD0366" w:rsidRPr="00650EE4">
        <w:rPr>
          <w:noProof w:val="0"/>
        </w:rPr>
        <w:t xml:space="preserve"> </w:t>
      </w:r>
    </w:p>
    <w:p w14:paraId="5B7271A7" w14:textId="5C46AFBD" w:rsidR="00E74E23" w:rsidRPr="00650EE4" w:rsidRDefault="006A5B6F" w:rsidP="00E74E23">
      <w:pPr>
        <w:pStyle w:val="BodyText"/>
        <w:jc w:val="both"/>
        <w:rPr>
          <w:rFonts w:ascii="Times New Roman" w:hAnsi="Times New Roman"/>
          <w:color w:val="000000" w:themeColor="text1"/>
          <w:sz w:val="24"/>
          <w:szCs w:val="24"/>
          <w:lang w:val="lt-LT"/>
        </w:rPr>
      </w:pPr>
      <w:r w:rsidRPr="00650EE4">
        <w:rPr>
          <w:rFonts w:ascii="Times New Roman" w:hAnsi="Times New Roman"/>
          <w:noProof/>
          <w:lang w:val="lt-LT" w:eastAsia="lt-LT"/>
        </w:rPr>
        <mc:AlternateContent>
          <mc:Choice Requires="wps">
            <w:drawing>
              <wp:anchor distT="0" distB="0" distL="114300" distR="114300" simplePos="0" relativeHeight="251815936" behindDoc="0" locked="0" layoutInCell="1" allowOverlap="1" wp14:anchorId="1E497220" wp14:editId="5985B257">
                <wp:simplePos x="0" y="0"/>
                <wp:positionH relativeFrom="column">
                  <wp:posOffset>4953679</wp:posOffset>
                </wp:positionH>
                <wp:positionV relativeFrom="paragraph">
                  <wp:posOffset>2038087</wp:posOffset>
                </wp:positionV>
                <wp:extent cx="323193" cy="109592"/>
                <wp:effectExtent l="0" t="0" r="1270" b="5080"/>
                <wp:wrapNone/>
                <wp:docPr id="20" name="Rectangle 20"/>
                <wp:cNvGraphicFramePr/>
                <a:graphic xmlns:a="http://schemas.openxmlformats.org/drawingml/2006/main">
                  <a:graphicData uri="http://schemas.microsoft.com/office/word/2010/wordprocessingShape">
                    <wps:wsp>
                      <wps:cNvSpPr/>
                      <wps:spPr bwMode="ltGray">
                        <a:xfrm>
                          <a:off x="0" y="0"/>
                          <a:ext cx="323193" cy="109592"/>
                        </a:xfrm>
                        <a:prstGeom prst="rect">
                          <a:avLst/>
                        </a:prstGeom>
                        <a:solidFill>
                          <a:srgbClr val="D9D9D9">
                            <a:alpha val="50196"/>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72730328" id="Rectangle 20" o:spid="_x0000_s1026" style="position:absolute;margin-left:390.05pt;margin-top:160.5pt;width:25.45pt;height:8.6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" fillcolor="#d9d9d9" stroked="f" strokeweight=".25pt">
                <v:fill opacity="32896f"/>
              </v:rect>
            </w:pict>
          </mc:Fallback>
        </mc:AlternateContent>
      </w:r>
      <w:r w:rsidRPr="00650EE4">
        <w:rPr>
          <w:rFonts w:ascii="Times New Roman" w:hAnsi="Times New Roman"/>
          <w:noProof/>
          <w:lang w:val="lt-LT" w:eastAsia="lt-LT"/>
        </w:rPr>
        <mc:AlternateContent>
          <mc:Choice Requires="wps">
            <w:drawing>
              <wp:anchor distT="0" distB="0" distL="114300" distR="114300" simplePos="0" relativeHeight="251813888" behindDoc="0" locked="0" layoutInCell="1" allowOverlap="1" wp14:anchorId="10832AAE" wp14:editId="7917A2A5">
                <wp:simplePos x="0" y="0"/>
                <wp:positionH relativeFrom="column">
                  <wp:posOffset>2478383</wp:posOffset>
                </wp:positionH>
                <wp:positionV relativeFrom="paragraph">
                  <wp:posOffset>91068</wp:posOffset>
                </wp:positionV>
                <wp:extent cx="536028" cy="2151993"/>
                <wp:effectExtent l="0" t="0" r="0" b="1270"/>
                <wp:wrapNone/>
                <wp:docPr id="11" name="Rectangle 11"/>
                <wp:cNvGraphicFramePr/>
                <a:graphic xmlns:a="http://schemas.openxmlformats.org/drawingml/2006/main">
                  <a:graphicData uri="http://schemas.microsoft.com/office/word/2010/wordprocessingShape">
                    <wps:wsp>
                      <wps:cNvSpPr/>
                      <wps:spPr bwMode="ltGray">
                        <a:xfrm>
                          <a:off x="0" y="0"/>
                          <a:ext cx="536028" cy="2151993"/>
                        </a:xfrm>
                        <a:prstGeom prst="rect">
                          <a:avLst/>
                        </a:prstGeom>
                        <a:solidFill>
                          <a:srgbClr val="D9D9D9">
                            <a:alpha val="50196"/>
                          </a:srgbClr>
                        </a:solidFill>
                        <a:ln w="31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271E3957" id="Rectangle 11" o:spid="_x0000_s1026" style="position:absolute;margin-left:195.15pt;margin-top:7.15pt;width:42.2pt;height:169.45pt;z-index:251813888;visibility:visible;mso-wrap-style:square;mso-wrap-distance-left:9pt;mso-wrap-distance-top:0;mso-wrap-distance-right:9pt;mso-wrap-distance-bottom:0;mso-position-horizontal:absolute;mso-position-horizontal-relative:text;mso-position-vertical:absolute;mso-position-vertical-relative:text;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" fillcolor="#d9d9d9" stroked="f" strokeweight=".25pt">
                <v:fill opacity="32896f"/>
              </v:rect>
            </w:pict>
          </mc:Fallback>
        </mc:AlternateContent>
      </w:r>
      <w:r w:rsidR="00426FFE" w:rsidRPr="00650EE4">
        <w:rPr>
          <w:rFonts w:ascii="Times New Roman" w:hAnsi="Times New Roman"/>
          <w:noProof/>
          <w:lang w:val="lt-LT" w:eastAsia="lt-LT"/>
        </w:rPr>
        <w:drawing>
          <wp:inline distT="0" distB="0" distL="0" distR="0" wp14:anchorId="1ED0C44C" wp14:editId="4A075AE5">
            <wp:extent cx="6088380" cy="2640842"/>
            <wp:effectExtent l="0" t="0" r="7620" b="7620"/>
            <wp:docPr id="90" name="Chart 90">
              <a:extLst xmlns:a="http://schemas.openxmlformats.org/drawingml/2006/main">
                <a:ext uri="{FF2B5EF4-FFF2-40B4-BE49-F238E27FC236}">
                  <a16:creationId xmlns:w15="http://schemas.microsoft.com/office/word/2012/wordml"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070821E-68B5-47EC-9C96-C226A2E635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2DCFD11" w14:textId="1FD55CF8" w:rsidR="00E410B0" w:rsidRPr="00650EE4" w:rsidRDefault="00E410B0" w:rsidP="00E410B0">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Šaltinis: Studijos</w:t>
      </w:r>
      <w:r w:rsidR="00D34A7B" w:rsidRPr="00D34A7B">
        <w:rPr>
          <w:rFonts w:ascii="Times New Roman" w:hAnsi="Times New Roman"/>
          <w:i/>
          <w:iCs/>
          <w:color w:val="auto"/>
          <w:sz w:val="20"/>
          <w:szCs w:val="20"/>
        </w:rPr>
        <w:t xml:space="preserve"> </w:t>
      </w:r>
      <w:r w:rsidR="00D34A7B">
        <w:rPr>
          <w:rFonts w:ascii="Times New Roman" w:hAnsi="Times New Roman"/>
          <w:i/>
          <w:iCs/>
          <w:color w:val="auto"/>
          <w:sz w:val="20"/>
          <w:szCs w:val="20"/>
        </w:rPr>
        <w:t>Lietuvos ilgalaikei renovacijos strategijai parengti</w:t>
      </w:r>
      <w:r w:rsidRPr="00650EE4">
        <w:rPr>
          <w:rFonts w:ascii="Times New Roman" w:eastAsia="Times New Roman" w:hAnsi="Times New Roman"/>
          <w:i/>
          <w:color w:val="000000" w:themeColor="text1"/>
          <w:sz w:val="20"/>
          <w:szCs w:val="28"/>
        </w:rPr>
        <w:t xml:space="preserve"> autoriai.</w:t>
      </w:r>
    </w:p>
    <w:p w14:paraId="5805C444" w14:textId="77777777" w:rsidR="008E14A3" w:rsidRDefault="008E14A3" w:rsidP="009A511C">
      <w:pPr>
        <w:spacing w:after="120"/>
        <w:rPr>
          <w:rFonts w:ascii="Times New Roman" w:hAnsi="Times New Roman"/>
          <w:color w:val="000000" w:themeColor="text1"/>
          <w:szCs w:val="22"/>
        </w:rPr>
      </w:pPr>
    </w:p>
    <w:p w14:paraId="754B700B" w14:textId="02B28F04" w:rsidR="009A511C" w:rsidRPr="00650EE4" w:rsidRDefault="009A511C" w:rsidP="009A511C">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CBCEE66" w14:textId="758D98B9" w:rsidR="009A511C" w:rsidRPr="00650EE4" w:rsidRDefault="008E14A3" w:rsidP="009A511C">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N</w:t>
      </w:r>
      <w:r w:rsidR="009A511C" w:rsidRPr="00650EE4">
        <w:rPr>
          <w:rFonts w:ascii="Times New Roman" w:hAnsi="Times New Roman"/>
          <w:color w:val="000000" w:themeColor="text1"/>
          <w:szCs w:val="22"/>
        </w:rPr>
        <w:t xml:space="preserve">et ir </w:t>
      </w:r>
      <w:r w:rsidR="00FF7BB6" w:rsidRPr="00650EE4">
        <w:rPr>
          <w:rFonts w:ascii="Times New Roman" w:hAnsi="Times New Roman"/>
          <w:color w:val="000000" w:themeColor="text1"/>
          <w:szCs w:val="22"/>
        </w:rPr>
        <w:t>konservatyviu vertinimu</w:t>
      </w:r>
      <w:r w:rsidR="009A511C" w:rsidRPr="00650EE4">
        <w:rPr>
          <w:rFonts w:ascii="Times New Roman" w:hAnsi="Times New Roman"/>
          <w:color w:val="000000" w:themeColor="text1"/>
          <w:szCs w:val="22"/>
        </w:rPr>
        <w:t xml:space="preserve"> ekonominės naudos viršija investicijų vertę net ir tolimiausiame taške (t.y. ekon</w:t>
      </w:r>
      <w:r w:rsidR="00F63A8F" w:rsidRPr="00650EE4">
        <w:rPr>
          <w:rFonts w:ascii="Times New Roman" w:hAnsi="Times New Roman"/>
          <w:color w:val="000000" w:themeColor="text1"/>
          <w:szCs w:val="22"/>
        </w:rPr>
        <w:t xml:space="preserve">omiškai atsiperka ir maksimalios renovacijos </w:t>
      </w:r>
      <w:r w:rsidR="009A511C" w:rsidRPr="00650EE4">
        <w:rPr>
          <w:rFonts w:ascii="Times New Roman" w:hAnsi="Times New Roman"/>
          <w:color w:val="000000" w:themeColor="text1"/>
          <w:szCs w:val="22"/>
        </w:rPr>
        <w:t>scenarijus)</w:t>
      </w:r>
      <w:r>
        <w:rPr>
          <w:rFonts w:ascii="Times New Roman" w:hAnsi="Times New Roman"/>
          <w:color w:val="000000" w:themeColor="text1"/>
          <w:szCs w:val="22"/>
        </w:rPr>
        <w:t>.</w:t>
      </w:r>
    </w:p>
    <w:p w14:paraId="1523AFF9" w14:textId="40F32434" w:rsidR="009A511C" w:rsidRPr="00650EE4" w:rsidRDefault="008E14A3" w:rsidP="008D4D5F">
      <w:pPr>
        <w:pStyle w:val="Pagrindinispaprastastekstas"/>
        <w:numPr>
          <w:ilvl w:val="0"/>
          <w:numId w:val="10"/>
        </w:numPr>
        <w:spacing w:after="60"/>
        <w:ind w:left="714" w:hanging="357"/>
        <w:rPr>
          <w:rFonts w:ascii="Times New Roman" w:hAnsi="Times New Roman"/>
          <w:color w:val="000000" w:themeColor="text1"/>
          <w:szCs w:val="22"/>
        </w:rPr>
      </w:pPr>
      <w:r>
        <w:rPr>
          <w:rFonts w:ascii="Times New Roman" w:hAnsi="Times New Roman"/>
          <w:color w:val="000000" w:themeColor="text1"/>
          <w:szCs w:val="22"/>
        </w:rPr>
        <w:t>D</w:t>
      </w:r>
      <w:r w:rsidR="009A511C" w:rsidRPr="00650EE4">
        <w:rPr>
          <w:rFonts w:ascii="Times New Roman" w:hAnsi="Times New Roman"/>
          <w:color w:val="000000" w:themeColor="text1"/>
          <w:szCs w:val="22"/>
        </w:rPr>
        <w:t xml:space="preserve">idžiausia ekonominė grąža (skirtumas tarp ekonominės naudos ir investicijų) </w:t>
      </w:r>
      <w:r w:rsidR="00C56A63" w:rsidRPr="00650EE4">
        <w:rPr>
          <w:rFonts w:ascii="Times New Roman" w:hAnsi="Times New Roman"/>
          <w:color w:val="000000" w:themeColor="text1"/>
          <w:szCs w:val="22"/>
        </w:rPr>
        <w:t xml:space="preserve">pastatų fondo lygmeniu </w:t>
      </w:r>
      <w:r w:rsidR="009A511C" w:rsidRPr="00650EE4">
        <w:rPr>
          <w:rFonts w:ascii="Times New Roman" w:hAnsi="Times New Roman"/>
          <w:color w:val="000000" w:themeColor="text1"/>
          <w:szCs w:val="22"/>
        </w:rPr>
        <w:t xml:space="preserve">yra </w:t>
      </w:r>
      <w:r w:rsidR="00F63A8F" w:rsidRPr="00650EE4">
        <w:rPr>
          <w:rFonts w:ascii="Times New Roman" w:hAnsi="Times New Roman"/>
          <w:color w:val="000000" w:themeColor="text1"/>
          <w:szCs w:val="22"/>
        </w:rPr>
        <w:t>45 – 55</w:t>
      </w:r>
      <w:r w:rsidR="00CB5ABD" w:rsidRPr="00650EE4">
        <w:rPr>
          <w:rFonts w:ascii="Times New Roman" w:hAnsi="Times New Roman"/>
          <w:color w:val="000000" w:themeColor="text1"/>
          <w:szCs w:val="22"/>
        </w:rPr>
        <w:t xml:space="preserve"> proc. energijos sutaupymų zonoje</w:t>
      </w:r>
      <w:r w:rsidR="0046606F" w:rsidRPr="00650EE4">
        <w:rPr>
          <w:rFonts w:ascii="Times New Roman" w:hAnsi="Times New Roman"/>
          <w:color w:val="000000" w:themeColor="text1"/>
          <w:szCs w:val="22"/>
        </w:rPr>
        <w:t xml:space="preserve">. </w:t>
      </w:r>
      <w:r w:rsidR="00C56A63" w:rsidRPr="00650EE4">
        <w:rPr>
          <w:rFonts w:ascii="Times New Roman" w:hAnsi="Times New Roman"/>
          <w:color w:val="000000" w:themeColor="text1"/>
          <w:szCs w:val="22"/>
        </w:rPr>
        <w:t>Modeliavimo rezultatai atskleidžia, kad š</w:t>
      </w:r>
      <w:r w:rsidR="0046606F" w:rsidRPr="00650EE4">
        <w:rPr>
          <w:rFonts w:ascii="Times New Roman" w:hAnsi="Times New Roman"/>
          <w:color w:val="000000" w:themeColor="text1"/>
          <w:szCs w:val="22"/>
        </w:rPr>
        <w:t>ioje zonoje</w:t>
      </w:r>
      <w:r w:rsidR="00CA0890" w:rsidRPr="00650EE4">
        <w:rPr>
          <w:rFonts w:ascii="Times New Roman" w:hAnsi="Times New Roman"/>
          <w:color w:val="000000" w:themeColor="text1"/>
          <w:szCs w:val="22"/>
        </w:rPr>
        <w:t xml:space="preserve"> ekonomiškai</w:t>
      </w:r>
      <w:r w:rsidR="00C56A63" w:rsidRPr="00650EE4">
        <w:rPr>
          <w:rFonts w:ascii="Times New Roman" w:hAnsi="Times New Roman"/>
          <w:color w:val="000000" w:themeColor="text1"/>
          <w:szCs w:val="22"/>
        </w:rPr>
        <w:t xml:space="preserve"> </w:t>
      </w:r>
      <w:r w:rsidR="00B8506E" w:rsidRPr="00650EE4">
        <w:rPr>
          <w:rFonts w:ascii="Times New Roman" w:hAnsi="Times New Roman"/>
          <w:color w:val="000000" w:themeColor="text1"/>
          <w:szCs w:val="22"/>
        </w:rPr>
        <w:t>efektyviausi</w:t>
      </w:r>
      <w:r w:rsidR="00C56A63" w:rsidRPr="00650EE4">
        <w:rPr>
          <w:rFonts w:ascii="Times New Roman" w:hAnsi="Times New Roman"/>
          <w:color w:val="000000" w:themeColor="text1"/>
          <w:szCs w:val="22"/>
        </w:rPr>
        <w:t xml:space="preserve"> renovacijos priemonių paketai yra:</w:t>
      </w:r>
    </w:p>
    <w:p w14:paraId="7C86EC94" w14:textId="4E100E48" w:rsidR="00D879E3" w:rsidRPr="00650EE4" w:rsidRDefault="008E14A3" w:rsidP="00BD4925">
      <w:pPr>
        <w:pStyle w:val="Pagrindinispaprastastekstas"/>
        <w:numPr>
          <w:ilvl w:val="1"/>
          <w:numId w:val="61"/>
        </w:numPr>
        <w:spacing w:after="60"/>
        <w:ind w:left="1134" w:hanging="283"/>
        <w:rPr>
          <w:rFonts w:ascii="Times New Roman" w:hAnsi="Times New Roman"/>
          <w:color w:val="000000" w:themeColor="text1"/>
          <w:szCs w:val="22"/>
        </w:rPr>
      </w:pPr>
      <w:r>
        <w:rPr>
          <w:rFonts w:ascii="Times New Roman" w:hAnsi="Times New Roman"/>
          <w:iCs/>
        </w:rPr>
        <w:t>r</w:t>
      </w:r>
      <w:r w:rsidR="0001270B" w:rsidRPr="00650EE4">
        <w:rPr>
          <w:rFonts w:ascii="Times New Roman" w:hAnsi="Times New Roman"/>
          <w:iCs/>
        </w:rPr>
        <w:t>enovacijos paketas Nr. 6: B klasė + Šilumos siurblys + Fotovoltiniai (FV) saulės elementai</w:t>
      </w:r>
      <w:r>
        <w:rPr>
          <w:rFonts w:ascii="Times New Roman" w:hAnsi="Times New Roman"/>
          <w:color w:val="000000" w:themeColor="text1"/>
          <w:szCs w:val="22"/>
        </w:rPr>
        <w:t>;</w:t>
      </w:r>
    </w:p>
    <w:p w14:paraId="375917AD" w14:textId="3A319DC2" w:rsidR="00164B8D" w:rsidRPr="00650EE4" w:rsidRDefault="008E14A3" w:rsidP="00BD4925">
      <w:pPr>
        <w:pStyle w:val="Pagrindinispaprastastekstas"/>
        <w:numPr>
          <w:ilvl w:val="1"/>
          <w:numId w:val="61"/>
        </w:numPr>
        <w:spacing w:after="60"/>
        <w:ind w:left="1134" w:hanging="283"/>
        <w:rPr>
          <w:rFonts w:ascii="Times New Roman" w:hAnsi="Times New Roman"/>
          <w:color w:val="000000" w:themeColor="text1"/>
          <w:szCs w:val="22"/>
        </w:rPr>
      </w:pPr>
      <w:r>
        <w:rPr>
          <w:rFonts w:ascii="Times New Roman" w:hAnsi="Times New Roman"/>
          <w:iCs/>
        </w:rPr>
        <w:t>r</w:t>
      </w:r>
      <w:r w:rsidR="00164B8D" w:rsidRPr="00650EE4">
        <w:rPr>
          <w:rFonts w:ascii="Times New Roman" w:hAnsi="Times New Roman"/>
          <w:iCs/>
        </w:rPr>
        <w:t>enovacijos paketas Nr.9: A klasė + Šilumos siurblys + Fotovoltiniai (FV) saulės elementai</w:t>
      </w:r>
      <w:r>
        <w:rPr>
          <w:rFonts w:ascii="Times New Roman" w:hAnsi="Times New Roman"/>
          <w:iCs/>
        </w:rPr>
        <w:t>.</w:t>
      </w:r>
    </w:p>
    <w:p w14:paraId="30EE9DEF" w14:textId="46603E7A" w:rsidR="00F63A8F" w:rsidRPr="00650EE4" w:rsidRDefault="00CB5ABD" w:rsidP="001B1683">
      <w:pPr>
        <w:pStyle w:val="Pagrindinispaprastastekstas"/>
        <w:numPr>
          <w:ilvl w:val="0"/>
          <w:numId w:val="10"/>
        </w:numPr>
        <w:spacing w:after="12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Atitinkamai, vertinama, kad abu šie paketai yra ekonomiškai efektyvus būdas transformuoti </w:t>
      </w:r>
      <w:r w:rsidR="0037040E">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fondą. </w:t>
      </w:r>
    </w:p>
    <w:p w14:paraId="74FCDAA1" w14:textId="77777777" w:rsidR="006558D8" w:rsidRPr="00650EE4" w:rsidRDefault="006558D8" w:rsidP="006558D8">
      <w:pPr>
        <w:pStyle w:val="Pagrindinispaprastastekstas"/>
        <w:ind w:left="714"/>
        <w:rPr>
          <w:rFonts w:ascii="Times New Roman" w:hAnsi="Times New Roman"/>
          <w:color w:val="000000" w:themeColor="text1"/>
          <w:szCs w:val="22"/>
        </w:rPr>
      </w:pPr>
    </w:p>
    <w:p w14:paraId="380133E0" w14:textId="417A8562" w:rsidR="00E74E23" w:rsidRPr="00650EE4" w:rsidRDefault="008A21C5" w:rsidP="00BF6DB0">
      <w:pPr>
        <w:pStyle w:val="Antrastes2"/>
        <w:numPr>
          <w:ilvl w:val="1"/>
          <w:numId w:val="4"/>
        </w:numPr>
        <w:pBdr>
          <w:bottom w:val="single" w:sz="4" w:space="2" w:color="auto"/>
        </w:pBdr>
        <w:spacing w:before="0"/>
        <w:ind w:left="576" w:hanging="576"/>
        <w:jc w:val="both"/>
        <w:rPr>
          <w:rFonts w:ascii="Times New Roman" w:hAnsi="Times New Roman"/>
          <w:color w:val="auto"/>
          <w:sz w:val="24"/>
          <w:szCs w:val="24"/>
          <w:lang w:val="lt-LT"/>
        </w:rPr>
      </w:pPr>
      <w:bookmarkStart w:id="113" w:name="_Toc47613716"/>
      <w:bookmarkStart w:id="114" w:name="_Toc59107534"/>
      <w:r w:rsidRPr="00650EE4">
        <w:rPr>
          <w:rFonts w:ascii="Times New Roman" w:hAnsi="Times New Roman"/>
          <w:color w:val="auto"/>
          <w:sz w:val="24"/>
          <w:szCs w:val="24"/>
          <w:lang w:val="lt-LT"/>
        </w:rPr>
        <w:t>Techniniai</w:t>
      </w:r>
      <w:r w:rsidR="00E74E23" w:rsidRPr="00650EE4">
        <w:rPr>
          <w:rFonts w:ascii="Times New Roman" w:hAnsi="Times New Roman"/>
          <w:color w:val="auto"/>
          <w:sz w:val="24"/>
          <w:szCs w:val="24"/>
          <w:lang w:val="lt-LT"/>
        </w:rPr>
        <w:t xml:space="preserve"> apribojimai</w:t>
      </w:r>
      <w:bookmarkEnd w:id="113"/>
      <w:bookmarkEnd w:id="114"/>
    </w:p>
    <w:p w14:paraId="4496CDDD" w14:textId="40142B33" w:rsidR="00EA28ED" w:rsidRPr="00650EE4" w:rsidRDefault="00613E6D"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Nustačius </w:t>
      </w:r>
      <w:r w:rsidR="00227BE4" w:rsidRPr="00650EE4">
        <w:rPr>
          <w:rFonts w:ascii="Times New Roman" w:hAnsi="Times New Roman"/>
          <w:color w:val="000000" w:themeColor="text1"/>
          <w:szCs w:val="22"/>
          <w:lang w:val="lt-LT"/>
        </w:rPr>
        <w:t>ekonomiškai</w:t>
      </w:r>
      <w:r w:rsidR="00E74E23" w:rsidRPr="00650EE4">
        <w:rPr>
          <w:rFonts w:ascii="Times New Roman" w:hAnsi="Times New Roman"/>
          <w:color w:val="000000" w:themeColor="text1"/>
          <w:szCs w:val="22"/>
          <w:lang w:val="lt-LT"/>
        </w:rPr>
        <w:t xml:space="preserve"> efektyviausią renovacijos priemonių paketą, papildomai </w:t>
      </w:r>
      <w:r w:rsidRPr="00650EE4">
        <w:rPr>
          <w:rFonts w:ascii="Times New Roman" w:hAnsi="Times New Roman"/>
          <w:color w:val="000000" w:themeColor="text1"/>
          <w:szCs w:val="22"/>
          <w:lang w:val="lt-LT"/>
        </w:rPr>
        <w:t xml:space="preserve">atlikta techninių </w:t>
      </w:r>
      <w:r w:rsidR="00E74E23" w:rsidRPr="00650EE4">
        <w:rPr>
          <w:rFonts w:ascii="Times New Roman" w:hAnsi="Times New Roman"/>
          <w:color w:val="000000" w:themeColor="text1"/>
          <w:szCs w:val="22"/>
          <w:lang w:val="lt-LT"/>
        </w:rPr>
        <w:t>įgyvendin</w:t>
      </w:r>
      <w:r w:rsidR="00EA28ED" w:rsidRPr="00650EE4">
        <w:rPr>
          <w:rFonts w:ascii="Times New Roman" w:hAnsi="Times New Roman"/>
          <w:color w:val="000000" w:themeColor="text1"/>
          <w:szCs w:val="22"/>
          <w:lang w:val="lt-LT"/>
        </w:rPr>
        <w:t xml:space="preserve">imo barjerų analizė, siekiant įvertinti ar nėra techninių (inžinerinių) apribojimų įgyvendinti numatytas renovacijos priemones. </w:t>
      </w:r>
    </w:p>
    <w:p w14:paraId="728810F2" w14:textId="77777777" w:rsidR="00EA28ED" w:rsidRPr="00650EE4" w:rsidRDefault="00EA28ED" w:rsidP="00E74E23">
      <w:pPr>
        <w:pStyle w:val="BodyText"/>
        <w:jc w:val="both"/>
        <w:rPr>
          <w:rFonts w:ascii="Times New Roman" w:hAnsi="Times New Roman"/>
          <w:color w:val="000000" w:themeColor="text1"/>
          <w:szCs w:val="22"/>
          <w:lang w:val="lt-LT"/>
        </w:rPr>
      </w:pPr>
    </w:p>
    <w:p w14:paraId="3A2BD9C5" w14:textId="68647FCF"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Nagrinėjant galimus techninius apribojimus, pastatai suskirstyti į individualius, daugiabučius, negyvenamuosius ir pramonės pastatus, atsižvelgiant į pastatų paskirtį, nuosavybę ir STR 2.02.01:2016 keliamus reikalavimus.</w:t>
      </w:r>
    </w:p>
    <w:p w14:paraId="3F4E20D9" w14:textId="77777777"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w:t>
      </w:r>
    </w:p>
    <w:p w14:paraId="334F0D35"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Individualūs namai</w:t>
      </w:r>
    </w:p>
    <w:p w14:paraId="608FBCB5" w14:textId="3F7F952B" w:rsidR="00E74E23" w:rsidRPr="00650EE4" w:rsidRDefault="00E74E23"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Individualūs namai gali susidurti su techniniais apribojimais siekiant aukščiausių energinio naudingumo klasių dėl pastato sandarumo neužtikrinimo. A+ ir A++ klasei taikomi gerokai aukštesni sandarumo reikalavimai, nei žemesnių klasių pastatams. Dažnu atveju senesnės paskirties pastatuose gali būti sunku pasiekti atitinkamus sandarumo reikalavimus, nes fiziškai neįmanoma užsandarinti kritinių vietų.</w:t>
      </w:r>
    </w:p>
    <w:p w14:paraId="05475C60" w14:textId="77777777" w:rsidR="00E74E23" w:rsidRPr="00650EE4" w:rsidRDefault="00E74E23" w:rsidP="00E74E23">
      <w:pPr>
        <w:pStyle w:val="BodyText"/>
        <w:jc w:val="both"/>
        <w:rPr>
          <w:rFonts w:ascii="Times New Roman" w:hAnsi="Times New Roman"/>
          <w:color w:val="000000" w:themeColor="text1"/>
          <w:szCs w:val="22"/>
          <w:lang w:val="lt-LT"/>
        </w:rPr>
      </w:pPr>
    </w:p>
    <w:p w14:paraId="1DAF8294"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Daugiabučiai</w:t>
      </w:r>
    </w:p>
    <w:p w14:paraId="05D79537" w14:textId="66A523A9" w:rsidR="00E74E23" w:rsidRPr="00650EE4" w:rsidRDefault="00525A5A"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Daugiabučių paskirties pastatuose su kliūtimis galima susidurti jau siekiant ir B energinio naudingumo klasės – dėl karšto vandens sistemos modernizavimo ir vamzdynų keitimo. Vamzdynų keitimas butuose gali pareikalauti daug derinimo su gyventojais. Siekiant aukštesnių </w:t>
      </w:r>
      <w:r w:rsidR="0064125B" w:rsidRPr="00650EE4">
        <w:rPr>
          <w:rFonts w:ascii="Times New Roman" w:hAnsi="Times New Roman"/>
          <w:color w:val="000000" w:themeColor="text1"/>
          <w:szCs w:val="22"/>
          <w:lang w:val="lt-LT"/>
        </w:rPr>
        <w:t>ENK</w:t>
      </w:r>
      <w:r w:rsidRPr="00650EE4">
        <w:rPr>
          <w:rFonts w:ascii="Times New Roman" w:hAnsi="Times New Roman"/>
          <w:color w:val="000000" w:themeColor="text1"/>
          <w:szCs w:val="22"/>
          <w:lang w:val="lt-LT"/>
        </w:rPr>
        <w:t xml:space="preserve"> taip pat reikalingas visų balkonų stiklinimas bei langų keitimas. Kadangi dalis gyventojų jau yra pasikeitę langus, praktika rodo, jog sudėtinga gyventojus vėl įtikinti mokėti už langų keitimą, tačiau siekiant pastatą sertifikuoti A klasei, kiekvienam langui reikalinga gamintojo teikiama eksploatacinių savybių deklaracija. Kai kuriais atvejais sudėtinga apšiltinti pastato atitvaras dėl storesnio šiluminės izoliacijos sluoksnio, nes atsiranda papildomos techninės ir estetinės problemos, pvz., lango įgilinimas. Kaip ir </w:t>
      </w:r>
      <w:r w:rsidRPr="00650EE4">
        <w:rPr>
          <w:rFonts w:ascii="Times New Roman" w:hAnsi="Times New Roman"/>
          <w:color w:val="000000" w:themeColor="text1"/>
          <w:szCs w:val="22"/>
          <w:lang w:val="lt-LT"/>
        </w:rPr>
        <w:lastRenderedPageBreak/>
        <w:t xml:space="preserve">individualiuose namuose, A+ ir A++ klasei taikomi gerokai aukštesni sandarumo reikalavimai, nei žemesnių klasių pastatams. </w:t>
      </w:r>
      <w:r w:rsidR="005A5722" w:rsidRPr="00650EE4">
        <w:rPr>
          <w:rFonts w:ascii="Times New Roman" w:hAnsi="Times New Roman"/>
          <w:color w:val="000000" w:themeColor="text1"/>
          <w:szCs w:val="22"/>
          <w:lang w:val="lt-LT"/>
        </w:rPr>
        <w:t xml:space="preserve">Taip pat senesniuose pastatuose </w:t>
      </w:r>
      <w:r w:rsidRPr="00650EE4">
        <w:rPr>
          <w:rFonts w:ascii="Times New Roman" w:hAnsi="Times New Roman"/>
          <w:color w:val="000000" w:themeColor="text1"/>
          <w:szCs w:val="22"/>
          <w:lang w:val="lt-LT"/>
        </w:rPr>
        <w:t xml:space="preserve">gali būti </w:t>
      </w:r>
      <w:r w:rsidR="005A5722" w:rsidRPr="00650EE4">
        <w:rPr>
          <w:rFonts w:ascii="Times New Roman" w:hAnsi="Times New Roman"/>
          <w:color w:val="000000" w:themeColor="text1"/>
          <w:szCs w:val="22"/>
          <w:lang w:val="lt-LT"/>
        </w:rPr>
        <w:t>techniškai sudėtinga</w:t>
      </w:r>
      <w:r w:rsidRPr="00650EE4">
        <w:rPr>
          <w:rFonts w:ascii="Times New Roman" w:hAnsi="Times New Roman"/>
          <w:color w:val="000000" w:themeColor="text1"/>
          <w:szCs w:val="22"/>
          <w:lang w:val="lt-LT"/>
        </w:rPr>
        <w:t xml:space="preserve"> pasiekti </w:t>
      </w:r>
      <w:r w:rsidR="005A5722" w:rsidRPr="00650EE4">
        <w:rPr>
          <w:rFonts w:ascii="Times New Roman" w:hAnsi="Times New Roman"/>
          <w:color w:val="000000" w:themeColor="text1"/>
          <w:szCs w:val="22"/>
          <w:lang w:val="lt-LT"/>
        </w:rPr>
        <w:t xml:space="preserve">keliamus </w:t>
      </w:r>
      <w:r w:rsidRPr="00650EE4">
        <w:rPr>
          <w:rFonts w:ascii="Times New Roman" w:hAnsi="Times New Roman"/>
          <w:color w:val="000000" w:themeColor="text1"/>
          <w:szCs w:val="22"/>
          <w:lang w:val="lt-LT"/>
        </w:rPr>
        <w:t>sandarumo reikalavimus</w:t>
      </w:r>
      <w:r w:rsidR="00E74E23" w:rsidRPr="00650EE4">
        <w:rPr>
          <w:rFonts w:ascii="Times New Roman" w:hAnsi="Times New Roman"/>
          <w:color w:val="000000" w:themeColor="text1"/>
          <w:szCs w:val="22"/>
          <w:lang w:val="lt-LT"/>
        </w:rPr>
        <w:t>.</w:t>
      </w:r>
    </w:p>
    <w:p w14:paraId="3A8407F8" w14:textId="77777777" w:rsidR="00E74E23" w:rsidRPr="00E86726" w:rsidRDefault="00E74E23" w:rsidP="00E74E23">
      <w:pPr>
        <w:pStyle w:val="BodyText"/>
        <w:jc w:val="both"/>
        <w:rPr>
          <w:rFonts w:ascii="Times New Roman" w:hAnsi="Times New Roman"/>
          <w:color w:val="000000" w:themeColor="text1"/>
          <w:sz w:val="12"/>
          <w:szCs w:val="22"/>
          <w:lang w:val="lt-LT"/>
        </w:rPr>
      </w:pPr>
    </w:p>
    <w:p w14:paraId="76327647" w14:textId="77777777" w:rsidR="00E74E23" w:rsidRPr="00650EE4" w:rsidRDefault="00E74E23" w:rsidP="00613E6D">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Kiti negyvenamieji pastatai</w:t>
      </w:r>
    </w:p>
    <w:p w14:paraId="0DE02394" w14:textId="5B47D0D4" w:rsidR="00E74E23" w:rsidRPr="00650EE4" w:rsidRDefault="00A27E0A" w:rsidP="00E74E2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Iš dabar egzistuojančios praktikos matyti, jog </w:t>
      </w:r>
      <w:r w:rsidR="00D34A7B">
        <w:rPr>
          <w:rFonts w:ascii="Times New Roman" w:hAnsi="Times New Roman"/>
          <w:color w:val="000000" w:themeColor="text1"/>
          <w:szCs w:val="22"/>
          <w:lang w:val="lt-LT"/>
        </w:rPr>
        <w:t xml:space="preserve">įgyvendinant viešųjų </w:t>
      </w:r>
      <w:r w:rsidRPr="00650EE4">
        <w:rPr>
          <w:rFonts w:ascii="Times New Roman" w:hAnsi="Times New Roman"/>
          <w:color w:val="000000" w:themeColor="text1"/>
          <w:szCs w:val="22"/>
          <w:lang w:val="lt-LT"/>
        </w:rPr>
        <w:t>negyvenamosios paskirties pastat</w:t>
      </w:r>
      <w:r w:rsidR="00D34A7B">
        <w:rPr>
          <w:rFonts w:ascii="Times New Roman" w:hAnsi="Times New Roman"/>
          <w:color w:val="000000" w:themeColor="text1"/>
          <w:szCs w:val="22"/>
          <w:lang w:val="lt-LT"/>
        </w:rPr>
        <w:t>ų</w:t>
      </w:r>
      <w:r w:rsidR="00426FFE">
        <w:rPr>
          <w:rFonts w:ascii="Times New Roman" w:hAnsi="Times New Roman"/>
          <w:color w:val="000000" w:themeColor="text1"/>
          <w:szCs w:val="22"/>
          <w:lang w:val="lt-LT"/>
        </w:rPr>
        <w:t xml:space="preserve"> (administraciniai, mokslo, gydymo, kultūros, viešbučių, paslaugų prekybos, maitinimo, poilsio, specialioji, sporto, t</w:t>
      </w:r>
      <w:r w:rsidRPr="00650EE4">
        <w:rPr>
          <w:rFonts w:ascii="Times New Roman" w:hAnsi="Times New Roman"/>
          <w:color w:val="000000" w:themeColor="text1"/>
          <w:szCs w:val="22"/>
          <w:lang w:val="lt-LT"/>
        </w:rPr>
        <w:t xml:space="preserve">ransporto) </w:t>
      </w:r>
      <w:r w:rsidR="00D34A7B">
        <w:rPr>
          <w:rFonts w:ascii="Times New Roman" w:hAnsi="Times New Roman"/>
          <w:color w:val="000000" w:themeColor="text1"/>
          <w:szCs w:val="22"/>
          <w:lang w:val="lt-LT"/>
        </w:rPr>
        <w:t>renovacijos projektus dažnu atveju</w:t>
      </w:r>
      <w:r w:rsidRPr="00650EE4">
        <w:rPr>
          <w:rFonts w:ascii="Times New Roman" w:hAnsi="Times New Roman"/>
          <w:color w:val="000000" w:themeColor="text1"/>
          <w:szCs w:val="22"/>
          <w:lang w:val="lt-LT"/>
        </w:rPr>
        <w:t xml:space="preserve"> siekiama C, o ne B klasės tik todėl, kad patiriama sunkumų </w:t>
      </w:r>
      <w:r w:rsidR="00D34A7B">
        <w:rPr>
          <w:rFonts w:ascii="Times New Roman" w:hAnsi="Times New Roman"/>
          <w:color w:val="000000" w:themeColor="text1"/>
          <w:szCs w:val="22"/>
          <w:lang w:val="lt-LT"/>
        </w:rPr>
        <w:t>visiškai</w:t>
      </w:r>
      <w:r w:rsidR="00D34A7B"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renovuojant karšto vandens ir šildymo vamzdynus. Siekiant aukštesnių energinio naudingumo klasių taip pat reikalingas visų balkonų stiklinimas bei langų keitimas. Kai kuriais atvejais sudėtingiau apšiltinti pastato atitvaras dėl storesnio šiluminės izoliacijos sluoksnio, nes atsiranda papildomos techninės ir estetinės problemos, pvz., lango įgilinimas. Kaip ir anksčiau minėta, A+ ir A++ klasei taikomi gerokai aukštesni sandarumo reikalavimai, nei žemesnių klasių pastatams. </w:t>
      </w:r>
      <w:r w:rsidR="005A5722" w:rsidRPr="00650EE4">
        <w:rPr>
          <w:rFonts w:ascii="Times New Roman" w:hAnsi="Times New Roman"/>
          <w:color w:val="000000" w:themeColor="text1"/>
          <w:szCs w:val="22"/>
          <w:lang w:val="lt-LT"/>
        </w:rPr>
        <w:t>Taip pat senesniuose pastatuose gali būti techniškai sudėtinga pasiekti keliamus sandarumo reikalavimus</w:t>
      </w:r>
      <w:r w:rsidRPr="00650EE4">
        <w:rPr>
          <w:rFonts w:ascii="Times New Roman" w:hAnsi="Times New Roman"/>
          <w:color w:val="000000" w:themeColor="text1"/>
          <w:szCs w:val="22"/>
          <w:lang w:val="lt-LT"/>
        </w:rPr>
        <w:t>. Užsandarinus pastatą iki A+ ar A+</w:t>
      </w:r>
      <w:r w:rsidR="007C661D"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klasės reikalavimų būtina gerinti arba įdiegti naujas vėdinimo sistemas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Dėl pastatų savybių (pvz., lubų aukščio), kai kuriuose pastatuose įrengti kokybišką ir estetiškai priimtiną vėdinimo sistemą su </w:t>
      </w:r>
      <w:proofErr w:type="spellStart"/>
      <w:r w:rsidRPr="00650EE4">
        <w:rPr>
          <w:rFonts w:ascii="Times New Roman" w:hAnsi="Times New Roman"/>
          <w:color w:val="000000" w:themeColor="text1"/>
          <w:szCs w:val="22"/>
          <w:lang w:val="lt-LT"/>
        </w:rPr>
        <w:t>rekuperacija</w:t>
      </w:r>
      <w:proofErr w:type="spellEnd"/>
      <w:r w:rsidRPr="00650EE4">
        <w:rPr>
          <w:rFonts w:ascii="Times New Roman" w:hAnsi="Times New Roman"/>
          <w:color w:val="000000" w:themeColor="text1"/>
          <w:szCs w:val="22"/>
          <w:lang w:val="lt-LT"/>
        </w:rPr>
        <w:t xml:space="preserve"> neįmanoma. Nors egzistuoja vėdinimo sprendimai per sieną, tačiau tokio tipo sistemos dažniau taikomos daugiabučiams, ir netinka pastatams, kuriems reikalinga tiekti didelius oro kiekius</w:t>
      </w:r>
      <w:r w:rsidR="00E74E23" w:rsidRPr="00650EE4">
        <w:rPr>
          <w:rFonts w:ascii="Times New Roman" w:hAnsi="Times New Roman"/>
          <w:color w:val="000000" w:themeColor="text1"/>
          <w:szCs w:val="22"/>
          <w:lang w:val="lt-LT"/>
        </w:rPr>
        <w:t>.</w:t>
      </w:r>
    </w:p>
    <w:p w14:paraId="6AC18B6D" w14:textId="77777777" w:rsidR="00E74E23" w:rsidRPr="00E86726" w:rsidRDefault="00E74E23" w:rsidP="00E74E23">
      <w:pPr>
        <w:pStyle w:val="BodyText"/>
        <w:jc w:val="both"/>
        <w:rPr>
          <w:rFonts w:ascii="Times New Roman" w:hAnsi="Times New Roman"/>
          <w:color w:val="000000" w:themeColor="text1"/>
          <w:sz w:val="12"/>
          <w:szCs w:val="22"/>
          <w:lang w:val="lt-LT"/>
        </w:rPr>
      </w:pPr>
    </w:p>
    <w:p w14:paraId="1E0ECA50" w14:textId="095D72CC" w:rsidR="00E74E23" w:rsidRPr="00650EE4" w:rsidRDefault="00E74E23" w:rsidP="006918F0">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Pramonės pastatai</w:t>
      </w:r>
    </w:p>
    <w:p w14:paraId="5587F227" w14:textId="5AA3250E" w:rsidR="005F1556" w:rsidRPr="00650EE4" w:rsidRDefault="00E74E23" w:rsidP="000075BF">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Pramonės pastatai nesusiduria su reikšmingais techniniais apribojimais, nes šiems pastatams nėra keliami </w:t>
      </w:r>
      <w:r w:rsidR="00795028" w:rsidRPr="00650EE4">
        <w:rPr>
          <w:rFonts w:ascii="Times New Roman" w:hAnsi="Times New Roman"/>
          <w:color w:val="000000" w:themeColor="text1"/>
          <w:szCs w:val="22"/>
          <w:lang w:val="lt-LT"/>
        </w:rPr>
        <w:t xml:space="preserve">norminiai </w:t>
      </w:r>
      <w:r w:rsidRPr="00650EE4">
        <w:rPr>
          <w:rFonts w:ascii="Times New Roman" w:hAnsi="Times New Roman"/>
          <w:color w:val="000000" w:themeColor="text1"/>
          <w:szCs w:val="22"/>
          <w:lang w:val="lt-LT"/>
        </w:rPr>
        <w:t>sandarumo reikalavimai.</w:t>
      </w:r>
    </w:p>
    <w:p w14:paraId="6855E581" w14:textId="4489DCB3" w:rsidR="0064125B" w:rsidRPr="00E86726" w:rsidRDefault="0064125B" w:rsidP="000075BF">
      <w:pPr>
        <w:pStyle w:val="BodyText"/>
        <w:jc w:val="both"/>
        <w:rPr>
          <w:rFonts w:ascii="Times New Roman" w:hAnsi="Times New Roman"/>
          <w:color w:val="000000" w:themeColor="text1"/>
          <w:sz w:val="12"/>
          <w:szCs w:val="22"/>
          <w:lang w:val="lt-LT"/>
        </w:rPr>
      </w:pPr>
    </w:p>
    <w:p w14:paraId="77E492CB" w14:textId="568DBBAE" w:rsidR="007D500D" w:rsidRPr="00650EE4" w:rsidRDefault="007D500D" w:rsidP="000075BF">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Apibendrinant galima teigti, kad reikšmingų techninių apribojimų, renovuojant pastatus iki A ir B e</w:t>
      </w:r>
      <w:r w:rsidR="00B219C4" w:rsidRPr="00650EE4">
        <w:rPr>
          <w:rFonts w:ascii="Times New Roman" w:hAnsi="Times New Roman"/>
          <w:color w:val="000000" w:themeColor="text1"/>
          <w:szCs w:val="22"/>
          <w:lang w:val="lt-LT"/>
        </w:rPr>
        <w:t>nerginio naudingumo klasių, neidentifikuota</w:t>
      </w:r>
      <w:r w:rsidRPr="00650EE4">
        <w:rPr>
          <w:rFonts w:ascii="Times New Roman" w:hAnsi="Times New Roman"/>
          <w:color w:val="000000" w:themeColor="text1"/>
          <w:szCs w:val="22"/>
          <w:lang w:val="lt-LT"/>
        </w:rPr>
        <w:t>.</w:t>
      </w:r>
    </w:p>
    <w:p w14:paraId="397707FD" w14:textId="77777777" w:rsidR="00C95543" w:rsidRPr="00650EE4" w:rsidRDefault="00C95543" w:rsidP="00196396">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15" w:name="_Toc59107535"/>
      <w:r w:rsidRPr="00650EE4">
        <w:rPr>
          <w:rFonts w:ascii="Times New Roman" w:hAnsi="Times New Roman"/>
          <w:color w:val="auto"/>
          <w:sz w:val="24"/>
          <w:szCs w:val="24"/>
          <w:lang w:val="lt-LT"/>
        </w:rPr>
        <w:t>Inicijavimo momentas</w:t>
      </w:r>
      <w:bookmarkEnd w:id="115"/>
    </w:p>
    <w:p w14:paraId="267A56B2" w14:textId="65A94C6C"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Svarbus renovacijos proceso elementas – tinkamo renovacijos inicijavimo momento identifikavimas. Tipiniai renovacijos inicijavimo momentai</w:t>
      </w:r>
      <w:r w:rsidR="00E16805" w:rsidRPr="00650EE4">
        <w:rPr>
          <w:rFonts w:ascii="Times New Roman" w:hAnsi="Times New Roman"/>
          <w:color w:val="000000" w:themeColor="text1"/>
          <w:szCs w:val="22"/>
          <w:lang w:val="lt-LT"/>
        </w:rPr>
        <w:t xml:space="preserve"> yra</w:t>
      </w:r>
      <w:r w:rsidRPr="00650EE4">
        <w:rPr>
          <w:rFonts w:ascii="Times New Roman" w:hAnsi="Times New Roman"/>
          <w:color w:val="000000" w:themeColor="text1"/>
          <w:szCs w:val="22"/>
          <w:lang w:val="lt-LT"/>
        </w:rPr>
        <w:t xml:space="preserve">: sandoris (pvz., pastato pardavimas, naudojimo paskirties pakeitimas ir pan., renovacija (pvz., </w:t>
      </w:r>
      <w:r w:rsidR="00111537">
        <w:rPr>
          <w:rFonts w:ascii="Times New Roman" w:hAnsi="Times New Roman"/>
          <w:color w:val="000000" w:themeColor="text1"/>
          <w:szCs w:val="22"/>
          <w:lang w:val="lt-LT"/>
        </w:rPr>
        <w:t xml:space="preserve">savininko </w:t>
      </w:r>
      <w:r w:rsidRPr="00650EE4">
        <w:rPr>
          <w:rFonts w:ascii="Times New Roman" w:hAnsi="Times New Roman"/>
          <w:color w:val="000000" w:themeColor="text1"/>
          <w:szCs w:val="22"/>
          <w:lang w:val="lt-LT"/>
        </w:rPr>
        <w:t>jau suplanuota</w:t>
      </w:r>
      <w:r w:rsidR="00111537">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w:t>
      </w:r>
      <w:r w:rsidR="00111537">
        <w:rPr>
          <w:rFonts w:ascii="Times New Roman" w:hAnsi="Times New Roman"/>
          <w:color w:val="000000" w:themeColor="text1"/>
          <w:szCs w:val="22"/>
          <w:lang w:val="lt-LT"/>
        </w:rPr>
        <w:t>pastato techninės būklės pagerinimas, atstatymas</w:t>
      </w:r>
      <w:r w:rsidRPr="00650EE4">
        <w:rPr>
          <w:rFonts w:ascii="Times New Roman" w:hAnsi="Times New Roman"/>
          <w:color w:val="000000" w:themeColor="text1"/>
          <w:szCs w:val="22"/>
          <w:lang w:val="lt-LT"/>
        </w:rPr>
        <w:t>), nelaimė/incidentas (pvz., gaisras, žemės drebėjimas, potvynis).</w:t>
      </w:r>
    </w:p>
    <w:p w14:paraId="2ABF5F91" w14:textId="77777777" w:rsidR="002B3426" w:rsidRPr="00E86726" w:rsidRDefault="002B3426" w:rsidP="002B3426">
      <w:pPr>
        <w:pStyle w:val="BodyText"/>
        <w:jc w:val="both"/>
        <w:rPr>
          <w:rFonts w:ascii="Times New Roman" w:hAnsi="Times New Roman"/>
          <w:color w:val="000000" w:themeColor="text1"/>
          <w:sz w:val="12"/>
          <w:szCs w:val="22"/>
          <w:lang w:val="lt-LT"/>
        </w:rPr>
      </w:pPr>
    </w:p>
    <w:p w14:paraId="0AC21066" w14:textId="527C7040"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Atsižvelgiant į Lietuvos gyventojų norą renovuotis ir atnaujinti savo būstą savarankiškai (žr. </w:t>
      </w:r>
      <w:r w:rsidR="00D34A7B">
        <w:rPr>
          <w:rFonts w:ascii="Times New Roman" w:hAnsi="Times New Roman"/>
          <w:color w:val="000000" w:themeColor="text1"/>
          <w:szCs w:val="22"/>
        </w:rPr>
        <w:t>1</w:t>
      </w:r>
      <w:r w:rsidRPr="00650EE4">
        <w:rPr>
          <w:rFonts w:ascii="Times New Roman" w:hAnsi="Times New Roman"/>
          <w:color w:val="000000" w:themeColor="text1"/>
          <w:szCs w:val="22"/>
          <w:lang w:val="lt-LT"/>
        </w:rPr>
        <w:t xml:space="preserve">.4.4 skyrių), vienas reikšmingiausių inicijavimo momentų – pastatų atnaujinimas dėl kitų (su energijos taupymu nesusijusių) priežasčių. Europos komisijos užsakymu atliktas „Išsamus pastatų renovacijos ir beveik energijos </w:t>
      </w:r>
      <w:r w:rsidR="00781599" w:rsidRPr="00650EE4">
        <w:rPr>
          <w:rFonts w:ascii="Times New Roman" w:hAnsi="Times New Roman"/>
          <w:color w:val="000000" w:themeColor="text1"/>
          <w:szCs w:val="22"/>
          <w:lang w:val="lt-LT"/>
        </w:rPr>
        <w:t>nevartojančių</w:t>
      </w:r>
      <w:r w:rsidRPr="00650EE4">
        <w:rPr>
          <w:rFonts w:ascii="Times New Roman" w:hAnsi="Times New Roman"/>
          <w:color w:val="000000" w:themeColor="text1"/>
          <w:szCs w:val="22"/>
          <w:lang w:val="lt-LT"/>
        </w:rPr>
        <w:t xml:space="preserve"> pastatų plėtros ES tyrimas“</w:t>
      </w:r>
      <w:r w:rsidRPr="00650EE4">
        <w:rPr>
          <w:rFonts w:ascii="Times New Roman" w:hAnsi="Times New Roman"/>
          <w:szCs w:val="22"/>
          <w:vertAlign w:val="superscript"/>
          <w:lang w:val="lt-LT"/>
        </w:rPr>
        <w:footnoteReference w:id="14"/>
      </w:r>
      <w:r w:rsidRPr="00650EE4">
        <w:rPr>
          <w:rFonts w:ascii="Times New Roman" w:hAnsi="Times New Roman"/>
          <w:color w:val="000000" w:themeColor="text1"/>
          <w:szCs w:val="22"/>
          <w:lang w:val="lt-LT"/>
        </w:rPr>
        <w:t xml:space="preserve"> atskleidžia, kad šiuo metu tik ketvirtadalis pastatų atnaujinimo darbų apima su energijos taupymu susijusias priemones. Tuo tarpu daugiau nei 90 proc. renovacijos darbų atliekama įtraukiant papildomus (ne tik su energiniu efektyvumu susijusius) pastatų atnaujinimo darbus, t.y. tik 10 proc. renovacijos atvejų vykdomi išskirtinai su energijos taupymu susiję darbai (žr. paveikslą žemiau).</w:t>
      </w:r>
    </w:p>
    <w:p w14:paraId="51FBE0E9" w14:textId="77777777" w:rsidR="002B3426" w:rsidRPr="00E86726" w:rsidRDefault="002B3426" w:rsidP="002B3426">
      <w:pPr>
        <w:pStyle w:val="BodyText"/>
        <w:jc w:val="both"/>
        <w:rPr>
          <w:rFonts w:ascii="Times New Roman" w:hAnsi="Times New Roman"/>
          <w:color w:val="000000" w:themeColor="text1"/>
          <w:sz w:val="14"/>
          <w:szCs w:val="22"/>
          <w:lang w:val="lt-LT"/>
        </w:rPr>
      </w:pPr>
    </w:p>
    <w:p w14:paraId="1005F4D6" w14:textId="77777777" w:rsidR="00E86726" w:rsidRDefault="00E86726">
      <w:pPr>
        <w:spacing w:after="240"/>
        <w:rPr>
          <w:rFonts w:ascii="Times New Roman" w:eastAsiaTheme="minorHAnsi" w:hAnsi="Times New Roman"/>
          <w:bCs/>
          <w:i/>
          <w:color w:val="000000" w:themeColor="text1"/>
          <w:sz w:val="20"/>
          <w:szCs w:val="20"/>
        </w:rPr>
      </w:pPr>
      <w:r>
        <w:br w:type="page"/>
      </w:r>
    </w:p>
    <w:p w14:paraId="46F02BE7" w14:textId="69161A90" w:rsidR="002B3426" w:rsidRPr="00650EE4" w:rsidRDefault="002B3426"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16" w:name="_Toc59094267"/>
      <w:r w:rsidR="00F25C65">
        <w:t>18</w:t>
      </w:r>
      <w:r w:rsidRPr="00650EE4">
        <w:rPr>
          <w:noProof w:val="0"/>
        </w:rPr>
        <w:fldChar w:fldCharType="end"/>
      </w:r>
      <w:r w:rsidRPr="00650EE4">
        <w:rPr>
          <w:noProof w:val="0"/>
        </w:rPr>
        <w:t xml:space="preserve"> paveikslas. Energiją taupančių priemonių panaudojimas pastatų atnaujinime</w:t>
      </w:r>
      <w:bookmarkEnd w:id="116"/>
      <w:r w:rsidRPr="00650EE4">
        <w:rPr>
          <w:noProof w:val="0"/>
        </w:rPr>
        <w:t xml:space="preserve"> </w:t>
      </w:r>
    </w:p>
    <w:p w14:paraId="06D10DEB" w14:textId="09694300" w:rsidR="002B3426" w:rsidRPr="00650EE4" w:rsidRDefault="002E4AB5" w:rsidP="002B3426">
      <w:pPr>
        <w:pStyle w:val="BodyText"/>
        <w:jc w:val="both"/>
        <w:rPr>
          <w:rFonts w:ascii="Times New Roman" w:hAnsi="Times New Roman"/>
          <w:color w:val="000000" w:themeColor="text1"/>
          <w:szCs w:val="22"/>
          <w:lang w:val="lt-LT"/>
        </w:rPr>
      </w:pPr>
      <w:r w:rsidRPr="00650EE4">
        <w:rPr>
          <w:rFonts w:ascii="Times New Roman" w:hAnsi="Times New Roman"/>
          <w:noProof/>
          <w:color w:val="000000" w:themeColor="text1"/>
          <w:szCs w:val="22"/>
          <w:lang w:val="lt-LT" w:eastAsia="lt-LT"/>
        </w:rPr>
        <w:drawing>
          <wp:inline distT="0" distB="0" distL="0" distR="0" wp14:anchorId="68F94921" wp14:editId="2A84F615">
            <wp:extent cx="3767328" cy="2016320"/>
            <wp:effectExtent l="19050" t="19050" r="24130" b="222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91987" cy="2029518"/>
                    </a:xfrm>
                    <a:prstGeom prst="rect">
                      <a:avLst/>
                    </a:prstGeom>
                    <a:noFill/>
                    <a:ln>
                      <a:solidFill>
                        <a:schemeClr val="tx1"/>
                      </a:solidFill>
                    </a:ln>
                  </pic:spPr>
                </pic:pic>
              </a:graphicData>
            </a:graphic>
          </wp:inline>
        </w:drawing>
      </w:r>
    </w:p>
    <w:p w14:paraId="1D0FB169" w14:textId="67C48478" w:rsidR="002B3426" w:rsidRPr="00650EE4" w:rsidRDefault="002B3426" w:rsidP="002B3426">
      <w:pPr>
        <w:spacing w:before="60"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Išsamus pastatų renovacijos ir beveik energijos </w:t>
      </w:r>
      <w:r w:rsidR="00781599" w:rsidRPr="00650EE4">
        <w:rPr>
          <w:rFonts w:ascii="Times New Roman" w:eastAsia="Times New Roman" w:hAnsi="Times New Roman"/>
          <w:i/>
          <w:color w:val="000000" w:themeColor="text1"/>
          <w:sz w:val="20"/>
          <w:szCs w:val="28"/>
        </w:rPr>
        <w:t>nevartojančių</w:t>
      </w:r>
      <w:r w:rsidRPr="00650EE4">
        <w:rPr>
          <w:rFonts w:ascii="Times New Roman" w:eastAsia="Times New Roman" w:hAnsi="Times New Roman"/>
          <w:i/>
          <w:color w:val="000000" w:themeColor="text1"/>
          <w:sz w:val="20"/>
          <w:szCs w:val="28"/>
        </w:rPr>
        <w:t xml:space="preserve"> pastatų plėtros ES tyrimas</w:t>
      </w:r>
    </w:p>
    <w:p w14:paraId="7E15D618" w14:textId="77777777" w:rsidR="002B3426" w:rsidRPr="00650EE4" w:rsidRDefault="002B3426" w:rsidP="002B3426">
      <w:pPr>
        <w:pStyle w:val="BodyText"/>
        <w:jc w:val="both"/>
        <w:rPr>
          <w:rFonts w:ascii="Times New Roman" w:hAnsi="Times New Roman"/>
          <w:color w:val="000000" w:themeColor="text1"/>
          <w:szCs w:val="22"/>
          <w:lang w:val="lt-LT"/>
        </w:rPr>
      </w:pPr>
    </w:p>
    <w:p w14:paraId="26C34577" w14:textId="77777777"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Atitinkamai, atsižvelgiant į inicijavimo momentus gali pavykti atlikti renovaciją ekonomiškai efektyviai dėl masto ekonomijos, kurią galima užtikrinti, jeigu su energija susijusi renovacija vykdoma tuo pačiu metu, kai vykdomi kiti būtini darbai arba planinė renovacija. </w:t>
      </w:r>
    </w:p>
    <w:p w14:paraId="2C4CABB1" w14:textId="77777777" w:rsidR="002B3426" w:rsidRPr="00650EE4" w:rsidRDefault="002B3426" w:rsidP="002B3426">
      <w:pPr>
        <w:pStyle w:val="BodyText"/>
        <w:jc w:val="both"/>
        <w:rPr>
          <w:rFonts w:ascii="Times New Roman" w:hAnsi="Times New Roman"/>
          <w:color w:val="000000" w:themeColor="text1"/>
          <w:szCs w:val="22"/>
          <w:lang w:val="lt-LT"/>
        </w:rPr>
      </w:pPr>
    </w:p>
    <w:p w14:paraId="14636764" w14:textId="77777777" w:rsidR="002B3426" w:rsidRPr="00650EE4" w:rsidRDefault="002B3426" w:rsidP="002B342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Toliau pateikiama kiekvienai pastatų grupei taikytinų inicijavimo momentų apžvalga.</w:t>
      </w:r>
    </w:p>
    <w:p w14:paraId="69EFFAD7" w14:textId="77777777" w:rsidR="00C95543" w:rsidRPr="00650EE4" w:rsidRDefault="00C95543" w:rsidP="00C95543">
      <w:pPr>
        <w:pStyle w:val="BodyText"/>
        <w:jc w:val="both"/>
        <w:rPr>
          <w:rFonts w:ascii="Times New Roman" w:hAnsi="Times New Roman"/>
          <w:color w:val="000000" w:themeColor="text1"/>
          <w:szCs w:val="22"/>
          <w:lang w:val="lt-LT"/>
        </w:rPr>
      </w:pPr>
    </w:p>
    <w:p w14:paraId="36770691"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Individualūs namai</w:t>
      </w:r>
    </w:p>
    <w:p w14:paraId="0F43A7D8" w14:textId="3789D566"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Pagrindinis individualių namų renovacijos iniciavimo momentas – pastato nuosavybės teisės pasikeitimas. Pagal Lietuvos Respublikos statybos įstatymą parduodant ar išnuomojant pastatą savininkas naujam nuomininkui arba pirkėjui privalo perduoti galiojantį pastato ar jo dalies energinio naudingumo sertifikatą. Potencialiems naujiems pastato savininkams suteikiama informacija apie pastato būklę ir visus renovacijos poreikius atliekant pastato energinio naudingumo sertifikavimą, reikalingą sandoriui. Siekiant padidinti būsto vertę, savininkas gali siekti atlikti pastato modernizavimo darbus (pvz.</w:t>
      </w:r>
      <w:r w:rsidR="00DC2BD2"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dalin</w:t>
      </w:r>
      <w:r w:rsidR="003213D1">
        <w:rPr>
          <w:rFonts w:ascii="Times New Roman" w:hAnsi="Times New Roman"/>
          <w:color w:val="000000" w:themeColor="text1"/>
          <w:szCs w:val="22"/>
          <w:lang w:val="lt-LT"/>
        </w:rPr>
        <w:t>ę</w:t>
      </w:r>
      <w:r w:rsidRPr="00650EE4">
        <w:rPr>
          <w:rFonts w:ascii="Times New Roman" w:hAnsi="Times New Roman"/>
          <w:color w:val="000000" w:themeColor="text1"/>
          <w:szCs w:val="22"/>
          <w:lang w:val="lt-LT"/>
        </w:rPr>
        <w:t xml:space="preserve"> renovacij</w:t>
      </w:r>
      <w:r w:rsidR="003213D1">
        <w:rPr>
          <w:rFonts w:ascii="Times New Roman" w:hAnsi="Times New Roman"/>
          <w:color w:val="000000" w:themeColor="text1"/>
          <w:szCs w:val="22"/>
          <w:lang w:val="lt-LT"/>
        </w:rPr>
        <w:t>ą</w:t>
      </w:r>
      <w:r w:rsidRPr="00650EE4">
        <w:rPr>
          <w:rFonts w:ascii="Times New Roman" w:hAnsi="Times New Roman"/>
          <w:color w:val="000000" w:themeColor="text1"/>
          <w:szCs w:val="22"/>
          <w:lang w:val="lt-LT"/>
        </w:rPr>
        <w:t>)</w:t>
      </w:r>
      <w:r w:rsidR="00DC2BD2" w:rsidRPr="00650EE4">
        <w:rPr>
          <w:rFonts w:ascii="Times New Roman" w:hAnsi="Times New Roman"/>
          <w:color w:val="000000" w:themeColor="text1"/>
          <w:szCs w:val="22"/>
          <w:lang w:val="lt-LT"/>
        </w:rPr>
        <w:t>.</w:t>
      </w:r>
    </w:p>
    <w:p w14:paraId="235AF483" w14:textId="77777777" w:rsidR="00A544B7" w:rsidRPr="00650EE4" w:rsidRDefault="00A544B7" w:rsidP="00C95543">
      <w:pPr>
        <w:pStyle w:val="BodyText"/>
        <w:jc w:val="both"/>
        <w:rPr>
          <w:rFonts w:ascii="Times New Roman" w:hAnsi="Times New Roman"/>
          <w:color w:val="000000" w:themeColor="text1"/>
          <w:szCs w:val="22"/>
          <w:lang w:val="lt-LT"/>
        </w:rPr>
      </w:pPr>
    </w:p>
    <w:p w14:paraId="33347971"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Daugiabučiai</w:t>
      </w:r>
    </w:p>
    <w:p w14:paraId="7F239FFD" w14:textId="6E60E6B2"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Daugiabučių namų gyventojai renkasi renovaciją dėl daugybės priežasčių: šildymo sąnaudų sumažėjimo, estetinės išvaizdos pagerėjimo, komforto lygio ir turto vertės padidėjimo. Ypatingas dėmesys turėtų būti skirtas kritinės būklės daugiabučių pastatų (kiauras stogas, krentanti sienų apdaila ar plytos, </w:t>
      </w:r>
      <w:r w:rsidR="006013CC">
        <w:rPr>
          <w:rFonts w:ascii="Times New Roman" w:hAnsi="Times New Roman"/>
          <w:color w:val="000000" w:themeColor="text1"/>
          <w:szCs w:val="22"/>
          <w:lang w:val="lt-LT"/>
        </w:rPr>
        <w:t>susilpnėjusios</w:t>
      </w:r>
      <w:r w:rsidRPr="00650EE4">
        <w:rPr>
          <w:rFonts w:ascii="Times New Roman" w:hAnsi="Times New Roman"/>
          <w:color w:val="000000" w:themeColor="text1"/>
          <w:szCs w:val="22"/>
          <w:lang w:val="lt-LT"/>
        </w:rPr>
        <w:t xml:space="preserve"> konstrukcijos balkonai ar stogeliai) modernizavimui, taip siekiant ne tik išvengti nelaimingų atsitikimų, bet ir prailginti pastatų gyvavimo ciklą.</w:t>
      </w:r>
    </w:p>
    <w:p w14:paraId="14BDB91B" w14:textId="77777777" w:rsidR="00C95543" w:rsidRPr="00650EE4" w:rsidRDefault="00C95543" w:rsidP="00C95543">
      <w:pPr>
        <w:pStyle w:val="BodyText"/>
        <w:jc w:val="both"/>
        <w:rPr>
          <w:rFonts w:ascii="Times New Roman" w:hAnsi="Times New Roman"/>
          <w:color w:val="000000" w:themeColor="text1"/>
          <w:szCs w:val="22"/>
          <w:lang w:val="lt-LT"/>
        </w:rPr>
      </w:pPr>
    </w:p>
    <w:p w14:paraId="4D72EE97" w14:textId="3DCC7595" w:rsidR="00C95543" w:rsidRPr="00650EE4" w:rsidRDefault="00C95543" w:rsidP="00C95543">
      <w:pPr>
        <w:pStyle w:val="BodyText"/>
        <w:jc w:val="both"/>
        <w:rPr>
          <w:rFonts w:ascii="Times New Roman" w:hAnsi="Times New Roman"/>
          <w:color w:val="000000" w:themeColor="text1"/>
          <w:szCs w:val="22"/>
          <w:lang w:val="lt-LT"/>
        </w:rPr>
      </w:pPr>
      <w:proofErr w:type="spellStart"/>
      <w:r w:rsidRPr="00650EE4">
        <w:rPr>
          <w:rFonts w:ascii="Times New Roman" w:hAnsi="Times New Roman"/>
          <w:color w:val="000000" w:themeColor="text1"/>
          <w:szCs w:val="22"/>
          <w:lang w:val="lt-LT"/>
        </w:rPr>
        <w:t>Kvartalinė</w:t>
      </w:r>
      <w:proofErr w:type="spellEnd"/>
      <w:r w:rsidRPr="00650EE4">
        <w:rPr>
          <w:rFonts w:ascii="Times New Roman" w:hAnsi="Times New Roman"/>
          <w:color w:val="000000" w:themeColor="text1"/>
          <w:szCs w:val="22"/>
          <w:lang w:val="lt-LT"/>
        </w:rPr>
        <w:t xml:space="preserve"> renovacija gali būti viena iš esminių daugiabučių renovacijos iniciavimo ir tempų didinimo priemonių. Taip pat atnaujinant visą kvartalą vienu metu galima ženkliai pagerinti kvartalo funkcionalumą, patrauklumą bei </w:t>
      </w:r>
      <w:proofErr w:type="spellStart"/>
      <w:r w:rsidRPr="00650EE4">
        <w:rPr>
          <w:rFonts w:ascii="Times New Roman" w:hAnsi="Times New Roman"/>
          <w:color w:val="000000" w:themeColor="text1"/>
          <w:szCs w:val="22"/>
          <w:lang w:val="lt-LT"/>
        </w:rPr>
        <w:t>gerbūvį</w:t>
      </w:r>
      <w:proofErr w:type="spellEnd"/>
      <w:r w:rsidRPr="00650EE4">
        <w:rPr>
          <w:rFonts w:ascii="Times New Roman" w:hAnsi="Times New Roman"/>
          <w:color w:val="000000" w:themeColor="text1"/>
          <w:szCs w:val="22"/>
          <w:lang w:val="lt-LT"/>
        </w:rPr>
        <w:t xml:space="preserve">. Renovaciją vykdyti kvartalais yra svarbu siekiant pritraukti daugiau renovacijos paslaugų pasiūlos. Renovaciją įgyvendinant ne po vieną pastatą, o kvartalais, būtų galima pritraukti didžiąsias statybos įmones, kas leistų sumažinti renovacijos kainą ir padidintų tempus. Detaliau apie </w:t>
      </w:r>
      <w:proofErr w:type="spellStart"/>
      <w:r w:rsidRPr="00650EE4">
        <w:rPr>
          <w:rFonts w:ascii="Times New Roman" w:hAnsi="Times New Roman"/>
          <w:color w:val="000000" w:themeColor="text1"/>
          <w:szCs w:val="22"/>
          <w:lang w:val="lt-LT"/>
        </w:rPr>
        <w:t>kvartalinę</w:t>
      </w:r>
      <w:proofErr w:type="spellEnd"/>
      <w:r w:rsidRPr="00650EE4">
        <w:rPr>
          <w:rFonts w:ascii="Times New Roman" w:hAnsi="Times New Roman"/>
          <w:color w:val="000000" w:themeColor="text1"/>
          <w:szCs w:val="22"/>
          <w:lang w:val="lt-LT"/>
        </w:rPr>
        <w:t xml:space="preserve"> renovaciją skaityti skyriuje </w:t>
      </w:r>
      <w:r w:rsidR="003213D1">
        <w:rPr>
          <w:rFonts w:ascii="Times New Roman" w:hAnsi="Times New Roman"/>
          <w:color w:val="000000" w:themeColor="text1"/>
          <w:szCs w:val="22"/>
        </w:rPr>
        <w:t>5</w:t>
      </w:r>
      <w:r w:rsidRPr="00650EE4">
        <w:rPr>
          <w:rFonts w:ascii="Times New Roman" w:hAnsi="Times New Roman"/>
          <w:color w:val="000000" w:themeColor="text1"/>
          <w:szCs w:val="22"/>
          <w:lang w:val="lt-LT"/>
        </w:rPr>
        <w:t>.2.6.</w:t>
      </w:r>
    </w:p>
    <w:p w14:paraId="4D37F005" w14:textId="77777777" w:rsidR="00C95543" w:rsidRPr="00650EE4" w:rsidRDefault="00C95543" w:rsidP="00C95543">
      <w:pPr>
        <w:pStyle w:val="BodyText"/>
        <w:jc w:val="both"/>
        <w:rPr>
          <w:rFonts w:ascii="Times New Roman" w:hAnsi="Times New Roman"/>
          <w:b/>
          <w:bCs/>
          <w:color w:val="000000" w:themeColor="text1"/>
          <w:szCs w:val="22"/>
          <w:lang w:val="lt-LT"/>
        </w:rPr>
      </w:pPr>
    </w:p>
    <w:p w14:paraId="75FFCF7F" w14:textId="77777777"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Kiti negyvenamieji pastatai</w:t>
      </w:r>
    </w:p>
    <w:p w14:paraId="71C8399D" w14:textId="77777777"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Daugelis negyvenamųjų pastatų yra komerciniai, nuomojami objektai. Pastatų nuomotojai yra suinteresuoti pritraukti patalpų nuomininkus, o vienas svarbiausių aspektų renkantis nuomos vietą – modernus ir energetiškai efektyvus pastatas. Keičiantis ar bandant išlaikyti esamus nuomininkus, pastatų savininkai privalės modernizuoti valdomą pastatą ir inžinerines sistemas, įdiegti atsinaujinančius energijos šaltinius siekiant išlikti konkurencingais rinkoje.</w:t>
      </w:r>
    </w:p>
    <w:p w14:paraId="29572D41" w14:textId="77777777" w:rsidR="00C95543" w:rsidRPr="00650EE4" w:rsidRDefault="00C95543" w:rsidP="00C95543">
      <w:pPr>
        <w:pStyle w:val="BodyText"/>
        <w:jc w:val="both"/>
        <w:rPr>
          <w:rFonts w:ascii="Times New Roman" w:hAnsi="Times New Roman"/>
          <w:color w:val="000000" w:themeColor="text1"/>
          <w:szCs w:val="22"/>
          <w:lang w:val="lt-LT"/>
        </w:rPr>
      </w:pPr>
    </w:p>
    <w:p w14:paraId="106FDBC6" w14:textId="77777777"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Valstybė ir savivaldybės suinteresuotos modernizuoti savo valdomus pastatus siekiant sumažinti pastatų išlaikymo kaštus, pagerinant darbo ir komforto sąlygas.</w:t>
      </w:r>
    </w:p>
    <w:p w14:paraId="2E4F0782" w14:textId="77777777" w:rsidR="00C95543" w:rsidRPr="00650EE4" w:rsidRDefault="00C95543" w:rsidP="00C95543">
      <w:pPr>
        <w:pStyle w:val="BodyText"/>
        <w:jc w:val="both"/>
        <w:rPr>
          <w:rFonts w:ascii="Times New Roman" w:hAnsi="Times New Roman"/>
          <w:color w:val="000000" w:themeColor="text1"/>
          <w:szCs w:val="22"/>
          <w:lang w:val="lt-LT"/>
        </w:rPr>
      </w:pPr>
    </w:p>
    <w:p w14:paraId="24F18052" w14:textId="77777777" w:rsidR="00E86726" w:rsidRDefault="00E86726">
      <w:pPr>
        <w:spacing w:after="240"/>
        <w:rPr>
          <w:rFonts w:ascii="Times New Roman" w:hAnsi="Times New Roman"/>
          <w:b/>
          <w:bCs/>
          <w:color w:val="000000" w:themeColor="text1"/>
          <w:szCs w:val="22"/>
        </w:rPr>
      </w:pPr>
      <w:r>
        <w:rPr>
          <w:rFonts w:ascii="Times New Roman" w:hAnsi="Times New Roman"/>
          <w:b/>
          <w:bCs/>
          <w:color w:val="000000" w:themeColor="text1"/>
          <w:szCs w:val="22"/>
        </w:rPr>
        <w:br w:type="page"/>
      </w:r>
    </w:p>
    <w:p w14:paraId="28DFD221" w14:textId="4F8E6625" w:rsidR="00C95543" w:rsidRPr="00650EE4" w:rsidRDefault="00C95543" w:rsidP="00C95543">
      <w:pPr>
        <w:pStyle w:val="BodyText"/>
        <w:spacing w:after="120"/>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lastRenderedPageBreak/>
        <w:t>Pramonės pastatai</w:t>
      </w:r>
    </w:p>
    <w:p w14:paraId="188E1790" w14:textId="223F6E0F" w:rsidR="00C95543" w:rsidRPr="00650EE4" w:rsidRDefault="00C95543" w:rsidP="00C9554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Pramonės pastatų savininkai siekdami pastatų išlaikymo kaštų optimizavimo, reguliariai investuoja į pastatų modernizavimą, inžinerinių sistemų atnaujinimą. Kaip ir komercinių negyvenamųjų pastatų ar individualių namų atveju, pastato nuomos ar pardavimo metu savininkas bus priverstas atlikti pastato energinio naudingumo sertifikavimą, apsvarstyti modernizavimo galimybes keliant pastato vertę.</w:t>
      </w:r>
    </w:p>
    <w:p w14:paraId="42A0CC4A" w14:textId="5E6F9420" w:rsidR="0064148C" w:rsidRPr="00650EE4" w:rsidRDefault="0064148C" w:rsidP="0064148C">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17" w:name="_Toc59107536"/>
      <w:r w:rsidRPr="00650EE4">
        <w:rPr>
          <w:rFonts w:ascii="Times New Roman" w:hAnsi="Times New Roman"/>
          <w:color w:val="auto"/>
          <w:sz w:val="24"/>
          <w:szCs w:val="24"/>
          <w:lang w:val="lt-LT"/>
        </w:rPr>
        <w:t>Esminiai skyriaus pastebėjimai</w:t>
      </w:r>
      <w:bookmarkEnd w:id="117"/>
    </w:p>
    <w:tbl>
      <w:tblPr>
        <w:tblW w:w="10161" w:type="dxa"/>
        <w:tblBorders>
          <w:left w:val="single" w:sz="36" w:space="0" w:color="EA0D2C"/>
        </w:tblBorders>
        <w:tblLayout w:type="fixed"/>
        <w:tblLook w:val="00A0" w:firstRow="1" w:lastRow="0" w:firstColumn="1" w:lastColumn="0" w:noHBand="0" w:noVBand="0"/>
      </w:tblPr>
      <w:tblGrid>
        <w:gridCol w:w="10161"/>
      </w:tblGrid>
      <w:tr w:rsidR="0064148C" w:rsidRPr="00650EE4" w14:paraId="24BDEFB3" w14:textId="77777777" w:rsidTr="003D42F9">
        <w:tc>
          <w:tcPr>
            <w:tcW w:w="10161" w:type="dxa"/>
            <w:tcBorders>
              <w:left w:val="single" w:sz="36" w:space="0" w:color="002060"/>
            </w:tcBorders>
            <w:shd w:val="clear" w:color="auto" w:fill="F0F0F0"/>
          </w:tcPr>
          <w:p w14:paraId="60BB9A98" w14:textId="5D4A9831"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finansinį atsipirkimą su esamomis energijos kainomis, finansiškai atsip</w:t>
            </w:r>
            <w:r w:rsidR="00BB7210" w:rsidRPr="00650EE4">
              <w:rPr>
                <w:rFonts w:ascii="Times New Roman" w:hAnsi="Times New Roman"/>
                <w:szCs w:val="22"/>
                <w:lang w:val="lt-LT"/>
              </w:rPr>
              <w:t>erkančios renovacijos priemonės sutaupytų</w:t>
            </w:r>
            <w:r w:rsidRPr="00650EE4">
              <w:rPr>
                <w:rFonts w:ascii="Times New Roman" w:hAnsi="Times New Roman"/>
                <w:szCs w:val="22"/>
                <w:lang w:val="lt-LT"/>
              </w:rPr>
              <w:t xml:space="preserve"> tik 7,4% (3,0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w:t>
            </w:r>
          </w:p>
          <w:p w14:paraId="1826AD10" w14:textId="4C81428A"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 xml:space="preserve">Įvertinus galimą šilumos kainų didėjimą 30%, </w:t>
            </w:r>
            <w:r w:rsidR="009C3AFC" w:rsidRPr="00650EE4">
              <w:rPr>
                <w:rFonts w:ascii="Times New Roman" w:hAnsi="Times New Roman"/>
                <w:szCs w:val="22"/>
                <w:lang w:val="lt-LT"/>
              </w:rPr>
              <w:t xml:space="preserve">padaugėtų </w:t>
            </w:r>
            <w:r w:rsidRPr="00650EE4">
              <w:rPr>
                <w:rFonts w:ascii="Times New Roman" w:hAnsi="Times New Roman"/>
                <w:szCs w:val="22"/>
                <w:lang w:val="lt-LT"/>
              </w:rPr>
              <w:t xml:space="preserve">finansiškai </w:t>
            </w:r>
            <w:r w:rsidR="009C3AFC" w:rsidRPr="00650EE4">
              <w:rPr>
                <w:rFonts w:ascii="Times New Roman" w:hAnsi="Times New Roman"/>
                <w:szCs w:val="22"/>
                <w:lang w:val="lt-LT"/>
              </w:rPr>
              <w:t>atsiperkančių renovacijos priemonių ir jų</w:t>
            </w:r>
            <w:r w:rsidRPr="00650EE4">
              <w:rPr>
                <w:rFonts w:ascii="Times New Roman" w:hAnsi="Times New Roman"/>
                <w:szCs w:val="22"/>
                <w:lang w:val="lt-LT"/>
              </w:rPr>
              <w:t xml:space="preserve"> energijos sutaupymai padidėtų daugiau nei 4 kartus (iki 30,8% arba 12,6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w:t>
            </w:r>
          </w:p>
          <w:p w14:paraId="43529EB6" w14:textId="77777777"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ekonominį atsipirkimą net konservatyviu vertinimu, ekonomiškai atsipirktų visos taikomos renovacijos priemonės, t.y. ekonomiškai apsimoka vykdyti maksimalią renovaciją.</w:t>
            </w:r>
          </w:p>
          <w:p w14:paraId="539F8941" w14:textId="3A67B829"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Didžiausia ekonominė nauda gaunama pasiekus 4</w:t>
            </w:r>
            <w:r w:rsidR="00605E95" w:rsidRPr="00650EE4">
              <w:rPr>
                <w:rFonts w:ascii="Times New Roman" w:hAnsi="Times New Roman"/>
                <w:szCs w:val="22"/>
                <w:lang w:val="lt-LT"/>
              </w:rPr>
              <w:t>5</w:t>
            </w:r>
            <w:r w:rsidRPr="00650EE4">
              <w:rPr>
                <w:rFonts w:ascii="Times New Roman" w:hAnsi="Times New Roman"/>
                <w:szCs w:val="22"/>
                <w:lang w:val="lt-LT"/>
              </w:rPr>
              <w:t>-5</w:t>
            </w:r>
            <w:r w:rsidR="00605E95" w:rsidRPr="00650EE4">
              <w:rPr>
                <w:rFonts w:ascii="Times New Roman" w:hAnsi="Times New Roman"/>
                <w:szCs w:val="22"/>
                <w:lang w:val="lt-LT"/>
              </w:rPr>
              <w:t>5</w:t>
            </w:r>
            <w:r w:rsidRPr="00650EE4">
              <w:rPr>
                <w:rFonts w:ascii="Times New Roman" w:hAnsi="Times New Roman"/>
                <w:szCs w:val="22"/>
                <w:lang w:val="lt-LT"/>
              </w:rPr>
              <w:t xml:space="preserve">% (arba 16-20 </w:t>
            </w:r>
            <w:proofErr w:type="spellStart"/>
            <w:r w:rsidRPr="00650EE4">
              <w:rPr>
                <w:rFonts w:ascii="Times New Roman" w:hAnsi="Times New Roman"/>
                <w:szCs w:val="22"/>
                <w:lang w:val="lt-LT"/>
              </w:rPr>
              <w:t>GWh</w:t>
            </w:r>
            <w:proofErr w:type="spellEnd"/>
            <w:r w:rsidRPr="00650EE4">
              <w:rPr>
                <w:rFonts w:ascii="Times New Roman" w:hAnsi="Times New Roman"/>
                <w:szCs w:val="22"/>
                <w:lang w:val="lt-LT"/>
              </w:rPr>
              <w:t>/metus) pirminės energijos sutaupymą. Į šį intervalą patenka viso pastatų fondo renovacija iki B energinio naudingumo klasės (pritaikant AEI priemones) arba mažesnės fondo dalies (vertinant ne maksimalų pastatų fondo įsitraukimą) renovaciją iki B ir A energinio naudingumo klasės.</w:t>
            </w:r>
          </w:p>
          <w:p w14:paraId="2A6153FD" w14:textId="77777777" w:rsidR="009B68CF" w:rsidRPr="00650EE4"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Vertinant techninius apribojimus, reikšmingi sunkumai prasidėtų renovacijos priemonėmis siekiant A+ ir A++ energinio naudingumo klasių. Atliekant renovaciją iki A ir B energinio naudingumo klasių techniniai apribojimai pasireiškia dalinai ir gali būti sprendžiami.</w:t>
            </w:r>
          </w:p>
          <w:p w14:paraId="0DA241AB" w14:textId="6CB93B8C" w:rsidR="00E86726" w:rsidRPr="00E86726" w:rsidRDefault="009B68CF" w:rsidP="00BD4925">
            <w:pPr>
              <w:pStyle w:val="ListParagraph"/>
              <w:numPr>
                <w:ilvl w:val="0"/>
                <w:numId w:val="27"/>
              </w:numPr>
              <w:spacing w:before="120" w:after="120" w:line="240" w:lineRule="auto"/>
              <w:ind w:left="556" w:right="169" w:hanging="425"/>
              <w:contextualSpacing w:val="0"/>
              <w:jc w:val="both"/>
              <w:rPr>
                <w:rFonts w:ascii="Times New Roman" w:hAnsi="Times New Roman"/>
                <w:szCs w:val="22"/>
                <w:lang w:val="lt-LT"/>
              </w:rPr>
            </w:pPr>
            <w:r w:rsidRPr="00650EE4">
              <w:rPr>
                <w:rFonts w:ascii="Times New Roman" w:hAnsi="Times New Roman"/>
                <w:szCs w:val="22"/>
                <w:lang w:val="lt-LT"/>
              </w:rPr>
              <w:t>Apibendrinant ekonominio vertinimo rezultatus galima teigti, kad siektinas renovacijos tikslas būtų renovuoti pastatų fondą iki A arba B energinio naudingumo klasių (pritaikant AEI priemones).</w:t>
            </w:r>
          </w:p>
        </w:tc>
      </w:tr>
    </w:tbl>
    <w:p w14:paraId="78183161" w14:textId="77777777" w:rsidR="00E86726" w:rsidRDefault="00E86726" w:rsidP="00E86726">
      <w:pPr>
        <w:pStyle w:val="Nenumeruojamosantrastes"/>
        <w:pageBreakBefore w:val="0"/>
        <w:pBdr>
          <w:bottom w:val="single" w:sz="4" w:space="1" w:color="auto"/>
        </w:pBdr>
        <w:spacing w:before="0"/>
        <w:jc w:val="both"/>
        <w:outlineLvl w:val="0"/>
        <w:rPr>
          <w:rFonts w:ascii="Times New Roman" w:hAnsi="Times New Roman"/>
          <w:color w:val="002060"/>
          <w:sz w:val="24"/>
          <w:szCs w:val="24"/>
        </w:rPr>
      </w:pPr>
    </w:p>
    <w:p w14:paraId="51EF002D" w14:textId="14584493" w:rsidR="00386023" w:rsidRPr="00650EE4" w:rsidRDefault="002178D5" w:rsidP="00DC1083">
      <w:pPr>
        <w:pStyle w:val="Nenumeruojamosantrastes"/>
        <w:pageBreakBefore w:val="0"/>
        <w:numPr>
          <w:ilvl w:val="0"/>
          <w:numId w:val="4"/>
        </w:numPr>
        <w:pBdr>
          <w:bottom w:val="single" w:sz="4" w:space="1" w:color="auto"/>
        </w:pBdr>
        <w:spacing w:before="0"/>
        <w:ind w:left="357" w:hanging="357"/>
        <w:jc w:val="both"/>
        <w:outlineLvl w:val="0"/>
        <w:rPr>
          <w:rFonts w:ascii="Times New Roman" w:hAnsi="Times New Roman"/>
          <w:color w:val="002060"/>
          <w:sz w:val="24"/>
          <w:szCs w:val="24"/>
        </w:rPr>
      </w:pPr>
      <w:bookmarkStart w:id="118" w:name="_Toc59107537"/>
      <w:r w:rsidRPr="00650EE4">
        <w:rPr>
          <w:rFonts w:ascii="Times New Roman" w:hAnsi="Times New Roman"/>
          <w:color w:val="002060"/>
          <w:sz w:val="24"/>
          <w:szCs w:val="24"/>
        </w:rPr>
        <w:t>TAIKOMOS PASTATŲ RENOVACIJOS POLITIKOS IR PRIEMONIŲ APŽVALGA</w:t>
      </w:r>
      <w:bookmarkEnd w:id="118"/>
    </w:p>
    <w:p w14:paraId="459B3C72" w14:textId="77777777" w:rsidR="00240506" w:rsidRPr="00650EE4" w:rsidRDefault="00240506" w:rsidP="00240506">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19" w:name="_Toc59107538"/>
      <w:r w:rsidRPr="00650EE4">
        <w:rPr>
          <w:rFonts w:ascii="Times New Roman" w:hAnsi="Times New Roman"/>
          <w:color w:val="auto"/>
          <w:sz w:val="24"/>
          <w:szCs w:val="24"/>
          <w:lang w:val="lt-LT"/>
        </w:rPr>
        <w:t>Taikoma politika ir veiksmai, kuriais skatinama ekonomiškai efektyvi esminė pastatų renovacija</w:t>
      </w:r>
      <w:bookmarkEnd w:id="119"/>
    </w:p>
    <w:p w14:paraId="6F6AB5C8" w14:textId="77777777" w:rsidR="00240506" w:rsidRPr="00650EE4" w:rsidRDefault="00240506" w:rsidP="00240506">
      <w:pPr>
        <w:pStyle w:val="BodyText"/>
        <w:spacing w:line="280" w:lineRule="atLeast"/>
        <w:jc w:val="both"/>
        <w:rPr>
          <w:rFonts w:ascii="Times New Roman" w:hAnsi="Times New Roman"/>
          <w:color w:val="000000" w:themeColor="text1"/>
          <w:sz w:val="24"/>
          <w:szCs w:val="24"/>
          <w:lang w:val="lt-LT"/>
        </w:rPr>
      </w:pPr>
      <w:r w:rsidRPr="00650EE4">
        <w:rPr>
          <w:rFonts w:ascii="Times New Roman" w:hAnsi="Times New Roman"/>
          <w:noProof/>
          <w:color w:val="000000" w:themeColor="text1"/>
          <w:sz w:val="24"/>
          <w:szCs w:val="24"/>
          <w:lang w:val="lt-LT" w:eastAsia="lt-LT"/>
        </w:rPr>
        <mc:AlternateContent>
          <mc:Choice Requires="wps">
            <w:drawing>
              <wp:inline distT="0" distB="0" distL="0" distR="0" wp14:anchorId="64C3F257" wp14:editId="2C799815">
                <wp:extent cx="6479540" cy="800100"/>
                <wp:effectExtent l="0"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00100"/>
                        </a:xfrm>
                        <a:prstGeom prst="rect">
                          <a:avLst/>
                        </a:prstGeom>
                        <a:solidFill>
                          <a:schemeClr val="bg1">
                            <a:lumMod val="85000"/>
                          </a:schemeClr>
                        </a:solidFill>
                        <a:ln>
                          <a:noFill/>
                        </a:ln>
                      </wps:spPr>
                      <wps:txbx>
                        <w:txbxContent>
                          <w:p w14:paraId="7DD56357" w14:textId="77777777" w:rsidR="003E0C4E" w:rsidRPr="00445553" w:rsidRDefault="003E0C4E" w:rsidP="00240506">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c</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5E0A26">
                              <w:rPr>
                                <w:rFonts w:ascii="Times New Roman" w:hAnsi="Times New Roman" w:cs="Times New Roman"/>
                                <w:bCs/>
                                <w:color w:val="000000" w:themeColor="text1"/>
                                <w:sz w:val="22"/>
                              </w:rPr>
                              <w:t>politika ir veiksmai, kuriais skatinama ekonomiškai efektyvi esminė pastatų renovacija, įskaitant keliais etapais vykdomą esminę renovaciją, ir remiamos tikslinės priemonės ir renovacija, kuriomis užtikrinamas išlaidų ekonominis efektyvumas, pavyzdžiui, nustatant neprivalomą pastato renovacijos pasų sistemą</w:t>
                            </w:r>
                            <w:r>
                              <w:rPr>
                                <w:rFonts w:ascii="Times New Roman" w:hAnsi="Times New Roman" w:cs="Times New Roman"/>
                                <w:bCs/>
                                <w:color w:val="000000" w:themeColor="text1"/>
                                <w:sz w:val="22"/>
                              </w:rPr>
                              <w:t>“.</w:t>
                            </w:r>
                          </w:p>
                          <w:p w14:paraId="7E50F2F1" w14:textId="77777777" w:rsidR="003E0C4E" w:rsidRPr="00445553" w:rsidRDefault="003E0C4E" w:rsidP="00240506">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3" o:spid="_x0000_s1032" type="#_x0000_t202" style="width:510.2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" fillcolor="#d8d8d8 [2732]" stroked="f">
                <v:textbox>
                  <w:txbxContent>
                    <w:p w14:paraId="7DD56357" w14:textId="77777777" w:rsidR="003E0C4E" w:rsidRPr="00445553" w:rsidRDefault="003E0C4E" w:rsidP="00240506">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c</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5E0A26">
                        <w:rPr>
                          <w:rFonts w:ascii="Times New Roman" w:hAnsi="Times New Roman" w:cs="Times New Roman"/>
                          <w:bCs/>
                          <w:color w:val="000000" w:themeColor="text1"/>
                          <w:sz w:val="22"/>
                        </w:rPr>
                        <w:t>politika ir veiksmai, kuriais skatinama ekonomiškai efektyvi esminė pastatų renovacija, įskaitant keliais etapais vykdomą esminę renovaciją, ir remiamos tikslinės priemonės ir renovacija, kuriomis užtikrinamas išlaidų ekonominis efektyvumas, pavyzdžiui, nustatant neprivalomą pastato renovacijos pasų sistemą</w:t>
                      </w:r>
                      <w:r>
                        <w:rPr>
                          <w:rFonts w:ascii="Times New Roman" w:hAnsi="Times New Roman" w:cs="Times New Roman"/>
                          <w:bCs/>
                          <w:color w:val="000000" w:themeColor="text1"/>
                          <w:sz w:val="22"/>
                        </w:rPr>
                        <w:t>“.</w:t>
                      </w:r>
                    </w:p>
                    <w:p w14:paraId="7E50F2F1" w14:textId="77777777" w:rsidR="003E0C4E" w:rsidRPr="00445553" w:rsidRDefault="003E0C4E" w:rsidP="00240506">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6BCCBEBA"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28BDD630" w14:textId="6170C5E0" w:rsidR="00240506" w:rsidRPr="00650EE4" w:rsidRDefault="00240506" w:rsidP="00240506">
      <w:pPr>
        <w:jc w:val="both"/>
        <w:rPr>
          <w:rFonts w:ascii="Times New Roman" w:hAnsi="Times New Roman"/>
          <w:color w:val="000000" w:themeColor="text1"/>
          <w:szCs w:val="22"/>
        </w:rPr>
      </w:pPr>
      <w:r w:rsidRPr="00650EE4">
        <w:rPr>
          <w:rFonts w:ascii="Times New Roman" w:hAnsi="Times New Roman"/>
          <w:color w:val="000000" w:themeColor="text1"/>
          <w:szCs w:val="22"/>
        </w:rPr>
        <w:t>Lietuvos ilgalaikė pastatų renovacijos strategija yra Nacionalinio energetikos ir klimato srities veiksmų plano 2021 - 2030 m. (NECP) dalis. NECP</w:t>
      </w:r>
      <w:r w:rsidRPr="00650EE4">
        <w:rPr>
          <w:rFonts w:ascii="Times New Roman" w:hAnsi="Times New Roman"/>
          <w:szCs w:val="22"/>
        </w:rPr>
        <w:t xml:space="preserve"> apjungė ir integravo Lietuvos nacionalinių teisės aktų, tarptautinių įsipareigojimų, strategijų ir kitų planavimo dokumentų nuostatas, tikslus, uždavinius bei įgyvendinamas ir planuojamas įgyvendinti priemones. </w:t>
      </w:r>
    </w:p>
    <w:p w14:paraId="15CEC994" w14:textId="77777777" w:rsidR="00240506" w:rsidRPr="00650EE4" w:rsidRDefault="00240506" w:rsidP="00240506">
      <w:pPr>
        <w:jc w:val="both"/>
        <w:rPr>
          <w:rFonts w:ascii="Times New Roman" w:hAnsi="Times New Roman"/>
          <w:color w:val="000000" w:themeColor="text1"/>
          <w:szCs w:val="22"/>
        </w:rPr>
      </w:pPr>
    </w:p>
    <w:p w14:paraId="3917F9F3" w14:textId="77777777" w:rsidR="00240506" w:rsidRPr="00650EE4" w:rsidRDefault="00240506" w:rsidP="00240506">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NECP numatytų priemonių, kuriomis skatinama esminė pastatų renovacija, energijos vartojimo efektyvumas arba AEI platesnis panaudojimas pastatuose, suvestinė pateikiama lentelėje žemiau. Siekiant išlaikyti </w:t>
      </w:r>
      <w:proofErr w:type="spellStart"/>
      <w:r w:rsidRPr="00650EE4">
        <w:rPr>
          <w:rFonts w:ascii="Times New Roman" w:hAnsi="Times New Roman"/>
          <w:color w:val="000000" w:themeColor="text1"/>
          <w:szCs w:val="22"/>
        </w:rPr>
        <w:t>atsekamumą</w:t>
      </w:r>
      <w:proofErr w:type="spellEnd"/>
      <w:r w:rsidRPr="00650EE4">
        <w:rPr>
          <w:rFonts w:ascii="Times New Roman" w:hAnsi="Times New Roman"/>
          <w:color w:val="000000" w:themeColor="text1"/>
          <w:szCs w:val="22"/>
        </w:rPr>
        <w:t>, išlaikomi tokie pat priemonių kodai, kaip ir NECP.</w:t>
      </w:r>
    </w:p>
    <w:p w14:paraId="67DCA82E" w14:textId="77777777" w:rsidR="00240506" w:rsidRPr="00650EE4" w:rsidRDefault="00240506" w:rsidP="00240506">
      <w:pPr>
        <w:rPr>
          <w:rFonts w:ascii="Times New Roman" w:hAnsi="Times New Roman"/>
          <w:color w:val="000000" w:themeColor="text1"/>
          <w:szCs w:val="22"/>
        </w:rPr>
      </w:pPr>
    </w:p>
    <w:p w14:paraId="57AD623F" w14:textId="77777777" w:rsidR="00C5035E" w:rsidRDefault="00C5035E">
      <w:pPr>
        <w:spacing w:after="240"/>
        <w:rPr>
          <w:rFonts w:ascii="Times New Roman" w:eastAsiaTheme="minorHAnsi" w:hAnsi="Times New Roman"/>
          <w:bCs/>
          <w:i/>
          <w:color w:val="000000" w:themeColor="text1"/>
          <w:sz w:val="20"/>
          <w:szCs w:val="20"/>
        </w:rPr>
      </w:pPr>
      <w:r>
        <w:br w:type="page"/>
      </w:r>
    </w:p>
    <w:p w14:paraId="172CE2CD" w14:textId="1D4E15F7" w:rsidR="00240506"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20" w:name="_Toc59094225"/>
      <w:r w:rsidR="00F25C65">
        <w:t>42</w:t>
      </w:r>
      <w:r w:rsidRPr="00650EE4">
        <w:rPr>
          <w:noProof w:val="0"/>
        </w:rPr>
        <w:fldChar w:fldCharType="end"/>
      </w:r>
      <w:r w:rsidR="00240506" w:rsidRPr="00650EE4">
        <w:rPr>
          <w:noProof w:val="0"/>
        </w:rPr>
        <w:t xml:space="preserve"> lentelė. Esamos politikos priemonės, kuriomis skatinama esminė pastatų renovacija</w:t>
      </w:r>
      <w:bookmarkEnd w:id="120"/>
    </w:p>
    <w:tbl>
      <w:tblPr>
        <w:tblW w:w="50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48"/>
        <w:gridCol w:w="3143"/>
        <w:gridCol w:w="1579"/>
        <w:gridCol w:w="1434"/>
        <w:gridCol w:w="2020"/>
      </w:tblGrid>
      <w:tr w:rsidR="00240506" w:rsidRPr="00650EE4" w14:paraId="1554F640" w14:textId="77777777" w:rsidTr="00B219C4">
        <w:trPr>
          <w:tblHeader/>
          <w:jc w:val="center"/>
        </w:trPr>
        <w:tc>
          <w:tcPr>
            <w:tcW w:w="2122" w:type="dxa"/>
          </w:tcPr>
          <w:p w14:paraId="30059024"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Priemonė </w:t>
            </w:r>
          </w:p>
        </w:tc>
        <w:tc>
          <w:tcPr>
            <w:tcW w:w="3106" w:type="dxa"/>
          </w:tcPr>
          <w:p w14:paraId="60777B5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Planuojamos apimtys ir rezultatai / efektas </w:t>
            </w:r>
          </w:p>
        </w:tc>
        <w:tc>
          <w:tcPr>
            <w:tcW w:w="1560" w:type="dxa"/>
          </w:tcPr>
          <w:p w14:paraId="62C460C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Įgyvendinimo laikotarpis </w:t>
            </w:r>
          </w:p>
        </w:tc>
        <w:tc>
          <w:tcPr>
            <w:tcW w:w="1417" w:type="dxa"/>
          </w:tcPr>
          <w:p w14:paraId="22C24CE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Atsakinga institucija </w:t>
            </w:r>
          </w:p>
        </w:tc>
        <w:tc>
          <w:tcPr>
            <w:tcW w:w="1996" w:type="dxa"/>
          </w:tcPr>
          <w:p w14:paraId="130DD945"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Energijos sutaupymas ir suminis ŠESD sumažinimo efektas</w:t>
            </w:r>
          </w:p>
        </w:tc>
      </w:tr>
      <w:tr w:rsidR="00240506" w:rsidRPr="00650EE4" w14:paraId="2AF01483" w14:textId="77777777" w:rsidTr="00B219C4">
        <w:trPr>
          <w:jc w:val="center"/>
        </w:trPr>
        <w:tc>
          <w:tcPr>
            <w:tcW w:w="2122" w:type="dxa"/>
          </w:tcPr>
          <w:p w14:paraId="7777A1FB" w14:textId="77777777" w:rsidR="00240506" w:rsidRPr="00650EE4" w:rsidRDefault="00240506" w:rsidP="00677FE7">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bCs/>
                <w:color w:val="000000" w:themeColor="text1"/>
                <w:sz w:val="20"/>
                <w:szCs w:val="20"/>
              </w:rPr>
              <w:t xml:space="preserve">AEI2. </w:t>
            </w:r>
            <w:r w:rsidRPr="00650EE4">
              <w:rPr>
                <w:rFonts w:ascii="Times New Roman" w:eastAsiaTheme="minorHAnsi" w:hAnsi="Times New Roman"/>
                <w:b/>
                <w:color w:val="000000" w:themeColor="text1"/>
                <w:sz w:val="20"/>
                <w:szCs w:val="20"/>
              </w:rPr>
              <w:t xml:space="preserve">Finansinė parama gaminantiems vartotojams (ES parama) </w:t>
            </w:r>
          </w:p>
        </w:tc>
        <w:tc>
          <w:tcPr>
            <w:tcW w:w="3106" w:type="dxa"/>
          </w:tcPr>
          <w:p w14:paraId="438E04E2"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AEI-E metinis padidėjimas </w:t>
            </w:r>
          </w:p>
          <w:p w14:paraId="3A5E1EC1"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0,075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iki 2024 m. </w:t>
            </w:r>
          </w:p>
        </w:tc>
        <w:tc>
          <w:tcPr>
            <w:tcW w:w="1560" w:type="dxa"/>
          </w:tcPr>
          <w:p w14:paraId="47CEA4F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2018–2024 m. </w:t>
            </w:r>
          </w:p>
        </w:tc>
        <w:tc>
          <w:tcPr>
            <w:tcW w:w="1417" w:type="dxa"/>
          </w:tcPr>
          <w:p w14:paraId="5D9C2D57"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Energetikos ministerija,</w:t>
            </w:r>
          </w:p>
        </w:tc>
        <w:tc>
          <w:tcPr>
            <w:tcW w:w="1996" w:type="dxa"/>
          </w:tcPr>
          <w:p w14:paraId="4B843B9F"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w:t>
            </w:r>
          </w:p>
        </w:tc>
      </w:tr>
      <w:tr w:rsidR="00240506" w:rsidRPr="00650EE4" w14:paraId="1BC3E29B"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574F9F95" w14:textId="77777777" w:rsidR="00240506" w:rsidRPr="00650EE4" w:rsidRDefault="00240506" w:rsidP="00677FE7">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bCs/>
                <w:color w:val="000000" w:themeColor="text1"/>
                <w:sz w:val="20"/>
                <w:szCs w:val="20"/>
              </w:rPr>
              <w:t>AEI20.</w:t>
            </w:r>
            <w:r w:rsidRPr="00650EE4">
              <w:rPr>
                <w:rFonts w:ascii="Times New Roman" w:eastAsiaTheme="minorHAnsi" w:hAnsi="Times New Roman"/>
                <w:b/>
                <w:color w:val="000000" w:themeColor="text1"/>
                <w:sz w:val="20"/>
                <w:szCs w:val="20"/>
              </w:rPr>
              <w:t xml:space="preserve"> Atlikti decentralizuoto sektoriaus aprūpinimo šiluma esamos situacijos ir perspektyvinės raidos įvertinimą </w:t>
            </w:r>
          </w:p>
        </w:tc>
        <w:tc>
          <w:tcPr>
            <w:tcW w:w="3106" w:type="dxa"/>
            <w:tcBorders>
              <w:top w:val="single" w:sz="4" w:space="0" w:color="auto"/>
              <w:left w:val="single" w:sz="4" w:space="0" w:color="auto"/>
              <w:bottom w:val="single" w:sz="4" w:space="0" w:color="auto"/>
              <w:right w:val="single" w:sz="4" w:space="0" w:color="auto"/>
            </w:tcBorders>
          </w:tcPr>
          <w:p w14:paraId="24AA0799"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Atlikta studija ir priimti atitinkami teisės aktai, sukuriantys palankią reguliacinę aplinką, kad individualiai šildomi namų ūkiai (būstai) palaipsniui pereitų prie netaršių ir mažą šiltnamio efektą sukeliančių dujų kiekio technologijų arba prisijungtų prie CŠT sistemos </w:t>
            </w:r>
          </w:p>
        </w:tc>
        <w:tc>
          <w:tcPr>
            <w:tcW w:w="1560" w:type="dxa"/>
            <w:tcBorders>
              <w:top w:val="single" w:sz="4" w:space="0" w:color="auto"/>
              <w:left w:val="single" w:sz="4" w:space="0" w:color="auto"/>
              <w:bottom w:val="single" w:sz="4" w:space="0" w:color="auto"/>
              <w:right w:val="single" w:sz="4" w:space="0" w:color="auto"/>
            </w:tcBorders>
          </w:tcPr>
          <w:p w14:paraId="29F244B6"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2019–2021 m. </w:t>
            </w:r>
          </w:p>
        </w:tc>
        <w:tc>
          <w:tcPr>
            <w:tcW w:w="1417" w:type="dxa"/>
            <w:tcBorders>
              <w:top w:val="single" w:sz="4" w:space="0" w:color="auto"/>
              <w:left w:val="single" w:sz="4" w:space="0" w:color="auto"/>
              <w:bottom w:val="single" w:sz="4" w:space="0" w:color="auto"/>
              <w:right w:val="single" w:sz="4" w:space="0" w:color="auto"/>
            </w:tcBorders>
          </w:tcPr>
          <w:p w14:paraId="4E42C293"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Energetikos ministerija</w:t>
            </w:r>
          </w:p>
        </w:tc>
        <w:tc>
          <w:tcPr>
            <w:tcW w:w="1996" w:type="dxa"/>
            <w:tcBorders>
              <w:top w:val="single" w:sz="4" w:space="0" w:color="auto"/>
              <w:left w:val="single" w:sz="4" w:space="0" w:color="auto"/>
              <w:bottom w:val="single" w:sz="4" w:space="0" w:color="auto"/>
              <w:right w:val="single" w:sz="4" w:space="0" w:color="auto"/>
            </w:tcBorders>
          </w:tcPr>
          <w:p w14:paraId="722F4DA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w:t>
            </w:r>
          </w:p>
        </w:tc>
      </w:tr>
      <w:tr w:rsidR="00240506" w:rsidRPr="00650EE4" w14:paraId="18518B23"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44D9186B"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EE2. Daugiabučių pastatų atnaujinimas (modernizavimas) </w:t>
            </w:r>
          </w:p>
        </w:tc>
        <w:tc>
          <w:tcPr>
            <w:tcW w:w="3106" w:type="dxa"/>
            <w:tcBorders>
              <w:top w:val="single" w:sz="4" w:space="0" w:color="auto"/>
              <w:left w:val="single" w:sz="4" w:space="0" w:color="auto"/>
              <w:bottom w:val="single" w:sz="4" w:space="0" w:color="auto"/>
              <w:right w:val="single" w:sz="4" w:space="0" w:color="auto"/>
            </w:tcBorders>
          </w:tcPr>
          <w:p w14:paraId="578A9EFB"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Atnaujinti daugiabutį pastatą iki C klasės ir sutaupyti 40 proc. energijos. Iki 2030 m. pabaigos turėtų būti renovuota apie 5000 daugiabučių, arba kasmet bus renovuojama beveik 500 daugiabučių </w:t>
            </w:r>
          </w:p>
        </w:tc>
        <w:tc>
          <w:tcPr>
            <w:tcW w:w="1560" w:type="dxa"/>
            <w:tcBorders>
              <w:top w:val="single" w:sz="4" w:space="0" w:color="auto"/>
              <w:left w:val="single" w:sz="4" w:space="0" w:color="auto"/>
              <w:bottom w:val="single" w:sz="4" w:space="0" w:color="auto"/>
              <w:right w:val="single" w:sz="4" w:space="0" w:color="auto"/>
            </w:tcBorders>
          </w:tcPr>
          <w:p w14:paraId="7C01E26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6F57F78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AM, BETA </w:t>
            </w:r>
          </w:p>
        </w:tc>
        <w:tc>
          <w:tcPr>
            <w:tcW w:w="1996" w:type="dxa"/>
            <w:tcBorders>
              <w:top w:val="single" w:sz="4" w:space="0" w:color="auto"/>
              <w:left w:val="single" w:sz="4" w:space="0" w:color="auto"/>
              <w:bottom w:val="single" w:sz="4" w:space="0" w:color="auto"/>
              <w:right w:val="single" w:sz="4" w:space="0" w:color="auto"/>
            </w:tcBorders>
          </w:tcPr>
          <w:p w14:paraId="1CC04CD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240506" w:rsidRPr="00650EE4" w14:paraId="170A6CD7"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0B5370D2"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EE3. Viešųjų pastatų atnaujinimas </w:t>
            </w:r>
          </w:p>
        </w:tc>
        <w:tc>
          <w:tcPr>
            <w:tcW w:w="3106" w:type="dxa"/>
            <w:tcBorders>
              <w:top w:val="single" w:sz="4" w:space="0" w:color="auto"/>
              <w:left w:val="single" w:sz="4" w:space="0" w:color="auto"/>
              <w:bottom w:val="single" w:sz="4" w:space="0" w:color="auto"/>
              <w:right w:val="single" w:sz="4" w:space="0" w:color="auto"/>
            </w:tcBorders>
          </w:tcPr>
          <w:p w14:paraId="1B1BD71F"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Atnaujinti viešąjį pastatą iki C klasės, ir iki 2030 m. bus atnaujinta apie 960 000 m2 viešųjų pastatų ploto </w:t>
            </w:r>
          </w:p>
        </w:tc>
        <w:tc>
          <w:tcPr>
            <w:tcW w:w="1560" w:type="dxa"/>
            <w:tcBorders>
              <w:top w:val="single" w:sz="4" w:space="0" w:color="auto"/>
              <w:left w:val="single" w:sz="4" w:space="0" w:color="auto"/>
              <w:bottom w:val="single" w:sz="4" w:space="0" w:color="auto"/>
              <w:right w:val="single" w:sz="4" w:space="0" w:color="auto"/>
            </w:tcBorders>
          </w:tcPr>
          <w:p w14:paraId="161887E5"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4622288B"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AM </w:t>
            </w:r>
          </w:p>
        </w:tc>
        <w:tc>
          <w:tcPr>
            <w:tcW w:w="1996" w:type="dxa"/>
            <w:tcBorders>
              <w:top w:val="single" w:sz="4" w:space="0" w:color="auto"/>
              <w:left w:val="single" w:sz="4" w:space="0" w:color="auto"/>
              <w:bottom w:val="single" w:sz="4" w:space="0" w:color="auto"/>
              <w:right w:val="single" w:sz="4" w:space="0" w:color="auto"/>
            </w:tcBorders>
          </w:tcPr>
          <w:p w14:paraId="277A39DC"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240506" w:rsidRPr="00650EE4" w14:paraId="6524AD71"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05FE2543"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EE4. Susitarimai su energijos tiekėjais dėl vartotojų švietimo ir konsultavimo </w:t>
            </w:r>
          </w:p>
        </w:tc>
        <w:tc>
          <w:tcPr>
            <w:tcW w:w="3106" w:type="dxa"/>
            <w:tcBorders>
              <w:top w:val="single" w:sz="4" w:space="0" w:color="auto"/>
              <w:left w:val="single" w:sz="4" w:space="0" w:color="auto"/>
              <w:bottom w:val="single" w:sz="4" w:space="0" w:color="auto"/>
              <w:right w:val="single" w:sz="4" w:space="0" w:color="auto"/>
            </w:tcBorders>
          </w:tcPr>
          <w:p w14:paraId="01E834D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užtikrins vartotojų švietimo ir konsultavimo apimties ir priemonių, kurios numatytos jų tarpusavio susitarimuose ar per kitus asmenis sudarytuose susitarimuose, įgyvendinimą (įskaitant išmaniųjų skaitiklių diegimą) </w:t>
            </w:r>
          </w:p>
        </w:tc>
        <w:tc>
          <w:tcPr>
            <w:tcW w:w="1560" w:type="dxa"/>
            <w:tcBorders>
              <w:top w:val="single" w:sz="4" w:space="0" w:color="auto"/>
              <w:left w:val="single" w:sz="4" w:space="0" w:color="auto"/>
              <w:bottom w:val="single" w:sz="4" w:space="0" w:color="auto"/>
              <w:right w:val="single" w:sz="4" w:space="0" w:color="auto"/>
            </w:tcBorders>
          </w:tcPr>
          <w:p w14:paraId="443ECF4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38A1B33A"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EM </w:t>
            </w:r>
          </w:p>
        </w:tc>
        <w:tc>
          <w:tcPr>
            <w:tcW w:w="1996" w:type="dxa"/>
            <w:tcBorders>
              <w:top w:val="single" w:sz="4" w:space="0" w:color="auto"/>
              <w:left w:val="single" w:sz="4" w:space="0" w:color="auto"/>
              <w:bottom w:val="single" w:sz="4" w:space="0" w:color="auto"/>
              <w:right w:val="single" w:sz="4" w:space="0" w:color="auto"/>
            </w:tcBorders>
          </w:tcPr>
          <w:p w14:paraId="2E6594E8"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3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p w14:paraId="0A0E6426" w14:textId="791AD186"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p>
        </w:tc>
      </w:tr>
      <w:tr w:rsidR="00240506" w:rsidRPr="00650EE4" w14:paraId="6B19DBCD" w14:textId="77777777" w:rsidTr="00B219C4">
        <w:trPr>
          <w:jc w:val="center"/>
        </w:trPr>
        <w:tc>
          <w:tcPr>
            <w:tcW w:w="2122" w:type="dxa"/>
            <w:tcBorders>
              <w:top w:val="single" w:sz="4" w:space="0" w:color="auto"/>
              <w:left w:val="single" w:sz="4" w:space="0" w:color="auto"/>
              <w:bottom w:val="single" w:sz="4" w:space="0" w:color="auto"/>
              <w:right w:val="single" w:sz="4" w:space="0" w:color="auto"/>
            </w:tcBorders>
          </w:tcPr>
          <w:p w14:paraId="4B1EA543" w14:textId="77777777" w:rsidR="00240506" w:rsidRPr="00650EE4" w:rsidRDefault="00240506" w:rsidP="00677FE7">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EE6. Susitarimai su energetikos įmonėmis dėl energijos taupymo </w:t>
            </w:r>
          </w:p>
        </w:tc>
        <w:tc>
          <w:tcPr>
            <w:tcW w:w="3106" w:type="dxa"/>
            <w:tcBorders>
              <w:top w:val="single" w:sz="4" w:space="0" w:color="auto"/>
              <w:left w:val="single" w:sz="4" w:space="0" w:color="auto"/>
              <w:bottom w:val="single" w:sz="4" w:space="0" w:color="auto"/>
              <w:right w:val="single" w:sz="4" w:space="0" w:color="auto"/>
            </w:tcBorders>
          </w:tcPr>
          <w:p w14:paraId="71B6D3AD"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Energetikos bendrovės taupys energiją pagal susitarimuose dėl energijos taupymo nurodytus energijos lygius (pačios ar per kitus asmenis), taikydamos ekonomiškai pagrįstas energijos vartojimo efektyvumo didinimo priemones galutinės energijos vartotojų įrenginiuose (įrenginiuose, įrangoje, transporte) </w:t>
            </w:r>
          </w:p>
        </w:tc>
        <w:tc>
          <w:tcPr>
            <w:tcW w:w="1560" w:type="dxa"/>
            <w:tcBorders>
              <w:top w:val="single" w:sz="4" w:space="0" w:color="auto"/>
              <w:left w:val="single" w:sz="4" w:space="0" w:color="auto"/>
              <w:bottom w:val="single" w:sz="4" w:space="0" w:color="auto"/>
              <w:right w:val="single" w:sz="4" w:space="0" w:color="auto"/>
            </w:tcBorders>
          </w:tcPr>
          <w:p w14:paraId="0DE399F9"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6F969E53"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energetikos įmonės </w:t>
            </w:r>
          </w:p>
        </w:tc>
        <w:tc>
          <w:tcPr>
            <w:tcW w:w="1996" w:type="dxa"/>
            <w:tcBorders>
              <w:top w:val="single" w:sz="4" w:space="0" w:color="auto"/>
              <w:left w:val="single" w:sz="4" w:space="0" w:color="auto"/>
              <w:bottom w:val="single" w:sz="4" w:space="0" w:color="auto"/>
              <w:right w:val="single" w:sz="4" w:space="0" w:color="auto"/>
            </w:tcBorders>
          </w:tcPr>
          <w:p w14:paraId="0044D130" w14:textId="77777777" w:rsidR="00240506" w:rsidRPr="00650EE4" w:rsidRDefault="00240506" w:rsidP="00677FE7">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5,5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bl>
    <w:p w14:paraId="5A123E9C" w14:textId="3E63FF83"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ED2E55">
        <w:rPr>
          <w:rFonts w:ascii="Times New Roman" w:eastAsia="Times New Roman" w:hAnsi="Times New Roman"/>
          <w:i/>
          <w:color w:val="000000" w:themeColor="text1"/>
          <w:sz w:val="20"/>
          <w:szCs w:val="28"/>
        </w:rPr>
        <w:t>NECP</w:t>
      </w:r>
    </w:p>
    <w:p w14:paraId="08F8C78F"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p>
    <w:p w14:paraId="4B0C671B" w14:textId="77777777" w:rsidR="00240506" w:rsidRPr="00650EE4" w:rsidRDefault="00240506" w:rsidP="00240506">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Žemiau pateikiamas trumpas šiuo metu taikomų politikos priemonių aprašymas:</w:t>
      </w:r>
    </w:p>
    <w:p w14:paraId="35DC4C74" w14:textId="77777777"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Priemone „AEI2. Finansinė parama gaminantiems vartotojams“ siekiama didinti elektros gamybą iš atsinaujinančių šaltinių ir pasiekti, kad pusė elektros vartotojų taptų gaminančiais vartotojais iki 2050 m. 2020 m. sausio mėnesį, sulaukus didesnio paraiškų skaičiaus nei numatytas preliminarus 4,5 milijono eurų biudžetas, buvo nutarta padidinti biudžetą. 2020 m. numatomi papildomi šaukimai paramai gaminantiems vartotojams. Nepaisant to, numatytas biudžetas nėra pakankamas pasiekti 34 tūkst. Gaminančių vartotojų iki 2021 m. vien šia priemone. Tačiau, tikėtina, kad nutolusių saulės elektrinių plėtra leis pasiekti šį tikslą.</w:t>
      </w:r>
    </w:p>
    <w:p w14:paraId="5F6DC938" w14:textId="77777777"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EE2. Daugiabučių pastatų atnaujinimo (modernizavimo) priemonė tikimasi, kad pasieks 2020 m. tikslą, arba iki tikslo trūks santykinai nedaug. Tačiau, priemonės mastas yra nepakankamas pasiekti 2050 m. tikslą, sumažinti pastatų fondo energetines sąnaudas bent 60 proc., o tuo labiau kad pastatų fondas būtų energetiškai neutralus. Vidutiniu dabartiniu renovacijos tempu, visų daugiabučių namų renovacija truktų daugiau nei šimtą metų.</w:t>
      </w:r>
    </w:p>
    <w:p w14:paraId="11CD4356" w14:textId="0B448C2D"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EE3. Viešųjų pastatų atnaujinimas priemonė yra paklausi ir tinkama, tačiau numatytas biudžetas nėra pakankamas pasiekti užsibrėžtus tikslus iki 2020 m., ir nedidinant reikšmingai biudžeto ar nekeičiant priemonės iš esmės, energetinio efektyvumo </w:t>
      </w:r>
      <w:r w:rsidR="00B70041" w:rsidRPr="00650EE4">
        <w:rPr>
          <w:rFonts w:ascii="Times New Roman" w:hAnsi="Times New Roman"/>
          <w:color w:val="000000" w:themeColor="text1"/>
          <w:szCs w:val="22"/>
        </w:rPr>
        <w:t>tikslai</w:t>
      </w:r>
      <w:r w:rsidRPr="00650EE4">
        <w:rPr>
          <w:rFonts w:ascii="Times New Roman" w:hAnsi="Times New Roman"/>
          <w:color w:val="000000" w:themeColor="text1"/>
          <w:szCs w:val="22"/>
        </w:rPr>
        <w:t xml:space="preserve"> nebus pasiekti.</w:t>
      </w:r>
    </w:p>
    <w:p w14:paraId="0A9CF37E" w14:textId="77777777" w:rsidR="00240506" w:rsidRPr="00650EE4" w:rsidRDefault="00240506" w:rsidP="00240506">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lastRenderedPageBreak/>
        <w:t>EE4. Susitarimai su energijos tiekėjais dėl vartotojų švietimo ir konsultavimo priemonė yra reikalinga ir tikslinga, tačiau objektyviai įvertinti sutaupymus nėra galimybės. Priemonės efektyvumą šiuo metu įvertinti sudėtinga, tačiau remiantis „</w:t>
      </w:r>
      <w:proofErr w:type="spellStart"/>
      <w:r w:rsidRPr="00650EE4">
        <w:rPr>
          <w:rFonts w:ascii="Times New Roman" w:hAnsi="Times New Roman"/>
          <w:color w:val="000000" w:themeColor="text1"/>
          <w:szCs w:val="22"/>
        </w:rPr>
        <w:t>Sprinter</w:t>
      </w:r>
      <w:proofErr w:type="spellEnd"/>
      <w:r w:rsidRPr="00650EE4">
        <w:rPr>
          <w:rFonts w:ascii="Times New Roman" w:hAnsi="Times New Roman"/>
          <w:color w:val="000000" w:themeColor="text1"/>
          <w:szCs w:val="22"/>
        </w:rPr>
        <w:t xml:space="preserve"> tyrimai“ atlikta apklausa, 77 proc. respondentų gyvenančių daugiabučiuose, pastatytuose iki 1993 m. pritaria daugiabučių atnaujinimui ir esant tinkamoms aplinkybėms dalyvautų savo pastato atnaujinimo procesuose, kai 2018 m. šiam klausimui pritarė 62 proc. renovuotinų daugiabučių gyventojų. Tai rodo, kad gyventojų suvokimas apie energetinio efektyvumo svarbą ir pritarimas tam auga, tačiau tai neįrodo šios priemonės efektyvumo.</w:t>
      </w:r>
    </w:p>
    <w:p w14:paraId="7B6A27B0" w14:textId="6B154872" w:rsidR="00236CB0" w:rsidRDefault="00240506" w:rsidP="00C5035E">
      <w:pPr>
        <w:pStyle w:val="Pagrindinispaprastastekstas"/>
        <w:numPr>
          <w:ilvl w:val="0"/>
          <w:numId w:val="10"/>
        </w:numPr>
        <w:spacing w:after="60"/>
        <w:ind w:left="714" w:hanging="357"/>
        <w:rPr>
          <w:rFonts w:ascii="Times New Roman" w:hAnsi="Times New Roman"/>
          <w:color w:val="000000" w:themeColor="text1"/>
          <w:szCs w:val="22"/>
        </w:rPr>
      </w:pPr>
      <w:r w:rsidRPr="00650EE4">
        <w:rPr>
          <w:rFonts w:ascii="Times New Roman" w:hAnsi="Times New Roman"/>
          <w:color w:val="000000" w:themeColor="text1"/>
          <w:szCs w:val="22"/>
        </w:rPr>
        <w:t xml:space="preserve">EE6. Susitarimai su energetikos įmonėmis dėl energijos taupymo pasiekti 1 </w:t>
      </w:r>
      <w:proofErr w:type="spellStart"/>
      <w:r w:rsidRPr="00650EE4">
        <w:rPr>
          <w:rFonts w:ascii="Times New Roman" w:hAnsi="Times New Roman"/>
          <w:color w:val="000000" w:themeColor="text1"/>
          <w:szCs w:val="22"/>
        </w:rPr>
        <w:t>TWh</w:t>
      </w:r>
      <w:proofErr w:type="spellEnd"/>
      <w:r w:rsidRPr="00650EE4">
        <w:rPr>
          <w:rFonts w:ascii="Times New Roman" w:hAnsi="Times New Roman"/>
          <w:color w:val="000000" w:themeColor="text1"/>
          <w:szCs w:val="22"/>
        </w:rPr>
        <w:t xml:space="preserve"> energetinių sutaupymų 2014-2019 m. buvo pasirašyti, ir dvi iš trijų energetikos įmonių AB „</w:t>
      </w:r>
      <w:proofErr w:type="spellStart"/>
      <w:r w:rsidRPr="00650EE4">
        <w:rPr>
          <w:rFonts w:ascii="Times New Roman" w:hAnsi="Times New Roman"/>
          <w:color w:val="000000" w:themeColor="text1"/>
          <w:szCs w:val="22"/>
        </w:rPr>
        <w:t>Amber</w:t>
      </w:r>
      <w:proofErr w:type="spellEnd"/>
      <w:r w:rsidRPr="00650EE4">
        <w:rPr>
          <w:rFonts w:ascii="Times New Roman" w:hAnsi="Times New Roman"/>
          <w:color w:val="000000" w:themeColor="text1"/>
          <w:szCs w:val="22"/>
        </w:rPr>
        <w:t xml:space="preserve"> </w:t>
      </w:r>
      <w:proofErr w:type="spellStart"/>
      <w:r w:rsidRPr="00650EE4">
        <w:rPr>
          <w:rFonts w:ascii="Times New Roman" w:hAnsi="Times New Roman"/>
          <w:color w:val="000000" w:themeColor="text1"/>
          <w:szCs w:val="22"/>
        </w:rPr>
        <w:t>Grid</w:t>
      </w:r>
      <w:proofErr w:type="spellEnd"/>
      <w:r w:rsidRPr="00650EE4">
        <w:rPr>
          <w:rFonts w:ascii="Times New Roman" w:hAnsi="Times New Roman"/>
          <w:color w:val="000000" w:themeColor="text1"/>
          <w:szCs w:val="22"/>
        </w:rPr>
        <w:t>“ ir AB „</w:t>
      </w:r>
      <w:proofErr w:type="spellStart"/>
      <w:r w:rsidRPr="00650EE4">
        <w:rPr>
          <w:rFonts w:ascii="Times New Roman" w:hAnsi="Times New Roman"/>
          <w:color w:val="000000" w:themeColor="text1"/>
          <w:szCs w:val="22"/>
        </w:rPr>
        <w:t>Litgrid</w:t>
      </w:r>
      <w:proofErr w:type="spellEnd"/>
      <w:r w:rsidRPr="00650EE4">
        <w:rPr>
          <w:rFonts w:ascii="Times New Roman" w:hAnsi="Times New Roman"/>
          <w:color w:val="000000" w:themeColor="text1"/>
          <w:szCs w:val="22"/>
        </w:rPr>
        <w:t xml:space="preserve">“ savo tikslus pasiekė, tačiau AB „ESO“ atsilieka nuo iškelto tikslo beveik trečdaliu. Tokia situacija susiklostė dėl to, kad nebuvo užskaityti sutaupymai, kurie buvo pasiekti atliekant pastočių ar tinklo atnaujinimą, nes šie sutaupymai nėra pasiekti pas galutinį vartotoją. Taip pat dėl skaičiavimo metodologijos skirtumų padidino neatitikimą.  </w:t>
      </w:r>
    </w:p>
    <w:p w14:paraId="2A893EAB" w14:textId="77777777" w:rsidR="00C5035E" w:rsidRPr="00C5035E" w:rsidRDefault="00C5035E" w:rsidP="00C5035E">
      <w:pPr>
        <w:pStyle w:val="Pagrindinispaprastastekstas"/>
        <w:spacing w:after="60"/>
        <w:rPr>
          <w:rFonts w:ascii="Times New Roman" w:hAnsi="Times New Roman"/>
          <w:color w:val="000000" w:themeColor="text1"/>
          <w:szCs w:val="22"/>
        </w:rPr>
      </w:pPr>
    </w:p>
    <w:p w14:paraId="4438AF0A" w14:textId="0E4B578B" w:rsidR="00240506" w:rsidRPr="00650EE4" w:rsidRDefault="00240506" w:rsidP="00240506">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21" w:name="_Toc59107539"/>
      <w:r w:rsidRPr="00650EE4">
        <w:rPr>
          <w:rFonts w:ascii="Times New Roman" w:hAnsi="Times New Roman"/>
          <w:color w:val="auto"/>
          <w:sz w:val="24"/>
          <w:szCs w:val="24"/>
          <w:lang w:val="lt-LT"/>
        </w:rPr>
        <w:t>Taikoma politika ir veiksmai orientuoti į tikslinius renovacijos segmentus</w:t>
      </w:r>
      <w:bookmarkEnd w:id="121"/>
      <w:r w:rsidR="00EB10DC" w:rsidRPr="00650EE4">
        <w:rPr>
          <w:rFonts w:ascii="Times New Roman" w:hAnsi="Times New Roman"/>
          <w:color w:val="auto"/>
          <w:sz w:val="24"/>
          <w:szCs w:val="24"/>
          <w:lang w:val="lt-LT"/>
        </w:rPr>
        <w:t xml:space="preserve"> </w:t>
      </w:r>
    </w:p>
    <w:p w14:paraId="4D9FF457" w14:textId="77777777" w:rsidR="00240506" w:rsidRPr="00650EE4" w:rsidRDefault="00240506" w:rsidP="00240506">
      <w:pPr>
        <w:pStyle w:val="Pagrindinispaprastastekstas"/>
        <w:rPr>
          <w:rFonts w:ascii="Times New Roman" w:hAnsi="Times New Roman"/>
        </w:rPr>
      </w:pPr>
      <w:r w:rsidRPr="00650EE4">
        <w:rPr>
          <w:rFonts w:ascii="Times New Roman" w:hAnsi="Times New Roman"/>
          <w:noProof/>
          <w:color w:val="000000" w:themeColor="text1"/>
          <w:sz w:val="24"/>
          <w:lang w:eastAsia="lt-LT"/>
        </w:rPr>
        <mc:AlternateContent>
          <mc:Choice Requires="wps">
            <w:drawing>
              <wp:inline distT="0" distB="0" distL="0" distR="0" wp14:anchorId="222D2F68" wp14:editId="4FCC2615">
                <wp:extent cx="6479540" cy="779228"/>
                <wp:effectExtent l="0" t="0" r="0" b="1905"/>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79228"/>
                        </a:xfrm>
                        <a:prstGeom prst="rect">
                          <a:avLst/>
                        </a:prstGeom>
                        <a:solidFill>
                          <a:schemeClr val="bg1">
                            <a:lumMod val="85000"/>
                          </a:schemeClr>
                        </a:solidFill>
                        <a:ln>
                          <a:noFill/>
                        </a:ln>
                      </wps:spPr>
                      <wps:txbx>
                        <w:txbxContent>
                          <w:p w14:paraId="02850EF3" w14:textId="77777777" w:rsidR="003E0C4E" w:rsidRPr="0011475D" w:rsidRDefault="003E0C4E" w:rsidP="00240506">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d</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745B7">
                              <w:rPr>
                                <w:rFonts w:ascii="Times New Roman" w:hAnsi="Times New Roman" w:cs="Times New Roman"/>
                                <w:bCs/>
                                <w:color w:val="000000" w:themeColor="text1"/>
                                <w:sz w:val="22"/>
                              </w:rPr>
                              <w:t>politikos ir veiksmų, kuriais būtų sprendžiami klausimai, susiję su prasčiausiai veikiančiais nacionalinio pastatų ūkio segmentais, skirtingų paskatų dilemomis ir rinkos nepakankamumo atvejais, apžvalga ir atitinkamų nacionalinių veiksmų, kuriais prisidedama prie energijos nepritekliaus mažinimo, apibendrinimas</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34" o:spid="_x0000_s1033" type="#_x0000_t202" style="width:510.2pt;height:6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" fillcolor="#d8d8d8 [2732]" stroked="f">
                <v:textbox>
                  <w:txbxContent>
                    <w:p w14:paraId="02850EF3" w14:textId="77777777" w:rsidR="003E0C4E" w:rsidRPr="0011475D" w:rsidRDefault="003E0C4E" w:rsidP="00240506">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d</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745B7">
                        <w:rPr>
                          <w:rFonts w:ascii="Times New Roman" w:hAnsi="Times New Roman" w:cs="Times New Roman"/>
                          <w:bCs/>
                          <w:color w:val="000000" w:themeColor="text1"/>
                          <w:sz w:val="22"/>
                        </w:rPr>
                        <w:t>politikos ir veiksmų, kuriais būtų sprendžiami klausimai, susiję su prasčiausiai veikiančiais nacionalinio pastatų ūkio segmentais, skirtingų paskatų dilemomis ir rinkos nepakankamumo atvejais, apžvalga ir atitinkamų nacionalinių veiksmų, kuriais prisidedama prie energijos nepritekliaus mažinimo, apibendrinimas</w:t>
                      </w:r>
                      <w:r>
                        <w:rPr>
                          <w:rFonts w:ascii="Times New Roman" w:hAnsi="Times New Roman" w:cs="Times New Roman"/>
                          <w:bCs/>
                          <w:color w:val="000000" w:themeColor="text1"/>
                          <w:sz w:val="22"/>
                        </w:rPr>
                        <w:t>“</w:t>
                      </w:r>
                    </w:p>
                  </w:txbxContent>
                </v:textbox>
                <w10:anchorlock/>
              </v:shape>
            </w:pict>
          </mc:Fallback>
        </mc:AlternateContent>
      </w:r>
    </w:p>
    <w:p w14:paraId="0C6D820E" w14:textId="77777777" w:rsidR="00240506" w:rsidRPr="00650EE4" w:rsidRDefault="00240506" w:rsidP="00240506">
      <w:pPr>
        <w:pStyle w:val="Pagrindinispaprastastekstas"/>
        <w:rPr>
          <w:rFonts w:ascii="Times New Roman" w:hAnsi="Times New Roman"/>
        </w:rPr>
      </w:pPr>
    </w:p>
    <w:p w14:paraId="6022FB65" w14:textId="3F87EBE3" w:rsidR="00240506" w:rsidRPr="00650EE4" w:rsidRDefault="00C8349D" w:rsidP="00240506">
      <w:pPr>
        <w:pStyle w:val="Antrastes31"/>
        <w:numPr>
          <w:ilvl w:val="2"/>
          <w:numId w:val="4"/>
        </w:numPr>
        <w:spacing w:before="0" w:after="120"/>
        <w:ind w:left="720" w:hanging="720"/>
        <w:rPr>
          <w:rFonts w:ascii="Times New Roman" w:hAnsi="Times New Roman"/>
          <w:color w:val="000000" w:themeColor="text1"/>
          <w:sz w:val="24"/>
          <w:szCs w:val="26"/>
          <w:lang w:val="lt-LT"/>
        </w:rPr>
      </w:pPr>
      <w:bookmarkStart w:id="122" w:name="_Toc48028393"/>
      <w:bookmarkStart w:id="123" w:name="_Toc59107540"/>
      <w:r w:rsidRPr="00650EE4">
        <w:rPr>
          <w:rFonts w:ascii="Times New Roman" w:hAnsi="Times New Roman"/>
          <w:color w:val="000000" w:themeColor="text1"/>
          <w:sz w:val="24"/>
          <w:szCs w:val="26"/>
          <w:lang w:val="lt-LT"/>
        </w:rPr>
        <w:t>Prasčiausiai veikiantys</w:t>
      </w:r>
      <w:r w:rsidR="00240506" w:rsidRPr="00650EE4">
        <w:rPr>
          <w:rFonts w:ascii="Times New Roman" w:hAnsi="Times New Roman"/>
          <w:color w:val="000000" w:themeColor="text1"/>
          <w:sz w:val="24"/>
          <w:szCs w:val="26"/>
          <w:lang w:val="lt-LT"/>
        </w:rPr>
        <w:t xml:space="preserve"> pastatų fondo segmentai</w:t>
      </w:r>
      <w:bookmarkEnd w:id="122"/>
      <w:bookmarkEnd w:id="123"/>
    </w:p>
    <w:p w14:paraId="39134741" w14:textId="7312BD66" w:rsidR="00240506" w:rsidRPr="00650EE4" w:rsidRDefault="00240506" w:rsidP="00D66C99">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Žemiausio energetinio efektyvumo pastatai šiuo metu prioriteto tvarka renovuojami įgyvendinant Daugiabučių namų atnaujinimo (modernizavimo) programą. </w:t>
      </w:r>
    </w:p>
    <w:p w14:paraId="30F8F435" w14:textId="77777777" w:rsidR="00D66C99" w:rsidRPr="00650EE4" w:rsidRDefault="00D66C99" w:rsidP="00D66C99">
      <w:pPr>
        <w:jc w:val="both"/>
        <w:rPr>
          <w:rFonts w:ascii="Times New Roman" w:hAnsi="Times New Roman"/>
          <w:color w:val="000000" w:themeColor="text1"/>
          <w:szCs w:val="22"/>
        </w:rPr>
      </w:pPr>
    </w:p>
    <w:p w14:paraId="33A1623B" w14:textId="77777777" w:rsidR="00240506" w:rsidRPr="00650EE4" w:rsidRDefault="00240506" w:rsidP="00240506">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Programa pradėta įgyvendinti 2005 metais. Pirminės sąlygos dalyvauti daugiabučių namų atnaujinimo (modernizavimo) programoje (toliau – Programa):</w:t>
      </w:r>
    </w:p>
    <w:p w14:paraId="51422E33" w14:textId="5ED68B3D" w:rsidR="00240506" w:rsidRPr="00650EE4" w:rsidRDefault="00C5035E" w:rsidP="00BD4925">
      <w:pPr>
        <w:pStyle w:val="Pagrindinispaprastastekstas"/>
        <w:numPr>
          <w:ilvl w:val="0"/>
          <w:numId w:val="25"/>
        </w:numPr>
        <w:spacing w:after="60"/>
        <w:rPr>
          <w:rFonts w:ascii="Times New Roman" w:hAnsi="Times New Roman"/>
          <w:bCs/>
          <w:color w:val="000000" w:themeColor="text1"/>
          <w:szCs w:val="22"/>
        </w:rPr>
      </w:pPr>
      <w:r>
        <w:rPr>
          <w:rFonts w:ascii="Times New Roman" w:hAnsi="Times New Roman"/>
          <w:bCs/>
          <w:color w:val="000000" w:themeColor="text1"/>
          <w:szCs w:val="22"/>
        </w:rPr>
        <w:t>p</w:t>
      </w:r>
      <w:r w:rsidR="00240506" w:rsidRPr="00650EE4">
        <w:rPr>
          <w:rFonts w:ascii="Times New Roman" w:hAnsi="Times New Roman"/>
          <w:bCs/>
          <w:color w:val="000000" w:themeColor="text1"/>
          <w:szCs w:val="22"/>
        </w:rPr>
        <w:t>rogramoje gali dalyvauti tik daugiabučiai namai (trijų ir daugiau butų gyvenamasis namas, kuriame gali būti ir negyvenamųjų patalpų – prekybos, administracinės, viešojo maitinimo ir kitos);</w:t>
      </w:r>
    </w:p>
    <w:p w14:paraId="72F34047" w14:textId="03B5A956" w:rsidR="00240506" w:rsidRPr="00650EE4" w:rsidRDefault="00C5035E" w:rsidP="00BD4925">
      <w:pPr>
        <w:pStyle w:val="Pagrindinispaprastastekstas"/>
        <w:numPr>
          <w:ilvl w:val="0"/>
          <w:numId w:val="25"/>
        </w:numPr>
        <w:rPr>
          <w:rFonts w:ascii="Times New Roman" w:hAnsi="Times New Roman"/>
          <w:bCs/>
          <w:color w:val="000000" w:themeColor="text1"/>
          <w:szCs w:val="22"/>
        </w:rPr>
      </w:pPr>
      <w:r>
        <w:rPr>
          <w:rFonts w:ascii="Times New Roman" w:hAnsi="Times New Roman"/>
          <w:bCs/>
          <w:color w:val="000000" w:themeColor="text1"/>
          <w:szCs w:val="22"/>
        </w:rPr>
        <w:t>d</w:t>
      </w:r>
      <w:r w:rsidR="00ED3996" w:rsidRPr="00650EE4">
        <w:rPr>
          <w:rFonts w:ascii="Times New Roman" w:hAnsi="Times New Roman"/>
          <w:bCs/>
          <w:color w:val="000000" w:themeColor="text1"/>
          <w:szCs w:val="22"/>
        </w:rPr>
        <w:t>augiabuči</w:t>
      </w:r>
      <w:r w:rsidR="00ED2E55">
        <w:rPr>
          <w:rFonts w:ascii="Times New Roman" w:hAnsi="Times New Roman"/>
          <w:bCs/>
          <w:color w:val="000000" w:themeColor="text1"/>
          <w:szCs w:val="22"/>
        </w:rPr>
        <w:t>ai</w:t>
      </w:r>
      <w:r w:rsidR="00ED3996" w:rsidRPr="00650EE4">
        <w:rPr>
          <w:rFonts w:ascii="Times New Roman" w:hAnsi="Times New Roman"/>
          <w:bCs/>
          <w:color w:val="000000" w:themeColor="text1"/>
          <w:szCs w:val="22"/>
        </w:rPr>
        <w:t xml:space="preserve"> </w:t>
      </w:r>
      <w:r w:rsidR="00240506" w:rsidRPr="00650EE4">
        <w:rPr>
          <w:rFonts w:ascii="Times New Roman" w:hAnsi="Times New Roman"/>
          <w:bCs/>
          <w:color w:val="000000" w:themeColor="text1"/>
          <w:szCs w:val="22"/>
        </w:rPr>
        <w:t>nam</w:t>
      </w:r>
      <w:r w:rsidR="00ED2E55">
        <w:rPr>
          <w:rFonts w:ascii="Times New Roman" w:hAnsi="Times New Roman"/>
          <w:bCs/>
          <w:color w:val="000000" w:themeColor="text1"/>
          <w:szCs w:val="22"/>
        </w:rPr>
        <w:t>ai</w:t>
      </w:r>
      <w:r w:rsidR="00240506" w:rsidRPr="00650EE4">
        <w:rPr>
          <w:rFonts w:ascii="Times New Roman" w:hAnsi="Times New Roman"/>
          <w:bCs/>
          <w:color w:val="000000" w:themeColor="text1"/>
          <w:szCs w:val="22"/>
        </w:rPr>
        <w:t xml:space="preserve"> </w:t>
      </w:r>
      <w:r w:rsidR="00ED2E55">
        <w:rPr>
          <w:rFonts w:ascii="Times New Roman" w:hAnsi="Times New Roman"/>
          <w:bCs/>
          <w:color w:val="000000" w:themeColor="text1"/>
          <w:szCs w:val="22"/>
        </w:rPr>
        <w:t>turi būti pastatyti</w:t>
      </w:r>
      <w:r w:rsidR="00ED2E55" w:rsidRPr="00ED2E55">
        <w:rPr>
          <w:rFonts w:ascii="Times New Roman" w:hAnsi="Times New Roman"/>
          <w:bCs/>
          <w:color w:val="000000" w:themeColor="text1"/>
          <w:szCs w:val="22"/>
        </w:rPr>
        <w:t xml:space="preserve"> pagal galiojusius iki 1993 metų</w:t>
      </w:r>
      <w:r w:rsidR="00ED2E55">
        <w:rPr>
          <w:rFonts w:ascii="Times New Roman" w:hAnsi="Times New Roman"/>
          <w:bCs/>
          <w:color w:val="000000" w:themeColor="text1"/>
          <w:szCs w:val="22"/>
        </w:rPr>
        <w:t xml:space="preserve"> statybos techninius normatyvus</w:t>
      </w:r>
      <w:r w:rsidR="00240506" w:rsidRPr="00650EE4">
        <w:rPr>
          <w:rFonts w:ascii="Times New Roman" w:hAnsi="Times New Roman"/>
          <w:bCs/>
          <w:color w:val="000000" w:themeColor="text1"/>
          <w:szCs w:val="22"/>
        </w:rPr>
        <w:t>.</w:t>
      </w:r>
    </w:p>
    <w:p w14:paraId="3069255B" w14:textId="77777777" w:rsidR="00E618FF" w:rsidRPr="00650EE4" w:rsidRDefault="00E618FF" w:rsidP="00E618FF">
      <w:pPr>
        <w:pStyle w:val="BodyText"/>
        <w:spacing w:line="240" w:lineRule="auto"/>
        <w:jc w:val="both"/>
        <w:rPr>
          <w:rFonts w:ascii="Times New Roman" w:hAnsi="Times New Roman"/>
          <w:color w:val="000000" w:themeColor="text1"/>
          <w:szCs w:val="22"/>
          <w:lang w:val="lt-LT"/>
        </w:rPr>
      </w:pPr>
    </w:p>
    <w:p w14:paraId="78F5D741" w14:textId="4CCAE701" w:rsidR="00240506" w:rsidRPr="00650EE4" w:rsidRDefault="00240506" w:rsidP="00E618FF">
      <w:pPr>
        <w:pStyle w:val="BodyText"/>
        <w:spacing w:line="240" w:lineRule="auto"/>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Siekiant prioretizuoti ir spartinti žemiausio energetinio efektyvumo pastatų renovacijos procesą, 2013 m. savivaldybėms rekomenduota pasirengti energinio efektyvumo didinimo programas. Vykdydamos šią rekomendaciją savivaldybės savo teritorijose atrinko neefektyviausius daugiabučius namus, kurie suvartoja daugiau kaip 150 </w:t>
      </w:r>
      <w:proofErr w:type="spellStart"/>
      <w:r w:rsidRPr="00650EE4">
        <w:rPr>
          <w:rFonts w:ascii="Times New Roman" w:hAnsi="Times New Roman"/>
          <w:color w:val="000000" w:themeColor="text1"/>
          <w:szCs w:val="22"/>
          <w:lang w:val="lt-LT"/>
        </w:rPr>
        <w:t>kWh</w:t>
      </w:r>
      <w:proofErr w:type="spellEnd"/>
      <w:r w:rsidRPr="00650EE4">
        <w:rPr>
          <w:rFonts w:ascii="Times New Roman" w:hAnsi="Times New Roman"/>
          <w:color w:val="000000" w:themeColor="text1"/>
          <w:szCs w:val="22"/>
          <w:lang w:val="lt-LT"/>
        </w:rPr>
        <w:t>/m</w:t>
      </w:r>
      <w:r w:rsidRPr="00650EE4">
        <w:rPr>
          <w:rFonts w:ascii="Times New Roman" w:hAnsi="Times New Roman"/>
          <w:color w:val="000000" w:themeColor="text1"/>
          <w:szCs w:val="22"/>
          <w:vertAlign w:val="superscript"/>
          <w:lang w:val="lt-LT"/>
        </w:rPr>
        <w:t>2</w:t>
      </w:r>
      <w:r w:rsidRPr="00650EE4">
        <w:rPr>
          <w:rFonts w:ascii="Times New Roman" w:hAnsi="Times New Roman"/>
          <w:color w:val="000000" w:themeColor="text1"/>
          <w:szCs w:val="22"/>
          <w:lang w:val="lt-LT"/>
        </w:rPr>
        <w:t xml:space="preserve"> šiluminės energijos per metus (2 329 daugiabučių).</w:t>
      </w:r>
    </w:p>
    <w:p w14:paraId="1F0CEE20" w14:textId="77777777" w:rsidR="00E618FF" w:rsidRPr="00650EE4" w:rsidRDefault="00E618FF" w:rsidP="00E618FF">
      <w:pPr>
        <w:pStyle w:val="BodyText"/>
        <w:spacing w:line="240" w:lineRule="auto"/>
        <w:jc w:val="both"/>
        <w:rPr>
          <w:rFonts w:ascii="Times New Roman" w:hAnsi="Times New Roman"/>
          <w:color w:val="000000" w:themeColor="text1"/>
          <w:szCs w:val="22"/>
          <w:lang w:val="lt-LT"/>
        </w:rPr>
      </w:pPr>
    </w:p>
    <w:p w14:paraId="33B9619F" w14:textId="3F7D85AE" w:rsidR="00240506" w:rsidRPr="00650EE4" w:rsidRDefault="00240506" w:rsidP="002F28BB">
      <w:pPr>
        <w:pStyle w:val="BodyText"/>
        <w:spacing w:after="120" w:line="240" w:lineRule="auto"/>
        <w:jc w:val="both"/>
        <w:rPr>
          <w:rFonts w:ascii="Times New Roman" w:hAnsi="Times New Roman"/>
          <w:color w:val="000000" w:themeColor="text1"/>
          <w:szCs w:val="22"/>
          <w:lang w:val="lt-LT"/>
        </w:rPr>
      </w:pPr>
      <w:r w:rsidRPr="00650EE4">
        <w:rPr>
          <w:rFonts w:ascii="Times New Roman" w:hAnsi="Times New Roman"/>
          <w:szCs w:val="22"/>
          <w:lang w:val="lt-LT"/>
        </w:rPr>
        <w:t>Savivaldybių atrinktiems, neefektyviausiai energiją vartojantiems, daugiabučiams paskiriami Programos administratoriai, kurie įgyvendina šių daugiabučių namų atnaujinimą. Remiantis Valstybės kontrolės atskaita</w:t>
      </w:r>
      <w:r w:rsidRPr="00650EE4">
        <w:rPr>
          <w:rStyle w:val="FootnoteReference"/>
          <w:rFonts w:ascii="Times New Roman" w:hAnsi="Times New Roman"/>
          <w:szCs w:val="22"/>
          <w:lang w:val="lt-LT"/>
        </w:rPr>
        <w:footnoteReference w:id="15"/>
      </w:r>
      <w:r w:rsidRPr="00650EE4">
        <w:rPr>
          <w:rFonts w:ascii="Times New Roman" w:hAnsi="Times New Roman"/>
          <w:szCs w:val="22"/>
          <w:lang w:val="lt-LT"/>
        </w:rPr>
        <w:t>, iki</w:t>
      </w:r>
      <w:r w:rsidRPr="00650EE4">
        <w:rPr>
          <w:rFonts w:ascii="Times New Roman" w:hAnsi="Times New Roman"/>
          <w:color w:val="000000" w:themeColor="text1"/>
          <w:szCs w:val="22"/>
          <w:lang w:val="lt-LT"/>
        </w:rPr>
        <w:t xml:space="preserve"> 2019 m. liepos mėn. pagal savivaldybių parengtus neefektyviausių daugiabučių namų investicijų planus iš 2 329 daugiabučių namų modernizuota 1 319 (t.y. 56,6 proc.).  Likusi dalis, t.y. 1 010 daugiabučių nemodernizuoti nes:</w:t>
      </w:r>
    </w:p>
    <w:p w14:paraId="69E2EEDF" w14:textId="77777777" w:rsidR="00240506" w:rsidRPr="00650EE4" w:rsidRDefault="00240506" w:rsidP="00BD4925">
      <w:pPr>
        <w:pStyle w:val="Pagrindinispaprastastekstas"/>
        <w:numPr>
          <w:ilvl w:val="0"/>
          <w:numId w:val="25"/>
        </w:numPr>
        <w:spacing w:after="60"/>
        <w:rPr>
          <w:rFonts w:ascii="Times New Roman" w:hAnsi="Times New Roman"/>
          <w:bCs/>
          <w:color w:val="000000" w:themeColor="text1"/>
          <w:szCs w:val="22"/>
        </w:rPr>
      </w:pPr>
      <w:r w:rsidRPr="00650EE4">
        <w:rPr>
          <w:rFonts w:ascii="Times New Roman" w:hAnsi="Times New Roman"/>
          <w:bCs/>
          <w:color w:val="000000" w:themeColor="text1"/>
          <w:szCs w:val="22"/>
        </w:rPr>
        <w:t xml:space="preserve"> 81,4 proc. (822 iš 1 010) parengtų planų nepatvirtino butų ir kitų patalpų savininkai, t. y. nepritarė modernizavimui; </w:t>
      </w:r>
    </w:p>
    <w:p w14:paraId="41F2C03F" w14:textId="77777777" w:rsidR="00240506" w:rsidRPr="00650EE4" w:rsidRDefault="00240506" w:rsidP="00BD4925">
      <w:pPr>
        <w:pStyle w:val="Pagrindinispaprastastekstas"/>
        <w:numPr>
          <w:ilvl w:val="0"/>
          <w:numId w:val="25"/>
        </w:numPr>
        <w:spacing w:after="60"/>
        <w:rPr>
          <w:rFonts w:ascii="Times New Roman" w:hAnsi="Times New Roman"/>
          <w:bCs/>
          <w:color w:val="000000" w:themeColor="text1"/>
          <w:szCs w:val="22"/>
        </w:rPr>
      </w:pPr>
      <w:r w:rsidRPr="00650EE4">
        <w:rPr>
          <w:rFonts w:ascii="Times New Roman" w:hAnsi="Times New Roman"/>
          <w:bCs/>
          <w:color w:val="000000" w:themeColor="text1"/>
          <w:szCs w:val="22"/>
        </w:rPr>
        <w:t xml:space="preserve">18,6 proc. (188 iš 1010) dėl kitų priežasčių (neįteisinta butų nuosavybė, nepanaikinti įsiskolinimai už komunalines paslaugas ir kt.).  </w:t>
      </w:r>
    </w:p>
    <w:p w14:paraId="18C6058F" w14:textId="286A29E4" w:rsidR="00240506" w:rsidRPr="00650EE4" w:rsidRDefault="00240506" w:rsidP="00240506">
      <w:pPr>
        <w:spacing w:before="200" w:line="240" w:lineRule="auto"/>
        <w:ind w:left="51"/>
        <w:jc w:val="both"/>
        <w:rPr>
          <w:rFonts w:ascii="Times New Roman" w:hAnsi="Times New Roman"/>
          <w:szCs w:val="22"/>
        </w:rPr>
      </w:pPr>
      <w:r w:rsidRPr="00650EE4">
        <w:rPr>
          <w:rFonts w:ascii="Times New Roman" w:hAnsi="Times New Roman"/>
          <w:szCs w:val="22"/>
        </w:rPr>
        <w:t xml:space="preserve">Atitinkamai, galima konstatuoti, kad </w:t>
      </w:r>
      <w:r w:rsidR="00CC0D7C" w:rsidRPr="00650EE4">
        <w:rPr>
          <w:rFonts w:ascii="Times New Roman" w:hAnsi="Times New Roman"/>
          <w:szCs w:val="22"/>
        </w:rPr>
        <w:t xml:space="preserve">būtina sąlyga </w:t>
      </w:r>
      <w:r w:rsidRPr="00650EE4">
        <w:rPr>
          <w:rFonts w:ascii="Times New Roman" w:hAnsi="Times New Roman"/>
          <w:szCs w:val="22"/>
        </w:rPr>
        <w:t xml:space="preserve">sklandžiam daugiabučių namų modernizavimui </w:t>
      </w:r>
      <w:r w:rsidR="00CC0D7C" w:rsidRPr="00650EE4">
        <w:rPr>
          <w:rFonts w:ascii="Times New Roman" w:hAnsi="Times New Roman"/>
          <w:szCs w:val="22"/>
        </w:rPr>
        <w:t xml:space="preserve">– aktyvus ir konstruktyvus </w:t>
      </w:r>
      <w:r w:rsidRPr="00650EE4">
        <w:rPr>
          <w:rFonts w:ascii="Times New Roman" w:hAnsi="Times New Roman"/>
          <w:szCs w:val="22"/>
        </w:rPr>
        <w:t xml:space="preserve">savininkų įsitraukimas. </w:t>
      </w:r>
    </w:p>
    <w:p w14:paraId="3629233E" w14:textId="2B782B70" w:rsidR="00CC1E38" w:rsidRPr="00650EE4" w:rsidRDefault="00CC1E38">
      <w:pPr>
        <w:spacing w:after="240"/>
        <w:rPr>
          <w:rFonts w:ascii="Times New Roman" w:hAnsi="Times New Roman"/>
          <w:szCs w:val="22"/>
        </w:rPr>
      </w:pPr>
    </w:p>
    <w:p w14:paraId="4676F32C" w14:textId="77777777" w:rsidR="00C5035E" w:rsidRDefault="00C5035E">
      <w:pPr>
        <w:spacing w:after="240"/>
        <w:rPr>
          <w:rFonts w:ascii="Times New Roman" w:eastAsia="Times New Roman" w:hAnsi="Times New Roman"/>
          <w:b/>
          <w:bCs/>
          <w:color w:val="000000" w:themeColor="text1"/>
          <w:kern w:val="32"/>
          <w:sz w:val="24"/>
          <w:szCs w:val="26"/>
        </w:rPr>
      </w:pPr>
      <w:bookmarkStart w:id="124" w:name="_Toc48028394"/>
      <w:r>
        <w:rPr>
          <w:rFonts w:ascii="Times New Roman" w:hAnsi="Times New Roman"/>
          <w:color w:val="000000" w:themeColor="text1"/>
          <w:sz w:val="24"/>
          <w:szCs w:val="26"/>
        </w:rPr>
        <w:br w:type="page"/>
      </w:r>
    </w:p>
    <w:p w14:paraId="6339DA16" w14:textId="67A88158" w:rsidR="00240506" w:rsidRPr="00650EE4" w:rsidRDefault="00B400D9" w:rsidP="00240506">
      <w:pPr>
        <w:pStyle w:val="Antrastes31"/>
        <w:numPr>
          <w:ilvl w:val="2"/>
          <w:numId w:val="4"/>
        </w:numPr>
        <w:spacing w:before="0" w:after="120"/>
        <w:ind w:left="720" w:hanging="720"/>
        <w:rPr>
          <w:rFonts w:ascii="Times New Roman" w:hAnsi="Times New Roman"/>
          <w:color w:val="000000" w:themeColor="text1"/>
          <w:sz w:val="24"/>
          <w:szCs w:val="26"/>
          <w:lang w:val="lt-LT"/>
        </w:rPr>
      </w:pPr>
      <w:bookmarkStart w:id="125" w:name="_Toc59107541"/>
      <w:r w:rsidRPr="00650EE4">
        <w:rPr>
          <w:rFonts w:ascii="Times New Roman" w:hAnsi="Times New Roman"/>
          <w:color w:val="000000" w:themeColor="text1"/>
          <w:sz w:val="24"/>
          <w:szCs w:val="26"/>
          <w:lang w:val="lt-LT"/>
        </w:rPr>
        <w:lastRenderedPageBreak/>
        <w:t>Skirtingų paskatų dilemo</w:t>
      </w:r>
      <w:r w:rsidR="00240506" w:rsidRPr="00650EE4">
        <w:rPr>
          <w:rFonts w:ascii="Times New Roman" w:hAnsi="Times New Roman"/>
          <w:color w:val="000000" w:themeColor="text1"/>
          <w:sz w:val="24"/>
          <w:szCs w:val="26"/>
          <w:lang w:val="lt-LT"/>
        </w:rPr>
        <w:t>s</w:t>
      </w:r>
      <w:bookmarkEnd w:id="124"/>
      <w:r w:rsidRPr="00650EE4">
        <w:rPr>
          <w:rFonts w:ascii="Times New Roman" w:hAnsi="Times New Roman"/>
          <w:color w:val="000000" w:themeColor="text1"/>
          <w:sz w:val="24"/>
          <w:szCs w:val="26"/>
          <w:lang w:val="lt-LT"/>
        </w:rPr>
        <w:t xml:space="preserve"> ir kiti</w:t>
      </w:r>
      <w:r w:rsidR="00147FA6" w:rsidRPr="00650EE4">
        <w:rPr>
          <w:rFonts w:ascii="Times New Roman" w:hAnsi="Times New Roman"/>
          <w:color w:val="000000" w:themeColor="text1"/>
          <w:sz w:val="24"/>
          <w:szCs w:val="26"/>
          <w:lang w:val="lt-LT"/>
        </w:rPr>
        <w:t xml:space="preserve"> rinkos nepakankamumo atvejai</w:t>
      </w:r>
      <w:bookmarkEnd w:id="125"/>
    </w:p>
    <w:p w14:paraId="674C8DA1" w14:textId="5C5BAF88" w:rsidR="002F28BB" w:rsidRDefault="00147FA6" w:rsidP="00C5035E">
      <w:pPr>
        <w:spacing w:before="200" w:after="60" w:line="240" w:lineRule="auto"/>
        <w:jc w:val="both"/>
        <w:rPr>
          <w:rFonts w:ascii="Times New Roman" w:hAnsi="Times New Roman"/>
          <w:szCs w:val="22"/>
        </w:rPr>
      </w:pPr>
      <w:r w:rsidRPr="00650EE4">
        <w:rPr>
          <w:rFonts w:ascii="Times New Roman" w:hAnsi="Times New Roman"/>
          <w:szCs w:val="22"/>
        </w:rPr>
        <w:t>IRS apimtyje</w:t>
      </w:r>
      <w:r w:rsidR="000D12F5" w:rsidRPr="00650EE4">
        <w:rPr>
          <w:rFonts w:ascii="Times New Roman" w:hAnsi="Times New Roman"/>
          <w:szCs w:val="22"/>
        </w:rPr>
        <w:t xml:space="preserve"> terminas „rinkos nepakankamumas“ sietinas su įvairiomis problemomis, dėl kurių gali būti lėčiau pertvarkomas pastatų ūkis ir išnaudojamos galimybės ekonomiškai efektyviai užtikrinti energijos taupymą</w:t>
      </w:r>
      <w:r w:rsidR="00321B0E" w:rsidRPr="00650EE4">
        <w:rPr>
          <w:rFonts w:ascii="Times New Roman" w:hAnsi="Times New Roman"/>
          <w:szCs w:val="22"/>
        </w:rPr>
        <w:t xml:space="preserve">. Jis gali būti </w:t>
      </w:r>
      <w:r w:rsidRPr="00650EE4">
        <w:rPr>
          <w:rFonts w:ascii="Times New Roman" w:hAnsi="Times New Roman"/>
          <w:szCs w:val="22"/>
        </w:rPr>
        <w:t>suprantama</w:t>
      </w:r>
      <w:r w:rsidR="00321B0E" w:rsidRPr="00650EE4">
        <w:rPr>
          <w:rFonts w:ascii="Times New Roman" w:hAnsi="Times New Roman"/>
          <w:szCs w:val="22"/>
        </w:rPr>
        <w:t>s</w:t>
      </w:r>
      <w:r w:rsidRPr="00650EE4">
        <w:rPr>
          <w:rFonts w:ascii="Times New Roman" w:hAnsi="Times New Roman"/>
          <w:szCs w:val="22"/>
        </w:rPr>
        <w:t xml:space="preserve"> kaip visuma trikdžių ir barjerų dėl kurių </w:t>
      </w:r>
      <w:r w:rsidR="004302FE" w:rsidRPr="00650EE4">
        <w:rPr>
          <w:rFonts w:ascii="Times New Roman" w:hAnsi="Times New Roman"/>
          <w:szCs w:val="22"/>
        </w:rPr>
        <w:t>renovacijos</w:t>
      </w:r>
      <w:r w:rsidRPr="00650EE4">
        <w:rPr>
          <w:rFonts w:ascii="Times New Roman" w:hAnsi="Times New Roman"/>
          <w:szCs w:val="22"/>
        </w:rPr>
        <w:t xml:space="preserve"> proce</w:t>
      </w:r>
      <w:r w:rsidR="00C2113C" w:rsidRPr="00650EE4">
        <w:rPr>
          <w:rFonts w:ascii="Times New Roman" w:hAnsi="Times New Roman"/>
          <w:szCs w:val="22"/>
        </w:rPr>
        <w:t>sas nevyksta arba vyks</w:t>
      </w:r>
      <w:r w:rsidRPr="00650EE4">
        <w:rPr>
          <w:rFonts w:ascii="Times New Roman" w:hAnsi="Times New Roman"/>
          <w:szCs w:val="22"/>
        </w:rPr>
        <w:t xml:space="preserve">ta nepakankamu tempu. </w:t>
      </w:r>
    </w:p>
    <w:p w14:paraId="4469D85C" w14:textId="77777777" w:rsidR="00C5035E" w:rsidRPr="00C5035E" w:rsidRDefault="00C5035E" w:rsidP="00C5035E">
      <w:pPr>
        <w:spacing w:before="200" w:after="60" w:line="240" w:lineRule="auto"/>
        <w:jc w:val="both"/>
        <w:rPr>
          <w:rFonts w:ascii="Times New Roman" w:hAnsi="Times New Roman"/>
          <w:szCs w:val="22"/>
        </w:rPr>
      </w:pPr>
    </w:p>
    <w:p w14:paraId="4E060E9A" w14:textId="1593DC0D" w:rsidR="00881066" w:rsidRPr="00650EE4" w:rsidRDefault="00881066" w:rsidP="00C52BF4">
      <w:pPr>
        <w:pStyle w:val="BodyText"/>
        <w:spacing w:after="120"/>
        <w:jc w:val="both"/>
        <w:rPr>
          <w:rFonts w:ascii="Times New Roman" w:hAnsi="Times New Roman"/>
          <w:b/>
          <w:bCs/>
          <w:color w:val="000000" w:themeColor="text1"/>
          <w:sz w:val="24"/>
          <w:szCs w:val="22"/>
          <w:lang w:val="lt-LT"/>
        </w:rPr>
      </w:pPr>
      <w:r w:rsidRPr="00650EE4">
        <w:rPr>
          <w:rFonts w:ascii="Times New Roman" w:hAnsi="Times New Roman"/>
          <w:b/>
          <w:bCs/>
          <w:color w:val="000000" w:themeColor="text1"/>
          <w:sz w:val="24"/>
          <w:szCs w:val="22"/>
          <w:lang w:val="lt-LT"/>
        </w:rPr>
        <w:t xml:space="preserve">Skirtingų paskatų dilemos </w:t>
      </w:r>
    </w:p>
    <w:p w14:paraId="3D7072A8"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Skirtingos paskatos atsiranda pastato savininkui ir nuomininkui arba savininkams, kai už energetikos infrastruktūros modernizavimą arba didesnio naudingumo užtikrinimo priemones mokanti šalis negali gauti visos naudos ir užsitikrinti taupymo.</w:t>
      </w:r>
    </w:p>
    <w:p w14:paraId="1DEB69C1"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EVED 19 straipsnyje įtvirtintas reikalavimas, kad valstybės narės „Įvertina ir prireikus imasi atitinkamų priemonių, kad pašalintų reguliavimo ir su reguliavimu nesusijusias energijos vartojimo efektyvumo kliūtis, nedarant poveikio nuosavybę ir nuomą reglamentuojančios valstybių narių teisės pagrindiniams principams, visų pirma dėl: pastato savininkui ir nuomininkui arba skirtingiems savininkams skirtų skatinamųjų priemonių atskyrimo, siekiant užtikrinti, kad šios šalys nebūtų atgrasomos nuo investicijų į energijos vartojimo efektyvumo didinimą, kurias jos būtų vykdžiusios, jei jų nebūtų atgrasę tai, kad joms atskirai teks ne visa nauda arba kad nėra kaštų ir naudos pasidalijimo taisyklių, įskaitant nacionalines taisykles ir priemones, kuriomis reglamentuojamos sprendimų priėmimo procedūros bendrosios nuosavybės atveju“.</w:t>
      </w:r>
    </w:p>
    <w:p w14:paraId="6B44D8F8" w14:textId="77777777" w:rsidR="00240506" w:rsidRPr="00650EE4" w:rsidRDefault="00240506" w:rsidP="003F7E15">
      <w:pPr>
        <w:spacing w:before="200" w:after="60" w:line="240" w:lineRule="auto"/>
        <w:jc w:val="both"/>
        <w:rPr>
          <w:rFonts w:ascii="Times New Roman" w:hAnsi="Times New Roman"/>
          <w:szCs w:val="22"/>
        </w:rPr>
      </w:pPr>
      <w:r w:rsidRPr="00650EE4">
        <w:rPr>
          <w:rFonts w:ascii="Times New Roman" w:hAnsi="Times New Roman"/>
          <w:szCs w:val="22"/>
        </w:rPr>
        <w:t>Išskiriami šie pagrindiniai skirtingų paskatų dilemų tipai:</w:t>
      </w:r>
    </w:p>
    <w:p w14:paraId="4B44835A" w14:textId="06CD99F5"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n</w:t>
      </w:r>
      <w:r w:rsidR="007A6800" w:rsidRPr="00650EE4">
        <w:rPr>
          <w:rFonts w:ascii="Times New Roman" w:hAnsi="Times New Roman"/>
          <w:szCs w:val="22"/>
          <w:lang w:val="lt-LT"/>
        </w:rPr>
        <w:t>aud</w:t>
      </w:r>
      <w:r w:rsidR="00240506" w:rsidRPr="00650EE4">
        <w:rPr>
          <w:rFonts w:ascii="Times New Roman" w:hAnsi="Times New Roman"/>
          <w:szCs w:val="22"/>
          <w:lang w:val="lt-LT"/>
        </w:rPr>
        <w:t>otojo paskatų dilema</w:t>
      </w:r>
      <w:r>
        <w:rPr>
          <w:rFonts w:ascii="Times New Roman" w:hAnsi="Times New Roman"/>
          <w:szCs w:val="22"/>
          <w:lang w:val="lt-LT"/>
        </w:rPr>
        <w:t>;</w:t>
      </w:r>
    </w:p>
    <w:p w14:paraId="1E6FE4D8" w14:textId="5BCDB7EA"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e</w:t>
      </w:r>
      <w:r w:rsidR="00240506" w:rsidRPr="00650EE4">
        <w:rPr>
          <w:rFonts w:ascii="Times New Roman" w:hAnsi="Times New Roman"/>
          <w:szCs w:val="22"/>
          <w:lang w:val="lt-LT"/>
        </w:rPr>
        <w:t>fektyvumo paskatų dilema</w:t>
      </w:r>
      <w:r>
        <w:rPr>
          <w:rFonts w:ascii="Times New Roman" w:hAnsi="Times New Roman"/>
          <w:szCs w:val="22"/>
          <w:lang w:val="lt-LT"/>
        </w:rPr>
        <w:t>;</w:t>
      </w:r>
    </w:p>
    <w:p w14:paraId="45AB0171" w14:textId="58AD4BAD" w:rsidR="00240506" w:rsidRPr="00650EE4" w:rsidRDefault="006013CC" w:rsidP="00BD4925">
      <w:pPr>
        <w:pStyle w:val="ListParagraph"/>
        <w:numPr>
          <w:ilvl w:val="0"/>
          <w:numId w:val="49"/>
        </w:numPr>
        <w:spacing w:after="60"/>
        <w:contextualSpacing w:val="0"/>
        <w:jc w:val="both"/>
        <w:rPr>
          <w:rFonts w:ascii="Times New Roman" w:hAnsi="Times New Roman"/>
          <w:szCs w:val="22"/>
          <w:lang w:val="lt-LT"/>
        </w:rPr>
      </w:pPr>
      <w:r>
        <w:rPr>
          <w:rFonts w:ascii="Times New Roman" w:hAnsi="Times New Roman"/>
          <w:szCs w:val="22"/>
          <w:lang w:val="lt-LT"/>
        </w:rPr>
        <w:t>s</w:t>
      </w:r>
      <w:r w:rsidR="00240506" w:rsidRPr="00650EE4">
        <w:rPr>
          <w:rFonts w:ascii="Times New Roman" w:hAnsi="Times New Roman"/>
          <w:szCs w:val="22"/>
          <w:lang w:val="lt-LT"/>
        </w:rPr>
        <w:t>kirtingų savininkų (naudotojų) paskatų dilema</w:t>
      </w:r>
      <w:r>
        <w:rPr>
          <w:rFonts w:ascii="Times New Roman" w:hAnsi="Times New Roman"/>
          <w:szCs w:val="22"/>
          <w:lang w:val="lt-LT"/>
        </w:rPr>
        <w:t>;</w:t>
      </w:r>
    </w:p>
    <w:p w14:paraId="4C63371F" w14:textId="40E1ADA9" w:rsidR="00240506" w:rsidRPr="00650EE4" w:rsidRDefault="006013CC" w:rsidP="00BD4925">
      <w:pPr>
        <w:pStyle w:val="ListParagraph"/>
        <w:numPr>
          <w:ilvl w:val="0"/>
          <w:numId w:val="49"/>
        </w:numPr>
        <w:contextualSpacing w:val="0"/>
        <w:jc w:val="both"/>
        <w:rPr>
          <w:rFonts w:ascii="Times New Roman" w:hAnsi="Times New Roman"/>
          <w:szCs w:val="22"/>
          <w:lang w:val="lt-LT"/>
        </w:rPr>
      </w:pPr>
      <w:r>
        <w:rPr>
          <w:rFonts w:ascii="Times New Roman" w:hAnsi="Times New Roman"/>
          <w:szCs w:val="22"/>
          <w:lang w:val="lt-LT"/>
        </w:rPr>
        <w:t>l</w:t>
      </w:r>
      <w:r w:rsidR="007A6800" w:rsidRPr="00650EE4">
        <w:rPr>
          <w:rFonts w:ascii="Times New Roman" w:hAnsi="Times New Roman"/>
          <w:szCs w:val="22"/>
          <w:lang w:val="lt-LT"/>
        </w:rPr>
        <w:t>aikinos paskatų dilemos</w:t>
      </w:r>
      <w:r w:rsidR="00240506" w:rsidRPr="00650EE4">
        <w:rPr>
          <w:rFonts w:ascii="Times New Roman" w:hAnsi="Times New Roman"/>
          <w:szCs w:val="22"/>
          <w:lang w:val="lt-LT"/>
        </w:rPr>
        <w:t>.</w:t>
      </w:r>
    </w:p>
    <w:p w14:paraId="15468FC2" w14:textId="77777777" w:rsidR="00240506" w:rsidRPr="00650EE4" w:rsidRDefault="00240506" w:rsidP="00240506">
      <w:pPr>
        <w:spacing w:line="240" w:lineRule="auto"/>
        <w:ind w:left="51"/>
        <w:jc w:val="both"/>
        <w:rPr>
          <w:rFonts w:ascii="Times New Roman" w:hAnsi="Times New Roman"/>
          <w:szCs w:val="22"/>
        </w:rPr>
      </w:pPr>
    </w:p>
    <w:p w14:paraId="4F05C3BE" w14:textId="45D2111E" w:rsidR="00240506" w:rsidRPr="00650EE4" w:rsidRDefault="00240506" w:rsidP="00240506">
      <w:pPr>
        <w:spacing w:line="240" w:lineRule="auto"/>
        <w:ind w:left="51"/>
        <w:jc w:val="both"/>
        <w:rPr>
          <w:rFonts w:ascii="Times New Roman" w:hAnsi="Times New Roman"/>
          <w:szCs w:val="22"/>
        </w:rPr>
      </w:pPr>
      <w:r w:rsidRPr="00650EE4">
        <w:rPr>
          <w:rFonts w:ascii="Times New Roman" w:hAnsi="Times New Roman"/>
          <w:szCs w:val="22"/>
        </w:rPr>
        <w:t>Konkretus skirtingų paskatų dilemos tipas yra tiesiogiai siejamas su pastato ir pastato naudotojo tipais, žr. lentelę žemiau.</w:t>
      </w:r>
    </w:p>
    <w:p w14:paraId="347C64B4" w14:textId="77777777" w:rsidR="00496BF9" w:rsidRPr="00650EE4" w:rsidRDefault="00496BF9" w:rsidP="00240506">
      <w:pPr>
        <w:spacing w:line="240" w:lineRule="auto"/>
        <w:ind w:left="51"/>
        <w:jc w:val="both"/>
        <w:rPr>
          <w:rFonts w:ascii="Times New Roman" w:hAnsi="Times New Roman"/>
          <w:szCs w:val="22"/>
        </w:rPr>
      </w:pPr>
    </w:p>
    <w:p w14:paraId="648678B5" w14:textId="02EB7AFA"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26" w:name="_Toc59094226"/>
      <w:r w:rsidR="00F25C65">
        <w:t>43</w:t>
      </w:r>
      <w:r w:rsidRPr="00650EE4">
        <w:rPr>
          <w:noProof w:val="0"/>
        </w:rPr>
        <w:fldChar w:fldCharType="end"/>
      </w:r>
      <w:r w:rsidR="00240506" w:rsidRPr="00650EE4">
        <w:rPr>
          <w:noProof w:val="0"/>
        </w:rPr>
        <w:t xml:space="preserve"> lentelė. Skirtingų paskatų dilemų klasifikacija</w:t>
      </w:r>
      <w:bookmarkEnd w:id="126"/>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727"/>
        <w:gridCol w:w="3586"/>
        <w:gridCol w:w="4005"/>
      </w:tblGrid>
      <w:tr w:rsidR="00240506" w:rsidRPr="00650EE4" w14:paraId="4C186E51" w14:textId="77777777" w:rsidTr="003F0F52">
        <w:trPr>
          <w:tblHeader/>
        </w:trPr>
        <w:tc>
          <w:tcPr>
            <w:tcW w:w="2694" w:type="dxa"/>
          </w:tcPr>
          <w:p w14:paraId="15D19591"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Pastato tipas</w:t>
            </w:r>
          </w:p>
        </w:tc>
        <w:tc>
          <w:tcPr>
            <w:tcW w:w="3543" w:type="dxa"/>
          </w:tcPr>
          <w:p w14:paraId="24639F0A" w14:textId="77777777" w:rsidR="00240506" w:rsidRPr="00650EE4" w:rsidRDefault="00240506" w:rsidP="003F0F52">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 xml:space="preserve">Naudotojas yra savininkas </w:t>
            </w:r>
          </w:p>
        </w:tc>
        <w:tc>
          <w:tcPr>
            <w:tcW w:w="3957" w:type="dxa"/>
          </w:tcPr>
          <w:p w14:paraId="1CD9016D"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Naudotojas yra nuomininkas </w:t>
            </w:r>
          </w:p>
        </w:tc>
      </w:tr>
      <w:tr w:rsidR="00240506" w:rsidRPr="00650EE4" w14:paraId="0AC33F4F" w14:textId="77777777" w:rsidTr="003F0F52">
        <w:tc>
          <w:tcPr>
            <w:tcW w:w="2694" w:type="dxa"/>
          </w:tcPr>
          <w:p w14:paraId="604CEA59" w14:textId="77777777" w:rsidR="00240506" w:rsidRPr="00650EE4" w:rsidRDefault="00240506" w:rsidP="003F0F52">
            <w:pPr>
              <w:autoSpaceDE w:val="0"/>
              <w:autoSpaceDN w:val="0"/>
              <w:adjustRightInd w:val="0"/>
              <w:spacing w:line="240" w:lineRule="auto"/>
              <w:rPr>
                <w:rFonts w:ascii="Times New Roman" w:eastAsiaTheme="minorHAnsi" w:hAnsi="Times New Roman"/>
                <w:b/>
                <w:bCs/>
                <w:color w:val="000000" w:themeColor="text1"/>
                <w:sz w:val="20"/>
                <w:szCs w:val="20"/>
              </w:rPr>
            </w:pPr>
            <w:r w:rsidRPr="00650EE4">
              <w:rPr>
                <w:rFonts w:ascii="Times New Roman" w:eastAsiaTheme="minorHAnsi" w:hAnsi="Times New Roman"/>
                <w:b/>
                <w:bCs/>
                <w:color w:val="000000" w:themeColor="text1"/>
                <w:sz w:val="20"/>
                <w:szCs w:val="20"/>
              </w:rPr>
              <w:t>Vienbutis pastatas</w:t>
            </w:r>
          </w:p>
        </w:tc>
        <w:tc>
          <w:tcPr>
            <w:tcW w:w="3543" w:type="dxa"/>
          </w:tcPr>
          <w:p w14:paraId="01C738C5"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Nėra skirtingų paskatų dilemos</w:t>
            </w:r>
          </w:p>
        </w:tc>
        <w:tc>
          <w:tcPr>
            <w:tcW w:w="3957" w:type="dxa"/>
          </w:tcPr>
          <w:p w14:paraId="52D98846"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Naudotojo paskatų dilema</w:t>
            </w:r>
          </w:p>
          <w:p w14:paraId="7E4DD3CC"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Efektyvumo paskatų dilema</w:t>
            </w:r>
          </w:p>
        </w:tc>
      </w:tr>
      <w:tr w:rsidR="00240506" w:rsidRPr="00650EE4" w14:paraId="237F90BB" w14:textId="77777777" w:rsidTr="003F0F52">
        <w:tc>
          <w:tcPr>
            <w:tcW w:w="2694" w:type="dxa"/>
          </w:tcPr>
          <w:p w14:paraId="7F607976" w14:textId="77777777" w:rsidR="00240506" w:rsidRPr="00650EE4" w:rsidRDefault="00240506" w:rsidP="003F0F52">
            <w:pPr>
              <w:autoSpaceDE w:val="0"/>
              <w:autoSpaceDN w:val="0"/>
              <w:adjustRightInd w:val="0"/>
              <w:spacing w:line="240" w:lineRule="auto"/>
              <w:rPr>
                <w:rFonts w:ascii="Times New Roman" w:eastAsiaTheme="minorHAnsi" w:hAnsi="Times New Roman"/>
                <w:b/>
                <w:color w:val="000000" w:themeColor="text1"/>
                <w:sz w:val="20"/>
                <w:szCs w:val="20"/>
              </w:rPr>
            </w:pPr>
            <w:r w:rsidRPr="00650EE4">
              <w:rPr>
                <w:rFonts w:ascii="Times New Roman" w:eastAsiaTheme="minorHAnsi" w:hAnsi="Times New Roman"/>
                <w:b/>
                <w:color w:val="000000" w:themeColor="text1"/>
                <w:sz w:val="20"/>
                <w:szCs w:val="20"/>
              </w:rPr>
              <w:t>Daugiabutis pastatas</w:t>
            </w:r>
          </w:p>
        </w:tc>
        <w:tc>
          <w:tcPr>
            <w:tcW w:w="3543" w:type="dxa"/>
          </w:tcPr>
          <w:p w14:paraId="332093D0"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Skirtingų savininkų paskatų dilema</w:t>
            </w:r>
          </w:p>
        </w:tc>
        <w:tc>
          <w:tcPr>
            <w:tcW w:w="3957" w:type="dxa"/>
          </w:tcPr>
          <w:p w14:paraId="03D3546E"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Skirtingų naudotojų paskatų dilema</w:t>
            </w:r>
          </w:p>
          <w:p w14:paraId="5D5AA679"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Naudotojo paskatų dilema</w:t>
            </w:r>
          </w:p>
          <w:p w14:paraId="79B157BB" w14:textId="77777777" w:rsidR="00240506" w:rsidRPr="00650EE4" w:rsidRDefault="00240506" w:rsidP="003F0F52">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Efektyvumo paskatų dilema</w:t>
            </w:r>
          </w:p>
        </w:tc>
      </w:tr>
    </w:tbl>
    <w:p w14:paraId="2307ADAA" w14:textId="368A8B19" w:rsidR="007E7C93" w:rsidRPr="00650EE4" w:rsidRDefault="007E7C93" w:rsidP="007E7C93">
      <w:pPr>
        <w:spacing w:before="60" w:line="240" w:lineRule="auto"/>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Studijos </w:t>
      </w:r>
      <w:r w:rsidR="00D47C9F">
        <w:rPr>
          <w:rFonts w:ascii="Times New Roman" w:hAnsi="Times New Roman"/>
          <w:i/>
          <w:iCs/>
          <w:color w:val="auto"/>
          <w:sz w:val="20"/>
          <w:szCs w:val="20"/>
        </w:rPr>
        <w:t>Lietuvos ilgalaikei renovacijos strategijai parengti</w:t>
      </w:r>
      <w:r w:rsidR="00D47C9F" w:rsidRPr="00650EE4">
        <w:rPr>
          <w:rFonts w:ascii="Times New Roman" w:eastAsia="Times New Roman" w:hAnsi="Times New Roman"/>
          <w:i/>
          <w:color w:val="000000" w:themeColor="text1"/>
          <w:sz w:val="20"/>
          <w:szCs w:val="20"/>
        </w:rPr>
        <w:t xml:space="preserve"> </w:t>
      </w:r>
      <w:r w:rsidRPr="00650EE4">
        <w:rPr>
          <w:rFonts w:ascii="Times New Roman" w:eastAsia="Times New Roman" w:hAnsi="Times New Roman"/>
          <w:i/>
          <w:color w:val="000000" w:themeColor="text1"/>
          <w:sz w:val="20"/>
          <w:szCs w:val="20"/>
        </w:rPr>
        <w:t>autoriai</w:t>
      </w:r>
    </w:p>
    <w:p w14:paraId="090E9035" w14:textId="77777777" w:rsidR="00082976" w:rsidRPr="00650EE4" w:rsidRDefault="00082976" w:rsidP="00552DDD">
      <w:pPr>
        <w:spacing w:line="240" w:lineRule="auto"/>
        <w:ind w:left="51"/>
        <w:jc w:val="both"/>
        <w:rPr>
          <w:rFonts w:ascii="Times New Roman" w:hAnsi="Times New Roman"/>
          <w:i/>
          <w:szCs w:val="22"/>
        </w:rPr>
      </w:pPr>
    </w:p>
    <w:p w14:paraId="00E1524E" w14:textId="48D9A98A" w:rsidR="00240506" w:rsidRPr="00650EE4" w:rsidRDefault="00DD76A7" w:rsidP="00201227">
      <w:pPr>
        <w:spacing w:before="120" w:after="60" w:line="240" w:lineRule="auto"/>
        <w:jc w:val="both"/>
        <w:rPr>
          <w:rFonts w:ascii="Times New Roman" w:hAnsi="Times New Roman"/>
          <w:b/>
          <w:bCs/>
          <w:iCs/>
          <w:szCs w:val="22"/>
        </w:rPr>
      </w:pPr>
      <w:r w:rsidRPr="00650EE4">
        <w:rPr>
          <w:rFonts w:ascii="Times New Roman" w:hAnsi="Times New Roman"/>
          <w:b/>
          <w:bCs/>
          <w:iCs/>
          <w:szCs w:val="22"/>
        </w:rPr>
        <w:t xml:space="preserve">a) </w:t>
      </w:r>
      <w:r w:rsidR="00240506" w:rsidRPr="00650EE4">
        <w:rPr>
          <w:rFonts w:ascii="Times New Roman" w:hAnsi="Times New Roman"/>
          <w:b/>
          <w:bCs/>
          <w:iCs/>
          <w:szCs w:val="22"/>
        </w:rPr>
        <w:t xml:space="preserve">Naudotojo paskatų dilema </w:t>
      </w:r>
    </w:p>
    <w:p w14:paraId="5F1F1D07" w14:textId="77777777" w:rsidR="00240506" w:rsidRPr="00650EE4" w:rsidRDefault="00240506" w:rsidP="00EB10DC">
      <w:pPr>
        <w:spacing w:before="120" w:line="240" w:lineRule="auto"/>
        <w:jc w:val="both"/>
        <w:rPr>
          <w:rFonts w:ascii="Times New Roman" w:hAnsi="Times New Roman"/>
          <w:szCs w:val="22"/>
        </w:rPr>
      </w:pPr>
      <w:r w:rsidRPr="00650EE4">
        <w:rPr>
          <w:rFonts w:ascii="Times New Roman" w:hAnsi="Times New Roman"/>
          <w:szCs w:val="22"/>
        </w:rPr>
        <w:t xml:space="preserve">Naudotojo paskatų dilema tipiniu atveju susiformuoja tuomet, kai pastato naudotojas yra nuomininkas, kurio mokėjimai už energiją nepriklauso nuo faktinio vartojimo t.y. nuomos mokestis yra fiksuotas ir apima visus komunalinius mokesčius. Tokiu atveju nuomininkas neturi tiesioginių ekonominių paskatų racionaliai ir taupiai vartoti energiją. </w:t>
      </w:r>
    </w:p>
    <w:p w14:paraId="53F0EA01" w14:textId="77777777" w:rsidR="00890194" w:rsidRPr="00650EE4" w:rsidRDefault="00890194" w:rsidP="00EB10DC">
      <w:pPr>
        <w:spacing w:line="240" w:lineRule="auto"/>
        <w:jc w:val="both"/>
        <w:rPr>
          <w:rFonts w:ascii="Times New Roman" w:hAnsi="Times New Roman"/>
          <w:b/>
          <w:szCs w:val="22"/>
        </w:rPr>
      </w:pPr>
    </w:p>
    <w:p w14:paraId="2EF53F75" w14:textId="6311A553" w:rsidR="00240506" w:rsidRPr="00650EE4" w:rsidRDefault="00DD76A7" w:rsidP="00201227">
      <w:pPr>
        <w:spacing w:after="60" w:line="240" w:lineRule="auto"/>
        <w:jc w:val="both"/>
        <w:rPr>
          <w:rFonts w:ascii="Times New Roman" w:hAnsi="Times New Roman"/>
          <w:b/>
          <w:bCs/>
          <w:iCs/>
          <w:szCs w:val="22"/>
        </w:rPr>
      </w:pPr>
      <w:r w:rsidRPr="00650EE4">
        <w:rPr>
          <w:rFonts w:ascii="Times New Roman" w:hAnsi="Times New Roman"/>
          <w:b/>
          <w:bCs/>
          <w:iCs/>
          <w:szCs w:val="22"/>
        </w:rPr>
        <w:t xml:space="preserve">b) </w:t>
      </w:r>
      <w:r w:rsidR="00240506" w:rsidRPr="00650EE4">
        <w:rPr>
          <w:rFonts w:ascii="Times New Roman" w:hAnsi="Times New Roman"/>
          <w:b/>
          <w:bCs/>
          <w:iCs/>
          <w:szCs w:val="22"/>
        </w:rPr>
        <w:t xml:space="preserve">Efektyvumo paskatų dilema </w:t>
      </w:r>
    </w:p>
    <w:p w14:paraId="11903C21" w14:textId="192575B1" w:rsidR="00240506" w:rsidRPr="00650EE4" w:rsidRDefault="00240506" w:rsidP="00201227">
      <w:pPr>
        <w:spacing w:before="120" w:line="240" w:lineRule="auto"/>
        <w:jc w:val="both"/>
        <w:rPr>
          <w:rFonts w:ascii="Times New Roman" w:hAnsi="Times New Roman"/>
          <w:szCs w:val="22"/>
        </w:rPr>
      </w:pPr>
      <w:r w:rsidRPr="00650EE4">
        <w:rPr>
          <w:rFonts w:ascii="Times New Roman" w:hAnsi="Times New Roman"/>
          <w:szCs w:val="22"/>
        </w:rPr>
        <w:t xml:space="preserve">Efektyvumo paskatų dilema tipiniu atveju susiformuoja tuomet, kai nuomininkas moka už suvartotą energiją, tačiau turi ribotą galimybę motyvuoti būsto </w:t>
      </w:r>
      <w:r w:rsidR="007A3F67" w:rsidRPr="00650EE4">
        <w:rPr>
          <w:rFonts w:ascii="Times New Roman" w:hAnsi="Times New Roman"/>
          <w:szCs w:val="22"/>
        </w:rPr>
        <w:t>savininką</w:t>
      </w:r>
      <w:r w:rsidRPr="00650EE4">
        <w:rPr>
          <w:rFonts w:ascii="Times New Roman" w:hAnsi="Times New Roman"/>
          <w:szCs w:val="22"/>
        </w:rPr>
        <w:t xml:space="preserve"> investuoti į energinio efektyvumo didinimo priemones. </w:t>
      </w:r>
      <w:r w:rsidR="007A3F67" w:rsidRPr="00650EE4">
        <w:rPr>
          <w:rFonts w:ascii="Times New Roman" w:hAnsi="Times New Roman"/>
          <w:szCs w:val="22"/>
        </w:rPr>
        <w:t>Papildomos</w:t>
      </w:r>
      <w:r w:rsidRPr="00650EE4">
        <w:rPr>
          <w:rFonts w:ascii="Times New Roman" w:hAnsi="Times New Roman"/>
          <w:szCs w:val="22"/>
        </w:rPr>
        <w:t xml:space="preserve"> palankios sąlygos dilemai susiformuoti yra  kai nuomos rinkoje paklausa viršija pasiūlą, energijos kaina nėra didelė, o  rinkos standartas yra trumpalaikės (1-2 metai) nuomos sutartys.  Tokiu atveju,  net nuomininkui pageidaujant, būsto </w:t>
      </w:r>
      <w:r w:rsidR="007A3F67" w:rsidRPr="00650EE4">
        <w:rPr>
          <w:rFonts w:ascii="Times New Roman" w:hAnsi="Times New Roman"/>
          <w:szCs w:val="22"/>
        </w:rPr>
        <w:t>savininkas</w:t>
      </w:r>
      <w:r w:rsidRPr="00650EE4">
        <w:rPr>
          <w:rFonts w:ascii="Times New Roman" w:hAnsi="Times New Roman"/>
          <w:szCs w:val="22"/>
        </w:rPr>
        <w:t xml:space="preserve"> nėra finansiškai motyvuotas investuoti į energiją taupančias priemones, kadangi energijos kaštai yra perkelti nuomininkui, o investicijos tikėtina finansinės grąžos iš nuomos nepadidins. </w:t>
      </w:r>
    </w:p>
    <w:p w14:paraId="35CBE7D7" w14:textId="77777777" w:rsidR="00EB10DC" w:rsidRPr="00650EE4" w:rsidRDefault="00EB10DC" w:rsidP="00201227">
      <w:pPr>
        <w:spacing w:after="60" w:line="240" w:lineRule="auto"/>
        <w:jc w:val="both"/>
        <w:rPr>
          <w:rFonts w:ascii="Times New Roman" w:hAnsi="Times New Roman"/>
          <w:b/>
          <w:bCs/>
          <w:iCs/>
          <w:szCs w:val="22"/>
        </w:rPr>
      </w:pPr>
    </w:p>
    <w:p w14:paraId="1C20166B" w14:textId="2938988F" w:rsidR="00240506" w:rsidRPr="00650EE4" w:rsidRDefault="00DD76A7" w:rsidP="00201227">
      <w:pPr>
        <w:spacing w:after="60" w:line="240" w:lineRule="auto"/>
        <w:jc w:val="both"/>
        <w:rPr>
          <w:rFonts w:ascii="Times New Roman" w:hAnsi="Times New Roman"/>
          <w:b/>
          <w:bCs/>
          <w:iCs/>
          <w:szCs w:val="22"/>
        </w:rPr>
      </w:pPr>
      <w:r w:rsidRPr="00650EE4">
        <w:rPr>
          <w:rFonts w:ascii="Times New Roman" w:hAnsi="Times New Roman"/>
          <w:b/>
          <w:bCs/>
          <w:iCs/>
          <w:szCs w:val="22"/>
        </w:rPr>
        <w:lastRenderedPageBreak/>
        <w:t xml:space="preserve">c) </w:t>
      </w:r>
      <w:r w:rsidR="00240506" w:rsidRPr="00650EE4">
        <w:rPr>
          <w:rFonts w:ascii="Times New Roman" w:hAnsi="Times New Roman"/>
          <w:b/>
          <w:bCs/>
          <w:iCs/>
          <w:szCs w:val="22"/>
        </w:rPr>
        <w:t>Skirtingų savininkų (naudotojų) paskatų dilema</w:t>
      </w:r>
    </w:p>
    <w:p w14:paraId="3E58D077" w14:textId="55EED836" w:rsidR="00E75EED" w:rsidRDefault="00240506" w:rsidP="00E75EED">
      <w:pPr>
        <w:spacing w:before="120" w:after="60" w:line="240" w:lineRule="auto"/>
        <w:jc w:val="both"/>
        <w:rPr>
          <w:rFonts w:ascii="Times New Roman" w:hAnsi="Times New Roman"/>
          <w:szCs w:val="22"/>
        </w:rPr>
      </w:pPr>
      <w:r w:rsidRPr="00650EE4">
        <w:rPr>
          <w:rFonts w:ascii="Times New Roman" w:hAnsi="Times New Roman"/>
          <w:szCs w:val="22"/>
        </w:rPr>
        <w:t>Skirtingų savininkų paskatų dilema yra papildomas barjeras būdingas situacijoms kai pastatu naudojasi daugiau nei vienas savininkas ir (ar) nuomininkas. Skirtingi savininkų (nuomininkų) interesai, lūkesčiai, finansinė situacija ir panašūs veiksniai apsunkina bendro sprendimo, tenkinančio daugumą ir būtino renovacijos procesui vykti, priėmimą.</w:t>
      </w:r>
      <w:r w:rsidR="00E67915" w:rsidRPr="00650EE4">
        <w:rPr>
          <w:rFonts w:ascii="Times New Roman" w:hAnsi="Times New Roman"/>
          <w:szCs w:val="22"/>
        </w:rPr>
        <w:t xml:space="preserve"> </w:t>
      </w:r>
    </w:p>
    <w:p w14:paraId="2B9E271A" w14:textId="77777777" w:rsidR="00C5035E" w:rsidRPr="00650EE4" w:rsidRDefault="00C5035E" w:rsidP="00C5035E">
      <w:pPr>
        <w:spacing w:line="240" w:lineRule="auto"/>
        <w:jc w:val="both"/>
        <w:rPr>
          <w:rFonts w:ascii="Times New Roman" w:hAnsi="Times New Roman"/>
          <w:szCs w:val="22"/>
        </w:rPr>
      </w:pPr>
    </w:p>
    <w:p w14:paraId="7B415ED1" w14:textId="088584D3" w:rsidR="00DD76A7" w:rsidRPr="00650EE4" w:rsidRDefault="00B00460" w:rsidP="007A6800">
      <w:pPr>
        <w:spacing w:after="120" w:line="240" w:lineRule="auto"/>
        <w:jc w:val="both"/>
        <w:rPr>
          <w:rFonts w:ascii="Times New Roman" w:hAnsi="Times New Roman"/>
          <w:b/>
          <w:bCs/>
          <w:iCs/>
          <w:szCs w:val="22"/>
        </w:rPr>
      </w:pPr>
      <w:r w:rsidRPr="00650EE4">
        <w:rPr>
          <w:rFonts w:ascii="Times New Roman" w:hAnsi="Times New Roman"/>
          <w:b/>
          <w:bCs/>
          <w:iCs/>
          <w:szCs w:val="22"/>
        </w:rPr>
        <w:t xml:space="preserve">d) </w:t>
      </w:r>
      <w:r w:rsidR="007A6800" w:rsidRPr="00650EE4">
        <w:rPr>
          <w:rFonts w:ascii="Times New Roman" w:hAnsi="Times New Roman"/>
          <w:b/>
          <w:bCs/>
          <w:iCs/>
          <w:szCs w:val="22"/>
        </w:rPr>
        <w:t>Laikinos</w:t>
      </w:r>
      <w:r w:rsidR="00D714AA" w:rsidRPr="00650EE4">
        <w:rPr>
          <w:rFonts w:ascii="Times New Roman" w:hAnsi="Times New Roman"/>
          <w:b/>
          <w:bCs/>
          <w:iCs/>
          <w:szCs w:val="22"/>
        </w:rPr>
        <w:t xml:space="preserve"> paskatų dilemos</w:t>
      </w:r>
    </w:p>
    <w:p w14:paraId="1B4D2BA9" w14:textId="65AC90D3" w:rsidR="00B00460" w:rsidRPr="00650EE4" w:rsidRDefault="007A6800" w:rsidP="007901DB">
      <w:pPr>
        <w:spacing w:after="60" w:line="240" w:lineRule="auto"/>
        <w:jc w:val="both"/>
        <w:rPr>
          <w:rFonts w:ascii="Times New Roman" w:hAnsi="Times New Roman"/>
          <w:b/>
          <w:bCs/>
          <w:iCs/>
          <w:szCs w:val="22"/>
        </w:rPr>
      </w:pPr>
      <w:r w:rsidRPr="00650EE4">
        <w:rPr>
          <w:rFonts w:ascii="Times New Roman" w:hAnsi="Times New Roman"/>
          <w:szCs w:val="22"/>
        </w:rPr>
        <w:t>Laikinos paskatų dilemos tipiniu atveju susiformuoja tuomet, kai nuomininkas ar savininkas nežino kiek ilgai jis naudosis pastatu arba žino, kad naudosi</w:t>
      </w:r>
      <w:r w:rsidR="00D714AA" w:rsidRPr="00650EE4">
        <w:rPr>
          <w:rFonts w:ascii="Times New Roman" w:hAnsi="Times New Roman"/>
          <w:szCs w:val="22"/>
        </w:rPr>
        <w:t>s</w:t>
      </w:r>
      <w:r w:rsidRPr="00650EE4">
        <w:rPr>
          <w:rFonts w:ascii="Times New Roman" w:hAnsi="Times New Roman"/>
          <w:szCs w:val="22"/>
        </w:rPr>
        <w:t xml:space="preserve"> pastatu </w:t>
      </w:r>
      <w:r w:rsidR="00D714AA" w:rsidRPr="00650EE4">
        <w:rPr>
          <w:rFonts w:ascii="Times New Roman" w:hAnsi="Times New Roman"/>
          <w:szCs w:val="22"/>
        </w:rPr>
        <w:t>tik trumpalaikėje perspektyvoje</w:t>
      </w:r>
      <w:r w:rsidRPr="00650EE4">
        <w:rPr>
          <w:rFonts w:ascii="Times New Roman" w:hAnsi="Times New Roman"/>
          <w:szCs w:val="22"/>
        </w:rPr>
        <w:t>. Atitinkama</w:t>
      </w:r>
      <w:r w:rsidR="0039646B">
        <w:rPr>
          <w:rFonts w:ascii="Times New Roman" w:hAnsi="Times New Roman"/>
          <w:szCs w:val="22"/>
        </w:rPr>
        <w:t>i</w:t>
      </w:r>
      <w:r w:rsidRPr="00650EE4">
        <w:rPr>
          <w:rFonts w:ascii="Times New Roman" w:hAnsi="Times New Roman"/>
          <w:szCs w:val="22"/>
        </w:rPr>
        <w:t xml:space="preserve"> nėra suinteresuotas investuoti </w:t>
      </w:r>
      <w:r w:rsidR="0039646B">
        <w:rPr>
          <w:rFonts w:ascii="Times New Roman" w:hAnsi="Times New Roman"/>
          <w:szCs w:val="22"/>
        </w:rPr>
        <w:t>ar</w:t>
      </w:r>
      <w:r w:rsidR="0039646B" w:rsidRPr="00650EE4">
        <w:rPr>
          <w:rFonts w:ascii="Times New Roman" w:hAnsi="Times New Roman"/>
          <w:szCs w:val="22"/>
        </w:rPr>
        <w:t xml:space="preserve"> </w:t>
      </w:r>
      <w:r w:rsidRPr="00650EE4">
        <w:rPr>
          <w:rFonts w:ascii="Times New Roman" w:hAnsi="Times New Roman"/>
          <w:szCs w:val="22"/>
        </w:rPr>
        <w:t xml:space="preserve">dalyvauti </w:t>
      </w:r>
      <w:r w:rsidR="00D714AA" w:rsidRPr="00650EE4">
        <w:rPr>
          <w:rFonts w:ascii="Times New Roman" w:hAnsi="Times New Roman"/>
          <w:szCs w:val="22"/>
        </w:rPr>
        <w:t>renovacijoje ar bet kokiame kitame kompleksiniame procese reik</w:t>
      </w:r>
      <w:r w:rsidR="007B7670" w:rsidRPr="00650EE4">
        <w:rPr>
          <w:rFonts w:ascii="Times New Roman" w:hAnsi="Times New Roman"/>
          <w:szCs w:val="22"/>
        </w:rPr>
        <w:t>a</w:t>
      </w:r>
      <w:r w:rsidR="00D714AA" w:rsidRPr="00650EE4">
        <w:rPr>
          <w:rFonts w:ascii="Times New Roman" w:hAnsi="Times New Roman"/>
          <w:szCs w:val="22"/>
        </w:rPr>
        <w:t xml:space="preserve">laujančiame laiko, dėmesio ir investicijų. Laikinos paskatų dilemos bendru atveju išsisprendžia pasikeitus pastato savininkui ar esamo savininko planams dėl pastato naudojimo. </w:t>
      </w:r>
    </w:p>
    <w:p w14:paraId="7A90B78D" w14:textId="77777777" w:rsidR="00B00460" w:rsidRPr="00650EE4" w:rsidRDefault="00B00460" w:rsidP="007901DB">
      <w:pPr>
        <w:spacing w:after="60" w:line="240" w:lineRule="auto"/>
        <w:jc w:val="both"/>
        <w:rPr>
          <w:rFonts w:ascii="Times New Roman" w:hAnsi="Times New Roman"/>
          <w:b/>
          <w:bCs/>
          <w:iCs/>
          <w:szCs w:val="22"/>
        </w:rPr>
      </w:pPr>
    </w:p>
    <w:p w14:paraId="4386A1FB" w14:textId="5CF8914A" w:rsidR="00240506" w:rsidRPr="00650EE4" w:rsidRDefault="00890194" w:rsidP="007901DB">
      <w:pPr>
        <w:spacing w:after="60" w:line="240" w:lineRule="auto"/>
        <w:jc w:val="both"/>
        <w:rPr>
          <w:rFonts w:ascii="Times New Roman" w:hAnsi="Times New Roman"/>
          <w:b/>
          <w:bCs/>
          <w:iCs/>
          <w:szCs w:val="22"/>
        </w:rPr>
      </w:pPr>
      <w:r w:rsidRPr="00650EE4">
        <w:rPr>
          <w:rFonts w:ascii="Times New Roman" w:hAnsi="Times New Roman"/>
          <w:b/>
          <w:bCs/>
          <w:iCs/>
          <w:szCs w:val="22"/>
        </w:rPr>
        <w:t>Taikoma</w:t>
      </w:r>
      <w:r w:rsidR="00240506" w:rsidRPr="00650EE4">
        <w:rPr>
          <w:rFonts w:ascii="Times New Roman" w:hAnsi="Times New Roman"/>
          <w:b/>
          <w:bCs/>
          <w:iCs/>
          <w:szCs w:val="22"/>
        </w:rPr>
        <w:t xml:space="preserve"> politika ir veiksmai</w:t>
      </w:r>
    </w:p>
    <w:p w14:paraId="03A3F016" w14:textId="77777777" w:rsidR="00240506" w:rsidRPr="00650EE4" w:rsidRDefault="00240506" w:rsidP="007901DB">
      <w:pPr>
        <w:spacing w:before="120" w:line="240" w:lineRule="auto"/>
        <w:jc w:val="both"/>
        <w:rPr>
          <w:rFonts w:ascii="Times New Roman" w:hAnsi="Times New Roman"/>
          <w:szCs w:val="22"/>
        </w:rPr>
      </w:pPr>
      <w:r w:rsidRPr="00650EE4">
        <w:rPr>
          <w:rFonts w:ascii="Times New Roman" w:hAnsi="Times New Roman"/>
          <w:szCs w:val="22"/>
        </w:rPr>
        <w:t xml:space="preserve">Svarbu pastebėti, kad situacijai kai pastato naudotojas yra ir pastato savininkas būdingas tik vienas skirtingų paskatų dilemos tipas „Skirtingų savininkų paskatų dilema“. Visi kiti skirtingų paskatų dilemų tipai yra būdingi situacijai kai pastato naudotojas nėra pastato savininkas t.y. esant nuomotojo ir nuomininko santykiui. </w:t>
      </w:r>
    </w:p>
    <w:p w14:paraId="433E37A3" w14:textId="42FEF3C5" w:rsidR="00240506" w:rsidRPr="00650EE4" w:rsidRDefault="00240506" w:rsidP="007901DB">
      <w:pPr>
        <w:spacing w:before="200" w:line="240" w:lineRule="auto"/>
        <w:jc w:val="both"/>
        <w:rPr>
          <w:rFonts w:ascii="Times New Roman" w:hAnsi="Times New Roman"/>
          <w:szCs w:val="22"/>
        </w:rPr>
      </w:pPr>
      <w:proofErr w:type="spellStart"/>
      <w:r w:rsidRPr="00650EE4">
        <w:rPr>
          <w:rFonts w:ascii="Times New Roman" w:hAnsi="Times New Roman"/>
          <w:szCs w:val="22"/>
        </w:rPr>
        <w:t>Eurostat</w:t>
      </w:r>
      <w:proofErr w:type="spellEnd"/>
      <w:r w:rsidRPr="00650EE4">
        <w:rPr>
          <w:rFonts w:ascii="Times New Roman" w:hAnsi="Times New Roman"/>
          <w:szCs w:val="22"/>
        </w:rPr>
        <w:t xml:space="preserve"> duomenimis, Lietuvoje absoliuti dauguma pastatų naudotojų yra ir pastatų savininkai (2018 m.  89,9 </w:t>
      </w:r>
      <w:r w:rsidR="002A5166" w:rsidRPr="00650EE4">
        <w:rPr>
          <w:rFonts w:ascii="Times New Roman" w:hAnsi="Times New Roman"/>
          <w:szCs w:val="22"/>
        </w:rPr>
        <w:t>proc.</w:t>
      </w:r>
      <w:r w:rsidRPr="00650EE4">
        <w:rPr>
          <w:rFonts w:ascii="Times New Roman" w:hAnsi="Times New Roman"/>
          <w:szCs w:val="22"/>
        </w:rPr>
        <w:t>)</w:t>
      </w:r>
      <w:r w:rsidRPr="00650EE4">
        <w:rPr>
          <w:rStyle w:val="FootnoteReference"/>
          <w:rFonts w:ascii="Times New Roman" w:hAnsi="Times New Roman"/>
          <w:szCs w:val="22"/>
        </w:rPr>
        <w:footnoteReference w:id="16"/>
      </w:r>
      <w:r w:rsidRPr="00650EE4">
        <w:rPr>
          <w:rFonts w:ascii="Times New Roman" w:hAnsi="Times New Roman"/>
          <w:szCs w:val="22"/>
        </w:rPr>
        <w:t xml:space="preserve">. Atitinkamai, skirtingų paskatų dilemos susiję su nuomotojo-nuomininko santykiu </w:t>
      </w:r>
      <w:r w:rsidR="007A3F67" w:rsidRPr="00650EE4">
        <w:rPr>
          <w:rFonts w:ascii="Times New Roman" w:hAnsi="Times New Roman"/>
          <w:szCs w:val="22"/>
        </w:rPr>
        <w:t>vertintinos</w:t>
      </w:r>
      <w:r w:rsidRPr="00650EE4">
        <w:rPr>
          <w:rFonts w:ascii="Times New Roman" w:hAnsi="Times New Roman"/>
          <w:szCs w:val="22"/>
        </w:rPr>
        <w:t xml:space="preserve"> kaip mažai reikšmingos, kurioms valdyti taikytinos bendrosios poveikio priemonės t.y. vartotojų informavimas apie taupymo naudą, neracionalaus energijos vartojimo žalą ir pan.</w:t>
      </w:r>
    </w:p>
    <w:p w14:paraId="44E9322B" w14:textId="77777777" w:rsidR="00240506" w:rsidRPr="00650EE4" w:rsidRDefault="00240506" w:rsidP="007901DB">
      <w:pPr>
        <w:spacing w:line="240" w:lineRule="auto"/>
        <w:jc w:val="both"/>
        <w:rPr>
          <w:rFonts w:ascii="Times New Roman" w:hAnsi="Times New Roman"/>
          <w:szCs w:val="22"/>
        </w:rPr>
      </w:pPr>
    </w:p>
    <w:p w14:paraId="673FEEA4" w14:textId="6D1C8FFC" w:rsidR="00E67915" w:rsidRPr="00650EE4" w:rsidRDefault="00240506" w:rsidP="00E67915">
      <w:pPr>
        <w:pStyle w:val="Pagrindinispaprastastekstas"/>
        <w:spacing w:after="120"/>
        <w:rPr>
          <w:rFonts w:ascii="Times New Roman" w:hAnsi="Times New Roman"/>
          <w:color w:val="000000" w:themeColor="text1"/>
          <w:szCs w:val="22"/>
        </w:rPr>
      </w:pPr>
      <w:r w:rsidRPr="00650EE4">
        <w:rPr>
          <w:rFonts w:ascii="Times New Roman" w:hAnsi="Times New Roman"/>
          <w:szCs w:val="22"/>
        </w:rPr>
        <w:t xml:space="preserve">Skirtingų savininkų paskatų dilemos </w:t>
      </w:r>
      <w:r w:rsidR="00E67915" w:rsidRPr="00650EE4">
        <w:rPr>
          <w:rFonts w:ascii="Times New Roman" w:hAnsi="Times New Roman"/>
          <w:szCs w:val="22"/>
        </w:rPr>
        <w:t>rizika vertintina kaip aktuali. Da</w:t>
      </w:r>
      <w:r w:rsidR="00E67915" w:rsidRPr="00650EE4">
        <w:rPr>
          <w:rFonts w:ascii="Times New Roman" w:hAnsi="Times New Roman"/>
          <w:color w:val="000000" w:themeColor="text1"/>
          <w:szCs w:val="22"/>
        </w:rPr>
        <w:t>lis daugiabučių butų savininkų ne tik skeptiškai vertina renovacijos teikiamas naudas, bet ir apskritai neidentifikuoja savęs kaip namo bendrosios nuosavybės savininko (atsakingo už tą nuosavybę).</w:t>
      </w:r>
    </w:p>
    <w:p w14:paraId="4136802D" w14:textId="283CD502" w:rsidR="00240506" w:rsidRPr="00650EE4" w:rsidRDefault="00E67915" w:rsidP="007901DB">
      <w:pPr>
        <w:spacing w:line="240" w:lineRule="auto"/>
        <w:jc w:val="both"/>
        <w:rPr>
          <w:rFonts w:ascii="Times New Roman" w:hAnsi="Times New Roman"/>
          <w:szCs w:val="22"/>
        </w:rPr>
      </w:pPr>
      <w:r w:rsidRPr="00650EE4">
        <w:rPr>
          <w:rFonts w:ascii="Times New Roman" w:hAnsi="Times New Roman"/>
          <w:szCs w:val="22"/>
        </w:rPr>
        <w:t>Skirtingų savininkų paskatų dilemos rizika</w:t>
      </w:r>
      <w:r w:rsidR="00240506" w:rsidRPr="00650EE4">
        <w:rPr>
          <w:rFonts w:ascii="Times New Roman" w:hAnsi="Times New Roman"/>
          <w:szCs w:val="22"/>
        </w:rPr>
        <w:t xml:space="preserve"> patvirtina ir LR Valstybės kontrolės 2020 m. atlikto audito, skirto įvertinti, ar efektyviai vykdomas daugiabučių namų atnaujinimo (modernizavimo) procesas, rezultatai. Audito ataskaitoje</w:t>
      </w:r>
      <w:r w:rsidR="00240506" w:rsidRPr="00650EE4">
        <w:rPr>
          <w:rStyle w:val="FootnoteReference"/>
          <w:rFonts w:ascii="Times New Roman" w:hAnsi="Times New Roman"/>
          <w:szCs w:val="22"/>
        </w:rPr>
        <w:footnoteReference w:id="17"/>
      </w:r>
      <w:r w:rsidR="00EF6F83" w:rsidRPr="00650EE4">
        <w:rPr>
          <w:rFonts w:ascii="Times New Roman" w:hAnsi="Times New Roman"/>
          <w:szCs w:val="22"/>
        </w:rPr>
        <w:t xml:space="preserve"> konstatuojama, kad „</w:t>
      </w:r>
      <w:r w:rsidR="00240506" w:rsidRPr="00650EE4">
        <w:rPr>
          <w:rFonts w:ascii="Times New Roman" w:hAnsi="Times New Roman"/>
          <w:szCs w:val="22"/>
        </w:rPr>
        <w:t xml:space="preserve">dėl savininkų nepritarimo modernizavimui iki 2019 m. liepos mėn. buvo neįgyvendinta 35 proc. (822 iš 2 329) projektų. Todėl sklandžiam daugiabučių namų modernizavimui reikalingas savininkų įsitraukimas. </w:t>
      </w:r>
    </w:p>
    <w:p w14:paraId="62E00F0B" w14:textId="77777777" w:rsidR="00240506" w:rsidRPr="00650EE4" w:rsidRDefault="00240506" w:rsidP="007901DB">
      <w:pPr>
        <w:rPr>
          <w:rFonts w:ascii="Times New Roman" w:hAnsi="Times New Roman"/>
          <w:szCs w:val="22"/>
        </w:rPr>
      </w:pPr>
    </w:p>
    <w:p w14:paraId="48AE0AE3" w14:textId="20CCCD77" w:rsidR="00240506" w:rsidRPr="00650EE4" w:rsidRDefault="00240506" w:rsidP="007901DB">
      <w:pPr>
        <w:spacing w:after="60" w:line="240" w:lineRule="auto"/>
        <w:jc w:val="both"/>
        <w:rPr>
          <w:rFonts w:ascii="Times New Roman" w:hAnsi="Times New Roman"/>
          <w:szCs w:val="22"/>
        </w:rPr>
      </w:pPr>
      <w:r w:rsidRPr="00650EE4">
        <w:rPr>
          <w:rFonts w:ascii="Times New Roman" w:hAnsi="Times New Roman"/>
          <w:szCs w:val="22"/>
        </w:rPr>
        <w:t>Skirtingų savininkų paskatų dilema Lietuvoje sprendžiama kompleksiškai taikant tiek teisines</w:t>
      </w:r>
      <w:r w:rsidR="007B7670" w:rsidRPr="00650EE4">
        <w:rPr>
          <w:rFonts w:ascii="Times New Roman" w:hAnsi="Times New Roman"/>
          <w:szCs w:val="22"/>
        </w:rPr>
        <w:t>,</w:t>
      </w:r>
      <w:r w:rsidRPr="00650EE4">
        <w:rPr>
          <w:rFonts w:ascii="Times New Roman" w:hAnsi="Times New Roman"/>
          <w:szCs w:val="22"/>
        </w:rPr>
        <w:t xml:space="preserve"> tiek viešinimo priemones:</w:t>
      </w:r>
    </w:p>
    <w:p w14:paraId="57E483E6" w14:textId="77777777" w:rsidR="00240506" w:rsidRPr="00650EE4" w:rsidRDefault="00240506" w:rsidP="00240506">
      <w:pPr>
        <w:pStyle w:val="ListParagraph"/>
        <w:numPr>
          <w:ilvl w:val="0"/>
          <w:numId w:val="12"/>
        </w:numPr>
        <w:spacing w:after="60"/>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Sprendimui dėl renovacijos pakanka 50 proc. plius vieno balso (minimali dauguma) - vadovaujantis Civilinio kodekso 4.85 straipsniu „sprendimai dėl bendrojo naudojimo objektų valdymo ir naudojimo priimami butų ir kitų patalpų savininkų balsų dauguma t.y. jeigu daugiabučio namo atnaujinimui pritaria daugiau kaip 50 procentų butų ir kitų patalpų savininkų, priimamas ir protokolu įtvirtinamas sprendimas dėl daugiabučio namo atnaujinimo. </w:t>
      </w:r>
    </w:p>
    <w:p w14:paraId="74A4FBCC" w14:textId="1D9A8870" w:rsidR="00240506" w:rsidRPr="00650EE4" w:rsidRDefault="00240506" w:rsidP="00240506">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Socialiai </w:t>
      </w:r>
      <w:r w:rsidR="00F94E89" w:rsidRPr="00650EE4">
        <w:rPr>
          <w:rFonts w:ascii="Times New Roman" w:hAnsi="Times New Roman"/>
          <w:szCs w:val="22"/>
          <w:lang w:val="lt-LT"/>
        </w:rPr>
        <w:t>remtini</w:t>
      </w:r>
      <w:r w:rsidRPr="00650EE4">
        <w:rPr>
          <w:rFonts w:ascii="Times New Roman" w:hAnsi="Times New Roman"/>
          <w:szCs w:val="22"/>
          <w:lang w:val="lt-LT"/>
        </w:rPr>
        <w:t xml:space="preserve"> asmenys yra remiami valstybės </w:t>
      </w:r>
      <w:r w:rsidR="007B7670" w:rsidRPr="00650EE4">
        <w:rPr>
          <w:rFonts w:ascii="Times New Roman" w:hAnsi="Times New Roman"/>
          <w:szCs w:val="22"/>
          <w:lang w:val="lt-LT"/>
        </w:rPr>
        <w:t xml:space="preserve">– </w:t>
      </w:r>
      <w:r w:rsidRPr="00650EE4">
        <w:rPr>
          <w:rFonts w:ascii="Times New Roman" w:hAnsi="Times New Roman"/>
          <w:szCs w:val="22"/>
          <w:lang w:val="lt-LT"/>
        </w:rPr>
        <w:t xml:space="preserve">socialiai remtini asmenys, turintys teisę į kompensaciją už šildymą, gauna 100 proc. valstybės paramą techninės dokumentacijos parengimui, bei statybos ir rangos darbams paimto kredito ir palūkanų padengimui. Jiems renovacija visiškai nieko nekainuoja. </w:t>
      </w:r>
    </w:p>
    <w:p w14:paraId="785CBADD" w14:textId="709B28E3" w:rsidR="00240506" w:rsidRPr="00650EE4" w:rsidRDefault="00EF6F83" w:rsidP="00240506">
      <w:pPr>
        <w:pStyle w:val="ListParagraph"/>
        <w:numPr>
          <w:ilvl w:val="0"/>
          <w:numId w:val="12"/>
        </w:numPr>
        <w:spacing w:after="60"/>
        <w:ind w:left="714" w:hanging="357"/>
        <w:contextualSpacing w:val="0"/>
        <w:jc w:val="both"/>
        <w:rPr>
          <w:rFonts w:ascii="Times New Roman" w:hAnsi="Times New Roman"/>
          <w:szCs w:val="22"/>
          <w:lang w:val="lt-LT"/>
        </w:rPr>
      </w:pPr>
      <w:r w:rsidRPr="00650EE4">
        <w:rPr>
          <w:rFonts w:ascii="Times New Roman" w:hAnsi="Times New Roman"/>
          <w:szCs w:val="22"/>
          <w:lang w:val="lt-LT"/>
        </w:rPr>
        <w:t>Visoms t</w:t>
      </w:r>
      <w:r w:rsidR="00240506" w:rsidRPr="00650EE4">
        <w:rPr>
          <w:rFonts w:ascii="Times New Roman" w:hAnsi="Times New Roman"/>
          <w:szCs w:val="22"/>
          <w:lang w:val="lt-LT"/>
        </w:rPr>
        <w:t>ikslinėms savininkų grupėms taikomos viešinimo ir informavimo priemonės</w:t>
      </w:r>
      <w:r w:rsidR="00240506" w:rsidRPr="00650EE4">
        <w:rPr>
          <w:rStyle w:val="FootnoteReference"/>
          <w:rFonts w:ascii="Times New Roman" w:hAnsi="Times New Roman"/>
          <w:szCs w:val="22"/>
          <w:lang w:val="lt-LT"/>
        </w:rPr>
        <w:footnoteReference w:id="18"/>
      </w:r>
      <w:r w:rsidRPr="00650EE4">
        <w:rPr>
          <w:rFonts w:ascii="Times New Roman" w:hAnsi="Times New Roman"/>
          <w:szCs w:val="22"/>
          <w:lang w:val="lt-LT"/>
        </w:rPr>
        <w:t>.</w:t>
      </w:r>
    </w:p>
    <w:p w14:paraId="5D6AA4A4" w14:textId="77777777" w:rsidR="00240506" w:rsidRPr="00650EE4" w:rsidRDefault="00240506" w:rsidP="00240506">
      <w:pPr>
        <w:rPr>
          <w:rFonts w:ascii="Times New Roman" w:hAnsi="Times New Roman"/>
          <w:szCs w:val="22"/>
        </w:rPr>
      </w:pPr>
    </w:p>
    <w:p w14:paraId="251C3F99" w14:textId="6A89F2C1" w:rsidR="00006196" w:rsidRPr="00650EE4" w:rsidRDefault="0029583B" w:rsidP="00C52BF4">
      <w:pPr>
        <w:pStyle w:val="BodyText"/>
        <w:spacing w:after="120"/>
        <w:jc w:val="both"/>
        <w:rPr>
          <w:rFonts w:ascii="Times New Roman" w:hAnsi="Times New Roman"/>
          <w:b/>
          <w:bCs/>
          <w:color w:val="000000" w:themeColor="text1"/>
          <w:sz w:val="24"/>
          <w:szCs w:val="22"/>
          <w:lang w:val="lt-LT"/>
        </w:rPr>
      </w:pPr>
      <w:r w:rsidRPr="00650EE4">
        <w:rPr>
          <w:rFonts w:ascii="Times New Roman" w:hAnsi="Times New Roman"/>
          <w:b/>
          <w:bCs/>
          <w:color w:val="000000" w:themeColor="text1"/>
          <w:sz w:val="24"/>
          <w:szCs w:val="22"/>
          <w:lang w:val="lt-LT"/>
        </w:rPr>
        <w:t>Kiti rinkos nepakankamumo atvejai</w:t>
      </w:r>
    </w:p>
    <w:p w14:paraId="2AC102DD" w14:textId="3D054DC5" w:rsidR="00082B36" w:rsidRPr="00650EE4" w:rsidRDefault="00082B36" w:rsidP="00C52BF4">
      <w:pPr>
        <w:spacing w:before="200" w:after="60" w:line="240" w:lineRule="auto"/>
        <w:jc w:val="both"/>
        <w:rPr>
          <w:rFonts w:ascii="Times New Roman" w:hAnsi="Times New Roman"/>
          <w:szCs w:val="22"/>
        </w:rPr>
      </w:pPr>
      <w:r w:rsidRPr="00650EE4">
        <w:rPr>
          <w:rFonts w:ascii="Times New Roman" w:hAnsi="Times New Roman"/>
          <w:szCs w:val="22"/>
        </w:rPr>
        <w:t>Prie PEND persvarstymo pasiūlymo</w:t>
      </w:r>
      <w:r w:rsidRPr="00650EE4">
        <w:rPr>
          <w:rStyle w:val="FootnoteReference"/>
          <w:rFonts w:ascii="Times New Roman" w:hAnsi="Times New Roman"/>
          <w:szCs w:val="22"/>
        </w:rPr>
        <w:footnoteReference w:id="19"/>
      </w:r>
      <w:r w:rsidRPr="00650EE4">
        <w:rPr>
          <w:rFonts w:ascii="Times New Roman" w:hAnsi="Times New Roman"/>
          <w:szCs w:val="22"/>
        </w:rPr>
        <w:t xml:space="preserve"> pridedamame pov</w:t>
      </w:r>
      <w:r w:rsidR="00EF6F83" w:rsidRPr="00650EE4">
        <w:rPr>
          <w:rFonts w:ascii="Times New Roman" w:hAnsi="Times New Roman"/>
          <w:szCs w:val="22"/>
        </w:rPr>
        <w:t>eikio vertinime yra pateikiami kiti tipiniai rinkos nepakankamumo atvejai</w:t>
      </w:r>
      <w:r w:rsidR="00EB10DC" w:rsidRPr="00650EE4">
        <w:rPr>
          <w:rFonts w:ascii="Times New Roman" w:hAnsi="Times New Roman"/>
          <w:szCs w:val="22"/>
        </w:rPr>
        <w:t>, susiję</w:t>
      </w:r>
      <w:r w:rsidRPr="00650EE4">
        <w:rPr>
          <w:rFonts w:ascii="Times New Roman" w:hAnsi="Times New Roman"/>
          <w:szCs w:val="22"/>
        </w:rPr>
        <w:t xml:space="preserve"> su investicijomis į pastatų energijos vartojimo efektyvumo didinimo priemones.</w:t>
      </w:r>
    </w:p>
    <w:p w14:paraId="47C08C26" w14:textId="77777777" w:rsidR="00006196" w:rsidRPr="00650EE4" w:rsidRDefault="00006196" w:rsidP="00006196">
      <w:pPr>
        <w:spacing w:line="240" w:lineRule="auto"/>
        <w:jc w:val="both"/>
        <w:rPr>
          <w:rFonts w:ascii="Times New Roman" w:hAnsi="Times New Roman"/>
          <w:szCs w:val="22"/>
        </w:rPr>
      </w:pPr>
    </w:p>
    <w:p w14:paraId="40CD7727" w14:textId="77777777" w:rsidR="00006196" w:rsidRPr="00650EE4" w:rsidRDefault="00006196" w:rsidP="00BD4925">
      <w:pPr>
        <w:pStyle w:val="ListParagraph"/>
        <w:numPr>
          <w:ilvl w:val="0"/>
          <w:numId w:val="30"/>
        </w:numPr>
        <w:spacing w:after="120" w:line="240" w:lineRule="auto"/>
        <w:contextualSpacing w:val="0"/>
        <w:jc w:val="both"/>
        <w:rPr>
          <w:rFonts w:ascii="Times New Roman" w:hAnsi="Times New Roman"/>
          <w:b/>
          <w:szCs w:val="22"/>
          <w:lang w:val="lt-LT"/>
        </w:rPr>
      </w:pPr>
      <w:r w:rsidRPr="00650EE4">
        <w:rPr>
          <w:rFonts w:ascii="Times New Roman" w:hAnsi="Times New Roman"/>
          <w:b/>
          <w:szCs w:val="22"/>
          <w:lang w:val="lt-LT"/>
        </w:rPr>
        <w:t>Informacijos apie renovacijos teikiamas naudas nepakankamumas</w:t>
      </w:r>
    </w:p>
    <w:p w14:paraId="2560FBD8" w14:textId="053EEF19" w:rsidR="00006196" w:rsidRPr="00650EE4" w:rsidRDefault="00793531" w:rsidP="00C52BF4">
      <w:pPr>
        <w:spacing w:line="240" w:lineRule="auto"/>
        <w:jc w:val="both"/>
        <w:rPr>
          <w:rFonts w:ascii="Times New Roman" w:hAnsi="Times New Roman"/>
          <w:szCs w:val="22"/>
        </w:rPr>
      </w:pPr>
      <w:r w:rsidRPr="00650EE4">
        <w:rPr>
          <w:rFonts w:ascii="Times New Roman" w:hAnsi="Times New Roman"/>
          <w:szCs w:val="22"/>
        </w:rPr>
        <w:t>Energijos vartotojai dažnai neturi pakankamai informacijos (nežino apie egzistuojančias technologijas energijos taupymui)</w:t>
      </w:r>
      <w:r w:rsidRPr="00650EE4">
        <w:rPr>
          <w:rFonts w:ascii="Times New Roman" w:hAnsi="Times New Roman"/>
          <w:szCs w:val="22"/>
          <w:vertAlign w:val="superscript"/>
        </w:rPr>
        <w:footnoteReference w:id="20"/>
      </w:r>
      <w:r w:rsidR="00FD7715" w:rsidRPr="00650EE4">
        <w:rPr>
          <w:rFonts w:ascii="Times New Roman" w:hAnsi="Times New Roman"/>
          <w:szCs w:val="22"/>
        </w:rPr>
        <w:t xml:space="preserve">. </w:t>
      </w:r>
      <w:r w:rsidR="00D37CAB" w:rsidRPr="00650EE4">
        <w:rPr>
          <w:rFonts w:ascii="Times New Roman" w:hAnsi="Times New Roman"/>
          <w:szCs w:val="22"/>
        </w:rPr>
        <w:t xml:space="preserve">Prie nepakankamų investicijų į renovacijos </w:t>
      </w:r>
      <w:r w:rsidR="007A591B" w:rsidRPr="00650EE4">
        <w:rPr>
          <w:rFonts w:ascii="Times New Roman" w:hAnsi="Times New Roman"/>
          <w:szCs w:val="22"/>
        </w:rPr>
        <w:t>priemones</w:t>
      </w:r>
      <w:r w:rsidR="00D37CAB" w:rsidRPr="00650EE4">
        <w:rPr>
          <w:rFonts w:ascii="Times New Roman" w:hAnsi="Times New Roman"/>
          <w:szCs w:val="22"/>
        </w:rPr>
        <w:t xml:space="preserve"> prisideda informacijos trūkumas, kurios priežastis yra energetinio išprusimo, mokymų ir tuo pačiu motyvacijos </w:t>
      </w:r>
      <w:r w:rsidR="007A591B" w:rsidRPr="00650EE4">
        <w:rPr>
          <w:rFonts w:ascii="Times New Roman" w:hAnsi="Times New Roman"/>
          <w:szCs w:val="22"/>
        </w:rPr>
        <w:t>stoka</w:t>
      </w:r>
      <w:r w:rsidR="00D37CAB" w:rsidRPr="00650EE4">
        <w:rPr>
          <w:rFonts w:ascii="Times New Roman" w:hAnsi="Times New Roman"/>
          <w:szCs w:val="22"/>
        </w:rPr>
        <w:t xml:space="preserve">. </w:t>
      </w:r>
      <w:r w:rsidR="00EF6F83" w:rsidRPr="00650EE4">
        <w:rPr>
          <w:rFonts w:ascii="Times New Roman" w:hAnsi="Times New Roman"/>
          <w:szCs w:val="22"/>
        </w:rPr>
        <w:t>G</w:t>
      </w:r>
      <w:r w:rsidR="00D37CAB" w:rsidRPr="00650EE4">
        <w:rPr>
          <w:rFonts w:ascii="Times New Roman" w:hAnsi="Times New Roman"/>
          <w:szCs w:val="22"/>
        </w:rPr>
        <w:t>alutiniai naudos gavėjai</w:t>
      </w:r>
      <w:r w:rsidR="00EF6F83" w:rsidRPr="00650EE4">
        <w:rPr>
          <w:rFonts w:ascii="Times New Roman" w:hAnsi="Times New Roman"/>
          <w:szCs w:val="22"/>
        </w:rPr>
        <w:t xml:space="preserve"> (pastatų savininkai)</w:t>
      </w:r>
      <w:r w:rsidR="00D37CAB" w:rsidRPr="00650EE4">
        <w:rPr>
          <w:rFonts w:ascii="Times New Roman" w:hAnsi="Times New Roman"/>
          <w:szCs w:val="22"/>
        </w:rPr>
        <w:t>, dažnai nežino energinio efektyvumo priemonių įdiegimo naudos.</w:t>
      </w:r>
    </w:p>
    <w:p w14:paraId="39EE612C" w14:textId="77777777" w:rsidR="00EF6F83" w:rsidRPr="00650EE4" w:rsidRDefault="00EF6F83" w:rsidP="00C52BF4">
      <w:pPr>
        <w:spacing w:line="240" w:lineRule="auto"/>
        <w:jc w:val="both"/>
        <w:rPr>
          <w:rFonts w:ascii="Times New Roman" w:hAnsi="Times New Roman"/>
          <w:szCs w:val="22"/>
        </w:rPr>
      </w:pPr>
    </w:p>
    <w:p w14:paraId="2D21206B" w14:textId="7DD57661" w:rsidR="007A591B" w:rsidRPr="00650EE4" w:rsidRDefault="007A591B" w:rsidP="00D312D7">
      <w:pPr>
        <w:spacing w:line="240" w:lineRule="auto"/>
        <w:jc w:val="both"/>
        <w:rPr>
          <w:rFonts w:ascii="Times New Roman" w:hAnsi="Times New Roman"/>
          <w:szCs w:val="22"/>
        </w:rPr>
      </w:pPr>
      <w:r w:rsidRPr="00650EE4">
        <w:rPr>
          <w:rFonts w:ascii="Times New Roman" w:hAnsi="Times New Roman"/>
          <w:szCs w:val="22"/>
        </w:rPr>
        <w:t>Šiuo metu Lietuvoje</w:t>
      </w:r>
      <w:r w:rsidR="00B92BDF" w:rsidRPr="00650EE4">
        <w:rPr>
          <w:rFonts w:ascii="Times New Roman" w:hAnsi="Times New Roman"/>
          <w:szCs w:val="22"/>
        </w:rPr>
        <w:t xml:space="preserve"> i</w:t>
      </w:r>
      <w:r w:rsidR="00B95F9D" w:rsidRPr="00650EE4">
        <w:rPr>
          <w:rFonts w:ascii="Times New Roman" w:hAnsi="Times New Roman"/>
          <w:szCs w:val="22"/>
        </w:rPr>
        <w:t xml:space="preserve">nformavimas </w:t>
      </w:r>
      <w:r w:rsidR="00B92BDF" w:rsidRPr="00650EE4">
        <w:rPr>
          <w:rFonts w:ascii="Times New Roman" w:hAnsi="Times New Roman"/>
          <w:szCs w:val="22"/>
        </w:rPr>
        <w:t xml:space="preserve">apie renovacijos naudas </w:t>
      </w:r>
      <w:r w:rsidR="00B95F9D" w:rsidRPr="00650EE4">
        <w:rPr>
          <w:rFonts w:ascii="Times New Roman" w:hAnsi="Times New Roman"/>
          <w:szCs w:val="22"/>
        </w:rPr>
        <w:t xml:space="preserve">vykdomas atskirų paramos priemonių apimtyje. </w:t>
      </w:r>
      <w:r w:rsidR="00B92BDF" w:rsidRPr="00650EE4">
        <w:rPr>
          <w:rFonts w:ascii="Times New Roman" w:hAnsi="Times New Roman"/>
          <w:szCs w:val="22"/>
        </w:rPr>
        <w:t>Taip pat vykdoma p</w:t>
      </w:r>
      <w:r w:rsidR="00B95F9D" w:rsidRPr="00650EE4">
        <w:rPr>
          <w:rFonts w:ascii="Times New Roman" w:hAnsi="Times New Roman"/>
          <w:szCs w:val="22"/>
        </w:rPr>
        <w:t>lat</w:t>
      </w:r>
      <w:r w:rsidR="00B92BDF" w:rsidRPr="00650EE4">
        <w:rPr>
          <w:rFonts w:ascii="Times New Roman" w:hAnsi="Times New Roman"/>
          <w:szCs w:val="22"/>
        </w:rPr>
        <w:t>esnio masto komunikacija</w:t>
      </w:r>
      <w:r w:rsidR="00B95F9D" w:rsidRPr="00650EE4">
        <w:rPr>
          <w:rFonts w:ascii="Times New Roman" w:hAnsi="Times New Roman"/>
          <w:szCs w:val="22"/>
        </w:rPr>
        <w:t xml:space="preserve">, pagal </w:t>
      </w:r>
      <w:r w:rsidR="00B92BDF" w:rsidRPr="00650EE4">
        <w:rPr>
          <w:rFonts w:ascii="Times New Roman" w:hAnsi="Times New Roman"/>
          <w:szCs w:val="22"/>
        </w:rPr>
        <w:t xml:space="preserve">BETA </w:t>
      </w:r>
      <w:r w:rsidR="00B95F9D" w:rsidRPr="00650EE4">
        <w:rPr>
          <w:rFonts w:ascii="Times New Roman" w:hAnsi="Times New Roman"/>
          <w:szCs w:val="22"/>
        </w:rPr>
        <w:t>2016–2020 m. visuomenės informavimo kampanijos strategiją.</w:t>
      </w:r>
    </w:p>
    <w:p w14:paraId="68FB6FA7" w14:textId="77777777" w:rsidR="00D312D7" w:rsidRPr="00650EE4" w:rsidRDefault="00D312D7" w:rsidP="00B95F9D">
      <w:pPr>
        <w:spacing w:after="60" w:line="240" w:lineRule="auto"/>
        <w:jc w:val="both"/>
        <w:rPr>
          <w:rFonts w:ascii="Times New Roman" w:hAnsi="Times New Roman"/>
          <w:szCs w:val="22"/>
        </w:rPr>
      </w:pPr>
    </w:p>
    <w:p w14:paraId="35D8AC85" w14:textId="4984118B" w:rsidR="00F937DE" w:rsidRPr="00650EE4" w:rsidRDefault="00B92BDF" w:rsidP="006F266D">
      <w:pPr>
        <w:spacing w:line="240" w:lineRule="auto"/>
        <w:jc w:val="both"/>
        <w:rPr>
          <w:rFonts w:ascii="Times New Roman" w:hAnsi="Times New Roman"/>
          <w:szCs w:val="22"/>
        </w:rPr>
      </w:pPr>
      <w:r w:rsidRPr="00650EE4">
        <w:rPr>
          <w:rFonts w:ascii="Times New Roman" w:hAnsi="Times New Roman"/>
          <w:szCs w:val="22"/>
        </w:rPr>
        <w:t xml:space="preserve">Papildoma šiuo metu įgyvendinama </w:t>
      </w:r>
      <w:r w:rsidR="00F937DE" w:rsidRPr="00650EE4">
        <w:rPr>
          <w:rFonts w:ascii="Times New Roman" w:hAnsi="Times New Roman"/>
          <w:szCs w:val="22"/>
        </w:rPr>
        <w:t xml:space="preserve">priemonė – energijos vartotojų švietimo ir konsultavimo susitarimai. Švietimo ir konsultavimo priemonių taikymas yra vienas būdų, kaip skatinant galutinių energijos vartotojų sąmoningumą bei darant įtaką jų elgsenai, įpročiams, didinti energijos vartojimo efektyvumą. Energijos tiekimo įmonės nuo 2017 metų vykdo švietimo ir konsultavimo veiklas galutiniams vartotojams ir jau skaičiuojama virš 200 </w:t>
      </w:r>
      <w:proofErr w:type="spellStart"/>
      <w:r w:rsidR="00F937DE" w:rsidRPr="00650EE4">
        <w:rPr>
          <w:rFonts w:ascii="Times New Roman" w:hAnsi="Times New Roman"/>
          <w:szCs w:val="22"/>
        </w:rPr>
        <w:t>GWh</w:t>
      </w:r>
      <w:proofErr w:type="spellEnd"/>
      <w:r w:rsidR="00F937DE" w:rsidRPr="00650EE4">
        <w:rPr>
          <w:rFonts w:ascii="Times New Roman" w:hAnsi="Times New Roman"/>
          <w:szCs w:val="22"/>
        </w:rPr>
        <w:t xml:space="preserve"> energijos sutaupymų. Švietimo ir konsultavimo</w:t>
      </w:r>
      <w:r w:rsidRPr="00650EE4">
        <w:rPr>
          <w:rFonts w:ascii="Times New Roman" w:hAnsi="Times New Roman"/>
          <w:szCs w:val="22"/>
        </w:rPr>
        <w:t xml:space="preserve"> veiklos yra tęstinės, numatomos</w:t>
      </w:r>
      <w:r w:rsidR="00F937DE" w:rsidRPr="00650EE4">
        <w:rPr>
          <w:rFonts w:ascii="Times New Roman" w:hAnsi="Times New Roman"/>
          <w:szCs w:val="22"/>
        </w:rPr>
        <w:t xml:space="preserve"> ir po 2020 metų, įgyvendinant energijos vartojimo efektyvumo didinimo politiką.</w:t>
      </w:r>
    </w:p>
    <w:p w14:paraId="14AA5DCB" w14:textId="77777777" w:rsidR="00006196" w:rsidRPr="00650EE4" w:rsidRDefault="00006196" w:rsidP="00D37CAB">
      <w:pPr>
        <w:spacing w:after="60" w:line="240" w:lineRule="auto"/>
        <w:jc w:val="both"/>
        <w:rPr>
          <w:rFonts w:ascii="Times New Roman" w:hAnsi="Times New Roman"/>
          <w:szCs w:val="22"/>
        </w:rPr>
      </w:pPr>
    </w:p>
    <w:p w14:paraId="66DD03CB" w14:textId="402708F0" w:rsidR="00006196" w:rsidRPr="00650EE4" w:rsidRDefault="00006196" w:rsidP="00BD4925">
      <w:pPr>
        <w:pStyle w:val="ListParagraph"/>
        <w:numPr>
          <w:ilvl w:val="0"/>
          <w:numId w:val="30"/>
        </w:numPr>
        <w:spacing w:after="60" w:line="240" w:lineRule="auto"/>
        <w:contextualSpacing w:val="0"/>
        <w:jc w:val="both"/>
        <w:rPr>
          <w:rFonts w:ascii="Times New Roman" w:hAnsi="Times New Roman"/>
          <w:b/>
          <w:szCs w:val="22"/>
          <w:lang w:val="lt-LT"/>
        </w:rPr>
      </w:pPr>
      <w:r w:rsidRPr="00650EE4">
        <w:rPr>
          <w:rFonts w:ascii="Times New Roman" w:hAnsi="Times New Roman"/>
          <w:b/>
          <w:szCs w:val="22"/>
          <w:lang w:val="lt-LT"/>
        </w:rPr>
        <w:t>Nepakankamas renovacijos tempas d</w:t>
      </w:r>
      <w:r w:rsidR="00693152" w:rsidRPr="00650EE4">
        <w:rPr>
          <w:rFonts w:ascii="Times New Roman" w:hAnsi="Times New Roman"/>
          <w:b/>
          <w:szCs w:val="22"/>
          <w:lang w:val="lt-LT"/>
        </w:rPr>
        <w:t>ėl nepalankaus ekonomikos ciklo</w:t>
      </w:r>
    </w:p>
    <w:p w14:paraId="1B48B02D" w14:textId="58A85658" w:rsidR="00006196" w:rsidRPr="00650EE4" w:rsidRDefault="0039646B" w:rsidP="00D90653">
      <w:pPr>
        <w:spacing w:before="120" w:after="60" w:line="240" w:lineRule="auto"/>
        <w:jc w:val="both"/>
        <w:rPr>
          <w:rFonts w:ascii="Times New Roman" w:hAnsi="Times New Roman"/>
          <w:szCs w:val="22"/>
        </w:rPr>
      </w:pPr>
      <w:r>
        <w:rPr>
          <w:rFonts w:ascii="Times New Roman" w:hAnsi="Times New Roman"/>
          <w:szCs w:val="22"/>
        </w:rPr>
        <w:t>V</w:t>
      </w:r>
      <w:r w:rsidR="00534DB5" w:rsidRPr="00650EE4">
        <w:rPr>
          <w:rFonts w:ascii="Times New Roman" w:hAnsi="Times New Roman"/>
          <w:szCs w:val="22"/>
        </w:rPr>
        <w:t xml:space="preserve">ertinant trumpalaikę perspektyvą, </w:t>
      </w:r>
      <w:r w:rsidR="00EB10DC" w:rsidRPr="00650EE4">
        <w:rPr>
          <w:rFonts w:ascii="Times New Roman" w:hAnsi="Times New Roman"/>
          <w:szCs w:val="22"/>
        </w:rPr>
        <w:t xml:space="preserve">dabartinis ekonomikos ciklas, esantis neapibrėžtume dėl COVID-19 įtakos, gali būti </w:t>
      </w:r>
      <w:r w:rsidR="00B92BDF" w:rsidRPr="00650EE4">
        <w:rPr>
          <w:rFonts w:ascii="Times New Roman" w:hAnsi="Times New Roman"/>
          <w:szCs w:val="22"/>
        </w:rPr>
        <w:t>nepalankus IRS priemonių įgyvendinimui</w:t>
      </w:r>
      <w:r w:rsidR="00EB10DC" w:rsidRPr="00650EE4">
        <w:rPr>
          <w:rFonts w:ascii="Times New Roman" w:hAnsi="Times New Roman"/>
          <w:szCs w:val="22"/>
        </w:rPr>
        <w:t xml:space="preserve"> dėl sumažėjusio pastatų savininkų noro ir galimybių investuoti</w:t>
      </w:r>
      <w:r w:rsidR="00534DB5" w:rsidRPr="00650EE4">
        <w:rPr>
          <w:rFonts w:ascii="Times New Roman" w:hAnsi="Times New Roman"/>
          <w:szCs w:val="22"/>
        </w:rPr>
        <w:t xml:space="preserve">. Tačiau, vertinant ilgo laikotarpio perspektyvą, </w:t>
      </w:r>
      <w:r w:rsidR="00693152" w:rsidRPr="00650EE4">
        <w:rPr>
          <w:rFonts w:ascii="Times New Roman" w:hAnsi="Times New Roman"/>
          <w:szCs w:val="22"/>
        </w:rPr>
        <w:t xml:space="preserve">tinkamai suformavus paramos priemonių paketą, </w:t>
      </w:r>
      <w:r w:rsidR="00534DB5" w:rsidRPr="00650EE4">
        <w:rPr>
          <w:rFonts w:ascii="Times New Roman" w:hAnsi="Times New Roman"/>
          <w:szCs w:val="22"/>
        </w:rPr>
        <w:t xml:space="preserve">renovacijos proveržis gali tapti </w:t>
      </w:r>
      <w:r w:rsidR="00693152" w:rsidRPr="00650EE4">
        <w:rPr>
          <w:rFonts w:ascii="Times New Roman" w:hAnsi="Times New Roman"/>
          <w:szCs w:val="22"/>
        </w:rPr>
        <w:t xml:space="preserve">impulsu tiek statybų sektoriui, tiek bendrai šalies ekonomikai. </w:t>
      </w:r>
    </w:p>
    <w:p w14:paraId="3CD3F88E" w14:textId="058A5A0B" w:rsidR="00070294" w:rsidRPr="00650EE4" w:rsidRDefault="00070294" w:rsidP="00D90653">
      <w:pPr>
        <w:spacing w:before="120" w:after="60" w:line="240" w:lineRule="auto"/>
        <w:jc w:val="both"/>
        <w:rPr>
          <w:rFonts w:ascii="Times New Roman" w:hAnsi="Times New Roman"/>
          <w:szCs w:val="22"/>
        </w:rPr>
      </w:pPr>
      <w:r w:rsidRPr="00650EE4">
        <w:rPr>
          <w:rFonts w:ascii="Times New Roman" w:hAnsi="Times New Roman"/>
          <w:szCs w:val="22"/>
        </w:rPr>
        <w:t xml:space="preserve">Kita vertus, ekonomikos skatinimo priemonės galėtų apimti ir renovacijos projektų skatinimą (pvz., daugiabučių renovacija yra Ekonomikos skatinimo ir </w:t>
      </w:r>
      <w:proofErr w:type="spellStart"/>
      <w:r w:rsidRPr="00650EE4">
        <w:rPr>
          <w:rFonts w:ascii="Times New Roman" w:hAnsi="Times New Roman"/>
          <w:szCs w:val="22"/>
        </w:rPr>
        <w:t>koronaviruso</w:t>
      </w:r>
      <w:proofErr w:type="spellEnd"/>
      <w:r w:rsidRPr="00650EE4">
        <w:rPr>
          <w:rFonts w:ascii="Times New Roman" w:hAnsi="Times New Roman"/>
          <w:szCs w:val="22"/>
        </w:rPr>
        <w:t xml:space="preserve"> (</w:t>
      </w:r>
      <w:proofErr w:type="spellStart"/>
      <w:r w:rsidRPr="00650EE4">
        <w:rPr>
          <w:rFonts w:ascii="Times New Roman" w:hAnsi="Times New Roman"/>
          <w:szCs w:val="22"/>
        </w:rPr>
        <w:t>Covid-19)</w:t>
      </w:r>
      <w:proofErr w:type="spellEnd"/>
      <w:r w:rsidRPr="00650EE4">
        <w:rPr>
          <w:rFonts w:ascii="Times New Roman" w:hAnsi="Times New Roman"/>
          <w:szCs w:val="22"/>
        </w:rPr>
        <w:t xml:space="preserve"> sukeltų pasekmių mažinimo priemonių plano dalis).</w:t>
      </w:r>
    </w:p>
    <w:p w14:paraId="3BC23947" w14:textId="77777777" w:rsidR="00006196" w:rsidRPr="00650EE4" w:rsidRDefault="00006196" w:rsidP="00240506">
      <w:pPr>
        <w:rPr>
          <w:rFonts w:ascii="Times New Roman" w:hAnsi="Times New Roman"/>
          <w:szCs w:val="22"/>
        </w:rPr>
      </w:pPr>
    </w:p>
    <w:p w14:paraId="3FF997F6" w14:textId="680453F9" w:rsidR="00890194" w:rsidRPr="00650EE4" w:rsidRDefault="00890194" w:rsidP="00BD4925">
      <w:pPr>
        <w:pStyle w:val="ListParagraph"/>
        <w:numPr>
          <w:ilvl w:val="0"/>
          <w:numId w:val="30"/>
        </w:numPr>
        <w:spacing w:after="120" w:line="240" w:lineRule="auto"/>
        <w:contextualSpacing w:val="0"/>
        <w:jc w:val="both"/>
        <w:rPr>
          <w:rFonts w:ascii="Times New Roman" w:hAnsi="Times New Roman"/>
          <w:b/>
          <w:szCs w:val="22"/>
          <w:lang w:val="lt-LT"/>
        </w:rPr>
      </w:pPr>
      <w:r w:rsidRPr="00650EE4">
        <w:rPr>
          <w:rFonts w:ascii="Times New Roman" w:hAnsi="Times New Roman"/>
          <w:b/>
          <w:szCs w:val="22"/>
          <w:lang w:val="lt-LT"/>
        </w:rPr>
        <w:t>Patrauklių finansinių instrument</w:t>
      </w:r>
      <w:r w:rsidR="00D766C9" w:rsidRPr="00650EE4">
        <w:rPr>
          <w:rFonts w:ascii="Times New Roman" w:hAnsi="Times New Roman"/>
          <w:b/>
          <w:szCs w:val="22"/>
          <w:lang w:val="lt-LT"/>
        </w:rPr>
        <w:t>ų</w:t>
      </w:r>
      <w:r w:rsidRPr="00650EE4">
        <w:rPr>
          <w:rFonts w:ascii="Times New Roman" w:hAnsi="Times New Roman"/>
          <w:b/>
          <w:szCs w:val="22"/>
          <w:lang w:val="lt-LT"/>
        </w:rPr>
        <w:t xml:space="preserve"> trūkumas</w:t>
      </w:r>
    </w:p>
    <w:p w14:paraId="490C4B0C" w14:textId="3B149787" w:rsidR="00D005C5" w:rsidRPr="00650EE4" w:rsidRDefault="00D005C5" w:rsidP="00D312D7">
      <w:pPr>
        <w:spacing w:before="120" w:after="120" w:line="240" w:lineRule="auto"/>
        <w:jc w:val="both"/>
        <w:rPr>
          <w:rFonts w:ascii="Times New Roman" w:hAnsi="Times New Roman"/>
          <w:szCs w:val="22"/>
        </w:rPr>
      </w:pPr>
      <w:r w:rsidRPr="00650EE4">
        <w:rPr>
          <w:rFonts w:ascii="Times New Roman" w:hAnsi="Times New Roman"/>
          <w:szCs w:val="22"/>
        </w:rPr>
        <w:t>Finansin</w:t>
      </w:r>
      <w:r w:rsidR="00F86EFF" w:rsidRPr="00650EE4">
        <w:rPr>
          <w:rFonts w:ascii="Times New Roman" w:hAnsi="Times New Roman"/>
          <w:szCs w:val="22"/>
        </w:rPr>
        <w:t>ė</w:t>
      </w:r>
      <w:r w:rsidRPr="00650EE4">
        <w:rPr>
          <w:rFonts w:ascii="Times New Roman" w:hAnsi="Times New Roman"/>
          <w:szCs w:val="22"/>
        </w:rPr>
        <w:t>s priemon</w:t>
      </w:r>
      <w:r w:rsidR="00F86EFF" w:rsidRPr="00650EE4">
        <w:rPr>
          <w:rFonts w:ascii="Times New Roman" w:hAnsi="Times New Roman"/>
          <w:szCs w:val="22"/>
        </w:rPr>
        <w:t>ė</w:t>
      </w:r>
      <w:r w:rsidRPr="00650EE4">
        <w:rPr>
          <w:rFonts w:ascii="Times New Roman" w:hAnsi="Times New Roman"/>
          <w:szCs w:val="22"/>
        </w:rPr>
        <w:t>s, susijusi</w:t>
      </w:r>
      <w:r w:rsidR="00F86EFF" w:rsidRPr="00650EE4">
        <w:rPr>
          <w:rFonts w:ascii="Times New Roman" w:hAnsi="Times New Roman"/>
          <w:szCs w:val="22"/>
        </w:rPr>
        <w:t>o</w:t>
      </w:r>
      <w:r w:rsidRPr="00650EE4">
        <w:rPr>
          <w:rFonts w:ascii="Times New Roman" w:hAnsi="Times New Roman"/>
          <w:szCs w:val="22"/>
        </w:rPr>
        <w:t xml:space="preserve">s su pastatų renovacija, </w:t>
      </w:r>
      <w:r w:rsidR="00F86EFF" w:rsidRPr="00650EE4">
        <w:rPr>
          <w:rFonts w:ascii="Times New Roman" w:hAnsi="Times New Roman"/>
          <w:szCs w:val="22"/>
        </w:rPr>
        <w:t>tiesiogiai atliepia vykdomas paramos priemones. Finansavimo priemonių administravim</w:t>
      </w:r>
      <w:r w:rsidR="00617BD3" w:rsidRPr="00650EE4">
        <w:rPr>
          <w:rFonts w:ascii="Times New Roman" w:hAnsi="Times New Roman"/>
          <w:szCs w:val="22"/>
        </w:rPr>
        <w:t>ą</w:t>
      </w:r>
      <w:r w:rsidR="00F86EFF" w:rsidRPr="00650EE4">
        <w:rPr>
          <w:rFonts w:ascii="Times New Roman" w:hAnsi="Times New Roman"/>
          <w:szCs w:val="22"/>
        </w:rPr>
        <w:t xml:space="preserve"> vykdo </w:t>
      </w:r>
      <w:r w:rsidRPr="00650EE4">
        <w:rPr>
          <w:rFonts w:ascii="Times New Roman" w:hAnsi="Times New Roman"/>
          <w:szCs w:val="22"/>
        </w:rPr>
        <w:t>VIPA. Žemiau pateikiamas vykdomų priemonių sąrašas:</w:t>
      </w:r>
    </w:p>
    <w:p w14:paraId="07B52EBA" w14:textId="3C9397F7" w:rsidR="00890194"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Paskolos saulės elektrinių įrengimui.</w:t>
      </w:r>
      <w:r w:rsidRPr="00650EE4">
        <w:rPr>
          <w:rFonts w:ascii="Times New Roman" w:hAnsi="Times New Roman"/>
          <w:szCs w:val="22"/>
          <w:lang w:val="lt-LT"/>
        </w:rPr>
        <w:t xml:space="preserve"> VIPA teikia paskolas, kuriomis gali būti finansuojamos pareiškėjo investicijos į atsinaujinančius išteklius naudojančios elektrinės jėgainės, atitinkančios gaminantiems vartotojams nustatomus reikalavimus, įrengimą ir (ar) jos dalies įsigijimą, taip pat nutolusių saulės parkų vystymą.</w:t>
      </w:r>
    </w:p>
    <w:p w14:paraId="4EB0C51C" w14:textId="3A544CED" w:rsidR="00890194"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Paskolos mažosios renovacijos projektams.</w:t>
      </w:r>
      <w:r w:rsidRPr="00650EE4">
        <w:rPr>
          <w:rFonts w:ascii="Times New Roman" w:hAnsi="Times New Roman"/>
          <w:szCs w:val="22"/>
          <w:lang w:val="lt-LT"/>
        </w:rPr>
        <w:t xml:space="preserve"> VIPA ir AB Energijos skirstymo operatoriaus įsteigta Energijos efektyvumo finansavimo platforma (toliau – EEFP) teikia bendrojo naudojimo objektų administratoriams ilgalaikes paskolas, skirtas mažosios renovacijos projektų įgyvendinimui. Mažoji renovacija – tai tokie daugiabučių namų atnaujinimo projektai, kurie padeda didinti energijos vartojimo efektyvumą investuojant į vieną ar kelias energijos efektyvumo priemones (pvz. šilumos sistemų atnaujinimas, stogo ar perdangos pastogėje šiltinimas, langai ir t.t.)</w:t>
      </w:r>
    </w:p>
    <w:p w14:paraId="1B9F2B48" w14:textId="3AC0A9E8" w:rsidR="00D005C5"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Daugiabučių namų modernizavimo fonda</w:t>
      </w:r>
      <w:r w:rsidR="00370F08" w:rsidRPr="00650EE4">
        <w:rPr>
          <w:rFonts w:ascii="Times New Roman" w:hAnsi="Times New Roman"/>
          <w:b/>
          <w:szCs w:val="22"/>
          <w:lang w:val="lt-LT"/>
        </w:rPr>
        <w:t>i</w:t>
      </w:r>
      <w:r w:rsidRPr="00650EE4">
        <w:rPr>
          <w:rFonts w:ascii="Times New Roman" w:hAnsi="Times New Roman"/>
          <w:b/>
          <w:szCs w:val="22"/>
          <w:lang w:val="lt-LT"/>
        </w:rPr>
        <w:t>.</w:t>
      </w:r>
      <w:r w:rsidRPr="00650EE4">
        <w:rPr>
          <w:rFonts w:ascii="Times New Roman" w:hAnsi="Times New Roman"/>
          <w:szCs w:val="22"/>
          <w:lang w:val="lt-LT"/>
        </w:rPr>
        <w:t xml:space="preserve"> </w:t>
      </w:r>
      <w:r w:rsidR="00370F08" w:rsidRPr="001A7FAE">
        <w:rPr>
          <w:rFonts w:ascii="Times New Roman" w:hAnsi="Times New Roman"/>
          <w:szCs w:val="22"/>
          <w:lang w:val="lt-LT"/>
        </w:rPr>
        <w:t xml:space="preserve">Lietuvoje veikia du lengvatines paskolas teikiantys fondai, skirti daugiabučiams namams atnaujinti (modernizuoti): VIPA valdomas Daugiabučių namų modernizavimo fondas (DNMF) ir </w:t>
      </w:r>
      <w:r w:rsidR="00FF465A">
        <w:rPr>
          <w:rFonts w:ascii="Times New Roman" w:hAnsi="Times New Roman"/>
          <w:szCs w:val="22"/>
          <w:lang w:val="lt-LT"/>
        </w:rPr>
        <w:t xml:space="preserve">Europos investicijų banko (toliau </w:t>
      </w:r>
      <w:r w:rsidR="00FF465A" w:rsidRPr="00650EE4">
        <w:rPr>
          <w:rFonts w:ascii="Times New Roman" w:hAnsi="Times New Roman"/>
          <w:szCs w:val="22"/>
          <w:lang w:val="lt-LT"/>
        </w:rPr>
        <w:t>–</w:t>
      </w:r>
      <w:r w:rsidR="00FF465A">
        <w:rPr>
          <w:rFonts w:ascii="Times New Roman" w:hAnsi="Times New Roman"/>
          <w:szCs w:val="22"/>
          <w:lang w:val="lt-LT"/>
        </w:rPr>
        <w:t xml:space="preserve"> </w:t>
      </w:r>
      <w:r w:rsidR="00370F08" w:rsidRPr="001A7FAE">
        <w:rPr>
          <w:rFonts w:ascii="Times New Roman" w:hAnsi="Times New Roman"/>
          <w:szCs w:val="22"/>
          <w:lang w:val="lt-LT"/>
        </w:rPr>
        <w:t>EIB</w:t>
      </w:r>
      <w:r w:rsidR="00FF465A">
        <w:rPr>
          <w:rFonts w:ascii="Times New Roman" w:hAnsi="Times New Roman"/>
          <w:szCs w:val="22"/>
          <w:lang w:val="lt-LT"/>
        </w:rPr>
        <w:t>)</w:t>
      </w:r>
      <w:r w:rsidR="00370F08" w:rsidRPr="001A7FAE">
        <w:rPr>
          <w:rFonts w:ascii="Times New Roman" w:hAnsi="Times New Roman"/>
          <w:szCs w:val="22"/>
          <w:lang w:val="lt-LT"/>
        </w:rPr>
        <w:t xml:space="preserve"> valdomas </w:t>
      </w:r>
      <w:proofErr w:type="spellStart"/>
      <w:r w:rsidR="00370F08" w:rsidRPr="001A7FAE">
        <w:rPr>
          <w:rFonts w:ascii="Times New Roman" w:hAnsi="Times New Roman"/>
          <w:szCs w:val="22"/>
          <w:lang w:val="lt-LT"/>
        </w:rPr>
        <w:t>Jessica</w:t>
      </w:r>
      <w:proofErr w:type="spellEnd"/>
      <w:r w:rsidR="00370F08" w:rsidRPr="001A7FAE">
        <w:rPr>
          <w:rFonts w:ascii="Times New Roman" w:hAnsi="Times New Roman"/>
          <w:szCs w:val="22"/>
          <w:lang w:val="lt-LT"/>
        </w:rPr>
        <w:t xml:space="preserve"> II Fondų fondas. Fondai</w:t>
      </w:r>
      <w:r w:rsidR="00370F08" w:rsidRPr="00650EE4">
        <w:rPr>
          <w:rFonts w:ascii="Times New Roman" w:hAnsi="Times New Roman"/>
          <w:szCs w:val="22"/>
          <w:lang w:val="lt-LT"/>
        </w:rPr>
        <w:t xml:space="preserve"> teikia paskolas pagal Lietuvos Respublikos Vyriausybės patvirtintą programą, kurios tikslas – sumažinti šiluminės energijos sąnaudas, racionaliai naudoti energijos išteklius, užtikrinti efektyvų būsto naudojimą, gerinti gyvenamąją aplinką bei gyventojų gyvenimo kokybę</w:t>
      </w:r>
      <w:r w:rsidRPr="00650EE4">
        <w:rPr>
          <w:rFonts w:ascii="Times New Roman" w:hAnsi="Times New Roman"/>
          <w:szCs w:val="22"/>
          <w:lang w:val="lt-LT"/>
        </w:rPr>
        <w:t>.</w:t>
      </w:r>
    </w:p>
    <w:p w14:paraId="3649AC28" w14:textId="07774181" w:rsidR="00D005C5" w:rsidRPr="00650EE4" w:rsidRDefault="00D005C5" w:rsidP="006F266D">
      <w:pPr>
        <w:pStyle w:val="ListParagraph"/>
        <w:numPr>
          <w:ilvl w:val="0"/>
          <w:numId w:val="12"/>
        </w:numPr>
        <w:spacing w:after="120"/>
        <w:ind w:left="714" w:hanging="357"/>
        <w:contextualSpacing w:val="0"/>
        <w:jc w:val="both"/>
        <w:rPr>
          <w:rFonts w:ascii="Times New Roman" w:hAnsi="Times New Roman"/>
          <w:szCs w:val="22"/>
          <w:lang w:val="lt-LT"/>
        </w:rPr>
      </w:pPr>
      <w:r w:rsidRPr="00650EE4">
        <w:rPr>
          <w:rFonts w:ascii="Times New Roman" w:hAnsi="Times New Roman"/>
          <w:b/>
          <w:szCs w:val="22"/>
          <w:lang w:val="lt-LT"/>
        </w:rPr>
        <w:t>Centrinės valdžios viešieji pastatai.</w:t>
      </w:r>
      <w:r w:rsidRPr="00650EE4">
        <w:rPr>
          <w:rFonts w:ascii="Times New Roman" w:hAnsi="Times New Roman"/>
          <w:szCs w:val="22"/>
          <w:lang w:val="lt-LT"/>
        </w:rPr>
        <w:t xml:space="preserve"> Centrinės valdžios viešųjų pastatų modernizavimo priemonės įgyvendinamos iš Energijos efektyvumo fondo (ENEF), finansuojamo Europos regioninio plėtros fondo lėšomis, tikslas – didinti energijos vartojimo viešiesiems pastatams šildyti ir apšviesti, efektyvumą, užtikrinti, kad veiksmingai būtų naudojamos LR Valstybės lėšos, skiriamos viešųjų pastatų energijos </w:t>
      </w:r>
      <w:r w:rsidRPr="00650EE4">
        <w:rPr>
          <w:rFonts w:ascii="Times New Roman" w:hAnsi="Times New Roman"/>
          <w:szCs w:val="22"/>
          <w:lang w:val="lt-LT"/>
        </w:rPr>
        <w:lastRenderedPageBreak/>
        <w:t>vartojimo efektyvumui didinti ir viešiesiems pastatams eksploatuoti, mažinti į atmosferą išmetamų šiltnamio efektą sukeliančių dujų (CO</w:t>
      </w:r>
      <w:r w:rsidRPr="00650EE4">
        <w:rPr>
          <w:rFonts w:ascii="Times New Roman" w:hAnsi="Times New Roman"/>
          <w:szCs w:val="22"/>
          <w:vertAlign w:val="subscript"/>
          <w:lang w:val="lt-LT"/>
        </w:rPr>
        <w:t>2</w:t>
      </w:r>
      <w:r w:rsidRPr="00650EE4">
        <w:rPr>
          <w:rFonts w:ascii="Times New Roman" w:hAnsi="Times New Roman"/>
          <w:szCs w:val="22"/>
          <w:lang w:val="lt-LT"/>
        </w:rPr>
        <w:t>), užtikrinti viešųjų pastatų infrastruktūros atitiktį higienos normos reikalavimams. Centrinės valdžios viešųjų pastatų atnaujinimui VIPA teikia lengvatines paskolas, taip pat galima pasinaudoti ir grąžinamosios subsidijos finansavimo modeliu.</w:t>
      </w:r>
    </w:p>
    <w:p w14:paraId="10F7DECE" w14:textId="71C4654F" w:rsidR="00D005C5" w:rsidRPr="00650EE4" w:rsidRDefault="00D005C5" w:rsidP="006F266D">
      <w:pPr>
        <w:pStyle w:val="ListParagraph"/>
        <w:numPr>
          <w:ilvl w:val="0"/>
          <w:numId w:val="12"/>
        </w:numPr>
        <w:spacing w:after="240"/>
        <w:ind w:left="714" w:hanging="357"/>
        <w:contextualSpacing w:val="0"/>
        <w:jc w:val="both"/>
        <w:rPr>
          <w:rFonts w:ascii="Times New Roman" w:hAnsi="Times New Roman"/>
          <w:szCs w:val="22"/>
          <w:lang w:val="lt-LT"/>
        </w:rPr>
      </w:pPr>
      <w:r w:rsidRPr="00650EE4">
        <w:rPr>
          <w:rFonts w:ascii="Times New Roman" w:hAnsi="Times New Roman"/>
          <w:b/>
          <w:szCs w:val="22"/>
          <w:lang w:val="lt-LT"/>
        </w:rPr>
        <w:t>Savivaldybių pastatų fondas.</w:t>
      </w:r>
      <w:r w:rsidRPr="00650EE4">
        <w:rPr>
          <w:rFonts w:ascii="Times New Roman" w:hAnsi="Times New Roman"/>
          <w:szCs w:val="22"/>
          <w:lang w:val="lt-LT"/>
        </w:rPr>
        <w:t xml:space="preserve"> Savivaldybių viešųjų pastatų modernizavimo priemonė įgyvendinama iš Europos regioninio plėtros fondo ir privačių lėšų, kurios tikslas – didinti energijos vartojimo savivaldybių viešiesiems pastatams šildyti ir apšviesti, efektyvumą, užtikrinti, kad veiksmingai būtų naudojamos lėšos, skiriamos savivaldybių viešųjų pastatų energijos vartojimo efektyvumui didinti ir viešiesiems pastatams eksploatuoti, mažinti į atmosferą išmetamų šiltnamio efektą sukeliančių dujų (CO</w:t>
      </w:r>
      <w:r w:rsidRPr="00650EE4">
        <w:rPr>
          <w:rFonts w:ascii="Times New Roman" w:hAnsi="Times New Roman"/>
          <w:szCs w:val="22"/>
          <w:vertAlign w:val="subscript"/>
          <w:lang w:val="lt-LT"/>
        </w:rPr>
        <w:t>2</w:t>
      </w:r>
      <w:r w:rsidRPr="00650EE4">
        <w:rPr>
          <w:rFonts w:ascii="Times New Roman" w:hAnsi="Times New Roman"/>
          <w:szCs w:val="22"/>
          <w:lang w:val="lt-LT"/>
        </w:rPr>
        <w:t>), užtikrinti savivaldybių viešųjų pastatų infrastruktūros atitiktį higienos normos reikalavimams.</w:t>
      </w:r>
    </w:p>
    <w:p w14:paraId="22292A24" w14:textId="3FC67869" w:rsidR="004D36EF" w:rsidRPr="00650EE4" w:rsidRDefault="004D36EF" w:rsidP="00D005C5">
      <w:pPr>
        <w:spacing w:before="120" w:after="60" w:line="240" w:lineRule="auto"/>
        <w:jc w:val="both"/>
        <w:rPr>
          <w:rFonts w:ascii="Times New Roman" w:hAnsi="Times New Roman"/>
          <w:szCs w:val="22"/>
        </w:rPr>
      </w:pPr>
      <w:r w:rsidRPr="00650EE4">
        <w:rPr>
          <w:rFonts w:ascii="Times New Roman" w:hAnsi="Times New Roman"/>
          <w:szCs w:val="22"/>
        </w:rPr>
        <w:t>Svarbu pažymėti, kad Europos auditorių rūmai 2020 m. specialiojoje ataskaitoje</w:t>
      </w:r>
      <w:r w:rsidRPr="00650EE4">
        <w:rPr>
          <w:rStyle w:val="FootnoteReference"/>
          <w:rFonts w:ascii="Times New Roman" w:hAnsi="Times New Roman"/>
          <w:szCs w:val="22"/>
        </w:rPr>
        <w:footnoteReference w:id="21"/>
      </w:r>
      <w:r w:rsidRPr="00650EE4">
        <w:rPr>
          <w:rFonts w:ascii="Times New Roman" w:hAnsi="Times New Roman"/>
          <w:szCs w:val="22"/>
        </w:rPr>
        <w:t xml:space="preserve"> kaip gerąją praktiką pripažino Lietuvos finansines priemones, naudojamas daugiabučių pastatų energijos vartojimo efektyvumo didinimo priemonėms</w:t>
      </w:r>
      <w:r w:rsidR="00B92BDF" w:rsidRPr="00650EE4">
        <w:rPr>
          <w:rFonts w:ascii="Times New Roman" w:hAnsi="Times New Roman"/>
          <w:szCs w:val="22"/>
        </w:rPr>
        <w:t xml:space="preserve">. Atitinkamai, taikoma politika šiame segmente vertinama </w:t>
      </w:r>
      <w:r w:rsidR="006F266D" w:rsidRPr="00650EE4">
        <w:rPr>
          <w:rFonts w:ascii="Times New Roman" w:hAnsi="Times New Roman"/>
          <w:szCs w:val="22"/>
        </w:rPr>
        <w:t>kaip efektyvi</w:t>
      </w:r>
      <w:r w:rsidR="00EE350D" w:rsidRPr="00650EE4">
        <w:rPr>
          <w:rFonts w:ascii="Times New Roman" w:hAnsi="Times New Roman"/>
          <w:szCs w:val="22"/>
        </w:rPr>
        <w:t xml:space="preserve"> iki šiol</w:t>
      </w:r>
      <w:r w:rsidR="006F266D" w:rsidRPr="00650EE4">
        <w:rPr>
          <w:rFonts w:ascii="Times New Roman" w:hAnsi="Times New Roman"/>
          <w:szCs w:val="22"/>
        </w:rPr>
        <w:t xml:space="preserve"> formuotiems tikslams pasiekti, tačiau </w:t>
      </w:r>
      <w:r w:rsidR="00781599" w:rsidRPr="00650EE4">
        <w:rPr>
          <w:rFonts w:ascii="Times New Roman" w:hAnsi="Times New Roman"/>
          <w:szCs w:val="22"/>
        </w:rPr>
        <w:t>reikalaujanti</w:t>
      </w:r>
      <w:r w:rsidR="006F266D" w:rsidRPr="00650EE4">
        <w:rPr>
          <w:rFonts w:ascii="Times New Roman" w:hAnsi="Times New Roman"/>
          <w:szCs w:val="22"/>
        </w:rPr>
        <w:t xml:space="preserve"> adaptacijos prie naujai keliamų tikslų. </w:t>
      </w:r>
    </w:p>
    <w:p w14:paraId="1DA2BC5B" w14:textId="77777777" w:rsidR="00EE350D" w:rsidRPr="00650EE4" w:rsidRDefault="00EE350D" w:rsidP="00C86ED5">
      <w:pPr>
        <w:spacing w:line="240" w:lineRule="auto"/>
        <w:jc w:val="both"/>
        <w:rPr>
          <w:rFonts w:ascii="Times New Roman" w:hAnsi="Times New Roman"/>
          <w:szCs w:val="22"/>
        </w:rPr>
      </w:pPr>
    </w:p>
    <w:p w14:paraId="4456E7EB" w14:textId="10A1A3CD" w:rsidR="00890194" w:rsidRPr="00650EE4" w:rsidRDefault="00890194" w:rsidP="00BD4925">
      <w:pPr>
        <w:pStyle w:val="ListParagraph"/>
        <w:numPr>
          <w:ilvl w:val="0"/>
          <w:numId w:val="30"/>
        </w:numPr>
        <w:spacing w:after="120" w:line="240" w:lineRule="auto"/>
        <w:jc w:val="both"/>
        <w:rPr>
          <w:rFonts w:ascii="Times New Roman" w:hAnsi="Times New Roman"/>
          <w:b/>
          <w:szCs w:val="22"/>
          <w:lang w:val="lt-LT"/>
        </w:rPr>
      </w:pPr>
      <w:r w:rsidRPr="00650EE4">
        <w:rPr>
          <w:rFonts w:ascii="Times New Roman" w:hAnsi="Times New Roman"/>
          <w:b/>
          <w:szCs w:val="22"/>
          <w:lang w:val="lt-LT"/>
        </w:rPr>
        <w:t>Nepakankamai išsamūs pastatų fondo duomenys</w:t>
      </w:r>
    </w:p>
    <w:p w14:paraId="361C125C" w14:textId="74D1AD89" w:rsidR="005E54EA" w:rsidRPr="00650EE4" w:rsidRDefault="0039646B" w:rsidP="005E54EA">
      <w:pPr>
        <w:spacing w:after="60" w:line="240" w:lineRule="auto"/>
        <w:ind w:left="51"/>
        <w:jc w:val="both"/>
        <w:rPr>
          <w:rFonts w:ascii="Times New Roman" w:hAnsi="Times New Roman"/>
          <w:szCs w:val="22"/>
        </w:rPr>
      </w:pPr>
      <w:r>
        <w:rPr>
          <w:rFonts w:ascii="Times New Roman" w:hAnsi="Times New Roman"/>
          <w:szCs w:val="22"/>
        </w:rPr>
        <w:t>Trūksta sistemingai kaupiamos</w:t>
      </w:r>
      <w:r w:rsidR="00EE350D" w:rsidRPr="00650EE4">
        <w:rPr>
          <w:rFonts w:ascii="Times New Roman" w:hAnsi="Times New Roman"/>
          <w:szCs w:val="22"/>
        </w:rPr>
        <w:t xml:space="preserve"> </w:t>
      </w:r>
      <w:r w:rsidR="005E54EA" w:rsidRPr="00650EE4">
        <w:rPr>
          <w:rFonts w:ascii="Times New Roman" w:hAnsi="Times New Roman"/>
          <w:szCs w:val="22"/>
        </w:rPr>
        <w:t>informacij</w:t>
      </w:r>
      <w:r>
        <w:rPr>
          <w:rFonts w:ascii="Times New Roman" w:hAnsi="Times New Roman"/>
          <w:szCs w:val="22"/>
        </w:rPr>
        <w:t>os</w:t>
      </w:r>
      <w:r w:rsidR="005E54EA" w:rsidRPr="00650EE4">
        <w:rPr>
          <w:rFonts w:ascii="Times New Roman" w:hAnsi="Times New Roman"/>
          <w:szCs w:val="22"/>
        </w:rPr>
        <w:t xml:space="preserve"> apie pastatų fondo charakte</w:t>
      </w:r>
      <w:r w:rsidR="00EE350D" w:rsidRPr="00650EE4">
        <w:rPr>
          <w:rFonts w:ascii="Times New Roman" w:hAnsi="Times New Roman"/>
          <w:szCs w:val="22"/>
        </w:rPr>
        <w:t>ristikas ir energijos vartojimą</w:t>
      </w:r>
      <w:r w:rsidR="007322B7" w:rsidRPr="00650EE4">
        <w:rPr>
          <w:rFonts w:ascii="Times New Roman" w:hAnsi="Times New Roman"/>
          <w:szCs w:val="22"/>
        </w:rPr>
        <w:t>.</w:t>
      </w:r>
    </w:p>
    <w:p w14:paraId="673A3669" w14:textId="77777777" w:rsidR="00890194" w:rsidRPr="00650EE4" w:rsidRDefault="00890194" w:rsidP="00240506">
      <w:pPr>
        <w:rPr>
          <w:rFonts w:ascii="Times New Roman" w:hAnsi="Times New Roman"/>
          <w:szCs w:val="22"/>
        </w:rPr>
      </w:pPr>
    </w:p>
    <w:p w14:paraId="409DC718" w14:textId="390164B4" w:rsidR="00890194" w:rsidRPr="00650EE4" w:rsidRDefault="00890194" w:rsidP="00BD4925">
      <w:pPr>
        <w:pStyle w:val="ListParagraph"/>
        <w:numPr>
          <w:ilvl w:val="0"/>
          <w:numId w:val="30"/>
        </w:numPr>
        <w:spacing w:after="120" w:line="240" w:lineRule="auto"/>
        <w:jc w:val="both"/>
        <w:rPr>
          <w:rFonts w:ascii="Times New Roman" w:hAnsi="Times New Roman"/>
          <w:b/>
          <w:szCs w:val="22"/>
          <w:lang w:val="lt-LT"/>
        </w:rPr>
      </w:pPr>
      <w:r w:rsidRPr="00650EE4">
        <w:rPr>
          <w:rFonts w:ascii="Times New Roman" w:hAnsi="Times New Roman"/>
          <w:b/>
          <w:szCs w:val="22"/>
          <w:lang w:val="lt-LT"/>
        </w:rPr>
        <w:t>Nepakankamas išmanių technologijų panaudojimas.</w:t>
      </w:r>
    </w:p>
    <w:p w14:paraId="4FA257DE" w14:textId="2AFB4C25" w:rsidR="00A70E95" w:rsidRPr="00650EE4" w:rsidRDefault="00444541" w:rsidP="00444541">
      <w:pPr>
        <w:spacing w:after="60" w:line="240" w:lineRule="auto"/>
        <w:ind w:left="51"/>
        <w:jc w:val="both"/>
        <w:rPr>
          <w:rFonts w:ascii="Times New Roman" w:hAnsi="Times New Roman"/>
          <w:szCs w:val="22"/>
        </w:rPr>
      </w:pPr>
      <w:r w:rsidRPr="00650EE4">
        <w:rPr>
          <w:rFonts w:ascii="Times New Roman" w:hAnsi="Times New Roman"/>
          <w:szCs w:val="22"/>
        </w:rPr>
        <w:t xml:space="preserve">Taikomos priemonės aptariamos </w:t>
      </w:r>
      <w:r w:rsidR="0039646B">
        <w:rPr>
          <w:rFonts w:ascii="Times New Roman" w:hAnsi="Times New Roman"/>
          <w:szCs w:val="22"/>
          <w:lang w:val="en-GB"/>
        </w:rPr>
        <w:t>3</w:t>
      </w:r>
      <w:r w:rsidRPr="00650EE4">
        <w:rPr>
          <w:rFonts w:ascii="Times New Roman" w:hAnsi="Times New Roman"/>
          <w:szCs w:val="22"/>
        </w:rPr>
        <w:t>.4.5 skyriuje.</w:t>
      </w:r>
      <w:r w:rsidR="00EE350D" w:rsidRPr="00650EE4">
        <w:rPr>
          <w:rFonts w:ascii="Times New Roman" w:hAnsi="Times New Roman"/>
          <w:szCs w:val="22"/>
        </w:rPr>
        <w:t xml:space="preserve"> </w:t>
      </w:r>
    </w:p>
    <w:p w14:paraId="78361A92" w14:textId="77777777" w:rsidR="00240506" w:rsidRPr="00650EE4" w:rsidRDefault="00240506" w:rsidP="00240506">
      <w:pPr>
        <w:rPr>
          <w:rFonts w:ascii="Times New Roman" w:hAnsi="Times New Roman"/>
          <w:szCs w:val="22"/>
        </w:rPr>
      </w:pPr>
    </w:p>
    <w:p w14:paraId="4EA65065" w14:textId="77777777" w:rsidR="00240506" w:rsidRPr="00650EE4" w:rsidRDefault="00240506" w:rsidP="00240506">
      <w:pPr>
        <w:pStyle w:val="Antrastes31"/>
        <w:numPr>
          <w:ilvl w:val="2"/>
          <w:numId w:val="4"/>
        </w:numPr>
        <w:spacing w:before="0" w:after="120"/>
        <w:ind w:left="720" w:hanging="720"/>
        <w:rPr>
          <w:rFonts w:ascii="Times New Roman" w:hAnsi="Times New Roman"/>
          <w:color w:val="000000" w:themeColor="text1"/>
          <w:sz w:val="26"/>
          <w:szCs w:val="26"/>
          <w:lang w:val="lt-LT"/>
        </w:rPr>
      </w:pPr>
      <w:bookmarkStart w:id="127" w:name="_Toc48028395"/>
      <w:bookmarkStart w:id="128" w:name="_Toc59107542"/>
      <w:r w:rsidRPr="00650EE4">
        <w:rPr>
          <w:rFonts w:ascii="Times New Roman" w:hAnsi="Times New Roman"/>
          <w:color w:val="000000" w:themeColor="text1"/>
          <w:sz w:val="24"/>
          <w:szCs w:val="26"/>
          <w:lang w:val="lt-LT"/>
        </w:rPr>
        <w:t>Taikoma politika ir veiksmai susiję su energijos nepritekliaus mažinimu</w:t>
      </w:r>
      <w:bookmarkEnd w:id="127"/>
      <w:bookmarkEnd w:id="128"/>
      <w:r w:rsidRPr="00650EE4">
        <w:rPr>
          <w:rFonts w:ascii="Times New Roman" w:hAnsi="Times New Roman"/>
          <w:color w:val="000000" w:themeColor="text1"/>
          <w:sz w:val="24"/>
          <w:szCs w:val="26"/>
          <w:lang w:val="lt-LT"/>
        </w:rPr>
        <w:t xml:space="preserve">  </w:t>
      </w:r>
    </w:p>
    <w:p w14:paraId="5D67082F" w14:textId="5B040D88" w:rsidR="00240506" w:rsidRPr="00650EE4" w:rsidRDefault="007A4910" w:rsidP="007A4910">
      <w:pPr>
        <w:pStyle w:val="BodyText"/>
        <w:spacing w:before="240"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Energijo</w:t>
      </w:r>
      <w:r w:rsidR="00BB73C0"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nepriteklius (energetinis skurdas)</w:t>
      </w:r>
      <w:r w:rsidR="00240506" w:rsidRPr="00650EE4">
        <w:rPr>
          <w:rFonts w:ascii="Times New Roman" w:hAnsi="Times New Roman"/>
          <w:color w:val="000000" w:themeColor="text1"/>
          <w:szCs w:val="22"/>
          <w:lang w:val="lt-LT"/>
        </w:rPr>
        <w:t xml:space="preserve"> kyla dėl keturių svarbiausių </w:t>
      </w:r>
      <w:r w:rsidR="00117C6E" w:rsidRPr="00650EE4">
        <w:rPr>
          <w:rFonts w:ascii="Times New Roman" w:hAnsi="Times New Roman"/>
          <w:color w:val="000000" w:themeColor="text1"/>
          <w:szCs w:val="22"/>
          <w:lang w:val="lt-LT"/>
        </w:rPr>
        <w:t>veiksnių</w:t>
      </w:r>
      <w:r w:rsidR="00240506" w:rsidRPr="00650EE4">
        <w:rPr>
          <w:rFonts w:ascii="Times New Roman" w:hAnsi="Times New Roman"/>
          <w:color w:val="000000" w:themeColor="text1"/>
          <w:szCs w:val="22"/>
          <w:lang w:val="lt-LT"/>
        </w:rPr>
        <w:t>:</w:t>
      </w:r>
    </w:p>
    <w:p w14:paraId="54B1D694" w14:textId="412A98E3"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240506" w:rsidRPr="00650EE4">
        <w:rPr>
          <w:rFonts w:ascii="Times New Roman" w:hAnsi="Times New Roman"/>
          <w:color w:val="000000" w:themeColor="text1"/>
          <w:szCs w:val="22"/>
          <w:lang w:val="lt-LT"/>
        </w:rPr>
        <w:t>eefektyvaus energijos vartojimo;</w:t>
      </w:r>
    </w:p>
    <w:p w14:paraId="4581CDFF" w14:textId="383B4A64"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240506" w:rsidRPr="00650EE4">
        <w:rPr>
          <w:rFonts w:ascii="Times New Roman" w:hAnsi="Times New Roman"/>
          <w:color w:val="000000" w:themeColor="text1"/>
          <w:szCs w:val="22"/>
          <w:lang w:val="lt-LT"/>
        </w:rPr>
        <w:t>ukštų energijos kainų;</w:t>
      </w:r>
    </w:p>
    <w:p w14:paraId="1FC88E80" w14:textId="229E6277" w:rsidR="00240506" w:rsidRPr="00650EE4" w:rsidRDefault="006013CC" w:rsidP="00BD4925">
      <w:pPr>
        <w:pStyle w:val="BodyText"/>
        <w:numPr>
          <w:ilvl w:val="0"/>
          <w:numId w:val="28"/>
        </w:numPr>
        <w:spacing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m</w:t>
      </w:r>
      <w:r w:rsidR="00240506" w:rsidRPr="00650EE4">
        <w:rPr>
          <w:rFonts w:ascii="Times New Roman" w:hAnsi="Times New Roman"/>
          <w:color w:val="000000" w:themeColor="text1"/>
          <w:szCs w:val="22"/>
          <w:lang w:val="lt-LT"/>
        </w:rPr>
        <w:t>ažų namų ūkių pajamų;</w:t>
      </w:r>
    </w:p>
    <w:p w14:paraId="6C0F7653" w14:textId="38E0D2C2" w:rsidR="00240506" w:rsidRPr="00650EE4" w:rsidRDefault="006013CC" w:rsidP="00BD4925">
      <w:pPr>
        <w:pStyle w:val="BodyText"/>
        <w:numPr>
          <w:ilvl w:val="0"/>
          <w:numId w:val="28"/>
        </w:numPr>
        <w:spacing w:after="120" w:line="280" w:lineRule="atLeast"/>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240506" w:rsidRPr="00650EE4">
        <w:rPr>
          <w:rFonts w:ascii="Times New Roman" w:hAnsi="Times New Roman"/>
          <w:color w:val="000000" w:themeColor="text1"/>
          <w:szCs w:val="22"/>
          <w:lang w:val="lt-LT"/>
        </w:rPr>
        <w:t>epakankamo vartotojų informuotumo apie energetinio skurdo mažinimo galimybes.</w:t>
      </w:r>
    </w:p>
    <w:p w14:paraId="283B4657" w14:textId="05A4E629" w:rsidR="00240506" w:rsidRPr="00650EE4" w:rsidRDefault="00240506" w:rsidP="00240506">
      <w:pPr>
        <w:pStyle w:val="BodyText"/>
        <w:spacing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IRS </w:t>
      </w:r>
      <w:r w:rsidR="00117C6E" w:rsidRPr="00650EE4">
        <w:rPr>
          <w:rFonts w:ascii="Times New Roman" w:hAnsi="Times New Roman"/>
          <w:color w:val="000000" w:themeColor="text1"/>
          <w:szCs w:val="22"/>
          <w:lang w:val="lt-LT"/>
        </w:rPr>
        <w:t xml:space="preserve">numatyta pastatų fondo transformacija </w:t>
      </w:r>
      <w:r w:rsidR="00AD79E1" w:rsidRPr="00650EE4">
        <w:rPr>
          <w:rFonts w:ascii="Times New Roman" w:hAnsi="Times New Roman"/>
          <w:color w:val="000000" w:themeColor="text1"/>
          <w:szCs w:val="22"/>
          <w:lang w:val="lt-LT"/>
        </w:rPr>
        <w:t xml:space="preserve">tiesiogiai </w:t>
      </w:r>
      <w:r w:rsidR="00BB73C0" w:rsidRPr="00650EE4">
        <w:rPr>
          <w:rFonts w:ascii="Times New Roman" w:hAnsi="Times New Roman"/>
          <w:color w:val="000000" w:themeColor="text1"/>
          <w:szCs w:val="22"/>
          <w:lang w:val="lt-LT"/>
        </w:rPr>
        <w:t>darys įtaką</w:t>
      </w:r>
      <w:r w:rsidRPr="00650EE4">
        <w:rPr>
          <w:rFonts w:ascii="Times New Roman" w:hAnsi="Times New Roman"/>
          <w:color w:val="000000" w:themeColor="text1"/>
          <w:szCs w:val="22"/>
          <w:lang w:val="lt-LT"/>
        </w:rPr>
        <w:t xml:space="preserve"> 1 ir 4</w:t>
      </w:r>
      <w:r w:rsidR="00117C6E" w:rsidRPr="00650EE4">
        <w:rPr>
          <w:rFonts w:ascii="Times New Roman" w:hAnsi="Times New Roman"/>
          <w:color w:val="000000" w:themeColor="text1"/>
          <w:szCs w:val="22"/>
          <w:lang w:val="lt-LT"/>
        </w:rPr>
        <w:t xml:space="preserve"> </w:t>
      </w:r>
      <w:r w:rsidR="00AD0223" w:rsidRPr="00650EE4">
        <w:rPr>
          <w:rFonts w:ascii="Times New Roman" w:hAnsi="Times New Roman"/>
          <w:color w:val="000000" w:themeColor="text1"/>
          <w:szCs w:val="22"/>
          <w:lang w:val="lt-LT"/>
        </w:rPr>
        <w:t xml:space="preserve"> </w:t>
      </w:r>
      <w:r w:rsidR="00117C6E" w:rsidRPr="00650EE4">
        <w:rPr>
          <w:rFonts w:ascii="Times New Roman" w:hAnsi="Times New Roman"/>
          <w:color w:val="000000" w:themeColor="text1"/>
          <w:szCs w:val="22"/>
          <w:lang w:val="lt-LT"/>
        </w:rPr>
        <w:t>veiksni</w:t>
      </w:r>
      <w:r w:rsidR="00BB73C0" w:rsidRPr="00650EE4">
        <w:rPr>
          <w:rFonts w:ascii="Times New Roman" w:hAnsi="Times New Roman"/>
          <w:color w:val="000000" w:themeColor="text1"/>
          <w:szCs w:val="22"/>
          <w:lang w:val="lt-LT"/>
        </w:rPr>
        <w:t>ams</w:t>
      </w:r>
      <w:r w:rsidR="00117C6E" w:rsidRPr="00650EE4">
        <w:rPr>
          <w:rFonts w:ascii="Times New Roman" w:hAnsi="Times New Roman"/>
          <w:color w:val="000000" w:themeColor="text1"/>
          <w:szCs w:val="22"/>
          <w:lang w:val="lt-LT"/>
        </w:rPr>
        <w:t xml:space="preserve">, </w:t>
      </w:r>
      <w:r w:rsidR="00AD79E1" w:rsidRPr="00650EE4">
        <w:rPr>
          <w:rFonts w:ascii="Times New Roman" w:hAnsi="Times New Roman"/>
          <w:color w:val="000000" w:themeColor="text1"/>
          <w:szCs w:val="22"/>
          <w:lang w:val="lt-LT"/>
        </w:rPr>
        <w:t xml:space="preserve">netiesiogiai – </w:t>
      </w:r>
      <w:r w:rsidRPr="00650EE4">
        <w:rPr>
          <w:rFonts w:ascii="Times New Roman" w:hAnsi="Times New Roman"/>
          <w:color w:val="000000" w:themeColor="text1"/>
          <w:szCs w:val="22"/>
          <w:lang w:val="lt-LT"/>
        </w:rPr>
        <w:t xml:space="preserve">2 </w:t>
      </w:r>
      <w:r w:rsidR="00117C6E" w:rsidRPr="00650EE4">
        <w:rPr>
          <w:rFonts w:ascii="Times New Roman" w:hAnsi="Times New Roman"/>
          <w:color w:val="000000" w:themeColor="text1"/>
          <w:szCs w:val="22"/>
          <w:lang w:val="lt-LT"/>
        </w:rPr>
        <w:t>veiksn</w:t>
      </w:r>
      <w:r w:rsidR="00BB73C0" w:rsidRPr="00650EE4">
        <w:rPr>
          <w:rFonts w:ascii="Times New Roman" w:hAnsi="Times New Roman"/>
          <w:color w:val="000000" w:themeColor="text1"/>
          <w:szCs w:val="22"/>
          <w:lang w:val="lt-LT"/>
        </w:rPr>
        <w:t>iui</w:t>
      </w:r>
      <w:r w:rsidRPr="00650EE4">
        <w:rPr>
          <w:rFonts w:ascii="Times New Roman" w:hAnsi="Times New Roman"/>
          <w:color w:val="000000" w:themeColor="text1"/>
          <w:szCs w:val="22"/>
          <w:lang w:val="lt-LT"/>
        </w:rPr>
        <w:t xml:space="preserve">. </w:t>
      </w:r>
    </w:p>
    <w:p w14:paraId="05063892" w14:textId="77777777" w:rsidR="00240506" w:rsidRPr="00650EE4" w:rsidRDefault="00240506" w:rsidP="00240506">
      <w:pPr>
        <w:pStyle w:val="BodyText"/>
        <w:spacing w:after="120"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Energetinį skurdo lygį galima vertinti matuojant šešis rodiklius:</w:t>
      </w:r>
    </w:p>
    <w:p w14:paraId="5AB4FF05" w14:textId="035519D4"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a</w:t>
      </w:r>
      <w:r w:rsidR="00240506" w:rsidRPr="00650EE4">
        <w:rPr>
          <w:rFonts w:ascii="Times New Roman" w:hAnsi="Times New Roman"/>
          <w:szCs w:val="22"/>
          <w:lang w:val="lt-LT"/>
        </w:rPr>
        <w:t>smenų, gyvenančių namų ūkiuose, kurie dėl pinigų stokos negali sau leisti pakankamai šildyti būsto, dalis;</w:t>
      </w:r>
    </w:p>
    <w:p w14:paraId="6CA855AE" w14:textId="29EA48A4"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sąnaudų dalis išleidžiama elektros ir šilumos energijai</w:t>
      </w:r>
      <w:r w:rsidR="00117C6E" w:rsidRPr="00650EE4">
        <w:rPr>
          <w:rFonts w:ascii="Times New Roman" w:hAnsi="Times New Roman"/>
          <w:szCs w:val="22"/>
          <w:lang w:val="lt-LT"/>
        </w:rPr>
        <w:t>;</w:t>
      </w:r>
    </w:p>
    <w:p w14:paraId="10EBDF83" w14:textId="1E03BB49"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dalis, kurių su namų išlaikymu susijusios sąnaudos viršija 40 proc. disponuojamųjų pajamų</w:t>
      </w:r>
      <w:r w:rsidR="00117C6E" w:rsidRPr="00650EE4">
        <w:rPr>
          <w:rFonts w:ascii="Times New Roman" w:hAnsi="Times New Roman"/>
          <w:szCs w:val="22"/>
          <w:lang w:val="lt-LT"/>
        </w:rPr>
        <w:t>;</w:t>
      </w:r>
    </w:p>
    <w:p w14:paraId="43EA5C43" w14:textId="506A5F18"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d</w:t>
      </w:r>
      <w:r w:rsidR="00240506" w:rsidRPr="00650EE4">
        <w:rPr>
          <w:rFonts w:ascii="Times New Roman" w:hAnsi="Times New Roman"/>
          <w:szCs w:val="22"/>
          <w:lang w:val="lt-LT"/>
        </w:rPr>
        <w:t xml:space="preserve">isponuojamų pajamų </w:t>
      </w:r>
      <w:r w:rsidR="0051748D" w:rsidRPr="00650EE4">
        <w:rPr>
          <w:rFonts w:ascii="Times New Roman" w:hAnsi="Times New Roman"/>
          <w:szCs w:val="22"/>
          <w:lang w:val="lt-LT"/>
        </w:rPr>
        <w:t xml:space="preserve">ir </w:t>
      </w:r>
      <w:r w:rsidR="00240506" w:rsidRPr="00650EE4">
        <w:rPr>
          <w:rFonts w:ascii="Times New Roman" w:hAnsi="Times New Roman"/>
          <w:szCs w:val="22"/>
          <w:lang w:val="lt-LT"/>
        </w:rPr>
        <w:t>namų išlaikymo sąnaudų dalis</w:t>
      </w:r>
      <w:r w:rsidR="00117C6E" w:rsidRPr="00650EE4">
        <w:rPr>
          <w:rFonts w:ascii="Times New Roman" w:hAnsi="Times New Roman"/>
          <w:szCs w:val="22"/>
          <w:lang w:val="lt-LT"/>
        </w:rPr>
        <w:t>;</w:t>
      </w:r>
    </w:p>
    <w:p w14:paraId="10E24E9C" w14:textId="704462E0" w:rsidR="00240506" w:rsidRPr="00650EE4" w:rsidRDefault="006013CC" w:rsidP="00240506">
      <w:pPr>
        <w:pStyle w:val="ListParagraph"/>
        <w:numPr>
          <w:ilvl w:val="0"/>
          <w:numId w:val="12"/>
        </w:numPr>
        <w:spacing w:after="60"/>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amų ūkių dalis, turinčių pradelstų įsiskolinimų už komunalines paslaugas</w:t>
      </w:r>
      <w:r w:rsidR="00117C6E" w:rsidRPr="00650EE4">
        <w:rPr>
          <w:rFonts w:ascii="Times New Roman" w:hAnsi="Times New Roman"/>
          <w:szCs w:val="22"/>
          <w:lang w:val="lt-LT"/>
        </w:rPr>
        <w:t>;</w:t>
      </w:r>
    </w:p>
    <w:p w14:paraId="54EE6919" w14:textId="29C92704" w:rsidR="00240506" w:rsidRPr="00650EE4" w:rsidRDefault="006013CC" w:rsidP="00240506">
      <w:pPr>
        <w:pStyle w:val="ListParagraph"/>
        <w:numPr>
          <w:ilvl w:val="0"/>
          <w:numId w:val="12"/>
        </w:numPr>
        <w:ind w:left="714" w:hanging="357"/>
        <w:contextualSpacing w:val="0"/>
        <w:jc w:val="both"/>
        <w:rPr>
          <w:rFonts w:ascii="Times New Roman" w:hAnsi="Times New Roman"/>
          <w:szCs w:val="22"/>
          <w:lang w:val="lt-LT"/>
        </w:rPr>
      </w:pPr>
      <w:r>
        <w:rPr>
          <w:rFonts w:ascii="Times New Roman" w:hAnsi="Times New Roman"/>
          <w:szCs w:val="22"/>
          <w:lang w:val="lt-LT"/>
        </w:rPr>
        <w:t>n</w:t>
      </w:r>
      <w:r w:rsidR="00240506" w:rsidRPr="00650EE4">
        <w:rPr>
          <w:rFonts w:ascii="Times New Roman" w:hAnsi="Times New Roman"/>
          <w:szCs w:val="22"/>
          <w:lang w:val="lt-LT"/>
        </w:rPr>
        <w:t xml:space="preserve">amų ūkių dalis, kurių gyvenimo sąlygos netinkamos (prateka </w:t>
      </w:r>
      <w:r>
        <w:rPr>
          <w:rFonts w:ascii="Times New Roman" w:hAnsi="Times New Roman"/>
          <w:szCs w:val="22"/>
          <w:lang w:val="lt-LT"/>
        </w:rPr>
        <w:t>stog</w:t>
      </w:r>
      <w:r w:rsidR="00240506" w:rsidRPr="00650EE4">
        <w:rPr>
          <w:rFonts w:ascii="Times New Roman" w:hAnsi="Times New Roman"/>
          <w:szCs w:val="22"/>
          <w:lang w:val="lt-LT"/>
        </w:rPr>
        <w:t xml:space="preserve">as, </w:t>
      </w:r>
      <w:r w:rsidR="002A5166" w:rsidRPr="00650EE4">
        <w:rPr>
          <w:rFonts w:ascii="Times New Roman" w:hAnsi="Times New Roman"/>
          <w:szCs w:val="22"/>
          <w:lang w:val="lt-LT"/>
        </w:rPr>
        <w:t>drėksta</w:t>
      </w:r>
      <w:r w:rsidR="00240506" w:rsidRPr="00650EE4">
        <w:rPr>
          <w:rFonts w:ascii="Times New Roman" w:hAnsi="Times New Roman"/>
          <w:szCs w:val="22"/>
          <w:lang w:val="lt-LT"/>
        </w:rPr>
        <w:t xml:space="preserve"> sienos, pamatai ar langų rėmuose yra puvinys)</w:t>
      </w:r>
      <w:r w:rsidR="00117C6E" w:rsidRPr="00650EE4">
        <w:rPr>
          <w:rFonts w:ascii="Times New Roman" w:hAnsi="Times New Roman"/>
          <w:szCs w:val="22"/>
          <w:lang w:val="lt-LT"/>
        </w:rPr>
        <w:t>.</w:t>
      </w:r>
    </w:p>
    <w:p w14:paraId="230BAD3C" w14:textId="77777777" w:rsidR="00117C6E" w:rsidRPr="00650EE4" w:rsidRDefault="00117C6E" w:rsidP="00117C6E">
      <w:pPr>
        <w:pStyle w:val="ListParagraph"/>
        <w:ind w:left="714"/>
        <w:contextualSpacing w:val="0"/>
        <w:jc w:val="both"/>
        <w:rPr>
          <w:rFonts w:ascii="Times New Roman" w:hAnsi="Times New Roman"/>
          <w:szCs w:val="22"/>
          <w:lang w:val="lt-LT"/>
        </w:rPr>
      </w:pPr>
    </w:p>
    <w:p w14:paraId="5942C749" w14:textId="052D233B" w:rsidR="00240506" w:rsidRPr="00650EE4" w:rsidRDefault="00117C6E" w:rsidP="00117C6E">
      <w:pPr>
        <w:spacing w:after="120"/>
        <w:jc w:val="both"/>
        <w:rPr>
          <w:rFonts w:ascii="Times New Roman" w:hAnsi="Times New Roman"/>
          <w:b/>
          <w:szCs w:val="22"/>
        </w:rPr>
      </w:pPr>
      <w:r w:rsidRPr="00650EE4">
        <w:rPr>
          <w:rFonts w:ascii="Times New Roman" w:hAnsi="Times New Roman"/>
          <w:b/>
          <w:szCs w:val="22"/>
        </w:rPr>
        <w:t>Asmenų, gyvenančių namų ūkiuose, kurie dėl pinigų stokos negali sau leisti pakankamai šildyti būsto, dalis</w:t>
      </w:r>
    </w:p>
    <w:p w14:paraId="71E4283D" w14:textId="35A3AC76" w:rsidR="00240506" w:rsidRPr="00650EE4" w:rsidRDefault="00240506" w:rsidP="00240506">
      <w:pPr>
        <w:jc w:val="both"/>
        <w:rPr>
          <w:rFonts w:ascii="Times New Roman" w:hAnsi="Times New Roman"/>
          <w:szCs w:val="22"/>
        </w:rPr>
      </w:pPr>
      <w:r w:rsidRPr="00650EE4">
        <w:rPr>
          <w:rFonts w:ascii="Times New Roman" w:hAnsi="Times New Roman"/>
          <w:szCs w:val="22"/>
        </w:rPr>
        <w:t>Asmenų, gyvenančių namų ūkiuose, kurie dėl pinigų stokos negali sau leisti pakankamai šildyti būsto, dalis Lietuvoje nuo 2011 m. Lietuvoje mažėjo ir pasiekė 26</w:t>
      </w:r>
      <w:r w:rsidR="00954E34" w:rsidRPr="00650EE4">
        <w:rPr>
          <w:rFonts w:ascii="Times New Roman" w:hAnsi="Times New Roman"/>
          <w:szCs w:val="22"/>
        </w:rPr>
        <w:t>,</w:t>
      </w:r>
      <w:r w:rsidRPr="00650EE4">
        <w:rPr>
          <w:rFonts w:ascii="Times New Roman" w:hAnsi="Times New Roman"/>
          <w:szCs w:val="22"/>
        </w:rPr>
        <w:t xml:space="preserve">7%. Palyginus su kitomis ES šalimis, populiacijos dalis neišgalinti pakankamai šildyti savo namus Lietuvoje </w:t>
      </w:r>
      <w:r w:rsidR="00117C6E" w:rsidRPr="00650EE4">
        <w:rPr>
          <w:rFonts w:ascii="Times New Roman" w:hAnsi="Times New Roman"/>
          <w:szCs w:val="22"/>
        </w:rPr>
        <w:t xml:space="preserve">beveik ~3 kartus didesnė </w:t>
      </w:r>
      <w:r w:rsidRPr="00650EE4">
        <w:rPr>
          <w:rFonts w:ascii="Times New Roman" w:hAnsi="Times New Roman"/>
          <w:szCs w:val="22"/>
        </w:rPr>
        <w:t xml:space="preserve">nei ES </w:t>
      </w:r>
      <w:r w:rsidR="00117C6E" w:rsidRPr="00650EE4">
        <w:rPr>
          <w:rFonts w:ascii="Times New Roman" w:hAnsi="Times New Roman"/>
          <w:szCs w:val="22"/>
        </w:rPr>
        <w:t>šalių vidurkis (žr. lentelę</w:t>
      </w:r>
      <w:r w:rsidRPr="00650EE4">
        <w:rPr>
          <w:rFonts w:ascii="Times New Roman" w:hAnsi="Times New Roman"/>
          <w:szCs w:val="22"/>
        </w:rPr>
        <w:t xml:space="preserve"> žemiau</w:t>
      </w:r>
      <w:r w:rsidR="00117C6E" w:rsidRPr="00650EE4">
        <w:rPr>
          <w:rFonts w:ascii="Times New Roman" w:hAnsi="Times New Roman"/>
          <w:szCs w:val="22"/>
        </w:rPr>
        <w:t>)</w:t>
      </w:r>
      <w:r w:rsidRPr="00650EE4">
        <w:rPr>
          <w:rFonts w:ascii="Times New Roman" w:hAnsi="Times New Roman"/>
          <w:szCs w:val="22"/>
        </w:rPr>
        <w:t>.</w:t>
      </w:r>
    </w:p>
    <w:p w14:paraId="472295FD" w14:textId="77777777" w:rsidR="007A4910" w:rsidRPr="00650EE4" w:rsidRDefault="007A4910" w:rsidP="00240506">
      <w:pPr>
        <w:jc w:val="both"/>
        <w:rPr>
          <w:rFonts w:ascii="Times New Roman" w:hAnsi="Times New Roman"/>
          <w:szCs w:val="22"/>
        </w:rPr>
      </w:pPr>
    </w:p>
    <w:p w14:paraId="24598A84" w14:textId="77777777" w:rsidR="00C5035E" w:rsidRDefault="00C5035E">
      <w:pPr>
        <w:spacing w:after="240"/>
        <w:rPr>
          <w:rFonts w:ascii="Times New Roman" w:eastAsiaTheme="minorHAnsi" w:hAnsi="Times New Roman"/>
          <w:bCs/>
          <w:i/>
          <w:color w:val="000000" w:themeColor="text1"/>
          <w:sz w:val="20"/>
          <w:szCs w:val="20"/>
        </w:rPr>
      </w:pPr>
      <w:r>
        <w:br w:type="page"/>
      </w:r>
    </w:p>
    <w:p w14:paraId="6EA27AB4" w14:textId="03D1D809" w:rsidR="00240506" w:rsidRPr="00650EE4" w:rsidRDefault="00195386"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29" w:name="_Toc59094227"/>
      <w:r w:rsidR="00F25C65">
        <w:t>44</w:t>
      </w:r>
      <w:r w:rsidRPr="00650EE4">
        <w:rPr>
          <w:noProof w:val="0"/>
        </w:rPr>
        <w:fldChar w:fldCharType="end"/>
      </w:r>
      <w:r w:rsidR="00240506" w:rsidRPr="00650EE4">
        <w:rPr>
          <w:noProof w:val="0"/>
        </w:rPr>
        <w:t xml:space="preserve"> lentelė Asmenų, kurie dėl pinigų stokos negali sau leisti pakankamai šildyti būsto, dalis, proc.</w:t>
      </w:r>
      <w:bookmarkEnd w:id="129"/>
    </w:p>
    <w:tbl>
      <w:tblPr>
        <w:tblW w:w="0" w:type="auto"/>
        <w:tblLook w:val="04A0" w:firstRow="1" w:lastRow="0" w:firstColumn="1" w:lastColumn="0" w:noHBand="0" w:noVBand="1"/>
      </w:tblPr>
      <w:tblGrid>
        <w:gridCol w:w="4260"/>
        <w:gridCol w:w="616"/>
        <w:gridCol w:w="616"/>
        <w:gridCol w:w="616"/>
        <w:gridCol w:w="616"/>
        <w:gridCol w:w="616"/>
        <w:gridCol w:w="616"/>
        <w:gridCol w:w="616"/>
        <w:gridCol w:w="616"/>
        <w:gridCol w:w="616"/>
        <w:gridCol w:w="616"/>
      </w:tblGrid>
      <w:tr w:rsidR="00240506" w:rsidRPr="00650EE4" w14:paraId="1434D487" w14:textId="77777777" w:rsidTr="00677FE7">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A393C"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C8297BA"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0387BE"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77B87A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2012</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910B0D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2013</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105E1742"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2014</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4AEF3F4"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2015</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6D19B3A"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2016</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23CD3C3"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2017</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294DBEC"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2018</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3C5BEC8"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2019</w:t>
            </w:r>
          </w:p>
        </w:tc>
      </w:tr>
      <w:tr w:rsidR="00240506" w:rsidRPr="00650EE4" w14:paraId="64F4FB96" w14:textId="77777777" w:rsidTr="00677FE7">
        <w:tc>
          <w:tcPr>
            <w:tcW w:w="0" w:type="auto"/>
            <w:tcBorders>
              <w:top w:val="nil"/>
              <w:left w:val="single" w:sz="4" w:space="0" w:color="auto"/>
              <w:bottom w:val="single" w:sz="4" w:space="0" w:color="auto"/>
              <w:right w:val="single" w:sz="4" w:space="0" w:color="auto"/>
            </w:tcBorders>
            <w:shd w:val="clear" w:color="auto" w:fill="auto"/>
            <w:vAlign w:val="bottom"/>
            <w:hideMark/>
          </w:tcPr>
          <w:p w14:paraId="49C9F8AA"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Asmenų, gyvenančių namų ūkiuose, kurie dėl pinigų stokos negali sau leisti pakankamai šildyti būsto, dalis (LT)</w:t>
            </w:r>
          </w:p>
        </w:tc>
        <w:tc>
          <w:tcPr>
            <w:tcW w:w="0" w:type="auto"/>
            <w:tcBorders>
              <w:top w:val="nil"/>
              <w:left w:val="nil"/>
              <w:bottom w:val="single" w:sz="4" w:space="0" w:color="auto"/>
              <w:right w:val="single" w:sz="4" w:space="0" w:color="auto"/>
            </w:tcBorders>
            <w:shd w:val="clear" w:color="auto" w:fill="auto"/>
            <w:noWrap/>
            <w:vAlign w:val="bottom"/>
            <w:hideMark/>
          </w:tcPr>
          <w:p w14:paraId="64555F6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25.2</w:t>
            </w:r>
          </w:p>
        </w:tc>
        <w:tc>
          <w:tcPr>
            <w:tcW w:w="0" w:type="auto"/>
            <w:tcBorders>
              <w:top w:val="nil"/>
              <w:left w:val="nil"/>
              <w:bottom w:val="single" w:sz="4" w:space="0" w:color="auto"/>
              <w:right w:val="single" w:sz="4" w:space="0" w:color="auto"/>
            </w:tcBorders>
            <w:shd w:val="clear" w:color="auto" w:fill="auto"/>
            <w:noWrap/>
            <w:vAlign w:val="bottom"/>
            <w:hideMark/>
          </w:tcPr>
          <w:p w14:paraId="3A39135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36.2</w:t>
            </w:r>
          </w:p>
        </w:tc>
        <w:tc>
          <w:tcPr>
            <w:tcW w:w="0" w:type="auto"/>
            <w:tcBorders>
              <w:top w:val="nil"/>
              <w:left w:val="nil"/>
              <w:bottom w:val="single" w:sz="4" w:space="0" w:color="auto"/>
              <w:right w:val="single" w:sz="4" w:space="0" w:color="auto"/>
            </w:tcBorders>
            <w:shd w:val="clear" w:color="auto" w:fill="auto"/>
            <w:noWrap/>
            <w:vAlign w:val="bottom"/>
            <w:hideMark/>
          </w:tcPr>
          <w:p w14:paraId="3AA790D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34.1</w:t>
            </w:r>
          </w:p>
        </w:tc>
        <w:tc>
          <w:tcPr>
            <w:tcW w:w="0" w:type="auto"/>
            <w:tcBorders>
              <w:top w:val="nil"/>
              <w:left w:val="nil"/>
              <w:bottom w:val="single" w:sz="4" w:space="0" w:color="auto"/>
              <w:right w:val="single" w:sz="4" w:space="0" w:color="auto"/>
            </w:tcBorders>
            <w:shd w:val="clear" w:color="auto" w:fill="auto"/>
            <w:noWrap/>
            <w:vAlign w:val="bottom"/>
            <w:hideMark/>
          </w:tcPr>
          <w:p w14:paraId="496BCC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29.2</w:t>
            </w:r>
          </w:p>
        </w:tc>
        <w:tc>
          <w:tcPr>
            <w:tcW w:w="0" w:type="auto"/>
            <w:tcBorders>
              <w:top w:val="nil"/>
              <w:left w:val="nil"/>
              <w:bottom w:val="single" w:sz="4" w:space="0" w:color="auto"/>
              <w:right w:val="single" w:sz="4" w:space="0" w:color="auto"/>
            </w:tcBorders>
            <w:shd w:val="clear" w:color="auto" w:fill="auto"/>
            <w:noWrap/>
            <w:vAlign w:val="bottom"/>
            <w:hideMark/>
          </w:tcPr>
          <w:p w14:paraId="4792947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26.5</w:t>
            </w:r>
          </w:p>
        </w:tc>
        <w:tc>
          <w:tcPr>
            <w:tcW w:w="0" w:type="auto"/>
            <w:tcBorders>
              <w:top w:val="nil"/>
              <w:left w:val="nil"/>
              <w:bottom w:val="single" w:sz="4" w:space="0" w:color="auto"/>
              <w:right w:val="single" w:sz="4" w:space="0" w:color="auto"/>
            </w:tcBorders>
            <w:shd w:val="clear" w:color="auto" w:fill="auto"/>
            <w:noWrap/>
            <w:vAlign w:val="bottom"/>
            <w:hideMark/>
          </w:tcPr>
          <w:p w14:paraId="5D5653E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31.1</w:t>
            </w:r>
          </w:p>
        </w:tc>
        <w:tc>
          <w:tcPr>
            <w:tcW w:w="0" w:type="auto"/>
            <w:tcBorders>
              <w:top w:val="nil"/>
              <w:left w:val="nil"/>
              <w:bottom w:val="single" w:sz="4" w:space="0" w:color="auto"/>
              <w:right w:val="single" w:sz="4" w:space="0" w:color="auto"/>
            </w:tcBorders>
            <w:shd w:val="clear" w:color="auto" w:fill="auto"/>
            <w:noWrap/>
            <w:vAlign w:val="bottom"/>
            <w:hideMark/>
          </w:tcPr>
          <w:p w14:paraId="53DD810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29.3</w:t>
            </w:r>
          </w:p>
        </w:tc>
        <w:tc>
          <w:tcPr>
            <w:tcW w:w="0" w:type="auto"/>
            <w:tcBorders>
              <w:top w:val="nil"/>
              <w:left w:val="nil"/>
              <w:bottom w:val="single" w:sz="4" w:space="0" w:color="auto"/>
              <w:right w:val="single" w:sz="4" w:space="0" w:color="auto"/>
            </w:tcBorders>
            <w:shd w:val="clear" w:color="auto" w:fill="auto"/>
            <w:noWrap/>
            <w:vAlign w:val="bottom"/>
            <w:hideMark/>
          </w:tcPr>
          <w:p w14:paraId="73AB1D7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28.9</w:t>
            </w:r>
          </w:p>
        </w:tc>
        <w:tc>
          <w:tcPr>
            <w:tcW w:w="0" w:type="auto"/>
            <w:tcBorders>
              <w:top w:val="nil"/>
              <w:left w:val="nil"/>
              <w:bottom w:val="single" w:sz="4" w:space="0" w:color="auto"/>
              <w:right w:val="single" w:sz="4" w:space="0" w:color="auto"/>
            </w:tcBorders>
            <w:shd w:val="clear" w:color="auto" w:fill="auto"/>
            <w:noWrap/>
            <w:vAlign w:val="bottom"/>
            <w:hideMark/>
          </w:tcPr>
          <w:p w14:paraId="069736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27.9</w:t>
            </w:r>
          </w:p>
        </w:tc>
        <w:tc>
          <w:tcPr>
            <w:tcW w:w="0" w:type="auto"/>
            <w:tcBorders>
              <w:top w:val="nil"/>
              <w:left w:val="nil"/>
              <w:bottom w:val="single" w:sz="4" w:space="0" w:color="auto"/>
              <w:right w:val="single" w:sz="4" w:space="0" w:color="auto"/>
            </w:tcBorders>
            <w:shd w:val="clear" w:color="auto" w:fill="auto"/>
            <w:noWrap/>
            <w:vAlign w:val="bottom"/>
            <w:hideMark/>
          </w:tcPr>
          <w:p w14:paraId="721684E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r>
      <w:tr w:rsidR="00240506" w:rsidRPr="00650EE4" w14:paraId="47641BD9" w14:textId="77777777" w:rsidTr="00677FE7">
        <w:tc>
          <w:tcPr>
            <w:tcW w:w="0" w:type="auto"/>
            <w:tcBorders>
              <w:top w:val="nil"/>
              <w:left w:val="single" w:sz="4" w:space="0" w:color="auto"/>
              <w:bottom w:val="single" w:sz="4" w:space="0" w:color="auto"/>
              <w:right w:val="single" w:sz="4" w:space="0" w:color="auto"/>
            </w:tcBorders>
            <w:shd w:val="clear" w:color="auto" w:fill="auto"/>
            <w:vAlign w:val="bottom"/>
            <w:hideMark/>
          </w:tcPr>
          <w:p w14:paraId="2564A4E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Asmenų, gyvenančių namų ūkiuose, kurie dėl pinigų stokos negali sau leisti pakankamai šildyti būsto, dalis (ES)</w:t>
            </w:r>
          </w:p>
        </w:tc>
        <w:tc>
          <w:tcPr>
            <w:tcW w:w="0" w:type="auto"/>
            <w:tcBorders>
              <w:top w:val="nil"/>
              <w:left w:val="nil"/>
              <w:bottom w:val="single" w:sz="4" w:space="0" w:color="auto"/>
              <w:right w:val="single" w:sz="4" w:space="0" w:color="auto"/>
            </w:tcBorders>
            <w:shd w:val="clear" w:color="auto" w:fill="auto"/>
            <w:noWrap/>
            <w:vAlign w:val="bottom"/>
            <w:hideMark/>
          </w:tcPr>
          <w:p w14:paraId="2116EB9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9.9</w:t>
            </w:r>
          </w:p>
        </w:tc>
        <w:tc>
          <w:tcPr>
            <w:tcW w:w="0" w:type="auto"/>
            <w:tcBorders>
              <w:top w:val="nil"/>
              <w:left w:val="nil"/>
              <w:bottom w:val="single" w:sz="4" w:space="0" w:color="auto"/>
              <w:right w:val="single" w:sz="4" w:space="0" w:color="auto"/>
            </w:tcBorders>
            <w:shd w:val="clear" w:color="auto" w:fill="auto"/>
            <w:noWrap/>
            <w:vAlign w:val="bottom"/>
            <w:hideMark/>
          </w:tcPr>
          <w:p w14:paraId="0759BA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10.3</w:t>
            </w:r>
          </w:p>
        </w:tc>
        <w:tc>
          <w:tcPr>
            <w:tcW w:w="0" w:type="auto"/>
            <w:tcBorders>
              <w:top w:val="nil"/>
              <w:left w:val="nil"/>
              <w:bottom w:val="single" w:sz="4" w:space="0" w:color="auto"/>
              <w:right w:val="single" w:sz="4" w:space="0" w:color="auto"/>
            </w:tcBorders>
            <w:shd w:val="clear" w:color="auto" w:fill="auto"/>
            <w:noWrap/>
            <w:vAlign w:val="bottom"/>
            <w:hideMark/>
          </w:tcPr>
          <w:p w14:paraId="18598F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11.2</w:t>
            </w:r>
          </w:p>
        </w:tc>
        <w:tc>
          <w:tcPr>
            <w:tcW w:w="0" w:type="auto"/>
            <w:tcBorders>
              <w:top w:val="nil"/>
              <w:left w:val="nil"/>
              <w:bottom w:val="single" w:sz="4" w:space="0" w:color="auto"/>
              <w:right w:val="single" w:sz="4" w:space="0" w:color="auto"/>
            </w:tcBorders>
            <w:shd w:val="clear" w:color="auto" w:fill="auto"/>
            <w:noWrap/>
            <w:vAlign w:val="bottom"/>
            <w:hideMark/>
          </w:tcPr>
          <w:p w14:paraId="3ED39F6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10.8</w:t>
            </w:r>
          </w:p>
        </w:tc>
        <w:tc>
          <w:tcPr>
            <w:tcW w:w="0" w:type="auto"/>
            <w:tcBorders>
              <w:top w:val="nil"/>
              <w:left w:val="nil"/>
              <w:bottom w:val="single" w:sz="4" w:space="0" w:color="auto"/>
              <w:right w:val="single" w:sz="4" w:space="0" w:color="auto"/>
            </w:tcBorders>
            <w:shd w:val="clear" w:color="auto" w:fill="auto"/>
            <w:noWrap/>
            <w:vAlign w:val="bottom"/>
            <w:hideMark/>
          </w:tcPr>
          <w:p w14:paraId="57970CC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10.4</w:t>
            </w:r>
          </w:p>
        </w:tc>
        <w:tc>
          <w:tcPr>
            <w:tcW w:w="0" w:type="auto"/>
            <w:tcBorders>
              <w:top w:val="nil"/>
              <w:left w:val="nil"/>
              <w:bottom w:val="single" w:sz="4" w:space="0" w:color="auto"/>
              <w:right w:val="single" w:sz="4" w:space="0" w:color="auto"/>
            </w:tcBorders>
            <w:shd w:val="clear" w:color="auto" w:fill="auto"/>
            <w:noWrap/>
            <w:vAlign w:val="bottom"/>
            <w:hideMark/>
          </w:tcPr>
          <w:p w14:paraId="58D230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9.6</w:t>
            </w:r>
          </w:p>
        </w:tc>
        <w:tc>
          <w:tcPr>
            <w:tcW w:w="0" w:type="auto"/>
            <w:tcBorders>
              <w:top w:val="nil"/>
              <w:left w:val="nil"/>
              <w:bottom w:val="single" w:sz="4" w:space="0" w:color="auto"/>
              <w:right w:val="single" w:sz="4" w:space="0" w:color="auto"/>
            </w:tcBorders>
            <w:shd w:val="clear" w:color="auto" w:fill="auto"/>
            <w:noWrap/>
            <w:vAlign w:val="bottom"/>
            <w:hideMark/>
          </w:tcPr>
          <w:p w14:paraId="12A4CBE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w:t>
            </w:r>
          </w:p>
        </w:tc>
        <w:tc>
          <w:tcPr>
            <w:tcW w:w="0" w:type="auto"/>
            <w:tcBorders>
              <w:top w:val="nil"/>
              <w:left w:val="nil"/>
              <w:bottom w:val="single" w:sz="4" w:space="0" w:color="auto"/>
              <w:right w:val="single" w:sz="4" w:space="0" w:color="auto"/>
            </w:tcBorders>
            <w:shd w:val="clear" w:color="auto" w:fill="auto"/>
            <w:noWrap/>
            <w:vAlign w:val="bottom"/>
            <w:hideMark/>
          </w:tcPr>
          <w:p w14:paraId="57303A4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8.1</w:t>
            </w:r>
          </w:p>
        </w:tc>
        <w:tc>
          <w:tcPr>
            <w:tcW w:w="0" w:type="auto"/>
            <w:tcBorders>
              <w:top w:val="nil"/>
              <w:left w:val="nil"/>
              <w:bottom w:val="single" w:sz="4" w:space="0" w:color="auto"/>
              <w:right w:val="single" w:sz="4" w:space="0" w:color="auto"/>
            </w:tcBorders>
            <w:shd w:val="clear" w:color="auto" w:fill="auto"/>
            <w:noWrap/>
            <w:vAlign w:val="bottom"/>
            <w:hideMark/>
          </w:tcPr>
          <w:p w14:paraId="7039C2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7.6</w:t>
            </w:r>
          </w:p>
        </w:tc>
        <w:tc>
          <w:tcPr>
            <w:tcW w:w="0" w:type="auto"/>
            <w:tcBorders>
              <w:top w:val="nil"/>
              <w:left w:val="nil"/>
              <w:bottom w:val="single" w:sz="4" w:space="0" w:color="auto"/>
              <w:right w:val="single" w:sz="4" w:space="0" w:color="auto"/>
            </w:tcBorders>
            <w:shd w:val="clear" w:color="auto" w:fill="auto"/>
            <w:noWrap/>
            <w:vAlign w:val="bottom"/>
            <w:hideMark/>
          </w:tcPr>
          <w:p w14:paraId="72DA9A73" w14:textId="77777777" w:rsidR="00240506" w:rsidRPr="00650EE4" w:rsidRDefault="00240506" w:rsidP="00DC1083">
            <w:pPr>
              <w:spacing w:line="240" w:lineRule="auto"/>
              <w:rPr>
                <w:rFonts w:ascii="Times New Roman" w:eastAsia="Times New Roman" w:hAnsi="Times New Roman"/>
                <w:sz w:val="20"/>
                <w:szCs w:val="20"/>
                <w:lang w:eastAsia="en-GB"/>
              </w:rPr>
            </w:pPr>
            <w:proofErr w:type="spellStart"/>
            <w:r w:rsidRPr="00650EE4">
              <w:rPr>
                <w:rFonts w:ascii="Times New Roman" w:eastAsia="Times New Roman" w:hAnsi="Times New Roman"/>
                <w:sz w:val="20"/>
                <w:szCs w:val="20"/>
                <w:lang w:eastAsia="en-GB"/>
              </w:rPr>
              <w:t>n.d</w:t>
            </w:r>
            <w:proofErr w:type="spellEnd"/>
            <w:r w:rsidRPr="00650EE4">
              <w:rPr>
                <w:rFonts w:ascii="Times New Roman" w:eastAsia="Times New Roman" w:hAnsi="Times New Roman"/>
                <w:sz w:val="20"/>
                <w:szCs w:val="20"/>
                <w:lang w:eastAsia="en-GB"/>
              </w:rPr>
              <w:t>.</w:t>
            </w:r>
          </w:p>
        </w:tc>
      </w:tr>
    </w:tbl>
    <w:p w14:paraId="668D273A"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17D51019" w14:textId="77777777" w:rsidR="0039646B" w:rsidRDefault="0039646B" w:rsidP="00117C6E">
      <w:pPr>
        <w:spacing w:after="120"/>
        <w:jc w:val="both"/>
        <w:rPr>
          <w:rFonts w:ascii="Times New Roman" w:hAnsi="Times New Roman"/>
          <w:b/>
          <w:szCs w:val="22"/>
        </w:rPr>
      </w:pPr>
    </w:p>
    <w:p w14:paraId="3E06F925" w14:textId="034D8DE7" w:rsidR="00117C6E" w:rsidRPr="00650EE4" w:rsidRDefault="00117C6E" w:rsidP="00117C6E">
      <w:pPr>
        <w:spacing w:after="120"/>
        <w:jc w:val="both"/>
        <w:rPr>
          <w:rFonts w:ascii="Times New Roman" w:hAnsi="Times New Roman"/>
          <w:b/>
          <w:szCs w:val="22"/>
        </w:rPr>
      </w:pPr>
      <w:r w:rsidRPr="00650EE4">
        <w:rPr>
          <w:rFonts w:ascii="Times New Roman" w:hAnsi="Times New Roman"/>
          <w:b/>
          <w:szCs w:val="22"/>
        </w:rPr>
        <w:t>Namų ūkių sąnaudų dalis išleidžiama elektros ir šilumos energijai</w:t>
      </w:r>
    </w:p>
    <w:p w14:paraId="7911D252" w14:textId="283D595B" w:rsidR="00240506" w:rsidRPr="00650EE4" w:rsidRDefault="00240506" w:rsidP="00240506">
      <w:pPr>
        <w:jc w:val="both"/>
        <w:rPr>
          <w:rFonts w:ascii="Times New Roman" w:hAnsi="Times New Roman"/>
          <w:szCs w:val="22"/>
        </w:rPr>
      </w:pPr>
      <w:r w:rsidRPr="00650EE4">
        <w:rPr>
          <w:rFonts w:ascii="Times New Roman" w:hAnsi="Times New Roman"/>
          <w:szCs w:val="22"/>
        </w:rPr>
        <w:t xml:space="preserve">Apart pajamų dydžio, santykinai didelės išlaidos šilumai yra viena iš priežasčių, kodėl Lietuvoje tokia didelė dalis namų ūkių negali sau leisti pakankamai šildyti būsto. Vidutinės išlaidos elektrai nuo visų išlaidų sudarė iki dešimties kartų daugiau nei ES27 vidurkis 2015 metais. Tuo tarpu Lietuvos ūkių išlaidų dalis elektrai yra dešimtadaliu </w:t>
      </w:r>
      <w:r w:rsidR="00F24C3B" w:rsidRPr="00650EE4">
        <w:rPr>
          <w:rFonts w:ascii="Times New Roman" w:hAnsi="Times New Roman"/>
          <w:szCs w:val="22"/>
        </w:rPr>
        <w:t>mažesnės</w:t>
      </w:r>
      <w:r w:rsidRPr="00650EE4">
        <w:rPr>
          <w:rFonts w:ascii="Times New Roman" w:hAnsi="Times New Roman"/>
          <w:szCs w:val="22"/>
        </w:rPr>
        <w:t xml:space="preserve"> nei ES. Išlaidų dalis šilumai iš dalies lemiama fakto, kad didesnėje dalyje Europos žiemos šiltesnės nei Lietuvoje, todėl šildyti pastatus reikia mažiau, net jei jų energetinis efektyvumas panašus į pastatų Lietuvoje. Duomenys apie namų ūkių išlaidų dalį elektrai ir šilumai Lietuvoje ir ES27 pateikti lentelėje žemiau.</w:t>
      </w:r>
    </w:p>
    <w:p w14:paraId="5499C11D" w14:textId="77777777" w:rsidR="004E6D80" w:rsidRPr="00650EE4" w:rsidRDefault="004E6D80" w:rsidP="00240506">
      <w:pPr>
        <w:jc w:val="both"/>
        <w:rPr>
          <w:rFonts w:ascii="Times New Roman" w:hAnsi="Times New Roman"/>
          <w:szCs w:val="22"/>
        </w:rPr>
      </w:pPr>
    </w:p>
    <w:p w14:paraId="186E728A" w14:textId="27D2F4E7"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0" w:name="_Toc59094228"/>
      <w:r w:rsidR="00F25C65">
        <w:t>45</w:t>
      </w:r>
      <w:r w:rsidRPr="00650EE4">
        <w:rPr>
          <w:noProof w:val="0"/>
        </w:rPr>
        <w:fldChar w:fldCharType="end"/>
      </w:r>
      <w:r w:rsidR="00240506" w:rsidRPr="00650EE4">
        <w:rPr>
          <w:noProof w:val="0"/>
        </w:rPr>
        <w:t xml:space="preserve"> lentelė. Namų ūkių sąnaudų dalis išleidžiama elektros ir šilumos energijai, proc.</w:t>
      </w:r>
      <w:bookmarkEnd w:id="130"/>
      <w:r w:rsidR="00240506" w:rsidRPr="00650EE4">
        <w:rPr>
          <w:noProof w:val="0"/>
        </w:rPr>
        <w:t> </w:t>
      </w:r>
    </w:p>
    <w:tbl>
      <w:tblPr>
        <w:tblStyle w:val="TableGrid"/>
        <w:tblW w:w="5000" w:type="pct"/>
        <w:tblLook w:val="04A0" w:firstRow="1" w:lastRow="0" w:firstColumn="1" w:lastColumn="0" w:noHBand="0" w:noVBand="1"/>
      </w:tblPr>
      <w:tblGrid>
        <w:gridCol w:w="3040"/>
        <w:gridCol w:w="2460"/>
        <w:gridCol w:w="2460"/>
        <w:gridCol w:w="2460"/>
      </w:tblGrid>
      <w:tr w:rsidR="00063D58" w:rsidRPr="00650EE4" w14:paraId="2A2B8232" w14:textId="77777777" w:rsidTr="00063D58">
        <w:tc>
          <w:tcPr>
            <w:tcW w:w="2405" w:type="dxa"/>
          </w:tcPr>
          <w:p w14:paraId="61AE55A2" w14:textId="22E481D6" w:rsidR="00063D58" w:rsidRPr="00650EE4" w:rsidRDefault="00063D58" w:rsidP="00631BA6">
            <w:pPr>
              <w:pStyle w:val="TESlentelspavadinimas"/>
              <w:rPr>
                <w:noProof w:val="0"/>
              </w:rPr>
            </w:pPr>
            <w:r w:rsidRPr="00650EE4">
              <w:rPr>
                <w:noProof w:val="0"/>
              </w:rPr>
              <w:t>Rodiklis</w:t>
            </w:r>
          </w:p>
        </w:tc>
        <w:tc>
          <w:tcPr>
            <w:tcW w:w="1947" w:type="dxa"/>
            <w:vAlign w:val="bottom"/>
          </w:tcPr>
          <w:p w14:paraId="78180835" w14:textId="3545097F" w:rsidR="00063D58" w:rsidRPr="00650EE4" w:rsidRDefault="00063D58" w:rsidP="00631BA6">
            <w:pPr>
              <w:pStyle w:val="TESlentelspavadinimas"/>
              <w:rPr>
                <w:noProof w:val="0"/>
              </w:rPr>
            </w:pPr>
            <w:r w:rsidRPr="00650EE4">
              <w:rPr>
                <w:noProof w:val="0"/>
                <w:lang w:eastAsia="en-GB"/>
              </w:rPr>
              <w:t>Šalis</w:t>
            </w:r>
          </w:p>
        </w:tc>
        <w:tc>
          <w:tcPr>
            <w:tcW w:w="1947" w:type="dxa"/>
            <w:vAlign w:val="bottom"/>
          </w:tcPr>
          <w:p w14:paraId="4CFFC9B9" w14:textId="348A13AF" w:rsidR="00063D58" w:rsidRPr="00650EE4" w:rsidRDefault="00063D58" w:rsidP="00631BA6">
            <w:pPr>
              <w:pStyle w:val="TESlentelspavadinimas"/>
              <w:rPr>
                <w:noProof w:val="0"/>
              </w:rPr>
            </w:pPr>
            <w:r w:rsidRPr="00650EE4">
              <w:rPr>
                <w:noProof w:val="0"/>
                <w:lang w:eastAsia="en-GB"/>
              </w:rPr>
              <w:t>2010</w:t>
            </w:r>
          </w:p>
        </w:tc>
        <w:tc>
          <w:tcPr>
            <w:tcW w:w="1947" w:type="dxa"/>
            <w:vAlign w:val="bottom"/>
          </w:tcPr>
          <w:p w14:paraId="0BEA8A6A" w14:textId="3021E7CB" w:rsidR="00063D58" w:rsidRPr="00650EE4" w:rsidRDefault="00063D58" w:rsidP="00631BA6">
            <w:pPr>
              <w:pStyle w:val="TESlentelspavadinimas"/>
              <w:rPr>
                <w:noProof w:val="0"/>
              </w:rPr>
            </w:pPr>
            <w:r w:rsidRPr="00650EE4">
              <w:rPr>
                <w:noProof w:val="0"/>
                <w:lang w:eastAsia="en-GB"/>
              </w:rPr>
              <w:t xml:space="preserve">2015 </w:t>
            </w:r>
          </w:p>
        </w:tc>
      </w:tr>
      <w:tr w:rsidR="00063D58" w:rsidRPr="00650EE4" w14:paraId="5AFF24EA" w14:textId="77777777" w:rsidTr="00063D58">
        <w:tc>
          <w:tcPr>
            <w:tcW w:w="2405" w:type="dxa"/>
            <w:vMerge w:val="restart"/>
            <w:vAlign w:val="center"/>
          </w:tcPr>
          <w:p w14:paraId="622E8EEE" w14:textId="2FA9AA5B" w:rsidR="00063D58" w:rsidRPr="00650EE4" w:rsidRDefault="00063D58" w:rsidP="00631BA6">
            <w:pPr>
              <w:pStyle w:val="TESlentelspavadinimas"/>
              <w:rPr>
                <w:noProof w:val="0"/>
              </w:rPr>
            </w:pPr>
            <w:r w:rsidRPr="00650EE4">
              <w:rPr>
                <w:noProof w:val="0"/>
                <w:lang w:eastAsia="en-GB"/>
              </w:rPr>
              <w:t>Namų ūkių sąnaudų dalis išleidžiama elektrai</w:t>
            </w:r>
          </w:p>
        </w:tc>
        <w:tc>
          <w:tcPr>
            <w:tcW w:w="1947" w:type="dxa"/>
            <w:vAlign w:val="center"/>
          </w:tcPr>
          <w:p w14:paraId="2F2E2757" w14:textId="121EA246" w:rsidR="00063D58" w:rsidRPr="00650EE4" w:rsidRDefault="00063D58" w:rsidP="00631BA6">
            <w:pPr>
              <w:pStyle w:val="TESlentelspavadinimas"/>
              <w:rPr>
                <w:noProof w:val="0"/>
              </w:rPr>
            </w:pPr>
            <w:r w:rsidRPr="00650EE4">
              <w:rPr>
                <w:noProof w:val="0"/>
                <w:lang w:eastAsia="en-GB"/>
              </w:rPr>
              <w:t>Lietuva</w:t>
            </w:r>
          </w:p>
        </w:tc>
        <w:tc>
          <w:tcPr>
            <w:tcW w:w="1947" w:type="dxa"/>
            <w:vAlign w:val="center"/>
          </w:tcPr>
          <w:p w14:paraId="18A7F725" w14:textId="3C441549" w:rsidR="00063D58" w:rsidRPr="00650EE4" w:rsidRDefault="00063D58" w:rsidP="00631BA6">
            <w:pPr>
              <w:pStyle w:val="TESlentelspavadinimas"/>
              <w:rPr>
                <w:noProof w:val="0"/>
              </w:rPr>
            </w:pPr>
            <w:r w:rsidRPr="00650EE4">
              <w:rPr>
                <w:noProof w:val="0"/>
                <w:lang w:eastAsia="en-GB"/>
              </w:rPr>
              <w:t>0.70%</w:t>
            </w:r>
          </w:p>
        </w:tc>
        <w:tc>
          <w:tcPr>
            <w:tcW w:w="1947" w:type="dxa"/>
            <w:vAlign w:val="center"/>
          </w:tcPr>
          <w:p w14:paraId="7EC1054E" w14:textId="1AF1560B" w:rsidR="00063D58" w:rsidRPr="00650EE4" w:rsidRDefault="00063D58" w:rsidP="00631BA6">
            <w:pPr>
              <w:pStyle w:val="TESlentelspavadinimas"/>
              <w:rPr>
                <w:noProof w:val="0"/>
              </w:rPr>
            </w:pPr>
            <w:r w:rsidRPr="00650EE4">
              <w:rPr>
                <w:noProof w:val="0"/>
                <w:lang w:eastAsia="en-GB"/>
              </w:rPr>
              <w:t>0.74%</w:t>
            </w:r>
          </w:p>
        </w:tc>
      </w:tr>
      <w:tr w:rsidR="00063D58" w:rsidRPr="00650EE4" w14:paraId="3D4E0AAB" w14:textId="77777777" w:rsidTr="00063D58">
        <w:tc>
          <w:tcPr>
            <w:tcW w:w="2405" w:type="dxa"/>
            <w:vMerge/>
            <w:vAlign w:val="center"/>
          </w:tcPr>
          <w:p w14:paraId="093813C1" w14:textId="77777777" w:rsidR="00063D58" w:rsidRPr="00650EE4" w:rsidRDefault="00063D58" w:rsidP="00631BA6">
            <w:pPr>
              <w:pStyle w:val="TESlentelspavadinimas"/>
              <w:rPr>
                <w:noProof w:val="0"/>
              </w:rPr>
            </w:pPr>
          </w:p>
        </w:tc>
        <w:tc>
          <w:tcPr>
            <w:tcW w:w="1947" w:type="dxa"/>
            <w:vAlign w:val="center"/>
          </w:tcPr>
          <w:p w14:paraId="475A986C" w14:textId="12098627" w:rsidR="00063D58" w:rsidRPr="00650EE4" w:rsidRDefault="00063D58" w:rsidP="00631BA6">
            <w:pPr>
              <w:pStyle w:val="TESlentelspavadinimas"/>
              <w:rPr>
                <w:noProof w:val="0"/>
              </w:rPr>
            </w:pPr>
            <w:r w:rsidRPr="00650EE4">
              <w:rPr>
                <w:noProof w:val="0"/>
                <w:lang w:eastAsia="en-GB"/>
              </w:rPr>
              <w:t>ES27</w:t>
            </w:r>
          </w:p>
        </w:tc>
        <w:tc>
          <w:tcPr>
            <w:tcW w:w="1947" w:type="dxa"/>
            <w:vAlign w:val="center"/>
          </w:tcPr>
          <w:p w14:paraId="799641BF" w14:textId="126C47A9" w:rsidR="00063D58" w:rsidRPr="00650EE4" w:rsidRDefault="00063D58" w:rsidP="00631BA6">
            <w:pPr>
              <w:pStyle w:val="TESlentelspavadinimas"/>
              <w:rPr>
                <w:noProof w:val="0"/>
              </w:rPr>
            </w:pPr>
            <w:r w:rsidRPr="00650EE4">
              <w:rPr>
                <w:noProof w:val="0"/>
                <w:lang w:eastAsia="en-GB"/>
              </w:rPr>
              <w:t>0.93%</w:t>
            </w:r>
          </w:p>
        </w:tc>
        <w:tc>
          <w:tcPr>
            <w:tcW w:w="1947" w:type="dxa"/>
            <w:vAlign w:val="center"/>
          </w:tcPr>
          <w:p w14:paraId="1465266A" w14:textId="5F05C86E" w:rsidR="00063D58" w:rsidRPr="00650EE4" w:rsidRDefault="00063D58" w:rsidP="00631BA6">
            <w:pPr>
              <w:pStyle w:val="TESlentelspavadinimas"/>
              <w:rPr>
                <w:noProof w:val="0"/>
              </w:rPr>
            </w:pPr>
            <w:r w:rsidRPr="00650EE4">
              <w:rPr>
                <w:noProof w:val="0"/>
                <w:lang w:eastAsia="en-GB"/>
              </w:rPr>
              <w:t>0.85%</w:t>
            </w:r>
          </w:p>
        </w:tc>
      </w:tr>
      <w:tr w:rsidR="00063D58" w:rsidRPr="00650EE4" w14:paraId="25FFFFE6" w14:textId="77777777" w:rsidTr="00063D58">
        <w:tc>
          <w:tcPr>
            <w:tcW w:w="2405" w:type="dxa"/>
            <w:vMerge w:val="restart"/>
            <w:vAlign w:val="center"/>
          </w:tcPr>
          <w:p w14:paraId="75FC106B" w14:textId="1157E66C" w:rsidR="00063D58" w:rsidRPr="00650EE4" w:rsidRDefault="00063D58" w:rsidP="00631BA6">
            <w:pPr>
              <w:pStyle w:val="TESlentelspavadinimas"/>
              <w:rPr>
                <w:noProof w:val="0"/>
              </w:rPr>
            </w:pPr>
            <w:r w:rsidRPr="00650EE4">
              <w:rPr>
                <w:noProof w:val="0"/>
                <w:lang w:eastAsia="en-GB"/>
              </w:rPr>
              <w:t>Namų ūkių sąnaudų dalis išleidžiama šilumai</w:t>
            </w:r>
          </w:p>
        </w:tc>
        <w:tc>
          <w:tcPr>
            <w:tcW w:w="1947" w:type="dxa"/>
            <w:vAlign w:val="center"/>
          </w:tcPr>
          <w:p w14:paraId="620ED1F4" w14:textId="6710D9BD" w:rsidR="00063D58" w:rsidRPr="00650EE4" w:rsidRDefault="00063D58" w:rsidP="00631BA6">
            <w:pPr>
              <w:pStyle w:val="TESlentelspavadinimas"/>
              <w:rPr>
                <w:noProof w:val="0"/>
              </w:rPr>
            </w:pPr>
            <w:r w:rsidRPr="00650EE4">
              <w:rPr>
                <w:noProof w:val="0"/>
                <w:lang w:eastAsia="en-GB"/>
              </w:rPr>
              <w:t>Lietuva</w:t>
            </w:r>
          </w:p>
        </w:tc>
        <w:tc>
          <w:tcPr>
            <w:tcW w:w="1947" w:type="dxa"/>
            <w:vAlign w:val="center"/>
          </w:tcPr>
          <w:p w14:paraId="6D996BDC" w14:textId="0C7E137C" w:rsidR="00063D58" w:rsidRPr="00650EE4" w:rsidRDefault="00063D58" w:rsidP="00631BA6">
            <w:pPr>
              <w:pStyle w:val="TESlentelspavadinimas"/>
              <w:rPr>
                <w:noProof w:val="0"/>
              </w:rPr>
            </w:pPr>
            <w:r w:rsidRPr="00650EE4">
              <w:rPr>
                <w:noProof w:val="0"/>
                <w:lang w:eastAsia="en-GB"/>
              </w:rPr>
              <w:t>1.04%</w:t>
            </w:r>
          </w:p>
        </w:tc>
        <w:tc>
          <w:tcPr>
            <w:tcW w:w="1947" w:type="dxa"/>
            <w:vAlign w:val="center"/>
          </w:tcPr>
          <w:p w14:paraId="31CBB82E" w14:textId="5BBE3E22" w:rsidR="00063D58" w:rsidRPr="00650EE4" w:rsidRDefault="00063D58" w:rsidP="00631BA6">
            <w:pPr>
              <w:pStyle w:val="TESlentelspavadinimas"/>
              <w:rPr>
                <w:noProof w:val="0"/>
              </w:rPr>
            </w:pPr>
            <w:r w:rsidRPr="00650EE4">
              <w:rPr>
                <w:noProof w:val="0"/>
                <w:lang w:eastAsia="en-GB"/>
              </w:rPr>
              <w:t>1.40%</w:t>
            </w:r>
          </w:p>
        </w:tc>
      </w:tr>
      <w:tr w:rsidR="00063D58" w:rsidRPr="00650EE4" w14:paraId="3FED34C8" w14:textId="77777777" w:rsidTr="00063D58">
        <w:tc>
          <w:tcPr>
            <w:tcW w:w="2405" w:type="dxa"/>
            <w:vMerge/>
          </w:tcPr>
          <w:p w14:paraId="6908DF69" w14:textId="77777777" w:rsidR="00063D58" w:rsidRPr="00650EE4" w:rsidRDefault="00063D58" w:rsidP="00631BA6">
            <w:pPr>
              <w:pStyle w:val="TESlentelspavadinimas"/>
              <w:rPr>
                <w:noProof w:val="0"/>
              </w:rPr>
            </w:pPr>
          </w:p>
        </w:tc>
        <w:tc>
          <w:tcPr>
            <w:tcW w:w="1947" w:type="dxa"/>
            <w:vAlign w:val="center"/>
          </w:tcPr>
          <w:p w14:paraId="146FBC94" w14:textId="59DA73C3" w:rsidR="00063D58" w:rsidRPr="00650EE4" w:rsidRDefault="00063D58" w:rsidP="00631BA6">
            <w:pPr>
              <w:pStyle w:val="TESlentelspavadinimas"/>
              <w:rPr>
                <w:noProof w:val="0"/>
              </w:rPr>
            </w:pPr>
            <w:r w:rsidRPr="00650EE4">
              <w:rPr>
                <w:noProof w:val="0"/>
                <w:lang w:eastAsia="en-GB"/>
              </w:rPr>
              <w:t>ES27</w:t>
            </w:r>
          </w:p>
        </w:tc>
        <w:tc>
          <w:tcPr>
            <w:tcW w:w="1947" w:type="dxa"/>
            <w:vAlign w:val="center"/>
          </w:tcPr>
          <w:p w14:paraId="1DA22FCB" w14:textId="2C97F0C2" w:rsidR="00063D58" w:rsidRPr="00650EE4" w:rsidRDefault="00063D58" w:rsidP="00631BA6">
            <w:pPr>
              <w:pStyle w:val="TESlentelspavadinimas"/>
              <w:rPr>
                <w:noProof w:val="0"/>
              </w:rPr>
            </w:pPr>
            <w:r w:rsidRPr="00650EE4">
              <w:rPr>
                <w:noProof w:val="0"/>
                <w:lang w:eastAsia="en-GB"/>
              </w:rPr>
              <w:t>0.21%</w:t>
            </w:r>
          </w:p>
        </w:tc>
        <w:tc>
          <w:tcPr>
            <w:tcW w:w="1947" w:type="dxa"/>
            <w:vAlign w:val="center"/>
          </w:tcPr>
          <w:p w14:paraId="721030CC" w14:textId="5BFC120D" w:rsidR="00063D58" w:rsidRPr="00650EE4" w:rsidRDefault="00063D58" w:rsidP="00631BA6">
            <w:pPr>
              <w:pStyle w:val="TESlentelspavadinimas"/>
              <w:rPr>
                <w:noProof w:val="0"/>
              </w:rPr>
            </w:pPr>
            <w:r w:rsidRPr="00650EE4">
              <w:rPr>
                <w:noProof w:val="0"/>
                <w:lang w:eastAsia="en-GB"/>
              </w:rPr>
              <w:t>0.14%</w:t>
            </w:r>
          </w:p>
        </w:tc>
      </w:tr>
    </w:tbl>
    <w:p w14:paraId="387C935A"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290D34D0" w14:textId="77777777" w:rsidR="0051748D" w:rsidRPr="00650EE4" w:rsidRDefault="0051748D" w:rsidP="00240506">
      <w:pPr>
        <w:spacing w:before="60" w:line="240" w:lineRule="auto"/>
        <w:rPr>
          <w:rFonts w:ascii="Times New Roman" w:eastAsia="Times New Roman" w:hAnsi="Times New Roman"/>
          <w:i/>
          <w:color w:val="000000" w:themeColor="text1"/>
          <w:sz w:val="20"/>
          <w:szCs w:val="28"/>
        </w:rPr>
      </w:pPr>
    </w:p>
    <w:p w14:paraId="44B9DAD7" w14:textId="77777777"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Namų ūkių dalis, kurių su namų išlaikymu susijusios sąnaudos viršija 40 proc. disponuojamųjų pajamų</w:t>
      </w:r>
    </w:p>
    <w:p w14:paraId="1B377062" w14:textId="6DF5AFF5" w:rsidR="00240506" w:rsidRPr="00650EE4" w:rsidRDefault="00240506" w:rsidP="0039646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Sparčiai augantis darbo užmokestis, mažėjančios energetinių išteklių kainos ir augantis biokuro panaudojimas centralizuotame šilumos </w:t>
      </w:r>
      <w:r w:rsidR="00364533" w:rsidRPr="00650EE4">
        <w:rPr>
          <w:rFonts w:ascii="Times New Roman" w:hAnsi="Times New Roman"/>
          <w:color w:val="000000" w:themeColor="text1"/>
          <w:szCs w:val="22"/>
          <w:lang w:val="lt-LT"/>
        </w:rPr>
        <w:t>ūkyje</w:t>
      </w:r>
      <w:r w:rsidRPr="00650EE4">
        <w:rPr>
          <w:rFonts w:ascii="Times New Roman" w:hAnsi="Times New Roman"/>
          <w:color w:val="000000" w:themeColor="text1"/>
          <w:szCs w:val="22"/>
          <w:lang w:val="lt-LT"/>
        </w:rPr>
        <w:t xml:space="preserve"> lėmė ir tai, kad Lietuvoje </w:t>
      </w:r>
      <w:r w:rsidR="00364533" w:rsidRPr="00650EE4">
        <w:rPr>
          <w:rFonts w:ascii="Times New Roman" w:hAnsi="Times New Roman"/>
          <w:color w:val="000000" w:themeColor="text1"/>
          <w:szCs w:val="22"/>
          <w:lang w:val="lt-LT"/>
        </w:rPr>
        <w:t>sparčiai</w:t>
      </w:r>
      <w:r w:rsidRPr="00650EE4">
        <w:rPr>
          <w:rFonts w:ascii="Times New Roman" w:hAnsi="Times New Roman"/>
          <w:color w:val="000000" w:themeColor="text1"/>
          <w:szCs w:val="22"/>
          <w:lang w:val="lt-LT"/>
        </w:rPr>
        <w:t xml:space="preserve"> mažėjo namų ūkių dalis, kurių su namų išlaikymu susijusios sąnaudos viršija 40 proc. disponuojamųjų pajamų. Per 2010-2018 m. periodą šis rodiklis sumažėjo perpus, kai likusioje ES šis rodiklis išliko daugmaž nepasike</w:t>
      </w:r>
      <w:r w:rsidR="00364533" w:rsidRPr="00650EE4">
        <w:rPr>
          <w:rFonts w:ascii="Times New Roman" w:hAnsi="Times New Roman"/>
          <w:color w:val="000000" w:themeColor="text1"/>
          <w:szCs w:val="22"/>
          <w:lang w:val="lt-LT"/>
        </w:rPr>
        <w:t>i</w:t>
      </w:r>
      <w:r w:rsidRPr="00650EE4">
        <w:rPr>
          <w:rFonts w:ascii="Times New Roman" w:hAnsi="Times New Roman"/>
          <w:color w:val="000000" w:themeColor="text1"/>
          <w:szCs w:val="22"/>
          <w:lang w:val="lt-LT"/>
        </w:rPr>
        <w:t xml:space="preserve">tęs, kai Lietuvoje ir ES šis rodiklis buvo vienodas. Šis pokytis taip pat patvirtina, kad nors ir šildymo sąnaudos Lietuvoje yra didesnės nei ES, šaltesnis klimatas tam turi didelę įtaką. </w:t>
      </w:r>
    </w:p>
    <w:p w14:paraId="38DF1DDE" w14:textId="77777777" w:rsidR="00240506" w:rsidRPr="00650EE4" w:rsidRDefault="00240506" w:rsidP="00DA7A9B">
      <w:pPr>
        <w:pStyle w:val="BodyText"/>
        <w:spacing w:line="280" w:lineRule="atLeast"/>
        <w:jc w:val="both"/>
        <w:rPr>
          <w:rFonts w:ascii="Times New Roman" w:hAnsi="Times New Roman"/>
          <w:color w:val="000000" w:themeColor="text1"/>
          <w:szCs w:val="22"/>
          <w:lang w:val="lt-LT"/>
        </w:rPr>
      </w:pPr>
    </w:p>
    <w:p w14:paraId="6289A550" w14:textId="7A9D07A3"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1" w:name="_Toc59094229"/>
      <w:r w:rsidR="00F25C65">
        <w:t>46</w:t>
      </w:r>
      <w:r w:rsidRPr="00650EE4">
        <w:rPr>
          <w:noProof w:val="0"/>
        </w:rPr>
        <w:fldChar w:fldCharType="end"/>
      </w:r>
      <w:r w:rsidR="00240506" w:rsidRPr="00650EE4">
        <w:rPr>
          <w:noProof w:val="0"/>
        </w:rPr>
        <w:t xml:space="preserve"> lentelė. Namų ūkių dalis, kurių su namų išlaikymu susijusios sąnaudos viršija 40 proc. disponuojamųjų pajamų, proc.</w:t>
      </w:r>
      <w:bookmarkEnd w:id="131"/>
    </w:p>
    <w:tbl>
      <w:tblPr>
        <w:tblW w:w="10194" w:type="dxa"/>
        <w:tblLayout w:type="fixed"/>
        <w:tblLook w:val="04A0" w:firstRow="1" w:lastRow="0" w:firstColumn="1" w:lastColumn="0" w:noHBand="0" w:noVBand="1"/>
      </w:tblPr>
      <w:tblGrid>
        <w:gridCol w:w="3925"/>
        <w:gridCol w:w="696"/>
        <w:gridCol w:w="697"/>
        <w:gridCol w:w="696"/>
        <w:gridCol w:w="697"/>
        <w:gridCol w:w="696"/>
        <w:gridCol w:w="697"/>
        <w:gridCol w:w="696"/>
        <w:gridCol w:w="697"/>
        <w:gridCol w:w="697"/>
      </w:tblGrid>
      <w:tr w:rsidR="00240506" w:rsidRPr="00650EE4" w14:paraId="18270938" w14:textId="77777777" w:rsidTr="006B5FBC">
        <w:tc>
          <w:tcPr>
            <w:tcW w:w="3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7DBD5" w14:textId="77777777" w:rsidR="00240506" w:rsidRPr="00650EE4" w:rsidRDefault="00240506" w:rsidP="00DC1083">
            <w:pPr>
              <w:spacing w:line="240" w:lineRule="auto"/>
              <w:rPr>
                <w:rFonts w:ascii="Times New Roman" w:eastAsia="Times New Roman" w:hAnsi="Times New Roman"/>
                <w:color w:val="auto"/>
                <w:sz w:val="18"/>
                <w:szCs w:val="18"/>
                <w:lang w:eastAsia="en-GB"/>
              </w:rPr>
            </w:pPr>
            <w:r w:rsidRPr="00650EE4">
              <w:rPr>
                <w:rFonts w:ascii="Times New Roman" w:eastAsia="Times New Roman" w:hAnsi="Times New Roman"/>
                <w:color w:val="auto"/>
                <w:sz w:val="18"/>
                <w:szCs w:val="18"/>
                <w:lang w:eastAsia="en-GB"/>
              </w:rPr>
              <w:t> </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3DD95831"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2010</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56191329"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2011</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1B00F10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2012</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0E2C3B72"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2013</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51F12EF9"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2014</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2CA3E6E4"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2015</w:t>
            </w:r>
          </w:p>
        </w:tc>
        <w:tc>
          <w:tcPr>
            <w:tcW w:w="696" w:type="dxa"/>
            <w:tcBorders>
              <w:top w:val="single" w:sz="4" w:space="0" w:color="000000"/>
              <w:left w:val="nil"/>
              <w:bottom w:val="single" w:sz="4" w:space="0" w:color="000000"/>
              <w:right w:val="single" w:sz="4" w:space="0" w:color="000000"/>
            </w:tcBorders>
            <w:shd w:val="clear" w:color="auto" w:fill="auto"/>
            <w:noWrap/>
            <w:vAlign w:val="bottom"/>
            <w:hideMark/>
          </w:tcPr>
          <w:p w14:paraId="26DD89E7"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2016</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1C002AE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2017</w:t>
            </w:r>
          </w:p>
        </w:tc>
        <w:tc>
          <w:tcPr>
            <w:tcW w:w="697" w:type="dxa"/>
            <w:tcBorders>
              <w:top w:val="single" w:sz="4" w:space="0" w:color="000000"/>
              <w:left w:val="nil"/>
              <w:bottom w:val="single" w:sz="4" w:space="0" w:color="000000"/>
              <w:right w:val="single" w:sz="4" w:space="0" w:color="000000"/>
            </w:tcBorders>
            <w:shd w:val="clear" w:color="auto" w:fill="auto"/>
            <w:noWrap/>
            <w:vAlign w:val="bottom"/>
            <w:hideMark/>
          </w:tcPr>
          <w:p w14:paraId="4D7B8EED" w14:textId="77777777" w:rsidR="00240506" w:rsidRPr="00650EE4" w:rsidRDefault="00240506" w:rsidP="00DC1083">
            <w:pPr>
              <w:spacing w:line="240" w:lineRule="auto"/>
              <w:rPr>
                <w:rFonts w:ascii="Times New Roman" w:eastAsia="Times New Roman" w:hAnsi="Times New Roman"/>
                <w:b/>
                <w:color w:val="auto"/>
                <w:sz w:val="20"/>
                <w:szCs w:val="20"/>
                <w:lang w:eastAsia="en-GB"/>
              </w:rPr>
            </w:pPr>
            <w:r w:rsidRPr="00650EE4">
              <w:rPr>
                <w:rFonts w:ascii="Times New Roman" w:eastAsia="Times New Roman" w:hAnsi="Times New Roman"/>
                <w:b/>
                <w:color w:val="auto"/>
                <w:sz w:val="20"/>
                <w:szCs w:val="20"/>
                <w:lang w:eastAsia="en-GB"/>
              </w:rPr>
              <w:t>2018</w:t>
            </w:r>
          </w:p>
        </w:tc>
      </w:tr>
      <w:tr w:rsidR="00240506" w:rsidRPr="00650EE4" w14:paraId="34A51B25" w14:textId="77777777" w:rsidTr="006B5FBC">
        <w:tc>
          <w:tcPr>
            <w:tcW w:w="3925" w:type="dxa"/>
            <w:tcBorders>
              <w:top w:val="nil"/>
              <w:left w:val="single" w:sz="4" w:space="0" w:color="000000"/>
              <w:bottom w:val="single" w:sz="4" w:space="0" w:color="000000"/>
              <w:right w:val="single" w:sz="4" w:space="0" w:color="000000"/>
            </w:tcBorders>
            <w:shd w:val="clear" w:color="auto" w:fill="auto"/>
            <w:noWrap/>
            <w:vAlign w:val="bottom"/>
            <w:hideMark/>
          </w:tcPr>
          <w:p w14:paraId="2C996B22" w14:textId="77777777" w:rsidR="00240506" w:rsidRPr="00650EE4" w:rsidRDefault="00240506" w:rsidP="00DC1083">
            <w:pPr>
              <w:spacing w:line="240" w:lineRule="auto"/>
              <w:rPr>
                <w:rFonts w:ascii="Times New Roman" w:eastAsia="Times New Roman" w:hAnsi="Times New Roman"/>
                <w:color w:val="auto"/>
                <w:sz w:val="20"/>
                <w:szCs w:val="18"/>
                <w:lang w:eastAsia="en-GB"/>
              </w:rPr>
            </w:pPr>
            <w:r w:rsidRPr="00650EE4">
              <w:rPr>
                <w:rFonts w:ascii="Times New Roman" w:eastAsia="Times New Roman" w:hAnsi="Times New Roman"/>
                <w:color w:val="auto"/>
                <w:sz w:val="20"/>
                <w:szCs w:val="18"/>
                <w:lang w:eastAsia="en-GB"/>
              </w:rPr>
              <w:t>Namų ūkių dalis, kurių su namų išlaikymu susijusios sąnaudos viršija 40 proc. disponuojamųjų pajamų Lietuvoje</w:t>
            </w:r>
          </w:p>
        </w:tc>
        <w:tc>
          <w:tcPr>
            <w:tcW w:w="696" w:type="dxa"/>
            <w:tcBorders>
              <w:top w:val="nil"/>
              <w:left w:val="nil"/>
              <w:bottom w:val="single" w:sz="4" w:space="0" w:color="000000"/>
              <w:right w:val="single" w:sz="4" w:space="0" w:color="000000"/>
            </w:tcBorders>
            <w:shd w:val="clear" w:color="auto" w:fill="auto"/>
            <w:noWrap/>
            <w:vAlign w:val="bottom"/>
            <w:hideMark/>
          </w:tcPr>
          <w:p w14:paraId="14AFBD43"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10.6</w:t>
            </w:r>
          </w:p>
        </w:tc>
        <w:tc>
          <w:tcPr>
            <w:tcW w:w="697" w:type="dxa"/>
            <w:tcBorders>
              <w:top w:val="nil"/>
              <w:left w:val="nil"/>
              <w:bottom w:val="single" w:sz="4" w:space="0" w:color="000000"/>
              <w:right w:val="single" w:sz="4" w:space="0" w:color="000000"/>
            </w:tcBorders>
            <w:shd w:val="clear" w:color="auto" w:fill="auto"/>
            <w:noWrap/>
            <w:vAlign w:val="bottom"/>
            <w:hideMark/>
          </w:tcPr>
          <w:p w14:paraId="34FC78E0"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6" w:type="dxa"/>
            <w:tcBorders>
              <w:top w:val="nil"/>
              <w:left w:val="nil"/>
              <w:bottom w:val="single" w:sz="4" w:space="0" w:color="000000"/>
              <w:right w:val="single" w:sz="4" w:space="0" w:color="000000"/>
            </w:tcBorders>
            <w:shd w:val="clear" w:color="auto" w:fill="auto"/>
            <w:noWrap/>
            <w:vAlign w:val="bottom"/>
            <w:hideMark/>
          </w:tcPr>
          <w:p w14:paraId="54B5F26E"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8.9</w:t>
            </w:r>
          </w:p>
        </w:tc>
        <w:tc>
          <w:tcPr>
            <w:tcW w:w="697" w:type="dxa"/>
            <w:tcBorders>
              <w:top w:val="nil"/>
              <w:left w:val="nil"/>
              <w:bottom w:val="single" w:sz="4" w:space="0" w:color="000000"/>
              <w:right w:val="single" w:sz="4" w:space="0" w:color="000000"/>
            </w:tcBorders>
            <w:shd w:val="clear" w:color="auto" w:fill="auto"/>
            <w:noWrap/>
            <w:vAlign w:val="bottom"/>
            <w:hideMark/>
          </w:tcPr>
          <w:p w14:paraId="6322439F"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8.2</w:t>
            </w:r>
          </w:p>
        </w:tc>
        <w:tc>
          <w:tcPr>
            <w:tcW w:w="696" w:type="dxa"/>
            <w:tcBorders>
              <w:top w:val="nil"/>
              <w:left w:val="nil"/>
              <w:bottom w:val="single" w:sz="4" w:space="0" w:color="000000"/>
              <w:right w:val="single" w:sz="4" w:space="0" w:color="000000"/>
            </w:tcBorders>
            <w:shd w:val="clear" w:color="auto" w:fill="auto"/>
            <w:noWrap/>
            <w:vAlign w:val="bottom"/>
            <w:hideMark/>
          </w:tcPr>
          <w:p w14:paraId="3489068D"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7.1</w:t>
            </w:r>
          </w:p>
        </w:tc>
        <w:tc>
          <w:tcPr>
            <w:tcW w:w="697" w:type="dxa"/>
            <w:tcBorders>
              <w:top w:val="nil"/>
              <w:left w:val="nil"/>
              <w:bottom w:val="single" w:sz="4" w:space="0" w:color="000000"/>
              <w:right w:val="single" w:sz="4" w:space="0" w:color="000000"/>
            </w:tcBorders>
            <w:shd w:val="clear" w:color="auto" w:fill="auto"/>
            <w:noWrap/>
            <w:vAlign w:val="bottom"/>
            <w:hideMark/>
          </w:tcPr>
          <w:p w14:paraId="07CD1642"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9.1</w:t>
            </w:r>
          </w:p>
        </w:tc>
        <w:tc>
          <w:tcPr>
            <w:tcW w:w="696" w:type="dxa"/>
            <w:tcBorders>
              <w:top w:val="nil"/>
              <w:left w:val="nil"/>
              <w:bottom w:val="single" w:sz="4" w:space="0" w:color="000000"/>
              <w:right w:val="single" w:sz="4" w:space="0" w:color="000000"/>
            </w:tcBorders>
            <w:shd w:val="clear" w:color="auto" w:fill="auto"/>
            <w:noWrap/>
            <w:vAlign w:val="bottom"/>
            <w:hideMark/>
          </w:tcPr>
          <w:p w14:paraId="61DB9CF2"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7.8</w:t>
            </w:r>
          </w:p>
        </w:tc>
        <w:tc>
          <w:tcPr>
            <w:tcW w:w="697" w:type="dxa"/>
            <w:tcBorders>
              <w:top w:val="nil"/>
              <w:left w:val="nil"/>
              <w:bottom w:val="single" w:sz="4" w:space="0" w:color="000000"/>
              <w:right w:val="single" w:sz="4" w:space="0" w:color="000000"/>
            </w:tcBorders>
            <w:shd w:val="clear" w:color="auto" w:fill="auto"/>
            <w:noWrap/>
            <w:vAlign w:val="bottom"/>
            <w:hideMark/>
          </w:tcPr>
          <w:p w14:paraId="4120C7E1"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7.2</w:t>
            </w:r>
          </w:p>
        </w:tc>
        <w:tc>
          <w:tcPr>
            <w:tcW w:w="697" w:type="dxa"/>
            <w:tcBorders>
              <w:top w:val="nil"/>
              <w:left w:val="nil"/>
              <w:bottom w:val="single" w:sz="4" w:space="0" w:color="000000"/>
              <w:right w:val="single" w:sz="4" w:space="0" w:color="000000"/>
            </w:tcBorders>
            <w:shd w:val="clear" w:color="auto" w:fill="auto"/>
            <w:noWrap/>
            <w:vAlign w:val="bottom"/>
            <w:hideMark/>
          </w:tcPr>
          <w:p w14:paraId="21A0E605"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5.6</w:t>
            </w:r>
          </w:p>
        </w:tc>
      </w:tr>
      <w:tr w:rsidR="00240506" w:rsidRPr="00650EE4" w14:paraId="7916BAA5" w14:textId="77777777" w:rsidTr="006B5FBC">
        <w:tc>
          <w:tcPr>
            <w:tcW w:w="3925" w:type="dxa"/>
            <w:tcBorders>
              <w:top w:val="nil"/>
              <w:left w:val="single" w:sz="4" w:space="0" w:color="000000"/>
              <w:bottom w:val="single" w:sz="4" w:space="0" w:color="000000"/>
              <w:right w:val="single" w:sz="4" w:space="0" w:color="000000"/>
            </w:tcBorders>
            <w:shd w:val="clear" w:color="auto" w:fill="auto"/>
            <w:noWrap/>
            <w:vAlign w:val="bottom"/>
            <w:hideMark/>
          </w:tcPr>
          <w:p w14:paraId="3D0F1F4D" w14:textId="77777777" w:rsidR="00240506" w:rsidRPr="00650EE4" w:rsidRDefault="00240506" w:rsidP="00DC1083">
            <w:pPr>
              <w:spacing w:line="240" w:lineRule="auto"/>
              <w:rPr>
                <w:rFonts w:ascii="Times New Roman" w:eastAsia="Times New Roman" w:hAnsi="Times New Roman"/>
                <w:color w:val="auto"/>
                <w:sz w:val="20"/>
                <w:szCs w:val="18"/>
                <w:lang w:eastAsia="en-GB"/>
              </w:rPr>
            </w:pPr>
            <w:r w:rsidRPr="00650EE4">
              <w:rPr>
                <w:rFonts w:ascii="Times New Roman" w:eastAsia="Times New Roman" w:hAnsi="Times New Roman"/>
                <w:color w:val="auto"/>
                <w:sz w:val="20"/>
                <w:szCs w:val="18"/>
                <w:lang w:eastAsia="en-GB"/>
              </w:rPr>
              <w:t>Namų ūkių dalis, kurių su namų išlaikymu susijusios sąnaudos viršija 40 proc. disponuojamųjų pajamų ES28</w:t>
            </w:r>
          </w:p>
        </w:tc>
        <w:tc>
          <w:tcPr>
            <w:tcW w:w="696" w:type="dxa"/>
            <w:tcBorders>
              <w:top w:val="nil"/>
              <w:left w:val="nil"/>
              <w:bottom w:val="single" w:sz="4" w:space="0" w:color="000000"/>
              <w:right w:val="single" w:sz="4" w:space="0" w:color="000000"/>
            </w:tcBorders>
            <w:shd w:val="clear" w:color="auto" w:fill="auto"/>
            <w:noWrap/>
            <w:vAlign w:val="bottom"/>
            <w:hideMark/>
          </w:tcPr>
          <w:p w14:paraId="0830A40B"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10.8</w:t>
            </w:r>
          </w:p>
        </w:tc>
        <w:tc>
          <w:tcPr>
            <w:tcW w:w="697" w:type="dxa"/>
            <w:tcBorders>
              <w:top w:val="nil"/>
              <w:left w:val="nil"/>
              <w:bottom w:val="single" w:sz="4" w:space="0" w:color="000000"/>
              <w:right w:val="single" w:sz="4" w:space="0" w:color="000000"/>
            </w:tcBorders>
            <w:shd w:val="clear" w:color="auto" w:fill="auto"/>
            <w:noWrap/>
            <w:vAlign w:val="bottom"/>
            <w:hideMark/>
          </w:tcPr>
          <w:p w14:paraId="4D11F005"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11.4</w:t>
            </w:r>
          </w:p>
        </w:tc>
        <w:tc>
          <w:tcPr>
            <w:tcW w:w="696" w:type="dxa"/>
            <w:tcBorders>
              <w:top w:val="nil"/>
              <w:left w:val="nil"/>
              <w:bottom w:val="single" w:sz="4" w:space="0" w:color="000000"/>
              <w:right w:val="single" w:sz="4" w:space="0" w:color="000000"/>
            </w:tcBorders>
            <w:shd w:val="clear" w:color="auto" w:fill="auto"/>
            <w:noWrap/>
            <w:vAlign w:val="bottom"/>
            <w:hideMark/>
          </w:tcPr>
          <w:p w14:paraId="4431C83B"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11.0</w:t>
            </w:r>
          </w:p>
        </w:tc>
        <w:tc>
          <w:tcPr>
            <w:tcW w:w="697" w:type="dxa"/>
            <w:tcBorders>
              <w:top w:val="nil"/>
              <w:left w:val="nil"/>
              <w:bottom w:val="single" w:sz="4" w:space="0" w:color="000000"/>
              <w:right w:val="single" w:sz="4" w:space="0" w:color="000000"/>
            </w:tcBorders>
            <w:shd w:val="clear" w:color="auto" w:fill="auto"/>
            <w:noWrap/>
            <w:vAlign w:val="bottom"/>
            <w:hideMark/>
          </w:tcPr>
          <w:p w14:paraId="44DB6629"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6" w:type="dxa"/>
            <w:tcBorders>
              <w:top w:val="nil"/>
              <w:left w:val="nil"/>
              <w:bottom w:val="single" w:sz="4" w:space="0" w:color="000000"/>
              <w:right w:val="single" w:sz="4" w:space="0" w:color="000000"/>
            </w:tcBorders>
            <w:shd w:val="clear" w:color="auto" w:fill="auto"/>
            <w:noWrap/>
            <w:vAlign w:val="bottom"/>
            <w:hideMark/>
          </w:tcPr>
          <w:p w14:paraId="2FEB0DDC"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11.6</w:t>
            </w:r>
          </w:p>
        </w:tc>
        <w:tc>
          <w:tcPr>
            <w:tcW w:w="697" w:type="dxa"/>
            <w:tcBorders>
              <w:top w:val="nil"/>
              <w:left w:val="nil"/>
              <w:bottom w:val="single" w:sz="4" w:space="0" w:color="000000"/>
              <w:right w:val="single" w:sz="4" w:space="0" w:color="000000"/>
            </w:tcBorders>
            <w:shd w:val="clear" w:color="auto" w:fill="auto"/>
            <w:noWrap/>
            <w:vAlign w:val="bottom"/>
            <w:hideMark/>
          </w:tcPr>
          <w:p w14:paraId="677F7807"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11.4</w:t>
            </w:r>
          </w:p>
        </w:tc>
        <w:tc>
          <w:tcPr>
            <w:tcW w:w="696" w:type="dxa"/>
            <w:tcBorders>
              <w:top w:val="nil"/>
              <w:left w:val="nil"/>
              <w:bottom w:val="single" w:sz="4" w:space="0" w:color="000000"/>
              <w:right w:val="single" w:sz="4" w:space="0" w:color="000000"/>
            </w:tcBorders>
            <w:shd w:val="clear" w:color="auto" w:fill="auto"/>
            <w:noWrap/>
            <w:vAlign w:val="bottom"/>
            <w:hideMark/>
          </w:tcPr>
          <w:p w14:paraId="202C8CD8"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11.1</w:t>
            </w:r>
          </w:p>
        </w:tc>
        <w:tc>
          <w:tcPr>
            <w:tcW w:w="697" w:type="dxa"/>
            <w:tcBorders>
              <w:top w:val="nil"/>
              <w:left w:val="nil"/>
              <w:bottom w:val="single" w:sz="4" w:space="0" w:color="000000"/>
              <w:right w:val="single" w:sz="4" w:space="0" w:color="000000"/>
            </w:tcBorders>
            <w:shd w:val="clear" w:color="auto" w:fill="auto"/>
            <w:noWrap/>
            <w:vAlign w:val="bottom"/>
            <w:hideMark/>
          </w:tcPr>
          <w:p w14:paraId="68240E50"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10.4</w:t>
            </w:r>
          </w:p>
        </w:tc>
        <w:tc>
          <w:tcPr>
            <w:tcW w:w="697" w:type="dxa"/>
            <w:tcBorders>
              <w:top w:val="nil"/>
              <w:left w:val="nil"/>
              <w:bottom w:val="single" w:sz="4" w:space="0" w:color="000000"/>
              <w:right w:val="single" w:sz="4" w:space="0" w:color="000000"/>
            </w:tcBorders>
            <w:shd w:val="clear" w:color="auto" w:fill="auto"/>
            <w:noWrap/>
            <w:vAlign w:val="bottom"/>
            <w:hideMark/>
          </w:tcPr>
          <w:p w14:paraId="4A45F6B8" w14:textId="77777777" w:rsidR="00240506" w:rsidRPr="00650EE4" w:rsidRDefault="00240506" w:rsidP="00DC1083">
            <w:pPr>
              <w:spacing w:line="240" w:lineRule="auto"/>
              <w:jc w:val="right"/>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10.3</w:t>
            </w:r>
          </w:p>
        </w:tc>
      </w:tr>
    </w:tbl>
    <w:p w14:paraId="780348EB"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31115EAD"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1CD7B776" w14:textId="77777777"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Disponuojamų pajamų ir namų išlaikymo sąnaudų dalis</w:t>
      </w:r>
    </w:p>
    <w:p w14:paraId="1AA5EB22" w14:textId="631C0DB2" w:rsidR="0051748D" w:rsidRPr="00650EE4" w:rsidRDefault="0051748D" w:rsidP="0051748D">
      <w:pPr>
        <w:jc w:val="both"/>
        <w:rPr>
          <w:rFonts w:ascii="Times New Roman" w:hAnsi="Times New Roman"/>
          <w:szCs w:val="22"/>
        </w:rPr>
      </w:pPr>
      <w:r w:rsidRPr="00650EE4">
        <w:rPr>
          <w:rFonts w:ascii="Times New Roman" w:hAnsi="Times New Roman"/>
          <w:szCs w:val="22"/>
        </w:rPr>
        <w:t xml:space="preserve">Nors Lietuvoje namų ūkių išlaidos šildymui yra santykinai didesnė nei ES, tačiau bendros išlaidos susijusios su namų išlaikymu sąnaudų dalis lyginant su disponuojamomis pajamos buvo mažesnės nei visu 2010-2018 m. periodu. Disponuojamų pajamų namų išlaikymui sąnaudų dalis Lietuvoje šiuo laikotarpiu sumažėjo ketvirtadaliu. Tam įtakos turėjo trys faktoriai: sparčiai augantis atlyginimas (6,1 proc. per metus), mažėjančios </w:t>
      </w:r>
      <w:r w:rsidR="00954E34" w:rsidRPr="00650EE4">
        <w:rPr>
          <w:rFonts w:ascii="Times New Roman" w:hAnsi="Times New Roman"/>
          <w:szCs w:val="22"/>
        </w:rPr>
        <w:t>kuro</w:t>
      </w:r>
      <w:r w:rsidRPr="00650EE4">
        <w:rPr>
          <w:rFonts w:ascii="Times New Roman" w:hAnsi="Times New Roman"/>
          <w:szCs w:val="22"/>
        </w:rPr>
        <w:t xml:space="preserve"> kainos (dujos 6,5 proc., biokuras 4,0 proc. per metus) bei išaugęs biokuro naudojimas centralizuotame šildyme (nuo 19 proc. 2010 m. iki virš 70 proc. 2019 m.). Renovacija iš dalies prisidėjo prie šio rodiklio gerėjimo, tačiau nebuvo esminis faktorius. Duomenys apie disponuojamų pajamų namų išlaikymo sąnaudų dalį Lietuvoje ir ES28 2010-2018 m. pateikti lentelėje apačioje.</w:t>
      </w:r>
    </w:p>
    <w:p w14:paraId="6A3A32D8" w14:textId="77777777" w:rsidR="0051748D" w:rsidRPr="00650EE4" w:rsidRDefault="0051748D" w:rsidP="0051748D">
      <w:pPr>
        <w:pStyle w:val="BodyText"/>
        <w:spacing w:line="280" w:lineRule="atLeast"/>
        <w:jc w:val="both"/>
        <w:rPr>
          <w:rFonts w:ascii="Times New Roman" w:hAnsi="Times New Roman"/>
          <w:color w:val="000000" w:themeColor="text1"/>
          <w:szCs w:val="22"/>
          <w:lang w:val="lt-LT"/>
        </w:rPr>
      </w:pPr>
    </w:p>
    <w:p w14:paraId="67CDA36B" w14:textId="77777777" w:rsidR="00C5035E" w:rsidRDefault="00C5035E">
      <w:pPr>
        <w:spacing w:after="240"/>
        <w:rPr>
          <w:rFonts w:ascii="Times New Roman" w:eastAsiaTheme="minorHAnsi" w:hAnsi="Times New Roman"/>
          <w:bCs/>
          <w:i/>
          <w:color w:val="000000" w:themeColor="text1"/>
          <w:sz w:val="20"/>
          <w:szCs w:val="20"/>
        </w:rPr>
      </w:pPr>
      <w:r>
        <w:br w:type="page"/>
      </w:r>
    </w:p>
    <w:p w14:paraId="55BD6AD9" w14:textId="1A23BB1A" w:rsidR="0051748D" w:rsidRPr="00650EE4" w:rsidRDefault="0051748D" w:rsidP="00631BA6">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32" w:name="_Toc59094230"/>
      <w:r w:rsidR="00F25C65">
        <w:t>47</w:t>
      </w:r>
      <w:r w:rsidRPr="00650EE4">
        <w:rPr>
          <w:noProof w:val="0"/>
        </w:rPr>
        <w:fldChar w:fldCharType="end"/>
      </w:r>
      <w:r w:rsidRPr="00650EE4">
        <w:rPr>
          <w:noProof w:val="0"/>
        </w:rPr>
        <w:t xml:space="preserve"> lentelė. Disponuojamų pajamų namų išlaikymo sąnaudų dalis, proc.</w:t>
      </w:r>
      <w:bookmarkEnd w:id="132"/>
    </w:p>
    <w:tbl>
      <w:tblPr>
        <w:tblW w:w="10194" w:type="dxa"/>
        <w:tblLayout w:type="fixed"/>
        <w:tblLook w:val="04A0" w:firstRow="1" w:lastRow="0" w:firstColumn="1" w:lastColumn="0" w:noHBand="0" w:noVBand="1"/>
      </w:tblPr>
      <w:tblGrid>
        <w:gridCol w:w="3925"/>
        <w:gridCol w:w="696"/>
        <w:gridCol w:w="697"/>
        <w:gridCol w:w="696"/>
        <w:gridCol w:w="697"/>
        <w:gridCol w:w="696"/>
        <w:gridCol w:w="697"/>
        <w:gridCol w:w="696"/>
        <w:gridCol w:w="697"/>
        <w:gridCol w:w="697"/>
      </w:tblGrid>
      <w:tr w:rsidR="0051748D" w:rsidRPr="00650EE4" w14:paraId="6859DD27" w14:textId="77777777" w:rsidTr="00C945BA">
        <w:tc>
          <w:tcPr>
            <w:tcW w:w="3925" w:type="dxa"/>
            <w:tcBorders>
              <w:top w:val="single" w:sz="4" w:space="0" w:color="auto"/>
              <w:left w:val="single" w:sz="4" w:space="0" w:color="auto"/>
              <w:bottom w:val="single" w:sz="4" w:space="0" w:color="auto"/>
              <w:right w:val="single" w:sz="4" w:space="0" w:color="auto"/>
            </w:tcBorders>
            <w:shd w:val="clear" w:color="auto" w:fill="auto"/>
            <w:noWrap/>
            <w:hideMark/>
          </w:tcPr>
          <w:p w14:paraId="5EB8F3A0" w14:textId="77777777" w:rsidR="0051748D" w:rsidRPr="00650EE4" w:rsidRDefault="0051748D" w:rsidP="006B1C87">
            <w:pPr>
              <w:spacing w:line="240" w:lineRule="auto"/>
              <w:rPr>
                <w:rFonts w:ascii="Times New Roman" w:eastAsia="Times New Roman" w:hAnsi="Times New Roman"/>
                <w:color w:val="auto"/>
                <w:sz w:val="20"/>
                <w:szCs w:val="18"/>
                <w:lang w:eastAsia="en-GB"/>
              </w:rPr>
            </w:pPr>
          </w:p>
        </w:tc>
        <w:tc>
          <w:tcPr>
            <w:tcW w:w="696" w:type="dxa"/>
            <w:tcBorders>
              <w:top w:val="single" w:sz="4" w:space="0" w:color="000000"/>
              <w:left w:val="nil"/>
              <w:bottom w:val="single" w:sz="4" w:space="0" w:color="000000"/>
              <w:right w:val="single" w:sz="4" w:space="0" w:color="000000"/>
            </w:tcBorders>
            <w:shd w:val="clear" w:color="auto" w:fill="auto"/>
            <w:noWrap/>
            <w:hideMark/>
          </w:tcPr>
          <w:p w14:paraId="7867376F"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2010</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2AC69643"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2011</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1F7F4269"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2012</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70238737"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2013</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1E07375A"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2014</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15E3409A"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2015</w:t>
            </w:r>
          </w:p>
        </w:tc>
        <w:tc>
          <w:tcPr>
            <w:tcW w:w="696" w:type="dxa"/>
            <w:tcBorders>
              <w:top w:val="single" w:sz="4" w:space="0" w:color="000000"/>
              <w:left w:val="nil"/>
              <w:bottom w:val="single" w:sz="4" w:space="0" w:color="000000"/>
              <w:right w:val="single" w:sz="4" w:space="0" w:color="000000"/>
            </w:tcBorders>
            <w:shd w:val="clear" w:color="auto" w:fill="auto"/>
            <w:noWrap/>
            <w:hideMark/>
          </w:tcPr>
          <w:p w14:paraId="4A3223AB"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2016</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008F3B28"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2017</w:t>
            </w:r>
          </w:p>
        </w:tc>
        <w:tc>
          <w:tcPr>
            <w:tcW w:w="697" w:type="dxa"/>
            <w:tcBorders>
              <w:top w:val="single" w:sz="4" w:space="0" w:color="000000"/>
              <w:left w:val="nil"/>
              <w:bottom w:val="single" w:sz="4" w:space="0" w:color="000000"/>
              <w:right w:val="single" w:sz="4" w:space="0" w:color="000000"/>
            </w:tcBorders>
            <w:shd w:val="clear" w:color="auto" w:fill="auto"/>
            <w:noWrap/>
            <w:hideMark/>
          </w:tcPr>
          <w:p w14:paraId="11DD0D74" w14:textId="77777777" w:rsidR="0051748D" w:rsidRPr="00650EE4" w:rsidRDefault="0051748D" w:rsidP="006B1C87">
            <w:pPr>
              <w:spacing w:line="240" w:lineRule="auto"/>
              <w:rPr>
                <w:rFonts w:ascii="Times New Roman" w:eastAsia="Times New Roman" w:hAnsi="Times New Roman"/>
                <w:b/>
                <w:color w:val="auto"/>
                <w:sz w:val="20"/>
                <w:szCs w:val="18"/>
                <w:lang w:eastAsia="en-GB"/>
              </w:rPr>
            </w:pPr>
            <w:r w:rsidRPr="00650EE4">
              <w:rPr>
                <w:rFonts w:ascii="Times New Roman" w:hAnsi="Times New Roman"/>
                <w:b/>
                <w:sz w:val="20"/>
                <w:szCs w:val="18"/>
              </w:rPr>
              <w:t>2018</w:t>
            </w:r>
          </w:p>
        </w:tc>
      </w:tr>
      <w:tr w:rsidR="0051748D" w:rsidRPr="00650EE4" w14:paraId="1767E4DA" w14:textId="77777777" w:rsidTr="00C945BA">
        <w:tc>
          <w:tcPr>
            <w:tcW w:w="3925" w:type="dxa"/>
            <w:tcBorders>
              <w:top w:val="nil"/>
              <w:left w:val="single" w:sz="4" w:space="0" w:color="000000"/>
              <w:bottom w:val="single" w:sz="4" w:space="0" w:color="000000"/>
              <w:right w:val="single" w:sz="4" w:space="0" w:color="000000"/>
            </w:tcBorders>
            <w:shd w:val="clear" w:color="auto" w:fill="auto"/>
            <w:noWrap/>
            <w:hideMark/>
          </w:tcPr>
          <w:p w14:paraId="5A86077B" w14:textId="77777777" w:rsidR="0051748D" w:rsidRPr="00650EE4" w:rsidRDefault="0051748D" w:rsidP="006B1C87">
            <w:pPr>
              <w:spacing w:line="240" w:lineRule="auto"/>
              <w:rPr>
                <w:rFonts w:ascii="Times New Roman" w:eastAsia="Times New Roman" w:hAnsi="Times New Roman"/>
                <w:color w:val="auto"/>
                <w:sz w:val="20"/>
                <w:szCs w:val="18"/>
                <w:lang w:eastAsia="en-GB"/>
              </w:rPr>
            </w:pPr>
            <w:r w:rsidRPr="00650EE4">
              <w:rPr>
                <w:rFonts w:ascii="Times New Roman" w:hAnsi="Times New Roman"/>
                <w:sz w:val="20"/>
                <w:szCs w:val="18"/>
              </w:rPr>
              <w:t>Disponuojamų pajamų namų išlaikymo sąnaudų dalis Lietuvoje</w:t>
            </w:r>
          </w:p>
        </w:tc>
        <w:tc>
          <w:tcPr>
            <w:tcW w:w="696" w:type="dxa"/>
            <w:tcBorders>
              <w:top w:val="nil"/>
              <w:left w:val="nil"/>
              <w:bottom w:val="single" w:sz="4" w:space="0" w:color="000000"/>
              <w:right w:val="single" w:sz="4" w:space="0" w:color="000000"/>
            </w:tcBorders>
            <w:shd w:val="clear" w:color="auto" w:fill="auto"/>
            <w:noWrap/>
            <w:hideMark/>
          </w:tcPr>
          <w:p w14:paraId="62D9E7D4"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20.3</w:t>
            </w:r>
          </w:p>
        </w:tc>
        <w:tc>
          <w:tcPr>
            <w:tcW w:w="697" w:type="dxa"/>
            <w:tcBorders>
              <w:top w:val="nil"/>
              <w:left w:val="nil"/>
              <w:bottom w:val="single" w:sz="4" w:space="0" w:color="000000"/>
              <w:right w:val="single" w:sz="4" w:space="0" w:color="000000"/>
            </w:tcBorders>
            <w:shd w:val="clear" w:color="auto" w:fill="auto"/>
            <w:noWrap/>
            <w:hideMark/>
          </w:tcPr>
          <w:p w14:paraId="5C9F8A4E"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21.8</w:t>
            </w:r>
          </w:p>
        </w:tc>
        <w:tc>
          <w:tcPr>
            <w:tcW w:w="696" w:type="dxa"/>
            <w:tcBorders>
              <w:top w:val="nil"/>
              <w:left w:val="nil"/>
              <w:bottom w:val="single" w:sz="4" w:space="0" w:color="000000"/>
              <w:right w:val="single" w:sz="4" w:space="0" w:color="000000"/>
            </w:tcBorders>
            <w:shd w:val="clear" w:color="auto" w:fill="auto"/>
            <w:noWrap/>
            <w:hideMark/>
          </w:tcPr>
          <w:p w14:paraId="6F89A774"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20.1</w:t>
            </w:r>
          </w:p>
        </w:tc>
        <w:tc>
          <w:tcPr>
            <w:tcW w:w="697" w:type="dxa"/>
            <w:tcBorders>
              <w:top w:val="nil"/>
              <w:left w:val="nil"/>
              <w:bottom w:val="single" w:sz="4" w:space="0" w:color="000000"/>
              <w:right w:val="single" w:sz="4" w:space="0" w:color="000000"/>
            </w:tcBorders>
            <w:shd w:val="clear" w:color="auto" w:fill="auto"/>
            <w:noWrap/>
            <w:hideMark/>
          </w:tcPr>
          <w:p w14:paraId="0EE9F42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19.5</w:t>
            </w:r>
          </w:p>
        </w:tc>
        <w:tc>
          <w:tcPr>
            <w:tcW w:w="696" w:type="dxa"/>
            <w:tcBorders>
              <w:top w:val="nil"/>
              <w:left w:val="nil"/>
              <w:bottom w:val="single" w:sz="4" w:space="0" w:color="000000"/>
              <w:right w:val="single" w:sz="4" w:space="0" w:color="000000"/>
            </w:tcBorders>
            <w:shd w:val="clear" w:color="auto" w:fill="auto"/>
            <w:noWrap/>
            <w:hideMark/>
          </w:tcPr>
          <w:p w14:paraId="4048E62B"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18.6</w:t>
            </w:r>
          </w:p>
        </w:tc>
        <w:tc>
          <w:tcPr>
            <w:tcW w:w="697" w:type="dxa"/>
            <w:tcBorders>
              <w:top w:val="nil"/>
              <w:left w:val="nil"/>
              <w:bottom w:val="single" w:sz="4" w:space="0" w:color="000000"/>
              <w:right w:val="single" w:sz="4" w:space="0" w:color="000000"/>
            </w:tcBorders>
            <w:shd w:val="clear" w:color="auto" w:fill="auto"/>
            <w:noWrap/>
            <w:hideMark/>
          </w:tcPr>
          <w:p w14:paraId="47B2E393"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19.0</w:t>
            </w:r>
          </w:p>
        </w:tc>
        <w:tc>
          <w:tcPr>
            <w:tcW w:w="696" w:type="dxa"/>
            <w:tcBorders>
              <w:top w:val="nil"/>
              <w:left w:val="nil"/>
              <w:bottom w:val="single" w:sz="4" w:space="0" w:color="000000"/>
              <w:right w:val="single" w:sz="4" w:space="0" w:color="000000"/>
            </w:tcBorders>
            <w:shd w:val="clear" w:color="auto" w:fill="auto"/>
            <w:noWrap/>
            <w:hideMark/>
          </w:tcPr>
          <w:p w14:paraId="34D16415"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17.2</w:t>
            </w:r>
          </w:p>
        </w:tc>
        <w:tc>
          <w:tcPr>
            <w:tcW w:w="697" w:type="dxa"/>
            <w:tcBorders>
              <w:top w:val="nil"/>
              <w:left w:val="nil"/>
              <w:bottom w:val="single" w:sz="4" w:space="0" w:color="000000"/>
              <w:right w:val="single" w:sz="4" w:space="0" w:color="000000"/>
            </w:tcBorders>
            <w:shd w:val="clear" w:color="auto" w:fill="auto"/>
            <w:noWrap/>
            <w:hideMark/>
          </w:tcPr>
          <w:p w14:paraId="5FF93FC3"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16.3</w:t>
            </w:r>
          </w:p>
        </w:tc>
        <w:tc>
          <w:tcPr>
            <w:tcW w:w="697" w:type="dxa"/>
            <w:tcBorders>
              <w:top w:val="nil"/>
              <w:left w:val="nil"/>
              <w:bottom w:val="single" w:sz="4" w:space="0" w:color="000000"/>
              <w:right w:val="single" w:sz="4" w:space="0" w:color="000000"/>
            </w:tcBorders>
            <w:shd w:val="clear" w:color="auto" w:fill="auto"/>
            <w:noWrap/>
            <w:hideMark/>
          </w:tcPr>
          <w:p w14:paraId="780FF646"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14.8</w:t>
            </w:r>
          </w:p>
        </w:tc>
      </w:tr>
      <w:tr w:rsidR="0051748D" w:rsidRPr="00650EE4" w14:paraId="488FFBF3" w14:textId="77777777" w:rsidTr="00C945BA">
        <w:tc>
          <w:tcPr>
            <w:tcW w:w="3925" w:type="dxa"/>
            <w:tcBorders>
              <w:top w:val="nil"/>
              <w:left w:val="single" w:sz="4" w:space="0" w:color="000000"/>
              <w:bottom w:val="single" w:sz="4" w:space="0" w:color="000000"/>
              <w:right w:val="single" w:sz="4" w:space="0" w:color="000000"/>
            </w:tcBorders>
            <w:shd w:val="clear" w:color="auto" w:fill="auto"/>
            <w:noWrap/>
            <w:hideMark/>
          </w:tcPr>
          <w:p w14:paraId="07C337C5" w14:textId="77777777" w:rsidR="0051748D" w:rsidRPr="00650EE4" w:rsidRDefault="0051748D" w:rsidP="006B1C87">
            <w:pPr>
              <w:spacing w:line="240" w:lineRule="auto"/>
              <w:rPr>
                <w:rFonts w:ascii="Times New Roman" w:eastAsia="Times New Roman" w:hAnsi="Times New Roman"/>
                <w:color w:val="auto"/>
                <w:sz w:val="20"/>
                <w:szCs w:val="18"/>
                <w:lang w:eastAsia="en-GB"/>
              </w:rPr>
            </w:pPr>
            <w:r w:rsidRPr="00650EE4">
              <w:rPr>
                <w:rFonts w:ascii="Times New Roman" w:hAnsi="Times New Roman"/>
                <w:sz w:val="20"/>
                <w:szCs w:val="18"/>
              </w:rPr>
              <w:t>Disponuojamų pajamų namų išlaikymo sąnaudų dalis ES28</w:t>
            </w:r>
          </w:p>
        </w:tc>
        <w:tc>
          <w:tcPr>
            <w:tcW w:w="696" w:type="dxa"/>
            <w:tcBorders>
              <w:top w:val="nil"/>
              <w:left w:val="nil"/>
              <w:bottom w:val="single" w:sz="4" w:space="0" w:color="000000"/>
              <w:right w:val="single" w:sz="4" w:space="0" w:color="000000"/>
            </w:tcBorders>
            <w:shd w:val="clear" w:color="auto" w:fill="auto"/>
            <w:noWrap/>
            <w:hideMark/>
          </w:tcPr>
          <w:p w14:paraId="673F395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22.4</w:t>
            </w:r>
          </w:p>
        </w:tc>
        <w:tc>
          <w:tcPr>
            <w:tcW w:w="697" w:type="dxa"/>
            <w:tcBorders>
              <w:top w:val="nil"/>
              <w:left w:val="nil"/>
              <w:bottom w:val="single" w:sz="4" w:space="0" w:color="000000"/>
              <w:right w:val="single" w:sz="4" w:space="0" w:color="000000"/>
            </w:tcBorders>
            <w:shd w:val="clear" w:color="auto" w:fill="auto"/>
            <w:noWrap/>
            <w:hideMark/>
          </w:tcPr>
          <w:p w14:paraId="7F88727B"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22.4</w:t>
            </w:r>
          </w:p>
        </w:tc>
        <w:tc>
          <w:tcPr>
            <w:tcW w:w="696" w:type="dxa"/>
            <w:tcBorders>
              <w:top w:val="nil"/>
              <w:left w:val="nil"/>
              <w:bottom w:val="single" w:sz="4" w:space="0" w:color="000000"/>
              <w:right w:val="single" w:sz="4" w:space="0" w:color="000000"/>
            </w:tcBorders>
            <w:shd w:val="clear" w:color="auto" w:fill="auto"/>
            <w:noWrap/>
            <w:hideMark/>
          </w:tcPr>
          <w:p w14:paraId="309CE6C0"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22.0</w:t>
            </w:r>
          </w:p>
        </w:tc>
        <w:tc>
          <w:tcPr>
            <w:tcW w:w="697" w:type="dxa"/>
            <w:tcBorders>
              <w:top w:val="nil"/>
              <w:left w:val="nil"/>
              <w:bottom w:val="single" w:sz="4" w:space="0" w:color="000000"/>
              <w:right w:val="single" w:sz="4" w:space="0" w:color="000000"/>
            </w:tcBorders>
            <w:shd w:val="clear" w:color="auto" w:fill="auto"/>
            <w:noWrap/>
            <w:hideMark/>
          </w:tcPr>
          <w:p w14:paraId="0E4D1637"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22.3</w:t>
            </w:r>
          </w:p>
        </w:tc>
        <w:tc>
          <w:tcPr>
            <w:tcW w:w="696" w:type="dxa"/>
            <w:tcBorders>
              <w:top w:val="nil"/>
              <w:left w:val="nil"/>
              <w:bottom w:val="single" w:sz="4" w:space="0" w:color="000000"/>
              <w:right w:val="single" w:sz="4" w:space="0" w:color="000000"/>
            </w:tcBorders>
            <w:shd w:val="clear" w:color="auto" w:fill="auto"/>
            <w:noWrap/>
            <w:hideMark/>
          </w:tcPr>
          <w:p w14:paraId="3E59F3E1"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22.7</w:t>
            </w:r>
          </w:p>
        </w:tc>
        <w:tc>
          <w:tcPr>
            <w:tcW w:w="697" w:type="dxa"/>
            <w:tcBorders>
              <w:top w:val="nil"/>
              <w:left w:val="nil"/>
              <w:bottom w:val="single" w:sz="4" w:space="0" w:color="000000"/>
              <w:right w:val="single" w:sz="4" w:space="0" w:color="000000"/>
            </w:tcBorders>
            <w:shd w:val="clear" w:color="auto" w:fill="auto"/>
            <w:noWrap/>
            <w:hideMark/>
          </w:tcPr>
          <w:p w14:paraId="1BEDC58C"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22.6</w:t>
            </w:r>
          </w:p>
        </w:tc>
        <w:tc>
          <w:tcPr>
            <w:tcW w:w="696" w:type="dxa"/>
            <w:tcBorders>
              <w:top w:val="nil"/>
              <w:left w:val="nil"/>
              <w:bottom w:val="single" w:sz="4" w:space="0" w:color="000000"/>
              <w:right w:val="single" w:sz="4" w:space="0" w:color="000000"/>
            </w:tcBorders>
            <w:shd w:val="clear" w:color="auto" w:fill="auto"/>
            <w:noWrap/>
            <w:hideMark/>
          </w:tcPr>
          <w:p w14:paraId="0BC0584A"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22.0</w:t>
            </w:r>
          </w:p>
        </w:tc>
        <w:tc>
          <w:tcPr>
            <w:tcW w:w="697" w:type="dxa"/>
            <w:tcBorders>
              <w:top w:val="nil"/>
              <w:left w:val="nil"/>
              <w:bottom w:val="single" w:sz="4" w:space="0" w:color="000000"/>
              <w:right w:val="single" w:sz="4" w:space="0" w:color="000000"/>
            </w:tcBorders>
            <w:shd w:val="clear" w:color="auto" w:fill="auto"/>
            <w:noWrap/>
            <w:hideMark/>
          </w:tcPr>
          <w:p w14:paraId="6D07CCD9"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21.4</w:t>
            </w:r>
          </w:p>
        </w:tc>
        <w:tc>
          <w:tcPr>
            <w:tcW w:w="697" w:type="dxa"/>
            <w:tcBorders>
              <w:top w:val="nil"/>
              <w:left w:val="nil"/>
              <w:bottom w:val="single" w:sz="4" w:space="0" w:color="000000"/>
              <w:right w:val="single" w:sz="4" w:space="0" w:color="000000"/>
            </w:tcBorders>
            <w:shd w:val="clear" w:color="auto" w:fill="auto"/>
            <w:noWrap/>
            <w:hideMark/>
          </w:tcPr>
          <w:p w14:paraId="5F4A82FD" w14:textId="77777777" w:rsidR="0051748D" w:rsidRPr="00650EE4" w:rsidRDefault="0051748D" w:rsidP="006B1C87">
            <w:pPr>
              <w:spacing w:line="240" w:lineRule="auto"/>
              <w:jc w:val="right"/>
              <w:rPr>
                <w:rFonts w:ascii="Times New Roman" w:eastAsia="Times New Roman" w:hAnsi="Times New Roman"/>
                <w:color w:val="auto"/>
                <w:sz w:val="20"/>
                <w:szCs w:val="18"/>
                <w:lang w:eastAsia="en-GB"/>
              </w:rPr>
            </w:pPr>
            <w:r w:rsidRPr="00650EE4">
              <w:rPr>
                <w:rFonts w:ascii="Times New Roman" w:hAnsi="Times New Roman"/>
                <w:sz w:val="20"/>
                <w:szCs w:val="18"/>
              </w:rPr>
              <w:t>21.0</w:t>
            </w:r>
          </w:p>
        </w:tc>
      </w:tr>
    </w:tbl>
    <w:p w14:paraId="56C18386" w14:textId="77777777" w:rsidR="0051748D" w:rsidRPr="00650EE4" w:rsidRDefault="0051748D" w:rsidP="0051748D">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4C0233B2" w14:textId="77777777" w:rsidR="002F28BB" w:rsidRPr="00650EE4" w:rsidRDefault="002F28BB" w:rsidP="0051748D">
      <w:pPr>
        <w:spacing w:after="120"/>
        <w:jc w:val="both"/>
        <w:rPr>
          <w:rFonts w:ascii="Times New Roman" w:hAnsi="Times New Roman"/>
          <w:b/>
          <w:szCs w:val="22"/>
        </w:rPr>
      </w:pPr>
    </w:p>
    <w:p w14:paraId="45E68798" w14:textId="0ABF4671" w:rsidR="0051748D" w:rsidRPr="00650EE4" w:rsidRDefault="0051748D" w:rsidP="0051748D">
      <w:pPr>
        <w:spacing w:after="120"/>
        <w:jc w:val="both"/>
        <w:rPr>
          <w:rFonts w:ascii="Times New Roman" w:hAnsi="Times New Roman"/>
          <w:b/>
          <w:szCs w:val="22"/>
        </w:rPr>
      </w:pPr>
      <w:r w:rsidRPr="00650EE4">
        <w:rPr>
          <w:rFonts w:ascii="Times New Roman" w:hAnsi="Times New Roman"/>
          <w:b/>
          <w:szCs w:val="22"/>
        </w:rPr>
        <w:t>Namų ūkių dalis, turinčių pradelstų įsiskolinimų už komunalines paslaugas</w:t>
      </w:r>
    </w:p>
    <w:p w14:paraId="0269DDB5" w14:textId="23B0044D" w:rsidR="00240506" w:rsidRPr="00650EE4" w:rsidRDefault="00240506" w:rsidP="0051748D">
      <w:pPr>
        <w:pStyle w:val="BodyText"/>
        <w:spacing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Santykinai sunkią šildymo sąskaitų naštą namų ūkiams iliustruoja ir namų ūkių dalis turinti pradelstų įsiskolinimų už komunalines paslaugas, kuri Lietuvoje su svyravimais išlieka apie 10 proc. (9,2 proc. 2018 m.). Nors tai ir yra prasčiau nei ES vidurkis, analizuojant šį rodiklį yra daug svarbiau tendencija, nei lygis ir palyginimas su kitomis ES šalimis. Gyventojų drausmingas, atsiskaitymo už komunalines paslaugas ypatybės lemia didelius skirtumus tarp šalių. Atitinkamai, Lietuvoje įsiskolinimai už komunalines paslaugas palaipsniui mažėja, tai gali rodyti, kad komunalinių paslaugų sąskaitų našta mažėja, arba, kad didėja </w:t>
      </w:r>
      <w:r w:rsidR="00364533" w:rsidRPr="00650EE4">
        <w:rPr>
          <w:rFonts w:ascii="Times New Roman" w:hAnsi="Times New Roman"/>
          <w:color w:val="000000" w:themeColor="text1"/>
          <w:szCs w:val="22"/>
          <w:lang w:val="lt-LT"/>
        </w:rPr>
        <w:t>namų</w:t>
      </w:r>
      <w:r w:rsidRPr="00650EE4">
        <w:rPr>
          <w:rFonts w:ascii="Times New Roman" w:hAnsi="Times New Roman"/>
          <w:color w:val="000000" w:themeColor="text1"/>
          <w:szCs w:val="22"/>
          <w:lang w:val="lt-LT"/>
        </w:rPr>
        <w:t xml:space="preserve"> ūkių pajamos. Detalesni duomenys apie namų ūkių įsiskolinimus už komunalines paslaugas pateikiami lentelėje žemiau.</w:t>
      </w:r>
    </w:p>
    <w:p w14:paraId="3413B941" w14:textId="77777777" w:rsidR="002F28BB" w:rsidRPr="00650EE4" w:rsidRDefault="002F28BB" w:rsidP="00631BA6">
      <w:pPr>
        <w:pStyle w:val="TESlentelspavadinimas"/>
        <w:rPr>
          <w:noProof w:val="0"/>
        </w:rPr>
      </w:pPr>
    </w:p>
    <w:p w14:paraId="326B077A" w14:textId="7FA11735"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3" w:name="_Toc59094231"/>
      <w:r w:rsidR="00F25C65">
        <w:t>48</w:t>
      </w:r>
      <w:r w:rsidRPr="00650EE4">
        <w:rPr>
          <w:noProof w:val="0"/>
        </w:rPr>
        <w:fldChar w:fldCharType="end"/>
      </w:r>
      <w:r w:rsidR="00240506" w:rsidRPr="00650EE4">
        <w:rPr>
          <w:noProof w:val="0"/>
        </w:rPr>
        <w:t xml:space="preserve"> lentelė. Namų ūkių dalis, turinčių pradelstų įsiskolinimų už komunalines paslaugas, proc.</w:t>
      </w:r>
      <w:bookmarkEnd w:id="133"/>
    </w:p>
    <w:tbl>
      <w:tblPr>
        <w:tblW w:w="5000" w:type="pct"/>
        <w:tblLayout w:type="fixed"/>
        <w:tblLook w:val="04A0" w:firstRow="1" w:lastRow="0" w:firstColumn="1" w:lastColumn="0" w:noHBand="0" w:noVBand="1"/>
      </w:tblPr>
      <w:tblGrid>
        <w:gridCol w:w="2055"/>
        <w:gridCol w:w="929"/>
        <w:gridCol w:w="929"/>
        <w:gridCol w:w="930"/>
        <w:gridCol w:w="929"/>
        <w:gridCol w:w="930"/>
        <w:gridCol w:w="929"/>
        <w:gridCol w:w="930"/>
        <w:gridCol w:w="929"/>
        <w:gridCol w:w="930"/>
      </w:tblGrid>
      <w:tr w:rsidR="00240506" w:rsidRPr="00650EE4" w14:paraId="2D3D521A" w14:textId="77777777" w:rsidTr="00530F05">
        <w:trPr>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98EE" w14:textId="37767FA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w:t>
            </w:r>
            <w:r w:rsidR="00694541" w:rsidRPr="00650EE4">
              <w:rPr>
                <w:rFonts w:ascii="Times New Roman" w:eastAsia="Times New Roman" w:hAnsi="Times New Roman"/>
                <w:b/>
                <w:bCs/>
                <w:color w:val="auto"/>
                <w:sz w:val="20"/>
                <w:szCs w:val="20"/>
                <w:lang w:eastAsia="en-GB"/>
              </w:rPr>
              <w:t>Valstybė</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6499C97C"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2010</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7AD390E1"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2011</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216A0B1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2012</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7C3834DD"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2013</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1350F561"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2014</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23E23DB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2015</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9666727"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2016</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28901C8F"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2017</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14:paraId="3BA4682D"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2018</w:t>
            </w:r>
          </w:p>
        </w:tc>
      </w:tr>
      <w:tr w:rsidR="00240506" w:rsidRPr="00650EE4" w14:paraId="06444A1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4837B6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Graikija</w:t>
            </w:r>
          </w:p>
        </w:tc>
        <w:tc>
          <w:tcPr>
            <w:tcW w:w="895" w:type="dxa"/>
            <w:tcBorders>
              <w:top w:val="nil"/>
              <w:left w:val="nil"/>
              <w:bottom w:val="single" w:sz="4" w:space="0" w:color="auto"/>
              <w:right w:val="single" w:sz="4" w:space="0" w:color="auto"/>
            </w:tcBorders>
            <w:shd w:val="clear" w:color="auto" w:fill="auto"/>
            <w:noWrap/>
            <w:vAlign w:val="bottom"/>
            <w:hideMark/>
          </w:tcPr>
          <w:p w14:paraId="6322BF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18.8 </w:t>
            </w:r>
          </w:p>
        </w:tc>
        <w:tc>
          <w:tcPr>
            <w:tcW w:w="895" w:type="dxa"/>
            <w:tcBorders>
              <w:top w:val="nil"/>
              <w:left w:val="nil"/>
              <w:bottom w:val="single" w:sz="4" w:space="0" w:color="auto"/>
              <w:right w:val="single" w:sz="4" w:space="0" w:color="auto"/>
            </w:tcBorders>
            <w:shd w:val="clear" w:color="auto" w:fill="auto"/>
            <w:noWrap/>
            <w:vAlign w:val="bottom"/>
            <w:hideMark/>
          </w:tcPr>
          <w:p w14:paraId="470AB6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23.3 </w:t>
            </w:r>
          </w:p>
        </w:tc>
        <w:tc>
          <w:tcPr>
            <w:tcW w:w="896" w:type="dxa"/>
            <w:tcBorders>
              <w:top w:val="nil"/>
              <w:left w:val="nil"/>
              <w:bottom w:val="single" w:sz="4" w:space="0" w:color="auto"/>
              <w:right w:val="single" w:sz="4" w:space="0" w:color="auto"/>
            </w:tcBorders>
            <w:shd w:val="clear" w:color="auto" w:fill="auto"/>
            <w:noWrap/>
            <w:vAlign w:val="bottom"/>
            <w:hideMark/>
          </w:tcPr>
          <w:p w14:paraId="0104FC8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31.8 </w:t>
            </w:r>
          </w:p>
        </w:tc>
        <w:tc>
          <w:tcPr>
            <w:tcW w:w="895" w:type="dxa"/>
            <w:tcBorders>
              <w:top w:val="nil"/>
              <w:left w:val="nil"/>
              <w:bottom w:val="single" w:sz="4" w:space="0" w:color="auto"/>
              <w:right w:val="single" w:sz="4" w:space="0" w:color="auto"/>
            </w:tcBorders>
            <w:shd w:val="clear" w:color="auto" w:fill="auto"/>
            <w:noWrap/>
            <w:vAlign w:val="bottom"/>
            <w:hideMark/>
          </w:tcPr>
          <w:p w14:paraId="37581F0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35.2 </w:t>
            </w:r>
          </w:p>
        </w:tc>
        <w:tc>
          <w:tcPr>
            <w:tcW w:w="896" w:type="dxa"/>
            <w:tcBorders>
              <w:top w:val="nil"/>
              <w:left w:val="nil"/>
              <w:bottom w:val="single" w:sz="4" w:space="0" w:color="auto"/>
              <w:right w:val="single" w:sz="4" w:space="0" w:color="auto"/>
            </w:tcBorders>
            <w:shd w:val="clear" w:color="auto" w:fill="auto"/>
            <w:noWrap/>
            <w:vAlign w:val="bottom"/>
            <w:hideMark/>
          </w:tcPr>
          <w:p w14:paraId="4AAB4F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37.3 </w:t>
            </w:r>
          </w:p>
        </w:tc>
        <w:tc>
          <w:tcPr>
            <w:tcW w:w="895" w:type="dxa"/>
            <w:tcBorders>
              <w:top w:val="nil"/>
              <w:left w:val="nil"/>
              <w:bottom w:val="single" w:sz="4" w:space="0" w:color="auto"/>
              <w:right w:val="single" w:sz="4" w:space="0" w:color="auto"/>
            </w:tcBorders>
            <w:shd w:val="clear" w:color="auto" w:fill="auto"/>
            <w:noWrap/>
            <w:vAlign w:val="bottom"/>
            <w:hideMark/>
          </w:tcPr>
          <w:p w14:paraId="2924EF4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42.0 </w:t>
            </w:r>
          </w:p>
        </w:tc>
        <w:tc>
          <w:tcPr>
            <w:tcW w:w="896" w:type="dxa"/>
            <w:tcBorders>
              <w:top w:val="nil"/>
              <w:left w:val="nil"/>
              <w:bottom w:val="single" w:sz="4" w:space="0" w:color="auto"/>
              <w:right w:val="single" w:sz="4" w:space="0" w:color="auto"/>
            </w:tcBorders>
            <w:shd w:val="clear" w:color="auto" w:fill="auto"/>
            <w:noWrap/>
            <w:vAlign w:val="bottom"/>
            <w:hideMark/>
          </w:tcPr>
          <w:p w14:paraId="08FBCC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42.2 </w:t>
            </w:r>
          </w:p>
        </w:tc>
        <w:tc>
          <w:tcPr>
            <w:tcW w:w="895" w:type="dxa"/>
            <w:tcBorders>
              <w:top w:val="nil"/>
              <w:left w:val="nil"/>
              <w:bottom w:val="single" w:sz="4" w:space="0" w:color="auto"/>
              <w:right w:val="single" w:sz="4" w:space="0" w:color="auto"/>
            </w:tcBorders>
            <w:shd w:val="clear" w:color="auto" w:fill="auto"/>
            <w:noWrap/>
            <w:vAlign w:val="bottom"/>
            <w:hideMark/>
          </w:tcPr>
          <w:p w14:paraId="3EEDEC0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38.5 </w:t>
            </w:r>
          </w:p>
        </w:tc>
        <w:tc>
          <w:tcPr>
            <w:tcW w:w="896" w:type="dxa"/>
            <w:tcBorders>
              <w:top w:val="nil"/>
              <w:left w:val="nil"/>
              <w:bottom w:val="single" w:sz="4" w:space="0" w:color="auto"/>
              <w:right w:val="single" w:sz="4" w:space="0" w:color="auto"/>
            </w:tcBorders>
            <w:shd w:val="clear" w:color="auto" w:fill="auto"/>
            <w:noWrap/>
            <w:vAlign w:val="bottom"/>
            <w:hideMark/>
          </w:tcPr>
          <w:p w14:paraId="4883E06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35.6 </w:t>
            </w:r>
          </w:p>
        </w:tc>
      </w:tr>
      <w:tr w:rsidR="00240506" w:rsidRPr="00650EE4" w14:paraId="2504069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DB7E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Bulgarija</w:t>
            </w:r>
          </w:p>
        </w:tc>
        <w:tc>
          <w:tcPr>
            <w:tcW w:w="895" w:type="dxa"/>
            <w:tcBorders>
              <w:top w:val="nil"/>
              <w:left w:val="nil"/>
              <w:bottom w:val="single" w:sz="4" w:space="0" w:color="auto"/>
              <w:right w:val="single" w:sz="4" w:space="0" w:color="auto"/>
            </w:tcBorders>
            <w:shd w:val="clear" w:color="auto" w:fill="auto"/>
            <w:noWrap/>
            <w:vAlign w:val="bottom"/>
            <w:hideMark/>
          </w:tcPr>
          <w:p w14:paraId="739FDA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31.6 </w:t>
            </w:r>
          </w:p>
        </w:tc>
        <w:tc>
          <w:tcPr>
            <w:tcW w:w="895" w:type="dxa"/>
            <w:tcBorders>
              <w:top w:val="nil"/>
              <w:left w:val="nil"/>
              <w:bottom w:val="single" w:sz="4" w:space="0" w:color="auto"/>
              <w:right w:val="single" w:sz="4" w:space="0" w:color="auto"/>
            </w:tcBorders>
            <w:shd w:val="clear" w:color="auto" w:fill="auto"/>
            <w:noWrap/>
            <w:vAlign w:val="bottom"/>
            <w:hideMark/>
          </w:tcPr>
          <w:p w14:paraId="5690386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28.6 </w:t>
            </w:r>
          </w:p>
        </w:tc>
        <w:tc>
          <w:tcPr>
            <w:tcW w:w="896" w:type="dxa"/>
            <w:tcBorders>
              <w:top w:val="nil"/>
              <w:left w:val="nil"/>
              <w:bottom w:val="single" w:sz="4" w:space="0" w:color="auto"/>
              <w:right w:val="single" w:sz="4" w:space="0" w:color="auto"/>
            </w:tcBorders>
            <w:shd w:val="clear" w:color="auto" w:fill="auto"/>
            <w:noWrap/>
            <w:vAlign w:val="bottom"/>
            <w:hideMark/>
          </w:tcPr>
          <w:p w14:paraId="75CF9D1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28.4 </w:t>
            </w:r>
          </w:p>
        </w:tc>
        <w:tc>
          <w:tcPr>
            <w:tcW w:w="895" w:type="dxa"/>
            <w:tcBorders>
              <w:top w:val="nil"/>
              <w:left w:val="nil"/>
              <w:bottom w:val="single" w:sz="4" w:space="0" w:color="auto"/>
              <w:right w:val="single" w:sz="4" w:space="0" w:color="auto"/>
            </w:tcBorders>
            <w:shd w:val="clear" w:color="auto" w:fill="auto"/>
            <w:noWrap/>
            <w:vAlign w:val="bottom"/>
            <w:hideMark/>
          </w:tcPr>
          <w:p w14:paraId="38CAF3A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34.0 </w:t>
            </w:r>
          </w:p>
        </w:tc>
        <w:tc>
          <w:tcPr>
            <w:tcW w:w="896" w:type="dxa"/>
            <w:tcBorders>
              <w:top w:val="nil"/>
              <w:left w:val="nil"/>
              <w:bottom w:val="single" w:sz="4" w:space="0" w:color="auto"/>
              <w:right w:val="single" w:sz="4" w:space="0" w:color="auto"/>
            </w:tcBorders>
            <w:shd w:val="clear" w:color="auto" w:fill="auto"/>
            <w:noWrap/>
            <w:vAlign w:val="bottom"/>
            <w:hideMark/>
          </w:tcPr>
          <w:p w14:paraId="5CF2BF7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32.9 </w:t>
            </w:r>
          </w:p>
        </w:tc>
        <w:tc>
          <w:tcPr>
            <w:tcW w:w="895" w:type="dxa"/>
            <w:tcBorders>
              <w:top w:val="nil"/>
              <w:left w:val="nil"/>
              <w:bottom w:val="single" w:sz="4" w:space="0" w:color="auto"/>
              <w:right w:val="single" w:sz="4" w:space="0" w:color="auto"/>
            </w:tcBorders>
            <w:shd w:val="clear" w:color="auto" w:fill="auto"/>
            <w:noWrap/>
            <w:vAlign w:val="bottom"/>
            <w:hideMark/>
          </w:tcPr>
          <w:p w14:paraId="67A7F1A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31.4 </w:t>
            </w:r>
          </w:p>
        </w:tc>
        <w:tc>
          <w:tcPr>
            <w:tcW w:w="896" w:type="dxa"/>
            <w:tcBorders>
              <w:top w:val="nil"/>
              <w:left w:val="nil"/>
              <w:bottom w:val="single" w:sz="4" w:space="0" w:color="auto"/>
              <w:right w:val="single" w:sz="4" w:space="0" w:color="auto"/>
            </w:tcBorders>
            <w:shd w:val="clear" w:color="auto" w:fill="auto"/>
            <w:noWrap/>
            <w:vAlign w:val="bottom"/>
            <w:hideMark/>
          </w:tcPr>
          <w:p w14:paraId="30ED663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31.7 </w:t>
            </w:r>
          </w:p>
        </w:tc>
        <w:tc>
          <w:tcPr>
            <w:tcW w:w="895" w:type="dxa"/>
            <w:tcBorders>
              <w:top w:val="nil"/>
              <w:left w:val="nil"/>
              <w:bottom w:val="single" w:sz="4" w:space="0" w:color="auto"/>
              <w:right w:val="single" w:sz="4" w:space="0" w:color="auto"/>
            </w:tcBorders>
            <w:shd w:val="clear" w:color="auto" w:fill="auto"/>
            <w:noWrap/>
            <w:vAlign w:val="bottom"/>
            <w:hideMark/>
          </w:tcPr>
          <w:p w14:paraId="1E76EC5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31.1 </w:t>
            </w:r>
          </w:p>
        </w:tc>
        <w:tc>
          <w:tcPr>
            <w:tcW w:w="896" w:type="dxa"/>
            <w:tcBorders>
              <w:top w:val="nil"/>
              <w:left w:val="nil"/>
              <w:bottom w:val="single" w:sz="4" w:space="0" w:color="auto"/>
              <w:right w:val="single" w:sz="4" w:space="0" w:color="auto"/>
            </w:tcBorders>
            <w:shd w:val="clear" w:color="auto" w:fill="auto"/>
            <w:noWrap/>
            <w:vAlign w:val="bottom"/>
            <w:hideMark/>
          </w:tcPr>
          <w:p w14:paraId="5355FE2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30.1 </w:t>
            </w:r>
          </w:p>
        </w:tc>
      </w:tr>
      <w:tr w:rsidR="00240506" w:rsidRPr="00650EE4" w14:paraId="5F1F628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7EBD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Serbija</w:t>
            </w:r>
          </w:p>
        </w:tc>
        <w:tc>
          <w:tcPr>
            <w:tcW w:w="895" w:type="dxa"/>
            <w:tcBorders>
              <w:top w:val="nil"/>
              <w:left w:val="nil"/>
              <w:bottom w:val="single" w:sz="4" w:space="0" w:color="auto"/>
              <w:right w:val="single" w:sz="4" w:space="0" w:color="auto"/>
            </w:tcBorders>
            <w:shd w:val="clear" w:color="auto" w:fill="auto"/>
            <w:noWrap/>
            <w:vAlign w:val="bottom"/>
            <w:hideMark/>
          </w:tcPr>
          <w:p w14:paraId="672C691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5" w:type="dxa"/>
            <w:tcBorders>
              <w:top w:val="nil"/>
              <w:left w:val="nil"/>
              <w:bottom w:val="single" w:sz="4" w:space="0" w:color="auto"/>
              <w:right w:val="single" w:sz="4" w:space="0" w:color="auto"/>
            </w:tcBorders>
            <w:shd w:val="clear" w:color="auto" w:fill="auto"/>
            <w:noWrap/>
            <w:vAlign w:val="bottom"/>
            <w:hideMark/>
          </w:tcPr>
          <w:p w14:paraId="2DC9BB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6" w:type="dxa"/>
            <w:tcBorders>
              <w:top w:val="nil"/>
              <w:left w:val="nil"/>
              <w:bottom w:val="single" w:sz="4" w:space="0" w:color="auto"/>
              <w:right w:val="single" w:sz="4" w:space="0" w:color="auto"/>
            </w:tcBorders>
            <w:shd w:val="clear" w:color="auto" w:fill="auto"/>
            <w:noWrap/>
            <w:vAlign w:val="bottom"/>
            <w:hideMark/>
          </w:tcPr>
          <w:p w14:paraId="2F1EA34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w:t>
            </w:r>
          </w:p>
        </w:tc>
        <w:tc>
          <w:tcPr>
            <w:tcW w:w="895" w:type="dxa"/>
            <w:tcBorders>
              <w:top w:val="nil"/>
              <w:left w:val="nil"/>
              <w:bottom w:val="single" w:sz="4" w:space="0" w:color="auto"/>
              <w:right w:val="single" w:sz="4" w:space="0" w:color="auto"/>
            </w:tcBorders>
            <w:shd w:val="clear" w:color="auto" w:fill="auto"/>
            <w:noWrap/>
            <w:vAlign w:val="bottom"/>
            <w:hideMark/>
          </w:tcPr>
          <w:p w14:paraId="456AFD9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36.7 </w:t>
            </w:r>
          </w:p>
        </w:tc>
        <w:tc>
          <w:tcPr>
            <w:tcW w:w="896" w:type="dxa"/>
            <w:tcBorders>
              <w:top w:val="nil"/>
              <w:left w:val="nil"/>
              <w:bottom w:val="single" w:sz="4" w:space="0" w:color="auto"/>
              <w:right w:val="single" w:sz="4" w:space="0" w:color="auto"/>
            </w:tcBorders>
            <w:shd w:val="clear" w:color="auto" w:fill="auto"/>
            <w:noWrap/>
            <w:vAlign w:val="bottom"/>
            <w:hideMark/>
          </w:tcPr>
          <w:p w14:paraId="34903E9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41.4 </w:t>
            </w:r>
          </w:p>
        </w:tc>
        <w:tc>
          <w:tcPr>
            <w:tcW w:w="895" w:type="dxa"/>
            <w:tcBorders>
              <w:top w:val="nil"/>
              <w:left w:val="nil"/>
              <w:bottom w:val="single" w:sz="4" w:space="0" w:color="auto"/>
              <w:right w:val="single" w:sz="4" w:space="0" w:color="auto"/>
            </w:tcBorders>
            <w:shd w:val="clear" w:color="auto" w:fill="auto"/>
            <w:noWrap/>
            <w:vAlign w:val="bottom"/>
            <w:hideMark/>
          </w:tcPr>
          <w:p w14:paraId="1CBCDB9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34.8 </w:t>
            </w:r>
          </w:p>
        </w:tc>
        <w:tc>
          <w:tcPr>
            <w:tcW w:w="896" w:type="dxa"/>
            <w:tcBorders>
              <w:top w:val="nil"/>
              <w:left w:val="nil"/>
              <w:bottom w:val="single" w:sz="4" w:space="0" w:color="auto"/>
              <w:right w:val="single" w:sz="4" w:space="0" w:color="auto"/>
            </w:tcBorders>
            <w:shd w:val="clear" w:color="auto" w:fill="auto"/>
            <w:noWrap/>
            <w:vAlign w:val="bottom"/>
            <w:hideMark/>
          </w:tcPr>
          <w:p w14:paraId="144078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34.8 </w:t>
            </w:r>
          </w:p>
        </w:tc>
        <w:tc>
          <w:tcPr>
            <w:tcW w:w="895" w:type="dxa"/>
            <w:tcBorders>
              <w:top w:val="nil"/>
              <w:left w:val="nil"/>
              <w:bottom w:val="single" w:sz="4" w:space="0" w:color="auto"/>
              <w:right w:val="single" w:sz="4" w:space="0" w:color="auto"/>
            </w:tcBorders>
            <w:shd w:val="clear" w:color="auto" w:fill="auto"/>
            <w:noWrap/>
            <w:vAlign w:val="bottom"/>
            <w:hideMark/>
          </w:tcPr>
          <w:p w14:paraId="08525E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18.1 </w:t>
            </w:r>
          </w:p>
        </w:tc>
        <w:tc>
          <w:tcPr>
            <w:tcW w:w="896" w:type="dxa"/>
            <w:tcBorders>
              <w:top w:val="nil"/>
              <w:left w:val="nil"/>
              <w:bottom w:val="single" w:sz="4" w:space="0" w:color="auto"/>
              <w:right w:val="single" w:sz="4" w:space="0" w:color="auto"/>
            </w:tcBorders>
            <w:shd w:val="clear" w:color="auto" w:fill="auto"/>
            <w:noWrap/>
            <w:vAlign w:val="bottom"/>
            <w:hideMark/>
          </w:tcPr>
          <w:p w14:paraId="5AFAB5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28.4 </w:t>
            </w:r>
          </w:p>
        </w:tc>
      </w:tr>
      <w:tr w:rsidR="00240506" w:rsidRPr="00650EE4" w14:paraId="3DF7C24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12E7C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Kroatija</w:t>
            </w:r>
          </w:p>
        </w:tc>
        <w:tc>
          <w:tcPr>
            <w:tcW w:w="895" w:type="dxa"/>
            <w:tcBorders>
              <w:top w:val="nil"/>
              <w:left w:val="nil"/>
              <w:bottom w:val="single" w:sz="4" w:space="0" w:color="auto"/>
              <w:right w:val="single" w:sz="4" w:space="0" w:color="auto"/>
            </w:tcBorders>
            <w:shd w:val="clear" w:color="auto" w:fill="auto"/>
            <w:noWrap/>
            <w:vAlign w:val="bottom"/>
            <w:hideMark/>
          </w:tcPr>
          <w:p w14:paraId="3A535D6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28.0 </w:t>
            </w:r>
          </w:p>
        </w:tc>
        <w:tc>
          <w:tcPr>
            <w:tcW w:w="895" w:type="dxa"/>
            <w:tcBorders>
              <w:top w:val="nil"/>
              <w:left w:val="nil"/>
              <w:bottom w:val="single" w:sz="4" w:space="0" w:color="auto"/>
              <w:right w:val="single" w:sz="4" w:space="0" w:color="auto"/>
            </w:tcBorders>
            <w:shd w:val="clear" w:color="auto" w:fill="auto"/>
            <w:noWrap/>
            <w:vAlign w:val="bottom"/>
            <w:hideMark/>
          </w:tcPr>
          <w:p w14:paraId="2B32AED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27.5 </w:t>
            </w:r>
          </w:p>
        </w:tc>
        <w:tc>
          <w:tcPr>
            <w:tcW w:w="896" w:type="dxa"/>
            <w:tcBorders>
              <w:top w:val="nil"/>
              <w:left w:val="nil"/>
              <w:bottom w:val="single" w:sz="4" w:space="0" w:color="auto"/>
              <w:right w:val="single" w:sz="4" w:space="0" w:color="auto"/>
            </w:tcBorders>
            <w:shd w:val="clear" w:color="auto" w:fill="auto"/>
            <w:noWrap/>
            <w:vAlign w:val="bottom"/>
            <w:hideMark/>
          </w:tcPr>
          <w:p w14:paraId="5269CB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28.9 </w:t>
            </w:r>
          </w:p>
        </w:tc>
        <w:tc>
          <w:tcPr>
            <w:tcW w:w="895" w:type="dxa"/>
            <w:tcBorders>
              <w:top w:val="nil"/>
              <w:left w:val="nil"/>
              <w:bottom w:val="single" w:sz="4" w:space="0" w:color="auto"/>
              <w:right w:val="single" w:sz="4" w:space="0" w:color="auto"/>
            </w:tcBorders>
            <w:shd w:val="clear" w:color="auto" w:fill="auto"/>
            <w:noWrap/>
            <w:vAlign w:val="bottom"/>
            <w:hideMark/>
          </w:tcPr>
          <w:p w14:paraId="3FA7B7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30.4 </w:t>
            </w:r>
          </w:p>
        </w:tc>
        <w:tc>
          <w:tcPr>
            <w:tcW w:w="896" w:type="dxa"/>
            <w:tcBorders>
              <w:top w:val="nil"/>
              <w:left w:val="nil"/>
              <w:bottom w:val="single" w:sz="4" w:space="0" w:color="auto"/>
              <w:right w:val="single" w:sz="4" w:space="0" w:color="auto"/>
            </w:tcBorders>
            <w:shd w:val="clear" w:color="auto" w:fill="auto"/>
            <w:noWrap/>
            <w:vAlign w:val="bottom"/>
            <w:hideMark/>
          </w:tcPr>
          <w:p w14:paraId="204269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29.1 </w:t>
            </w:r>
          </w:p>
        </w:tc>
        <w:tc>
          <w:tcPr>
            <w:tcW w:w="895" w:type="dxa"/>
            <w:tcBorders>
              <w:top w:val="nil"/>
              <w:left w:val="nil"/>
              <w:bottom w:val="single" w:sz="4" w:space="0" w:color="auto"/>
              <w:right w:val="single" w:sz="4" w:space="0" w:color="auto"/>
            </w:tcBorders>
            <w:shd w:val="clear" w:color="auto" w:fill="auto"/>
            <w:noWrap/>
            <w:vAlign w:val="bottom"/>
            <w:hideMark/>
          </w:tcPr>
          <w:p w14:paraId="2EE261E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28.7 </w:t>
            </w:r>
          </w:p>
        </w:tc>
        <w:tc>
          <w:tcPr>
            <w:tcW w:w="896" w:type="dxa"/>
            <w:tcBorders>
              <w:top w:val="nil"/>
              <w:left w:val="nil"/>
              <w:bottom w:val="single" w:sz="4" w:space="0" w:color="auto"/>
              <w:right w:val="single" w:sz="4" w:space="0" w:color="auto"/>
            </w:tcBorders>
            <w:shd w:val="clear" w:color="auto" w:fill="auto"/>
            <w:noWrap/>
            <w:vAlign w:val="bottom"/>
            <w:hideMark/>
          </w:tcPr>
          <w:p w14:paraId="3DD383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25.3 </w:t>
            </w:r>
          </w:p>
        </w:tc>
        <w:tc>
          <w:tcPr>
            <w:tcW w:w="895" w:type="dxa"/>
            <w:tcBorders>
              <w:top w:val="nil"/>
              <w:left w:val="nil"/>
              <w:bottom w:val="single" w:sz="4" w:space="0" w:color="auto"/>
              <w:right w:val="single" w:sz="4" w:space="0" w:color="auto"/>
            </w:tcBorders>
            <w:shd w:val="clear" w:color="auto" w:fill="auto"/>
            <w:noWrap/>
            <w:vAlign w:val="bottom"/>
            <w:hideMark/>
          </w:tcPr>
          <w:p w14:paraId="765F63B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21.0 </w:t>
            </w:r>
          </w:p>
        </w:tc>
        <w:tc>
          <w:tcPr>
            <w:tcW w:w="896" w:type="dxa"/>
            <w:tcBorders>
              <w:top w:val="nil"/>
              <w:left w:val="nil"/>
              <w:bottom w:val="single" w:sz="4" w:space="0" w:color="auto"/>
              <w:right w:val="single" w:sz="4" w:space="0" w:color="auto"/>
            </w:tcBorders>
            <w:shd w:val="clear" w:color="auto" w:fill="auto"/>
            <w:noWrap/>
            <w:vAlign w:val="bottom"/>
            <w:hideMark/>
          </w:tcPr>
          <w:p w14:paraId="4481AD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17.5 </w:t>
            </w:r>
          </w:p>
        </w:tc>
      </w:tr>
      <w:tr w:rsidR="00240506" w:rsidRPr="00650EE4" w14:paraId="00E422F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4E563E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Rumunija</w:t>
            </w:r>
          </w:p>
        </w:tc>
        <w:tc>
          <w:tcPr>
            <w:tcW w:w="895" w:type="dxa"/>
            <w:tcBorders>
              <w:top w:val="nil"/>
              <w:left w:val="nil"/>
              <w:bottom w:val="single" w:sz="4" w:space="0" w:color="auto"/>
              <w:right w:val="single" w:sz="4" w:space="0" w:color="auto"/>
            </w:tcBorders>
            <w:shd w:val="clear" w:color="auto" w:fill="auto"/>
            <w:noWrap/>
            <w:vAlign w:val="bottom"/>
            <w:hideMark/>
          </w:tcPr>
          <w:p w14:paraId="4F3678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26.5 </w:t>
            </w:r>
          </w:p>
        </w:tc>
        <w:tc>
          <w:tcPr>
            <w:tcW w:w="895" w:type="dxa"/>
            <w:tcBorders>
              <w:top w:val="nil"/>
              <w:left w:val="nil"/>
              <w:bottom w:val="single" w:sz="4" w:space="0" w:color="auto"/>
              <w:right w:val="single" w:sz="4" w:space="0" w:color="auto"/>
            </w:tcBorders>
            <w:shd w:val="clear" w:color="auto" w:fill="auto"/>
            <w:noWrap/>
            <w:vAlign w:val="bottom"/>
            <w:hideMark/>
          </w:tcPr>
          <w:p w14:paraId="77BF491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27.3 </w:t>
            </w:r>
          </w:p>
        </w:tc>
        <w:tc>
          <w:tcPr>
            <w:tcW w:w="896" w:type="dxa"/>
            <w:tcBorders>
              <w:top w:val="nil"/>
              <w:left w:val="nil"/>
              <w:bottom w:val="single" w:sz="4" w:space="0" w:color="auto"/>
              <w:right w:val="single" w:sz="4" w:space="0" w:color="auto"/>
            </w:tcBorders>
            <w:shd w:val="clear" w:color="auto" w:fill="auto"/>
            <w:noWrap/>
            <w:vAlign w:val="bottom"/>
            <w:hideMark/>
          </w:tcPr>
          <w:p w14:paraId="006356C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29.7 </w:t>
            </w:r>
          </w:p>
        </w:tc>
        <w:tc>
          <w:tcPr>
            <w:tcW w:w="895" w:type="dxa"/>
            <w:tcBorders>
              <w:top w:val="nil"/>
              <w:left w:val="nil"/>
              <w:bottom w:val="single" w:sz="4" w:space="0" w:color="auto"/>
              <w:right w:val="single" w:sz="4" w:space="0" w:color="auto"/>
            </w:tcBorders>
            <w:shd w:val="clear" w:color="auto" w:fill="auto"/>
            <w:noWrap/>
            <w:vAlign w:val="bottom"/>
            <w:hideMark/>
          </w:tcPr>
          <w:p w14:paraId="7E04503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29.7 </w:t>
            </w:r>
          </w:p>
        </w:tc>
        <w:tc>
          <w:tcPr>
            <w:tcW w:w="896" w:type="dxa"/>
            <w:tcBorders>
              <w:top w:val="nil"/>
              <w:left w:val="nil"/>
              <w:bottom w:val="single" w:sz="4" w:space="0" w:color="auto"/>
              <w:right w:val="single" w:sz="4" w:space="0" w:color="auto"/>
            </w:tcBorders>
            <w:shd w:val="clear" w:color="auto" w:fill="auto"/>
            <w:noWrap/>
            <w:vAlign w:val="bottom"/>
            <w:hideMark/>
          </w:tcPr>
          <w:p w14:paraId="0686B5A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21.5 </w:t>
            </w:r>
          </w:p>
        </w:tc>
        <w:tc>
          <w:tcPr>
            <w:tcW w:w="895" w:type="dxa"/>
            <w:tcBorders>
              <w:top w:val="nil"/>
              <w:left w:val="nil"/>
              <w:bottom w:val="single" w:sz="4" w:space="0" w:color="auto"/>
              <w:right w:val="single" w:sz="4" w:space="0" w:color="auto"/>
            </w:tcBorders>
            <w:shd w:val="clear" w:color="auto" w:fill="auto"/>
            <w:noWrap/>
            <w:vAlign w:val="bottom"/>
            <w:hideMark/>
          </w:tcPr>
          <w:p w14:paraId="78F3EE8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17.4 </w:t>
            </w:r>
          </w:p>
        </w:tc>
        <w:tc>
          <w:tcPr>
            <w:tcW w:w="896" w:type="dxa"/>
            <w:tcBorders>
              <w:top w:val="nil"/>
              <w:left w:val="nil"/>
              <w:bottom w:val="single" w:sz="4" w:space="0" w:color="auto"/>
              <w:right w:val="single" w:sz="4" w:space="0" w:color="auto"/>
            </w:tcBorders>
            <w:shd w:val="clear" w:color="auto" w:fill="auto"/>
            <w:noWrap/>
            <w:vAlign w:val="bottom"/>
            <w:hideMark/>
          </w:tcPr>
          <w:p w14:paraId="4112C4F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18.0 </w:t>
            </w:r>
          </w:p>
        </w:tc>
        <w:tc>
          <w:tcPr>
            <w:tcW w:w="895" w:type="dxa"/>
            <w:tcBorders>
              <w:top w:val="nil"/>
              <w:left w:val="nil"/>
              <w:bottom w:val="single" w:sz="4" w:space="0" w:color="auto"/>
              <w:right w:val="single" w:sz="4" w:space="0" w:color="auto"/>
            </w:tcBorders>
            <w:shd w:val="clear" w:color="auto" w:fill="auto"/>
            <w:noWrap/>
            <w:vAlign w:val="bottom"/>
            <w:hideMark/>
          </w:tcPr>
          <w:p w14:paraId="081A8D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15.9 </w:t>
            </w:r>
          </w:p>
        </w:tc>
        <w:tc>
          <w:tcPr>
            <w:tcW w:w="896" w:type="dxa"/>
            <w:tcBorders>
              <w:top w:val="nil"/>
              <w:left w:val="nil"/>
              <w:bottom w:val="single" w:sz="4" w:space="0" w:color="auto"/>
              <w:right w:val="single" w:sz="4" w:space="0" w:color="auto"/>
            </w:tcBorders>
            <w:shd w:val="clear" w:color="auto" w:fill="auto"/>
            <w:noWrap/>
            <w:vAlign w:val="bottom"/>
            <w:hideMark/>
          </w:tcPr>
          <w:p w14:paraId="7DBAC3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14.4 </w:t>
            </w:r>
          </w:p>
        </w:tc>
      </w:tr>
      <w:tr w:rsidR="00240506" w:rsidRPr="00650EE4" w14:paraId="7B8F4734"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1D3E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Slovėnija</w:t>
            </w:r>
          </w:p>
        </w:tc>
        <w:tc>
          <w:tcPr>
            <w:tcW w:w="895" w:type="dxa"/>
            <w:tcBorders>
              <w:top w:val="nil"/>
              <w:left w:val="nil"/>
              <w:bottom w:val="single" w:sz="4" w:space="0" w:color="auto"/>
              <w:right w:val="single" w:sz="4" w:space="0" w:color="auto"/>
            </w:tcBorders>
            <w:shd w:val="clear" w:color="auto" w:fill="auto"/>
            <w:noWrap/>
            <w:vAlign w:val="bottom"/>
            <w:hideMark/>
          </w:tcPr>
          <w:p w14:paraId="3BF99B5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18.0 </w:t>
            </w:r>
          </w:p>
        </w:tc>
        <w:tc>
          <w:tcPr>
            <w:tcW w:w="895" w:type="dxa"/>
            <w:tcBorders>
              <w:top w:val="nil"/>
              <w:left w:val="nil"/>
              <w:bottom w:val="single" w:sz="4" w:space="0" w:color="auto"/>
              <w:right w:val="single" w:sz="4" w:space="0" w:color="auto"/>
            </w:tcBorders>
            <w:shd w:val="clear" w:color="auto" w:fill="auto"/>
            <w:noWrap/>
            <w:vAlign w:val="bottom"/>
            <w:hideMark/>
          </w:tcPr>
          <w:p w14:paraId="71C8EB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17.3 </w:t>
            </w:r>
          </w:p>
        </w:tc>
        <w:tc>
          <w:tcPr>
            <w:tcW w:w="896" w:type="dxa"/>
            <w:tcBorders>
              <w:top w:val="nil"/>
              <w:left w:val="nil"/>
              <w:bottom w:val="single" w:sz="4" w:space="0" w:color="auto"/>
              <w:right w:val="single" w:sz="4" w:space="0" w:color="auto"/>
            </w:tcBorders>
            <w:shd w:val="clear" w:color="auto" w:fill="auto"/>
            <w:noWrap/>
            <w:vAlign w:val="bottom"/>
            <w:hideMark/>
          </w:tcPr>
          <w:p w14:paraId="43F36C1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19.3 </w:t>
            </w:r>
          </w:p>
        </w:tc>
        <w:tc>
          <w:tcPr>
            <w:tcW w:w="895" w:type="dxa"/>
            <w:tcBorders>
              <w:top w:val="nil"/>
              <w:left w:val="nil"/>
              <w:bottom w:val="single" w:sz="4" w:space="0" w:color="auto"/>
              <w:right w:val="single" w:sz="4" w:space="0" w:color="auto"/>
            </w:tcBorders>
            <w:shd w:val="clear" w:color="auto" w:fill="auto"/>
            <w:noWrap/>
            <w:vAlign w:val="bottom"/>
            <w:hideMark/>
          </w:tcPr>
          <w:p w14:paraId="6C85F4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19.7 </w:t>
            </w:r>
          </w:p>
        </w:tc>
        <w:tc>
          <w:tcPr>
            <w:tcW w:w="896" w:type="dxa"/>
            <w:tcBorders>
              <w:top w:val="nil"/>
              <w:left w:val="nil"/>
              <w:bottom w:val="single" w:sz="4" w:space="0" w:color="auto"/>
              <w:right w:val="single" w:sz="4" w:space="0" w:color="auto"/>
            </w:tcBorders>
            <w:shd w:val="clear" w:color="auto" w:fill="auto"/>
            <w:noWrap/>
            <w:vAlign w:val="bottom"/>
            <w:hideMark/>
          </w:tcPr>
          <w:p w14:paraId="69FF36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20.3 </w:t>
            </w:r>
          </w:p>
        </w:tc>
        <w:tc>
          <w:tcPr>
            <w:tcW w:w="895" w:type="dxa"/>
            <w:tcBorders>
              <w:top w:val="nil"/>
              <w:left w:val="nil"/>
              <w:bottom w:val="single" w:sz="4" w:space="0" w:color="auto"/>
              <w:right w:val="single" w:sz="4" w:space="0" w:color="auto"/>
            </w:tcBorders>
            <w:shd w:val="clear" w:color="auto" w:fill="auto"/>
            <w:noWrap/>
            <w:vAlign w:val="bottom"/>
            <w:hideMark/>
          </w:tcPr>
          <w:p w14:paraId="7EE8B5E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17.5 </w:t>
            </w:r>
          </w:p>
        </w:tc>
        <w:tc>
          <w:tcPr>
            <w:tcW w:w="896" w:type="dxa"/>
            <w:tcBorders>
              <w:top w:val="nil"/>
              <w:left w:val="nil"/>
              <w:bottom w:val="single" w:sz="4" w:space="0" w:color="auto"/>
              <w:right w:val="single" w:sz="4" w:space="0" w:color="auto"/>
            </w:tcBorders>
            <w:shd w:val="clear" w:color="auto" w:fill="auto"/>
            <w:noWrap/>
            <w:vAlign w:val="bottom"/>
            <w:hideMark/>
          </w:tcPr>
          <w:p w14:paraId="4096E47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15.9 </w:t>
            </w:r>
          </w:p>
        </w:tc>
        <w:tc>
          <w:tcPr>
            <w:tcW w:w="895" w:type="dxa"/>
            <w:tcBorders>
              <w:top w:val="nil"/>
              <w:left w:val="nil"/>
              <w:bottom w:val="single" w:sz="4" w:space="0" w:color="auto"/>
              <w:right w:val="single" w:sz="4" w:space="0" w:color="auto"/>
            </w:tcBorders>
            <w:shd w:val="clear" w:color="auto" w:fill="auto"/>
            <w:noWrap/>
            <w:vAlign w:val="bottom"/>
            <w:hideMark/>
          </w:tcPr>
          <w:p w14:paraId="77C76D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14.3 </w:t>
            </w:r>
          </w:p>
        </w:tc>
        <w:tc>
          <w:tcPr>
            <w:tcW w:w="896" w:type="dxa"/>
            <w:tcBorders>
              <w:top w:val="nil"/>
              <w:left w:val="nil"/>
              <w:bottom w:val="single" w:sz="4" w:space="0" w:color="auto"/>
              <w:right w:val="single" w:sz="4" w:space="0" w:color="auto"/>
            </w:tcBorders>
            <w:shd w:val="clear" w:color="auto" w:fill="auto"/>
            <w:noWrap/>
            <w:vAlign w:val="bottom"/>
            <w:hideMark/>
          </w:tcPr>
          <w:p w14:paraId="38CBBFF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12.5 </w:t>
            </w:r>
          </w:p>
        </w:tc>
      </w:tr>
      <w:tr w:rsidR="00240506" w:rsidRPr="00650EE4" w14:paraId="081E02B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2ABA11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Latvija</w:t>
            </w:r>
          </w:p>
        </w:tc>
        <w:tc>
          <w:tcPr>
            <w:tcW w:w="895" w:type="dxa"/>
            <w:tcBorders>
              <w:top w:val="nil"/>
              <w:left w:val="nil"/>
              <w:bottom w:val="single" w:sz="4" w:space="0" w:color="auto"/>
              <w:right w:val="single" w:sz="4" w:space="0" w:color="auto"/>
            </w:tcBorders>
            <w:shd w:val="clear" w:color="auto" w:fill="auto"/>
            <w:noWrap/>
            <w:vAlign w:val="bottom"/>
            <w:hideMark/>
          </w:tcPr>
          <w:p w14:paraId="4D50758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22.5 </w:t>
            </w:r>
          </w:p>
        </w:tc>
        <w:tc>
          <w:tcPr>
            <w:tcW w:w="895" w:type="dxa"/>
            <w:tcBorders>
              <w:top w:val="nil"/>
              <w:left w:val="nil"/>
              <w:bottom w:val="single" w:sz="4" w:space="0" w:color="auto"/>
              <w:right w:val="single" w:sz="4" w:space="0" w:color="auto"/>
            </w:tcBorders>
            <w:shd w:val="clear" w:color="auto" w:fill="auto"/>
            <w:noWrap/>
            <w:vAlign w:val="bottom"/>
            <w:hideMark/>
          </w:tcPr>
          <w:p w14:paraId="22B9AB6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23.4 </w:t>
            </w:r>
          </w:p>
        </w:tc>
        <w:tc>
          <w:tcPr>
            <w:tcW w:w="896" w:type="dxa"/>
            <w:tcBorders>
              <w:top w:val="nil"/>
              <w:left w:val="nil"/>
              <w:bottom w:val="single" w:sz="4" w:space="0" w:color="auto"/>
              <w:right w:val="single" w:sz="4" w:space="0" w:color="auto"/>
            </w:tcBorders>
            <w:shd w:val="clear" w:color="auto" w:fill="auto"/>
            <w:noWrap/>
            <w:vAlign w:val="bottom"/>
            <w:hideMark/>
          </w:tcPr>
          <w:p w14:paraId="47F0CB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22.4 </w:t>
            </w:r>
          </w:p>
        </w:tc>
        <w:tc>
          <w:tcPr>
            <w:tcW w:w="895" w:type="dxa"/>
            <w:tcBorders>
              <w:top w:val="nil"/>
              <w:left w:val="nil"/>
              <w:bottom w:val="single" w:sz="4" w:space="0" w:color="auto"/>
              <w:right w:val="single" w:sz="4" w:space="0" w:color="auto"/>
            </w:tcBorders>
            <w:shd w:val="clear" w:color="auto" w:fill="auto"/>
            <w:noWrap/>
            <w:vAlign w:val="bottom"/>
            <w:hideMark/>
          </w:tcPr>
          <w:p w14:paraId="7BC1CB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20.7 </w:t>
            </w:r>
          </w:p>
        </w:tc>
        <w:tc>
          <w:tcPr>
            <w:tcW w:w="896" w:type="dxa"/>
            <w:tcBorders>
              <w:top w:val="nil"/>
              <w:left w:val="nil"/>
              <w:bottom w:val="single" w:sz="4" w:space="0" w:color="auto"/>
              <w:right w:val="single" w:sz="4" w:space="0" w:color="auto"/>
            </w:tcBorders>
            <w:shd w:val="clear" w:color="auto" w:fill="auto"/>
            <w:noWrap/>
            <w:vAlign w:val="bottom"/>
            <w:hideMark/>
          </w:tcPr>
          <w:p w14:paraId="54B9A33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19.6 </w:t>
            </w:r>
          </w:p>
        </w:tc>
        <w:tc>
          <w:tcPr>
            <w:tcW w:w="895" w:type="dxa"/>
            <w:tcBorders>
              <w:top w:val="nil"/>
              <w:left w:val="nil"/>
              <w:bottom w:val="single" w:sz="4" w:space="0" w:color="auto"/>
              <w:right w:val="single" w:sz="4" w:space="0" w:color="auto"/>
            </w:tcBorders>
            <w:shd w:val="clear" w:color="auto" w:fill="auto"/>
            <w:noWrap/>
            <w:vAlign w:val="bottom"/>
            <w:hideMark/>
          </w:tcPr>
          <w:p w14:paraId="70B70D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16.7 </w:t>
            </w:r>
          </w:p>
        </w:tc>
        <w:tc>
          <w:tcPr>
            <w:tcW w:w="896" w:type="dxa"/>
            <w:tcBorders>
              <w:top w:val="nil"/>
              <w:left w:val="nil"/>
              <w:bottom w:val="single" w:sz="4" w:space="0" w:color="auto"/>
              <w:right w:val="single" w:sz="4" w:space="0" w:color="auto"/>
            </w:tcBorders>
            <w:shd w:val="clear" w:color="auto" w:fill="auto"/>
            <w:noWrap/>
            <w:vAlign w:val="bottom"/>
            <w:hideMark/>
          </w:tcPr>
          <w:p w14:paraId="3981914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13.2 </w:t>
            </w:r>
          </w:p>
        </w:tc>
        <w:tc>
          <w:tcPr>
            <w:tcW w:w="895" w:type="dxa"/>
            <w:tcBorders>
              <w:top w:val="nil"/>
              <w:left w:val="nil"/>
              <w:bottom w:val="single" w:sz="4" w:space="0" w:color="auto"/>
              <w:right w:val="single" w:sz="4" w:space="0" w:color="auto"/>
            </w:tcBorders>
            <w:shd w:val="clear" w:color="auto" w:fill="auto"/>
            <w:noWrap/>
            <w:vAlign w:val="bottom"/>
            <w:hideMark/>
          </w:tcPr>
          <w:p w14:paraId="3AAE21B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6" w:type="dxa"/>
            <w:tcBorders>
              <w:top w:val="nil"/>
              <w:left w:val="nil"/>
              <w:bottom w:val="single" w:sz="4" w:space="0" w:color="auto"/>
              <w:right w:val="single" w:sz="4" w:space="0" w:color="auto"/>
            </w:tcBorders>
            <w:shd w:val="clear" w:color="auto" w:fill="auto"/>
            <w:noWrap/>
            <w:vAlign w:val="bottom"/>
            <w:hideMark/>
          </w:tcPr>
          <w:p w14:paraId="454F23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11.6 </w:t>
            </w:r>
          </w:p>
        </w:tc>
      </w:tr>
      <w:tr w:rsidR="00240506" w:rsidRPr="00650EE4" w14:paraId="563D163A"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59D3C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Vengrija</w:t>
            </w:r>
          </w:p>
        </w:tc>
        <w:tc>
          <w:tcPr>
            <w:tcW w:w="895" w:type="dxa"/>
            <w:tcBorders>
              <w:top w:val="nil"/>
              <w:left w:val="nil"/>
              <w:bottom w:val="single" w:sz="4" w:space="0" w:color="auto"/>
              <w:right w:val="single" w:sz="4" w:space="0" w:color="auto"/>
            </w:tcBorders>
            <w:shd w:val="clear" w:color="auto" w:fill="auto"/>
            <w:noWrap/>
            <w:vAlign w:val="bottom"/>
            <w:hideMark/>
          </w:tcPr>
          <w:p w14:paraId="4B1E823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22.1 </w:t>
            </w:r>
          </w:p>
        </w:tc>
        <w:tc>
          <w:tcPr>
            <w:tcW w:w="895" w:type="dxa"/>
            <w:tcBorders>
              <w:top w:val="nil"/>
              <w:left w:val="nil"/>
              <w:bottom w:val="single" w:sz="4" w:space="0" w:color="auto"/>
              <w:right w:val="single" w:sz="4" w:space="0" w:color="auto"/>
            </w:tcBorders>
            <w:shd w:val="clear" w:color="auto" w:fill="auto"/>
            <w:noWrap/>
            <w:vAlign w:val="bottom"/>
            <w:hideMark/>
          </w:tcPr>
          <w:p w14:paraId="6C753FC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22.7 </w:t>
            </w:r>
          </w:p>
        </w:tc>
        <w:tc>
          <w:tcPr>
            <w:tcW w:w="896" w:type="dxa"/>
            <w:tcBorders>
              <w:top w:val="nil"/>
              <w:left w:val="nil"/>
              <w:bottom w:val="single" w:sz="4" w:space="0" w:color="auto"/>
              <w:right w:val="single" w:sz="4" w:space="0" w:color="auto"/>
            </w:tcBorders>
            <w:shd w:val="clear" w:color="auto" w:fill="auto"/>
            <w:noWrap/>
            <w:vAlign w:val="bottom"/>
            <w:hideMark/>
          </w:tcPr>
          <w:p w14:paraId="691DC6E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24.4 </w:t>
            </w:r>
          </w:p>
        </w:tc>
        <w:tc>
          <w:tcPr>
            <w:tcW w:w="895" w:type="dxa"/>
            <w:tcBorders>
              <w:top w:val="nil"/>
              <w:left w:val="nil"/>
              <w:bottom w:val="single" w:sz="4" w:space="0" w:color="auto"/>
              <w:right w:val="single" w:sz="4" w:space="0" w:color="auto"/>
            </w:tcBorders>
            <w:shd w:val="clear" w:color="auto" w:fill="auto"/>
            <w:noWrap/>
            <w:vAlign w:val="bottom"/>
            <w:hideMark/>
          </w:tcPr>
          <w:p w14:paraId="3664A2E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25.0 </w:t>
            </w:r>
          </w:p>
        </w:tc>
        <w:tc>
          <w:tcPr>
            <w:tcW w:w="896" w:type="dxa"/>
            <w:tcBorders>
              <w:top w:val="nil"/>
              <w:left w:val="nil"/>
              <w:bottom w:val="single" w:sz="4" w:space="0" w:color="auto"/>
              <w:right w:val="single" w:sz="4" w:space="0" w:color="auto"/>
            </w:tcBorders>
            <w:shd w:val="clear" w:color="auto" w:fill="auto"/>
            <w:noWrap/>
            <w:vAlign w:val="bottom"/>
            <w:hideMark/>
          </w:tcPr>
          <w:p w14:paraId="4DCA2B9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22.3 </w:t>
            </w:r>
          </w:p>
        </w:tc>
        <w:tc>
          <w:tcPr>
            <w:tcW w:w="895" w:type="dxa"/>
            <w:tcBorders>
              <w:top w:val="nil"/>
              <w:left w:val="nil"/>
              <w:bottom w:val="single" w:sz="4" w:space="0" w:color="auto"/>
              <w:right w:val="single" w:sz="4" w:space="0" w:color="auto"/>
            </w:tcBorders>
            <w:shd w:val="clear" w:color="auto" w:fill="auto"/>
            <w:noWrap/>
            <w:vAlign w:val="bottom"/>
            <w:hideMark/>
          </w:tcPr>
          <w:p w14:paraId="5FF832F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19.4 </w:t>
            </w:r>
          </w:p>
        </w:tc>
        <w:tc>
          <w:tcPr>
            <w:tcW w:w="896" w:type="dxa"/>
            <w:tcBorders>
              <w:top w:val="nil"/>
              <w:left w:val="nil"/>
              <w:bottom w:val="single" w:sz="4" w:space="0" w:color="auto"/>
              <w:right w:val="single" w:sz="4" w:space="0" w:color="auto"/>
            </w:tcBorders>
            <w:shd w:val="clear" w:color="auto" w:fill="auto"/>
            <w:noWrap/>
            <w:vAlign w:val="bottom"/>
            <w:hideMark/>
          </w:tcPr>
          <w:p w14:paraId="4FC86DD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16.2 </w:t>
            </w:r>
          </w:p>
        </w:tc>
        <w:tc>
          <w:tcPr>
            <w:tcW w:w="895" w:type="dxa"/>
            <w:tcBorders>
              <w:top w:val="nil"/>
              <w:left w:val="nil"/>
              <w:bottom w:val="single" w:sz="4" w:space="0" w:color="auto"/>
              <w:right w:val="single" w:sz="4" w:space="0" w:color="auto"/>
            </w:tcBorders>
            <w:shd w:val="clear" w:color="auto" w:fill="auto"/>
            <w:noWrap/>
            <w:vAlign w:val="bottom"/>
            <w:hideMark/>
          </w:tcPr>
          <w:p w14:paraId="572AED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13.9 </w:t>
            </w:r>
          </w:p>
        </w:tc>
        <w:tc>
          <w:tcPr>
            <w:tcW w:w="896" w:type="dxa"/>
            <w:tcBorders>
              <w:top w:val="nil"/>
              <w:left w:val="nil"/>
              <w:bottom w:val="single" w:sz="4" w:space="0" w:color="auto"/>
              <w:right w:val="single" w:sz="4" w:space="0" w:color="auto"/>
            </w:tcBorders>
            <w:shd w:val="clear" w:color="auto" w:fill="auto"/>
            <w:noWrap/>
            <w:vAlign w:val="bottom"/>
            <w:hideMark/>
          </w:tcPr>
          <w:p w14:paraId="24D9E54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11.1 </w:t>
            </w:r>
          </w:p>
        </w:tc>
      </w:tr>
      <w:tr w:rsidR="00240506" w:rsidRPr="00650EE4" w14:paraId="2C09988C" w14:textId="77777777" w:rsidTr="00530F05">
        <w:tc>
          <w:tcPr>
            <w:tcW w:w="1980" w:type="dxa"/>
            <w:tcBorders>
              <w:top w:val="nil"/>
              <w:left w:val="single" w:sz="4" w:space="0" w:color="auto"/>
              <w:bottom w:val="single" w:sz="4" w:space="0" w:color="auto"/>
              <w:right w:val="single" w:sz="4" w:space="0" w:color="auto"/>
            </w:tcBorders>
            <w:shd w:val="clear" w:color="000000" w:fill="BFBFBF"/>
            <w:noWrap/>
            <w:vAlign w:val="bottom"/>
            <w:hideMark/>
          </w:tcPr>
          <w:p w14:paraId="008A959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Lietuva</w:t>
            </w:r>
          </w:p>
        </w:tc>
        <w:tc>
          <w:tcPr>
            <w:tcW w:w="895" w:type="dxa"/>
            <w:tcBorders>
              <w:top w:val="nil"/>
              <w:left w:val="nil"/>
              <w:bottom w:val="single" w:sz="4" w:space="0" w:color="auto"/>
              <w:right w:val="single" w:sz="4" w:space="0" w:color="auto"/>
            </w:tcBorders>
            <w:shd w:val="clear" w:color="000000" w:fill="BFBFBF"/>
            <w:noWrap/>
            <w:vAlign w:val="bottom"/>
            <w:hideMark/>
          </w:tcPr>
          <w:p w14:paraId="5F98EE7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10.9 </w:t>
            </w:r>
          </w:p>
        </w:tc>
        <w:tc>
          <w:tcPr>
            <w:tcW w:w="895" w:type="dxa"/>
            <w:tcBorders>
              <w:top w:val="nil"/>
              <w:left w:val="nil"/>
              <w:bottom w:val="single" w:sz="4" w:space="0" w:color="auto"/>
              <w:right w:val="single" w:sz="4" w:space="0" w:color="auto"/>
            </w:tcBorders>
            <w:shd w:val="clear" w:color="000000" w:fill="BFBFBF"/>
            <w:noWrap/>
            <w:vAlign w:val="bottom"/>
            <w:hideMark/>
          </w:tcPr>
          <w:p w14:paraId="0900F85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11.8 </w:t>
            </w:r>
          </w:p>
        </w:tc>
        <w:tc>
          <w:tcPr>
            <w:tcW w:w="896" w:type="dxa"/>
            <w:tcBorders>
              <w:top w:val="nil"/>
              <w:left w:val="nil"/>
              <w:bottom w:val="single" w:sz="4" w:space="0" w:color="auto"/>
              <w:right w:val="single" w:sz="4" w:space="0" w:color="auto"/>
            </w:tcBorders>
            <w:shd w:val="clear" w:color="000000" w:fill="BFBFBF"/>
            <w:noWrap/>
            <w:vAlign w:val="bottom"/>
            <w:hideMark/>
          </w:tcPr>
          <w:p w14:paraId="0543EDE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5" w:type="dxa"/>
            <w:tcBorders>
              <w:top w:val="nil"/>
              <w:left w:val="nil"/>
              <w:bottom w:val="single" w:sz="4" w:space="0" w:color="auto"/>
              <w:right w:val="single" w:sz="4" w:space="0" w:color="auto"/>
            </w:tcBorders>
            <w:shd w:val="clear" w:color="000000" w:fill="BFBFBF"/>
            <w:noWrap/>
            <w:vAlign w:val="bottom"/>
            <w:hideMark/>
          </w:tcPr>
          <w:p w14:paraId="1A09CD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13.2 </w:t>
            </w:r>
          </w:p>
        </w:tc>
        <w:tc>
          <w:tcPr>
            <w:tcW w:w="896" w:type="dxa"/>
            <w:tcBorders>
              <w:top w:val="nil"/>
              <w:left w:val="nil"/>
              <w:bottom w:val="single" w:sz="4" w:space="0" w:color="auto"/>
              <w:right w:val="single" w:sz="4" w:space="0" w:color="auto"/>
            </w:tcBorders>
            <w:shd w:val="clear" w:color="000000" w:fill="BFBFBF"/>
            <w:noWrap/>
            <w:vAlign w:val="bottom"/>
            <w:hideMark/>
          </w:tcPr>
          <w:p w14:paraId="051D452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10.4 </w:t>
            </w:r>
          </w:p>
        </w:tc>
        <w:tc>
          <w:tcPr>
            <w:tcW w:w="895" w:type="dxa"/>
            <w:tcBorders>
              <w:top w:val="nil"/>
              <w:left w:val="nil"/>
              <w:bottom w:val="single" w:sz="4" w:space="0" w:color="auto"/>
              <w:right w:val="single" w:sz="4" w:space="0" w:color="auto"/>
            </w:tcBorders>
            <w:shd w:val="clear" w:color="000000" w:fill="BFBFBF"/>
            <w:noWrap/>
            <w:vAlign w:val="bottom"/>
            <w:hideMark/>
          </w:tcPr>
          <w:p w14:paraId="4EF3802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8.4 </w:t>
            </w:r>
          </w:p>
        </w:tc>
        <w:tc>
          <w:tcPr>
            <w:tcW w:w="896" w:type="dxa"/>
            <w:tcBorders>
              <w:top w:val="nil"/>
              <w:left w:val="nil"/>
              <w:bottom w:val="single" w:sz="4" w:space="0" w:color="auto"/>
              <w:right w:val="single" w:sz="4" w:space="0" w:color="auto"/>
            </w:tcBorders>
            <w:shd w:val="clear" w:color="000000" w:fill="BFBFBF"/>
            <w:noWrap/>
            <w:vAlign w:val="bottom"/>
            <w:hideMark/>
          </w:tcPr>
          <w:p w14:paraId="6E872EF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9.7 </w:t>
            </w:r>
          </w:p>
        </w:tc>
        <w:tc>
          <w:tcPr>
            <w:tcW w:w="895" w:type="dxa"/>
            <w:tcBorders>
              <w:top w:val="nil"/>
              <w:left w:val="nil"/>
              <w:bottom w:val="single" w:sz="4" w:space="0" w:color="auto"/>
              <w:right w:val="single" w:sz="4" w:space="0" w:color="auto"/>
            </w:tcBorders>
            <w:shd w:val="clear" w:color="000000" w:fill="BFBFBF"/>
            <w:noWrap/>
            <w:vAlign w:val="bottom"/>
            <w:hideMark/>
          </w:tcPr>
          <w:p w14:paraId="5322277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6" w:type="dxa"/>
            <w:tcBorders>
              <w:top w:val="nil"/>
              <w:left w:val="nil"/>
              <w:bottom w:val="single" w:sz="4" w:space="0" w:color="auto"/>
              <w:right w:val="single" w:sz="4" w:space="0" w:color="auto"/>
            </w:tcBorders>
            <w:shd w:val="clear" w:color="000000" w:fill="BFBFBF"/>
            <w:noWrap/>
            <w:vAlign w:val="bottom"/>
            <w:hideMark/>
          </w:tcPr>
          <w:p w14:paraId="60515A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r>
      <w:tr w:rsidR="00240506" w:rsidRPr="00650EE4" w14:paraId="693FDF1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72E079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Airija</w:t>
            </w:r>
          </w:p>
        </w:tc>
        <w:tc>
          <w:tcPr>
            <w:tcW w:w="895" w:type="dxa"/>
            <w:tcBorders>
              <w:top w:val="nil"/>
              <w:left w:val="nil"/>
              <w:bottom w:val="single" w:sz="4" w:space="0" w:color="auto"/>
              <w:right w:val="single" w:sz="4" w:space="0" w:color="auto"/>
            </w:tcBorders>
            <w:shd w:val="clear" w:color="auto" w:fill="auto"/>
            <w:noWrap/>
            <w:vAlign w:val="bottom"/>
            <w:hideMark/>
          </w:tcPr>
          <w:p w14:paraId="0BE689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5" w:type="dxa"/>
            <w:tcBorders>
              <w:top w:val="nil"/>
              <w:left w:val="nil"/>
              <w:bottom w:val="single" w:sz="4" w:space="0" w:color="auto"/>
              <w:right w:val="single" w:sz="4" w:space="0" w:color="auto"/>
            </w:tcBorders>
            <w:shd w:val="clear" w:color="auto" w:fill="auto"/>
            <w:noWrap/>
            <w:vAlign w:val="bottom"/>
            <w:hideMark/>
          </w:tcPr>
          <w:p w14:paraId="26358BD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14.8 </w:t>
            </w:r>
          </w:p>
        </w:tc>
        <w:tc>
          <w:tcPr>
            <w:tcW w:w="896" w:type="dxa"/>
            <w:tcBorders>
              <w:top w:val="nil"/>
              <w:left w:val="nil"/>
              <w:bottom w:val="single" w:sz="4" w:space="0" w:color="auto"/>
              <w:right w:val="single" w:sz="4" w:space="0" w:color="auto"/>
            </w:tcBorders>
            <w:shd w:val="clear" w:color="auto" w:fill="auto"/>
            <w:noWrap/>
            <w:vAlign w:val="bottom"/>
            <w:hideMark/>
          </w:tcPr>
          <w:p w14:paraId="6F43054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17.4 </w:t>
            </w:r>
          </w:p>
        </w:tc>
        <w:tc>
          <w:tcPr>
            <w:tcW w:w="895" w:type="dxa"/>
            <w:tcBorders>
              <w:top w:val="nil"/>
              <w:left w:val="nil"/>
              <w:bottom w:val="single" w:sz="4" w:space="0" w:color="auto"/>
              <w:right w:val="single" w:sz="4" w:space="0" w:color="auto"/>
            </w:tcBorders>
            <w:shd w:val="clear" w:color="auto" w:fill="auto"/>
            <w:noWrap/>
            <w:vAlign w:val="bottom"/>
            <w:hideMark/>
          </w:tcPr>
          <w:p w14:paraId="792F7CB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17.9 </w:t>
            </w:r>
          </w:p>
        </w:tc>
        <w:tc>
          <w:tcPr>
            <w:tcW w:w="896" w:type="dxa"/>
            <w:tcBorders>
              <w:top w:val="nil"/>
              <w:left w:val="nil"/>
              <w:bottom w:val="single" w:sz="4" w:space="0" w:color="auto"/>
              <w:right w:val="single" w:sz="4" w:space="0" w:color="auto"/>
            </w:tcBorders>
            <w:shd w:val="clear" w:color="auto" w:fill="auto"/>
            <w:noWrap/>
            <w:vAlign w:val="bottom"/>
            <w:hideMark/>
          </w:tcPr>
          <w:p w14:paraId="2DD1652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18.2 </w:t>
            </w:r>
          </w:p>
        </w:tc>
        <w:tc>
          <w:tcPr>
            <w:tcW w:w="895" w:type="dxa"/>
            <w:tcBorders>
              <w:top w:val="nil"/>
              <w:left w:val="nil"/>
              <w:bottom w:val="single" w:sz="4" w:space="0" w:color="auto"/>
              <w:right w:val="single" w:sz="4" w:space="0" w:color="auto"/>
            </w:tcBorders>
            <w:shd w:val="clear" w:color="auto" w:fill="auto"/>
            <w:noWrap/>
            <w:vAlign w:val="bottom"/>
            <w:hideMark/>
          </w:tcPr>
          <w:p w14:paraId="55228B2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15.2 </w:t>
            </w:r>
          </w:p>
        </w:tc>
        <w:tc>
          <w:tcPr>
            <w:tcW w:w="896" w:type="dxa"/>
            <w:tcBorders>
              <w:top w:val="nil"/>
              <w:left w:val="nil"/>
              <w:bottom w:val="single" w:sz="4" w:space="0" w:color="auto"/>
              <w:right w:val="single" w:sz="4" w:space="0" w:color="auto"/>
            </w:tcBorders>
            <w:shd w:val="clear" w:color="auto" w:fill="auto"/>
            <w:noWrap/>
            <w:vAlign w:val="bottom"/>
            <w:hideMark/>
          </w:tcPr>
          <w:p w14:paraId="2941D01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5" w:type="dxa"/>
            <w:tcBorders>
              <w:top w:val="nil"/>
              <w:left w:val="nil"/>
              <w:bottom w:val="single" w:sz="4" w:space="0" w:color="auto"/>
              <w:right w:val="single" w:sz="4" w:space="0" w:color="auto"/>
            </w:tcBorders>
            <w:shd w:val="clear" w:color="auto" w:fill="auto"/>
            <w:noWrap/>
            <w:vAlign w:val="bottom"/>
            <w:hideMark/>
          </w:tcPr>
          <w:p w14:paraId="5CD878D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9.9 </w:t>
            </w:r>
          </w:p>
        </w:tc>
        <w:tc>
          <w:tcPr>
            <w:tcW w:w="896" w:type="dxa"/>
            <w:tcBorders>
              <w:top w:val="nil"/>
              <w:left w:val="nil"/>
              <w:bottom w:val="single" w:sz="4" w:space="0" w:color="auto"/>
              <w:right w:val="single" w:sz="4" w:space="0" w:color="auto"/>
            </w:tcBorders>
            <w:shd w:val="clear" w:color="auto" w:fill="auto"/>
            <w:noWrap/>
            <w:vAlign w:val="bottom"/>
            <w:hideMark/>
          </w:tcPr>
          <w:p w14:paraId="77A0A7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8.6 </w:t>
            </w:r>
          </w:p>
        </w:tc>
      </w:tr>
      <w:tr w:rsidR="00240506" w:rsidRPr="00650EE4" w14:paraId="3FFA1EA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25F2BC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Slovakija</w:t>
            </w:r>
          </w:p>
        </w:tc>
        <w:tc>
          <w:tcPr>
            <w:tcW w:w="895" w:type="dxa"/>
            <w:tcBorders>
              <w:top w:val="nil"/>
              <w:left w:val="nil"/>
              <w:bottom w:val="single" w:sz="4" w:space="0" w:color="auto"/>
              <w:right w:val="single" w:sz="4" w:space="0" w:color="auto"/>
            </w:tcBorders>
            <w:shd w:val="clear" w:color="auto" w:fill="auto"/>
            <w:noWrap/>
            <w:vAlign w:val="bottom"/>
            <w:hideMark/>
          </w:tcPr>
          <w:p w14:paraId="281F861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9.6 </w:t>
            </w:r>
          </w:p>
        </w:tc>
        <w:tc>
          <w:tcPr>
            <w:tcW w:w="895" w:type="dxa"/>
            <w:tcBorders>
              <w:top w:val="nil"/>
              <w:left w:val="nil"/>
              <w:bottom w:val="single" w:sz="4" w:space="0" w:color="auto"/>
              <w:right w:val="single" w:sz="4" w:space="0" w:color="auto"/>
            </w:tcBorders>
            <w:shd w:val="clear" w:color="auto" w:fill="auto"/>
            <w:noWrap/>
            <w:vAlign w:val="bottom"/>
            <w:hideMark/>
          </w:tcPr>
          <w:p w14:paraId="5C68633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c>
          <w:tcPr>
            <w:tcW w:w="896" w:type="dxa"/>
            <w:tcBorders>
              <w:top w:val="nil"/>
              <w:left w:val="nil"/>
              <w:bottom w:val="single" w:sz="4" w:space="0" w:color="auto"/>
              <w:right w:val="single" w:sz="4" w:space="0" w:color="auto"/>
            </w:tcBorders>
            <w:shd w:val="clear" w:color="auto" w:fill="auto"/>
            <w:noWrap/>
            <w:vAlign w:val="bottom"/>
            <w:hideMark/>
          </w:tcPr>
          <w:p w14:paraId="2BB42C8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3A1CD2D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5.9 </w:t>
            </w:r>
          </w:p>
        </w:tc>
        <w:tc>
          <w:tcPr>
            <w:tcW w:w="896" w:type="dxa"/>
            <w:tcBorders>
              <w:top w:val="nil"/>
              <w:left w:val="nil"/>
              <w:bottom w:val="single" w:sz="4" w:space="0" w:color="auto"/>
              <w:right w:val="single" w:sz="4" w:space="0" w:color="auto"/>
            </w:tcBorders>
            <w:shd w:val="clear" w:color="auto" w:fill="auto"/>
            <w:noWrap/>
            <w:vAlign w:val="bottom"/>
            <w:hideMark/>
          </w:tcPr>
          <w:p w14:paraId="7ED16A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42FD2A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6" w:type="dxa"/>
            <w:tcBorders>
              <w:top w:val="nil"/>
              <w:left w:val="nil"/>
              <w:bottom w:val="single" w:sz="4" w:space="0" w:color="auto"/>
              <w:right w:val="single" w:sz="4" w:space="0" w:color="auto"/>
            </w:tcBorders>
            <w:shd w:val="clear" w:color="auto" w:fill="auto"/>
            <w:noWrap/>
            <w:vAlign w:val="bottom"/>
            <w:hideMark/>
          </w:tcPr>
          <w:p w14:paraId="0561B83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5" w:type="dxa"/>
            <w:tcBorders>
              <w:top w:val="nil"/>
              <w:left w:val="nil"/>
              <w:bottom w:val="single" w:sz="4" w:space="0" w:color="auto"/>
              <w:right w:val="single" w:sz="4" w:space="0" w:color="auto"/>
            </w:tcBorders>
            <w:shd w:val="clear" w:color="auto" w:fill="auto"/>
            <w:noWrap/>
            <w:vAlign w:val="bottom"/>
            <w:hideMark/>
          </w:tcPr>
          <w:p w14:paraId="10E44F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5.5 </w:t>
            </w:r>
          </w:p>
        </w:tc>
        <w:tc>
          <w:tcPr>
            <w:tcW w:w="896" w:type="dxa"/>
            <w:tcBorders>
              <w:top w:val="nil"/>
              <w:left w:val="nil"/>
              <w:bottom w:val="single" w:sz="4" w:space="0" w:color="auto"/>
              <w:right w:val="single" w:sz="4" w:space="0" w:color="auto"/>
            </w:tcBorders>
            <w:shd w:val="clear" w:color="auto" w:fill="auto"/>
            <w:noWrap/>
            <w:vAlign w:val="bottom"/>
            <w:hideMark/>
          </w:tcPr>
          <w:p w14:paraId="21CC91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r>
      <w:tr w:rsidR="00240506" w:rsidRPr="00650EE4" w14:paraId="517046E4"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975D8F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Suomija</w:t>
            </w:r>
          </w:p>
        </w:tc>
        <w:tc>
          <w:tcPr>
            <w:tcW w:w="895" w:type="dxa"/>
            <w:tcBorders>
              <w:top w:val="nil"/>
              <w:left w:val="nil"/>
              <w:bottom w:val="single" w:sz="4" w:space="0" w:color="auto"/>
              <w:right w:val="single" w:sz="4" w:space="0" w:color="auto"/>
            </w:tcBorders>
            <w:shd w:val="clear" w:color="auto" w:fill="auto"/>
            <w:noWrap/>
            <w:vAlign w:val="bottom"/>
            <w:hideMark/>
          </w:tcPr>
          <w:p w14:paraId="391214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6.9 </w:t>
            </w:r>
          </w:p>
        </w:tc>
        <w:tc>
          <w:tcPr>
            <w:tcW w:w="895" w:type="dxa"/>
            <w:tcBorders>
              <w:top w:val="nil"/>
              <w:left w:val="nil"/>
              <w:bottom w:val="single" w:sz="4" w:space="0" w:color="auto"/>
              <w:right w:val="single" w:sz="4" w:space="0" w:color="auto"/>
            </w:tcBorders>
            <w:shd w:val="clear" w:color="auto" w:fill="auto"/>
            <w:noWrap/>
            <w:vAlign w:val="bottom"/>
            <w:hideMark/>
          </w:tcPr>
          <w:p w14:paraId="05B7298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5EC1895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41BFCD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8.4 </w:t>
            </w:r>
          </w:p>
        </w:tc>
        <w:tc>
          <w:tcPr>
            <w:tcW w:w="896" w:type="dxa"/>
            <w:tcBorders>
              <w:top w:val="nil"/>
              <w:left w:val="nil"/>
              <w:bottom w:val="single" w:sz="4" w:space="0" w:color="auto"/>
              <w:right w:val="single" w:sz="4" w:space="0" w:color="auto"/>
            </w:tcBorders>
            <w:shd w:val="clear" w:color="auto" w:fill="auto"/>
            <w:noWrap/>
            <w:vAlign w:val="bottom"/>
            <w:hideMark/>
          </w:tcPr>
          <w:p w14:paraId="762CB5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2C4CA15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6" w:type="dxa"/>
            <w:tcBorders>
              <w:top w:val="nil"/>
              <w:left w:val="nil"/>
              <w:bottom w:val="single" w:sz="4" w:space="0" w:color="auto"/>
              <w:right w:val="single" w:sz="4" w:space="0" w:color="auto"/>
            </w:tcBorders>
            <w:shd w:val="clear" w:color="auto" w:fill="auto"/>
            <w:noWrap/>
            <w:vAlign w:val="bottom"/>
            <w:hideMark/>
          </w:tcPr>
          <w:p w14:paraId="12D54DE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7.7 </w:t>
            </w:r>
          </w:p>
        </w:tc>
        <w:tc>
          <w:tcPr>
            <w:tcW w:w="895" w:type="dxa"/>
            <w:tcBorders>
              <w:top w:val="nil"/>
              <w:left w:val="nil"/>
              <w:bottom w:val="single" w:sz="4" w:space="0" w:color="auto"/>
              <w:right w:val="single" w:sz="4" w:space="0" w:color="auto"/>
            </w:tcBorders>
            <w:shd w:val="clear" w:color="auto" w:fill="auto"/>
            <w:noWrap/>
            <w:vAlign w:val="bottom"/>
            <w:hideMark/>
          </w:tcPr>
          <w:p w14:paraId="1C1AA0F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449CE0F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7.7 </w:t>
            </w:r>
          </w:p>
        </w:tc>
      </w:tr>
      <w:tr w:rsidR="00240506" w:rsidRPr="00650EE4" w14:paraId="128677E7"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B5C71C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Ispanija</w:t>
            </w:r>
          </w:p>
        </w:tc>
        <w:tc>
          <w:tcPr>
            <w:tcW w:w="895" w:type="dxa"/>
            <w:tcBorders>
              <w:top w:val="nil"/>
              <w:left w:val="nil"/>
              <w:bottom w:val="single" w:sz="4" w:space="0" w:color="auto"/>
              <w:right w:val="single" w:sz="4" w:space="0" w:color="auto"/>
            </w:tcBorders>
            <w:shd w:val="clear" w:color="auto" w:fill="auto"/>
            <w:noWrap/>
            <w:vAlign w:val="bottom"/>
            <w:hideMark/>
          </w:tcPr>
          <w:p w14:paraId="04855D5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5" w:type="dxa"/>
            <w:tcBorders>
              <w:top w:val="nil"/>
              <w:left w:val="nil"/>
              <w:bottom w:val="single" w:sz="4" w:space="0" w:color="auto"/>
              <w:right w:val="single" w:sz="4" w:space="0" w:color="auto"/>
            </w:tcBorders>
            <w:shd w:val="clear" w:color="auto" w:fill="auto"/>
            <w:noWrap/>
            <w:vAlign w:val="bottom"/>
            <w:hideMark/>
          </w:tcPr>
          <w:p w14:paraId="0B5ADD7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6" w:type="dxa"/>
            <w:tcBorders>
              <w:top w:val="nil"/>
              <w:left w:val="nil"/>
              <w:bottom w:val="single" w:sz="4" w:space="0" w:color="auto"/>
              <w:right w:val="single" w:sz="4" w:space="0" w:color="auto"/>
            </w:tcBorders>
            <w:shd w:val="clear" w:color="auto" w:fill="auto"/>
            <w:noWrap/>
            <w:vAlign w:val="bottom"/>
            <w:hideMark/>
          </w:tcPr>
          <w:p w14:paraId="37EE4E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7.5 </w:t>
            </w:r>
          </w:p>
        </w:tc>
        <w:tc>
          <w:tcPr>
            <w:tcW w:w="895" w:type="dxa"/>
            <w:tcBorders>
              <w:top w:val="nil"/>
              <w:left w:val="nil"/>
              <w:bottom w:val="single" w:sz="4" w:space="0" w:color="auto"/>
              <w:right w:val="single" w:sz="4" w:space="0" w:color="auto"/>
            </w:tcBorders>
            <w:shd w:val="clear" w:color="auto" w:fill="auto"/>
            <w:noWrap/>
            <w:vAlign w:val="bottom"/>
            <w:hideMark/>
          </w:tcPr>
          <w:p w14:paraId="4C46A0E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8.3 </w:t>
            </w:r>
          </w:p>
        </w:tc>
        <w:tc>
          <w:tcPr>
            <w:tcW w:w="896" w:type="dxa"/>
            <w:tcBorders>
              <w:top w:val="nil"/>
              <w:left w:val="nil"/>
              <w:bottom w:val="single" w:sz="4" w:space="0" w:color="auto"/>
              <w:right w:val="single" w:sz="4" w:space="0" w:color="auto"/>
            </w:tcBorders>
            <w:shd w:val="clear" w:color="auto" w:fill="auto"/>
            <w:noWrap/>
            <w:vAlign w:val="bottom"/>
            <w:hideMark/>
          </w:tcPr>
          <w:p w14:paraId="4C968E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c>
          <w:tcPr>
            <w:tcW w:w="895" w:type="dxa"/>
            <w:tcBorders>
              <w:top w:val="nil"/>
              <w:left w:val="nil"/>
              <w:bottom w:val="single" w:sz="4" w:space="0" w:color="auto"/>
              <w:right w:val="single" w:sz="4" w:space="0" w:color="auto"/>
            </w:tcBorders>
            <w:shd w:val="clear" w:color="auto" w:fill="auto"/>
            <w:noWrap/>
            <w:vAlign w:val="bottom"/>
            <w:hideMark/>
          </w:tcPr>
          <w:p w14:paraId="46E3291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8.8 </w:t>
            </w:r>
          </w:p>
        </w:tc>
        <w:tc>
          <w:tcPr>
            <w:tcW w:w="896" w:type="dxa"/>
            <w:tcBorders>
              <w:top w:val="nil"/>
              <w:left w:val="nil"/>
              <w:bottom w:val="single" w:sz="4" w:space="0" w:color="auto"/>
              <w:right w:val="single" w:sz="4" w:space="0" w:color="auto"/>
            </w:tcBorders>
            <w:shd w:val="clear" w:color="auto" w:fill="auto"/>
            <w:noWrap/>
            <w:vAlign w:val="bottom"/>
            <w:hideMark/>
          </w:tcPr>
          <w:p w14:paraId="13AC3F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5" w:type="dxa"/>
            <w:tcBorders>
              <w:top w:val="nil"/>
              <w:left w:val="nil"/>
              <w:bottom w:val="single" w:sz="4" w:space="0" w:color="auto"/>
              <w:right w:val="single" w:sz="4" w:space="0" w:color="auto"/>
            </w:tcBorders>
            <w:shd w:val="clear" w:color="auto" w:fill="auto"/>
            <w:noWrap/>
            <w:vAlign w:val="bottom"/>
            <w:hideMark/>
          </w:tcPr>
          <w:p w14:paraId="5207646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7.4 </w:t>
            </w:r>
          </w:p>
        </w:tc>
        <w:tc>
          <w:tcPr>
            <w:tcW w:w="896" w:type="dxa"/>
            <w:tcBorders>
              <w:top w:val="nil"/>
              <w:left w:val="nil"/>
              <w:bottom w:val="single" w:sz="4" w:space="0" w:color="auto"/>
              <w:right w:val="single" w:sz="4" w:space="0" w:color="auto"/>
            </w:tcBorders>
            <w:shd w:val="clear" w:color="auto" w:fill="auto"/>
            <w:noWrap/>
            <w:vAlign w:val="bottom"/>
            <w:hideMark/>
          </w:tcPr>
          <w:p w14:paraId="00A3447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7.2 </w:t>
            </w:r>
          </w:p>
        </w:tc>
      </w:tr>
      <w:tr w:rsidR="00240506" w:rsidRPr="00650EE4" w14:paraId="73A9B706"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BB2974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Estija</w:t>
            </w:r>
          </w:p>
        </w:tc>
        <w:tc>
          <w:tcPr>
            <w:tcW w:w="895" w:type="dxa"/>
            <w:tcBorders>
              <w:top w:val="nil"/>
              <w:left w:val="nil"/>
              <w:bottom w:val="single" w:sz="4" w:space="0" w:color="auto"/>
              <w:right w:val="single" w:sz="4" w:space="0" w:color="auto"/>
            </w:tcBorders>
            <w:shd w:val="clear" w:color="auto" w:fill="auto"/>
            <w:noWrap/>
            <w:vAlign w:val="bottom"/>
            <w:hideMark/>
          </w:tcPr>
          <w:p w14:paraId="1D61A91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11.0 </w:t>
            </w:r>
          </w:p>
        </w:tc>
        <w:tc>
          <w:tcPr>
            <w:tcW w:w="895" w:type="dxa"/>
            <w:tcBorders>
              <w:top w:val="nil"/>
              <w:left w:val="nil"/>
              <w:bottom w:val="single" w:sz="4" w:space="0" w:color="auto"/>
              <w:right w:val="single" w:sz="4" w:space="0" w:color="auto"/>
            </w:tcBorders>
            <w:shd w:val="clear" w:color="auto" w:fill="auto"/>
            <w:noWrap/>
            <w:vAlign w:val="bottom"/>
            <w:hideMark/>
          </w:tcPr>
          <w:p w14:paraId="46A18F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11.8 </w:t>
            </w:r>
          </w:p>
        </w:tc>
        <w:tc>
          <w:tcPr>
            <w:tcW w:w="896" w:type="dxa"/>
            <w:tcBorders>
              <w:top w:val="nil"/>
              <w:left w:val="nil"/>
              <w:bottom w:val="single" w:sz="4" w:space="0" w:color="auto"/>
              <w:right w:val="single" w:sz="4" w:space="0" w:color="auto"/>
            </w:tcBorders>
            <w:shd w:val="clear" w:color="auto" w:fill="auto"/>
            <w:noWrap/>
            <w:vAlign w:val="bottom"/>
            <w:hideMark/>
          </w:tcPr>
          <w:p w14:paraId="3F0B3D2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10.9 </w:t>
            </w:r>
          </w:p>
        </w:tc>
        <w:tc>
          <w:tcPr>
            <w:tcW w:w="895" w:type="dxa"/>
            <w:tcBorders>
              <w:top w:val="nil"/>
              <w:left w:val="nil"/>
              <w:bottom w:val="single" w:sz="4" w:space="0" w:color="auto"/>
              <w:right w:val="single" w:sz="4" w:space="0" w:color="auto"/>
            </w:tcBorders>
            <w:shd w:val="clear" w:color="auto" w:fill="auto"/>
            <w:noWrap/>
            <w:vAlign w:val="bottom"/>
            <w:hideMark/>
          </w:tcPr>
          <w:p w14:paraId="2D34D8B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10.4 </w:t>
            </w:r>
          </w:p>
        </w:tc>
        <w:tc>
          <w:tcPr>
            <w:tcW w:w="896" w:type="dxa"/>
            <w:tcBorders>
              <w:top w:val="nil"/>
              <w:left w:val="nil"/>
              <w:bottom w:val="single" w:sz="4" w:space="0" w:color="auto"/>
              <w:right w:val="single" w:sz="4" w:space="0" w:color="auto"/>
            </w:tcBorders>
            <w:shd w:val="clear" w:color="auto" w:fill="auto"/>
            <w:noWrap/>
            <w:vAlign w:val="bottom"/>
            <w:hideMark/>
          </w:tcPr>
          <w:p w14:paraId="5F6B4B2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10.0 </w:t>
            </w:r>
          </w:p>
        </w:tc>
        <w:tc>
          <w:tcPr>
            <w:tcW w:w="895" w:type="dxa"/>
            <w:tcBorders>
              <w:top w:val="nil"/>
              <w:left w:val="nil"/>
              <w:bottom w:val="single" w:sz="4" w:space="0" w:color="auto"/>
              <w:right w:val="single" w:sz="4" w:space="0" w:color="auto"/>
            </w:tcBorders>
            <w:shd w:val="clear" w:color="auto" w:fill="auto"/>
            <w:noWrap/>
            <w:vAlign w:val="bottom"/>
            <w:hideMark/>
          </w:tcPr>
          <w:p w14:paraId="32302E5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6" w:type="dxa"/>
            <w:tcBorders>
              <w:top w:val="nil"/>
              <w:left w:val="nil"/>
              <w:bottom w:val="single" w:sz="4" w:space="0" w:color="auto"/>
              <w:right w:val="single" w:sz="4" w:space="0" w:color="auto"/>
            </w:tcBorders>
            <w:shd w:val="clear" w:color="auto" w:fill="auto"/>
            <w:noWrap/>
            <w:vAlign w:val="bottom"/>
            <w:hideMark/>
          </w:tcPr>
          <w:p w14:paraId="7D6E27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7.9 </w:t>
            </w:r>
          </w:p>
        </w:tc>
        <w:tc>
          <w:tcPr>
            <w:tcW w:w="895" w:type="dxa"/>
            <w:tcBorders>
              <w:top w:val="nil"/>
              <w:left w:val="nil"/>
              <w:bottom w:val="single" w:sz="4" w:space="0" w:color="auto"/>
              <w:right w:val="single" w:sz="4" w:space="0" w:color="auto"/>
            </w:tcBorders>
            <w:shd w:val="clear" w:color="auto" w:fill="auto"/>
            <w:noWrap/>
            <w:vAlign w:val="bottom"/>
            <w:hideMark/>
          </w:tcPr>
          <w:p w14:paraId="05F6006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6" w:type="dxa"/>
            <w:tcBorders>
              <w:top w:val="nil"/>
              <w:left w:val="nil"/>
              <w:bottom w:val="single" w:sz="4" w:space="0" w:color="auto"/>
              <w:right w:val="single" w:sz="4" w:space="0" w:color="auto"/>
            </w:tcBorders>
            <w:shd w:val="clear" w:color="auto" w:fill="auto"/>
            <w:noWrap/>
            <w:vAlign w:val="bottom"/>
            <w:hideMark/>
          </w:tcPr>
          <w:p w14:paraId="497A4B5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6.5 </w:t>
            </w:r>
          </w:p>
        </w:tc>
      </w:tr>
      <w:tr w:rsidR="00240506" w:rsidRPr="00650EE4" w14:paraId="0DBC9473"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DF60A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Prancūzija</w:t>
            </w:r>
          </w:p>
        </w:tc>
        <w:tc>
          <w:tcPr>
            <w:tcW w:w="895" w:type="dxa"/>
            <w:tcBorders>
              <w:top w:val="nil"/>
              <w:left w:val="nil"/>
              <w:bottom w:val="single" w:sz="4" w:space="0" w:color="auto"/>
              <w:right w:val="single" w:sz="4" w:space="0" w:color="auto"/>
            </w:tcBorders>
            <w:shd w:val="clear" w:color="auto" w:fill="auto"/>
            <w:noWrap/>
            <w:vAlign w:val="bottom"/>
            <w:hideMark/>
          </w:tcPr>
          <w:p w14:paraId="248AFFA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7.1 </w:t>
            </w:r>
          </w:p>
        </w:tc>
        <w:tc>
          <w:tcPr>
            <w:tcW w:w="895" w:type="dxa"/>
            <w:tcBorders>
              <w:top w:val="nil"/>
              <w:left w:val="nil"/>
              <w:bottom w:val="single" w:sz="4" w:space="0" w:color="auto"/>
              <w:right w:val="single" w:sz="4" w:space="0" w:color="auto"/>
            </w:tcBorders>
            <w:shd w:val="clear" w:color="auto" w:fill="auto"/>
            <w:noWrap/>
            <w:vAlign w:val="bottom"/>
            <w:hideMark/>
          </w:tcPr>
          <w:p w14:paraId="037E19C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7.1 </w:t>
            </w:r>
          </w:p>
        </w:tc>
        <w:tc>
          <w:tcPr>
            <w:tcW w:w="896" w:type="dxa"/>
            <w:tcBorders>
              <w:top w:val="nil"/>
              <w:left w:val="nil"/>
              <w:bottom w:val="single" w:sz="4" w:space="0" w:color="auto"/>
              <w:right w:val="single" w:sz="4" w:space="0" w:color="auto"/>
            </w:tcBorders>
            <w:shd w:val="clear" w:color="auto" w:fill="auto"/>
            <w:noWrap/>
            <w:vAlign w:val="bottom"/>
            <w:hideMark/>
          </w:tcPr>
          <w:p w14:paraId="17AFFA6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6.7 </w:t>
            </w:r>
          </w:p>
        </w:tc>
        <w:tc>
          <w:tcPr>
            <w:tcW w:w="895" w:type="dxa"/>
            <w:tcBorders>
              <w:top w:val="nil"/>
              <w:left w:val="nil"/>
              <w:bottom w:val="single" w:sz="4" w:space="0" w:color="auto"/>
              <w:right w:val="single" w:sz="4" w:space="0" w:color="auto"/>
            </w:tcBorders>
            <w:shd w:val="clear" w:color="auto" w:fill="auto"/>
            <w:noWrap/>
            <w:vAlign w:val="bottom"/>
            <w:hideMark/>
          </w:tcPr>
          <w:p w14:paraId="5525243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6.2 </w:t>
            </w:r>
          </w:p>
        </w:tc>
        <w:tc>
          <w:tcPr>
            <w:tcW w:w="896" w:type="dxa"/>
            <w:tcBorders>
              <w:top w:val="nil"/>
              <w:left w:val="nil"/>
              <w:bottom w:val="single" w:sz="4" w:space="0" w:color="auto"/>
              <w:right w:val="single" w:sz="4" w:space="0" w:color="auto"/>
            </w:tcBorders>
            <w:shd w:val="clear" w:color="auto" w:fill="auto"/>
            <w:noWrap/>
            <w:vAlign w:val="bottom"/>
            <w:hideMark/>
          </w:tcPr>
          <w:p w14:paraId="0CEB4F0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3A43EC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5.9 </w:t>
            </w:r>
          </w:p>
        </w:tc>
        <w:tc>
          <w:tcPr>
            <w:tcW w:w="896" w:type="dxa"/>
            <w:tcBorders>
              <w:top w:val="nil"/>
              <w:left w:val="nil"/>
              <w:bottom w:val="single" w:sz="4" w:space="0" w:color="auto"/>
              <w:right w:val="single" w:sz="4" w:space="0" w:color="auto"/>
            </w:tcBorders>
            <w:shd w:val="clear" w:color="auto" w:fill="auto"/>
            <w:noWrap/>
            <w:vAlign w:val="bottom"/>
            <w:hideMark/>
          </w:tcPr>
          <w:p w14:paraId="5AC8675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5532660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6" w:type="dxa"/>
            <w:tcBorders>
              <w:top w:val="nil"/>
              <w:left w:val="nil"/>
              <w:bottom w:val="single" w:sz="4" w:space="0" w:color="auto"/>
              <w:right w:val="single" w:sz="4" w:space="0" w:color="auto"/>
            </w:tcBorders>
            <w:shd w:val="clear" w:color="auto" w:fill="auto"/>
            <w:noWrap/>
            <w:vAlign w:val="bottom"/>
            <w:hideMark/>
          </w:tcPr>
          <w:p w14:paraId="097FFA9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r>
      <w:tr w:rsidR="00240506" w:rsidRPr="00650EE4" w14:paraId="3E48221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697B85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Lenkija</w:t>
            </w:r>
          </w:p>
        </w:tc>
        <w:tc>
          <w:tcPr>
            <w:tcW w:w="895" w:type="dxa"/>
            <w:tcBorders>
              <w:top w:val="nil"/>
              <w:left w:val="nil"/>
              <w:bottom w:val="single" w:sz="4" w:space="0" w:color="auto"/>
              <w:right w:val="single" w:sz="4" w:space="0" w:color="auto"/>
            </w:tcBorders>
            <w:shd w:val="clear" w:color="auto" w:fill="auto"/>
            <w:noWrap/>
            <w:vAlign w:val="bottom"/>
            <w:hideMark/>
          </w:tcPr>
          <w:p w14:paraId="55880D7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13.9 </w:t>
            </w:r>
          </w:p>
        </w:tc>
        <w:tc>
          <w:tcPr>
            <w:tcW w:w="895" w:type="dxa"/>
            <w:tcBorders>
              <w:top w:val="nil"/>
              <w:left w:val="nil"/>
              <w:bottom w:val="single" w:sz="4" w:space="0" w:color="auto"/>
              <w:right w:val="single" w:sz="4" w:space="0" w:color="auto"/>
            </w:tcBorders>
            <w:shd w:val="clear" w:color="auto" w:fill="auto"/>
            <w:noWrap/>
            <w:vAlign w:val="bottom"/>
            <w:hideMark/>
          </w:tcPr>
          <w:p w14:paraId="5F7A687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12.9 </w:t>
            </w:r>
          </w:p>
        </w:tc>
        <w:tc>
          <w:tcPr>
            <w:tcW w:w="896" w:type="dxa"/>
            <w:tcBorders>
              <w:top w:val="nil"/>
              <w:left w:val="nil"/>
              <w:bottom w:val="single" w:sz="4" w:space="0" w:color="auto"/>
              <w:right w:val="single" w:sz="4" w:space="0" w:color="auto"/>
            </w:tcBorders>
            <w:shd w:val="clear" w:color="auto" w:fill="auto"/>
            <w:noWrap/>
            <w:vAlign w:val="bottom"/>
            <w:hideMark/>
          </w:tcPr>
          <w:p w14:paraId="7606D1A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14.1 </w:t>
            </w:r>
          </w:p>
        </w:tc>
        <w:tc>
          <w:tcPr>
            <w:tcW w:w="895" w:type="dxa"/>
            <w:tcBorders>
              <w:top w:val="nil"/>
              <w:left w:val="nil"/>
              <w:bottom w:val="single" w:sz="4" w:space="0" w:color="auto"/>
              <w:right w:val="single" w:sz="4" w:space="0" w:color="auto"/>
            </w:tcBorders>
            <w:shd w:val="clear" w:color="auto" w:fill="auto"/>
            <w:noWrap/>
            <w:vAlign w:val="bottom"/>
            <w:hideMark/>
          </w:tcPr>
          <w:p w14:paraId="7EA602D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14.0 </w:t>
            </w:r>
          </w:p>
        </w:tc>
        <w:tc>
          <w:tcPr>
            <w:tcW w:w="896" w:type="dxa"/>
            <w:tcBorders>
              <w:top w:val="nil"/>
              <w:left w:val="nil"/>
              <w:bottom w:val="single" w:sz="4" w:space="0" w:color="auto"/>
              <w:right w:val="single" w:sz="4" w:space="0" w:color="auto"/>
            </w:tcBorders>
            <w:shd w:val="clear" w:color="auto" w:fill="auto"/>
            <w:noWrap/>
            <w:vAlign w:val="bottom"/>
            <w:hideMark/>
          </w:tcPr>
          <w:p w14:paraId="41C869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14.4 </w:t>
            </w:r>
          </w:p>
        </w:tc>
        <w:tc>
          <w:tcPr>
            <w:tcW w:w="895" w:type="dxa"/>
            <w:tcBorders>
              <w:top w:val="nil"/>
              <w:left w:val="nil"/>
              <w:bottom w:val="single" w:sz="4" w:space="0" w:color="auto"/>
              <w:right w:val="single" w:sz="4" w:space="0" w:color="auto"/>
            </w:tcBorders>
            <w:shd w:val="clear" w:color="auto" w:fill="auto"/>
            <w:noWrap/>
            <w:vAlign w:val="bottom"/>
            <w:hideMark/>
          </w:tcPr>
          <w:p w14:paraId="4093440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9.2 </w:t>
            </w:r>
          </w:p>
        </w:tc>
        <w:tc>
          <w:tcPr>
            <w:tcW w:w="896" w:type="dxa"/>
            <w:tcBorders>
              <w:top w:val="nil"/>
              <w:left w:val="nil"/>
              <w:bottom w:val="single" w:sz="4" w:space="0" w:color="auto"/>
              <w:right w:val="single" w:sz="4" w:space="0" w:color="auto"/>
            </w:tcBorders>
            <w:shd w:val="clear" w:color="auto" w:fill="auto"/>
            <w:noWrap/>
            <w:vAlign w:val="bottom"/>
            <w:hideMark/>
          </w:tcPr>
          <w:p w14:paraId="6CA6294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9.5 </w:t>
            </w:r>
          </w:p>
        </w:tc>
        <w:tc>
          <w:tcPr>
            <w:tcW w:w="895" w:type="dxa"/>
            <w:tcBorders>
              <w:top w:val="nil"/>
              <w:left w:val="nil"/>
              <w:bottom w:val="single" w:sz="4" w:space="0" w:color="auto"/>
              <w:right w:val="single" w:sz="4" w:space="0" w:color="auto"/>
            </w:tcBorders>
            <w:shd w:val="clear" w:color="auto" w:fill="auto"/>
            <w:noWrap/>
            <w:vAlign w:val="bottom"/>
            <w:hideMark/>
          </w:tcPr>
          <w:p w14:paraId="3D8A1C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8.5 </w:t>
            </w:r>
          </w:p>
        </w:tc>
        <w:tc>
          <w:tcPr>
            <w:tcW w:w="896" w:type="dxa"/>
            <w:tcBorders>
              <w:top w:val="nil"/>
              <w:left w:val="nil"/>
              <w:bottom w:val="single" w:sz="4" w:space="0" w:color="auto"/>
              <w:right w:val="single" w:sz="4" w:space="0" w:color="auto"/>
            </w:tcBorders>
            <w:shd w:val="clear" w:color="auto" w:fill="auto"/>
            <w:noWrap/>
            <w:vAlign w:val="bottom"/>
            <w:hideMark/>
          </w:tcPr>
          <w:p w14:paraId="7679EB6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r>
      <w:tr w:rsidR="00240506" w:rsidRPr="00650EE4" w14:paraId="7F02E32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04F854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Jungtinė Karalystė</w:t>
            </w:r>
          </w:p>
        </w:tc>
        <w:tc>
          <w:tcPr>
            <w:tcW w:w="895" w:type="dxa"/>
            <w:tcBorders>
              <w:top w:val="nil"/>
              <w:left w:val="nil"/>
              <w:bottom w:val="single" w:sz="4" w:space="0" w:color="auto"/>
              <w:right w:val="single" w:sz="4" w:space="0" w:color="auto"/>
            </w:tcBorders>
            <w:shd w:val="clear" w:color="auto" w:fill="auto"/>
            <w:noWrap/>
            <w:vAlign w:val="bottom"/>
            <w:hideMark/>
          </w:tcPr>
          <w:p w14:paraId="35B8908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5.6 </w:t>
            </w:r>
          </w:p>
        </w:tc>
        <w:tc>
          <w:tcPr>
            <w:tcW w:w="895" w:type="dxa"/>
            <w:tcBorders>
              <w:top w:val="nil"/>
              <w:left w:val="nil"/>
              <w:bottom w:val="single" w:sz="4" w:space="0" w:color="auto"/>
              <w:right w:val="single" w:sz="4" w:space="0" w:color="auto"/>
            </w:tcBorders>
            <w:shd w:val="clear" w:color="auto" w:fill="auto"/>
            <w:noWrap/>
            <w:vAlign w:val="bottom"/>
            <w:hideMark/>
          </w:tcPr>
          <w:p w14:paraId="048CF9E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2F5B3C7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8.9 </w:t>
            </w:r>
          </w:p>
        </w:tc>
        <w:tc>
          <w:tcPr>
            <w:tcW w:w="895" w:type="dxa"/>
            <w:tcBorders>
              <w:top w:val="nil"/>
              <w:left w:val="nil"/>
              <w:bottom w:val="single" w:sz="4" w:space="0" w:color="auto"/>
              <w:right w:val="single" w:sz="4" w:space="0" w:color="auto"/>
            </w:tcBorders>
            <w:shd w:val="clear" w:color="auto" w:fill="auto"/>
            <w:noWrap/>
            <w:vAlign w:val="bottom"/>
            <w:hideMark/>
          </w:tcPr>
          <w:p w14:paraId="5A2AF07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8.7 </w:t>
            </w:r>
          </w:p>
        </w:tc>
        <w:tc>
          <w:tcPr>
            <w:tcW w:w="896" w:type="dxa"/>
            <w:tcBorders>
              <w:top w:val="nil"/>
              <w:left w:val="nil"/>
              <w:bottom w:val="single" w:sz="4" w:space="0" w:color="auto"/>
              <w:right w:val="single" w:sz="4" w:space="0" w:color="auto"/>
            </w:tcBorders>
            <w:shd w:val="clear" w:color="auto" w:fill="auto"/>
            <w:noWrap/>
            <w:vAlign w:val="bottom"/>
            <w:hideMark/>
          </w:tcPr>
          <w:p w14:paraId="3C57627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7.2 </w:t>
            </w:r>
          </w:p>
        </w:tc>
        <w:tc>
          <w:tcPr>
            <w:tcW w:w="895" w:type="dxa"/>
            <w:tcBorders>
              <w:top w:val="nil"/>
              <w:left w:val="nil"/>
              <w:bottom w:val="single" w:sz="4" w:space="0" w:color="auto"/>
              <w:right w:val="single" w:sz="4" w:space="0" w:color="auto"/>
            </w:tcBorders>
            <w:shd w:val="clear" w:color="auto" w:fill="auto"/>
            <w:noWrap/>
            <w:vAlign w:val="bottom"/>
            <w:hideMark/>
          </w:tcPr>
          <w:p w14:paraId="7F693E4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7.0 </w:t>
            </w:r>
          </w:p>
        </w:tc>
        <w:tc>
          <w:tcPr>
            <w:tcW w:w="896" w:type="dxa"/>
            <w:tcBorders>
              <w:top w:val="nil"/>
              <w:left w:val="nil"/>
              <w:bottom w:val="single" w:sz="4" w:space="0" w:color="auto"/>
              <w:right w:val="single" w:sz="4" w:space="0" w:color="auto"/>
            </w:tcBorders>
            <w:shd w:val="clear" w:color="auto" w:fill="auto"/>
            <w:noWrap/>
            <w:vAlign w:val="bottom"/>
            <w:hideMark/>
          </w:tcPr>
          <w:p w14:paraId="03871B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5.7 </w:t>
            </w:r>
          </w:p>
        </w:tc>
        <w:tc>
          <w:tcPr>
            <w:tcW w:w="895" w:type="dxa"/>
            <w:tcBorders>
              <w:top w:val="nil"/>
              <w:left w:val="nil"/>
              <w:bottom w:val="single" w:sz="4" w:space="0" w:color="auto"/>
              <w:right w:val="single" w:sz="4" w:space="0" w:color="auto"/>
            </w:tcBorders>
            <w:shd w:val="clear" w:color="auto" w:fill="auto"/>
            <w:noWrap/>
            <w:vAlign w:val="bottom"/>
            <w:hideMark/>
          </w:tcPr>
          <w:p w14:paraId="7143A5E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4B405B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5.4 </w:t>
            </w:r>
          </w:p>
        </w:tc>
      </w:tr>
      <w:tr w:rsidR="00240506" w:rsidRPr="00650EE4" w14:paraId="1C9E5C78"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CD2904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Danija</w:t>
            </w:r>
          </w:p>
        </w:tc>
        <w:tc>
          <w:tcPr>
            <w:tcW w:w="895" w:type="dxa"/>
            <w:tcBorders>
              <w:top w:val="nil"/>
              <w:left w:val="nil"/>
              <w:bottom w:val="single" w:sz="4" w:space="0" w:color="auto"/>
              <w:right w:val="single" w:sz="4" w:space="0" w:color="auto"/>
            </w:tcBorders>
            <w:shd w:val="clear" w:color="auto" w:fill="auto"/>
            <w:noWrap/>
            <w:vAlign w:val="bottom"/>
            <w:hideMark/>
          </w:tcPr>
          <w:p w14:paraId="24F6376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5" w:type="dxa"/>
            <w:tcBorders>
              <w:top w:val="nil"/>
              <w:left w:val="nil"/>
              <w:bottom w:val="single" w:sz="4" w:space="0" w:color="auto"/>
              <w:right w:val="single" w:sz="4" w:space="0" w:color="auto"/>
            </w:tcBorders>
            <w:shd w:val="clear" w:color="auto" w:fill="auto"/>
            <w:noWrap/>
            <w:vAlign w:val="bottom"/>
            <w:hideMark/>
          </w:tcPr>
          <w:p w14:paraId="14B95AE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6" w:type="dxa"/>
            <w:tcBorders>
              <w:top w:val="nil"/>
              <w:left w:val="nil"/>
              <w:bottom w:val="single" w:sz="4" w:space="0" w:color="auto"/>
              <w:right w:val="single" w:sz="4" w:space="0" w:color="auto"/>
            </w:tcBorders>
            <w:shd w:val="clear" w:color="auto" w:fill="auto"/>
            <w:noWrap/>
            <w:vAlign w:val="bottom"/>
            <w:hideMark/>
          </w:tcPr>
          <w:p w14:paraId="25E1A8B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5D112E1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772142F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5" w:type="dxa"/>
            <w:tcBorders>
              <w:top w:val="nil"/>
              <w:left w:val="nil"/>
              <w:bottom w:val="single" w:sz="4" w:space="0" w:color="auto"/>
              <w:right w:val="single" w:sz="4" w:space="0" w:color="auto"/>
            </w:tcBorders>
            <w:shd w:val="clear" w:color="auto" w:fill="auto"/>
            <w:noWrap/>
            <w:vAlign w:val="bottom"/>
            <w:hideMark/>
          </w:tcPr>
          <w:p w14:paraId="521353E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6" w:type="dxa"/>
            <w:tcBorders>
              <w:top w:val="nil"/>
              <w:left w:val="nil"/>
              <w:bottom w:val="single" w:sz="4" w:space="0" w:color="auto"/>
              <w:right w:val="single" w:sz="4" w:space="0" w:color="auto"/>
            </w:tcBorders>
            <w:shd w:val="clear" w:color="auto" w:fill="auto"/>
            <w:noWrap/>
            <w:vAlign w:val="bottom"/>
            <w:hideMark/>
          </w:tcPr>
          <w:p w14:paraId="4A85974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2.5 </w:t>
            </w:r>
          </w:p>
        </w:tc>
        <w:tc>
          <w:tcPr>
            <w:tcW w:w="895" w:type="dxa"/>
            <w:tcBorders>
              <w:top w:val="nil"/>
              <w:left w:val="nil"/>
              <w:bottom w:val="single" w:sz="4" w:space="0" w:color="auto"/>
              <w:right w:val="single" w:sz="4" w:space="0" w:color="auto"/>
            </w:tcBorders>
            <w:shd w:val="clear" w:color="auto" w:fill="auto"/>
            <w:noWrap/>
            <w:vAlign w:val="bottom"/>
            <w:hideMark/>
          </w:tcPr>
          <w:p w14:paraId="020A90D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6A64159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5.1 </w:t>
            </w:r>
          </w:p>
        </w:tc>
      </w:tr>
      <w:tr w:rsidR="00240506" w:rsidRPr="00650EE4" w14:paraId="23AEB8CF"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4E1AB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Belgija</w:t>
            </w:r>
          </w:p>
        </w:tc>
        <w:tc>
          <w:tcPr>
            <w:tcW w:w="895" w:type="dxa"/>
            <w:tcBorders>
              <w:top w:val="nil"/>
              <w:left w:val="nil"/>
              <w:bottom w:val="single" w:sz="4" w:space="0" w:color="auto"/>
              <w:right w:val="single" w:sz="4" w:space="0" w:color="auto"/>
            </w:tcBorders>
            <w:shd w:val="clear" w:color="auto" w:fill="auto"/>
            <w:noWrap/>
            <w:vAlign w:val="bottom"/>
            <w:hideMark/>
          </w:tcPr>
          <w:p w14:paraId="0962F3D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3432068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6.0 </w:t>
            </w:r>
          </w:p>
        </w:tc>
        <w:tc>
          <w:tcPr>
            <w:tcW w:w="896" w:type="dxa"/>
            <w:tcBorders>
              <w:top w:val="nil"/>
              <w:left w:val="nil"/>
              <w:bottom w:val="single" w:sz="4" w:space="0" w:color="auto"/>
              <w:right w:val="single" w:sz="4" w:space="0" w:color="auto"/>
            </w:tcBorders>
            <w:shd w:val="clear" w:color="auto" w:fill="auto"/>
            <w:noWrap/>
            <w:vAlign w:val="bottom"/>
            <w:hideMark/>
          </w:tcPr>
          <w:p w14:paraId="7E3258E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6.1 </w:t>
            </w:r>
          </w:p>
        </w:tc>
        <w:tc>
          <w:tcPr>
            <w:tcW w:w="895" w:type="dxa"/>
            <w:tcBorders>
              <w:top w:val="nil"/>
              <w:left w:val="nil"/>
              <w:bottom w:val="single" w:sz="4" w:space="0" w:color="auto"/>
              <w:right w:val="single" w:sz="4" w:space="0" w:color="auto"/>
            </w:tcBorders>
            <w:shd w:val="clear" w:color="auto" w:fill="auto"/>
            <w:noWrap/>
            <w:vAlign w:val="bottom"/>
            <w:hideMark/>
          </w:tcPr>
          <w:p w14:paraId="6C8A8DD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6" w:type="dxa"/>
            <w:tcBorders>
              <w:top w:val="nil"/>
              <w:left w:val="nil"/>
              <w:bottom w:val="single" w:sz="4" w:space="0" w:color="auto"/>
              <w:right w:val="single" w:sz="4" w:space="0" w:color="auto"/>
            </w:tcBorders>
            <w:shd w:val="clear" w:color="auto" w:fill="auto"/>
            <w:noWrap/>
            <w:vAlign w:val="bottom"/>
            <w:hideMark/>
          </w:tcPr>
          <w:p w14:paraId="1A71795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5.8 </w:t>
            </w:r>
          </w:p>
        </w:tc>
        <w:tc>
          <w:tcPr>
            <w:tcW w:w="895" w:type="dxa"/>
            <w:tcBorders>
              <w:top w:val="nil"/>
              <w:left w:val="nil"/>
              <w:bottom w:val="single" w:sz="4" w:space="0" w:color="auto"/>
              <w:right w:val="single" w:sz="4" w:space="0" w:color="auto"/>
            </w:tcBorders>
            <w:shd w:val="clear" w:color="auto" w:fill="auto"/>
            <w:noWrap/>
            <w:vAlign w:val="bottom"/>
            <w:hideMark/>
          </w:tcPr>
          <w:p w14:paraId="0E496DB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5.1 </w:t>
            </w:r>
          </w:p>
        </w:tc>
        <w:tc>
          <w:tcPr>
            <w:tcW w:w="896" w:type="dxa"/>
            <w:tcBorders>
              <w:top w:val="nil"/>
              <w:left w:val="nil"/>
              <w:bottom w:val="single" w:sz="4" w:space="0" w:color="auto"/>
              <w:right w:val="single" w:sz="4" w:space="0" w:color="auto"/>
            </w:tcBorders>
            <w:shd w:val="clear" w:color="auto" w:fill="auto"/>
            <w:noWrap/>
            <w:vAlign w:val="bottom"/>
            <w:hideMark/>
          </w:tcPr>
          <w:p w14:paraId="32025D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5.0 </w:t>
            </w:r>
          </w:p>
        </w:tc>
        <w:tc>
          <w:tcPr>
            <w:tcW w:w="895" w:type="dxa"/>
            <w:tcBorders>
              <w:top w:val="nil"/>
              <w:left w:val="nil"/>
              <w:bottom w:val="single" w:sz="4" w:space="0" w:color="auto"/>
              <w:right w:val="single" w:sz="4" w:space="0" w:color="auto"/>
            </w:tcBorders>
            <w:shd w:val="clear" w:color="auto" w:fill="auto"/>
            <w:noWrap/>
            <w:vAlign w:val="bottom"/>
            <w:hideMark/>
          </w:tcPr>
          <w:p w14:paraId="1FC89E9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c>
          <w:tcPr>
            <w:tcW w:w="896" w:type="dxa"/>
            <w:tcBorders>
              <w:top w:val="nil"/>
              <w:left w:val="nil"/>
              <w:bottom w:val="single" w:sz="4" w:space="0" w:color="auto"/>
              <w:right w:val="single" w:sz="4" w:space="0" w:color="auto"/>
            </w:tcBorders>
            <w:shd w:val="clear" w:color="auto" w:fill="auto"/>
            <w:noWrap/>
            <w:vAlign w:val="bottom"/>
            <w:hideMark/>
          </w:tcPr>
          <w:p w14:paraId="6E7899B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2941E47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0F4AC4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Italija</w:t>
            </w:r>
          </w:p>
        </w:tc>
        <w:tc>
          <w:tcPr>
            <w:tcW w:w="895" w:type="dxa"/>
            <w:tcBorders>
              <w:top w:val="nil"/>
              <w:left w:val="nil"/>
              <w:bottom w:val="single" w:sz="4" w:space="0" w:color="auto"/>
              <w:right w:val="single" w:sz="4" w:space="0" w:color="auto"/>
            </w:tcBorders>
            <w:shd w:val="clear" w:color="auto" w:fill="auto"/>
            <w:noWrap/>
            <w:vAlign w:val="bottom"/>
            <w:hideMark/>
          </w:tcPr>
          <w:p w14:paraId="4580DEE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11.2 </w:t>
            </w:r>
          </w:p>
        </w:tc>
        <w:tc>
          <w:tcPr>
            <w:tcW w:w="895" w:type="dxa"/>
            <w:tcBorders>
              <w:top w:val="nil"/>
              <w:left w:val="nil"/>
              <w:bottom w:val="single" w:sz="4" w:space="0" w:color="auto"/>
              <w:right w:val="single" w:sz="4" w:space="0" w:color="auto"/>
            </w:tcBorders>
            <w:shd w:val="clear" w:color="auto" w:fill="auto"/>
            <w:noWrap/>
            <w:vAlign w:val="bottom"/>
            <w:hideMark/>
          </w:tcPr>
          <w:p w14:paraId="7BF515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12.0 </w:t>
            </w:r>
          </w:p>
        </w:tc>
        <w:tc>
          <w:tcPr>
            <w:tcW w:w="896" w:type="dxa"/>
            <w:tcBorders>
              <w:top w:val="nil"/>
              <w:left w:val="nil"/>
              <w:bottom w:val="single" w:sz="4" w:space="0" w:color="auto"/>
              <w:right w:val="single" w:sz="4" w:space="0" w:color="auto"/>
            </w:tcBorders>
            <w:shd w:val="clear" w:color="auto" w:fill="auto"/>
            <w:noWrap/>
            <w:vAlign w:val="bottom"/>
            <w:hideMark/>
          </w:tcPr>
          <w:p w14:paraId="04458D1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11.7 </w:t>
            </w:r>
          </w:p>
        </w:tc>
        <w:tc>
          <w:tcPr>
            <w:tcW w:w="895" w:type="dxa"/>
            <w:tcBorders>
              <w:top w:val="nil"/>
              <w:left w:val="nil"/>
              <w:bottom w:val="single" w:sz="4" w:space="0" w:color="auto"/>
              <w:right w:val="single" w:sz="4" w:space="0" w:color="auto"/>
            </w:tcBorders>
            <w:shd w:val="clear" w:color="auto" w:fill="auto"/>
            <w:noWrap/>
            <w:vAlign w:val="bottom"/>
            <w:hideMark/>
          </w:tcPr>
          <w:p w14:paraId="7B416B0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11.9 </w:t>
            </w:r>
          </w:p>
        </w:tc>
        <w:tc>
          <w:tcPr>
            <w:tcW w:w="896" w:type="dxa"/>
            <w:tcBorders>
              <w:top w:val="nil"/>
              <w:left w:val="nil"/>
              <w:bottom w:val="single" w:sz="4" w:space="0" w:color="auto"/>
              <w:right w:val="single" w:sz="4" w:space="0" w:color="auto"/>
            </w:tcBorders>
            <w:shd w:val="clear" w:color="auto" w:fill="auto"/>
            <w:noWrap/>
            <w:vAlign w:val="bottom"/>
            <w:hideMark/>
          </w:tcPr>
          <w:p w14:paraId="17B347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12.2 </w:t>
            </w:r>
          </w:p>
        </w:tc>
        <w:tc>
          <w:tcPr>
            <w:tcW w:w="895" w:type="dxa"/>
            <w:tcBorders>
              <w:top w:val="nil"/>
              <w:left w:val="nil"/>
              <w:bottom w:val="single" w:sz="4" w:space="0" w:color="auto"/>
              <w:right w:val="single" w:sz="4" w:space="0" w:color="auto"/>
            </w:tcBorders>
            <w:shd w:val="clear" w:color="auto" w:fill="auto"/>
            <w:noWrap/>
            <w:vAlign w:val="bottom"/>
            <w:hideMark/>
          </w:tcPr>
          <w:p w14:paraId="53D94AE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12.6 </w:t>
            </w:r>
          </w:p>
        </w:tc>
        <w:tc>
          <w:tcPr>
            <w:tcW w:w="896" w:type="dxa"/>
            <w:tcBorders>
              <w:top w:val="nil"/>
              <w:left w:val="nil"/>
              <w:bottom w:val="single" w:sz="4" w:space="0" w:color="auto"/>
              <w:right w:val="single" w:sz="4" w:space="0" w:color="auto"/>
            </w:tcBorders>
            <w:shd w:val="clear" w:color="auto" w:fill="auto"/>
            <w:noWrap/>
            <w:vAlign w:val="bottom"/>
            <w:hideMark/>
          </w:tcPr>
          <w:p w14:paraId="521B09F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8.9 </w:t>
            </w:r>
          </w:p>
        </w:tc>
        <w:tc>
          <w:tcPr>
            <w:tcW w:w="895" w:type="dxa"/>
            <w:tcBorders>
              <w:top w:val="nil"/>
              <w:left w:val="nil"/>
              <w:bottom w:val="single" w:sz="4" w:space="0" w:color="auto"/>
              <w:right w:val="single" w:sz="4" w:space="0" w:color="auto"/>
            </w:tcBorders>
            <w:shd w:val="clear" w:color="auto" w:fill="auto"/>
            <w:noWrap/>
            <w:vAlign w:val="bottom"/>
            <w:hideMark/>
          </w:tcPr>
          <w:p w14:paraId="7259E2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4.8 </w:t>
            </w:r>
          </w:p>
        </w:tc>
        <w:tc>
          <w:tcPr>
            <w:tcW w:w="896" w:type="dxa"/>
            <w:tcBorders>
              <w:top w:val="nil"/>
              <w:left w:val="nil"/>
              <w:bottom w:val="single" w:sz="4" w:space="0" w:color="auto"/>
              <w:right w:val="single" w:sz="4" w:space="0" w:color="auto"/>
            </w:tcBorders>
            <w:shd w:val="clear" w:color="auto" w:fill="auto"/>
            <w:noWrap/>
            <w:vAlign w:val="bottom"/>
            <w:hideMark/>
          </w:tcPr>
          <w:p w14:paraId="7D61BAA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09544DD0"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FE5AC2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Portugalija</w:t>
            </w:r>
          </w:p>
        </w:tc>
        <w:tc>
          <w:tcPr>
            <w:tcW w:w="895" w:type="dxa"/>
            <w:tcBorders>
              <w:top w:val="nil"/>
              <w:left w:val="nil"/>
              <w:bottom w:val="single" w:sz="4" w:space="0" w:color="auto"/>
              <w:right w:val="single" w:sz="4" w:space="0" w:color="auto"/>
            </w:tcBorders>
            <w:shd w:val="clear" w:color="auto" w:fill="auto"/>
            <w:noWrap/>
            <w:vAlign w:val="bottom"/>
            <w:hideMark/>
          </w:tcPr>
          <w:p w14:paraId="090B0E1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6.4 </w:t>
            </w:r>
          </w:p>
        </w:tc>
        <w:tc>
          <w:tcPr>
            <w:tcW w:w="895" w:type="dxa"/>
            <w:tcBorders>
              <w:top w:val="nil"/>
              <w:left w:val="nil"/>
              <w:bottom w:val="single" w:sz="4" w:space="0" w:color="auto"/>
              <w:right w:val="single" w:sz="4" w:space="0" w:color="auto"/>
            </w:tcBorders>
            <w:shd w:val="clear" w:color="auto" w:fill="auto"/>
            <w:noWrap/>
            <w:vAlign w:val="bottom"/>
            <w:hideMark/>
          </w:tcPr>
          <w:p w14:paraId="082971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6.7 </w:t>
            </w:r>
          </w:p>
        </w:tc>
        <w:tc>
          <w:tcPr>
            <w:tcW w:w="896" w:type="dxa"/>
            <w:tcBorders>
              <w:top w:val="nil"/>
              <w:left w:val="nil"/>
              <w:bottom w:val="single" w:sz="4" w:space="0" w:color="auto"/>
              <w:right w:val="single" w:sz="4" w:space="0" w:color="auto"/>
            </w:tcBorders>
            <w:shd w:val="clear" w:color="auto" w:fill="auto"/>
            <w:noWrap/>
            <w:vAlign w:val="bottom"/>
            <w:hideMark/>
          </w:tcPr>
          <w:p w14:paraId="38F755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0394C01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8.2 </w:t>
            </w:r>
          </w:p>
        </w:tc>
        <w:tc>
          <w:tcPr>
            <w:tcW w:w="896" w:type="dxa"/>
            <w:tcBorders>
              <w:top w:val="nil"/>
              <w:left w:val="nil"/>
              <w:bottom w:val="single" w:sz="4" w:space="0" w:color="auto"/>
              <w:right w:val="single" w:sz="4" w:space="0" w:color="auto"/>
            </w:tcBorders>
            <w:shd w:val="clear" w:color="auto" w:fill="auto"/>
            <w:noWrap/>
            <w:vAlign w:val="bottom"/>
            <w:hideMark/>
          </w:tcPr>
          <w:p w14:paraId="7C9AF4F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8.5 </w:t>
            </w:r>
          </w:p>
        </w:tc>
        <w:tc>
          <w:tcPr>
            <w:tcW w:w="895" w:type="dxa"/>
            <w:tcBorders>
              <w:top w:val="nil"/>
              <w:left w:val="nil"/>
              <w:bottom w:val="single" w:sz="4" w:space="0" w:color="auto"/>
              <w:right w:val="single" w:sz="4" w:space="0" w:color="auto"/>
            </w:tcBorders>
            <w:shd w:val="clear" w:color="auto" w:fill="auto"/>
            <w:noWrap/>
            <w:vAlign w:val="bottom"/>
            <w:hideMark/>
          </w:tcPr>
          <w:p w14:paraId="5FB5BA0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7.8 </w:t>
            </w:r>
          </w:p>
        </w:tc>
        <w:tc>
          <w:tcPr>
            <w:tcW w:w="896" w:type="dxa"/>
            <w:tcBorders>
              <w:top w:val="nil"/>
              <w:left w:val="nil"/>
              <w:bottom w:val="single" w:sz="4" w:space="0" w:color="auto"/>
              <w:right w:val="single" w:sz="4" w:space="0" w:color="auto"/>
            </w:tcBorders>
            <w:shd w:val="clear" w:color="auto" w:fill="auto"/>
            <w:noWrap/>
            <w:vAlign w:val="bottom"/>
            <w:hideMark/>
          </w:tcPr>
          <w:p w14:paraId="59AE34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7.3 </w:t>
            </w:r>
          </w:p>
        </w:tc>
        <w:tc>
          <w:tcPr>
            <w:tcW w:w="895" w:type="dxa"/>
            <w:tcBorders>
              <w:top w:val="nil"/>
              <w:left w:val="nil"/>
              <w:bottom w:val="single" w:sz="4" w:space="0" w:color="auto"/>
              <w:right w:val="single" w:sz="4" w:space="0" w:color="auto"/>
            </w:tcBorders>
            <w:shd w:val="clear" w:color="auto" w:fill="auto"/>
            <w:noWrap/>
            <w:vAlign w:val="bottom"/>
            <w:hideMark/>
          </w:tcPr>
          <w:p w14:paraId="0B20CE7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5.6 </w:t>
            </w:r>
          </w:p>
        </w:tc>
        <w:tc>
          <w:tcPr>
            <w:tcW w:w="896" w:type="dxa"/>
            <w:tcBorders>
              <w:top w:val="nil"/>
              <w:left w:val="nil"/>
              <w:bottom w:val="single" w:sz="4" w:space="0" w:color="auto"/>
              <w:right w:val="single" w:sz="4" w:space="0" w:color="auto"/>
            </w:tcBorders>
            <w:shd w:val="clear" w:color="auto" w:fill="auto"/>
            <w:noWrap/>
            <w:vAlign w:val="bottom"/>
            <w:hideMark/>
          </w:tcPr>
          <w:p w14:paraId="049CAAE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r>
      <w:tr w:rsidR="00240506" w:rsidRPr="00650EE4" w14:paraId="03276A08"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39D06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Šveicarija</w:t>
            </w:r>
          </w:p>
        </w:tc>
        <w:tc>
          <w:tcPr>
            <w:tcW w:w="895" w:type="dxa"/>
            <w:tcBorders>
              <w:top w:val="nil"/>
              <w:left w:val="nil"/>
              <w:bottom w:val="single" w:sz="4" w:space="0" w:color="auto"/>
              <w:right w:val="single" w:sz="4" w:space="0" w:color="auto"/>
            </w:tcBorders>
            <w:shd w:val="clear" w:color="auto" w:fill="auto"/>
            <w:noWrap/>
            <w:vAlign w:val="bottom"/>
            <w:hideMark/>
          </w:tcPr>
          <w:p w14:paraId="7EFC967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4.8 </w:t>
            </w:r>
          </w:p>
        </w:tc>
        <w:tc>
          <w:tcPr>
            <w:tcW w:w="895" w:type="dxa"/>
            <w:tcBorders>
              <w:top w:val="nil"/>
              <w:left w:val="nil"/>
              <w:bottom w:val="single" w:sz="4" w:space="0" w:color="auto"/>
              <w:right w:val="single" w:sz="4" w:space="0" w:color="auto"/>
            </w:tcBorders>
            <w:shd w:val="clear" w:color="auto" w:fill="auto"/>
            <w:noWrap/>
            <w:vAlign w:val="bottom"/>
            <w:hideMark/>
          </w:tcPr>
          <w:p w14:paraId="3B265DE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49EC661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5" w:type="dxa"/>
            <w:tcBorders>
              <w:top w:val="nil"/>
              <w:left w:val="nil"/>
              <w:bottom w:val="single" w:sz="4" w:space="0" w:color="auto"/>
              <w:right w:val="single" w:sz="4" w:space="0" w:color="auto"/>
            </w:tcBorders>
            <w:shd w:val="clear" w:color="auto" w:fill="auto"/>
            <w:noWrap/>
            <w:vAlign w:val="bottom"/>
            <w:hideMark/>
          </w:tcPr>
          <w:p w14:paraId="0D165D8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2E0EA23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0272DFB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0BFD5C5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c>
          <w:tcPr>
            <w:tcW w:w="895" w:type="dxa"/>
            <w:tcBorders>
              <w:top w:val="nil"/>
              <w:left w:val="nil"/>
              <w:bottom w:val="single" w:sz="4" w:space="0" w:color="auto"/>
              <w:right w:val="single" w:sz="4" w:space="0" w:color="auto"/>
            </w:tcBorders>
            <w:shd w:val="clear" w:color="auto" w:fill="auto"/>
            <w:noWrap/>
            <w:vAlign w:val="bottom"/>
            <w:hideMark/>
          </w:tcPr>
          <w:p w14:paraId="11CCBF9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76DFCF7A"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r>
      <w:tr w:rsidR="00240506" w:rsidRPr="00650EE4" w14:paraId="0F584BF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A1B6397"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Liuksemburgas</w:t>
            </w:r>
          </w:p>
        </w:tc>
        <w:tc>
          <w:tcPr>
            <w:tcW w:w="895" w:type="dxa"/>
            <w:tcBorders>
              <w:top w:val="nil"/>
              <w:left w:val="nil"/>
              <w:bottom w:val="single" w:sz="4" w:space="0" w:color="auto"/>
              <w:right w:val="single" w:sz="4" w:space="0" w:color="auto"/>
            </w:tcBorders>
            <w:shd w:val="clear" w:color="auto" w:fill="auto"/>
            <w:noWrap/>
            <w:vAlign w:val="bottom"/>
            <w:hideMark/>
          </w:tcPr>
          <w:p w14:paraId="27C8518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5" w:type="dxa"/>
            <w:tcBorders>
              <w:top w:val="nil"/>
              <w:left w:val="nil"/>
              <w:bottom w:val="single" w:sz="4" w:space="0" w:color="auto"/>
              <w:right w:val="single" w:sz="4" w:space="0" w:color="auto"/>
            </w:tcBorders>
            <w:shd w:val="clear" w:color="auto" w:fill="auto"/>
            <w:noWrap/>
            <w:vAlign w:val="bottom"/>
            <w:hideMark/>
          </w:tcPr>
          <w:p w14:paraId="4AED79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6" w:type="dxa"/>
            <w:tcBorders>
              <w:top w:val="nil"/>
              <w:left w:val="nil"/>
              <w:bottom w:val="single" w:sz="4" w:space="0" w:color="auto"/>
              <w:right w:val="single" w:sz="4" w:space="0" w:color="auto"/>
            </w:tcBorders>
            <w:shd w:val="clear" w:color="auto" w:fill="auto"/>
            <w:noWrap/>
            <w:vAlign w:val="bottom"/>
            <w:hideMark/>
          </w:tcPr>
          <w:p w14:paraId="136740D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5" w:type="dxa"/>
            <w:tcBorders>
              <w:top w:val="nil"/>
              <w:left w:val="nil"/>
              <w:bottom w:val="single" w:sz="4" w:space="0" w:color="auto"/>
              <w:right w:val="single" w:sz="4" w:space="0" w:color="auto"/>
            </w:tcBorders>
            <w:shd w:val="clear" w:color="auto" w:fill="auto"/>
            <w:noWrap/>
            <w:vAlign w:val="bottom"/>
            <w:hideMark/>
          </w:tcPr>
          <w:p w14:paraId="7B2F198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 </w:t>
            </w:r>
          </w:p>
        </w:tc>
        <w:tc>
          <w:tcPr>
            <w:tcW w:w="896" w:type="dxa"/>
            <w:tcBorders>
              <w:top w:val="nil"/>
              <w:left w:val="nil"/>
              <w:bottom w:val="single" w:sz="4" w:space="0" w:color="auto"/>
              <w:right w:val="single" w:sz="4" w:space="0" w:color="auto"/>
            </w:tcBorders>
            <w:shd w:val="clear" w:color="auto" w:fill="auto"/>
            <w:noWrap/>
            <w:vAlign w:val="bottom"/>
            <w:hideMark/>
          </w:tcPr>
          <w:p w14:paraId="58F303F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5" w:type="dxa"/>
            <w:tcBorders>
              <w:top w:val="nil"/>
              <w:left w:val="nil"/>
              <w:bottom w:val="single" w:sz="4" w:space="0" w:color="auto"/>
              <w:right w:val="single" w:sz="4" w:space="0" w:color="auto"/>
            </w:tcBorders>
            <w:shd w:val="clear" w:color="auto" w:fill="auto"/>
            <w:noWrap/>
            <w:vAlign w:val="bottom"/>
            <w:hideMark/>
          </w:tcPr>
          <w:p w14:paraId="7DEC164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651FDC8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5" w:type="dxa"/>
            <w:tcBorders>
              <w:top w:val="nil"/>
              <w:left w:val="nil"/>
              <w:bottom w:val="single" w:sz="4" w:space="0" w:color="auto"/>
              <w:right w:val="single" w:sz="4" w:space="0" w:color="auto"/>
            </w:tcBorders>
            <w:shd w:val="clear" w:color="auto" w:fill="auto"/>
            <w:noWrap/>
            <w:vAlign w:val="bottom"/>
            <w:hideMark/>
          </w:tcPr>
          <w:p w14:paraId="125B804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1.7 </w:t>
            </w:r>
          </w:p>
        </w:tc>
        <w:tc>
          <w:tcPr>
            <w:tcW w:w="896" w:type="dxa"/>
            <w:tcBorders>
              <w:top w:val="nil"/>
              <w:left w:val="nil"/>
              <w:bottom w:val="single" w:sz="4" w:space="0" w:color="auto"/>
              <w:right w:val="single" w:sz="4" w:space="0" w:color="auto"/>
            </w:tcBorders>
            <w:shd w:val="clear" w:color="auto" w:fill="auto"/>
            <w:noWrap/>
            <w:vAlign w:val="bottom"/>
            <w:hideMark/>
          </w:tcPr>
          <w:p w14:paraId="5B560DB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r>
      <w:tr w:rsidR="00240506" w:rsidRPr="00650EE4" w14:paraId="09BE828D"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966341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Vokietija</w:t>
            </w:r>
          </w:p>
        </w:tc>
        <w:tc>
          <w:tcPr>
            <w:tcW w:w="895" w:type="dxa"/>
            <w:tcBorders>
              <w:top w:val="nil"/>
              <w:left w:val="nil"/>
              <w:bottom w:val="single" w:sz="4" w:space="0" w:color="auto"/>
              <w:right w:val="single" w:sz="4" w:space="0" w:color="auto"/>
            </w:tcBorders>
            <w:shd w:val="clear" w:color="auto" w:fill="auto"/>
            <w:noWrap/>
            <w:vAlign w:val="bottom"/>
            <w:hideMark/>
          </w:tcPr>
          <w:p w14:paraId="70E8500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1B5242C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3.9 </w:t>
            </w:r>
          </w:p>
        </w:tc>
        <w:tc>
          <w:tcPr>
            <w:tcW w:w="896" w:type="dxa"/>
            <w:tcBorders>
              <w:top w:val="nil"/>
              <w:left w:val="nil"/>
              <w:bottom w:val="single" w:sz="4" w:space="0" w:color="auto"/>
              <w:right w:val="single" w:sz="4" w:space="0" w:color="auto"/>
            </w:tcBorders>
            <w:shd w:val="clear" w:color="auto" w:fill="auto"/>
            <w:noWrap/>
            <w:vAlign w:val="bottom"/>
            <w:hideMark/>
          </w:tcPr>
          <w:p w14:paraId="3DD8B56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3.4 </w:t>
            </w:r>
          </w:p>
        </w:tc>
        <w:tc>
          <w:tcPr>
            <w:tcW w:w="895" w:type="dxa"/>
            <w:tcBorders>
              <w:top w:val="nil"/>
              <w:left w:val="nil"/>
              <w:bottom w:val="single" w:sz="4" w:space="0" w:color="auto"/>
              <w:right w:val="single" w:sz="4" w:space="0" w:color="auto"/>
            </w:tcBorders>
            <w:shd w:val="clear" w:color="auto" w:fill="auto"/>
            <w:noWrap/>
            <w:vAlign w:val="bottom"/>
            <w:hideMark/>
          </w:tcPr>
          <w:p w14:paraId="3DB49DA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5510794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7408F3A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16773DB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77880B7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2.8 </w:t>
            </w:r>
          </w:p>
        </w:tc>
        <w:tc>
          <w:tcPr>
            <w:tcW w:w="896" w:type="dxa"/>
            <w:tcBorders>
              <w:top w:val="nil"/>
              <w:left w:val="nil"/>
              <w:bottom w:val="single" w:sz="4" w:space="0" w:color="auto"/>
              <w:right w:val="single" w:sz="4" w:space="0" w:color="auto"/>
            </w:tcBorders>
            <w:shd w:val="clear" w:color="auto" w:fill="auto"/>
            <w:noWrap/>
            <w:vAlign w:val="bottom"/>
            <w:hideMark/>
          </w:tcPr>
          <w:p w14:paraId="392CE0F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r>
      <w:tr w:rsidR="00240506" w:rsidRPr="00650EE4" w14:paraId="496F7D59"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CA31E8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Norvegija</w:t>
            </w:r>
          </w:p>
        </w:tc>
        <w:tc>
          <w:tcPr>
            <w:tcW w:w="895" w:type="dxa"/>
            <w:tcBorders>
              <w:top w:val="nil"/>
              <w:left w:val="nil"/>
              <w:bottom w:val="single" w:sz="4" w:space="0" w:color="auto"/>
              <w:right w:val="single" w:sz="4" w:space="0" w:color="auto"/>
            </w:tcBorders>
            <w:shd w:val="clear" w:color="auto" w:fill="auto"/>
            <w:noWrap/>
            <w:vAlign w:val="bottom"/>
            <w:hideMark/>
          </w:tcPr>
          <w:p w14:paraId="48D63F6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6.3 </w:t>
            </w:r>
          </w:p>
        </w:tc>
        <w:tc>
          <w:tcPr>
            <w:tcW w:w="895" w:type="dxa"/>
            <w:tcBorders>
              <w:top w:val="nil"/>
              <w:left w:val="nil"/>
              <w:bottom w:val="single" w:sz="4" w:space="0" w:color="auto"/>
              <w:right w:val="single" w:sz="4" w:space="0" w:color="auto"/>
            </w:tcBorders>
            <w:shd w:val="clear" w:color="auto" w:fill="auto"/>
            <w:noWrap/>
            <w:vAlign w:val="bottom"/>
            <w:hideMark/>
          </w:tcPr>
          <w:p w14:paraId="5E4B856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6.9 </w:t>
            </w:r>
          </w:p>
        </w:tc>
        <w:tc>
          <w:tcPr>
            <w:tcW w:w="896" w:type="dxa"/>
            <w:tcBorders>
              <w:top w:val="nil"/>
              <w:left w:val="nil"/>
              <w:bottom w:val="single" w:sz="4" w:space="0" w:color="auto"/>
              <w:right w:val="single" w:sz="4" w:space="0" w:color="auto"/>
            </w:tcBorders>
            <w:shd w:val="clear" w:color="auto" w:fill="auto"/>
            <w:noWrap/>
            <w:vAlign w:val="bottom"/>
            <w:hideMark/>
          </w:tcPr>
          <w:p w14:paraId="124A57C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5" w:type="dxa"/>
            <w:tcBorders>
              <w:top w:val="nil"/>
              <w:left w:val="nil"/>
              <w:bottom w:val="single" w:sz="4" w:space="0" w:color="auto"/>
              <w:right w:val="single" w:sz="4" w:space="0" w:color="auto"/>
            </w:tcBorders>
            <w:shd w:val="clear" w:color="auto" w:fill="auto"/>
            <w:noWrap/>
            <w:vAlign w:val="bottom"/>
            <w:hideMark/>
          </w:tcPr>
          <w:p w14:paraId="4915409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4.5 </w:t>
            </w:r>
          </w:p>
        </w:tc>
        <w:tc>
          <w:tcPr>
            <w:tcW w:w="896" w:type="dxa"/>
            <w:tcBorders>
              <w:top w:val="nil"/>
              <w:left w:val="nil"/>
              <w:bottom w:val="single" w:sz="4" w:space="0" w:color="auto"/>
              <w:right w:val="single" w:sz="4" w:space="0" w:color="auto"/>
            </w:tcBorders>
            <w:shd w:val="clear" w:color="auto" w:fill="auto"/>
            <w:noWrap/>
            <w:vAlign w:val="bottom"/>
            <w:hideMark/>
          </w:tcPr>
          <w:p w14:paraId="4F5B7A2E"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3.1 </w:t>
            </w:r>
          </w:p>
        </w:tc>
        <w:tc>
          <w:tcPr>
            <w:tcW w:w="895" w:type="dxa"/>
            <w:tcBorders>
              <w:top w:val="nil"/>
              <w:left w:val="nil"/>
              <w:bottom w:val="single" w:sz="4" w:space="0" w:color="auto"/>
              <w:right w:val="single" w:sz="4" w:space="0" w:color="auto"/>
            </w:tcBorders>
            <w:shd w:val="clear" w:color="auto" w:fill="auto"/>
            <w:noWrap/>
            <w:vAlign w:val="bottom"/>
            <w:hideMark/>
          </w:tcPr>
          <w:p w14:paraId="036B1FB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6" w:type="dxa"/>
            <w:tcBorders>
              <w:top w:val="nil"/>
              <w:left w:val="nil"/>
              <w:bottom w:val="single" w:sz="4" w:space="0" w:color="auto"/>
              <w:right w:val="single" w:sz="4" w:space="0" w:color="auto"/>
            </w:tcBorders>
            <w:shd w:val="clear" w:color="auto" w:fill="auto"/>
            <w:noWrap/>
            <w:vAlign w:val="bottom"/>
            <w:hideMark/>
          </w:tcPr>
          <w:p w14:paraId="3FAB68C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5" w:type="dxa"/>
            <w:tcBorders>
              <w:top w:val="nil"/>
              <w:left w:val="nil"/>
              <w:bottom w:val="single" w:sz="4" w:space="0" w:color="auto"/>
              <w:right w:val="single" w:sz="4" w:space="0" w:color="auto"/>
            </w:tcBorders>
            <w:shd w:val="clear" w:color="auto" w:fill="auto"/>
            <w:noWrap/>
            <w:vAlign w:val="bottom"/>
            <w:hideMark/>
          </w:tcPr>
          <w:p w14:paraId="2DDF32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66A0FF5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 </w:t>
            </w:r>
          </w:p>
        </w:tc>
      </w:tr>
      <w:tr w:rsidR="00240506" w:rsidRPr="00650EE4" w14:paraId="6E0BE3B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5289EA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Austrija</w:t>
            </w:r>
          </w:p>
        </w:tc>
        <w:tc>
          <w:tcPr>
            <w:tcW w:w="895" w:type="dxa"/>
            <w:tcBorders>
              <w:top w:val="nil"/>
              <w:left w:val="nil"/>
              <w:bottom w:val="single" w:sz="4" w:space="0" w:color="auto"/>
              <w:right w:val="single" w:sz="4" w:space="0" w:color="auto"/>
            </w:tcBorders>
            <w:shd w:val="clear" w:color="auto" w:fill="auto"/>
            <w:noWrap/>
            <w:vAlign w:val="bottom"/>
            <w:hideMark/>
          </w:tcPr>
          <w:p w14:paraId="125AD53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4.4 </w:t>
            </w:r>
          </w:p>
        </w:tc>
        <w:tc>
          <w:tcPr>
            <w:tcW w:w="895" w:type="dxa"/>
            <w:tcBorders>
              <w:top w:val="nil"/>
              <w:left w:val="nil"/>
              <w:bottom w:val="single" w:sz="4" w:space="0" w:color="auto"/>
              <w:right w:val="single" w:sz="4" w:space="0" w:color="auto"/>
            </w:tcBorders>
            <w:shd w:val="clear" w:color="auto" w:fill="auto"/>
            <w:noWrap/>
            <w:vAlign w:val="bottom"/>
            <w:hideMark/>
          </w:tcPr>
          <w:p w14:paraId="41B27E70"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77A9784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3.8 </w:t>
            </w:r>
          </w:p>
        </w:tc>
        <w:tc>
          <w:tcPr>
            <w:tcW w:w="895" w:type="dxa"/>
            <w:tcBorders>
              <w:top w:val="nil"/>
              <w:left w:val="nil"/>
              <w:bottom w:val="single" w:sz="4" w:space="0" w:color="auto"/>
              <w:right w:val="single" w:sz="4" w:space="0" w:color="auto"/>
            </w:tcBorders>
            <w:shd w:val="clear" w:color="auto" w:fill="auto"/>
            <w:noWrap/>
            <w:vAlign w:val="bottom"/>
            <w:hideMark/>
          </w:tcPr>
          <w:p w14:paraId="3B77798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6" w:type="dxa"/>
            <w:tcBorders>
              <w:top w:val="nil"/>
              <w:left w:val="nil"/>
              <w:bottom w:val="single" w:sz="4" w:space="0" w:color="auto"/>
              <w:right w:val="single" w:sz="4" w:space="0" w:color="auto"/>
            </w:tcBorders>
            <w:shd w:val="clear" w:color="auto" w:fill="auto"/>
            <w:noWrap/>
            <w:vAlign w:val="bottom"/>
            <w:hideMark/>
          </w:tcPr>
          <w:p w14:paraId="717F26E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5" w:type="dxa"/>
            <w:tcBorders>
              <w:top w:val="nil"/>
              <w:left w:val="nil"/>
              <w:bottom w:val="single" w:sz="4" w:space="0" w:color="auto"/>
              <w:right w:val="single" w:sz="4" w:space="0" w:color="auto"/>
            </w:tcBorders>
            <w:shd w:val="clear" w:color="auto" w:fill="auto"/>
            <w:noWrap/>
            <w:vAlign w:val="bottom"/>
            <w:hideMark/>
          </w:tcPr>
          <w:p w14:paraId="360488D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3.5 </w:t>
            </w:r>
          </w:p>
        </w:tc>
        <w:tc>
          <w:tcPr>
            <w:tcW w:w="896" w:type="dxa"/>
            <w:tcBorders>
              <w:top w:val="nil"/>
              <w:left w:val="nil"/>
              <w:bottom w:val="single" w:sz="4" w:space="0" w:color="auto"/>
              <w:right w:val="single" w:sz="4" w:space="0" w:color="auto"/>
            </w:tcBorders>
            <w:shd w:val="clear" w:color="auto" w:fill="auto"/>
            <w:noWrap/>
            <w:vAlign w:val="bottom"/>
            <w:hideMark/>
          </w:tcPr>
          <w:p w14:paraId="6701A18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449F8014"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6" w:type="dxa"/>
            <w:tcBorders>
              <w:top w:val="nil"/>
              <w:left w:val="nil"/>
              <w:bottom w:val="single" w:sz="4" w:space="0" w:color="auto"/>
              <w:right w:val="single" w:sz="4" w:space="0" w:color="auto"/>
            </w:tcBorders>
            <w:shd w:val="clear" w:color="auto" w:fill="auto"/>
            <w:noWrap/>
            <w:vAlign w:val="bottom"/>
            <w:hideMark/>
          </w:tcPr>
          <w:p w14:paraId="360161A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r>
      <w:tr w:rsidR="00240506" w:rsidRPr="00650EE4" w14:paraId="1401C511"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2C999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Švedija</w:t>
            </w:r>
          </w:p>
        </w:tc>
        <w:tc>
          <w:tcPr>
            <w:tcW w:w="895" w:type="dxa"/>
            <w:tcBorders>
              <w:top w:val="nil"/>
              <w:left w:val="nil"/>
              <w:bottom w:val="single" w:sz="4" w:space="0" w:color="auto"/>
              <w:right w:val="single" w:sz="4" w:space="0" w:color="auto"/>
            </w:tcBorders>
            <w:shd w:val="clear" w:color="auto" w:fill="auto"/>
            <w:noWrap/>
            <w:vAlign w:val="bottom"/>
            <w:hideMark/>
          </w:tcPr>
          <w:p w14:paraId="1F0DC85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5.2 </w:t>
            </w:r>
          </w:p>
        </w:tc>
        <w:tc>
          <w:tcPr>
            <w:tcW w:w="895" w:type="dxa"/>
            <w:tcBorders>
              <w:top w:val="nil"/>
              <w:left w:val="nil"/>
              <w:bottom w:val="single" w:sz="4" w:space="0" w:color="auto"/>
              <w:right w:val="single" w:sz="4" w:space="0" w:color="auto"/>
            </w:tcBorders>
            <w:shd w:val="clear" w:color="auto" w:fill="auto"/>
            <w:noWrap/>
            <w:vAlign w:val="bottom"/>
            <w:hideMark/>
          </w:tcPr>
          <w:p w14:paraId="6ECAB2A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4.6 </w:t>
            </w:r>
          </w:p>
        </w:tc>
        <w:tc>
          <w:tcPr>
            <w:tcW w:w="896" w:type="dxa"/>
            <w:tcBorders>
              <w:top w:val="nil"/>
              <w:left w:val="nil"/>
              <w:bottom w:val="single" w:sz="4" w:space="0" w:color="auto"/>
              <w:right w:val="single" w:sz="4" w:space="0" w:color="auto"/>
            </w:tcBorders>
            <w:shd w:val="clear" w:color="auto" w:fill="auto"/>
            <w:noWrap/>
            <w:vAlign w:val="bottom"/>
            <w:hideMark/>
          </w:tcPr>
          <w:p w14:paraId="71357C3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4.3 </w:t>
            </w:r>
          </w:p>
        </w:tc>
        <w:tc>
          <w:tcPr>
            <w:tcW w:w="895" w:type="dxa"/>
            <w:tcBorders>
              <w:top w:val="nil"/>
              <w:left w:val="nil"/>
              <w:bottom w:val="single" w:sz="4" w:space="0" w:color="auto"/>
              <w:right w:val="single" w:sz="4" w:space="0" w:color="auto"/>
            </w:tcBorders>
            <w:shd w:val="clear" w:color="auto" w:fill="auto"/>
            <w:noWrap/>
            <w:vAlign w:val="bottom"/>
            <w:hideMark/>
          </w:tcPr>
          <w:p w14:paraId="2BEB8DC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4.7 </w:t>
            </w:r>
          </w:p>
        </w:tc>
        <w:tc>
          <w:tcPr>
            <w:tcW w:w="896" w:type="dxa"/>
            <w:tcBorders>
              <w:top w:val="nil"/>
              <w:left w:val="nil"/>
              <w:bottom w:val="single" w:sz="4" w:space="0" w:color="auto"/>
              <w:right w:val="single" w:sz="4" w:space="0" w:color="auto"/>
            </w:tcBorders>
            <w:shd w:val="clear" w:color="auto" w:fill="auto"/>
            <w:noWrap/>
            <w:vAlign w:val="bottom"/>
            <w:hideMark/>
          </w:tcPr>
          <w:p w14:paraId="06AA8A2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3.6 </w:t>
            </w:r>
          </w:p>
        </w:tc>
        <w:tc>
          <w:tcPr>
            <w:tcW w:w="895" w:type="dxa"/>
            <w:tcBorders>
              <w:top w:val="nil"/>
              <w:left w:val="nil"/>
              <w:bottom w:val="single" w:sz="4" w:space="0" w:color="auto"/>
              <w:right w:val="single" w:sz="4" w:space="0" w:color="auto"/>
            </w:tcBorders>
            <w:shd w:val="clear" w:color="auto" w:fill="auto"/>
            <w:noWrap/>
            <w:vAlign w:val="bottom"/>
            <w:hideMark/>
          </w:tcPr>
          <w:p w14:paraId="57837806"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3.2 </w:t>
            </w:r>
          </w:p>
        </w:tc>
        <w:tc>
          <w:tcPr>
            <w:tcW w:w="896" w:type="dxa"/>
            <w:tcBorders>
              <w:top w:val="nil"/>
              <w:left w:val="nil"/>
              <w:bottom w:val="single" w:sz="4" w:space="0" w:color="auto"/>
              <w:right w:val="single" w:sz="4" w:space="0" w:color="auto"/>
            </w:tcBorders>
            <w:shd w:val="clear" w:color="auto" w:fill="auto"/>
            <w:noWrap/>
            <w:vAlign w:val="bottom"/>
            <w:hideMark/>
          </w:tcPr>
          <w:p w14:paraId="69A0674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2.6 </w:t>
            </w:r>
          </w:p>
        </w:tc>
        <w:tc>
          <w:tcPr>
            <w:tcW w:w="895" w:type="dxa"/>
            <w:tcBorders>
              <w:top w:val="nil"/>
              <w:left w:val="nil"/>
              <w:bottom w:val="single" w:sz="4" w:space="0" w:color="auto"/>
              <w:right w:val="single" w:sz="4" w:space="0" w:color="auto"/>
            </w:tcBorders>
            <w:shd w:val="clear" w:color="auto" w:fill="auto"/>
            <w:noWrap/>
            <w:vAlign w:val="bottom"/>
            <w:hideMark/>
          </w:tcPr>
          <w:p w14:paraId="49A7EF1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c>
          <w:tcPr>
            <w:tcW w:w="896" w:type="dxa"/>
            <w:tcBorders>
              <w:top w:val="nil"/>
              <w:left w:val="nil"/>
              <w:bottom w:val="single" w:sz="4" w:space="0" w:color="auto"/>
              <w:right w:val="single" w:sz="4" w:space="0" w:color="auto"/>
            </w:tcBorders>
            <w:shd w:val="clear" w:color="auto" w:fill="auto"/>
            <w:noWrap/>
            <w:vAlign w:val="bottom"/>
            <w:hideMark/>
          </w:tcPr>
          <w:p w14:paraId="4A8CBB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2.2 </w:t>
            </w:r>
          </w:p>
        </w:tc>
      </w:tr>
      <w:tr w:rsidR="00240506" w:rsidRPr="00650EE4" w14:paraId="16FA6E22"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2F1CD0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Čekija</w:t>
            </w:r>
          </w:p>
        </w:tc>
        <w:tc>
          <w:tcPr>
            <w:tcW w:w="895" w:type="dxa"/>
            <w:tcBorders>
              <w:top w:val="nil"/>
              <w:left w:val="nil"/>
              <w:bottom w:val="single" w:sz="4" w:space="0" w:color="auto"/>
              <w:right w:val="single" w:sz="4" w:space="0" w:color="auto"/>
            </w:tcBorders>
            <w:shd w:val="clear" w:color="auto" w:fill="auto"/>
            <w:noWrap/>
            <w:vAlign w:val="bottom"/>
            <w:hideMark/>
          </w:tcPr>
          <w:p w14:paraId="31546E8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4.2 </w:t>
            </w:r>
          </w:p>
        </w:tc>
        <w:tc>
          <w:tcPr>
            <w:tcW w:w="895" w:type="dxa"/>
            <w:tcBorders>
              <w:top w:val="nil"/>
              <w:left w:val="nil"/>
              <w:bottom w:val="single" w:sz="4" w:space="0" w:color="auto"/>
              <w:right w:val="single" w:sz="4" w:space="0" w:color="auto"/>
            </w:tcBorders>
            <w:shd w:val="clear" w:color="auto" w:fill="auto"/>
            <w:noWrap/>
            <w:vAlign w:val="bottom"/>
            <w:hideMark/>
          </w:tcPr>
          <w:p w14:paraId="0F21D03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4.3 </w:t>
            </w:r>
          </w:p>
        </w:tc>
        <w:tc>
          <w:tcPr>
            <w:tcW w:w="896" w:type="dxa"/>
            <w:tcBorders>
              <w:top w:val="nil"/>
              <w:left w:val="nil"/>
              <w:bottom w:val="single" w:sz="4" w:space="0" w:color="auto"/>
              <w:right w:val="single" w:sz="4" w:space="0" w:color="auto"/>
            </w:tcBorders>
            <w:shd w:val="clear" w:color="auto" w:fill="auto"/>
            <w:noWrap/>
            <w:vAlign w:val="bottom"/>
            <w:hideMark/>
          </w:tcPr>
          <w:p w14:paraId="1F3EBD2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4.1 </w:t>
            </w:r>
          </w:p>
        </w:tc>
        <w:tc>
          <w:tcPr>
            <w:tcW w:w="895" w:type="dxa"/>
            <w:tcBorders>
              <w:top w:val="nil"/>
              <w:left w:val="nil"/>
              <w:bottom w:val="single" w:sz="4" w:space="0" w:color="auto"/>
              <w:right w:val="single" w:sz="4" w:space="0" w:color="auto"/>
            </w:tcBorders>
            <w:shd w:val="clear" w:color="auto" w:fill="auto"/>
            <w:noWrap/>
            <w:vAlign w:val="bottom"/>
            <w:hideMark/>
          </w:tcPr>
          <w:p w14:paraId="44EA765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4.0 </w:t>
            </w:r>
          </w:p>
        </w:tc>
        <w:tc>
          <w:tcPr>
            <w:tcW w:w="896" w:type="dxa"/>
            <w:tcBorders>
              <w:top w:val="nil"/>
              <w:left w:val="nil"/>
              <w:bottom w:val="single" w:sz="4" w:space="0" w:color="auto"/>
              <w:right w:val="single" w:sz="4" w:space="0" w:color="auto"/>
            </w:tcBorders>
            <w:shd w:val="clear" w:color="auto" w:fill="auto"/>
            <w:noWrap/>
            <w:vAlign w:val="bottom"/>
            <w:hideMark/>
          </w:tcPr>
          <w:p w14:paraId="71CA381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4.7 </w:t>
            </w:r>
          </w:p>
        </w:tc>
        <w:tc>
          <w:tcPr>
            <w:tcW w:w="895" w:type="dxa"/>
            <w:tcBorders>
              <w:top w:val="nil"/>
              <w:left w:val="nil"/>
              <w:bottom w:val="single" w:sz="4" w:space="0" w:color="auto"/>
              <w:right w:val="single" w:sz="4" w:space="0" w:color="auto"/>
            </w:tcBorders>
            <w:shd w:val="clear" w:color="auto" w:fill="auto"/>
            <w:noWrap/>
            <w:vAlign w:val="bottom"/>
            <w:hideMark/>
          </w:tcPr>
          <w:p w14:paraId="75D7112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6" w:type="dxa"/>
            <w:tcBorders>
              <w:top w:val="nil"/>
              <w:left w:val="nil"/>
              <w:bottom w:val="single" w:sz="4" w:space="0" w:color="auto"/>
              <w:right w:val="single" w:sz="4" w:space="0" w:color="auto"/>
            </w:tcBorders>
            <w:shd w:val="clear" w:color="auto" w:fill="auto"/>
            <w:noWrap/>
            <w:vAlign w:val="bottom"/>
            <w:hideMark/>
          </w:tcPr>
          <w:p w14:paraId="56B967D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21D2AF1B"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6" w:type="dxa"/>
            <w:tcBorders>
              <w:top w:val="nil"/>
              <w:left w:val="nil"/>
              <w:bottom w:val="single" w:sz="4" w:space="0" w:color="auto"/>
              <w:right w:val="single" w:sz="4" w:space="0" w:color="auto"/>
            </w:tcBorders>
            <w:shd w:val="clear" w:color="auto" w:fill="auto"/>
            <w:noWrap/>
            <w:vAlign w:val="bottom"/>
            <w:hideMark/>
          </w:tcPr>
          <w:p w14:paraId="2A945129"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r>
      <w:tr w:rsidR="00240506" w:rsidRPr="00650EE4" w14:paraId="70D4C6BC"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05FD8D5"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Nyderlandai</w:t>
            </w:r>
          </w:p>
        </w:tc>
        <w:tc>
          <w:tcPr>
            <w:tcW w:w="895" w:type="dxa"/>
            <w:tcBorders>
              <w:top w:val="nil"/>
              <w:left w:val="nil"/>
              <w:bottom w:val="single" w:sz="4" w:space="0" w:color="auto"/>
              <w:right w:val="single" w:sz="4" w:space="0" w:color="auto"/>
            </w:tcBorders>
            <w:shd w:val="clear" w:color="auto" w:fill="auto"/>
            <w:noWrap/>
            <w:vAlign w:val="bottom"/>
            <w:hideMark/>
          </w:tcPr>
          <w:p w14:paraId="180E2BF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5" w:type="dxa"/>
            <w:tcBorders>
              <w:top w:val="nil"/>
              <w:left w:val="nil"/>
              <w:bottom w:val="single" w:sz="4" w:space="0" w:color="auto"/>
              <w:right w:val="single" w:sz="4" w:space="0" w:color="auto"/>
            </w:tcBorders>
            <w:shd w:val="clear" w:color="auto" w:fill="auto"/>
            <w:noWrap/>
            <w:vAlign w:val="bottom"/>
            <w:hideMark/>
          </w:tcPr>
          <w:p w14:paraId="72BA3CC2"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6DB9D2FD"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2.3 </w:t>
            </w:r>
          </w:p>
        </w:tc>
        <w:tc>
          <w:tcPr>
            <w:tcW w:w="895" w:type="dxa"/>
            <w:tcBorders>
              <w:top w:val="nil"/>
              <w:left w:val="nil"/>
              <w:bottom w:val="single" w:sz="4" w:space="0" w:color="auto"/>
              <w:right w:val="single" w:sz="4" w:space="0" w:color="auto"/>
            </w:tcBorders>
            <w:shd w:val="clear" w:color="auto" w:fill="auto"/>
            <w:noWrap/>
            <w:vAlign w:val="bottom"/>
            <w:hideMark/>
          </w:tcPr>
          <w:p w14:paraId="0CE01F23"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2.4 </w:t>
            </w:r>
          </w:p>
        </w:tc>
        <w:tc>
          <w:tcPr>
            <w:tcW w:w="896" w:type="dxa"/>
            <w:tcBorders>
              <w:top w:val="nil"/>
              <w:left w:val="nil"/>
              <w:bottom w:val="single" w:sz="4" w:space="0" w:color="auto"/>
              <w:right w:val="single" w:sz="4" w:space="0" w:color="auto"/>
            </w:tcBorders>
            <w:shd w:val="clear" w:color="auto" w:fill="auto"/>
            <w:noWrap/>
            <w:vAlign w:val="bottom"/>
            <w:hideMark/>
          </w:tcPr>
          <w:p w14:paraId="0D17327F"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3.0 </w:t>
            </w:r>
          </w:p>
        </w:tc>
        <w:tc>
          <w:tcPr>
            <w:tcW w:w="895" w:type="dxa"/>
            <w:tcBorders>
              <w:top w:val="nil"/>
              <w:left w:val="nil"/>
              <w:bottom w:val="single" w:sz="4" w:space="0" w:color="auto"/>
              <w:right w:val="single" w:sz="4" w:space="0" w:color="auto"/>
            </w:tcBorders>
            <w:shd w:val="clear" w:color="auto" w:fill="auto"/>
            <w:noWrap/>
            <w:vAlign w:val="bottom"/>
            <w:hideMark/>
          </w:tcPr>
          <w:p w14:paraId="4DF8EF2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2.7 </w:t>
            </w:r>
          </w:p>
        </w:tc>
        <w:tc>
          <w:tcPr>
            <w:tcW w:w="896" w:type="dxa"/>
            <w:tcBorders>
              <w:top w:val="nil"/>
              <w:left w:val="nil"/>
              <w:bottom w:val="single" w:sz="4" w:space="0" w:color="auto"/>
              <w:right w:val="single" w:sz="4" w:space="0" w:color="auto"/>
            </w:tcBorders>
            <w:shd w:val="clear" w:color="auto" w:fill="auto"/>
            <w:noWrap/>
            <w:vAlign w:val="bottom"/>
            <w:hideMark/>
          </w:tcPr>
          <w:p w14:paraId="61FA9948"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2.0 </w:t>
            </w:r>
          </w:p>
        </w:tc>
        <w:tc>
          <w:tcPr>
            <w:tcW w:w="895" w:type="dxa"/>
            <w:tcBorders>
              <w:top w:val="nil"/>
              <w:left w:val="nil"/>
              <w:bottom w:val="single" w:sz="4" w:space="0" w:color="auto"/>
              <w:right w:val="single" w:sz="4" w:space="0" w:color="auto"/>
            </w:tcBorders>
            <w:shd w:val="clear" w:color="auto" w:fill="auto"/>
            <w:noWrap/>
            <w:vAlign w:val="bottom"/>
            <w:hideMark/>
          </w:tcPr>
          <w:p w14:paraId="65D74641"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2.1 </w:t>
            </w:r>
          </w:p>
        </w:tc>
        <w:tc>
          <w:tcPr>
            <w:tcW w:w="896" w:type="dxa"/>
            <w:tcBorders>
              <w:top w:val="nil"/>
              <w:left w:val="nil"/>
              <w:bottom w:val="single" w:sz="4" w:space="0" w:color="auto"/>
              <w:right w:val="single" w:sz="4" w:space="0" w:color="auto"/>
            </w:tcBorders>
            <w:shd w:val="clear" w:color="auto" w:fill="auto"/>
            <w:noWrap/>
            <w:vAlign w:val="bottom"/>
            <w:hideMark/>
          </w:tcPr>
          <w:p w14:paraId="0EAF296C" w14:textId="77777777" w:rsidR="00240506" w:rsidRPr="00650EE4" w:rsidRDefault="00240506" w:rsidP="00DC1083">
            <w:pPr>
              <w:spacing w:line="240" w:lineRule="auto"/>
              <w:rPr>
                <w:rFonts w:ascii="Times New Roman" w:eastAsia="Times New Roman" w:hAnsi="Times New Roman"/>
                <w:color w:val="auto"/>
                <w:sz w:val="20"/>
                <w:szCs w:val="20"/>
                <w:lang w:eastAsia="en-GB"/>
              </w:rPr>
            </w:pPr>
            <w:r w:rsidRPr="00650EE4">
              <w:rPr>
                <w:rFonts w:ascii="Times New Roman" w:eastAsia="Times New Roman" w:hAnsi="Times New Roman"/>
                <w:color w:val="auto"/>
                <w:sz w:val="20"/>
                <w:szCs w:val="20"/>
                <w:lang w:eastAsia="en-GB"/>
              </w:rPr>
              <w:t xml:space="preserve"> 1.5 </w:t>
            </w:r>
          </w:p>
        </w:tc>
      </w:tr>
      <w:tr w:rsidR="00240506" w:rsidRPr="00650EE4" w14:paraId="19BA3E15" w14:textId="77777777" w:rsidTr="00530F05">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DD90479" w14:textId="0E42060C" w:rsidR="00240506" w:rsidRPr="00650EE4" w:rsidRDefault="00B219C4" w:rsidP="00B219C4">
            <w:pPr>
              <w:spacing w:line="240" w:lineRule="auto"/>
              <w:ind w:right="-78"/>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ES vidurkis</w:t>
            </w:r>
          </w:p>
        </w:tc>
        <w:tc>
          <w:tcPr>
            <w:tcW w:w="895" w:type="dxa"/>
            <w:tcBorders>
              <w:top w:val="nil"/>
              <w:left w:val="nil"/>
              <w:bottom w:val="single" w:sz="4" w:space="0" w:color="auto"/>
              <w:right w:val="single" w:sz="4" w:space="0" w:color="auto"/>
            </w:tcBorders>
            <w:shd w:val="clear" w:color="auto" w:fill="auto"/>
            <w:noWrap/>
            <w:vAlign w:val="bottom"/>
            <w:hideMark/>
          </w:tcPr>
          <w:p w14:paraId="798D5844"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9.1 </w:t>
            </w:r>
          </w:p>
        </w:tc>
        <w:tc>
          <w:tcPr>
            <w:tcW w:w="895" w:type="dxa"/>
            <w:tcBorders>
              <w:top w:val="nil"/>
              <w:left w:val="nil"/>
              <w:bottom w:val="single" w:sz="4" w:space="0" w:color="auto"/>
              <w:right w:val="single" w:sz="4" w:space="0" w:color="auto"/>
            </w:tcBorders>
            <w:shd w:val="clear" w:color="auto" w:fill="auto"/>
            <w:noWrap/>
            <w:vAlign w:val="bottom"/>
            <w:hideMark/>
          </w:tcPr>
          <w:p w14:paraId="3E801F64"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9.0 </w:t>
            </w:r>
          </w:p>
        </w:tc>
        <w:tc>
          <w:tcPr>
            <w:tcW w:w="896" w:type="dxa"/>
            <w:tcBorders>
              <w:top w:val="nil"/>
              <w:left w:val="nil"/>
              <w:bottom w:val="single" w:sz="4" w:space="0" w:color="auto"/>
              <w:right w:val="single" w:sz="4" w:space="0" w:color="auto"/>
            </w:tcBorders>
            <w:shd w:val="clear" w:color="auto" w:fill="auto"/>
            <w:noWrap/>
            <w:vAlign w:val="bottom"/>
            <w:hideMark/>
          </w:tcPr>
          <w:p w14:paraId="54410E60"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9.9 </w:t>
            </w:r>
          </w:p>
        </w:tc>
        <w:tc>
          <w:tcPr>
            <w:tcW w:w="895" w:type="dxa"/>
            <w:tcBorders>
              <w:top w:val="nil"/>
              <w:left w:val="nil"/>
              <w:bottom w:val="single" w:sz="4" w:space="0" w:color="auto"/>
              <w:right w:val="single" w:sz="4" w:space="0" w:color="auto"/>
            </w:tcBorders>
            <w:shd w:val="clear" w:color="auto" w:fill="auto"/>
            <w:noWrap/>
            <w:vAlign w:val="bottom"/>
            <w:hideMark/>
          </w:tcPr>
          <w:p w14:paraId="5ED16AEA"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10.2 </w:t>
            </w:r>
          </w:p>
        </w:tc>
        <w:tc>
          <w:tcPr>
            <w:tcW w:w="896" w:type="dxa"/>
            <w:tcBorders>
              <w:top w:val="nil"/>
              <w:left w:val="nil"/>
              <w:bottom w:val="single" w:sz="4" w:space="0" w:color="auto"/>
              <w:right w:val="single" w:sz="4" w:space="0" w:color="auto"/>
            </w:tcBorders>
            <w:shd w:val="clear" w:color="auto" w:fill="auto"/>
            <w:noWrap/>
            <w:vAlign w:val="bottom"/>
            <w:hideMark/>
          </w:tcPr>
          <w:p w14:paraId="22FF7E62"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9.9 </w:t>
            </w:r>
          </w:p>
        </w:tc>
        <w:tc>
          <w:tcPr>
            <w:tcW w:w="895" w:type="dxa"/>
            <w:tcBorders>
              <w:top w:val="nil"/>
              <w:left w:val="nil"/>
              <w:bottom w:val="single" w:sz="4" w:space="0" w:color="auto"/>
              <w:right w:val="single" w:sz="4" w:space="0" w:color="auto"/>
            </w:tcBorders>
            <w:shd w:val="clear" w:color="auto" w:fill="auto"/>
            <w:noWrap/>
            <w:vAlign w:val="bottom"/>
            <w:hideMark/>
          </w:tcPr>
          <w:p w14:paraId="3EA0343E"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9.1 </w:t>
            </w:r>
          </w:p>
        </w:tc>
        <w:tc>
          <w:tcPr>
            <w:tcW w:w="896" w:type="dxa"/>
            <w:tcBorders>
              <w:top w:val="nil"/>
              <w:left w:val="nil"/>
              <w:bottom w:val="single" w:sz="4" w:space="0" w:color="auto"/>
              <w:right w:val="single" w:sz="4" w:space="0" w:color="auto"/>
            </w:tcBorders>
            <w:shd w:val="clear" w:color="auto" w:fill="auto"/>
            <w:noWrap/>
            <w:vAlign w:val="bottom"/>
            <w:hideMark/>
          </w:tcPr>
          <w:p w14:paraId="230102AC"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8.1 </w:t>
            </w:r>
          </w:p>
        </w:tc>
        <w:tc>
          <w:tcPr>
            <w:tcW w:w="895" w:type="dxa"/>
            <w:tcBorders>
              <w:top w:val="nil"/>
              <w:left w:val="nil"/>
              <w:bottom w:val="single" w:sz="4" w:space="0" w:color="auto"/>
              <w:right w:val="single" w:sz="4" w:space="0" w:color="auto"/>
            </w:tcBorders>
            <w:shd w:val="clear" w:color="auto" w:fill="auto"/>
            <w:noWrap/>
            <w:vAlign w:val="bottom"/>
            <w:hideMark/>
          </w:tcPr>
          <w:p w14:paraId="78D03348"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7.0 </w:t>
            </w:r>
          </w:p>
        </w:tc>
        <w:tc>
          <w:tcPr>
            <w:tcW w:w="896" w:type="dxa"/>
            <w:tcBorders>
              <w:top w:val="nil"/>
              <w:left w:val="nil"/>
              <w:bottom w:val="single" w:sz="4" w:space="0" w:color="auto"/>
              <w:right w:val="single" w:sz="4" w:space="0" w:color="auto"/>
            </w:tcBorders>
            <w:shd w:val="clear" w:color="auto" w:fill="auto"/>
            <w:noWrap/>
            <w:vAlign w:val="bottom"/>
            <w:hideMark/>
          </w:tcPr>
          <w:p w14:paraId="664C5733" w14:textId="77777777" w:rsidR="00240506" w:rsidRPr="00650EE4" w:rsidRDefault="00240506" w:rsidP="00DC1083">
            <w:pPr>
              <w:spacing w:line="240" w:lineRule="auto"/>
              <w:rPr>
                <w:rFonts w:ascii="Times New Roman" w:eastAsia="Times New Roman" w:hAnsi="Times New Roman"/>
                <w:b/>
                <w:bCs/>
                <w:color w:val="auto"/>
                <w:sz w:val="20"/>
                <w:szCs w:val="20"/>
                <w:lang w:eastAsia="en-GB"/>
              </w:rPr>
            </w:pPr>
            <w:r w:rsidRPr="00650EE4">
              <w:rPr>
                <w:rFonts w:ascii="Times New Roman" w:eastAsia="Times New Roman" w:hAnsi="Times New Roman"/>
                <w:b/>
                <w:bCs/>
                <w:color w:val="auto"/>
                <w:sz w:val="20"/>
                <w:szCs w:val="20"/>
                <w:lang w:eastAsia="en-GB"/>
              </w:rPr>
              <w:t xml:space="preserve"> 6.6 </w:t>
            </w:r>
          </w:p>
        </w:tc>
      </w:tr>
    </w:tbl>
    <w:p w14:paraId="18EC7D74" w14:textId="77777777" w:rsidR="00240506" w:rsidRPr="00650EE4" w:rsidRDefault="00240506" w:rsidP="00240506">
      <w:pPr>
        <w:spacing w:before="60" w:line="240" w:lineRule="auto"/>
        <w:rPr>
          <w:rFonts w:ascii="Times New Roman" w:eastAsia="Times New Roman" w:hAnsi="Times New Roman"/>
          <w:i/>
          <w:color w:val="000000" w:themeColor="text1"/>
          <w:sz w:val="20"/>
          <w:szCs w:val="20"/>
        </w:rPr>
      </w:pPr>
      <w:r w:rsidRPr="00650EE4">
        <w:rPr>
          <w:rFonts w:ascii="Times New Roman" w:eastAsia="Times New Roman" w:hAnsi="Times New Roman"/>
          <w:i/>
          <w:color w:val="000000" w:themeColor="text1"/>
          <w:sz w:val="20"/>
          <w:szCs w:val="20"/>
        </w:rPr>
        <w:t xml:space="preserve">Šaltinis: </w:t>
      </w:r>
      <w:proofErr w:type="spellStart"/>
      <w:r w:rsidRPr="00650EE4">
        <w:rPr>
          <w:rFonts w:ascii="Times New Roman" w:eastAsia="Times New Roman" w:hAnsi="Times New Roman"/>
          <w:i/>
          <w:color w:val="000000" w:themeColor="text1"/>
          <w:sz w:val="20"/>
          <w:szCs w:val="20"/>
        </w:rPr>
        <w:t>Eurostat</w:t>
      </w:r>
      <w:proofErr w:type="spellEnd"/>
    </w:p>
    <w:p w14:paraId="43958C1B"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7DD24C94" w14:textId="0A8EF0EE" w:rsidR="0051748D" w:rsidRPr="00650EE4" w:rsidRDefault="0051748D" w:rsidP="0051748D">
      <w:pPr>
        <w:spacing w:after="120"/>
        <w:rPr>
          <w:rFonts w:ascii="Times New Roman" w:hAnsi="Times New Roman"/>
          <w:b/>
          <w:color w:val="000000" w:themeColor="text1"/>
          <w:szCs w:val="22"/>
        </w:rPr>
      </w:pPr>
      <w:r w:rsidRPr="00650EE4">
        <w:rPr>
          <w:rFonts w:ascii="Times New Roman" w:hAnsi="Times New Roman"/>
          <w:b/>
          <w:szCs w:val="22"/>
        </w:rPr>
        <w:t>Namų ūkių dalis, kurių gyvenimo sąlygos netinkamos</w:t>
      </w:r>
    </w:p>
    <w:p w14:paraId="5B2CADCA" w14:textId="5144CF11" w:rsidR="00240506" w:rsidRPr="00650EE4" w:rsidRDefault="00240506" w:rsidP="00240506">
      <w:pPr>
        <w:pStyle w:val="BodyText"/>
        <w:spacing w:line="280" w:lineRule="atLeas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Gyvenimas pastatuose, kurių gyvenimo sąlygos netinkamos, ne tik yra </w:t>
      </w:r>
      <w:r w:rsidR="0011436F" w:rsidRPr="00650EE4">
        <w:rPr>
          <w:rFonts w:ascii="Times New Roman" w:hAnsi="Times New Roman"/>
          <w:color w:val="000000" w:themeColor="text1"/>
          <w:szCs w:val="22"/>
          <w:lang w:val="lt-LT"/>
        </w:rPr>
        <w:t>ne</w:t>
      </w:r>
      <w:r w:rsidRPr="00650EE4">
        <w:rPr>
          <w:rFonts w:ascii="Times New Roman" w:hAnsi="Times New Roman"/>
          <w:color w:val="000000" w:themeColor="text1"/>
          <w:szCs w:val="22"/>
          <w:lang w:val="lt-LT"/>
        </w:rPr>
        <w:t xml:space="preserve">komfortiškas ir gali turėti neigiamų pasekmių sveikatai, tačiau tokių pastatų šildymas, net ir nepakankamai </w:t>
      </w:r>
      <w:r w:rsidR="00A27B3B" w:rsidRPr="00650EE4">
        <w:rPr>
          <w:rFonts w:ascii="Times New Roman" w:hAnsi="Times New Roman"/>
          <w:color w:val="000000" w:themeColor="text1"/>
          <w:szCs w:val="22"/>
          <w:lang w:val="lt-LT"/>
        </w:rPr>
        <w:t>šildant iki</w:t>
      </w:r>
      <w:r w:rsidRPr="00650EE4">
        <w:rPr>
          <w:rFonts w:ascii="Times New Roman" w:hAnsi="Times New Roman"/>
          <w:color w:val="000000" w:themeColor="text1"/>
          <w:szCs w:val="22"/>
          <w:lang w:val="lt-LT"/>
        </w:rPr>
        <w:t xml:space="preserve"> higienos norm</w:t>
      </w:r>
      <w:r w:rsidR="00A27B3B" w:rsidRPr="00650EE4">
        <w:rPr>
          <w:rFonts w:ascii="Times New Roman" w:hAnsi="Times New Roman"/>
          <w:color w:val="000000" w:themeColor="text1"/>
          <w:szCs w:val="22"/>
          <w:lang w:val="lt-LT"/>
        </w:rPr>
        <w:t>ų atitikimo</w:t>
      </w:r>
      <w:r w:rsidRPr="00650EE4">
        <w:rPr>
          <w:rFonts w:ascii="Times New Roman" w:hAnsi="Times New Roman"/>
          <w:color w:val="000000" w:themeColor="text1"/>
          <w:szCs w:val="22"/>
          <w:lang w:val="lt-LT"/>
        </w:rPr>
        <w:t xml:space="preserve"> yra brangus ir gali turėti reikšmingos įtakos namų ūkių įsiskolinimui. Lietuvoje tokių namų ūkių dalis 2010-2018 m. mažėjo nuo 19,2 proc. iki 14,8 proc. 2018 m. ir priartėjo prie ES vidurkio 13,9 proc.. Daugiabučių renovacija yra </w:t>
      </w:r>
      <w:r w:rsidRPr="00650EE4">
        <w:rPr>
          <w:rFonts w:ascii="Times New Roman" w:hAnsi="Times New Roman"/>
          <w:color w:val="000000" w:themeColor="text1"/>
          <w:szCs w:val="22"/>
          <w:lang w:val="lt-LT"/>
        </w:rPr>
        <w:lastRenderedPageBreak/>
        <w:t>vienas iš faktorių gerinančių šią statistiką, tačiau didėjančios pajamos leido ir namų ūkiams patiems atlikti remonto darbus</w:t>
      </w:r>
      <w:r w:rsidR="00AF081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sprendžiančius esmines pastatų problemas. </w:t>
      </w:r>
      <w:r w:rsidR="00AF0810" w:rsidRPr="00650EE4">
        <w:rPr>
          <w:rFonts w:ascii="Times New Roman" w:hAnsi="Times New Roman"/>
          <w:color w:val="000000" w:themeColor="text1"/>
          <w:szCs w:val="22"/>
          <w:lang w:val="lt-LT"/>
        </w:rPr>
        <w:t xml:space="preserve">Atitinkamai, </w:t>
      </w:r>
      <w:r w:rsidRPr="00650EE4">
        <w:rPr>
          <w:rFonts w:ascii="Times New Roman" w:hAnsi="Times New Roman"/>
          <w:color w:val="000000" w:themeColor="text1"/>
          <w:szCs w:val="22"/>
          <w:lang w:val="lt-LT"/>
        </w:rPr>
        <w:t>finansavimo priemonių individualių namų renovacijai</w:t>
      </w:r>
      <w:r w:rsidR="00AF0810" w:rsidRPr="00650EE4">
        <w:rPr>
          <w:rFonts w:ascii="Times New Roman" w:hAnsi="Times New Roman"/>
          <w:color w:val="000000" w:themeColor="text1"/>
          <w:szCs w:val="22"/>
          <w:lang w:val="lt-LT"/>
        </w:rPr>
        <w:t xml:space="preserve"> trūkumas (</w:t>
      </w:r>
      <w:r w:rsidRPr="00650EE4">
        <w:rPr>
          <w:rFonts w:ascii="Times New Roman" w:hAnsi="Times New Roman"/>
          <w:color w:val="000000" w:themeColor="text1"/>
          <w:szCs w:val="22"/>
          <w:lang w:val="lt-LT"/>
        </w:rPr>
        <w:t>bent esminėms konstrukcijoms</w:t>
      </w:r>
      <w:r w:rsidR="00AF081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kaimo vietovėse</w:t>
      </w:r>
      <w:r w:rsidR="00AF0810" w:rsidRPr="00650EE4">
        <w:rPr>
          <w:rFonts w:ascii="Times New Roman" w:hAnsi="Times New Roman"/>
          <w:color w:val="000000" w:themeColor="text1"/>
          <w:szCs w:val="22"/>
          <w:lang w:val="lt-LT"/>
        </w:rPr>
        <w:t xml:space="preserve"> gali </w:t>
      </w:r>
      <w:r w:rsidR="00781599" w:rsidRPr="00650EE4">
        <w:rPr>
          <w:rFonts w:ascii="Times New Roman" w:hAnsi="Times New Roman"/>
          <w:color w:val="000000" w:themeColor="text1"/>
          <w:szCs w:val="22"/>
          <w:lang w:val="lt-LT"/>
        </w:rPr>
        <w:t>stipriai</w:t>
      </w:r>
      <w:r w:rsidR="00AF0810" w:rsidRPr="00650EE4">
        <w:rPr>
          <w:rFonts w:ascii="Times New Roman" w:hAnsi="Times New Roman"/>
          <w:color w:val="000000" w:themeColor="text1"/>
          <w:szCs w:val="22"/>
          <w:lang w:val="lt-LT"/>
        </w:rPr>
        <w:t xml:space="preserve"> riboti </w:t>
      </w:r>
      <w:r w:rsidRPr="00650EE4">
        <w:rPr>
          <w:rFonts w:ascii="Times New Roman" w:hAnsi="Times New Roman"/>
          <w:color w:val="000000" w:themeColor="text1"/>
          <w:szCs w:val="22"/>
          <w:lang w:val="lt-LT"/>
        </w:rPr>
        <w:t xml:space="preserve">galimybes sumažinti namų ūkių dalį, kurių gyvenimo sąlygos </w:t>
      </w:r>
      <w:r w:rsidR="00AF0810" w:rsidRPr="00650EE4">
        <w:rPr>
          <w:rFonts w:ascii="Times New Roman" w:hAnsi="Times New Roman"/>
          <w:color w:val="000000" w:themeColor="text1"/>
          <w:szCs w:val="22"/>
          <w:lang w:val="lt-LT"/>
        </w:rPr>
        <w:t>yra</w:t>
      </w:r>
      <w:r w:rsidRPr="00650EE4">
        <w:rPr>
          <w:rFonts w:ascii="Times New Roman" w:hAnsi="Times New Roman"/>
          <w:color w:val="000000" w:themeColor="text1"/>
          <w:szCs w:val="22"/>
          <w:lang w:val="lt-LT"/>
        </w:rPr>
        <w:t xml:space="preserve"> žemiau ES vidurkio.</w:t>
      </w:r>
    </w:p>
    <w:p w14:paraId="5C14113F" w14:textId="77777777" w:rsidR="00240506" w:rsidRPr="00650EE4" w:rsidRDefault="00240506" w:rsidP="00240506">
      <w:pPr>
        <w:pStyle w:val="BodyText"/>
        <w:spacing w:line="280" w:lineRule="atLeast"/>
        <w:jc w:val="both"/>
        <w:rPr>
          <w:rFonts w:ascii="Times New Roman" w:hAnsi="Times New Roman"/>
          <w:color w:val="000000" w:themeColor="text1"/>
          <w:szCs w:val="22"/>
          <w:lang w:val="lt-LT"/>
        </w:rPr>
      </w:pPr>
    </w:p>
    <w:p w14:paraId="08E68930" w14:textId="19191810" w:rsidR="00240506"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4" w:name="_Toc59094232"/>
      <w:r w:rsidR="00F25C65">
        <w:t>49</w:t>
      </w:r>
      <w:r w:rsidRPr="00650EE4">
        <w:rPr>
          <w:noProof w:val="0"/>
        </w:rPr>
        <w:fldChar w:fldCharType="end"/>
      </w:r>
      <w:r w:rsidR="00240506" w:rsidRPr="00650EE4">
        <w:rPr>
          <w:noProof w:val="0"/>
        </w:rPr>
        <w:t xml:space="preserve"> lentelė. Namų ūkių dalis, kurių gyvenimo sąlygos netinkamos, 2010-2018 m., proc.</w:t>
      </w:r>
      <w:bookmarkEnd w:id="134"/>
    </w:p>
    <w:tbl>
      <w:tblPr>
        <w:tblW w:w="5000" w:type="pct"/>
        <w:tblLayout w:type="fixed"/>
        <w:tblLook w:val="04A0" w:firstRow="1" w:lastRow="0" w:firstColumn="1" w:lastColumn="0" w:noHBand="0" w:noVBand="1"/>
      </w:tblPr>
      <w:tblGrid>
        <w:gridCol w:w="2049"/>
        <w:gridCol w:w="930"/>
        <w:gridCol w:w="930"/>
        <w:gridCol w:w="930"/>
        <w:gridCol w:w="930"/>
        <w:gridCol w:w="930"/>
        <w:gridCol w:w="930"/>
        <w:gridCol w:w="930"/>
        <w:gridCol w:w="930"/>
        <w:gridCol w:w="931"/>
      </w:tblGrid>
      <w:tr w:rsidR="00240506" w:rsidRPr="00650EE4" w14:paraId="2594D511" w14:textId="77777777" w:rsidTr="00DF628E">
        <w:trPr>
          <w:tblHeader/>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29AE1D" w14:textId="347251FE"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 </w:t>
            </w:r>
            <w:r w:rsidR="00057984" w:rsidRPr="00650EE4">
              <w:rPr>
                <w:rFonts w:ascii="Times New Roman" w:eastAsia="Times New Roman" w:hAnsi="Times New Roman"/>
                <w:b/>
                <w:bCs/>
                <w:sz w:val="20"/>
                <w:szCs w:val="20"/>
                <w:lang w:eastAsia="en-GB"/>
              </w:rPr>
              <w:t>Valstybė</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4D094070"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2010</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76F9E179"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2011</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6B4BE886"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2012</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5A244966"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2013</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3D20BD79"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2014</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2C11A89E"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2015</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3C7E9130"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2016</w:t>
            </w:r>
          </w:p>
        </w:tc>
        <w:tc>
          <w:tcPr>
            <w:tcW w:w="899" w:type="dxa"/>
            <w:tcBorders>
              <w:top w:val="single" w:sz="4" w:space="0" w:color="auto"/>
              <w:left w:val="nil"/>
              <w:bottom w:val="single" w:sz="4" w:space="0" w:color="auto"/>
              <w:right w:val="single" w:sz="4" w:space="0" w:color="auto"/>
            </w:tcBorders>
            <w:shd w:val="clear" w:color="auto" w:fill="auto"/>
            <w:noWrap/>
            <w:vAlign w:val="bottom"/>
            <w:hideMark/>
          </w:tcPr>
          <w:p w14:paraId="5E94A578"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2017</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079CCDEE" w14:textId="77777777" w:rsidR="00240506" w:rsidRPr="00650EE4" w:rsidRDefault="00240506" w:rsidP="00DC1083">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2018</w:t>
            </w:r>
          </w:p>
        </w:tc>
      </w:tr>
      <w:tr w:rsidR="00240506" w:rsidRPr="00650EE4" w14:paraId="42B6B2A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9BEAA1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Portugalija</w:t>
            </w:r>
          </w:p>
        </w:tc>
        <w:tc>
          <w:tcPr>
            <w:tcW w:w="899" w:type="dxa"/>
            <w:tcBorders>
              <w:top w:val="nil"/>
              <w:left w:val="nil"/>
              <w:bottom w:val="single" w:sz="4" w:space="0" w:color="auto"/>
              <w:right w:val="single" w:sz="4" w:space="0" w:color="auto"/>
            </w:tcBorders>
            <w:shd w:val="clear" w:color="auto" w:fill="auto"/>
            <w:noWrap/>
            <w:vAlign w:val="bottom"/>
            <w:hideMark/>
          </w:tcPr>
          <w:p w14:paraId="0290280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21.9</w:t>
            </w:r>
          </w:p>
        </w:tc>
        <w:tc>
          <w:tcPr>
            <w:tcW w:w="899" w:type="dxa"/>
            <w:tcBorders>
              <w:top w:val="nil"/>
              <w:left w:val="nil"/>
              <w:bottom w:val="single" w:sz="4" w:space="0" w:color="auto"/>
              <w:right w:val="single" w:sz="4" w:space="0" w:color="auto"/>
            </w:tcBorders>
            <w:shd w:val="clear" w:color="auto" w:fill="auto"/>
            <w:noWrap/>
            <w:vAlign w:val="bottom"/>
            <w:hideMark/>
          </w:tcPr>
          <w:p w14:paraId="6F5D193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21.3</w:t>
            </w:r>
          </w:p>
        </w:tc>
        <w:tc>
          <w:tcPr>
            <w:tcW w:w="899" w:type="dxa"/>
            <w:tcBorders>
              <w:top w:val="nil"/>
              <w:left w:val="nil"/>
              <w:bottom w:val="single" w:sz="4" w:space="0" w:color="auto"/>
              <w:right w:val="single" w:sz="4" w:space="0" w:color="auto"/>
            </w:tcBorders>
            <w:shd w:val="clear" w:color="auto" w:fill="auto"/>
            <w:noWrap/>
            <w:vAlign w:val="bottom"/>
            <w:hideMark/>
          </w:tcPr>
          <w:p w14:paraId="619D506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w:t>
            </w:r>
          </w:p>
        </w:tc>
        <w:tc>
          <w:tcPr>
            <w:tcW w:w="899" w:type="dxa"/>
            <w:tcBorders>
              <w:top w:val="nil"/>
              <w:left w:val="nil"/>
              <w:bottom w:val="single" w:sz="4" w:space="0" w:color="auto"/>
              <w:right w:val="single" w:sz="4" w:space="0" w:color="auto"/>
            </w:tcBorders>
            <w:shd w:val="clear" w:color="auto" w:fill="auto"/>
            <w:noWrap/>
            <w:vAlign w:val="bottom"/>
            <w:hideMark/>
          </w:tcPr>
          <w:p w14:paraId="6B22BF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31.9</w:t>
            </w:r>
          </w:p>
        </w:tc>
        <w:tc>
          <w:tcPr>
            <w:tcW w:w="899" w:type="dxa"/>
            <w:tcBorders>
              <w:top w:val="nil"/>
              <w:left w:val="nil"/>
              <w:bottom w:val="single" w:sz="4" w:space="0" w:color="auto"/>
              <w:right w:val="single" w:sz="4" w:space="0" w:color="auto"/>
            </w:tcBorders>
            <w:shd w:val="clear" w:color="auto" w:fill="auto"/>
            <w:noWrap/>
            <w:vAlign w:val="bottom"/>
            <w:hideMark/>
          </w:tcPr>
          <w:p w14:paraId="2F1D99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32.8</w:t>
            </w:r>
          </w:p>
        </w:tc>
        <w:tc>
          <w:tcPr>
            <w:tcW w:w="899" w:type="dxa"/>
            <w:tcBorders>
              <w:top w:val="nil"/>
              <w:left w:val="nil"/>
              <w:bottom w:val="single" w:sz="4" w:space="0" w:color="auto"/>
              <w:right w:val="single" w:sz="4" w:space="0" w:color="auto"/>
            </w:tcBorders>
            <w:shd w:val="clear" w:color="auto" w:fill="auto"/>
            <w:noWrap/>
            <w:vAlign w:val="bottom"/>
            <w:hideMark/>
          </w:tcPr>
          <w:p w14:paraId="1DA9625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28.1</w:t>
            </w:r>
          </w:p>
        </w:tc>
        <w:tc>
          <w:tcPr>
            <w:tcW w:w="899" w:type="dxa"/>
            <w:tcBorders>
              <w:top w:val="nil"/>
              <w:left w:val="nil"/>
              <w:bottom w:val="single" w:sz="4" w:space="0" w:color="auto"/>
              <w:right w:val="single" w:sz="4" w:space="0" w:color="auto"/>
            </w:tcBorders>
            <w:shd w:val="clear" w:color="auto" w:fill="auto"/>
            <w:noWrap/>
            <w:vAlign w:val="bottom"/>
            <w:hideMark/>
          </w:tcPr>
          <w:p w14:paraId="062E7E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30.5</w:t>
            </w:r>
          </w:p>
        </w:tc>
        <w:tc>
          <w:tcPr>
            <w:tcW w:w="899" w:type="dxa"/>
            <w:tcBorders>
              <w:top w:val="nil"/>
              <w:left w:val="nil"/>
              <w:bottom w:val="single" w:sz="4" w:space="0" w:color="auto"/>
              <w:right w:val="single" w:sz="4" w:space="0" w:color="auto"/>
            </w:tcBorders>
            <w:shd w:val="clear" w:color="auto" w:fill="auto"/>
            <w:noWrap/>
            <w:vAlign w:val="bottom"/>
            <w:hideMark/>
          </w:tcPr>
          <w:p w14:paraId="40C5ED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25.5</w:t>
            </w:r>
          </w:p>
        </w:tc>
        <w:tc>
          <w:tcPr>
            <w:tcW w:w="900" w:type="dxa"/>
            <w:tcBorders>
              <w:top w:val="nil"/>
              <w:left w:val="nil"/>
              <w:bottom w:val="single" w:sz="4" w:space="0" w:color="auto"/>
              <w:right w:val="single" w:sz="4" w:space="0" w:color="auto"/>
            </w:tcBorders>
            <w:shd w:val="clear" w:color="auto" w:fill="auto"/>
            <w:noWrap/>
            <w:vAlign w:val="bottom"/>
            <w:hideMark/>
          </w:tcPr>
          <w:p w14:paraId="043A114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r>
      <w:tr w:rsidR="00240506" w:rsidRPr="00650EE4" w14:paraId="67C1AA9D"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5F192C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Latvija</w:t>
            </w:r>
          </w:p>
        </w:tc>
        <w:tc>
          <w:tcPr>
            <w:tcW w:w="899" w:type="dxa"/>
            <w:tcBorders>
              <w:top w:val="nil"/>
              <w:left w:val="nil"/>
              <w:bottom w:val="single" w:sz="4" w:space="0" w:color="auto"/>
              <w:right w:val="single" w:sz="4" w:space="0" w:color="auto"/>
            </w:tcBorders>
            <w:shd w:val="clear" w:color="auto" w:fill="auto"/>
            <w:noWrap/>
            <w:vAlign w:val="bottom"/>
            <w:hideMark/>
          </w:tcPr>
          <w:p w14:paraId="4F98C6C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24.7</w:t>
            </w:r>
          </w:p>
        </w:tc>
        <w:tc>
          <w:tcPr>
            <w:tcW w:w="899" w:type="dxa"/>
            <w:tcBorders>
              <w:top w:val="nil"/>
              <w:left w:val="nil"/>
              <w:bottom w:val="single" w:sz="4" w:space="0" w:color="auto"/>
              <w:right w:val="single" w:sz="4" w:space="0" w:color="auto"/>
            </w:tcBorders>
            <w:shd w:val="clear" w:color="auto" w:fill="auto"/>
            <w:noWrap/>
            <w:vAlign w:val="bottom"/>
            <w:hideMark/>
          </w:tcPr>
          <w:p w14:paraId="330E2B6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26.0</w:t>
            </w:r>
          </w:p>
        </w:tc>
        <w:tc>
          <w:tcPr>
            <w:tcW w:w="899" w:type="dxa"/>
            <w:tcBorders>
              <w:top w:val="nil"/>
              <w:left w:val="nil"/>
              <w:bottom w:val="single" w:sz="4" w:space="0" w:color="auto"/>
              <w:right w:val="single" w:sz="4" w:space="0" w:color="auto"/>
            </w:tcBorders>
            <w:shd w:val="clear" w:color="auto" w:fill="auto"/>
            <w:noWrap/>
            <w:vAlign w:val="bottom"/>
            <w:hideMark/>
          </w:tcPr>
          <w:p w14:paraId="41A35B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28.2</w:t>
            </w:r>
          </w:p>
        </w:tc>
        <w:tc>
          <w:tcPr>
            <w:tcW w:w="899" w:type="dxa"/>
            <w:tcBorders>
              <w:top w:val="nil"/>
              <w:left w:val="nil"/>
              <w:bottom w:val="single" w:sz="4" w:space="0" w:color="auto"/>
              <w:right w:val="single" w:sz="4" w:space="0" w:color="auto"/>
            </w:tcBorders>
            <w:shd w:val="clear" w:color="auto" w:fill="auto"/>
            <w:noWrap/>
            <w:vAlign w:val="bottom"/>
            <w:hideMark/>
          </w:tcPr>
          <w:p w14:paraId="32ED512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27.7</w:t>
            </w:r>
          </w:p>
        </w:tc>
        <w:tc>
          <w:tcPr>
            <w:tcW w:w="899" w:type="dxa"/>
            <w:tcBorders>
              <w:top w:val="nil"/>
              <w:left w:val="nil"/>
              <w:bottom w:val="single" w:sz="4" w:space="0" w:color="auto"/>
              <w:right w:val="single" w:sz="4" w:space="0" w:color="auto"/>
            </w:tcBorders>
            <w:shd w:val="clear" w:color="auto" w:fill="auto"/>
            <w:noWrap/>
            <w:vAlign w:val="bottom"/>
            <w:hideMark/>
          </w:tcPr>
          <w:p w14:paraId="554FC29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27.5</w:t>
            </w:r>
          </w:p>
        </w:tc>
        <w:tc>
          <w:tcPr>
            <w:tcW w:w="899" w:type="dxa"/>
            <w:tcBorders>
              <w:top w:val="nil"/>
              <w:left w:val="nil"/>
              <w:bottom w:val="single" w:sz="4" w:space="0" w:color="auto"/>
              <w:right w:val="single" w:sz="4" w:space="0" w:color="auto"/>
            </w:tcBorders>
            <w:shd w:val="clear" w:color="auto" w:fill="auto"/>
            <w:noWrap/>
            <w:vAlign w:val="bottom"/>
            <w:hideMark/>
          </w:tcPr>
          <w:p w14:paraId="6FE8671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24.4</w:t>
            </w:r>
          </w:p>
        </w:tc>
        <w:tc>
          <w:tcPr>
            <w:tcW w:w="899" w:type="dxa"/>
            <w:tcBorders>
              <w:top w:val="nil"/>
              <w:left w:val="nil"/>
              <w:bottom w:val="single" w:sz="4" w:space="0" w:color="auto"/>
              <w:right w:val="single" w:sz="4" w:space="0" w:color="auto"/>
            </w:tcBorders>
            <w:shd w:val="clear" w:color="auto" w:fill="auto"/>
            <w:noWrap/>
            <w:vAlign w:val="bottom"/>
            <w:hideMark/>
          </w:tcPr>
          <w:p w14:paraId="41C756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21.9</w:t>
            </w:r>
          </w:p>
        </w:tc>
        <w:tc>
          <w:tcPr>
            <w:tcW w:w="899" w:type="dxa"/>
            <w:tcBorders>
              <w:top w:val="nil"/>
              <w:left w:val="nil"/>
              <w:bottom w:val="single" w:sz="4" w:space="0" w:color="auto"/>
              <w:right w:val="single" w:sz="4" w:space="0" w:color="auto"/>
            </w:tcBorders>
            <w:shd w:val="clear" w:color="auto" w:fill="auto"/>
            <w:noWrap/>
            <w:vAlign w:val="bottom"/>
            <w:hideMark/>
          </w:tcPr>
          <w:p w14:paraId="1758514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22.8</w:t>
            </w:r>
          </w:p>
        </w:tc>
        <w:tc>
          <w:tcPr>
            <w:tcW w:w="900" w:type="dxa"/>
            <w:tcBorders>
              <w:top w:val="nil"/>
              <w:left w:val="nil"/>
              <w:bottom w:val="single" w:sz="4" w:space="0" w:color="auto"/>
              <w:right w:val="single" w:sz="4" w:space="0" w:color="auto"/>
            </w:tcBorders>
            <w:shd w:val="clear" w:color="auto" w:fill="auto"/>
            <w:noWrap/>
            <w:vAlign w:val="bottom"/>
            <w:hideMark/>
          </w:tcPr>
          <w:p w14:paraId="3232F3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23.5</w:t>
            </w:r>
          </w:p>
        </w:tc>
      </w:tr>
      <w:tr w:rsidR="00240506" w:rsidRPr="00650EE4" w14:paraId="2C913C9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BB40A0"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Slovėnija</w:t>
            </w:r>
          </w:p>
        </w:tc>
        <w:tc>
          <w:tcPr>
            <w:tcW w:w="899" w:type="dxa"/>
            <w:tcBorders>
              <w:top w:val="nil"/>
              <w:left w:val="nil"/>
              <w:bottom w:val="single" w:sz="4" w:space="0" w:color="auto"/>
              <w:right w:val="single" w:sz="4" w:space="0" w:color="auto"/>
            </w:tcBorders>
            <w:shd w:val="clear" w:color="auto" w:fill="auto"/>
            <w:noWrap/>
            <w:vAlign w:val="bottom"/>
            <w:hideMark/>
          </w:tcPr>
          <w:p w14:paraId="29AAE9B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32.4</w:t>
            </w:r>
          </w:p>
        </w:tc>
        <w:tc>
          <w:tcPr>
            <w:tcW w:w="899" w:type="dxa"/>
            <w:tcBorders>
              <w:top w:val="nil"/>
              <w:left w:val="nil"/>
              <w:bottom w:val="single" w:sz="4" w:space="0" w:color="auto"/>
              <w:right w:val="single" w:sz="4" w:space="0" w:color="auto"/>
            </w:tcBorders>
            <w:shd w:val="clear" w:color="auto" w:fill="auto"/>
            <w:noWrap/>
            <w:vAlign w:val="bottom"/>
            <w:hideMark/>
          </w:tcPr>
          <w:p w14:paraId="1CD4855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34.7</w:t>
            </w:r>
          </w:p>
        </w:tc>
        <w:tc>
          <w:tcPr>
            <w:tcW w:w="899" w:type="dxa"/>
            <w:tcBorders>
              <w:top w:val="nil"/>
              <w:left w:val="nil"/>
              <w:bottom w:val="single" w:sz="4" w:space="0" w:color="auto"/>
              <w:right w:val="single" w:sz="4" w:space="0" w:color="auto"/>
            </w:tcBorders>
            <w:shd w:val="clear" w:color="auto" w:fill="auto"/>
            <w:noWrap/>
            <w:vAlign w:val="bottom"/>
            <w:hideMark/>
          </w:tcPr>
          <w:p w14:paraId="200C4A7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31.5</w:t>
            </w:r>
          </w:p>
        </w:tc>
        <w:tc>
          <w:tcPr>
            <w:tcW w:w="899" w:type="dxa"/>
            <w:tcBorders>
              <w:top w:val="nil"/>
              <w:left w:val="nil"/>
              <w:bottom w:val="single" w:sz="4" w:space="0" w:color="auto"/>
              <w:right w:val="single" w:sz="4" w:space="0" w:color="auto"/>
            </w:tcBorders>
            <w:shd w:val="clear" w:color="auto" w:fill="auto"/>
            <w:noWrap/>
            <w:vAlign w:val="bottom"/>
            <w:hideMark/>
          </w:tcPr>
          <w:p w14:paraId="1291E51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27</w:t>
            </w:r>
          </w:p>
        </w:tc>
        <w:tc>
          <w:tcPr>
            <w:tcW w:w="899" w:type="dxa"/>
            <w:tcBorders>
              <w:top w:val="nil"/>
              <w:left w:val="nil"/>
              <w:bottom w:val="single" w:sz="4" w:space="0" w:color="auto"/>
              <w:right w:val="single" w:sz="4" w:space="0" w:color="auto"/>
            </w:tcBorders>
            <w:shd w:val="clear" w:color="auto" w:fill="auto"/>
            <w:noWrap/>
            <w:vAlign w:val="bottom"/>
            <w:hideMark/>
          </w:tcPr>
          <w:p w14:paraId="020D803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29.9</w:t>
            </w:r>
          </w:p>
        </w:tc>
        <w:tc>
          <w:tcPr>
            <w:tcW w:w="899" w:type="dxa"/>
            <w:tcBorders>
              <w:top w:val="nil"/>
              <w:left w:val="nil"/>
              <w:bottom w:val="single" w:sz="4" w:space="0" w:color="auto"/>
              <w:right w:val="single" w:sz="4" w:space="0" w:color="auto"/>
            </w:tcBorders>
            <w:shd w:val="clear" w:color="auto" w:fill="auto"/>
            <w:noWrap/>
            <w:vAlign w:val="bottom"/>
            <w:hideMark/>
          </w:tcPr>
          <w:p w14:paraId="5AFD6D7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c>
          <w:tcPr>
            <w:tcW w:w="899" w:type="dxa"/>
            <w:tcBorders>
              <w:top w:val="nil"/>
              <w:left w:val="nil"/>
              <w:bottom w:val="single" w:sz="4" w:space="0" w:color="auto"/>
              <w:right w:val="single" w:sz="4" w:space="0" w:color="auto"/>
            </w:tcBorders>
            <w:shd w:val="clear" w:color="auto" w:fill="auto"/>
            <w:noWrap/>
            <w:vAlign w:val="bottom"/>
            <w:hideMark/>
          </w:tcPr>
          <w:p w14:paraId="475C544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23.8</w:t>
            </w:r>
          </w:p>
        </w:tc>
        <w:tc>
          <w:tcPr>
            <w:tcW w:w="899" w:type="dxa"/>
            <w:tcBorders>
              <w:top w:val="nil"/>
              <w:left w:val="nil"/>
              <w:bottom w:val="single" w:sz="4" w:space="0" w:color="auto"/>
              <w:right w:val="single" w:sz="4" w:space="0" w:color="auto"/>
            </w:tcBorders>
            <w:shd w:val="clear" w:color="auto" w:fill="auto"/>
            <w:noWrap/>
            <w:vAlign w:val="bottom"/>
            <w:hideMark/>
          </w:tcPr>
          <w:p w14:paraId="3C19280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w:t>
            </w:r>
          </w:p>
        </w:tc>
        <w:tc>
          <w:tcPr>
            <w:tcW w:w="900" w:type="dxa"/>
            <w:tcBorders>
              <w:top w:val="nil"/>
              <w:left w:val="nil"/>
              <w:bottom w:val="single" w:sz="4" w:space="0" w:color="auto"/>
              <w:right w:val="single" w:sz="4" w:space="0" w:color="auto"/>
            </w:tcBorders>
            <w:shd w:val="clear" w:color="auto" w:fill="auto"/>
            <w:noWrap/>
            <w:vAlign w:val="bottom"/>
            <w:hideMark/>
          </w:tcPr>
          <w:p w14:paraId="2C21ED1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22.7</w:t>
            </w:r>
          </w:p>
        </w:tc>
      </w:tr>
      <w:tr w:rsidR="00240506" w:rsidRPr="00650EE4" w14:paraId="56F1000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ACE06E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Vengrija</w:t>
            </w:r>
          </w:p>
        </w:tc>
        <w:tc>
          <w:tcPr>
            <w:tcW w:w="899" w:type="dxa"/>
            <w:tcBorders>
              <w:top w:val="nil"/>
              <w:left w:val="nil"/>
              <w:bottom w:val="single" w:sz="4" w:space="0" w:color="auto"/>
              <w:right w:val="single" w:sz="4" w:space="0" w:color="auto"/>
            </w:tcBorders>
            <w:shd w:val="clear" w:color="auto" w:fill="auto"/>
            <w:noWrap/>
            <w:vAlign w:val="bottom"/>
            <w:hideMark/>
          </w:tcPr>
          <w:p w14:paraId="2CECBA6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24.2</w:t>
            </w:r>
          </w:p>
        </w:tc>
        <w:tc>
          <w:tcPr>
            <w:tcW w:w="899" w:type="dxa"/>
            <w:tcBorders>
              <w:top w:val="nil"/>
              <w:left w:val="nil"/>
              <w:bottom w:val="single" w:sz="4" w:space="0" w:color="auto"/>
              <w:right w:val="single" w:sz="4" w:space="0" w:color="auto"/>
            </w:tcBorders>
            <w:shd w:val="clear" w:color="auto" w:fill="auto"/>
            <w:noWrap/>
            <w:vAlign w:val="bottom"/>
            <w:hideMark/>
          </w:tcPr>
          <w:p w14:paraId="10B777A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22.1</w:t>
            </w:r>
          </w:p>
        </w:tc>
        <w:tc>
          <w:tcPr>
            <w:tcW w:w="899" w:type="dxa"/>
            <w:tcBorders>
              <w:top w:val="nil"/>
              <w:left w:val="nil"/>
              <w:bottom w:val="single" w:sz="4" w:space="0" w:color="auto"/>
              <w:right w:val="single" w:sz="4" w:space="0" w:color="auto"/>
            </w:tcBorders>
            <w:shd w:val="clear" w:color="auto" w:fill="auto"/>
            <w:noWrap/>
            <w:vAlign w:val="bottom"/>
            <w:hideMark/>
          </w:tcPr>
          <w:p w14:paraId="6977108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24.7</w:t>
            </w:r>
          </w:p>
        </w:tc>
        <w:tc>
          <w:tcPr>
            <w:tcW w:w="899" w:type="dxa"/>
            <w:tcBorders>
              <w:top w:val="nil"/>
              <w:left w:val="nil"/>
              <w:bottom w:val="single" w:sz="4" w:space="0" w:color="auto"/>
              <w:right w:val="single" w:sz="4" w:space="0" w:color="auto"/>
            </w:tcBorders>
            <w:shd w:val="clear" w:color="auto" w:fill="auto"/>
            <w:noWrap/>
            <w:vAlign w:val="bottom"/>
            <w:hideMark/>
          </w:tcPr>
          <w:p w14:paraId="17C1B5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c>
          <w:tcPr>
            <w:tcW w:w="899" w:type="dxa"/>
            <w:tcBorders>
              <w:top w:val="nil"/>
              <w:left w:val="nil"/>
              <w:bottom w:val="single" w:sz="4" w:space="0" w:color="auto"/>
              <w:right w:val="single" w:sz="4" w:space="0" w:color="auto"/>
            </w:tcBorders>
            <w:shd w:val="clear" w:color="auto" w:fill="auto"/>
            <w:noWrap/>
            <w:vAlign w:val="bottom"/>
            <w:hideMark/>
          </w:tcPr>
          <w:p w14:paraId="7D49B66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26.9</w:t>
            </w:r>
          </w:p>
        </w:tc>
        <w:tc>
          <w:tcPr>
            <w:tcW w:w="899" w:type="dxa"/>
            <w:tcBorders>
              <w:top w:val="nil"/>
              <w:left w:val="nil"/>
              <w:bottom w:val="single" w:sz="4" w:space="0" w:color="auto"/>
              <w:right w:val="single" w:sz="4" w:space="0" w:color="auto"/>
            </w:tcBorders>
            <w:shd w:val="clear" w:color="auto" w:fill="auto"/>
            <w:noWrap/>
            <w:vAlign w:val="bottom"/>
            <w:hideMark/>
          </w:tcPr>
          <w:p w14:paraId="0FE7CC3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25.4</w:t>
            </w:r>
          </w:p>
        </w:tc>
        <w:tc>
          <w:tcPr>
            <w:tcW w:w="899" w:type="dxa"/>
            <w:tcBorders>
              <w:top w:val="nil"/>
              <w:left w:val="nil"/>
              <w:bottom w:val="single" w:sz="4" w:space="0" w:color="auto"/>
              <w:right w:val="single" w:sz="4" w:space="0" w:color="auto"/>
            </w:tcBorders>
            <w:shd w:val="clear" w:color="auto" w:fill="auto"/>
            <w:noWrap/>
            <w:vAlign w:val="bottom"/>
            <w:hideMark/>
          </w:tcPr>
          <w:p w14:paraId="4A91129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26.7</w:t>
            </w:r>
          </w:p>
        </w:tc>
        <w:tc>
          <w:tcPr>
            <w:tcW w:w="899" w:type="dxa"/>
            <w:tcBorders>
              <w:top w:val="nil"/>
              <w:left w:val="nil"/>
              <w:bottom w:val="single" w:sz="4" w:space="0" w:color="auto"/>
              <w:right w:val="single" w:sz="4" w:space="0" w:color="auto"/>
            </w:tcBorders>
            <w:shd w:val="clear" w:color="auto" w:fill="auto"/>
            <w:noWrap/>
            <w:vAlign w:val="bottom"/>
            <w:hideMark/>
          </w:tcPr>
          <w:p w14:paraId="3A8344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24.8</w:t>
            </w:r>
          </w:p>
        </w:tc>
        <w:tc>
          <w:tcPr>
            <w:tcW w:w="900" w:type="dxa"/>
            <w:tcBorders>
              <w:top w:val="nil"/>
              <w:left w:val="nil"/>
              <w:bottom w:val="single" w:sz="4" w:space="0" w:color="auto"/>
              <w:right w:val="single" w:sz="4" w:space="0" w:color="auto"/>
            </w:tcBorders>
            <w:shd w:val="clear" w:color="auto" w:fill="auto"/>
            <w:noWrap/>
            <w:vAlign w:val="bottom"/>
            <w:hideMark/>
          </w:tcPr>
          <w:p w14:paraId="58DAA4C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22.5</w:t>
            </w:r>
          </w:p>
        </w:tc>
      </w:tr>
      <w:tr w:rsidR="00240506" w:rsidRPr="00650EE4" w14:paraId="39DD0763"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69ABED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Liuksemburgas</w:t>
            </w:r>
          </w:p>
        </w:tc>
        <w:tc>
          <w:tcPr>
            <w:tcW w:w="899" w:type="dxa"/>
            <w:tcBorders>
              <w:top w:val="nil"/>
              <w:left w:val="nil"/>
              <w:bottom w:val="single" w:sz="4" w:space="0" w:color="auto"/>
              <w:right w:val="single" w:sz="4" w:space="0" w:color="auto"/>
            </w:tcBorders>
            <w:shd w:val="clear" w:color="auto" w:fill="auto"/>
            <w:noWrap/>
            <w:vAlign w:val="bottom"/>
            <w:hideMark/>
          </w:tcPr>
          <w:p w14:paraId="2997538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17.2</w:t>
            </w:r>
          </w:p>
        </w:tc>
        <w:tc>
          <w:tcPr>
            <w:tcW w:w="899" w:type="dxa"/>
            <w:tcBorders>
              <w:top w:val="nil"/>
              <w:left w:val="nil"/>
              <w:bottom w:val="single" w:sz="4" w:space="0" w:color="auto"/>
              <w:right w:val="single" w:sz="4" w:space="0" w:color="auto"/>
            </w:tcBorders>
            <w:shd w:val="clear" w:color="auto" w:fill="auto"/>
            <w:noWrap/>
            <w:vAlign w:val="bottom"/>
            <w:hideMark/>
          </w:tcPr>
          <w:p w14:paraId="2D6D63B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15.5</w:t>
            </w:r>
          </w:p>
        </w:tc>
        <w:tc>
          <w:tcPr>
            <w:tcW w:w="899" w:type="dxa"/>
            <w:tcBorders>
              <w:top w:val="nil"/>
              <w:left w:val="nil"/>
              <w:bottom w:val="single" w:sz="4" w:space="0" w:color="auto"/>
              <w:right w:val="single" w:sz="4" w:space="0" w:color="auto"/>
            </w:tcBorders>
            <w:shd w:val="clear" w:color="auto" w:fill="auto"/>
            <w:noWrap/>
            <w:vAlign w:val="bottom"/>
            <w:hideMark/>
          </w:tcPr>
          <w:p w14:paraId="5896A0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258C73A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15.3</w:t>
            </w:r>
          </w:p>
        </w:tc>
        <w:tc>
          <w:tcPr>
            <w:tcW w:w="899" w:type="dxa"/>
            <w:tcBorders>
              <w:top w:val="nil"/>
              <w:left w:val="nil"/>
              <w:bottom w:val="single" w:sz="4" w:space="0" w:color="auto"/>
              <w:right w:val="single" w:sz="4" w:space="0" w:color="auto"/>
            </w:tcBorders>
            <w:shd w:val="clear" w:color="auto" w:fill="auto"/>
            <w:noWrap/>
            <w:vAlign w:val="bottom"/>
            <w:hideMark/>
          </w:tcPr>
          <w:p w14:paraId="183DD7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178285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14.4</w:t>
            </w:r>
          </w:p>
        </w:tc>
        <w:tc>
          <w:tcPr>
            <w:tcW w:w="899" w:type="dxa"/>
            <w:tcBorders>
              <w:top w:val="nil"/>
              <w:left w:val="nil"/>
              <w:bottom w:val="single" w:sz="4" w:space="0" w:color="auto"/>
              <w:right w:val="single" w:sz="4" w:space="0" w:color="auto"/>
            </w:tcBorders>
            <w:shd w:val="clear" w:color="auto" w:fill="auto"/>
            <w:noWrap/>
            <w:vAlign w:val="bottom"/>
            <w:hideMark/>
          </w:tcPr>
          <w:p w14:paraId="05352FD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6479E31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17.4</w:t>
            </w:r>
          </w:p>
        </w:tc>
        <w:tc>
          <w:tcPr>
            <w:tcW w:w="900" w:type="dxa"/>
            <w:tcBorders>
              <w:top w:val="nil"/>
              <w:left w:val="nil"/>
              <w:bottom w:val="single" w:sz="4" w:space="0" w:color="auto"/>
              <w:right w:val="single" w:sz="4" w:space="0" w:color="auto"/>
            </w:tcBorders>
            <w:shd w:val="clear" w:color="auto" w:fill="auto"/>
            <w:noWrap/>
            <w:vAlign w:val="bottom"/>
            <w:hideMark/>
          </w:tcPr>
          <w:p w14:paraId="330AA15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18.3</w:t>
            </w:r>
          </w:p>
        </w:tc>
      </w:tr>
      <w:tr w:rsidR="00240506" w:rsidRPr="00650EE4" w14:paraId="3D6BB680"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F7126F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Belgija</w:t>
            </w:r>
          </w:p>
        </w:tc>
        <w:tc>
          <w:tcPr>
            <w:tcW w:w="899" w:type="dxa"/>
            <w:tcBorders>
              <w:top w:val="nil"/>
              <w:left w:val="nil"/>
              <w:bottom w:val="single" w:sz="4" w:space="0" w:color="auto"/>
              <w:right w:val="single" w:sz="4" w:space="0" w:color="auto"/>
            </w:tcBorders>
            <w:shd w:val="clear" w:color="auto" w:fill="auto"/>
            <w:noWrap/>
            <w:vAlign w:val="bottom"/>
            <w:hideMark/>
          </w:tcPr>
          <w:p w14:paraId="62F004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w:t>
            </w:r>
          </w:p>
        </w:tc>
        <w:tc>
          <w:tcPr>
            <w:tcW w:w="899" w:type="dxa"/>
            <w:tcBorders>
              <w:top w:val="nil"/>
              <w:left w:val="nil"/>
              <w:bottom w:val="single" w:sz="4" w:space="0" w:color="auto"/>
              <w:right w:val="single" w:sz="4" w:space="0" w:color="auto"/>
            </w:tcBorders>
            <w:shd w:val="clear" w:color="auto" w:fill="auto"/>
            <w:noWrap/>
            <w:vAlign w:val="bottom"/>
            <w:hideMark/>
          </w:tcPr>
          <w:p w14:paraId="2CF431A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21.2</w:t>
            </w:r>
          </w:p>
        </w:tc>
        <w:tc>
          <w:tcPr>
            <w:tcW w:w="899" w:type="dxa"/>
            <w:tcBorders>
              <w:top w:val="nil"/>
              <w:left w:val="nil"/>
              <w:bottom w:val="single" w:sz="4" w:space="0" w:color="auto"/>
              <w:right w:val="single" w:sz="4" w:space="0" w:color="auto"/>
            </w:tcBorders>
            <w:shd w:val="clear" w:color="auto" w:fill="auto"/>
            <w:noWrap/>
            <w:vAlign w:val="bottom"/>
            <w:hideMark/>
          </w:tcPr>
          <w:p w14:paraId="2F222B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4CF5AB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18.1</w:t>
            </w:r>
          </w:p>
        </w:tc>
        <w:tc>
          <w:tcPr>
            <w:tcW w:w="899" w:type="dxa"/>
            <w:tcBorders>
              <w:top w:val="nil"/>
              <w:left w:val="nil"/>
              <w:bottom w:val="single" w:sz="4" w:space="0" w:color="auto"/>
              <w:right w:val="single" w:sz="4" w:space="0" w:color="auto"/>
            </w:tcBorders>
            <w:shd w:val="clear" w:color="auto" w:fill="auto"/>
            <w:noWrap/>
            <w:vAlign w:val="bottom"/>
            <w:hideMark/>
          </w:tcPr>
          <w:p w14:paraId="07D3BBB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17.5</w:t>
            </w:r>
          </w:p>
        </w:tc>
        <w:tc>
          <w:tcPr>
            <w:tcW w:w="899" w:type="dxa"/>
            <w:tcBorders>
              <w:top w:val="nil"/>
              <w:left w:val="nil"/>
              <w:bottom w:val="single" w:sz="4" w:space="0" w:color="auto"/>
              <w:right w:val="single" w:sz="4" w:space="0" w:color="auto"/>
            </w:tcBorders>
            <w:shd w:val="clear" w:color="auto" w:fill="auto"/>
            <w:noWrap/>
            <w:vAlign w:val="bottom"/>
            <w:hideMark/>
          </w:tcPr>
          <w:p w14:paraId="60D514C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18.2</w:t>
            </w:r>
          </w:p>
        </w:tc>
        <w:tc>
          <w:tcPr>
            <w:tcW w:w="899" w:type="dxa"/>
            <w:tcBorders>
              <w:top w:val="nil"/>
              <w:left w:val="nil"/>
              <w:bottom w:val="single" w:sz="4" w:space="0" w:color="auto"/>
              <w:right w:val="single" w:sz="4" w:space="0" w:color="auto"/>
            </w:tcBorders>
            <w:shd w:val="clear" w:color="auto" w:fill="auto"/>
            <w:noWrap/>
            <w:vAlign w:val="bottom"/>
            <w:hideMark/>
          </w:tcPr>
          <w:p w14:paraId="698BD4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auto"/>
            <w:noWrap/>
            <w:vAlign w:val="bottom"/>
            <w:hideMark/>
          </w:tcPr>
          <w:p w14:paraId="34676FB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18.4</w:t>
            </w:r>
          </w:p>
        </w:tc>
        <w:tc>
          <w:tcPr>
            <w:tcW w:w="900" w:type="dxa"/>
            <w:tcBorders>
              <w:top w:val="nil"/>
              <w:left w:val="nil"/>
              <w:bottom w:val="single" w:sz="4" w:space="0" w:color="auto"/>
              <w:right w:val="single" w:sz="4" w:space="0" w:color="auto"/>
            </w:tcBorders>
            <w:shd w:val="clear" w:color="auto" w:fill="auto"/>
            <w:noWrap/>
            <w:vAlign w:val="bottom"/>
            <w:hideMark/>
          </w:tcPr>
          <w:p w14:paraId="7F355E3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17.9</w:t>
            </w:r>
          </w:p>
        </w:tc>
      </w:tr>
      <w:tr w:rsidR="00240506" w:rsidRPr="00650EE4" w14:paraId="50F966B9"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8451C9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Jungtinė Karalystė</w:t>
            </w:r>
          </w:p>
        </w:tc>
        <w:tc>
          <w:tcPr>
            <w:tcW w:w="899" w:type="dxa"/>
            <w:tcBorders>
              <w:top w:val="nil"/>
              <w:left w:val="nil"/>
              <w:bottom w:val="single" w:sz="4" w:space="0" w:color="auto"/>
              <w:right w:val="single" w:sz="4" w:space="0" w:color="auto"/>
            </w:tcBorders>
            <w:shd w:val="clear" w:color="auto" w:fill="auto"/>
            <w:noWrap/>
            <w:vAlign w:val="bottom"/>
            <w:hideMark/>
          </w:tcPr>
          <w:p w14:paraId="3E66FA1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0F951C6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666F38F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17.2</w:t>
            </w:r>
          </w:p>
        </w:tc>
        <w:tc>
          <w:tcPr>
            <w:tcW w:w="899" w:type="dxa"/>
            <w:tcBorders>
              <w:top w:val="nil"/>
              <w:left w:val="nil"/>
              <w:bottom w:val="single" w:sz="4" w:space="0" w:color="auto"/>
              <w:right w:val="single" w:sz="4" w:space="0" w:color="auto"/>
            </w:tcBorders>
            <w:shd w:val="clear" w:color="auto" w:fill="auto"/>
            <w:noWrap/>
            <w:vAlign w:val="bottom"/>
            <w:hideMark/>
          </w:tcPr>
          <w:p w14:paraId="53E83EC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0FBC5DB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16.6</w:t>
            </w:r>
          </w:p>
        </w:tc>
        <w:tc>
          <w:tcPr>
            <w:tcW w:w="899" w:type="dxa"/>
            <w:tcBorders>
              <w:top w:val="nil"/>
              <w:left w:val="nil"/>
              <w:bottom w:val="single" w:sz="4" w:space="0" w:color="auto"/>
              <w:right w:val="single" w:sz="4" w:space="0" w:color="auto"/>
            </w:tcBorders>
            <w:shd w:val="clear" w:color="auto" w:fill="auto"/>
            <w:noWrap/>
            <w:vAlign w:val="bottom"/>
            <w:hideMark/>
          </w:tcPr>
          <w:p w14:paraId="4863E2A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c>
          <w:tcPr>
            <w:tcW w:w="899" w:type="dxa"/>
            <w:tcBorders>
              <w:top w:val="nil"/>
              <w:left w:val="nil"/>
              <w:bottom w:val="single" w:sz="4" w:space="0" w:color="auto"/>
              <w:right w:val="single" w:sz="4" w:space="0" w:color="auto"/>
            </w:tcBorders>
            <w:shd w:val="clear" w:color="auto" w:fill="auto"/>
            <w:noWrap/>
            <w:vAlign w:val="bottom"/>
            <w:hideMark/>
          </w:tcPr>
          <w:p w14:paraId="3AFB5B8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16.4</w:t>
            </w:r>
          </w:p>
        </w:tc>
        <w:tc>
          <w:tcPr>
            <w:tcW w:w="899" w:type="dxa"/>
            <w:tcBorders>
              <w:top w:val="nil"/>
              <w:left w:val="nil"/>
              <w:bottom w:val="single" w:sz="4" w:space="0" w:color="auto"/>
              <w:right w:val="single" w:sz="4" w:space="0" w:color="auto"/>
            </w:tcBorders>
            <w:shd w:val="clear" w:color="auto" w:fill="auto"/>
            <w:noWrap/>
            <w:vAlign w:val="bottom"/>
            <w:hideMark/>
          </w:tcPr>
          <w:p w14:paraId="57F3976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w:t>
            </w:r>
          </w:p>
        </w:tc>
        <w:tc>
          <w:tcPr>
            <w:tcW w:w="900" w:type="dxa"/>
            <w:tcBorders>
              <w:top w:val="nil"/>
              <w:left w:val="nil"/>
              <w:bottom w:val="single" w:sz="4" w:space="0" w:color="auto"/>
              <w:right w:val="single" w:sz="4" w:space="0" w:color="auto"/>
            </w:tcBorders>
            <w:shd w:val="clear" w:color="auto" w:fill="auto"/>
            <w:noWrap/>
            <w:vAlign w:val="bottom"/>
            <w:hideMark/>
          </w:tcPr>
          <w:p w14:paraId="3704DF5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r>
      <w:tr w:rsidR="00240506" w:rsidRPr="00650EE4" w14:paraId="668C6D4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AE697AF"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Danija</w:t>
            </w:r>
          </w:p>
        </w:tc>
        <w:tc>
          <w:tcPr>
            <w:tcW w:w="899" w:type="dxa"/>
            <w:tcBorders>
              <w:top w:val="nil"/>
              <w:left w:val="nil"/>
              <w:bottom w:val="single" w:sz="4" w:space="0" w:color="auto"/>
              <w:right w:val="single" w:sz="4" w:space="0" w:color="auto"/>
            </w:tcBorders>
            <w:shd w:val="clear" w:color="auto" w:fill="auto"/>
            <w:noWrap/>
            <w:vAlign w:val="bottom"/>
            <w:hideMark/>
          </w:tcPr>
          <w:p w14:paraId="4B55CB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899" w:type="dxa"/>
            <w:tcBorders>
              <w:top w:val="nil"/>
              <w:left w:val="nil"/>
              <w:bottom w:val="single" w:sz="4" w:space="0" w:color="auto"/>
              <w:right w:val="single" w:sz="4" w:space="0" w:color="auto"/>
            </w:tcBorders>
            <w:shd w:val="clear" w:color="auto" w:fill="auto"/>
            <w:noWrap/>
            <w:vAlign w:val="bottom"/>
            <w:hideMark/>
          </w:tcPr>
          <w:p w14:paraId="356126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16.3</w:t>
            </w:r>
          </w:p>
        </w:tc>
        <w:tc>
          <w:tcPr>
            <w:tcW w:w="899" w:type="dxa"/>
            <w:tcBorders>
              <w:top w:val="nil"/>
              <w:left w:val="nil"/>
              <w:bottom w:val="single" w:sz="4" w:space="0" w:color="auto"/>
              <w:right w:val="single" w:sz="4" w:space="0" w:color="auto"/>
            </w:tcBorders>
            <w:shd w:val="clear" w:color="auto" w:fill="auto"/>
            <w:noWrap/>
            <w:vAlign w:val="bottom"/>
            <w:hideMark/>
          </w:tcPr>
          <w:p w14:paraId="6B20977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c>
          <w:tcPr>
            <w:tcW w:w="899" w:type="dxa"/>
            <w:tcBorders>
              <w:top w:val="nil"/>
              <w:left w:val="nil"/>
              <w:bottom w:val="single" w:sz="4" w:space="0" w:color="auto"/>
              <w:right w:val="single" w:sz="4" w:space="0" w:color="auto"/>
            </w:tcBorders>
            <w:shd w:val="clear" w:color="auto" w:fill="auto"/>
            <w:noWrap/>
            <w:vAlign w:val="bottom"/>
            <w:hideMark/>
          </w:tcPr>
          <w:p w14:paraId="5C6074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16.6</w:t>
            </w:r>
          </w:p>
        </w:tc>
        <w:tc>
          <w:tcPr>
            <w:tcW w:w="899" w:type="dxa"/>
            <w:tcBorders>
              <w:top w:val="nil"/>
              <w:left w:val="nil"/>
              <w:bottom w:val="single" w:sz="4" w:space="0" w:color="auto"/>
              <w:right w:val="single" w:sz="4" w:space="0" w:color="auto"/>
            </w:tcBorders>
            <w:shd w:val="clear" w:color="auto" w:fill="auto"/>
            <w:noWrap/>
            <w:vAlign w:val="bottom"/>
            <w:hideMark/>
          </w:tcPr>
          <w:p w14:paraId="7B5D31F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w:t>
            </w:r>
          </w:p>
        </w:tc>
        <w:tc>
          <w:tcPr>
            <w:tcW w:w="899" w:type="dxa"/>
            <w:tcBorders>
              <w:top w:val="nil"/>
              <w:left w:val="nil"/>
              <w:bottom w:val="single" w:sz="4" w:space="0" w:color="auto"/>
              <w:right w:val="single" w:sz="4" w:space="0" w:color="auto"/>
            </w:tcBorders>
            <w:shd w:val="clear" w:color="auto" w:fill="auto"/>
            <w:noWrap/>
            <w:vAlign w:val="bottom"/>
            <w:hideMark/>
          </w:tcPr>
          <w:p w14:paraId="41526ED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899" w:type="dxa"/>
            <w:tcBorders>
              <w:top w:val="nil"/>
              <w:left w:val="nil"/>
              <w:bottom w:val="single" w:sz="4" w:space="0" w:color="auto"/>
              <w:right w:val="single" w:sz="4" w:space="0" w:color="auto"/>
            </w:tcBorders>
            <w:shd w:val="clear" w:color="auto" w:fill="auto"/>
            <w:noWrap/>
            <w:vAlign w:val="bottom"/>
            <w:hideMark/>
          </w:tcPr>
          <w:p w14:paraId="12737BF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736658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14.9</w:t>
            </w:r>
          </w:p>
        </w:tc>
        <w:tc>
          <w:tcPr>
            <w:tcW w:w="900" w:type="dxa"/>
            <w:tcBorders>
              <w:top w:val="nil"/>
              <w:left w:val="nil"/>
              <w:bottom w:val="single" w:sz="4" w:space="0" w:color="auto"/>
              <w:right w:val="single" w:sz="4" w:space="0" w:color="auto"/>
            </w:tcBorders>
            <w:shd w:val="clear" w:color="auto" w:fill="auto"/>
            <w:noWrap/>
            <w:vAlign w:val="bottom"/>
            <w:hideMark/>
          </w:tcPr>
          <w:p w14:paraId="3859C2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16.4</w:t>
            </w:r>
          </w:p>
        </w:tc>
      </w:tr>
      <w:tr w:rsidR="00240506" w:rsidRPr="00650EE4" w14:paraId="447154F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4495858"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Ispanija</w:t>
            </w:r>
          </w:p>
        </w:tc>
        <w:tc>
          <w:tcPr>
            <w:tcW w:w="899" w:type="dxa"/>
            <w:tcBorders>
              <w:top w:val="nil"/>
              <w:left w:val="nil"/>
              <w:bottom w:val="single" w:sz="4" w:space="0" w:color="auto"/>
              <w:right w:val="single" w:sz="4" w:space="0" w:color="auto"/>
            </w:tcBorders>
            <w:shd w:val="clear" w:color="auto" w:fill="auto"/>
            <w:noWrap/>
            <w:vAlign w:val="bottom"/>
            <w:hideMark/>
          </w:tcPr>
          <w:p w14:paraId="7CCF05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21.8</w:t>
            </w:r>
          </w:p>
        </w:tc>
        <w:tc>
          <w:tcPr>
            <w:tcW w:w="899" w:type="dxa"/>
            <w:tcBorders>
              <w:top w:val="nil"/>
              <w:left w:val="nil"/>
              <w:bottom w:val="single" w:sz="4" w:space="0" w:color="auto"/>
              <w:right w:val="single" w:sz="4" w:space="0" w:color="auto"/>
            </w:tcBorders>
            <w:shd w:val="clear" w:color="auto" w:fill="auto"/>
            <w:noWrap/>
            <w:vAlign w:val="bottom"/>
            <w:hideMark/>
          </w:tcPr>
          <w:p w14:paraId="2D03AE2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899" w:type="dxa"/>
            <w:tcBorders>
              <w:top w:val="nil"/>
              <w:left w:val="nil"/>
              <w:bottom w:val="single" w:sz="4" w:space="0" w:color="auto"/>
              <w:right w:val="single" w:sz="4" w:space="0" w:color="auto"/>
            </w:tcBorders>
            <w:shd w:val="clear" w:color="auto" w:fill="auto"/>
            <w:noWrap/>
            <w:vAlign w:val="bottom"/>
            <w:hideMark/>
          </w:tcPr>
          <w:p w14:paraId="013DFEB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w:t>
            </w:r>
          </w:p>
        </w:tc>
        <w:tc>
          <w:tcPr>
            <w:tcW w:w="899" w:type="dxa"/>
            <w:tcBorders>
              <w:top w:val="nil"/>
              <w:left w:val="nil"/>
              <w:bottom w:val="single" w:sz="4" w:space="0" w:color="auto"/>
              <w:right w:val="single" w:sz="4" w:space="0" w:color="auto"/>
            </w:tcBorders>
            <w:shd w:val="clear" w:color="auto" w:fill="auto"/>
            <w:noWrap/>
            <w:vAlign w:val="bottom"/>
            <w:hideMark/>
          </w:tcPr>
          <w:p w14:paraId="4262854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16.7</w:t>
            </w:r>
          </w:p>
        </w:tc>
        <w:tc>
          <w:tcPr>
            <w:tcW w:w="899" w:type="dxa"/>
            <w:tcBorders>
              <w:top w:val="nil"/>
              <w:left w:val="nil"/>
              <w:bottom w:val="single" w:sz="4" w:space="0" w:color="auto"/>
              <w:right w:val="single" w:sz="4" w:space="0" w:color="auto"/>
            </w:tcBorders>
            <w:shd w:val="clear" w:color="auto" w:fill="auto"/>
            <w:noWrap/>
            <w:vAlign w:val="bottom"/>
            <w:hideMark/>
          </w:tcPr>
          <w:p w14:paraId="58A0E9B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3032D16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15.2</w:t>
            </w:r>
          </w:p>
        </w:tc>
        <w:tc>
          <w:tcPr>
            <w:tcW w:w="899" w:type="dxa"/>
            <w:tcBorders>
              <w:top w:val="nil"/>
              <w:left w:val="nil"/>
              <w:bottom w:val="single" w:sz="4" w:space="0" w:color="auto"/>
              <w:right w:val="single" w:sz="4" w:space="0" w:color="auto"/>
            </w:tcBorders>
            <w:shd w:val="clear" w:color="auto" w:fill="auto"/>
            <w:noWrap/>
            <w:vAlign w:val="bottom"/>
            <w:hideMark/>
          </w:tcPr>
          <w:p w14:paraId="2897E73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668DBC1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900" w:type="dxa"/>
            <w:tcBorders>
              <w:top w:val="nil"/>
              <w:left w:val="nil"/>
              <w:bottom w:val="single" w:sz="4" w:space="0" w:color="auto"/>
              <w:right w:val="single" w:sz="4" w:space="0" w:color="auto"/>
            </w:tcBorders>
            <w:shd w:val="clear" w:color="auto" w:fill="auto"/>
            <w:noWrap/>
            <w:vAlign w:val="bottom"/>
            <w:hideMark/>
          </w:tcPr>
          <w:p w14:paraId="66757E0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r>
      <w:tr w:rsidR="00240506" w:rsidRPr="00650EE4" w14:paraId="676B713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AD59A4A"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Nyderlandai</w:t>
            </w:r>
          </w:p>
        </w:tc>
        <w:tc>
          <w:tcPr>
            <w:tcW w:w="899" w:type="dxa"/>
            <w:tcBorders>
              <w:top w:val="nil"/>
              <w:left w:val="nil"/>
              <w:bottom w:val="single" w:sz="4" w:space="0" w:color="auto"/>
              <w:right w:val="single" w:sz="4" w:space="0" w:color="auto"/>
            </w:tcBorders>
            <w:shd w:val="clear" w:color="auto" w:fill="auto"/>
            <w:noWrap/>
            <w:vAlign w:val="bottom"/>
            <w:hideMark/>
          </w:tcPr>
          <w:p w14:paraId="7F8CEDC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15.2</w:t>
            </w:r>
          </w:p>
        </w:tc>
        <w:tc>
          <w:tcPr>
            <w:tcW w:w="899" w:type="dxa"/>
            <w:tcBorders>
              <w:top w:val="nil"/>
              <w:left w:val="nil"/>
              <w:bottom w:val="single" w:sz="4" w:space="0" w:color="auto"/>
              <w:right w:val="single" w:sz="4" w:space="0" w:color="auto"/>
            </w:tcBorders>
            <w:shd w:val="clear" w:color="auto" w:fill="auto"/>
            <w:noWrap/>
            <w:vAlign w:val="bottom"/>
            <w:hideMark/>
          </w:tcPr>
          <w:p w14:paraId="5C8C11B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14.6</w:t>
            </w:r>
          </w:p>
        </w:tc>
        <w:tc>
          <w:tcPr>
            <w:tcW w:w="899" w:type="dxa"/>
            <w:tcBorders>
              <w:top w:val="nil"/>
              <w:left w:val="nil"/>
              <w:bottom w:val="single" w:sz="4" w:space="0" w:color="auto"/>
              <w:right w:val="single" w:sz="4" w:space="0" w:color="auto"/>
            </w:tcBorders>
            <w:shd w:val="clear" w:color="auto" w:fill="auto"/>
            <w:noWrap/>
            <w:vAlign w:val="bottom"/>
            <w:hideMark/>
          </w:tcPr>
          <w:p w14:paraId="04915D1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16.2</w:t>
            </w:r>
          </w:p>
        </w:tc>
        <w:tc>
          <w:tcPr>
            <w:tcW w:w="899" w:type="dxa"/>
            <w:tcBorders>
              <w:top w:val="nil"/>
              <w:left w:val="nil"/>
              <w:bottom w:val="single" w:sz="4" w:space="0" w:color="auto"/>
              <w:right w:val="single" w:sz="4" w:space="0" w:color="auto"/>
            </w:tcBorders>
            <w:shd w:val="clear" w:color="auto" w:fill="auto"/>
            <w:noWrap/>
            <w:vAlign w:val="bottom"/>
            <w:hideMark/>
          </w:tcPr>
          <w:p w14:paraId="57AD4E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15.6</w:t>
            </w:r>
          </w:p>
        </w:tc>
        <w:tc>
          <w:tcPr>
            <w:tcW w:w="899" w:type="dxa"/>
            <w:tcBorders>
              <w:top w:val="nil"/>
              <w:left w:val="nil"/>
              <w:bottom w:val="single" w:sz="4" w:space="0" w:color="auto"/>
              <w:right w:val="single" w:sz="4" w:space="0" w:color="auto"/>
            </w:tcBorders>
            <w:shd w:val="clear" w:color="auto" w:fill="auto"/>
            <w:noWrap/>
            <w:vAlign w:val="bottom"/>
            <w:hideMark/>
          </w:tcPr>
          <w:p w14:paraId="2EBB2D2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15.8</w:t>
            </w:r>
          </w:p>
        </w:tc>
        <w:tc>
          <w:tcPr>
            <w:tcW w:w="899" w:type="dxa"/>
            <w:tcBorders>
              <w:top w:val="nil"/>
              <w:left w:val="nil"/>
              <w:bottom w:val="single" w:sz="4" w:space="0" w:color="auto"/>
              <w:right w:val="single" w:sz="4" w:space="0" w:color="auto"/>
            </w:tcBorders>
            <w:shd w:val="clear" w:color="auto" w:fill="auto"/>
            <w:noWrap/>
            <w:vAlign w:val="bottom"/>
            <w:hideMark/>
          </w:tcPr>
          <w:p w14:paraId="5DBF04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15.7</w:t>
            </w:r>
          </w:p>
        </w:tc>
        <w:tc>
          <w:tcPr>
            <w:tcW w:w="899" w:type="dxa"/>
            <w:tcBorders>
              <w:top w:val="nil"/>
              <w:left w:val="nil"/>
              <w:bottom w:val="single" w:sz="4" w:space="0" w:color="auto"/>
              <w:right w:val="single" w:sz="4" w:space="0" w:color="auto"/>
            </w:tcBorders>
            <w:shd w:val="clear" w:color="auto" w:fill="auto"/>
            <w:noWrap/>
            <w:vAlign w:val="bottom"/>
            <w:hideMark/>
          </w:tcPr>
          <w:p w14:paraId="042941E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16.3</w:t>
            </w:r>
          </w:p>
        </w:tc>
        <w:tc>
          <w:tcPr>
            <w:tcW w:w="899" w:type="dxa"/>
            <w:tcBorders>
              <w:top w:val="nil"/>
              <w:left w:val="nil"/>
              <w:bottom w:val="single" w:sz="4" w:space="0" w:color="auto"/>
              <w:right w:val="single" w:sz="4" w:space="0" w:color="auto"/>
            </w:tcBorders>
            <w:shd w:val="clear" w:color="auto" w:fill="auto"/>
            <w:noWrap/>
            <w:vAlign w:val="bottom"/>
            <w:hideMark/>
          </w:tcPr>
          <w:p w14:paraId="3DD25C0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900" w:type="dxa"/>
            <w:tcBorders>
              <w:top w:val="nil"/>
              <w:left w:val="nil"/>
              <w:bottom w:val="single" w:sz="4" w:space="0" w:color="auto"/>
              <w:right w:val="single" w:sz="4" w:space="0" w:color="auto"/>
            </w:tcBorders>
            <w:shd w:val="clear" w:color="auto" w:fill="auto"/>
            <w:noWrap/>
            <w:vAlign w:val="bottom"/>
            <w:hideMark/>
          </w:tcPr>
          <w:p w14:paraId="4A20CD2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15.8</w:t>
            </w:r>
          </w:p>
        </w:tc>
      </w:tr>
      <w:tr w:rsidR="00240506" w:rsidRPr="00650EE4" w14:paraId="08ED3E2B" w14:textId="77777777" w:rsidTr="00DF628E">
        <w:tc>
          <w:tcPr>
            <w:tcW w:w="1980" w:type="dxa"/>
            <w:tcBorders>
              <w:top w:val="nil"/>
              <w:left w:val="single" w:sz="4" w:space="0" w:color="auto"/>
              <w:bottom w:val="single" w:sz="4" w:space="0" w:color="auto"/>
              <w:right w:val="single" w:sz="4" w:space="0" w:color="auto"/>
            </w:tcBorders>
            <w:shd w:val="clear" w:color="auto" w:fill="BFBFBF" w:themeFill="background1" w:themeFillShade="BF"/>
            <w:noWrap/>
            <w:vAlign w:val="bottom"/>
            <w:hideMark/>
          </w:tcPr>
          <w:p w14:paraId="1FE3243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Lietuva</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67F15E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31D630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0114821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17.6</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0ACF213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47392C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18.9</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77604B0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442AD56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18.2</w:t>
            </w:r>
          </w:p>
        </w:tc>
        <w:tc>
          <w:tcPr>
            <w:tcW w:w="899" w:type="dxa"/>
            <w:tcBorders>
              <w:top w:val="nil"/>
              <w:left w:val="nil"/>
              <w:bottom w:val="single" w:sz="4" w:space="0" w:color="auto"/>
              <w:right w:val="single" w:sz="4" w:space="0" w:color="auto"/>
            </w:tcBorders>
            <w:shd w:val="clear" w:color="auto" w:fill="BFBFBF" w:themeFill="background1" w:themeFillShade="BF"/>
            <w:noWrap/>
            <w:vAlign w:val="bottom"/>
            <w:hideMark/>
          </w:tcPr>
          <w:p w14:paraId="3A4ADC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15.7</w:t>
            </w:r>
          </w:p>
        </w:tc>
        <w:tc>
          <w:tcPr>
            <w:tcW w:w="900" w:type="dxa"/>
            <w:tcBorders>
              <w:top w:val="nil"/>
              <w:left w:val="nil"/>
              <w:bottom w:val="single" w:sz="4" w:space="0" w:color="auto"/>
              <w:right w:val="single" w:sz="4" w:space="0" w:color="auto"/>
            </w:tcBorders>
            <w:shd w:val="clear" w:color="auto" w:fill="BFBFBF" w:themeFill="background1" w:themeFillShade="BF"/>
            <w:noWrap/>
            <w:vAlign w:val="bottom"/>
            <w:hideMark/>
          </w:tcPr>
          <w:p w14:paraId="64F0E77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r>
      <w:tr w:rsidR="00240506" w:rsidRPr="00650EE4" w14:paraId="4B7072D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0769AF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Estija</w:t>
            </w:r>
          </w:p>
        </w:tc>
        <w:tc>
          <w:tcPr>
            <w:tcW w:w="899" w:type="dxa"/>
            <w:tcBorders>
              <w:top w:val="nil"/>
              <w:left w:val="nil"/>
              <w:bottom w:val="single" w:sz="4" w:space="0" w:color="auto"/>
              <w:right w:val="single" w:sz="4" w:space="0" w:color="auto"/>
            </w:tcBorders>
            <w:shd w:val="clear" w:color="auto" w:fill="auto"/>
            <w:noWrap/>
            <w:vAlign w:val="bottom"/>
            <w:hideMark/>
          </w:tcPr>
          <w:p w14:paraId="3124AB8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18.8</w:t>
            </w:r>
          </w:p>
        </w:tc>
        <w:tc>
          <w:tcPr>
            <w:tcW w:w="899" w:type="dxa"/>
            <w:tcBorders>
              <w:top w:val="nil"/>
              <w:left w:val="nil"/>
              <w:bottom w:val="single" w:sz="4" w:space="0" w:color="auto"/>
              <w:right w:val="single" w:sz="4" w:space="0" w:color="auto"/>
            </w:tcBorders>
            <w:shd w:val="clear" w:color="auto" w:fill="auto"/>
            <w:noWrap/>
            <w:vAlign w:val="bottom"/>
            <w:hideMark/>
          </w:tcPr>
          <w:p w14:paraId="66D66A0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19.2</w:t>
            </w:r>
          </w:p>
        </w:tc>
        <w:tc>
          <w:tcPr>
            <w:tcW w:w="899" w:type="dxa"/>
            <w:tcBorders>
              <w:top w:val="nil"/>
              <w:left w:val="nil"/>
              <w:bottom w:val="single" w:sz="4" w:space="0" w:color="auto"/>
              <w:right w:val="single" w:sz="4" w:space="0" w:color="auto"/>
            </w:tcBorders>
            <w:shd w:val="clear" w:color="auto" w:fill="auto"/>
            <w:noWrap/>
            <w:vAlign w:val="bottom"/>
            <w:hideMark/>
          </w:tcPr>
          <w:p w14:paraId="4AADBF7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19.4</w:t>
            </w:r>
          </w:p>
        </w:tc>
        <w:tc>
          <w:tcPr>
            <w:tcW w:w="899" w:type="dxa"/>
            <w:tcBorders>
              <w:top w:val="nil"/>
              <w:left w:val="nil"/>
              <w:bottom w:val="single" w:sz="4" w:space="0" w:color="auto"/>
              <w:right w:val="single" w:sz="4" w:space="0" w:color="auto"/>
            </w:tcBorders>
            <w:shd w:val="clear" w:color="auto" w:fill="auto"/>
            <w:noWrap/>
            <w:vAlign w:val="bottom"/>
            <w:hideMark/>
          </w:tcPr>
          <w:p w14:paraId="06982C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17.5</w:t>
            </w:r>
          </w:p>
        </w:tc>
        <w:tc>
          <w:tcPr>
            <w:tcW w:w="899" w:type="dxa"/>
            <w:tcBorders>
              <w:top w:val="nil"/>
              <w:left w:val="nil"/>
              <w:bottom w:val="single" w:sz="4" w:space="0" w:color="auto"/>
              <w:right w:val="single" w:sz="4" w:space="0" w:color="auto"/>
            </w:tcBorders>
            <w:shd w:val="clear" w:color="auto" w:fill="auto"/>
            <w:noWrap/>
            <w:vAlign w:val="bottom"/>
            <w:hideMark/>
          </w:tcPr>
          <w:p w14:paraId="16FA86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15.9</w:t>
            </w:r>
          </w:p>
        </w:tc>
        <w:tc>
          <w:tcPr>
            <w:tcW w:w="899" w:type="dxa"/>
            <w:tcBorders>
              <w:top w:val="nil"/>
              <w:left w:val="nil"/>
              <w:bottom w:val="single" w:sz="4" w:space="0" w:color="auto"/>
              <w:right w:val="single" w:sz="4" w:space="0" w:color="auto"/>
            </w:tcBorders>
            <w:shd w:val="clear" w:color="auto" w:fill="auto"/>
            <w:noWrap/>
            <w:vAlign w:val="bottom"/>
            <w:hideMark/>
          </w:tcPr>
          <w:p w14:paraId="23FDAC7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c>
          <w:tcPr>
            <w:tcW w:w="899" w:type="dxa"/>
            <w:tcBorders>
              <w:top w:val="nil"/>
              <w:left w:val="nil"/>
              <w:bottom w:val="single" w:sz="4" w:space="0" w:color="auto"/>
              <w:right w:val="single" w:sz="4" w:space="0" w:color="auto"/>
            </w:tcBorders>
            <w:shd w:val="clear" w:color="auto" w:fill="auto"/>
            <w:noWrap/>
            <w:vAlign w:val="bottom"/>
            <w:hideMark/>
          </w:tcPr>
          <w:p w14:paraId="55CEB2F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899" w:type="dxa"/>
            <w:tcBorders>
              <w:top w:val="nil"/>
              <w:left w:val="nil"/>
              <w:bottom w:val="single" w:sz="4" w:space="0" w:color="auto"/>
              <w:right w:val="single" w:sz="4" w:space="0" w:color="auto"/>
            </w:tcBorders>
            <w:shd w:val="clear" w:color="auto" w:fill="auto"/>
            <w:noWrap/>
            <w:vAlign w:val="bottom"/>
            <w:hideMark/>
          </w:tcPr>
          <w:p w14:paraId="75B5789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900" w:type="dxa"/>
            <w:tcBorders>
              <w:top w:val="nil"/>
              <w:left w:val="nil"/>
              <w:bottom w:val="single" w:sz="4" w:space="0" w:color="auto"/>
              <w:right w:val="single" w:sz="4" w:space="0" w:color="auto"/>
            </w:tcBorders>
            <w:shd w:val="clear" w:color="auto" w:fill="auto"/>
            <w:noWrap/>
            <w:vAlign w:val="bottom"/>
            <w:hideMark/>
          </w:tcPr>
          <w:p w14:paraId="4DE0FDA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r>
      <w:tr w:rsidR="00240506" w:rsidRPr="00650EE4" w14:paraId="7AC0C90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3F2AD9F"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Vokietija</w:t>
            </w:r>
          </w:p>
        </w:tc>
        <w:tc>
          <w:tcPr>
            <w:tcW w:w="899" w:type="dxa"/>
            <w:tcBorders>
              <w:top w:val="nil"/>
              <w:left w:val="nil"/>
              <w:bottom w:val="single" w:sz="4" w:space="0" w:color="auto"/>
              <w:right w:val="single" w:sz="4" w:space="0" w:color="auto"/>
            </w:tcBorders>
            <w:shd w:val="clear" w:color="auto" w:fill="auto"/>
            <w:noWrap/>
            <w:vAlign w:val="bottom"/>
            <w:hideMark/>
          </w:tcPr>
          <w:p w14:paraId="7FFB8ED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70A3C5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13.7</w:t>
            </w:r>
          </w:p>
        </w:tc>
        <w:tc>
          <w:tcPr>
            <w:tcW w:w="899" w:type="dxa"/>
            <w:tcBorders>
              <w:top w:val="nil"/>
              <w:left w:val="nil"/>
              <w:bottom w:val="single" w:sz="4" w:space="0" w:color="auto"/>
              <w:right w:val="single" w:sz="4" w:space="0" w:color="auto"/>
            </w:tcBorders>
            <w:shd w:val="clear" w:color="auto" w:fill="auto"/>
            <w:noWrap/>
            <w:vAlign w:val="bottom"/>
            <w:hideMark/>
          </w:tcPr>
          <w:p w14:paraId="55D86D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899" w:type="dxa"/>
            <w:tcBorders>
              <w:top w:val="nil"/>
              <w:left w:val="nil"/>
              <w:bottom w:val="single" w:sz="4" w:space="0" w:color="auto"/>
              <w:right w:val="single" w:sz="4" w:space="0" w:color="auto"/>
            </w:tcBorders>
            <w:shd w:val="clear" w:color="auto" w:fill="auto"/>
            <w:noWrap/>
            <w:vAlign w:val="bottom"/>
            <w:hideMark/>
          </w:tcPr>
          <w:p w14:paraId="6AF7A2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13.1</w:t>
            </w:r>
          </w:p>
        </w:tc>
        <w:tc>
          <w:tcPr>
            <w:tcW w:w="899" w:type="dxa"/>
            <w:tcBorders>
              <w:top w:val="nil"/>
              <w:left w:val="nil"/>
              <w:bottom w:val="single" w:sz="4" w:space="0" w:color="auto"/>
              <w:right w:val="single" w:sz="4" w:space="0" w:color="auto"/>
            </w:tcBorders>
            <w:shd w:val="clear" w:color="auto" w:fill="auto"/>
            <w:noWrap/>
            <w:vAlign w:val="bottom"/>
            <w:hideMark/>
          </w:tcPr>
          <w:p w14:paraId="393492E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12.3</w:t>
            </w:r>
          </w:p>
        </w:tc>
        <w:tc>
          <w:tcPr>
            <w:tcW w:w="899" w:type="dxa"/>
            <w:tcBorders>
              <w:top w:val="nil"/>
              <w:left w:val="nil"/>
              <w:bottom w:val="single" w:sz="4" w:space="0" w:color="auto"/>
              <w:right w:val="single" w:sz="4" w:space="0" w:color="auto"/>
            </w:tcBorders>
            <w:shd w:val="clear" w:color="auto" w:fill="auto"/>
            <w:noWrap/>
            <w:vAlign w:val="bottom"/>
            <w:hideMark/>
          </w:tcPr>
          <w:p w14:paraId="30F3D35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14FEEE3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13.1</w:t>
            </w:r>
          </w:p>
        </w:tc>
        <w:tc>
          <w:tcPr>
            <w:tcW w:w="899" w:type="dxa"/>
            <w:tcBorders>
              <w:top w:val="nil"/>
              <w:left w:val="nil"/>
              <w:bottom w:val="single" w:sz="4" w:space="0" w:color="auto"/>
              <w:right w:val="single" w:sz="4" w:space="0" w:color="auto"/>
            </w:tcBorders>
            <w:shd w:val="clear" w:color="auto" w:fill="auto"/>
            <w:noWrap/>
            <w:vAlign w:val="bottom"/>
            <w:hideMark/>
          </w:tcPr>
          <w:p w14:paraId="1305B6B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900" w:type="dxa"/>
            <w:tcBorders>
              <w:top w:val="nil"/>
              <w:left w:val="nil"/>
              <w:bottom w:val="single" w:sz="4" w:space="0" w:color="auto"/>
              <w:right w:val="single" w:sz="4" w:space="0" w:color="auto"/>
            </w:tcBorders>
            <w:shd w:val="clear" w:color="auto" w:fill="auto"/>
            <w:noWrap/>
            <w:vAlign w:val="bottom"/>
            <w:hideMark/>
          </w:tcPr>
          <w:p w14:paraId="5D3FFC5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r>
      <w:tr w:rsidR="00240506" w:rsidRPr="00650EE4" w14:paraId="0AB7C53C"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0EE1F6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Italija</w:t>
            </w:r>
          </w:p>
        </w:tc>
        <w:tc>
          <w:tcPr>
            <w:tcW w:w="899" w:type="dxa"/>
            <w:tcBorders>
              <w:top w:val="nil"/>
              <w:left w:val="nil"/>
              <w:bottom w:val="single" w:sz="4" w:space="0" w:color="auto"/>
              <w:right w:val="single" w:sz="4" w:space="0" w:color="auto"/>
            </w:tcBorders>
            <w:shd w:val="clear" w:color="auto" w:fill="auto"/>
            <w:noWrap/>
            <w:vAlign w:val="bottom"/>
            <w:hideMark/>
          </w:tcPr>
          <w:p w14:paraId="5A37EC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20.5</w:t>
            </w:r>
          </w:p>
        </w:tc>
        <w:tc>
          <w:tcPr>
            <w:tcW w:w="899" w:type="dxa"/>
            <w:tcBorders>
              <w:top w:val="nil"/>
              <w:left w:val="nil"/>
              <w:bottom w:val="single" w:sz="4" w:space="0" w:color="auto"/>
              <w:right w:val="single" w:sz="4" w:space="0" w:color="auto"/>
            </w:tcBorders>
            <w:shd w:val="clear" w:color="auto" w:fill="auto"/>
            <w:noWrap/>
            <w:vAlign w:val="bottom"/>
            <w:hideMark/>
          </w:tcPr>
          <w:p w14:paraId="2E82EB1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23.4</w:t>
            </w:r>
          </w:p>
        </w:tc>
        <w:tc>
          <w:tcPr>
            <w:tcW w:w="899" w:type="dxa"/>
            <w:tcBorders>
              <w:top w:val="nil"/>
              <w:left w:val="nil"/>
              <w:bottom w:val="single" w:sz="4" w:space="0" w:color="auto"/>
              <w:right w:val="single" w:sz="4" w:space="0" w:color="auto"/>
            </w:tcBorders>
            <w:shd w:val="clear" w:color="auto" w:fill="auto"/>
            <w:noWrap/>
            <w:vAlign w:val="bottom"/>
            <w:hideMark/>
          </w:tcPr>
          <w:p w14:paraId="6F8129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21.4</w:t>
            </w:r>
          </w:p>
        </w:tc>
        <w:tc>
          <w:tcPr>
            <w:tcW w:w="899" w:type="dxa"/>
            <w:tcBorders>
              <w:top w:val="nil"/>
              <w:left w:val="nil"/>
              <w:bottom w:val="single" w:sz="4" w:space="0" w:color="auto"/>
              <w:right w:val="single" w:sz="4" w:space="0" w:color="auto"/>
            </w:tcBorders>
            <w:shd w:val="clear" w:color="auto" w:fill="auto"/>
            <w:noWrap/>
            <w:vAlign w:val="bottom"/>
            <w:hideMark/>
          </w:tcPr>
          <w:p w14:paraId="49300E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22.9</w:t>
            </w:r>
          </w:p>
        </w:tc>
        <w:tc>
          <w:tcPr>
            <w:tcW w:w="899" w:type="dxa"/>
            <w:tcBorders>
              <w:top w:val="nil"/>
              <w:left w:val="nil"/>
              <w:bottom w:val="single" w:sz="4" w:space="0" w:color="auto"/>
              <w:right w:val="single" w:sz="4" w:space="0" w:color="auto"/>
            </w:tcBorders>
            <w:shd w:val="clear" w:color="auto" w:fill="auto"/>
            <w:noWrap/>
            <w:vAlign w:val="bottom"/>
            <w:hideMark/>
          </w:tcPr>
          <w:p w14:paraId="5397F1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25</w:t>
            </w:r>
          </w:p>
        </w:tc>
        <w:tc>
          <w:tcPr>
            <w:tcW w:w="899" w:type="dxa"/>
            <w:tcBorders>
              <w:top w:val="nil"/>
              <w:left w:val="nil"/>
              <w:bottom w:val="single" w:sz="4" w:space="0" w:color="auto"/>
              <w:right w:val="single" w:sz="4" w:space="0" w:color="auto"/>
            </w:tcBorders>
            <w:shd w:val="clear" w:color="auto" w:fill="auto"/>
            <w:noWrap/>
            <w:vAlign w:val="bottom"/>
            <w:hideMark/>
          </w:tcPr>
          <w:p w14:paraId="0725E59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24.1</w:t>
            </w:r>
          </w:p>
        </w:tc>
        <w:tc>
          <w:tcPr>
            <w:tcW w:w="899" w:type="dxa"/>
            <w:tcBorders>
              <w:top w:val="nil"/>
              <w:left w:val="nil"/>
              <w:bottom w:val="single" w:sz="4" w:space="0" w:color="auto"/>
              <w:right w:val="single" w:sz="4" w:space="0" w:color="auto"/>
            </w:tcBorders>
            <w:shd w:val="clear" w:color="auto" w:fill="auto"/>
            <w:noWrap/>
            <w:vAlign w:val="bottom"/>
            <w:hideMark/>
          </w:tcPr>
          <w:p w14:paraId="53E621A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21</w:t>
            </w:r>
          </w:p>
        </w:tc>
        <w:tc>
          <w:tcPr>
            <w:tcW w:w="899" w:type="dxa"/>
            <w:tcBorders>
              <w:top w:val="nil"/>
              <w:left w:val="nil"/>
              <w:bottom w:val="single" w:sz="4" w:space="0" w:color="auto"/>
              <w:right w:val="single" w:sz="4" w:space="0" w:color="auto"/>
            </w:tcBorders>
            <w:shd w:val="clear" w:color="auto" w:fill="auto"/>
            <w:noWrap/>
            <w:vAlign w:val="bottom"/>
            <w:hideMark/>
          </w:tcPr>
          <w:p w14:paraId="3EA511C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16.1</w:t>
            </w:r>
          </w:p>
        </w:tc>
        <w:tc>
          <w:tcPr>
            <w:tcW w:w="900" w:type="dxa"/>
            <w:tcBorders>
              <w:top w:val="nil"/>
              <w:left w:val="nil"/>
              <w:bottom w:val="single" w:sz="4" w:space="0" w:color="auto"/>
              <w:right w:val="single" w:sz="4" w:space="0" w:color="auto"/>
            </w:tcBorders>
            <w:shd w:val="clear" w:color="auto" w:fill="auto"/>
            <w:noWrap/>
            <w:vAlign w:val="bottom"/>
            <w:hideMark/>
          </w:tcPr>
          <w:p w14:paraId="5DA7D58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13.2</w:t>
            </w:r>
          </w:p>
        </w:tc>
      </w:tr>
      <w:tr w:rsidR="00240506" w:rsidRPr="00650EE4" w14:paraId="14C152F4"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71647D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Bulgarija</w:t>
            </w:r>
          </w:p>
        </w:tc>
        <w:tc>
          <w:tcPr>
            <w:tcW w:w="899" w:type="dxa"/>
            <w:tcBorders>
              <w:top w:val="nil"/>
              <w:left w:val="nil"/>
              <w:bottom w:val="single" w:sz="4" w:space="0" w:color="auto"/>
              <w:right w:val="single" w:sz="4" w:space="0" w:color="auto"/>
            </w:tcBorders>
            <w:shd w:val="clear" w:color="auto" w:fill="auto"/>
            <w:noWrap/>
            <w:vAlign w:val="bottom"/>
            <w:hideMark/>
          </w:tcPr>
          <w:p w14:paraId="3CCDFF8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15.4</w:t>
            </w:r>
          </w:p>
        </w:tc>
        <w:tc>
          <w:tcPr>
            <w:tcW w:w="899" w:type="dxa"/>
            <w:tcBorders>
              <w:top w:val="nil"/>
              <w:left w:val="nil"/>
              <w:bottom w:val="single" w:sz="4" w:space="0" w:color="auto"/>
              <w:right w:val="single" w:sz="4" w:space="0" w:color="auto"/>
            </w:tcBorders>
            <w:shd w:val="clear" w:color="auto" w:fill="auto"/>
            <w:noWrap/>
            <w:vAlign w:val="bottom"/>
            <w:hideMark/>
          </w:tcPr>
          <w:p w14:paraId="45D0DF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14.9</w:t>
            </w:r>
          </w:p>
        </w:tc>
        <w:tc>
          <w:tcPr>
            <w:tcW w:w="899" w:type="dxa"/>
            <w:tcBorders>
              <w:top w:val="nil"/>
              <w:left w:val="nil"/>
              <w:bottom w:val="single" w:sz="4" w:space="0" w:color="auto"/>
              <w:right w:val="single" w:sz="4" w:space="0" w:color="auto"/>
            </w:tcBorders>
            <w:shd w:val="clear" w:color="auto" w:fill="auto"/>
            <w:noWrap/>
            <w:vAlign w:val="bottom"/>
            <w:hideMark/>
          </w:tcPr>
          <w:p w14:paraId="792465F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13.8</w:t>
            </w:r>
          </w:p>
        </w:tc>
        <w:tc>
          <w:tcPr>
            <w:tcW w:w="899" w:type="dxa"/>
            <w:tcBorders>
              <w:top w:val="nil"/>
              <w:left w:val="nil"/>
              <w:bottom w:val="single" w:sz="4" w:space="0" w:color="auto"/>
              <w:right w:val="single" w:sz="4" w:space="0" w:color="auto"/>
            </w:tcBorders>
            <w:shd w:val="clear" w:color="auto" w:fill="auto"/>
            <w:noWrap/>
            <w:vAlign w:val="bottom"/>
            <w:hideMark/>
          </w:tcPr>
          <w:p w14:paraId="0468D5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c>
          <w:tcPr>
            <w:tcW w:w="899" w:type="dxa"/>
            <w:tcBorders>
              <w:top w:val="nil"/>
              <w:left w:val="nil"/>
              <w:bottom w:val="single" w:sz="4" w:space="0" w:color="auto"/>
              <w:right w:val="single" w:sz="4" w:space="0" w:color="auto"/>
            </w:tcBorders>
            <w:shd w:val="clear" w:color="auto" w:fill="auto"/>
            <w:noWrap/>
            <w:vAlign w:val="bottom"/>
            <w:hideMark/>
          </w:tcPr>
          <w:p w14:paraId="44C60E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13.2</w:t>
            </w:r>
          </w:p>
        </w:tc>
        <w:tc>
          <w:tcPr>
            <w:tcW w:w="899" w:type="dxa"/>
            <w:tcBorders>
              <w:top w:val="nil"/>
              <w:left w:val="nil"/>
              <w:bottom w:val="single" w:sz="4" w:space="0" w:color="auto"/>
              <w:right w:val="single" w:sz="4" w:space="0" w:color="auto"/>
            </w:tcBorders>
            <w:shd w:val="clear" w:color="auto" w:fill="auto"/>
            <w:noWrap/>
            <w:vAlign w:val="bottom"/>
            <w:hideMark/>
          </w:tcPr>
          <w:p w14:paraId="7D38CC6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c>
          <w:tcPr>
            <w:tcW w:w="899" w:type="dxa"/>
            <w:tcBorders>
              <w:top w:val="nil"/>
              <w:left w:val="nil"/>
              <w:bottom w:val="single" w:sz="4" w:space="0" w:color="auto"/>
              <w:right w:val="single" w:sz="4" w:space="0" w:color="auto"/>
            </w:tcBorders>
            <w:shd w:val="clear" w:color="auto" w:fill="auto"/>
            <w:noWrap/>
            <w:vAlign w:val="bottom"/>
            <w:hideMark/>
          </w:tcPr>
          <w:p w14:paraId="07059D5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12.3</w:t>
            </w:r>
          </w:p>
        </w:tc>
        <w:tc>
          <w:tcPr>
            <w:tcW w:w="899" w:type="dxa"/>
            <w:tcBorders>
              <w:top w:val="nil"/>
              <w:left w:val="nil"/>
              <w:bottom w:val="single" w:sz="4" w:space="0" w:color="auto"/>
              <w:right w:val="single" w:sz="4" w:space="0" w:color="auto"/>
            </w:tcBorders>
            <w:shd w:val="clear" w:color="auto" w:fill="auto"/>
            <w:noWrap/>
            <w:vAlign w:val="bottom"/>
            <w:hideMark/>
          </w:tcPr>
          <w:p w14:paraId="7D723F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12.2</w:t>
            </w:r>
          </w:p>
        </w:tc>
        <w:tc>
          <w:tcPr>
            <w:tcW w:w="900" w:type="dxa"/>
            <w:tcBorders>
              <w:top w:val="nil"/>
              <w:left w:val="nil"/>
              <w:bottom w:val="single" w:sz="4" w:space="0" w:color="auto"/>
              <w:right w:val="single" w:sz="4" w:space="0" w:color="auto"/>
            </w:tcBorders>
            <w:shd w:val="clear" w:color="auto" w:fill="auto"/>
            <w:noWrap/>
            <w:vAlign w:val="bottom"/>
            <w:hideMark/>
          </w:tcPr>
          <w:p w14:paraId="2305134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w:t>
            </w:r>
          </w:p>
        </w:tc>
      </w:tr>
      <w:tr w:rsidR="00240506" w:rsidRPr="00650EE4" w14:paraId="2BFE4DF7"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7980B0B"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Graikija</w:t>
            </w:r>
          </w:p>
        </w:tc>
        <w:tc>
          <w:tcPr>
            <w:tcW w:w="899" w:type="dxa"/>
            <w:tcBorders>
              <w:top w:val="nil"/>
              <w:left w:val="nil"/>
              <w:bottom w:val="single" w:sz="4" w:space="0" w:color="auto"/>
              <w:right w:val="single" w:sz="4" w:space="0" w:color="auto"/>
            </w:tcBorders>
            <w:shd w:val="clear" w:color="auto" w:fill="auto"/>
            <w:noWrap/>
            <w:vAlign w:val="bottom"/>
            <w:hideMark/>
          </w:tcPr>
          <w:p w14:paraId="7EEC8B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17.1</w:t>
            </w:r>
          </w:p>
        </w:tc>
        <w:tc>
          <w:tcPr>
            <w:tcW w:w="899" w:type="dxa"/>
            <w:tcBorders>
              <w:top w:val="nil"/>
              <w:left w:val="nil"/>
              <w:bottom w:val="single" w:sz="4" w:space="0" w:color="auto"/>
              <w:right w:val="single" w:sz="4" w:space="0" w:color="auto"/>
            </w:tcBorders>
            <w:shd w:val="clear" w:color="auto" w:fill="auto"/>
            <w:noWrap/>
            <w:vAlign w:val="bottom"/>
            <w:hideMark/>
          </w:tcPr>
          <w:p w14:paraId="53BED2E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15.3</w:t>
            </w:r>
          </w:p>
        </w:tc>
        <w:tc>
          <w:tcPr>
            <w:tcW w:w="899" w:type="dxa"/>
            <w:tcBorders>
              <w:top w:val="nil"/>
              <w:left w:val="nil"/>
              <w:bottom w:val="single" w:sz="4" w:space="0" w:color="auto"/>
              <w:right w:val="single" w:sz="4" w:space="0" w:color="auto"/>
            </w:tcBorders>
            <w:shd w:val="clear" w:color="auto" w:fill="auto"/>
            <w:noWrap/>
            <w:vAlign w:val="bottom"/>
            <w:hideMark/>
          </w:tcPr>
          <w:p w14:paraId="5AAE19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14.7</w:t>
            </w:r>
          </w:p>
        </w:tc>
        <w:tc>
          <w:tcPr>
            <w:tcW w:w="899" w:type="dxa"/>
            <w:tcBorders>
              <w:top w:val="nil"/>
              <w:left w:val="nil"/>
              <w:bottom w:val="single" w:sz="4" w:space="0" w:color="auto"/>
              <w:right w:val="single" w:sz="4" w:space="0" w:color="auto"/>
            </w:tcBorders>
            <w:shd w:val="clear" w:color="auto" w:fill="auto"/>
            <w:noWrap/>
            <w:vAlign w:val="bottom"/>
            <w:hideMark/>
          </w:tcPr>
          <w:p w14:paraId="6423690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w:t>
            </w:r>
          </w:p>
        </w:tc>
        <w:tc>
          <w:tcPr>
            <w:tcW w:w="899" w:type="dxa"/>
            <w:tcBorders>
              <w:top w:val="nil"/>
              <w:left w:val="nil"/>
              <w:bottom w:val="single" w:sz="4" w:space="0" w:color="auto"/>
              <w:right w:val="single" w:sz="4" w:space="0" w:color="auto"/>
            </w:tcBorders>
            <w:shd w:val="clear" w:color="auto" w:fill="auto"/>
            <w:noWrap/>
            <w:vAlign w:val="bottom"/>
            <w:hideMark/>
          </w:tcPr>
          <w:p w14:paraId="3D82579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13.7</w:t>
            </w:r>
          </w:p>
        </w:tc>
        <w:tc>
          <w:tcPr>
            <w:tcW w:w="899" w:type="dxa"/>
            <w:tcBorders>
              <w:top w:val="nil"/>
              <w:left w:val="nil"/>
              <w:bottom w:val="single" w:sz="4" w:space="0" w:color="auto"/>
              <w:right w:val="single" w:sz="4" w:space="0" w:color="auto"/>
            </w:tcBorders>
            <w:shd w:val="clear" w:color="auto" w:fill="auto"/>
            <w:noWrap/>
            <w:vAlign w:val="bottom"/>
            <w:hideMark/>
          </w:tcPr>
          <w:p w14:paraId="4C6802D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15.1</w:t>
            </w:r>
          </w:p>
        </w:tc>
        <w:tc>
          <w:tcPr>
            <w:tcW w:w="899" w:type="dxa"/>
            <w:tcBorders>
              <w:top w:val="nil"/>
              <w:left w:val="nil"/>
              <w:bottom w:val="single" w:sz="4" w:space="0" w:color="auto"/>
              <w:right w:val="single" w:sz="4" w:space="0" w:color="auto"/>
            </w:tcBorders>
            <w:shd w:val="clear" w:color="auto" w:fill="auto"/>
            <w:noWrap/>
            <w:vAlign w:val="bottom"/>
            <w:hideMark/>
          </w:tcPr>
          <w:p w14:paraId="4D41E60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14.7</w:t>
            </w:r>
          </w:p>
        </w:tc>
        <w:tc>
          <w:tcPr>
            <w:tcW w:w="899" w:type="dxa"/>
            <w:tcBorders>
              <w:top w:val="nil"/>
              <w:left w:val="nil"/>
              <w:bottom w:val="single" w:sz="4" w:space="0" w:color="auto"/>
              <w:right w:val="single" w:sz="4" w:space="0" w:color="auto"/>
            </w:tcBorders>
            <w:shd w:val="clear" w:color="auto" w:fill="auto"/>
            <w:noWrap/>
            <w:vAlign w:val="bottom"/>
            <w:hideMark/>
          </w:tcPr>
          <w:p w14:paraId="7422279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13.5</w:t>
            </w:r>
          </w:p>
        </w:tc>
        <w:tc>
          <w:tcPr>
            <w:tcW w:w="900" w:type="dxa"/>
            <w:tcBorders>
              <w:top w:val="nil"/>
              <w:left w:val="nil"/>
              <w:bottom w:val="single" w:sz="4" w:space="0" w:color="auto"/>
              <w:right w:val="single" w:sz="4" w:space="0" w:color="auto"/>
            </w:tcBorders>
            <w:shd w:val="clear" w:color="auto" w:fill="auto"/>
            <w:noWrap/>
            <w:vAlign w:val="bottom"/>
            <w:hideMark/>
          </w:tcPr>
          <w:p w14:paraId="5D5549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12.9</w:t>
            </w:r>
          </w:p>
        </w:tc>
      </w:tr>
      <w:tr w:rsidR="00240506" w:rsidRPr="00650EE4" w14:paraId="64509762"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5601D18C"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Prancūzija</w:t>
            </w:r>
          </w:p>
        </w:tc>
        <w:tc>
          <w:tcPr>
            <w:tcW w:w="899" w:type="dxa"/>
            <w:tcBorders>
              <w:top w:val="nil"/>
              <w:left w:val="nil"/>
              <w:bottom w:val="single" w:sz="4" w:space="0" w:color="auto"/>
              <w:right w:val="single" w:sz="4" w:space="0" w:color="auto"/>
            </w:tcBorders>
            <w:shd w:val="clear" w:color="auto" w:fill="auto"/>
            <w:noWrap/>
            <w:vAlign w:val="bottom"/>
            <w:hideMark/>
          </w:tcPr>
          <w:p w14:paraId="1ED0D96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899" w:type="dxa"/>
            <w:tcBorders>
              <w:top w:val="nil"/>
              <w:left w:val="nil"/>
              <w:bottom w:val="single" w:sz="4" w:space="0" w:color="auto"/>
              <w:right w:val="single" w:sz="4" w:space="0" w:color="auto"/>
            </w:tcBorders>
            <w:shd w:val="clear" w:color="auto" w:fill="auto"/>
            <w:noWrap/>
            <w:vAlign w:val="bottom"/>
            <w:hideMark/>
          </w:tcPr>
          <w:p w14:paraId="4D3018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10.9</w:t>
            </w:r>
          </w:p>
        </w:tc>
        <w:tc>
          <w:tcPr>
            <w:tcW w:w="899" w:type="dxa"/>
            <w:tcBorders>
              <w:top w:val="nil"/>
              <w:left w:val="nil"/>
              <w:bottom w:val="single" w:sz="4" w:space="0" w:color="auto"/>
              <w:right w:val="single" w:sz="4" w:space="0" w:color="auto"/>
            </w:tcBorders>
            <w:shd w:val="clear" w:color="auto" w:fill="auto"/>
            <w:noWrap/>
            <w:vAlign w:val="bottom"/>
            <w:hideMark/>
          </w:tcPr>
          <w:p w14:paraId="49357E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2450DC2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4D1B4F7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13.4</w:t>
            </w:r>
          </w:p>
        </w:tc>
        <w:tc>
          <w:tcPr>
            <w:tcW w:w="899" w:type="dxa"/>
            <w:tcBorders>
              <w:top w:val="nil"/>
              <w:left w:val="nil"/>
              <w:bottom w:val="single" w:sz="4" w:space="0" w:color="auto"/>
              <w:right w:val="single" w:sz="4" w:space="0" w:color="auto"/>
            </w:tcBorders>
            <w:shd w:val="clear" w:color="auto" w:fill="auto"/>
            <w:noWrap/>
            <w:vAlign w:val="bottom"/>
            <w:hideMark/>
          </w:tcPr>
          <w:p w14:paraId="2BC352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899" w:type="dxa"/>
            <w:tcBorders>
              <w:top w:val="nil"/>
              <w:left w:val="nil"/>
              <w:bottom w:val="single" w:sz="4" w:space="0" w:color="auto"/>
              <w:right w:val="single" w:sz="4" w:space="0" w:color="auto"/>
            </w:tcBorders>
            <w:shd w:val="clear" w:color="auto" w:fill="auto"/>
            <w:noWrap/>
            <w:vAlign w:val="bottom"/>
            <w:hideMark/>
          </w:tcPr>
          <w:p w14:paraId="7F33938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w:t>
            </w:r>
          </w:p>
        </w:tc>
        <w:tc>
          <w:tcPr>
            <w:tcW w:w="899" w:type="dxa"/>
            <w:tcBorders>
              <w:top w:val="nil"/>
              <w:left w:val="nil"/>
              <w:bottom w:val="single" w:sz="4" w:space="0" w:color="auto"/>
              <w:right w:val="single" w:sz="4" w:space="0" w:color="auto"/>
            </w:tcBorders>
            <w:shd w:val="clear" w:color="auto" w:fill="auto"/>
            <w:noWrap/>
            <w:vAlign w:val="bottom"/>
            <w:hideMark/>
          </w:tcPr>
          <w:p w14:paraId="78AFC1C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900" w:type="dxa"/>
            <w:tcBorders>
              <w:top w:val="nil"/>
              <w:left w:val="nil"/>
              <w:bottom w:val="single" w:sz="4" w:space="0" w:color="auto"/>
              <w:right w:val="single" w:sz="4" w:space="0" w:color="auto"/>
            </w:tcBorders>
            <w:shd w:val="clear" w:color="auto" w:fill="auto"/>
            <w:noWrap/>
            <w:vAlign w:val="bottom"/>
            <w:hideMark/>
          </w:tcPr>
          <w:p w14:paraId="09AA461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12.7</w:t>
            </w:r>
          </w:p>
        </w:tc>
      </w:tr>
      <w:tr w:rsidR="00240506" w:rsidRPr="00650EE4" w14:paraId="75DAAF7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2CC641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Airija</w:t>
            </w:r>
          </w:p>
        </w:tc>
        <w:tc>
          <w:tcPr>
            <w:tcW w:w="899" w:type="dxa"/>
            <w:tcBorders>
              <w:top w:val="nil"/>
              <w:left w:val="nil"/>
              <w:bottom w:val="single" w:sz="4" w:space="0" w:color="auto"/>
              <w:right w:val="single" w:sz="4" w:space="0" w:color="auto"/>
            </w:tcBorders>
            <w:shd w:val="clear" w:color="auto" w:fill="auto"/>
            <w:noWrap/>
            <w:vAlign w:val="bottom"/>
            <w:hideMark/>
          </w:tcPr>
          <w:p w14:paraId="7627B5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899" w:type="dxa"/>
            <w:tcBorders>
              <w:top w:val="nil"/>
              <w:left w:val="nil"/>
              <w:bottom w:val="single" w:sz="4" w:space="0" w:color="auto"/>
              <w:right w:val="single" w:sz="4" w:space="0" w:color="auto"/>
            </w:tcBorders>
            <w:shd w:val="clear" w:color="auto" w:fill="auto"/>
            <w:noWrap/>
            <w:vAlign w:val="bottom"/>
            <w:hideMark/>
          </w:tcPr>
          <w:p w14:paraId="6C65C5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899" w:type="dxa"/>
            <w:tcBorders>
              <w:top w:val="nil"/>
              <w:left w:val="nil"/>
              <w:bottom w:val="single" w:sz="4" w:space="0" w:color="auto"/>
              <w:right w:val="single" w:sz="4" w:space="0" w:color="auto"/>
            </w:tcBorders>
            <w:shd w:val="clear" w:color="auto" w:fill="auto"/>
            <w:noWrap/>
            <w:vAlign w:val="bottom"/>
            <w:hideMark/>
          </w:tcPr>
          <w:p w14:paraId="1748FFE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w:t>
            </w:r>
          </w:p>
        </w:tc>
        <w:tc>
          <w:tcPr>
            <w:tcW w:w="899" w:type="dxa"/>
            <w:tcBorders>
              <w:top w:val="nil"/>
              <w:left w:val="nil"/>
              <w:bottom w:val="single" w:sz="4" w:space="0" w:color="auto"/>
              <w:right w:val="single" w:sz="4" w:space="0" w:color="auto"/>
            </w:tcBorders>
            <w:shd w:val="clear" w:color="auto" w:fill="auto"/>
            <w:noWrap/>
            <w:vAlign w:val="bottom"/>
            <w:hideMark/>
          </w:tcPr>
          <w:p w14:paraId="668CE95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14.3</w:t>
            </w:r>
          </w:p>
        </w:tc>
        <w:tc>
          <w:tcPr>
            <w:tcW w:w="899" w:type="dxa"/>
            <w:tcBorders>
              <w:top w:val="nil"/>
              <w:left w:val="nil"/>
              <w:bottom w:val="single" w:sz="4" w:space="0" w:color="auto"/>
              <w:right w:val="single" w:sz="4" w:space="0" w:color="auto"/>
            </w:tcBorders>
            <w:shd w:val="clear" w:color="auto" w:fill="auto"/>
            <w:noWrap/>
            <w:vAlign w:val="bottom"/>
            <w:hideMark/>
          </w:tcPr>
          <w:p w14:paraId="46E0E54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14.5</w:t>
            </w:r>
          </w:p>
        </w:tc>
        <w:tc>
          <w:tcPr>
            <w:tcW w:w="899" w:type="dxa"/>
            <w:tcBorders>
              <w:top w:val="nil"/>
              <w:left w:val="nil"/>
              <w:bottom w:val="single" w:sz="4" w:space="0" w:color="auto"/>
              <w:right w:val="single" w:sz="4" w:space="0" w:color="auto"/>
            </w:tcBorders>
            <w:shd w:val="clear" w:color="auto" w:fill="auto"/>
            <w:noWrap/>
            <w:vAlign w:val="bottom"/>
            <w:hideMark/>
          </w:tcPr>
          <w:p w14:paraId="3CC8CED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c>
          <w:tcPr>
            <w:tcW w:w="899" w:type="dxa"/>
            <w:tcBorders>
              <w:top w:val="nil"/>
              <w:left w:val="nil"/>
              <w:bottom w:val="single" w:sz="4" w:space="0" w:color="auto"/>
              <w:right w:val="single" w:sz="4" w:space="0" w:color="auto"/>
            </w:tcBorders>
            <w:shd w:val="clear" w:color="auto" w:fill="auto"/>
            <w:noWrap/>
            <w:vAlign w:val="bottom"/>
            <w:hideMark/>
          </w:tcPr>
          <w:p w14:paraId="7EB456E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677721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12.6</w:t>
            </w:r>
          </w:p>
        </w:tc>
        <w:tc>
          <w:tcPr>
            <w:tcW w:w="900" w:type="dxa"/>
            <w:tcBorders>
              <w:top w:val="nil"/>
              <w:left w:val="nil"/>
              <w:bottom w:val="single" w:sz="4" w:space="0" w:color="auto"/>
              <w:right w:val="single" w:sz="4" w:space="0" w:color="auto"/>
            </w:tcBorders>
            <w:shd w:val="clear" w:color="auto" w:fill="auto"/>
            <w:noWrap/>
            <w:vAlign w:val="bottom"/>
            <w:hideMark/>
          </w:tcPr>
          <w:p w14:paraId="603BEC0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r>
      <w:tr w:rsidR="00240506" w:rsidRPr="00650EE4" w14:paraId="311D24C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8B64A4"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Lenkija</w:t>
            </w:r>
          </w:p>
        </w:tc>
        <w:tc>
          <w:tcPr>
            <w:tcW w:w="899" w:type="dxa"/>
            <w:tcBorders>
              <w:top w:val="nil"/>
              <w:left w:val="nil"/>
              <w:bottom w:val="single" w:sz="4" w:space="0" w:color="auto"/>
              <w:right w:val="single" w:sz="4" w:space="0" w:color="auto"/>
            </w:tcBorders>
            <w:shd w:val="clear" w:color="auto" w:fill="auto"/>
            <w:noWrap/>
            <w:vAlign w:val="bottom"/>
            <w:hideMark/>
          </w:tcPr>
          <w:p w14:paraId="3BA0C8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15.6</w:t>
            </w:r>
          </w:p>
        </w:tc>
        <w:tc>
          <w:tcPr>
            <w:tcW w:w="899" w:type="dxa"/>
            <w:tcBorders>
              <w:top w:val="nil"/>
              <w:left w:val="nil"/>
              <w:bottom w:val="single" w:sz="4" w:space="0" w:color="auto"/>
              <w:right w:val="single" w:sz="4" w:space="0" w:color="auto"/>
            </w:tcBorders>
            <w:shd w:val="clear" w:color="auto" w:fill="auto"/>
            <w:noWrap/>
            <w:vAlign w:val="bottom"/>
            <w:hideMark/>
          </w:tcPr>
          <w:p w14:paraId="2242AAD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899" w:type="dxa"/>
            <w:tcBorders>
              <w:top w:val="nil"/>
              <w:left w:val="nil"/>
              <w:bottom w:val="single" w:sz="4" w:space="0" w:color="auto"/>
              <w:right w:val="single" w:sz="4" w:space="0" w:color="auto"/>
            </w:tcBorders>
            <w:shd w:val="clear" w:color="auto" w:fill="auto"/>
            <w:noWrap/>
            <w:vAlign w:val="bottom"/>
            <w:hideMark/>
          </w:tcPr>
          <w:p w14:paraId="72A1F22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10.5</w:t>
            </w:r>
          </w:p>
        </w:tc>
        <w:tc>
          <w:tcPr>
            <w:tcW w:w="899" w:type="dxa"/>
            <w:tcBorders>
              <w:top w:val="nil"/>
              <w:left w:val="nil"/>
              <w:bottom w:val="single" w:sz="4" w:space="0" w:color="auto"/>
              <w:right w:val="single" w:sz="4" w:space="0" w:color="auto"/>
            </w:tcBorders>
            <w:shd w:val="clear" w:color="auto" w:fill="auto"/>
            <w:noWrap/>
            <w:vAlign w:val="bottom"/>
            <w:hideMark/>
          </w:tcPr>
          <w:p w14:paraId="49D44E9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c>
          <w:tcPr>
            <w:tcW w:w="899" w:type="dxa"/>
            <w:tcBorders>
              <w:top w:val="nil"/>
              <w:left w:val="nil"/>
              <w:bottom w:val="single" w:sz="4" w:space="0" w:color="auto"/>
              <w:right w:val="single" w:sz="4" w:space="0" w:color="auto"/>
            </w:tcBorders>
            <w:shd w:val="clear" w:color="auto" w:fill="auto"/>
            <w:noWrap/>
            <w:vAlign w:val="bottom"/>
            <w:hideMark/>
          </w:tcPr>
          <w:p w14:paraId="70D6B65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9.2</w:t>
            </w:r>
          </w:p>
        </w:tc>
        <w:tc>
          <w:tcPr>
            <w:tcW w:w="899" w:type="dxa"/>
            <w:tcBorders>
              <w:top w:val="nil"/>
              <w:left w:val="nil"/>
              <w:bottom w:val="single" w:sz="4" w:space="0" w:color="auto"/>
              <w:right w:val="single" w:sz="4" w:space="0" w:color="auto"/>
            </w:tcBorders>
            <w:shd w:val="clear" w:color="auto" w:fill="auto"/>
            <w:noWrap/>
            <w:vAlign w:val="bottom"/>
            <w:hideMark/>
          </w:tcPr>
          <w:p w14:paraId="781EF5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56C23EC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11.6</w:t>
            </w:r>
          </w:p>
        </w:tc>
        <w:tc>
          <w:tcPr>
            <w:tcW w:w="899" w:type="dxa"/>
            <w:tcBorders>
              <w:top w:val="nil"/>
              <w:left w:val="nil"/>
              <w:bottom w:val="single" w:sz="4" w:space="0" w:color="auto"/>
              <w:right w:val="single" w:sz="4" w:space="0" w:color="auto"/>
            </w:tcBorders>
            <w:shd w:val="clear" w:color="auto" w:fill="auto"/>
            <w:noWrap/>
            <w:vAlign w:val="bottom"/>
            <w:hideMark/>
          </w:tcPr>
          <w:p w14:paraId="74EEA2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900" w:type="dxa"/>
            <w:tcBorders>
              <w:top w:val="nil"/>
              <w:left w:val="nil"/>
              <w:bottom w:val="single" w:sz="4" w:space="0" w:color="auto"/>
              <w:right w:val="single" w:sz="4" w:space="0" w:color="auto"/>
            </w:tcBorders>
            <w:shd w:val="clear" w:color="auto" w:fill="auto"/>
            <w:noWrap/>
            <w:vAlign w:val="bottom"/>
            <w:hideMark/>
          </w:tcPr>
          <w:p w14:paraId="01EB0B4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11.6</w:t>
            </w:r>
          </w:p>
        </w:tc>
      </w:tr>
      <w:tr w:rsidR="00240506" w:rsidRPr="00650EE4" w14:paraId="29799E8A"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46188252"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Austrija</w:t>
            </w:r>
          </w:p>
        </w:tc>
        <w:tc>
          <w:tcPr>
            <w:tcW w:w="899" w:type="dxa"/>
            <w:tcBorders>
              <w:top w:val="nil"/>
              <w:left w:val="nil"/>
              <w:bottom w:val="single" w:sz="4" w:space="0" w:color="auto"/>
              <w:right w:val="single" w:sz="4" w:space="0" w:color="auto"/>
            </w:tcBorders>
            <w:shd w:val="clear" w:color="auto" w:fill="auto"/>
            <w:noWrap/>
            <w:vAlign w:val="bottom"/>
            <w:hideMark/>
          </w:tcPr>
          <w:p w14:paraId="354C4BB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14.8</w:t>
            </w:r>
          </w:p>
        </w:tc>
        <w:tc>
          <w:tcPr>
            <w:tcW w:w="899" w:type="dxa"/>
            <w:tcBorders>
              <w:top w:val="nil"/>
              <w:left w:val="nil"/>
              <w:bottom w:val="single" w:sz="4" w:space="0" w:color="auto"/>
              <w:right w:val="single" w:sz="4" w:space="0" w:color="auto"/>
            </w:tcBorders>
            <w:shd w:val="clear" w:color="auto" w:fill="auto"/>
            <w:noWrap/>
            <w:vAlign w:val="bottom"/>
            <w:hideMark/>
          </w:tcPr>
          <w:p w14:paraId="4B01BA1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13.9</w:t>
            </w:r>
          </w:p>
        </w:tc>
        <w:tc>
          <w:tcPr>
            <w:tcW w:w="899" w:type="dxa"/>
            <w:tcBorders>
              <w:top w:val="nil"/>
              <w:left w:val="nil"/>
              <w:bottom w:val="single" w:sz="4" w:space="0" w:color="auto"/>
              <w:right w:val="single" w:sz="4" w:space="0" w:color="auto"/>
            </w:tcBorders>
            <w:shd w:val="clear" w:color="auto" w:fill="auto"/>
            <w:noWrap/>
            <w:vAlign w:val="bottom"/>
            <w:hideMark/>
          </w:tcPr>
          <w:p w14:paraId="1C4C116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11.8</w:t>
            </w:r>
          </w:p>
        </w:tc>
        <w:tc>
          <w:tcPr>
            <w:tcW w:w="899" w:type="dxa"/>
            <w:tcBorders>
              <w:top w:val="nil"/>
              <w:left w:val="nil"/>
              <w:bottom w:val="single" w:sz="4" w:space="0" w:color="auto"/>
              <w:right w:val="single" w:sz="4" w:space="0" w:color="auto"/>
            </w:tcBorders>
            <w:shd w:val="clear" w:color="auto" w:fill="auto"/>
            <w:noWrap/>
            <w:vAlign w:val="bottom"/>
            <w:hideMark/>
          </w:tcPr>
          <w:p w14:paraId="2D44F74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12.5</w:t>
            </w:r>
          </w:p>
        </w:tc>
        <w:tc>
          <w:tcPr>
            <w:tcW w:w="899" w:type="dxa"/>
            <w:tcBorders>
              <w:top w:val="nil"/>
              <w:left w:val="nil"/>
              <w:bottom w:val="single" w:sz="4" w:space="0" w:color="auto"/>
              <w:right w:val="single" w:sz="4" w:space="0" w:color="auto"/>
            </w:tcBorders>
            <w:shd w:val="clear" w:color="auto" w:fill="auto"/>
            <w:noWrap/>
            <w:vAlign w:val="bottom"/>
            <w:hideMark/>
          </w:tcPr>
          <w:p w14:paraId="49CF74F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w:t>
            </w:r>
          </w:p>
        </w:tc>
        <w:tc>
          <w:tcPr>
            <w:tcW w:w="899" w:type="dxa"/>
            <w:tcBorders>
              <w:top w:val="nil"/>
              <w:left w:val="nil"/>
              <w:bottom w:val="single" w:sz="4" w:space="0" w:color="auto"/>
              <w:right w:val="single" w:sz="4" w:space="0" w:color="auto"/>
            </w:tcBorders>
            <w:shd w:val="clear" w:color="auto" w:fill="auto"/>
            <w:noWrap/>
            <w:vAlign w:val="bottom"/>
            <w:hideMark/>
          </w:tcPr>
          <w:p w14:paraId="36C6686B"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11.7</w:t>
            </w:r>
          </w:p>
        </w:tc>
        <w:tc>
          <w:tcPr>
            <w:tcW w:w="899" w:type="dxa"/>
            <w:tcBorders>
              <w:top w:val="nil"/>
              <w:left w:val="nil"/>
              <w:bottom w:val="single" w:sz="4" w:space="0" w:color="auto"/>
              <w:right w:val="single" w:sz="4" w:space="0" w:color="auto"/>
            </w:tcBorders>
            <w:shd w:val="clear" w:color="auto" w:fill="auto"/>
            <w:noWrap/>
            <w:vAlign w:val="bottom"/>
            <w:hideMark/>
          </w:tcPr>
          <w:p w14:paraId="74A0980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11.2</w:t>
            </w:r>
          </w:p>
        </w:tc>
        <w:tc>
          <w:tcPr>
            <w:tcW w:w="899" w:type="dxa"/>
            <w:tcBorders>
              <w:top w:val="nil"/>
              <w:left w:val="nil"/>
              <w:bottom w:val="single" w:sz="4" w:space="0" w:color="auto"/>
              <w:right w:val="single" w:sz="4" w:space="0" w:color="auto"/>
            </w:tcBorders>
            <w:shd w:val="clear" w:color="auto" w:fill="auto"/>
            <w:noWrap/>
            <w:vAlign w:val="bottom"/>
            <w:hideMark/>
          </w:tcPr>
          <w:p w14:paraId="4FF619F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900" w:type="dxa"/>
            <w:tcBorders>
              <w:top w:val="nil"/>
              <w:left w:val="nil"/>
              <w:bottom w:val="single" w:sz="4" w:space="0" w:color="auto"/>
              <w:right w:val="single" w:sz="4" w:space="0" w:color="auto"/>
            </w:tcBorders>
            <w:shd w:val="clear" w:color="auto" w:fill="auto"/>
            <w:noWrap/>
            <w:vAlign w:val="bottom"/>
            <w:hideMark/>
          </w:tcPr>
          <w:p w14:paraId="2F4FF51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10.4</w:t>
            </w:r>
          </w:p>
        </w:tc>
      </w:tr>
      <w:tr w:rsidR="00240506" w:rsidRPr="00650EE4" w14:paraId="64DD9146"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9C3D64C"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Rumunija</w:t>
            </w:r>
          </w:p>
        </w:tc>
        <w:tc>
          <w:tcPr>
            <w:tcW w:w="899" w:type="dxa"/>
            <w:tcBorders>
              <w:top w:val="nil"/>
              <w:left w:val="nil"/>
              <w:bottom w:val="single" w:sz="4" w:space="0" w:color="auto"/>
              <w:right w:val="single" w:sz="4" w:space="0" w:color="auto"/>
            </w:tcBorders>
            <w:shd w:val="clear" w:color="auto" w:fill="auto"/>
            <w:noWrap/>
            <w:vAlign w:val="bottom"/>
            <w:hideMark/>
          </w:tcPr>
          <w:p w14:paraId="2900E3F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18.7</w:t>
            </w:r>
          </w:p>
        </w:tc>
        <w:tc>
          <w:tcPr>
            <w:tcW w:w="899" w:type="dxa"/>
            <w:tcBorders>
              <w:top w:val="nil"/>
              <w:left w:val="nil"/>
              <w:bottom w:val="single" w:sz="4" w:space="0" w:color="auto"/>
              <w:right w:val="single" w:sz="4" w:space="0" w:color="auto"/>
            </w:tcBorders>
            <w:shd w:val="clear" w:color="auto" w:fill="auto"/>
            <w:noWrap/>
            <w:vAlign w:val="bottom"/>
            <w:hideMark/>
          </w:tcPr>
          <w:p w14:paraId="223784E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18.1</w:t>
            </w:r>
          </w:p>
        </w:tc>
        <w:tc>
          <w:tcPr>
            <w:tcW w:w="899" w:type="dxa"/>
            <w:tcBorders>
              <w:top w:val="nil"/>
              <w:left w:val="nil"/>
              <w:bottom w:val="single" w:sz="4" w:space="0" w:color="auto"/>
              <w:right w:val="single" w:sz="4" w:space="0" w:color="auto"/>
            </w:tcBorders>
            <w:shd w:val="clear" w:color="auto" w:fill="auto"/>
            <w:noWrap/>
            <w:vAlign w:val="bottom"/>
            <w:hideMark/>
          </w:tcPr>
          <w:p w14:paraId="46F3696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15.5</w:t>
            </w:r>
          </w:p>
        </w:tc>
        <w:tc>
          <w:tcPr>
            <w:tcW w:w="899" w:type="dxa"/>
            <w:tcBorders>
              <w:top w:val="nil"/>
              <w:left w:val="nil"/>
              <w:bottom w:val="single" w:sz="4" w:space="0" w:color="auto"/>
              <w:right w:val="single" w:sz="4" w:space="0" w:color="auto"/>
            </w:tcBorders>
            <w:shd w:val="clear" w:color="auto" w:fill="auto"/>
            <w:noWrap/>
            <w:vAlign w:val="bottom"/>
            <w:hideMark/>
          </w:tcPr>
          <w:p w14:paraId="031EED6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16.2</w:t>
            </w:r>
          </w:p>
        </w:tc>
        <w:tc>
          <w:tcPr>
            <w:tcW w:w="899" w:type="dxa"/>
            <w:tcBorders>
              <w:top w:val="nil"/>
              <w:left w:val="nil"/>
              <w:bottom w:val="single" w:sz="4" w:space="0" w:color="auto"/>
              <w:right w:val="single" w:sz="4" w:space="0" w:color="auto"/>
            </w:tcBorders>
            <w:shd w:val="clear" w:color="auto" w:fill="auto"/>
            <w:noWrap/>
            <w:vAlign w:val="bottom"/>
            <w:hideMark/>
          </w:tcPr>
          <w:p w14:paraId="54858A1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13.6</w:t>
            </w:r>
          </w:p>
        </w:tc>
        <w:tc>
          <w:tcPr>
            <w:tcW w:w="899" w:type="dxa"/>
            <w:tcBorders>
              <w:top w:val="nil"/>
              <w:left w:val="nil"/>
              <w:bottom w:val="single" w:sz="4" w:space="0" w:color="auto"/>
              <w:right w:val="single" w:sz="4" w:space="0" w:color="auto"/>
            </w:tcBorders>
            <w:shd w:val="clear" w:color="auto" w:fill="auto"/>
            <w:noWrap/>
            <w:vAlign w:val="bottom"/>
            <w:hideMark/>
          </w:tcPr>
          <w:p w14:paraId="220F64C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43992D2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13.3</w:t>
            </w:r>
          </w:p>
        </w:tc>
        <w:tc>
          <w:tcPr>
            <w:tcW w:w="899" w:type="dxa"/>
            <w:tcBorders>
              <w:top w:val="nil"/>
              <w:left w:val="nil"/>
              <w:bottom w:val="single" w:sz="4" w:space="0" w:color="auto"/>
              <w:right w:val="single" w:sz="4" w:space="0" w:color="auto"/>
            </w:tcBorders>
            <w:shd w:val="clear" w:color="auto" w:fill="auto"/>
            <w:noWrap/>
            <w:vAlign w:val="bottom"/>
            <w:hideMark/>
          </w:tcPr>
          <w:p w14:paraId="6665563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11.1</w:t>
            </w:r>
          </w:p>
        </w:tc>
        <w:tc>
          <w:tcPr>
            <w:tcW w:w="900" w:type="dxa"/>
            <w:tcBorders>
              <w:top w:val="nil"/>
              <w:left w:val="nil"/>
              <w:bottom w:val="single" w:sz="4" w:space="0" w:color="auto"/>
              <w:right w:val="single" w:sz="4" w:space="0" w:color="auto"/>
            </w:tcBorders>
            <w:shd w:val="clear" w:color="auto" w:fill="auto"/>
            <w:noWrap/>
            <w:vAlign w:val="bottom"/>
            <w:hideMark/>
          </w:tcPr>
          <w:p w14:paraId="58A8F57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r>
      <w:tr w:rsidR="00240506" w:rsidRPr="00650EE4" w14:paraId="2D612E8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31B095E"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Šveicarija</w:t>
            </w:r>
          </w:p>
        </w:tc>
        <w:tc>
          <w:tcPr>
            <w:tcW w:w="899" w:type="dxa"/>
            <w:tcBorders>
              <w:top w:val="nil"/>
              <w:left w:val="nil"/>
              <w:bottom w:val="single" w:sz="4" w:space="0" w:color="auto"/>
              <w:right w:val="single" w:sz="4" w:space="0" w:color="auto"/>
            </w:tcBorders>
            <w:shd w:val="clear" w:color="auto" w:fill="auto"/>
            <w:noWrap/>
            <w:vAlign w:val="bottom"/>
            <w:hideMark/>
          </w:tcPr>
          <w:p w14:paraId="5F4313F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8.9</w:t>
            </w:r>
          </w:p>
        </w:tc>
        <w:tc>
          <w:tcPr>
            <w:tcW w:w="899" w:type="dxa"/>
            <w:tcBorders>
              <w:top w:val="nil"/>
              <w:left w:val="nil"/>
              <w:bottom w:val="single" w:sz="4" w:space="0" w:color="auto"/>
              <w:right w:val="single" w:sz="4" w:space="0" w:color="auto"/>
            </w:tcBorders>
            <w:shd w:val="clear" w:color="auto" w:fill="auto"/>
            <w:noWrap/>
            <w:vAlign w:val="bottom"/>
            <w:hideMark/>
          </w:tcPr>
          <w:p w14:paraId="2B60F89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10.6</w:t>
            </w:r>
          </w:p>
        </w:tc>
        <w:tc>
          <w:tcPr>
            <w:tcW w:w="899" w:type="dxa"/>
            <w:tcBorders>
              <w:top w:val="nil"/>
              <w:left w:val="nil"/>
              <w:bottom w:val="single" w:sz="4" w:space="0" w:color="auto"/>
              <w:right w:val="single" w:sz="4" w:space="0" w:color="auto"/>
            </w:tcBorders>
            <w:shd w:val="clear" w:color="auto" w:fill="auto"/>
            <w:noWrap/>
            <w:vAlign w:val="bottom"/>
            <w:hideMark/>
          </w:tcPr>
          <w:p w14:paraId="422E86B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12.8</w:t>
            </w:r>
          </w:p>
        </w:tc>
        <w:tc>
          <w:tcPr>
            <w:tcW w:w="899" w:type="dxa"/>
            <w:tcBorders>
              <w:top w:val="nil"/>
              <w:left w:val="nil"/>
              <w:bottom w:val="single" w:sz="4" w:space="0" w:color="auto"/>
              <w:right w:val="single" w:sz="4" w:space="0" w:color="auto"/>
            </w:tcBorders>
            <w:shd w:val="clear" w:color="auto" w:fill="auto"/>
            <w:noWrap/>
            <w:vAlign w:val="bottom"/>
            <w:hideMark/>
          </w:tcPr>
          <w:p w14:paraId="0DF3C32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11.5</w:t>
            </w:r>
          </w:p>
        </w:tc>
        <w:tc>
          <w:tcPr>
            <w:tcW w:w="899" w:type="dxa"/>
            <w:tcBorders>
              <w:top w:val="nil"/>
              <w:left w:val="nil"/>
              <w:bottom w:val="single" w:sz="4" w:space="0" w:color="auto"/>
              <w:right w:val="single" w:sz="4" w:space="0" w:color="auto"/>
            </w:tcBorders>
            <w:shd w:val="clear" w:color="auto" w:fill="auto"/>
            <w:noWrap/>
            <w:vAlign w:val="bottom"/>
            <w:hideMark/>
          </w:tcPr>
          <w:p w14:paraId="5B915A8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11.3</w:t>
            </w:r>
          </w:p>
        </w:tc>
        <w:tc>
          <w:tcPr>
            <w:tcW w:w="899" w:type="dxa"/>
            <w:tcBorders>
              <w:top w:val="nil"/>
              <w:left w:val="nil"/>
              <w:bottom w:val="single" w:sz="4" w:space="0" w:color="auto"/>
              <w:right w:val="single" w:sz="4" w:space="0" w:color="auto"/>
            </w:tcBorders>
            <w:shd w:val="clear" w:color="auto" w:fill="auto"/>
            <w:noWrap/>
            <w:vAlign w:val="bottom"/>
            <w:hideMark/>
          </w:tcPr>
          <w:p w14:paraId="724A8D7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3122C0D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12.7</w:t>
            </w:r>
          </w:p>
        </w:tc>
        <w:tc>
          <w:tcPr>
            <w:tcW w:w="899" w:type="dxa"/>
            <w:tcBorders>
              <w:top w:val="nil"/>
              <w:left w:val="nil"/>
              <w:bottom w:val="single" w:sz="4" w:space="0" w:color="auto"/>
              <w:right w:val="single" w:sz="4" w:space="0" w:color="auto"/>
            </w:tcBorders>
            <w:shd w:val="clear" w:color="auto" w:fill="auto"/>
            <w:noWrap/>
            <w:vAlign w:val="bottom"/>
            <w:hideMark/>
          </w:tcPr>
          <w:p w14:paraId="1D4CB61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12.2</w:t>
            </w:r>
          </w:p>
        </w:tc>
        <w:tc>
          <w:tcPr>
            <w:tcW w:w="900" w:type="dxa"/>
            <w:tcBorders>
              <w:top w:val="nil"/>
              <w:left w:val="nil"/>
              <w:bottom w:val="single" w:sz="4" w:space="0" w:color="auto"/>
              <w:right w:val="single" w:sz="4" w:space="0" w:color="auto"/>
            </w:tcBorders>
            <w:shd w:val="clear" w:color="auto" w:fill="auto"/>
            <w:noWrap/>
            <w:vAlign w:val="bottom"/>
            <w:hideMark/>
          </w:tcPr>
          <w:p w14:paraId="22F1B2B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9.8</w:t>
            </w:r>
          </w:p>
        </w:tc>
      </w:tr>
      <w:tr w:rsidR="00240506" w:rsidRPr="00650EE4" w14:paraId="634996BF"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43D9E7"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Švedija</w:t>
            </w:r>
          </w:p>
        </w:tc>
        <w:tc>
          <w:tcPr>
            <w:tcW w:w="899" w:type="dxa"/>
            <w:tcBorders>
              <w:top w:val="nil"/>
              <w:left w:val="nil"/>
              <w:bottom w:val="single" w:sz="4" w:space="0" w:color="auto"/>
              <w:right w:val="single" w:sz="4" w:space="0" w:color="auto"/>
            </w:tcBorders>
            <w:shd w:val="clear" w:color="auto" w:fill="auto"/>
            <w:noWrap/>
            <w:vAlign w:val="bottom"/>
            <w:hideMark/>
          </w:tcPr>
          <w:p w14:paraId="3A0B1E0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899" w:type="dxa"/>
            <w:tcBorders>
              <w:top w:val="nil"/>
              <w:left w:val="nil"/>
              <w:bottom w:val="single" w:sz="4" w:space="0" w:color="auto"/>
              <w:right w:val="single" w:sz="4" w:space="0" w:color="auto"/>
            </w:tcBorders>
            <w:shd w:val="clear" w:color="auto" w:fill="auto"/>
            <w:noWrap/>
            <w:vAlign w:val="bottom"/>
            <w:hideMark/>
          </w:tcPr>
          <w:p w14:paraId="578AD0D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8.7</w:t>
            </w:r>
          </w:p>
        </w:tc>
        <w:tc>
          <w:tcPr>
            <w:tcW w:w="899" w:type="dxa"/>
            <w:tcBorders>
              <w:top w:val="nil"/>
              <w:left w:val="nil"/>
              <w:bottom w:val="single" w:sz="4" w:space="0" w:color="auto"/>
              <w:right w:val="single" w:sz="4" w:space="0" w:color="auto"/>
            </w:tcBorders>
            <w:shd w:val="clear" w:color="auto" w:fill="auto"/>
            <w:noWrap/>
            <w:vAlign w:val="bottom"/>
            <w:hideMark/>
          </w:tcPr>
          <w:p w14:paraId="037AEF6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c>
          <w:tcPr>
            <w:tcW w:w="899" w:type="dxa"/>
            <w:tcBorders>
              <w:top w:val="nil"/>
              <w:left w:val="nil"/>
              <w:bottom w:val="single" w:sz="4" w:space="0" w:color="auto"/>
              <w:right w:val="single" w:sz="4" w:space="0" w:color="auto"/>
            </w:tcBorders>
            <w:shd w:val="clear" w:color="auto" w:fill="auto"/>
            <w:noWrap/>
            <w:vAlign w:val="bottom"/>
            <w:hideMark/>
          </w:tcPr>
          <w:p w14:paraId="1E3FCC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10A310D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5AC966FC"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7B80C6C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7.4</w:t>
            </w:r>
          </w:p>
        </w:tc>
        <w:tc>
          <w:tcPr>
            <w:tcW w:w="899" w:type="dxa"/>
            <w:tcBorders>
              <w:top w:val="nil"/>
              <w:left w:val="nil"/>
              <w:bottom w:val="single" w:sz="4" w:space="0" w:color="auto"/>
              <w:right w:val="single" w:sz="4" w:space="0" w:color="auto"/>
            </w:tcBorders>
            <w:shd w:val="clear" w:color="auto" w:fill="auto"/>
            <w:noWrap/>
            <w:vAlign w:val="bottom"/>
            <w:hideMark/>
          </w:tcPr>
          <w:p w14:paraId="1657D74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900" w:type="dxa"/>
            <w:tcBorders>
              <w:top w:val="nil"/>
              <w:left w:val="nil"/>
              <w:bottom w:val="single" w:sz="4" w:space="0" w:color="auto"/>
              <w:right w:val="single" w:sz="4" w:space="0" w:color="auto"/>
            </w:tcBorders>
            <w:shd w:val="clear" w:color="auto" w:fill="auto"/>
            <w:noWrap/>
            <w:vAlign w:val="bottom"/>
            <w:hideMark/>
          </w:tcPr>
          <w:p w14:paraId="42EB98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r>
      <w:tr w:rsidR="00240506" w:rsidRPr="00650EE4" w14:paraId="132901B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928F894"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Čekija</w:t>
            </w:r>
          </w:p>
        </w:tc>
        <w:tc>
          <w:tcPr>
            <w:tcW w:w="899" w:type="dxa"/>
            <w:tcBorders>
              <w:top w:val="nil"/>
              <w:left w:val="nil"/>
              <w:bottom w:val="single" w:sz="4" w:space="0" w:color="auto"/>
              <w:right w:val="single" w:sz="4" w:space="0" w:color="auto"/>
            </w:tcBorders>
            <w:shd w:val="clear" w:color="auto" w:fill="auto"/>
            <w:noWrap/>
            <w:vAlign w:val="bottom"/>
            <w:hideMark/>
          </w:tcPr>
          <w:p w14:paraId="53D4FB6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11.8</w:t>
            </w:r>
          </w:p>
        </w:tc>
        <w:tc>
          <w:tcPr>
            <w:tcW w:w="899" w:type="dxa"/>
            <w:tcBorders>
              <w:top w:val="nil"/>
              <w:left w:val="nil"/>
              <w:bottom w:val="single" w:sz="4" w:space="0" w:color="auto"/>
              <w:right w:val="single" w:sz="4" w:space="0" w:color="auto"/>
            </w:tcBorders>
            <w:shd w:val="clear" w:color="auto" w:fill="auto"/>
            <w:noWrap/>
            <w:vAlign w:val="bottom"/>
            <w:hideMark/>
          </w:tcPr>
          <w:p w14:paraId="2CBDED7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11.9</w:t>
            </w:r>
          </w:p>
        </w:tc>
        <w:tc>
          <w:tcPr>
            <w:tcW w:w="899" w:type="dxa"/>
            <w:tcBorders>
              <w:top w:val="nil"/>
              <w:left w:val="nil"/>
              <w:bottom w:val="single" w:sz="4" w:space="0" w:color="auto"/>
              <w:right w:val="single" w:sz="4" w:space="0" w:color="auto"/>
            </w:tcBorders>
            <w:shd w:val="clear" w:color="auto" w:fill="auto"/>
            <w:noWrap/>
            <w:vAlign w:val="bottom"/>
            <w:hideMark/>
          </w:tcPr>
          <w:p w14:paraId="0D4B036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10.5</w:t>
            </w:r>
          </w:p>
        </w:tc>
        <w:tc>
          <w:tcPr>
            <w:tcW w:w="899" w:type="dxa"/>
            <w:tcBorders>
              <w:top w:val="nil"/>
              <w:left w:val="nil"/>
              <w:bottom w:val="single" w:sz="4" w:space="0" w:color="auto"/>
              <w:right w:val="single" w:sz="4" w:space="0" w:color="auto"/>
            </w:tcBorders>
            <w:shd w:val="clear" w:color="auto" w:fill="auto"/>
            <w:noWrap/>
            <w:vAlign w:val="bottom"/>
            <w:hideMark/>
          </w:tcPr>
          <w:p w14:paraId="11CD9FB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w:t>
            </w:r>
          </w:p>
        </w:tc>
        <w:tc>
          <w:tcPr>
            <w:tcW w:w="899" w:type="dxa"/>
            <w:tcBorders>
              <w:top w:val="nil"/>
              <w:left w:val="nil"/>
              <w:bottom w:val="single" w:sz="4" w:space="0" w:color="auto"/>
              <w:right w:val="single" w:sz="4" w:space="0" w:color="auto"/>
            </w:tcBorders>
            <w:shd w:val="clear" w:color="auto" w:fill="auto"/>
            <w:noWrap/>
            <w:vAlign w:val="bottom"/>
            <w:hideMark/>
          </w:tcPr>
          <w:p w14:paraId="1874220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9.2</w:t>
            </w:r>
          </w:p>
        </w:tc>
        <w:tc>
          <w:tcPr>
            <w:tcW w:w="899" w:type="dxa"/>
            <w:tcBorders>
              <w:top w:val="nil"/>
              <w:left w:val="nil"/>
              <w:bottom w:val="single" w:sz="4" w:space="0" w:color="auto"/>
              <w:right w:val="single" w:sz="4" w:space="0" w:color="auto"/>
            </w:tcBorders>
            <w:shd w:val="clear" w:color="auto" w:fill="auto"/>
            <w:noWrap/>
            <w:vAlign w:val="bottom"/>
            <w:hideMark/>
          </w:tcPr>
          <w:p w14:paraId="3A49CFB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8.9</w:t>
            </w:r>
          </w:p>
        </w:tc>
        <w:tc>
          <w:tcPr>
            <w:tcW w:w="899" w:type="dxa"/>
            <w:tcBorders>
              <w:top w:val="nil"/>
              <w:left w:val="nil"/>
              <w:bottom w:val="single" w:sz="4" w:space="0" w:color="auto"/>
              <w:right w:val="single" w:sz="4" w:space="0" w:color="auto"/>
            </w:tcBorders>
            <w:shd w:val="clear" w:color="auto" w:fill="auto"/>
            <w:noWrap/>
            <w:vAlign w:val="bottom"/>
            <w:hideMark/>
          </w:tcPr>
          <w:p w14:paraId="3CB183C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8.2</w:t>
            </w:r>
          </w:p>
        </w:tc>
        <w:tc>
          <w:tcPr>
            <w:tcW w:w="899" w:type="dxa"/>
            <w:tcBorders>
              <w:top w:val="nil"/>
              <w:left w:val="nil"/>
              <w:bottom w:val="single" w:sz="4" w:space="0" w:color="auto"/>
              <w:right w:val="single" w:sz="4" w:space="0" w:color="auto"/>
            </w:tcBorders>
            <w:shd w:val="clear" w:color="auto" w:fill="auto"/>
            <w:noWrap/>
            <w:vAlign w:val="bottom"/>
            <w:hideMark/>
          </w:tcPr>
          <w:p w14:paraId="01195844"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w:t>
            </w:r>
          </w:p>
        </w:tc>
        <w:tc>
          <w:tcPr>
            <w:tcW w:w="900" w:type="dxa"/>
            <w:tcBorders>
              <w:top w:val="nil"/>
              <w:left w:val="nil"/>
              <w:bottom w:val="single" w:sz="4" w:space="0" w:color="auto"/>
              <w:right w:val="single" w:sz="4" w:space="0" w:color="auto"/>
            </w:tcBorders>
            <w:shd w:val="clear" w:color="auto" w:fill="auto"/>
            <w:noWrap/>
            <w:vAlign w:val="bottom"/>
            <w:hideMark/>
          </w:tcPr>
          <w:p w14:paraId="445BDC8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r>
      <w:tr w:rsidR="00240506" w:rsidRPr="00650EE4" w14:paraId="5D53FFC0"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7347FE9"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Malta</w:t>
            </w:r>
          </w:p>
        </w:tc>
        <w:tc>
          <w:tcPr>
            <w:tcW w:w="899" w:type="dxa"/>
            <w:tcBorders>
              <w:top w:val="nil"/>
              <w:left w:val="nil"/>
              <w:bottom w:val="single" w:sz="4" w:space="0" w:color="auto"/>
              <w:right w:val="single" w:sz="4" w:space="0" w:color="auto"/>
            </w:tcBorders>
            <w:shd w:val="clear" w:color="auto" w:fill="auto"/>
            <w:noWrap/>
            <w:vAlign w:val="bottom"/>
            <w:hideMark/>
          </w:tcPr>
          <w:p w14:paraId="241BD5B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12.1</w:t>
            </w:r>
          </w:p>
        </w:tc>
        <w:tc>
          <w:tcPr>
            <w:tcW w:w="899" w:type="dxa"/>
            <w:tcBorders>
              <w:top w:val="nil"/>
              <w:left w:val="nil"/>
              <w:bottom w:val="single" w:sz="4" w:space="0" w:color="auto"/>
              <w:right w:val="single" w:sz="4" w:space="0" w:color="auto"/>
            </w:tcBorders>
            <w:shd w:val="clear" w:color="auto" w:fill="auto"/>
            <w:noWrap/>
            <w:vAlign w:val="bottom"/>
            <w:hideMark/>
          </w:tcPr>
          <w:p w14:paraId="5AE3105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10.2</w:t>
            </w:r>
          </w:p>
        </w:tc>
        <w:tc>
          <w:tcPr>
            <w:tcW w:w="899" w:type="dxa"/>
            <w:tcBorders>
              <w:top w:val="nil"/>
              <w:left w:val="nil"/>
              <w:bottom w:val="single" w:sz="4" w:space="0" w:color="auto"/>
              <w:right w:val="single" w:sz="4" w:space="0" w:color="auto"/>
            </w:tcBorders>
            <w:shd w:val="clear" w:color="auto" w:fill="auto"/>
            <w:noWrap/>
            <w:vAlign w:val="bottom"/>
            <w:hideMark/>
          </w:tcPr>
          <w:p w14:paraId="53F7D1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10.8</w:t>
            </w:r>
          </w:p>
        </w:tc>
        <w:tc>
          <w:tcPr>
            <w:tcW w:w="899" w:type="dxa"/>
            <w:tcBorders>
              <w:top w:val="nil"/>
              <w:left w:val="nil"/>
              <w:bottom w:val="single" w:sz="4" w:space="0" w:color="auto"/>
              <w:right w:val="single" w:sz="4" w:space="0" w:color="auto"/>
            </w:tcBorders>
            <w:shd w:val="clear" w:color="auto" w:fill="auto"/>
            <w:noWrap/>
            <w:vAlign w:val="bottom"/>
            <w:hideMark/>
          </w:tcPr>
          <w:p w14:paraId="651F60F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11.7</w:t>
            </w:r>
          </w:p>
        </w:tc>
        <w:tc>
          <w:tcPr>
            <w:tcW w:w="899" w:type="dxa"/>
            <w:tcBorders>
              <w:top w:val="nil"/>
              <w:left w:val="nil"/>
              <w:bottom w:val="single" w:sz="4" w:space="0" w:color="auto"/>
              <w:right w:val="single" w:sz="4" w:space="0" w:color="auto"/>
            </w:tcBorders>
            <w:shd w:val="clear" w:color="auto" w:fill="auto"/>
            <w:noWrap/>
            <w:vAlign w:val="bottom"/>
            <w:hideMark/>
          </w:tcPr>
          <w:p w14:paraId="7FD7CC7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10.9</w:t>
            </w:r>
          </w:p>
        </w:tc>
        <w:tc>
          <w:tcPr>
            <w:tcW w:w="899" w:type="dxa"/>
            <w:tcBorders>
              <w:top w:val="nil"/>
              <w:left w:val="nil"/>
              <w:bottom w:val="single" w:sz="4" w:space="0" w:color="auto"/>
              <w:right w:val="single" w:sz="4" w:space="0" w:color="auto"/>
            </w:tcBorders>
            <w:shd w:val="clear" w:color="auto" w:fill="auto"/>
            <w:noWrap/>
            <w:vAlign w:val="bottom"/>
            <w:hideMark/>
          </w:tcPr>
          <w:p w14:paraId="14CC61F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10.1</w:t>
            </w:r>
          </w:p>
        </w:tc>
        <w:tc>
          <w:tcPr>
            <w:tcW w:w="899" w:type="dxa"/>
            <w:tcBorders>
              <w:top w:val="nil"/>
              <w:left w:val="nil"/>
              <w:bottom w:val="single" w:sz="4" w:space="0" w:color="auto"/>
              <w:right w:val="single" w:sz="4" w:space="0" w:color="auto"/>
            </w:tcBorders>
            <w:shd w:val="clear" w:color="auto" w:fill="auto"/>
            <w:noWrap/>
            <w:vAlign w:val="bottom"/>
            <w:hideMark/>
          </w:tcPr>
          <w:p w14:paraId="7FD77ED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9.1</w:t>
            </w:r>
          </w:p>
        </w:tc>
        <w:tc>
          <w:tcPr>
            <w:tcW w:w="899" w:type="dxa"/>
            <w:tcBorders>
              <w:top w:val="nil"/>
              <w:left w:val="nil"/>
              <w:bottom w:val="single" w:sz="4" w:space="0" w:color="auto"/>
              <w:right w:val="single" w:sz="4" w:space="0" w:color="auto"/>
            </w:tcBorders>
            <w:shd w:val="clear" w:color="auto" w:fill="auto"/>
            <w:noWrap/>
            <w:vAlign w:val="bottom"/>
            <w:hideMark/>
          </w:tcPr>
          <w:p w14:paraId="092937A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8.4</w:t>
            </w:r>
          </w:p>
        </w:tc>
        <w:tc>
          <w:tcPr>
            <w:tcW w:w="900" w:type="dxa"/>
            <w:tcBorders>
              <w:top w:val="nil"/>
              <w:left w:val="nil"/>
              <w:bottom w:val="single" w:sz="4" w:space="0" w:color="auto"/>
              <w:right w:val="single" w:sz="4" w:space="0" w:color="auto"/>
            </w:tcBorders>
            <w:shd w:val="clear" w:color="auto" w:fill="auto"/>
            <w:noWrap/>
            <w:vAlign w:val="bottom"/>
            <w:hideMark/>
          </w:tcPr>
          <w:p w14:paraId="0D49A53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7.1</w:t>
            </w:r>
          </w:p>
        </w:tc>
      </w:tr>
      <w:tr w:rsidR="00240506" w:rsidRPr="00650EE4" w14:paraId="63BE0592"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87619B"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Norvegija</w:t>
            </w:r>
          </w:p>
        </w:tc>
        <w:tc>
          <w:tcPr>
            <w:tcW w:w="899" w:type="dxa"/>
            <w:tcBorders>
              <w:top w:val="nil"/>
              <w:left w:val="nil"/>
              <w:bottom w:val="single" w:sz="4" w:space="0" w:color="auto"/>
              <w:right w:val="single" w:sz="4" w:space="0" w:color="auto"/>
            </w:tcBorders>
            <w:shd w:val="clear" w:color="auto" w:fill="auto"/>
            <w:noWrap/>
            <w:vAlign w:val="bottom"/>
            <w:hideMark/>
          </w:tcPr>
          <w:p w14:paraId="36B876FD"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7.7</w:t>
            </w:r>
          </w:p>
        </w:tc>
        <w:tc>
          <w:tcPr>
            <w:tcW w:w="899" w:type="dxa"/>
            <w:tcBorders>
              <w:top w:val="nil"/>
              <w:left w:val="nil"/>
              <w:bottom w:val="single" w:sz="4" w:space="0" w:color="auto"/>
              <w:right w:val="single" w:sz="4" w:space="0" w:color="auto"/>
            </w:tcBorders>
            <w:shd w:val="clear" w:color="auto" w:fill="auto"/>
            <w:noWrap/>
            <w:vAlign w:val="bottom"/>
            <w:hideMark/>
          </w:tcPr>
          <w:p w14:paraId="5DB98F2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7.6</w:t>
            </w:r>
          </w:p>
        </w:tc>
        <w:tc>
          <w:tcPr>
            <w:tcW w:w="899" w:type="dxa"/>
            <w:tcBorders>
              <w:top w:val="nil"/>
              <w:left w:val="nil"/>
              <w:bottom w:val="single" w:sz="4" w:space="0" w:color="auto"/>
              <w:right w:val="single" w:sz="4" w:space="0" w:color="auto"/>
            </w:tcBorders>
            <w:shd w:val="clear" w:color="auto" w:fill="auto"/>
            <w:noWrap/>
            <w:vAlign w:val="bottom"/>
            <w:hideMark/>
          </w:tcPr>
          <w:p w14:paraId="32B6347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8.2</w:t>
            </w:r>
          </w:p>
        </w:tc>
        <w:tc>
          <w:tcPr>
            <w:tcW w:w="899" w:type="dxa"/>
            <w:tcBorders>
              <w:top w:val="nil"/>
              <w:left w:val="nil"/>
              <w:bottom w:val="single" w:sz="4" w:space="0" w:color="auto"/>
              <w:right w:val="single" w:sz="4" w:space="0" w:color="auto"/>
            </w:tcBorders>
            <w:shd w:val="clear" w:color="auto" w:fill="auto"/>
            <w:noWrap/>
            <w:vAlign w:val="bottom"/>
            <w:hideMark/>
          </w:tcPr>
          <w:p w14:paraId="1308B7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899" w:type="dxa"/>
            <w:tcBorders>
              <w:top w:val="nil"/>
              <w:left w:val="nil"/>
              <w:bottom w:val="single" w:sz="4" w:space="0" w:color="auto"/>
              <w:right w:val="single" w:sz="4" w:space="0" w:color="auto"/>
            </w:tcBorders>
            <w:shd w:val="clear" w:color="auto" w:fill="auto"/>
            <w:noWrap/>
            <w:vAlign w:val="bottom"/>
            <w:hideMark/>
          </w:tcPr>
          <w:p w14:paraId="507DB21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w:t>
            </w:r>
          </w:p>
        </w:tc>
        <w:tc>
          <w:tcPr>
            <w:tcW w:w="899" w:type="dxa"/>
            <w:tcBorders>
              <w:top w:val="nil"/>
              <w:left w:val="nil"/>
              <w:bottom w:val="single" w:sz="4" w:space="0" w:color="auto"/>
              <w:right w:val="single" w:sz="4" w:space="0" w:color="auto"/>
            </w:tcBorders>
            <w:shd w:val="clear" w:color="auto" w:fill="auto"/>
            <w:noWrap/>
            <w:vAlign w:val="bottom"/>
            <w:hideMark/>
          </w:tcPr>
          <w:p w14:paraId="0124F8F1"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6.8</w:t>
            </w:r>
          </w:p>
        </w:tc>
        <w:tc>
          <w:tcPr>
            <w:tcW w:w="899" w:type="dxa"/>
            <w:tcBorders>
              <w:top w:val="nil"/>
              <w:left w:val="nil"/>
              <w:bottom w:val="single" w:sz="4" w:space="0" w:color="auto"/>
              <w:right w:val="single" w:sz="4" w:space="0" w:color="auto"/>
            </w:tcBorders>
            <w:shd w:val="clear" w:color="auto" w:fill="auto"/>
            <w:noWrap/>
            <w:vAlign w:val="bottom"/>
            <w:hideMark/>
          </w:tcPr>
          <w:p w14:paraId="026EE2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5.9</w:t>
            </w:r>
          </w:p>
        </w:tc>
        <w:tc>
          <w:tcPr>
            <w:tcW w:w="899" w:type="dxa"/>
            <w:tcBorders>
              <w:top w:val="nil"/>
              <w:left w:val="nil"/>
              <w:bottom w:val="single" w:sz="4" w:space="0" w:color="auto"/>
              <w:right w:val="single" w:sz="4" w:space="0" w:color="auto"/>
            </w:tcBorders>
            <w:shd w:val="clear" w:color="auto" w:fill="auto"/>
            <w:noWrap/>
            <w:vAlign w:val="bottom"/>
            <w:hideMark/>
          </w:tcPr>
          <w:p w14:paraId="7305ADB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5.6</w:t>
            </w:r>
          </w:p>
        </w:tc>
        <w:tc>
          <w:tcPr>
            <w:tcW w:w="900" w:type="dxa"/>
            <w:tcBorders>
              <w:top w:val="nil"/>
              <w:left w:val="nil"/>
              <w:bottom w:val="single" w:sz="4" w:space="0" w:color="auto"/>
              <w:right w:val="single" w:sz="4" w:space="0" w:color="auto"/>
            </w:tcBorders>
            <w:shd w:val="clear" w:color="auto" w:fill="auto"/>
            <w:noWrap/>
            <w:vAlign w:val="bottom"/>
            <w:hideMark/>
          </w:tcPr>
          <w:p w14:paraId="3BE538BA"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6.8</w:t>
            </w:r>
          </w:p>
        </w:tc>
      </w:tr>
      <w:tr w:rsidR="00240506" w:rsidRPr="00650EE4" w14:paraId="1EBE329E"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BE88F41"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Slovakija</w:t>
            </w:r>
          </w:p>
        </w:tc>
        <w:tc>
          <w:tcPr>
            <w:tcW w:w="899" w:type="dxa"/>
            <w:tcBorders>
              <w:top w:val="nil"/>
              <w:left w:val="nil"/>
              <w:bottom w:val="single" w:sz="4" w:space="0" w:color="auto"/>
              <w:right w:val="single" w:sz="4" w:space="0" w:color="auto"/>
            </w:tcBorders>
            <w:shd w:val="clear" w:color="auto" w:fill="auto"/>
            <w:noWrap/>
            <w:vAlign w:val="bottom"/>
            <w:hideMark/>
          </w:tcPr>
          <w:p w14:paraId="73CC629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5.8</w:t>
            </w:r>
          </w:p>
        </w:tc>
        <w:tc>
          <w:tcPr>
            <w:tcW w:w="899" w:type="dxa"/>
            <w:tcBorders>
              <w:top w:val="nil"/>
              <w:left w:val="nil"/>
              <w:bottom w:val="single" w:sz="4" w:space="0" w:color="auto"/>
              <w:right w:val="single" w:sz="4" w:space="0" w:color="auto"/>
            </w:tcBorders>
            <w:shd w:val="clear" w:color="auto" w:fill="auto"/>
            <w:noWrap/>
            <w:vAlign w:val="bottom"/>
            <w:hideMark/>
          </w:tcPr>
          <w:p w14:paraId="02EF1A9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7.8</w:t>
            </w:r>
          </w:p>
        </w:tc>
        <w:tc>
          <w:tcPr>
            <w:tcW w:w="899" w:type="dxa"/>
            <w:tcBorders>
              <w:top w:val="nil"/>
              <w:left w:val="nil"/>
              <w:bottom w:val="single" w:sz="4" w:space="0" w:color="auto"/>
              <w:right w:val="single" w:sz="4" w:space="0" w:color="auto"/>
            </w:tcBorders>
            <w:shd w:val="clear" w:color="auto" w:fill="auto"/>
            <w:noWrap/>
            <w:vAlign w:val="bottom"/>
            <w:hideMark/>
          </w:tcPr>
          <w:p w14:paraId="29DCD84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8.8</w:t>
            </w:r>
          </w:p>
        </w:tc>
        <w:tc>
          <w:tcPr>
            <w:tcW w:w="899" w:type="dxa"/>
            <w:tcBorders>
              <w:top w:val="nil"/>
              <w:left w:val="nil"/>
              <w:bottom w:val="single" w:sz="4" w:space="0" w:color="auto"/>
              <w:right w:val="single" w:sz="4" w:space="0" w:color="auto"/>
            </w:tcBorders>
            <w:shd w:val="clear" w:color="auto" w:fill="auto"/>
            <w:noWrap/>
            <w:vAlign w:val="bottom"/>
            <w:hideMark/>
          </w:tcPr>
          <w:p w14:paraId="1861A3B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7.5</w:t>
            </w:r>
          </w:p>
        </w:tc>
        <w:tc>
          <w:tcPr>
            <w:tcW w:w="899" w:type="dxa"/>
            <w:tcBorders>
              <w:top w:val="nil"/>
              <w:left w:val="nil"/>
              <w:bottom w:val="single" w:sz="4" w:space="0" w:color="auto"/>
              <w:right w:val="single" w:sz="4" w:space="0" w:color="auto"/>
            </w:tcBorders>
            <w:shd w:val="clear" w:color="auto" w:fill="auto"/>
            <w:noWrap/>
            <w:vAlign w:val="bottom"/>
            <w:hideMark/>
          </w:tcPr>
          <w:p w14:paraId="74D35DE0"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7</w:t>
            </w:r>
          </w:p>
        </w:tc>
        <w:tc>
          <w:tcPr>
            <w:tcW w:w="899" w:type="dxa"/>
            <w:tcBorders>
              <w:top w:val="nil"/>
              <w:left w:val="nil"/>
              <w:bottom w:val="single" w:sz="4" w:space="0" w:color="auto"/>
              <w:right w:val="single" w:sz="4" w:space="0" w:color="auto"/>
            </w:tcBorders>
            <w:shd w:val="clear" w:color="auto" w:fill="auto"/>
            <w:noWrap/>
            <w:vAlign w:val="bottom"/>
            <w:hideMark/>
          </w:tcPr>
          <w:p w14:paraId="6BC560DE"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6.3</w:t>
            </w:r>
          </w:p>
        </w:tc>
        <w:tc>
          <w:tcPr>
            <w:tcW w:w="899" w:type="dxa"/>
            <w:tcBorders>
              <w:top w:val="nil"/>
              <w:left w:val="nil"/>
              <w:bottom w:val="single" w:sz="4" w:space="0" w:color="auto"/>
              <w:right w:val="single" w:sz="4" w:space="0" w:color="auto"/>
            </w:tcBorders>
            <w:shd w:val="clear" w:color="auto" w:fill="auto"/>
            <w:noWrap/>
            <w:vAlign w:val="bottom"/>
            <w:hideMark/>
          </w:tcPr>
          <w:p w14:paraId="0E2226A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6.2</w:t>
            </w:r>
          </w:p>
        </w:tc>
        <w:tc>
          <w:tcPr>
            <w:tcW w:w="899" w:type="dxa"/>
            <w:tcBorders>
              <w:top w:val="nil"/>
              <w:left w:val="nil"/>
              <w:bottom w:val="single" w:sz="4" w:space="0" w:color="auto"/>
              <w:right w:val="single" w:sz="4" w:space="0" w:color="auto"/>
            </w:tcBorders>
            <w:shd w:val="clear" w:color="auto" w:fill="auto"/>
            <w:noWrap/>
            <w:vAlign w:val="bottom"/>
            <w:hideMark/>
          </w:tcPr>
          <w:p w14:paraId="4F318DD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6.7</w:t>
            </w:r>
          </w:p>
        </w:tc>
        <w:tc>
          <w:tcPr>
            <w:tcW w:w="900" w:type="dxa"/>
            <w:tcBorders>
              <w:top w:val="nil"/>
              <w:left w:val="nil"/>
              <w:bottom w:val="single" w:sz="4" w:space="0" w:color="auto"/>
              <w:right w:val="single" w:sz="4" w:space="0" w:color="auto"/>
            </w:tcBorders>
            <w:shd w:val="clear" w:color="auto" w:fill="auto"/>
            <w:noWrap/>
            <w:vAlign w:val="bottom"/>
            <w:hideMark/>
          </w:tcPr>
          <w:p w14:paraId="3B1B3B49"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5.1</w:t>
            </w:r>
          </w:p>
        </w:tc>
      </w:tr>
      <w:tr w:rsidR="00240506" w:rsidRPr="00650EE4" w14:paraId="61145D78" w14:textId="77777777" w:rsidTr="00DF628E">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1A89BBD" w14:textId="77777777" w:rsidR="00240506" w:rsidRPr="00650EE4" w:rsidRDefault="00240506" w:rsidP="00DC1083">
            <w:pPr>
              <w:spacing w:line="240" w:lineRule="auto"/>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Suomija</w:t>
            </w:r>
          </w:p>
        </w:tc>
        <w:tc>
          <w:tcPr>
            <w:tcW w:w="899" w:type="dxa"/>
            <w:tcBorders>
              <w:top w:val="nil"/>
              <w:left w:val="nil"/>
              <w:bottom w:val="single" w:sz="4" w:space="0" w:color="auto"/>
              <w:right w:val="single" w:sz="4" w:space="0" w:color="auto"/>
            </w:tcBorders>
            <w:shd w:val="clear" w:color="auto" w:fill="auto"/>
            <w:noWrap/>
            <w:vAlign w:val="bottom"/>
            <w:hideMark/>
          </w:tcPr>
          <w:p w14:paraId="3C6B47F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w:t>
            </w:r>
          </w:p>
        </w:tc>
        <w:tc>
          <w:tcPr>
            <w:tcW w:w="899" w:type="dxa"/>
            <w:tcBorders>
              <w:top w:val="nil"/>
              <w:left w:val="nil"/>
              <w:bottom w:val="single" w:sz="4" w:space="0" w:color="auto"/>
              <w:right w:val="single" w:sz="4" w:space="0" w:color="auto"/>
            </w:tcBorders>
            <w:shd w:val="clear" w:color="auto" w:fill="auto"/>
            <w:noWrap/>
            <w:vAlign w:val="bottom"/>
            <w:hideMark/>
          </w:tcPr>
          <w:p w14:paraId="7AB4082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5.7</w:t>
            </w:r>
          </w:p>
        </w:tc>
        <w:tc>
          <w:tcPr>
            <w:tcW w:w="899" w:type="dxa"/>
            <w:tcBorders>
              <w:top w:val="nil"/>
              <w:left w:val="nil"/>
              <w:bottom w:val="single" w:sz="4" w:space="0" w:color="auto"/>
              <w:right w:val="single" w:sz="4" w:space="0" w:color="auto"/>
            </w:tcBorders>
            <w:shd w:val="clear" w:color="auto" w:fill="auto"/>
            <w:noWrap/>
            <w:vAlign w:val="bottom"/>
            <w:hideMark/>
          </w:tcPr>
          <w:p w14:paraId="67A97B0F"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6</w:t>
            </w:r>
          </w:p>
        </w:tc>
        <w:tc>
          <w:tcPr>
            <w:tcW w:w="899" w:type="dxa"/>
            <w:tcBorders>
              <w:top w:val="nil"/>
              <w:left w:val="nil"/>
              <w:bottom w:val="single" w:sz="4" w:space="0" w:color="auto"/>
              <w:right w:val="single" w:sz="4" w:space="0" w:color="auto"/>
            </w:tcBorders>
            <w:shd w:val="clear" w:color="auto" w:fill="auto"/>
            <w:noWrap/>
            <w:vAlign w:val="bottom"/>
            <w:hideMark/>
          </w:tcPr>
          <w:p w14:paraId="6BE2E5F5"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5.2</w:t>
            </w:r>
          </w:p>
        </w:tc>
        <w:tc>
          <w:tcPr>
            <w:tcW w:w="899" w:type="dxa"/>
            <w:tcBorders>
              <w:top w:val="nil"/>
              <w:left w:val="nil"/>
              <w:bottom w:val="single" w:sz="4" w:space="0" w:color="auto"/>
              <w:right w:val="single" w:sz="4" w:space="0" w:color="auto"/>
            </w:tcBorders>
            <w:shd w:val="clear" w:color="auto" w:fill="auto"/>
            <w:noWrap/>
            <w:vAlign w:val="bottom"/>
            <w:hideMark/>
          </w:tcPr>
          <w:p w14:paraId="7A9CDD57"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5</w:t>
            </w:r>
          </w:p>
        </w:tc>
        <w:tc>
          <w:tcPr>
            <w:tcW w:w="899" w:type="dxa"/>
            <w:tcBorders>
              <w:top w:val="nil"/>
              <w:left w:val="nil"/>
              <w:bottom w:val="single" w:sz="4" w:space="0" w:color="auto"/>
              <w:right w:val="single" w:sz="4" w:space="0" w:color="auto"/>
            </w:tcBorders>
            <w:shd w:val="clear" w:color="auto" w:fill="auto"/>
            <w:noWrap/>
            <w:vAlign w:val="bottom"/>
            <w:hideMark/>
          </w:tcPr>
          <w:p w14:paraId="6EE43DD3"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4.4</w:t>
            </w:r>
          </w:p>
        </w:tc>
        <w:tc>
          <w:tcPr>
            <w:tcW w:w="899" w:type="dxa"/>
            <w:tcBorders>
              <w:top w:val="nil"/>
              <w:left w:val="nil"/>
              <w:bottom w:val="single" w:sz="4" w:space="0" w:color="auto"/>
              <w:right w:val="single" w:sz="4" w:space="0" w:color="auto"/>
            </w:tcBorders>
            <w:shd w:val="clear" w:color="auto" w:fill="auto"/>
            <w:noWrap/>
            <w:vAlign w:val="bottom"/>
            <w:hideMark/>
          </w:tcPr>
          <w:p w14:paraId="4524C528"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4.7</w:t>
            </w:r>
          </w:p>
        </w:tc>
        <w:tc>
          <w:tcPr>
            <w:tcW w:w="899" w:type="dxa"/>
            <w:tcBorders>
              <w:top w:val="nil"/>
              <w:left w:val="nil"/>
              <w:bottom w:val="single" w:sz="4" w:space="0" w:color="auto"/>
              <w:right w:val="single" w:sz="4" w:space="0" w:color="auto"/>
            </w:tcBorders>
            <w:shd w:val="clear" w:color="auto" w:fill="auto"/>
            <w:noWrap/>
            <w:vAlign w:val="bottom"/>
            <w:hideMark/>
          </w:tcPr>
          <w:p w14:paraId="2EAC72F6"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4.2</w:t>
            </w:r>
          </w:p>
        </w:tc>
        <w:tc>
          <w:tcPr>
            <w:tcW w:w="900" w:type="dxa"/>
            <w:tcBorders>
              <w:top w:val="nil"/>
              <w:left w:val="nil"/>
              <w:bottom w:val="single" w:sz="4" w:space="0" w:color="auto"/>
              <w:right w:val="single" w:sz="4" w:space="0" w:color="auto"/>
            </w:tcBorders>
            <w:shd w:val="clear" w:color="auto" w:fill="auto"/>
            <w:noWrap/>
            <w:vAlign w:val="bottom"/>
            <w:hideMark/>
          </w:tcPr>
          <w:p w14:paraId="28C322A2" w14:textId="77777777" w:rsidR="00240506" w:rsidRPr="00650EE4" w:rsidRDefault="00240506" w:rsidP="00DC1083">
            <w:pPr>
              <w:spacing w:line="240" w:lineRule="auto"/>
              <w:jc w:val="right"/>
              <w:rPr>
                <w:rFonts w:ascii="Times New Roman" w:eastAsia="Times New Roman" w:hAnsi="Times New Roman"/>
                <w:sz w:val="20"/>
                <w:szCs w:val="20"/>
                <w:lang w:eastAsia="en-GB"/>
              </w:rPr>
            </w:pPr>
            <w:r w:rsidRPr="00650EE4">
              <w:rPr>
                <w:rFonts w:ascii="Times New Roman" w:eastAsia="Times New Roman" w:hAnsi="Times New Roman"/>
                <w:sz w:val="20"/>
                <w:szCs w:val="20"/>
                <w:lang w:eastAsia="en-GB"/>
              </w:rPr>
              <w:t>4.6</w:t>
            </w:r>
          </w:p>
        </w:tc>
      </w:tr>
      <w:tr w:rsidR="00240506" w:rsidRPr="00650EE4" w14:paraId="0EADAA18" w14:textId="77777777" w:rsidTr="00B219C4">
        <w:trPr>
          <w:trHeight w:val="182"/>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529C68" w14:textId="2CD6ADC3" w:rsidR="00240506" w:rsidRPr="00650EE4" w:rsidRDefault="00B219C4" w:rsidP="00B219C4">
            <w:pPr>
              <w:spacing w:line="240" w:lineRule="auto"/>
              <w:rPr>
                <w:rFonts w:ascii="Times New Roman" w:eastAsia="Times New Roman" w:hAnsi="Times New Roman"/>
                <w:b/>
                <w:bCs/>
                <w:sz w:val="20"/>
                <w:szCs w:val="20"/>
                <w:lang w:eastAsia="en-GB"/>
              </w:rPr>
            </w:pPr>
            <w:r w:rsidRPr="00650EE4">
              <w:rPr>
                <w:rFonts w:ascii="Times New Roman" w:eastAsia="Times New Roman" w:hAnsi="Times New Roman"/>
                <w:b/>
                <w:bCs/>
                <w:color w:val="auto"/>
                <w:sz w:val="20"/>
                <w:szCs w:val="20"/>
                <w:lang w:eastAsia="en-GB"/>
              </w:rPr>
              <w:t>ES vidurkis</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2D473D7D"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16.1</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210EB9F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15.6</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4D01964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15.1</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50EF995B"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15.6</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12DB174C"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15.7</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7A196CE9"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15.2</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3C743097"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15.4</w:t>
            </w:r>
          </w:p>
        </w:tc>
        <w:tc>
          <w:tcPr>
            <w:tcW w:w="899" w:type="dxa"/>
            <w:tcBorders>
              <w:top w:val="single" w:sz="4" w:space="0" w:color="auto"/>
              <w:left w:val="nil"/>
              <w:bottom w:val="single" w:sz="4" w:space="0" w:color="auto"/>
              <w:right w:val="single" w:sz="4" w:space="0" w:color="auto"/>
            </w:tcBorders>
            <w:shd w:val="clear" w:color="auto" w:fill="auto"/>
            <w:noWrap/>
            <w:vAlign w:val="bottom"/>
          </w:tcPr>
          <w:p w14:paraId="5078D3C4"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13.3</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4660E7E9" w14:textId="77777777" w:rsidR="00240506" w:rsidRPr="00650EE4" w:rsidRDefault="00240506" w:rsidP="00DC1083">
            <w:pPr>
              <w:spacing w:line="240" w:lineRule="auto"/>
              <w:jc w:val="right"/>
              <w:rPr>
                <w:rFonts w:ascii="Times New Roman" w:eastAsia="Times New Roman" w:hAnsi="Times New Roman"/>
                <w:b/>
                <w:bCs/>
                <w:sz w:val="20"/>
                <w:szCs w:val="20"/>
                <w:lang w:eastAsia="en-GB"/>
              </w:rPr>
            </w:pPr>
            <w:r w:rsidRPr="00650EE4">
              <w:rPr>
                <w:rFonts w:ascii="Times New Roman" w:eastAsia="Times New Roman" w:hAnsi="Times New Roman"/>
                <w:b/>
                <w:bCs/>
                <w:sz w:val="20"/>
                <w:szCs w:val="20"/>
                <w:lang w:eastAsia="en-GB"/>
              </w:rPr>
              <w:t>13.9</w:t>
            </w:r>
          </w:p>
        </w:tc>
      </w:tr>
    </w:tbl>
    <w:p w14:paraId="37630308" w14:textId="77777777" w:rsidR="00240506" w:rsidRPr="00650EE4" w:rsidRDefault="00240506" w:rsidP="00240506">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proofErr w:type="spellStart"/>
      <w:r w:rsidRPr="00650EE4">
        <w:rPr>
          <w:rFonts w:ascii="Times New Roman" w:eastAsia="Times New Roman" w:hAnsi="Times New Roman"/>
          <w:i/>
          <w:color w:val="000000" w:themeColor="text1"/>
          <w:sz w:val="20"/>
          <w:szCs w:val="28"/>
        </w:rPr>
        <w:t>Eurostat</w:t>
      </w:r>
      <w:proofErr w:type="spellEnd"/>
    </w:p>
    <w:p w14:paraId="6C78191A" w14:textId="77777777" w:rsidR="00240506" w:rsidRPr="00650EE4" w:rsidRDefault="00240506" w:rsidP="008B4044">
      <w:pPr>
        <w:pStyle w:val="BodyText"/>
        <w:spacing w:line="280" w:lineRule="atLeast"/>
        <w:jc w:val="both"/>
        <w:rPr>
          <w:rFonts w:ascii="Times New Roman" w:hAnsi="Times New Roman"/>
          <w:color w:val="000000" w:themeColor="text1"/>
          <w:szCs w:val="22"/>
          <w:lang w:val="lt-LT"/>
        </w:rPr>
      </w:pPr>
    </w:p>
    <w:p w14:paraId="653B7299" w14:textId="6CB56577" w:rsidR="00275A26" w:rsidRPr="00650EE4" w:rsidRDefault="00275A26" w:rsidP="00A83445">
      <w:pPr>
        <w:spacing w:after="120" w:line="240" w:lineRule="auto"/>
        <w:jc w:val="both"/>
        <w:rPr>
          <w:rFonts w:ascii="Times New Roman" w:hAnsi="Times New Roman"/>
          <w:b/>
          <w:bCs/>
          <w:iCs/>
          <w:szCs w:val="22"/>
        </w:rPr>
      </w:pPr>
      <w:r w:rsidRPr="00650EE4">
        <w:rPr>
          <w:rFonts w:ascii="Times New Roman" w:hAnsi="Times New Roman"/>
          <w:b/>
          <w:bCs/>
          <w:iCs/>
          <w:szCs w:val="22"/>
        </w:rPr>
        <w:t>Taikoma</w:t>
      </w:r>
      <w:r w:rsidR="00A83445" w:rsidRPr="00650EE4">
        <w:rPr>
          <w:rFonts w:ascii="Times New Roman" w:hAnsi="Times New Roman"/>
          <w:b/>
          <w:bCs/>
          <w:iCs/>
          <w:szCs w:val="22"/>
        </w:rPr>
        <w:t xml:space="preserve"> politika ir veiksmai</w:t>
      </w:r>
    </w:p>
    <w:p w14:paraId="447699D4" w14:textId="3039B9A1" w:rsidR="00275A26" w:rsidRPr="00650EE4" w:rsidRDefault="00275A26" w:rsidP="00220E8D">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Taikomas politikos priemones nukreiptas į energ</w:t>
      </w:r>
      <w:r w:rsidR="002F655F" w:rsidRPr="00650EE4">
        <w:rPr>
          <w:rFonts w:ascii="Times New Roman" w:hAnsi="Times New Roman"/>
          <w:color w:val="000000" w:themeColor="text1"/>
          <w:szCs w:val="22"/>
        </w:rPr>
        <w:t>ijos nepriteklia</w:t>
      </w:r>
      <w:r w:rsidRPr="00650EE4">
        <w:rPr>
          <w:rFonts w:ascii="Times New Roman" w:hAnsi="Times New Roman"/>
          <w:color w:val="000000" w:themeColor="text1"/>
          <w:szCs w:val="22"/>
        </w:rPr>
        <w:t>us mažinimą galima suskirstyti į ši</w:t>
      </w:r>
      <w:r w:rsidR="00AF0810" w:rsidRPr="00650EE4">
        <w:rPr>
          <w:rFonts w:ascii="Times New Roman" w:hAnsi="Times New Roman"/>
          <w:color w:val="000000" w:themeColor="text1"/>
          <w:szCs w:val="22"/>
        </w:rPr>
        <w:t>a</w:t>
      </w:r>
      <w:r w:rsidRPr="00650EE4">
        <w:rPr>
          <w:rFonts w:ascii="Times New Roman" w:hAnsi="Times New Roman"/>
          <w:color w:val="000000" w:themeColor="text1"/>
          <w:szCs w:val="22"/>
        </w:rPr>
        <w:t>s pagrindines grupes:</w:t>
      </w:r>
    </w:p>
    <w:p w14:paraId="720BD229" w14:textId="049B4345"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u</w:t>
      </w:r>
      <w:r w:rsidR="00275A26" w:rsidRPr="00650EE4">
        <w:rPr>
          <w:rFonts w:ascii="Times New Roman" w:hAnsi="Times New Roman"/>
          <w:szCs w:val="22"/>
          <w:lang w:val="lt-LT"/>
        </w:rPr>
        <w:t>niversalios priemonės, nukreiptos į pajamų didinimą</w:t>
      </w:r>
      <w:r>
        <w:rPr>
          <w:rFonts w:ascii="Times New Roman" w:hAnsi="Times New Roman"/>
          <w:szCs w:val="22"/>
          <w:lang w:val="lt-LT"/>
        </w:rPr>
        <w:t>;</w:t>
      </w:r>
    </w:p>
    <w:p w14:paraId="2A1E0BA4" w14:textId="1BEA45AF"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u</w:t>
      </w:r>
      <w:r w:rsidR="00275A26" w:rsidRPr="00650EE4">
        <w:rPr>
          <w:rFonts w:ascii="Times New Roman" w:hAnsi="Times New Roman"/>
          <w:szCs w:val="22"/>
          <w:lang w:val="lt-LT"/>
        </w:rPr>
        <w:t>niversalios energetikos politikos priemonės (visam energetikos sektoriui bendri sprendimai, nukreipti į kaštų mažinimą ir efektyvumo didinimą)</w:t>
      </w:r>
      <w:r>
        <w:rPr>
          <w:rFonts w:ascii="Times New Roman" w:hAnsi="Times New Roman"/>
          <w:szCs w:val="22"/>
          <w:lang w:val="lt-LT"/>
        </w:rPr>
        <w:t>;</w:t>
      </w:r>
    </w:p>
    <w:p w14:paraId="26478D28" w14:textId="1D1C298C" w:rsidR="00275A26" w:rsidRPr="00650EE4" w:rsidRDefault="006013CC" w:rsidP="00220E8D">
      <w:pPr>
        <w:pStyle w:val="ListParagraph"/>
        <w:numPr>
          <w:ilvl w:val="0"/>
          <w:numId w:val="12"/>
        </w:numPr>
        <w:spacing w:after="60"/>
        <w:ind w:left="714" w:hanging="357"/>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t</w:t>
      </w:r>
      <w:r w:rsidR="00275A26" w:rsidRPr="00650EE4">
        <w:rPr>
          <w:rFonts w:ascii="Times New Roman" w:hAnsi="Times New Roman"/>
          <w:szCs w:val="22"/>
          <w:lang w:val="lt-LT"/>
        </w:rPr>
        <w:t>ikslinės priemonės energijos nepritekliui mažinti:</w:t>
      </w:r>
    </w:p>
    <w:p w14:paraId="2C7B5CC5" w14:textId="3695ED5C"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proofErr w:type="spellStart"/>
      <w:r>
        <w:rPr>
          <w:rFonts w:ascii="Times New Roman" w:hAnsi="Times New Roman"/>
          <w:szCs w:val="22"/>
          <w:lang w:val="lt-LT"/>
        </w:rPr>
        <w:t>s</w:t>
      </w:r>
      <w:r w:rsidR="00275A26" w:rsidRPr="00650EE4">
        <w:rPr>
          <w:rFonts w:ascii="Times New Roman" w:hAnsi="Times New Roman"/>
          <w:szCs w:val="22"/>
          <w:lang w:val="lt-LT"/>
        </w:rPr>
        <w:t>ocio</w:t>
      </w:r>
      <w:r w:rsidR="00781599" w:rsidRPr="00650EE4">
        <w:rPr>
          <w:rFonts w:ascii="Times New Roman" w:hAnsi="Times New Roman"/>
          <w:szCs w:val="22"/>
          <w:lang w:val="lt-LT"/>
        </w:rPr>
        <w:t>-</w:t>
      </w:r>
      <w:r w:rsidR="00275A26" w:rsidRPr="00650EE4">
        <w:rPr>
          <w:rFonts w:ascii="Times New Roman" w:hAnsi="Times New Roman"/>
          <w:szCs w:val="22"/>
          <w:lang w:val="lt-LT"/>
        </w:rPr>
        <w:t>ekonominės</w:t>
      </w:r>
      <w:proofErr w:type="spellEnd"/>
      <w:r w:rsidR="00275A26" w:rsidRPr="00650EE4">
        <w:rPr>
          <w:rFonts w:ascii="Times New Roman" w:hAnsi="Times New Roman"/>
          <w:szCs w:val="22"/>
          <w:lang w:val="lt-LT"/>
        </w:rPr>
        <w:t xml:space="preserve"> </w:t>
      </w:r>
      <w:r w:rsidR="00C52BF4" w:rsidRPr="00650EE4">
        <w:rPr>
          <w:rFonts w:ascii="Times New Roman" w:hAnsi="Times New Roman"/>
          <w:szCs w:val="22"/>
          <w:lang w:val="lt-LT"/>
        </w:rPr>
        <w:t>priemo</w:t>
      </w:r>
      <w:r w:rsidR="00275A26" w:rsidRPr="00650EE4">
        <w:rPr>
          <w:rFonts w:ascii="Times New Roman" w:hAnsi="Times New Roman"/>
          <w:szCs w:val="22"/>
          <w:lang w:val="lt-LT"/>
        </w:rPr>
        <w:t>nės (pvz., šildymo išlaidų kompensacija</w:t>
      </w:r>
      <w:r w:rsidR="00C52BF4" w:rsidRPr="00650EE4">
        <w:rPr>
          <w:rFonts w:ascii="Times New Roman" w:hAnsi="Times New Roman"/>
          <w:szCs w:val="22"/>
          <w:lang w:val="lt-LT"/>
        </w:rPr>
        <w:t xml:space="preserve"> asmenims, kurių pajamos žemos);</w:t>
      </w:r>
    </w:p>
    <w:p w14:paraId="60CB33D2" w14:textId="42B81547"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823E99" w:rsidRPr="00650EE4">
        <w:rPr>
          <w:rFonts w:ascii="Times New Roman" w:hAnsi="Times New Roman"/>
          <w:szCs w:val="22"/>
          <w:lang w:val="lt-LT"/>
        </w:rPr>
        <w:t xml:space="preserve"> tam tikrą būsto segmentą orientuotos priemonės</w:t>
      </w:r>
      <w:r w:rsidR="00B51A86" w:rsidRPr="00650EE4">
        <w:rPr>
          <w:rFonts w:ascii="Times New Roman" w:hAnsi="Times New Roman"/>
          <w:szCs w:val="22"/>
          <w:lang w:val="lt-LT"/>
        </w:rPr>
        <w:t xml:space="preserve"> (pvz., daugiabučių renovacijos</w:t>
      </w:r>
      <w:r w:rsidR="00823E99" w:rsidRPr="00650EE4">
        <w:rPr>
          <w:rFonts w:ascii="Times New Roman" w:hAnsi="Times New Roman"/>
          <w:szCs w:val="22"/>
          <w:lang w:val="lt-LT"/>
        </w:rPr>
        <w:t xml:space="preserve"> programa</w:t>
      </w:r>
      <w:r w:rsidR="001E5C98" w:rsidRPr="00650EE4">
        <w:rPr>
          <w:rFonts w:ascii="Times New Roman" w:hAnsi="Times New Roman"/>
          <w:szCs w:val="22"/>
          <w:lang w:val="lt-LT"/>
        </w:rPr>
        <w:t>);</w:t>
      </w:r>
    </w:p>
    <w:p w14:paraId="738B71C7" w14:textId="61E399F0" w:rsidR="00275A26" w:rsidRPr="00650EE4" w:rsidRDefault="006013CC" w:rsidP="00BD4925">
      <w:pPr>
        <w:pStyle w:val="ListParagraph"/>
        <w:numPr>
          <w:ilvl w:val="1"/>
          <w:numId w:val="46"/>
        </w:numPr>
        <w:spacing w:after="60"/>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823E99" w:rsidRPr="00650EE4">
        <w:rPr>
          <w:rFonts w:ascii="Times New Roman" w:hAnsi="Times New Roman"/>
          <w:szCs w:val="22"/>
          <w:lang w:val="lt-LT"/>
        </w:rPr>
        <w:t xml:space="preserve"> specifines</w:t>
      </w:r>
      <w:r w:rsidR="0073422A" w:rsidRPr="00650EE4">
        <w:rPr>
          <w:rFonts w:ascii="Times New Roman" w:hAnsi="Times New Roman"/>
          <w:szCs w:val="22"/>
          <w:lang w:val="lt-LT"/>
        </w:rPr>
        <w:t xml:space="preserve"> </w:t>
      </w:r>
      <w:r w:rsidR="00823E99" w:rsidRPr="00650EE4">
        <w:rPr>
          <w:rFonts w:ascii="Times New Roman" w:hAnsi="Times New Roman"/>
          <w:szCs w:val="22"/>
          <w:lang w:val="lt-LT"/>
        </w:rPr>
        <w:t xml:space="preserve">energijos rūšis </w:t>
      </w:r>
      <w:r w:rsidR="004D27B3" w:rsidRPr="00650EE4">
        <w:rPr>
          <w:rFonts w:ascii="Times New Roman" w:hAnsi="Times New Roman"/>
          <w:szCs w:val="22"/>
          <w:lang w:val="lt-LT"/>
        </w:rPr>
        <w:t>orientuotos priemonės</w:t>
      </w:r>
      <w:r w:rsidR="0073422A" w:rsidRPr="00650EE4">
        <w:rPr>
          <w:rFonts w:ascii="Times New Roman" w:hAnsi="Times New Roman"/>
          <w:szCs w:val="22"/>
          <w:lang w:val="lt-LT"/>
        </w:rPr>
        <w:t xml:space="preserve"> </w:t>
      </w:r>
      <w:r w:rsidR="00275A26" w:rsidRPr="00650EE4">
        <w:rPr>
          <w:rFonts w:ascii="Times New Roman" w:hAnsi="Times New Roman"/>
          <w:szCs w:val="22"/>
          <w:lang w:val="lt-LT"/>
        </w:rPr>
        <w:t>(</w:t>
      </w:r>
      <w:r w:rsidR="004D27B3" w:rsidRPr="00650EE4">
        <w:rPr>
          <w:rFonts w:ascii="Times New Roman" w:hAnsi="Times New Roman"/>
          <w:szCs w:val="22"/>
          <w:lang w:val="lt-LT"/>
        </w:rPr>
        <w:t>konkrečioms</w:t>
      </w:r>
      <w:r w:rsidR="00275A26" w:rsidRPr="00650EE4">
        <w:rPr>
          <w:rFonts w:ascii="Times New Roman" w:hAnsi="Times New Roman"/>
          <w:szCs w:val="22"/>
          <w:lang w:val="lt-LT"/>
        </w:rPr>
        <w:t xml:space="preserve"> energijos rūšims</w:t>
      </w:r>
      <w:r w:rsidR="004D27B3" w:rsidRPr="00650EE4">
        <w:rPr>
          <w:rFonts w:ascii="Times New Roman" w:hAnsi="Times New Roman"/>
          <w:szCs w:val="22"/>
          <w:lang w:val="lt-LT"/>
        </w:rPr>
        <w:t xml:space="preserve"> taikomos</w:t>
      </w:r>
      <w:r w:rsidR="00275A26" w:rsidRPr="00650EE4">
        <w:rPr>
          <w:rFonts w:ascii="Times New Roman" w:hAnsi="Times New Roman"/>
          <w:szCs w:val="22"/>
          <w:lang w:val="lt-LT"/>
        </w:rPr>
        <w:t xml:space="preserve"> specifinės lengvatos)</w:t>
      </w:r>
      <w:r w:rsidR="001E5C98" w:rsidRPr="00650EE4">
        <w:rPr>
          <w:rFonts w:ascii="Times New Roman" w:hAnsi="Times New Roman"/>
          <w:szCs w:val="22"/>
          <w:lang w:val="lt-LT"/>
        </w:rPr>
        <w:t>;</w:t>
      </w:r>
    </w:p>
    <w:p w14:paraId="0DB8624F" w14:textId="49D8F9C7" w:rsidR="0051748D" w:rsidRPr="00650EE4" w:rsidRDefault="006013CC" w:rsidP="00BD4925">
      <w:pPr>
        <w:pStyle w:val="ListParagraph"/>
        <w:numPr>
          <w:ilvl w:val="1"/>
          <w:numId w:val="46"/>
        </w:numPr>
        <w:ind w:left="1134" w:hanging="283"/>
        <w:contextualSpacing w:val="0"/>
        <w:jc w:val="both"/>
        <w:rPr>
          <w:rFonts w:ascii="Times New Roman" w:eastAsia="Times New Roman" w:hAnsi="Times New Roman"/>
          <w:i/>
          <w:color w:val="000000" w:themeColor="text1"/>
          <w:sz w:val="20"/>
          <w:szCs w:val="28"/>
          <w:lang w:val="lt-LT"/>
        </w:rPr>
      </w:pPr>
      <w:r>
        <w:rPr>
          <w:rFonts w:ascii="Times New Roman" w:hAnsi="Times New Roman"/>
          <w:szCs w:val="22"/>
          <w:lang w:val="lt-LT"/>
        </w:rPr>
        <w:t>į</w:t>
      </w:r>
      <w:r w:rsidR="00275A26" w:rsidRPr="00650EE4">
        <w:rPr>
          <w:rFonts w:ascii="Times New Roman" w:hAnsi="Times New Roman"/>
          <w:szCs w:val="22"/>
          <w:lang w:val="lt-LT"/>
        </w:rPr>
        <w:t xml:space="preserve"> specifines vietoves </w:t>
      </w:r>
      <w:r w:rsidR="004D27B3" w:rsidRPr="00650EE4">
        <w:rPr>
          <w:rFonts w:ascii="Times New Roman" w:hAnsi="Times New Roman"/>
          <w:szCs w:val="22"/>
          <w:lang w:val="lt-LT"/>
        </w:rPr>
        <w:t xml:space="preserve">(regionus) orientuotos priemonės. </w:t>
      </w:r>
    </w:p>
    <w:p w14:paraId="09B8A4F2" w14:textId="77777777" w:rsidR="00614AC7" w:rsidRPr="00650EE4" w:rsidRDefault="00614AC7" w:rsidP="00D312D7">
      <w:pPr>
        <w:pStyle w:val="BodyText"/>
        <w:spacing w:line="280" w:lineRule="atLeast"/>
        <w:jc w:val="both"/>
        <w:rPr>
          <w:rFonts w:ascii="Times New Roman" w:hAnsi="Times New Roman"/>
          <w:color w:val="auto"/>
          <w:szCs w:val="22"/>
          <w:lang w:val="lt-LT"/>
        </w:rPr>
      </w:pPr>
    </w:p>
    <w:p w14:paraId="66ABFBB1" w14:textId="77777777" w:rsidR="007A4910" w:rsidRPr="00650EE4" w:rsidRDefault="007A4910" w:rsidP="002A424A">
      <w:pPr>
        <w:pStyle w:val="BodyText"/>
        <w:spacing w:line="280" w:lineRule="atLeast"/>
        <w:jc w:val="both"/>
        <w:rPr>
          <w:rFonts w:ascii="Times New Roman" w:hAnsi="Times New Roman"/>
          <w:color w:val="002060"/>
          <w:szCs w:val="22"/>
          <w:lang w:val="lt-LT"/>
        </w:rPr>
      </w:pPr>
    </w:p>
    <w:p w14:paraId="475A612A" w14:textId="77777777" w:rsidR="00B219C4" w:rsidRPr="00650EE4" w:rsidRDefault="00B219C4" w:rsidP="002A424A">
      <w:pPr>
        <w:pStyle w:val="BodyText"/>
        <w:spacing w:line="280" w:lineRule="atLeast"/>
        <w:jc w:val="both"/>
        <w:rPr>
          <w:rFonts w:ascii="Times New Roman" w:hAnsi="Times New Roman"/>
          <w:color w:val="002060"/>
          <w:szCs w:val="22"/>
          <w:lang w:val="lt-LT"/>
        </w:rPr>
      </w:pPr>
    </w:p>
    <w:p w14:paraId="2F934F0C" w14:textId="77777777" w:rsidR="00C5035E" w:rsidRDefault="00C5035E">
      <w:pPr>
        <w:spacing w:after="240"/>
        <w:rPr>
          <w:rFonts w:ascii="Times New Roman" w:eastAsia="Times New Roman" w:hAnsi="Times New Roman"/>
          <w:b/>
          <w:bCs/>
          <w:caps/>
          <w:color w:val="auto"/>
          <w:kern w:val="32"/>
          <w:sz w:val="24"/>
          <w:szCs w:val="24"/>
        </w:rPr>
      </w:pPr>
      <w:r>
        <w:rPr>
          <w:rFonts w:ascii="Times New Roman" w:hAnsi="Times New Roman"/>
          <w:color w:val="auto"/>
          <w:sz w:val="24"/>
          <w:szCs w:val="24"/>
        </w:rPr>
        <w:br w:type="page"/>
      </w:r>
    </w:p>
    <w:p w14:paraId="590F1C4D" w14:textId="57032AF1" w:rsidR="00D947C2" w:rsidRPr="00650EE4" w:rsidRDefault="00D947C2" w:rsidP="00D947C2">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35" w:name="_Toc59107543"/>
      <w:r w:rsidRPr="00650EE4">
        <w:rPr>
          <w:rFonts w:ascii="Times New Roman" w:hAnsi="Times New Roman"/>
          <w:color w:val="auto"/>
          <w:sz w:val="24"/>
          <w:szCs w:val="24"/>
          <w:lang w:val="lt-LT"/>
        </w:rPr>
        <w:lastRenderedPageBreak/>
        <w:t>Taikoma politika ir veiksmai orientuoti į viešuosius pastatus</w:t>
      </w:r>
      <w:bookmarkEnd w:id="135"/>
    </w:p>
    <w:p w14:paraId="33BD8F70" w14:textId="77777777" w:rsidR="00D947C2" w:rsidRPr="00650EE4" w:rsidRDefault="00D947C2" w:rsidP="00D947C2">
      <w:pPr>
        <w:pStyle w:val="Pagrindinispaprastastekstas"/>
        <w:rPr>
          <w:rFonts w:ascii="Times New Roman" w:hAnsi="Times New Roman"/>
        </w:rPr>
      </w:pPr>
      <w:r w:rsidRPr="00650EE4">
        <w:rPr>
          <w:rFonts w:ascii="Times New Roman" w:hAnsi="Times New Roman"/>
          <w:noProof/>
          <w:color w:val="000000" w:themeColor="text1"/>
          <w:sz w:val="24"/>
          <w:lang w:eastAsia="lt-LT"/>
        </w:rPr>
        <mc:AlternateContent>
          <mc:Choice Requires="wps">
            <w:drawing>
              <wp:inline distT="0" distB="0" distL="0" distR="0" wp14:anchorId="4DD752C9" wp14:editId="65DDE644">
                <wp:extent cx="6479540" cy="431596"/>
                <wp:effectExtent l="0" t="0" r="0" b="698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31596"/>
                        </a:xfrm>
                        <a:prstGeom prst="rect">
                          <a:avLst/>
                        </a:prstGeom>
                        <a:solidFill>
                          <a:schemeClr val="bg1">
                            <a:lumMod val="85000"/>
                          </a:schemeClr>
                        </a:solidFill>
                        <a:ln>
                          <a:noFill/>
                        </a:ln>
                      </wps:spPr>
                      <wps:txbx>
                        <w:txbxContent>
                          <w:p w14:paraId="194D29CD" w14:textId="77777777" w:rsidR="003E0C4E" w:rsidRPr="00A745B7" w:rsidRDefault="003E0C4E" w:rsidP="00D947C2">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e</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w:t>
                            </w:r>
                            <w:r>
                              <w:rPr>
                                <w:rFonts w:ascii="Times New Roman" w:hAnsi="Times New Roman" w:cs="Times New Roman"/>
                                <w:bCs/>
                                <w:color w:val="000000" w:themeColor="text1"/>
                                <w:sz w:val="22"/>
                              </w:rPr>
                              <w:t xml:space="preserve">i </w:t>
                            </w:r>
                            <w:r w:rsidRPr="00A57495">
                              <w:rPr>
                                <w:rFonts w:ascii="Times New Roman" w:hAnsi="Times New Roman" w:cs="Times New Roman"/>
                                <w:bCs/>
                                <w:color w:val="000000" w:themeColor="text1"/>
                                <w:sz w:val="22"/>
                              </w:rPr>
                              <w:t>politika ir veiksmai, kuriais būtų sprendžiami su visais viešaisiais pastatais susiję klausimai</w:t>
                            </w:r>
                            <w:r>
                              <w:rPr>
                                <w:rFonts w:ascii="Times New Roman" w:hAnsi="Times New Roman" w:cs="Times New Roman"/>
                                <w:bCs/>
                                <w:color w:val="000000" w:themeColor="text1"/>
                                <w:sz w:val="22"/>
                              </w:rPr>
                              <w:t>“</w:t>
                            </w:r>
                          </w:p>
                          <w:p w14:paraId="40495A04" w14:textId="77777777" w:rsidR="003E0C4E" w:rsidRPr="00445553" w:rsidRDefault="003E0C4E" w:rsidP="00D947C2">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5" o:spid="_x0000_s1034" type="#_x0000_t202" style="width:510.2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" fillcolor="#d8d8d8 [2732]" stroked="f">
                <v:textbox>
                  <w:txbxContent>
                    <w:p w14:paraId="194D29CD" w14:textId="77777777" w:rsidR="003E0C4E" w:rsidRPr="00A745B7" w:rsidRDefault="003E0C4E" w:rsidP="00D947C2">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e</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w:t>
                      </w:r>
                      <w:r>
                        <w:rPr>
                          <w:rFonts w:ascii="Times New Roman" w:hAnsi="Times New Roman" w:cs="Times New Roman"/>
                          <w:bCs/>
                          <w:color w:val="000000" w:themeColor="text1"/>
                          <w:sz w:val="22"/>
                        </w:rPr>
                        <w:t xml:space="preserve">i </w:t>
                      </w:r>
                      <w:r w:rsidRPr="00A57495">
                        <w:rPr>
                          <w:rFonts w:ascii="Times New Roman" w:hAnsi="Times New Roman" w:cs="Times New Roman"/>
                          <w:bCs/>
                          <w:color w:val="000000" w:themeColor="text1"/>
                          <w:sz w:val="22"/>
                        </w:rPr>
                        <w:t>politika ir veiksmai, kuriais būtų sprendžiami su visais viešaisiais pastatais susiję klausimai</w:t>
                      </w:r>
                      <w:r>
                        <w:rPr>
                          <w:rFonts w:ascii="Times New Roman" w:hAnsi="Times New Roman" w:cs="Times New Roman"/>
                          <w:bCs/>
                          <w:color w:val="000000" w:themeColor="text1"/>
                          <w:sz w:val="22"/>
                        </w:rPr>
                        <w:t>“</w:t>
                      </w:r>
                    </w:p>
                    <w:p w14:paraId="40495A04" w14:textId="77777777" w:rsidR="003E0C4E" w:rsidRPr="00445553" w:rsidRDefault="003E0C4E" w:rsidP="00D947C2">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0A3490E2" w14:textId="77777777" w:rsidR="00D947C2" w:rsidRPr="00650EE4" w:rsidRDefault="00D947C2" w:rsidP="00D947C2">
      <w:pPr>
        <w:pStyle w:val="Pagrindinispaprastastekstas"/>
        <w:rPr>
          <w:rFonts w:ascii="Times New Roman" w:hAnsi="Times New Roman"/>
          <w:szCs w:val="22"/>
        </w:rPr>
      </w:pPr>
    </w:p>
    <w:p w14:paraId="736EB445" w14:textId="6BC67BA9" w:rsidR="00D947C2" w:rsidRPr="00650EE4" w:rsidRDefault="00AB4528" w:rsidP="00CF284A">
      <w:pPr>
        <w:spacing w:after="240"/>
        <w:jc w:val="both"/>
        <w:rPr>
          <w:rFonts w:ascii="Times New Roman" w:hAnsi="Times New Roman"/>
          <w:color w:val="000000" w:themeColor="text1"/>
          <w:szCs w:val="22"/>
        </w:rPr>
      </w:pPr>
      <w:r>
        <w:rPr>
          <w:rFonts w:ascii="Times New Roman" w:hAnsi="Times New Roman"/>
          <w:color w:val="000000" w:themeColor="text1"/>
          <w:szCs w:val="22"/>
        </w:rPr>
        <w:t>Lentelėje žemiau pateikiamos</w:t>
      </w:r>
      <w:r w:rsidR="00D947C2" w:rsidRPr="00650EE4">
        <w:rPr>
          <w:rFonts w:ascii="Times New Roman" w:hAnsi="Times New Roman"/>
          <w:color w:val="000000" w:themeColor="text1"/>
          <w:szCs w:val="22"/>
        </w:rPr>
        <w:t xml:space="preserve"> priemonės</w:t>
      </w:r>
      <w:r w:rsidR="006013CC">
        <w:rPr>
          <w:rFonts w:ascii="Times New Roman" w:hAnsi="Times New Roman"/>
          <w:color w:val="000000" w:themeColor="text1"/>
          <w:szCs w:val="22"/>
        </w:rPr>
        <w:t xml:space="preserve"> (pagal NECP nurodytus priemonių kodus)</w:t>
      </w:r>
      <w:r w:rsidR="00D947C2" w:rsidRPr="00650EE4">
        <w:rPr>
          <w:rFonts w:ascii="Times New Roman" w:hAnsi="Times New Roman"/>
          <w:color w:val="000000" w:themeColor="text1"/>
          <w:szCs w:val="22"/>
        </w:rPr>
        <w:t>, kuriomis skatinama</w:t>
      </w:r>
      <w:r>
        <w:rPr>
          <w:rFonts w:ascii="Times New Roman" w:hAnsi="Times New Roman"/>
          <w:color w:val="000000" w:themeColor="text1"/>
          <w:szCs w:val="22"/>
        </w:rPr>
        <w:t>s</w:t>
      </w:r>
      <w:r w:rsidR="00D947C2" w:rsidRPr="00650EE4">
        <w:rPr>
          <w:rFonts w:ascii="Times New Roman" w:hAnsi="Times New Roman"/>
          <w:color w:val="000000" w:themeColor="text1"/>
          <w:szCs w:val="22"/>
        </w:rPr>
        <w:t xml:space="preserve"> </w:t>
      </w:r>
      <w:r>
        <w:rPr>
          <w:rFonts w:ascii="Times New Roman" w:hAnsi="Times New Roman"/>
          <w:color w:val="000000" w:themeColor="text1"/>
          <w:szCs w:val="22"/>
        </w:rPr>
        <w:t xml:space="preserve"> viešųjų pastatų energijos vartojimo efektyvumo didinimas.</w:t>
      </w:r>
    </w:p>
    <w:p w14:paraId="7906B905" w14:textId="358EA6A4" w:rsidR="00D947C2"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36" w:name="_Toc59094233"/>
      <w:r w:rsidR="00F25C65">
        <w:t>50</w:t>
      </w:r>
      <w:r w:rsidRPr="00650EE4">
        <w:rPr>
          <w:noProof w:val="0"/>
        </w:rPr>
        <w:fldChar w:fldCharType="end"/>
      </w:r>
      <w:r w:rsidR="001E6DEB" w:rsidRPr="00650EE4">
        <w:rPr>
          <w:noProof w:val="0"/>
        </w:rPr>
        <w:t xml:space="preserve"> lentelė</w:t>
      </w:r>
      <w:r w:rsidR="00D947C2" w:rsidRPr="00650EE4">
        <w:rPr>
          <w:noProof w:val="0"/>
        </w:rPr>
        <w:t>. Esamos politikos priemonės, kuriomis skatinamas viešųjų pastatų energijos vartojimo efektyvumo didinimas</w:t>
      </w:r>
      <w:bookmarkEnd w:id="1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9"/>
        <w:gridCol w:w="3442"/>
        <w:gridCol w:w="1195"/>
        <w:gridCol w:w="1448"/>
        <w:gridCol w:w="2746"/>
      </w:tblGrid>
      <w:tr w:rsidR="00D947C2" w:rsidRPr="00650EE4" w14:paraId="1F14F7A1" w14:textId="77777777" w:rsidTr="00062031">
        <w:trPr>
          <w:jc w:val="center"/>
        </w:trPr>
        <w:tc>
          <w:tcPr>
            <w:tcW w:w="1555" w:type="dxa"/>
          </w:tcPr>
          <w:p w14:paraId="11F4DBB2"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Priemonė </w:t>
            </w:r>
          </w:p>
        </w:tc>
        <w:tc>
          <w:tcPr>
            <w:tcW w:w="3367" w:type="dxa"/>
          </w:tcPr>
          <w:p w14:paraId="799CFE4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Planuojamos apimtys ir rezultatai / efektas </w:t>
            </w:r>
          </w:p>
        </w:tc>
        <w:tc>
          <w:tcPr>
            <w:tcW w:w="1169" w:type="dxa"/>
          </w:tcPr>
          <w:p w14:paraId="16D3AFA1" w14:textId="3BE8B978"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proofErr w:type="spellStart"/>
            <w:r w:rsidRPr="00650EE4">
              <w:rPr>
                <w:rFonts w:ascii="Times New Roman" w:eastAsiaTheme="minorHAnsi" w:hAnsi="Times New Roman"/>
                <w:b/>
                <w:bCs/>
                <w:color w:val="000000" w:themeColor="text1"/>
                <w:sz w:val="20"/>
                <w:szCs w:val="20"/>
              </w:rPr>
              <w:t>Įgyvendi</w:t>
            </w:r>
            <w:r w:rsidR="0050305C" w:rsidRPr="00650EE4">
              <w:rPr>
                <w:rFonts w:ascii="Times New Roman" w:eastAsiaTheme="minorHAnsi" w:hAnsi="Times New Roman"/>
                <w:b/>
                <w:bCs/>
                <w:color w:val="000000" w:themeColor="text1"/>
                <w:sz w:val="20"/>
                <w:szCs w:val="20"/>
              </w:rPr>
              <w:t>-</w:t>
            </w:r>
            <w:r w:rsidRPr="00650EE4">
              <w:rPr>
                <w:rFonts w:ascii="Times New Roman" w:eastAsiaTheme="minorHAnsi" w:hAnsi="Times New Roman"/>
                <w:b/>
                <w:bCs/>
                <w:color w:val="000000" w:themeColor="text1"/>
                <w:sz w:val="20"/>
                <w:szCs w:val="20"/>
              </w:rPr>
              <w:t>nimo</w:t>
            </w:r>
            <w:proofErr w:type="spellEnd"/>
            <w:r w:rsidRPr="00650EE4">
              <w:rPr>
                <w:rFonts w:ascii="Times New Roman" w:eastAsiaTheme="minorHAnsi" w:hAnsi="Times New Roman"/>
                <w:b/>
                <w:bCs/>
                <w:color w:val="000000" w:themeColor="text1"/>
                <w:sz w:val="20"/>
                <w:szCs w:val="20"/>
              </w:rPr>
              <w:t xml:space="preserve"> laikotarpis </w:t>
            </w:r>
          </w:p>
        </w:tc>
        <w:tc>
          <w:tcPr>
            <w:tcW w:w="1417" w:type="dxa"/>
          </w:tcPr>
          <w:p w14:paraId="5205720D"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Subjektai, atsakingi už politikos įgyvendinimą </w:t>
            </w:r>
          </w:p>
        </w:tc>
        <w:tc>
          <w:tcPr>
            <w:tcW w:w="2686" w:type="dxa"/>
          </w:tcPr>
          <w:p w14:paraId="35F55043"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b/>
                <w:bCs/>
                <w:color w:val="000000" w:themeColor="text1"/>
                <w:sz w:val="20"/>
                <w:szCs w:val="20"/>
              </w:rPr>
              <w:t xml:space="preserve">Energijos sutaupymas </w:t>
            </w:r>
            <w:proofErr w:type="spellStart"/>
            <w:r w:rsidRPr="00650EE4">
              <w:rPr>
                <w:rFonts w:ascii="Times New Roman" w:eastAsiaTheme="minorHAnsi" w:hAnsi="Times New Roman"/>
                <w:b/>
                <w:bCs/>
                <w:color w:val="000000" w:themeColor="text1"/>
                <w:sz w:val="20"/>
                <w:szCs w:val="20"/>
              </w:rPr>
              <w:t>TWh</w:t>
            </w:r>
            <w:proofErr w:type="spellEnd"/>
            <w:r w:rsidRPr="00650EE4">
              <w:rPr>
                <w:rFonts w:ascii="Times New Roman" w:eastAsiaTheme="minorHAnsi" w:hAnsi="Times New Roman"/>
                <w:b/>
                <w:bCs/>
                <w:color w:val="000000" w:themeColor="text1"/>
                <w:sz w:val="20"/>
                <w:szCs w:val="20"/>
              </w:rPr>
              <w:t xml:space="preserve"> ir suminis ŠESD sumažinimo efektas, tūkst. t CO</w:t>
            </w:r>
            <w:r w:rsidRPr="00650EE4">
              <w:rPr>
                <w:rFonts w:ascii="Times New Roman" w:eastAsiaTheme="minorHAnsi" w:hAnsi="Times New Roman"/>
                <w:b/>
                <w:bCs/>
                <w:color w:val="000000" w:themeColor="text1"/>
                <w:sz w:val="20"/>
                <w:szCs w:val="20"/>
                <w:vertAlign w:val="subscript"/>
              </w:rPr>
              <w:t>2</w:t>
            </w:r>
            <w:r w:rsidRPr="00650EE4">
              <w:rPr>
                <w:rFonts w:ascii="Times New Roman" w:eastAsiaTheme="minorHAnsi" w:hAnsi="Times New Roman"/>
                <w:b/>
                <w:bCs/>
                <w:color w:val="000000" w:themeColor="text1"/>
                <w:sz w:val="20"/>
                <w:szCs w:val="20"/>
              </w:rPr>
              <w:t xml:space="preserve"> </w:t>
            </w:r>
            <w:proofErr w:type="spellStart"/>
            <w:r w:rsidRPr="00650EE4">
              <w:rPr>
                <w:rFonts w:ascii="Times New Roman" w:eastAsiaTheme="minorHAnsi" w:hAnsi="Times New Roman"/>
                <w:b/>
                <w:bCs/>
                <w:color w:val="000000" w:themeColor="text1"/>
                <w:sz w:val="20"/>
                <w:szCs w:val="20"/>
              </w:rPr>
              <w:t>ekv</w:t>
            </w:r>
            <w:proofErr w:type="spellEnd"/>
            <w:r w:rsidRPr="00650EE4">
              <w:rPr>
                <w:rFonts w:ascii="Times New Roman" w:eastAsiaTheme="minorHAnsi" w:hAnsi="Times New Roman"/>
                <w:b/>
                <w:bCs/>
                <w:color w:val="000000" w:themeColor="text1"/>
                <w:sz w:val="20"/>
                <w:szCs w:val="20"/>
              </w:rPr>
              <w:t xml:space="preserve">. 2021–2030 m. </w:t>
            </w:r>
          </w:p>
        </w:tc>
      </w:tr>
      <w:tr w:rsidR="00D947C2" w:rsidRPr="00650EE4" w14:paraId="1B55C447"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026C9470"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EE3. Viešųjų pastatų atnaujinimas </w:t>
            </w:r>
          </w:p>
        </w:tc>
        <w:tc>
          <w:tcPr>
            <w:tcW w:w="3367" w:type="dxa"/>
            <w:tcBorders>
              <w:top w:val="single" w:sz="4" w:space="0" w:color="auto"/>
              <w:left w:val="single" w:sz="4" w:space="0" w:color="auto"/>
              <w:bottom w:val="single" w:sz="4" w:space="0" w:color="auto"/>
              <w:right w:val="single" w:sz="4" w:space="0" w:color="auto"/>
            </w:tcBorders>
          </w:tcPr>
          <w:p w14:paraId="1A8741F7"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Atnaujinti viešąjį pastatą iki C klasės, ir iki 2030 m. bus atnaujinta apie 960 000 m</w:t>
            </w:r>
            <w:r w:rsidRPr="00650EE4">
              <w:rPr>
                <w:rFonts w:ascii="Times New Roman" w:eastAsiaTheme="minorHAnsi" w:hAnsi="Times New Roman"/>
                <w:color w:val="000000" w:themeColor="text1"/>
                <w:sz w:val="20"/>
                <w:szCs w:val="20"/>
                <w:vertAlign w:val="superscript"/>
              </w:rPr>
              <w:t>2</w:t>
            </w:r>
            <w:r w:rsidRPr="00650EE4">
              <w:rPr>
                <w:rFonts w:ascii="Times New Roman" w:eastAsiaTheme="minorHAnsi" w:hAnsi="Times New Roman"/>
                <w:color w:val="000000" w:themeColor="text1"/>
                <w:sz w:val="20"/>
                <w:szCs w:val="20"/>
              </w:rPr>
              <w:t xml:space="preserve"> viešųjų pastatų ploto </w:t>
            </w:r>
          </w:p>
        </w:tc>
        <w:tc>
          <w:tcPr>
            <w:tcW w:w="1169" w:type="dxa"/>
            <w:tcBorders>
              <w:top w:val="single" w:sz="4" w:space="0" w:color="auto"/>
              <w:left w:val="single" w:sz="4" w:space="0" w:color="auto"/>
              <w:bottom w:val="single" w:sz="4" w:space="0" w:color="auto"/>
              <w:right w:val="single" w:sz="4" w:space="0" w:color="auto"/>
            </w:tcBorders>
          </w:tcPr>
          <w:p w14:paraId="51FA59D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2021–2023 m. </w:t>
            </w:r>
          </w:p>
        </w:tc>
        <w:tc>
          <w:tcPr>
            <w:tcW w:w="1417" w:type="dxa"/>
            <w:tcBorders>
              <w:top w:val="single" w:sz="4" w:space="0" w:color="auto"/>
              <w:left w:val="single" w:sz="4" w:space="0" w:color="auto"/>
              <w:bottom w:val="single" w:sz="4" w:space="0" w:color="auto"/>
              <w:right w:val="single" w:sz="4" w:space="0" w:color="auto"/>
            </w:tcBorders>
          </w:tcPr>
          <w:p w14:paraId="0C54F43C"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AM </w:t>
            </w:r>
          </w:p>
        </w:tc>
        <w:tc>
          <w:tcPr>
            <w:tcW w:w="2686" w:type="dxa"/>
            <w:tcBorders>
              <w:top w:val="single" w:sz="4" w:space="0" w:color="auto"/>
              <w:left w:val="single" w:sz="4" w:space="0" w:color="auto"/>
              <w:bottom w:val="single" w:sz="4" w:space="0" w:color="auto"/>
              <w:right w:val="single" w:sz="4" w:space="0" w:color="auto"/>
            </w:tcBorders>
          </w:tcPr>
          <w:p w14:paraId="322A499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0,19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r w:rsidR="00D947C2" w:rsidRPr="00650EE4" w14:paraId="66E71F15"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4457A7E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EE4. Susitarimai su energijos tiekėjais dėl vartotojų švietimo ir konsultavimo </w:t>
            </w:r>
          </w:p>
        </w:tc>
        <w:tc>
          <w:tcPr>
            <w:tcW w:w="3367" w:type="dxa"/>
            <w:tcBorders>
              <w:top w:val="single" w:sz="4" w:space="0" w:color="auto"/>
              <w:left w:val="single" w:sz="4" w:space="0" w:color="auto"/>
              <w:bottom w:val="single" w:sz="4" w:space="0" w:color="auto"/>
              <w:right w:val="single" w:sz="4" w:space="0" w:color="auto"/>
            </w:tcBorders>
          </w:tcPr>
          <w:p w14:paraId="026F897C" w14:textId="47E80323" w:rsidR="00D947C2" w:rsidRPr="00650EE4" w:rsidRDefault="00D947C2" w:rsidP="002F28BB">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užtikrins vartotojų švietimo ir konsultavimo apimties ir priemonių, kurios numatytos jų tarpusavio susitarimuose ar per kitus asmenis sudarytuose susitarimuose, įgyvendinimą </w:t>
            </w:r>
            <w:r w:rsidR="002F28BB" w:rsidRPr="00650EE4">
              <w:rPr>
                <w:rFonts w:ascii="Times New Roman" w:eastAsiaTheme="minorHAnsi" w:hAnsi="Times New Roman"/>
                <w:color w:val="000000" w:themeColor="text1"/>
                <w:sz w:val="20"/>
                <w:szCs w:val="20"/>
              </w:rPr>
              <w:t xml:space="preserve"> </w:t>
            </w:r>
            <w:r w:rsidRPr="00650EE4">
              <w:rPr>
                <w:rFonts w:ascii="Times New Roman" w:eastAsiaTheme="minorHAnsi" w:hAnsi="Times New Roman"/>
                <w:color w:val="000000" w:themeColor="text1"/>
                <w:sz w:val="20"/>
                <w:szCs w:val="20"/>
              </w:rPr>
              <w:t xml:space="preserve">(įskaitant išmaniųjų skaitiklių diegimą) </w:t>
            </w:r>
          </w:p>
        </w:tc>
        <w:tc>
          <w:tcPr>
            <w:tcW w:w="1169" w:type="dxa"/>
            <w:tcBorders>
              <w:top w:val="single" w:sz="4" w:space="0" w:color="auto"/>
              <w:left w:val="single" w:sz="4" w:space="0" w:color="auto"/>
              <w:bottom w:val="single" w:sz="4" w:space="0" w:color="auto"/>
              <w:right w:val="single" w:sz="4" w:space="0" w:color="auto"/>
            </w:tcBorders>
          </w:tcPr>
          <w:p w14:paraId="0BFA03EF"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1175AFE9"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Energijos tiekėjai, EM </w:t>
            </w:r>
          </w:p>
        </w:tc>
        <w:tc>
          <w:tcPr>
            <w:tcW w:w="2686" w:type="dxa"/>
            <w:tcBorders>
              <w:top w:val="single" w:sz="4" w:space="0" w:color="auto"/>
              <w:left w:val="single" w:sz="4" w:space="0" w:color="auto"/>
              <w:bottom w:val="single" w:sz="4" w:space="0" w:color="auto"/>
              <w:right w:val="single" w:sz="4" w:space="0" w:color="auto"/>
            </w:tcBorders>
          </w:tcPr>
          <w:p w14:paraId="6AEA3E12"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3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p w14:paraId="375C3196" w14:textId="60AB3510"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p>
        </w:tc>
      </w:tr>
      <w:tr w:rsidR="00D947C2" w:rsidRPr="00650EE4" w14:paraId="2437B4C9" w14:textId="77777777" w:rsidTr="00062031">
        <w:trPr>
          <w:jc w:val="center"/>
        </w:trPr>
        <w:tc>
          <w:tcPr>
            <w:tcW w:w="1555" w:type="dxa"/>
            <w:tcBorders>
              <w:top w:val="single" w:sz="4" w:space="0" w:color="auto"/>
              <w:left w:val="single" w:sz="4" w:space="0" w:color="auto"/>
              <w:bottom w:val="single" w:sz="4" w:space="0" w:color="auto"/>
              <w:right w:val="single" w:sz="4" w:space="0" w:color="auto"/>
            </w:tcBorders>
          </w:tcPr>
          <w:p w14:paraId="4BA04F6E"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EE6. Susitarimai su energetikos įmonėmis dėl energijos taupymo </w:t>
            </w:r>
          </w:p>
        </w:tc>
        <w:tc>
          <w:tcPr>
            <w:tcW w:w="3367" w:type="dxa"/>
            <w:tcBorders>
              <w:top w:val="single" w:sz="4" w:space="0" w:color="auto"/>
              <w:left w:val="single" w:sz="4" w:space="0" w:color="auto"/>
              <w:bottom w:val="single" w:sz="4" w:space="0" w:color="auto"/>
              <w:right w:val="single" w:sz="4" w:space="0" w:color="auto"/>
            </w:tcBorders>
          </w:tcPr>
          <w:p w14:paraId="601410E4"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Energetikos bendrovės taupys energiją pagal susitarimuose dėl energijos taupymo nurodytus energijos lygius (pačios ar per kitus asmenis), taikydamos ekonomiškai pagrįstas energijos vartojimo efektyvumo didinimo priemones galutinės energijos vartotojų įrenginiuose (įrenginiuose, įrangoje, transporte) </w:t>
            </w:r>
          </w:p>
        </w:tc>
        <w:tc>
          <w:tcPr>
            <w:tcW w:w="1169" w:type="dxa"/>
            <w:tcBorders>
              <w:top w:val="single" w:sz="4" w:space="0" w:color="auto"/>
              <w:left w:val="single" w:sz="4" w:space="0" w:color="auto"/>
              <w:bottom w:val="single" w:sz="4" w:space="0" w:color="auto"/>
              <w:right w:val="single" w:sz="4" w:space="0" w:color="auto"/>
            </w:tcBorders>
          </w:tcPr>
          <w:p w14:paraId="7CD8E42D"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2021–2030 m. </w:t>
            </w:r>
          </w:p>
        </w:tc>
        <w:tc>
          <w:tcPr>
            <w:tcW w:w="1417" w:type="dxa"/>
            <w:tcBorders>
              <w:top w:val="single" w:sz="4" w:space="0" w:color="auto"/>
              <w:left w:val="single" w:sz="4" w:space="0" w:color="auto"/>
              <w:bottom w:val="single" w:sz="4" w:space="0" w:color="auto"/>
              <w:right w:val="single" w:sz="4" w:space="0" w:color="auto"/>
            </w:tcBorders>
          </w:tcPr>
          <w:p w14:paraId="27B67B06"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EM, energetikos įmonės </w:t>
            </w:r>
          </w:p>
        </w:tc>
        <w:tc>
          <w:tcPr>
            <w:tcW w:w="2686" w:type="dxa"/>
            <w:tcBorders>
              <w:top w:val="single" w:sz="4" w:space="0" w:color="auto"/>
              <w:left w:val="single" w:sz="4" w:space="0" w:color="auto"/>
              <w:bottom w:val="single" w:sz="4" w:space="0" w:color="auto"/>
              <w:right w:val="single" w:sz="4" w:space="0" w:color="auto"/>
            </w:tcBorders>
          </w:tcPr>
          <w:p w14:paraId="1E9A6595" w14:textId="77777777" w:rsidR="00D947C2" w:rsidRPr="00650EE4" w:rsidRDefault="00D947C2" w:rsidP="003D42F9">
            <w:pPr>
              <w:autoSpaceDE w:val="0"/>
              <w:autoSpaceDN w:val="0"/>
              <w:adjustRightInd w:val="0"/>
              <w:spacing w:line="240" w:lineRule="auto"/>
              <w:rPr>
                <w:rFonts w:ascii="Times New Roman" w:eastAsiaTheme="minorHAnsi" w:hAnsi="Times New Roman"/>
                <w:color w:val="000000" w:themeColor="text1"/>
                <w:sz w:val="20"/>
                <w:szCs w:val="20"/>
              </w:rPr>
            </w:pPr>
            <w:r w:rsidRPr="00650EE4">
              <w:rPr>
                <w:rFonts w:ascii="Times New Roman" w:eastAsiaTheme="minorHAnsi" w:hAnsi="Times New Roman"/>
                <w:color w:val="000000" w:themeColor="text1"/>
                <w:sz w:val="20"/>
                <w:szCs w:val="20"/>
              </w:rPr>
              <w:t xml:space="preserve">5,5 </w:t>
            </w:r>
            <w:proofErr w:type="spellStart"/>
            <w:r w:rsidRPr="00650EE4">
              <w:rPr>
                <w:rFonts w:ascii="Times New Roman" w:eastAsiaTheme="minorHAnsi" w:hAnsi="Times New Roman"/>
                <w:color w:val="000000" w:themeColor="text1"/>
                <w:sz w:val="20"/>
                <w:szCs w:val="20"/>
              </w:rPr>
              <w:t>TWh</w:t>
            </w:r>
            <w:proofErr w:type="spellEnd"/>
            <w:r w:rsidRPr="00650EE4">
              <w:rPr>
                <w:rFonts w:ascii="Times New Roman" w:eastAsiaTheme="minorHAnsi" w:hAnsi="Times New Roman"/>
                <w:color w:val="000000" w:themeColor="text1"/>
                <w:sz w:val="20"/>
                <w:szCs w:val="20"/>
              </w:rPr>
              <w:t xml:space="preserve"> </w:t>
            </w:r>
          </w:p>
        </w:tc>
      </w:tr>
    </w:tbl>
    <w:p w14:paraId="659D34E8" w14:textId="69AE5372" w:rsidR="007A4910" w:rsidRPr="00650EE4" w:rsidRDefault="007A4910" w:rsidP="007A4910">
      <w:pPr>
        <w:spacing w:before="60" w:line="240" w:lineRule="auto"/>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w:t>
      </w:r>
      <w:r w:rsidR="00AB4528">
        <w:rPr>
          <w:rFonts w:ascii="Times New Roman" w:eastAsia="Times New Roman" w:hAnsi="Times New Roman"/>
          <w:i/>
          <w:color w:val="000000" w:themeColor="text1"/>
          <w:sz w:val="20"/>
          <w:szCs w:val="28"/>
        </w:rPr>
        <w:t>NECP</w:t>
      </w:r>
    </w:p>
    <w:p w14:paraId="6EE3ABE9" w14:textId="77777777" w:rsidR="007A4910" w:rsidRPr="00650EE4" w:rsidRDefault="007A4910" w:rsidP="008308FF">
      <w:pPr>
        <w:rPr>
          <w:rFonts w:ascii="Times New Roman" w:hAnsi="Times New Roman"/>
          <w:color w:val="000000" w:themeColor="text1"/>
          <w:sz w:val="24"/>
          <w:szCs w:val="24"/>
        </w:rPr>
      </w:pPr>
    </w:p>
    <w:p w14:paraId="387E5C46" w14:textId="599AE8B5" w:rsidR="00D947C2" w:rsidRPr="00650EE4" w:rsidRDefault="00D947C2" w:rsidP="008308FF">
      <w:pPr>
        <w:pStyle w:val="Antrastes2"/>
        <w:numPr>
          <w:ilvl w:val="1"/>
          <w:numId w:val="4"/>
        </w:numPr>
        <w:pBdr>
          <w:bottom w:val="none" w:sz="0" w:space="0" w:color="auto"/>
        </w:pBdr>
        <w:spacing w:before="0"/>
        <w:ind w:left="576" w:hanging="576"/>
        <w:jc w:val="both"/>
        <w:rPr>
          <w:rFonts w:ascii="Times New Roman" w:hAnsi="Times New Roman"/>
          <w:color w:val="auto"/>
          <w:sz w:val="24"/>
          <w:szCs w:val="24"/>
          <w:lang w:val="lt-LT"/>
        </w:rPr>
      </w:pPr>
      <w:bookmarkStart w:id="137" w:name="_Toc59107544"/>
      <w:r w:rsidRPr="00650EE4">
        <w:rPr>
          <w:rFonts w:ascii="Times New Roman" w:hAnsi="Times New Roman"/>
          <w:color w:val="auto"/>
          <w:sz w:val="24"/>
          <w:szCs w:val="24"/>
          <w:lang w:val="lt-LT"/>
        </w:rPr>
        <w:t xml:space="preserve">Nacionalinės iniciatyvos, kuriomis skatinamos išmaniosios technologijos ir </w:t>
      </w:r>
      <w:r w:rsidR="00593D4E" w:rsidRPr="00650EE4">
        <w:rPr>
          <w:rFonts w:ascii="Times New Roman" w:hAnsi="Times New Roman"/>
          <w:color w:val="auto"/>
          <w:sz w:val="24"/>
          <w:szCs w:val="24"/>
          <w:lang w:val="lt-LT"/>
        </w:rPr>
        <w:t>pažangus pastatų valdymas</w:t>
      </w:r>
      <w:bookmarkEnd w:id="137"/>
    </w:p>
    <w:p w14:paraId="0A82B08F" w14:textId="282BD8C2" w:rsidR="00C425D9" w:rsidRPr="00650EE4" w:rsidRDefault="00C425D9" w:rsidP="00D947C2">
      <w:pPr>
        <w:pStyle w:val="Pagrindinispaprastastekstas"/>
        <w:rPr>
          <w:rFonts w:ascii="Times New Roman" w:hAnsi="Times New Roman"/>
          <w:sz w:val="24"/>
        </w:rPr>
      </w:pPr>
      <w:r w:rsidRPr="00650EE4">
        <w:rPr>
          <w:rFonts w:ascii="Times New Roman" w:hAnsi="Times New Roman"/>
          <w:noProof/>
          <w:color w:val="000000" w:themeColor="text1"/>
          <w:sz w:val="24"/>
          <w:lang w:eastAsia="lt-LT"/>
        </w:rPr>
        <mc:AlternateContent>
          <mc:Choice Requires="wps">
            <w:drawing>
              <wp:inline distT="0" distB="0" distL="0" distR="0" wp14:anchorId="35274885" wp14:editId="0CD7BB76">
                <wp:extent cx="6479540" cy="614477"/>
                <wp:effectExtent l="0" t="0" r="0" b="0"/>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14477"/>
                        </a:xfrm>
                        <a:prstGeom prst="rect">
                          <a:avLst/>
                        </a:prstGeom>
                        <a:solidFill>
                          <a:schemeClr val="bg1">
                            <a:lumMod val="85000"/>
                          </a:schemeClr>
                        </a:solidFill>
                        <a:ln>
                          <a:noFill/>
                        </a:ln>
                      </wps:spPr>
                      <wps:txbx>
                        <w:txbxContent>
                          <w:p w14:paraId="11594153" w14:textId="3A72CD06" w:rsidR="003E0C4E" w:rsidRPr="00AD4D3C" w:rsidRDefault="003E0C4E" w:rsidP="00C425D9">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f</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D4D3C">
                              <w:rPr>
                                <w:rFonts w:ascii="Times New Roman" w:hAnsi="Times New Roman" w:cs="Times New Roman"/>
                                <w:bCs/>
                                <w:color w:val="000000" w:themeColor="text1"/>
                                <w:sz w:val="22"/>
                              </w:rPr>
                              <w:t>nacionalinių iniciatyvų, kuriomis būtų skatinamos išmaniosios technologijos ir sujungti pastatai bei bendruomenės, taip pat įgūdžiai ir švietimas statybos ir energijos vartojimo efektyvumo sektoriuose, apžvalga</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37" o:spid="_x0000_s1035" type="#_x0000_t202" style="width:510.2pt;height:4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" fillcolor="#d8d8d8 [2732]" stroked="f">
                <v:textbox>
                  <w:txbxContent>
                    <w:p w14:paraId="11594153" w14:textId="3A72CD06" w:rsidR="003E0C4E" w:rsidRPr="00AD4D3C" w:rsidRDefault="003E0C4E" w:rsidP="00C425D9">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PEND 2a straipsnio 1 dalies f</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 </w:t>
                      </w:r>
                      <w:r w:rsidRPr="00AD4D3C">
                        <w:rPr>
                          <w:rFonts w:ascii="Times New Roman" w:hAnsi="Times New Roman" w:cs="Times New Roman"/>
                          <w:bCs/>
                          <w:color w:val="000000" w:themeColor="text1"/>
                          <w:sz w:val="22"/>
                        </w:rPr>
                        <w:t>nacionalinių iniciatyvų, kuriomis būtų skatinamos išmaniosios technologijos ir sujungti pastatai bei bendruomenės, taip pat įgūdžiai ir švietimas statybos ir energijos vartojimo efektyvumo sektoriuose, apžvalga</w:t>
                      </w:r>
                      <w:r>
                        <w:rPr>
                          <w:rFonts w:ascii="Times New Roman" w:hAnsi="Times New Roman" w:cs="Times New Roman"/>
                          <w:bCs/>
                          <w:color w:val="000000" w:themeColor="text1"/>
                          <w:sz w:val="22"/>
                        </w:rPr>
                        <w:t>“</w:t>
                      </w:r>
                    </w:p>
                  </w:txbxContent>
                </v:textbox>
                <w10:anchorlock/>
              </v:shape>
            </w:pict>
          </mc:Fallback>
        </mc:AlternateContent>
      </w:r>
    </w:p>
    <w:p w14:paraId="5595C20C" w14:textId="77777777" w:rsidR="00C425D9" w:rsidRPr="00650EE4" w:rsidRDefault="00C425D9" w:rsidP="00D947C2">
      <w:pPr>
        <w:pStyle w:val="Pagrindinispaprastastekstas"/>
        <w:rPr>
          <w:rFonts w:ascii="Times New Roman" w:hAnsi="Times New Roman"/>
          <w:szCs w:val="22"/>
        </w:rPr>
      </w:pPr>
    </w:p>
    <w:p w14:paraId="177D7289" w14:textId="77777777" w:rsidR="001C4035" w:rsidRPr="00650EE4" w:rsidRDefault="001C4035" w:rsidP="008772A0">
      <w:pPr>
        <w:spacing w:after="120"/>
        <w:jc w:val="both"/>
        <w:rPr>
          <w:rFonts w:ascii="Times New Roman" w:hAnsi="Times New Roman"/>
          <w:szCs w:val="22"/>
        </w:rPr>
      </w:pPr>
      <w:r w:rsidRPr="00650EE4">
        <w:rPr>
          <w:rFonts w:ascii="Times New Roman" w:hAnsi="Times New Roman"/>
          <w:szCs w:val="22"/>
        </w:rPr>
        <w:t>Šiuo metu galioja šie pagrindiniai strateginiai dokumentai, kurie nusako nacionalinės politikos gaires išmaniosios technologijos ir sujungtų pastatų bei bendruomenių, taip pat įgūdžių ir švietimo statybos ir energijos vartojimo efektyvumo sektoriuose, skatinimui:</w:t>
      </w:r>
    </w:p>
    <w:p w14:paraId="429FA878" w14:textId="0345A423"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Nacionalinis energetikos ir klimato srities veiksmų planas 2021-2030 metams</w:t>
      </w:r>
      <w:r w:rsidRPr="00650EE4">
        <w:rPr>
          <w:rStyle w:val="FootnoteReference"/>
          <w:rFonts w:ascii="Times New Roman" w:hAnsi="Times New Roman"/>
          <w:szCs w:val="22"/>
          <w:lang w:val="lt-LT"/>
        </w:rPr>
        <w:footnoteReference w:id="22"/>
      </w:r>
      <w:r w:rsidRPr="00650EE4">
        <w:rPr>
          <w:rFonts w:ascii="Times New Roman" w:hAnsi="Times New Roman"/>
          <w:szCs w:val="22"/>
          <w:lang w:val="lt-LT"/>
        </w:rPr>
        <w:t xml:space="preserve"> </w:t>
      </w:r>
      <w:r w:rsidR="00894851">
        <w:rPr>
          <w:rFonts w:ascii="Times New Roman" w:hAnsi="Times New Roman"/>
          <w:szCs w:val="22"/>
          <w:lang w:val="lt-LT"/>
        </w:rPr>
        <w:t>.</w:t>
      </w:r>
    </w:p>
    <w:p w14:paraId="020ECE00" w14:textId="21B691E2"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Nacionalinė energetinės nepriklausomybės strategija</w:t>
      </w:r>
      <w:r w:rsidRPr="00650EE4">
        <w:rPr>
          <w:rStyle w:val="FootnoteReference"/>
          <w:rFonts w:ascii="Times New Roman" w:hAnsi="Times New Roman"/>
          <w:szCs w:val="22"/>
          <w:lang w:val="lt-LT"/>
        </w:rPr>
        <w:footnoteReference w:id="23"/>
      </w:r>
      <w:r w:rsidR="00894851">
        <w:rPr>
          <w:rFonts w:ascii="Times New Roman" w:hAnsi="Times New Roman"/>
          <w:szCs w:val="22"/>
          <w:lang w:val="lt-LT"/>
        </w:rPr>
        <w:t>.</w:t>
      </w:r>
    </w:p>
    <w:p w14:paraId="0D0197A4" w14:textId="7407434C"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Sumanios specializacijos strategija</w:t>
      </w:r>
      <w:r w:rsidRPr="00650EE4">
        <w:rPr>
          <w:rStyle w:val="FootnoteReference"/>
          <w:rFonts w:ascii="Times New Roman" w:hAnsi="Times New Roman"/>
          <w:szCs w:val="22"/>
          <w:lang w:val="lt-LT"/>
        </w:rPr>
        <w:footnoteReference w:id="24"/>
      </w:r>
      <w:r w:rsidR="00894851">
        <w:rPr>
          <w:rFonts w:ascii="Times New Roman" w:hAnsi="Times New Roman"/>
          <w:szCs w:val="22"/>
          <w:lang w:val="lt-LT"/>
        </w:rPr>
        <w:t>.</w:t>
      </w:r>
    </w:p>
    <w:p w14:paraId="1123268E" w14:textId="20492EB5" w:rsidR="001C4035" w:rsidRPr="00650EE4" w:rsidRDefault="001C4035" w:rsidP="00BD4925">
      <w:pPr>
        <w:pStyle w:val="ListParagraph"/>
        <w:numPr>
          <w:ilvl w:val="0"/>
          <w:numId w:val="34"/>
        </w:numPr>
        <w:spacing w:after="60"/>
        <w:contextualSpacing w:val="0"/>
        <w:jc w:val="both"/>
        <w:rPr>
          <w:rFonts w:ascii="Times New Roman" w:hAnsi="Times New Roman"/>
          <w:szCs w:val="22"/>
          <w:lang w:val="lt-LT"/>
        </w:rPr>
      </w:pPr>
      <w:r w:rsidRPr="00650EE4">
        <w:rPr>
          <w:rFonts w:ascii="Times New Roman" w:hAnsi="Times New Roman"/>
          <w:szCs w:val="22"/>
          <w:lang w:val="lt-LT"/>
        </w:rPr>
        <w:t>Strategija „Lietuva 2030“ ir ją įgyvendinantys Nacionalinė</w:t>
      </w:r>
      <w:r w:rsidR="00FF465A">
        <w:rPr>
          <w:rFonts w:ascii="Times New Roman" w:hAnsi="Times New Roman"/>
          <w:szCs w:val="22"/>
          <w:lang w:val="lt-LT"/>
        </w:rPr>
        <w:t xml:space="preserve"> pažangos programa, </w:t>
      </w:r>
      <w:r w:rsidR="00FF465A" w:rsidRPr="00650EE4">
        <w:rPr>
          <w:rFonts w:ascii="Times New Roman" w:hAnsi="Times New Roman"/>
          <w:szCs w:val="22"/>
          <w:lang w:val="lt-LT"/>
        </w:rPr>
        <w:t>2021–2030 m</w:t>
      </w:r>
      <w:r w:rsidR="00FF465A">
        <w:rPr>
          <w:rFonts w:ascii="Times New Roman" w:hAnsi="Times New Roman"/>
          <w:szCs w:val="22"/>
          <w:lang w:val="lt-LT"/>
        </w:rPr>
        <w:t>etų</w:t>
      </w:r>
      <w:r w:rsidR="00FF465A" w:rsidRPr="00650EE4">
        <w:rPr>
          <w:rFonts w:ascii="Times New Roman" w:hAnsi="Times New Roman"/>
          <w:szCs w:val="22"/>
          <w:lang w:val="lt-LT"/>
        </w:rPr>
        <w:t xml:space="preserve"> </w:t>
      </w:r>
      <w:r w:rsidR="00FF465A">
        <w:rPr>
          <w:rFonts w:ascii="Times New Roman" w:hAnsi="Times New Roman"/>
          <w:szCs w:val="22"/>
          <w:lang w:val="lt-LT"/>
        </w:rPr>
        <w:t>nacionalinis pažangos planas</w:t>
      </w:r>
      <w:r w:rsidRPr="00650EE4">
        <w:rPr>
          <w:rStyle w:val="FootnoteReference"/>
          <w:rFonts w:ascii="Times New Roman" w:hAnsi="Times New Roman"/>
          <w:szCs w:val="22"/>
          <w:lang w:val="lt-LT"/>
        </w:rPr>
        <w:footnoteReference w:id="25"/>
      </w:r>
      <w:r w:rsidR="00894851">
        <w:rPr>
          <w:rFonts w:ascii="Times New Roman" w:hAnsi="Times New Roman"/>
          <w:szCs w:val="22"/>
          <w:lang w:val="lt-LT"/>
        </w:rPr>
        <w:t>.</w:t>
      </w:r>
    </w:p>
    <w:p w14:paraId="0C8AD3FF" w14:textId="77777777" w:rsidR="001C4035" w:rsidRPr="00650EE4" w:rsidRDefault="001C4035" w:rsidP="00FC3BE0">
      <w:pPr>
        <w:spacing w:before="240" w:after="240"/>
        <w:jc w:val="both"/>
        <w:rPr>
          <w:rFonts w:ascii="Times New Roman" w:hAnsi="Times New Roman"/>
          <w:szCs w:val="22"/>
        </w:rPr>
      </w:pPr>
      <w:r w:rsidRPr="00650EE4">
        <w:rPr>
          <w:rFonts w:ascii="Times New Roman" w:hAnsi="Times New Roman"/>
          <w:szCs w:val="22"/>
        </w:rPr>
        <w:lastRenderedPageBreak/>
        <w:t>Nacionaliniame energetikos ir klimato srities veiksmų plane 2021-2030 metams išvardinti tikslai, susiję su Nacionalinė energetinės nepriklausomybės strategijoje ir Sumanios specializacijos strategijoje numatytais tikslais, todėl atskirai neapžvelgiami.</w:t>
      </w:r>
    </w:p>
    <w:p w14:paraId="25C9143A" w14:textId="522D1468" w:rsidR="009910FE" w:rsidRPr="00650EE4" w:rsidRDefault="00A86571" w:rsidP="009910FE">
      <w:pPr>
        <w:pStyle w:val="Antrastes31"/>
        <w:numPr>
          <w:ilvl w:val="2"/>
          <w:numId w:val="4"/>
        </w:numPr>
        <w:spacing w:before="120"/>
        <w:ind w:left="720" w:hanging="720"/>
        <w:rPr>
          <w:rFonts w:ascii="Times New Roman" w:hAnsi="Times New Roman"/>
          <w:color w:val="000000" w:themeColor="text1"/>
          <w:sz w:val="24"/>
          <w:szCs w:val="24"/>
          <w:lang w:val="lt-LT"/>
        </w:rPr>
      </w:pPr>
      <w:bookmarkStart w:id="138" w:name="_Toc59107545"/>
      <w:r w:rsidRPr="00650EE4">
        <w:rPr>
          <w:rFonts w:ascii="Times New Roman" w:hAnsi="Times New Roman"/>
          <w:color w:val="000000" w:themeColor="text1"/>
          <w:sz w:val="24"/>
          <w:szCs w:val="24"/>
          <w:lang w:val="lt-LT"/>
        </w:rPr>
        <w:t xml:space="preserve">Iniciatyvos numatytos </w:t>
      </w:r>
      <w:r w:rsidR="009910FE" w:rsidRPr="00650EE4">
        <w:rPr>
          <w:rFonts w:ascii="Times New Roman" w:hAnsi="Times New Roman"/>
          <w:color w:val="000000" w:themeColor="text1"/>
          <w:sz w:val="24"/>
          <w:szCs w:val="24"/>
          <w:lang w:val="lt-LT"/>
        </w:rPr>
        <w:t>Nacionalinė</w:t>
      </w:r>
      <w:r w:rsidRPr="00650EE4">
        <w:rPr>
          <w:rFonts w:ascii="Times New Roman" w:hAnsi="Times New Roman"/>
          <w:color w:val="000000" w:themeColor="text1"/>
          <w:sz w:val="24"/>
          <w:szCs w:val="24"/>
          <w:lang w:val="lt-LT"/>
        </w:rPr>
        <w:t>je</w:t>
      </w:r>
      <w:r w:rsidR="009910FE" w:rsidRPr="00650EE4">
        <w:rPr>
          <w:rFonts w:ascii="Times New Roman" w:hAnsi="Times New Roman"/>
          <w:color w:val="000000" w:themeColor="text1"/>
          <w:sz w:val="24"/>
          <w:szCs w:val="24"/>
          <w:lang w:val="lt-LT"/>
        </w:rPr>
        <w:t xml:space="preserve"> energetikos neprikl</w:t>
      </w:r>
      <w:r w:rsidR="0015495E" w:rsidRPr="00650EE4">
        <w:rPr>
          <w:rFonts w:ascii="Times New Roman" w:hAnsi="Times New Roman"/>
          <w:color w:val="000000" w:themeColor="text1"/>
          <w:sz w:val="24"/>
          <w:szCs w:val="24"/>
          <w:lang w:val="lt-LT"/>
        </w:rPr>
        <w:t>ausomybės strategij</w:t>
      </w:r>
      <w:r w:rsidRPr="00650EE4">
        <w:rPr>
          <w:rFonts w:ascii="Times New Roman" w:hAnsi="Times New Roman"/>
          <w:color w:val="000000" w:themeColor="text1"/>
          <w:sz w:val="24"/>
          <w:szCs w:val="24"/>
          <w:lang w:val="lt-LT"/>
        </w:rPr>
        <w:t>oje</w:t>
      </w:r>
      <w:bookmarkEnd w:id="138"/>
      <w:r w:rsidR="009910FE" w:rsidRPr="00650EE4">
        <w:rPr>
          <w:rFonts w:ascii="Times New Roman" w:hAnsi="Times New Roman"/>
          <w:color w:val="000000" w:themeColor="text1"/>
          <w:sz w:val="24"/>
          <w:szCs w:val="24"/>
          <w:lang w:val="lt-LT"/>
        </w:rPr>
        <w:t xml:space="preserve"> </w:t>
      </w:r>
    </w:p>
    <w:p w14:paraId="44F38DA1" w14:textId="77777777" w:rsidR="001C4035" w:rsidRPr="00650EE4" w:rsidRDefault="001C4035" w:rsidP="00FC3BE0">
      <w:pPr>
        <w:spacing w:after="240"/>
        <w:jc w:val="both"/>
        <w:rPr>
          <w:rFonts w:ascii="Times New Roman" w:hAnsi="Times New Roman"/>
          <w:szCs w:val="22"/>
        </w:rPr>
      </w:pPr>
      <w:r w:rsidRPr="00650EE4">
        <w:rPr>
          <w:rFonts w:ascii="Times New Roman" w:hAnsi="Times New Roman"/>
          <w:szCs w:val="22"/>
        </w:rPr>
        <w:t xml:space="preserve">Viena iš </w:t>
      </w:r>
      <w:r w:rsidRPr="00650EE4">
        <w:rPr>
          <w:rFonts w:ascii="Times New Roman" w:hAnsi="Times New Roman"/>
          <w:bCs/>
          <w:szCs w:val="22"/>
        </w:rPr>
        <w:t>Nacionalinėje energetinės nepriklausomybės strategijoje</w:t>
      </w:r>
      <w:r w:rsidRPr="00650EE4">
        <w:rPr>
          <w:rFonts w:ascii="Times New Roman" w:hAnsi="Times New Roman"/>
          <w:szCs w:val="22"/>
        </w:rPr>
        <w:t xml:space="preserve"> numatytų strateginių krypčių - šalies verslo dalyvavimas siekiant energetikos pažangos (inovacijos). Šioje srityje išsikeltas tikslas, kad Lietuva iš energetikos technologijas importuojančios šalies turi tapti energetikos technologijas kuriančia ir jas eksportuojančia šalimi. Siekiama, kad Lietuva taptų informacinių technologijų ir kibernetinio saugumo sprendimų energetikos, biomasės ir biokuro technologijų, saulės ir vėjo energetikos technologijų, geoterminės energijos technologijų, energetikos rinkos, elektros sistemos veikimo pokyčių, naujų elektros sistemos valdymo metodų kūrimo ir energetikos projektų įgyvendinimo centru.</w:t>
      </w:r>
    </w:p>
    <w:p w14:paraId="4E8D2D38"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Atsižvelgiant į Lietuvos energetikos sektoriaus specifiką ir poreikius, strateginius tikslus, turimas ir norimas išugdyti kompetencijas, išskirtos šios prioritetinės energetikos mokslinių tyrimų ir eksperimentinės plėtros kryptys, susiję su energijos vartojimo efektyvumo ir atsinaujinančių energijos išteklių panaudojimu pastatų sektoriuje:</w:t>
      </w:r>
    </w:p>
    <w:p w14:paraId="190CA9B1" w14:textId="12DCB238"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nergetikos sektoriaus perspektyvinės raidos planavimas, energetikos ekonomika;</w:t>
      </w:r>
    </w:p>
    <w:p w14:paraId="15D6B7CE" w14:textId="1E565975"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samų energijos gamybos technologijų modernizavimas, atsižvelgiant į naujus iššūkius ir reikalavimus;</w:t>
      </w:r>
    </w:p>
    <w:p w14:paraId="69561EC5" w14:textId="6C7347B4"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n</w:t>
      </w:r>
      <w:r w:rsidR="001C4035" w:rsidRPr="00650EE4">
        <w:rPr>
          <w:rFonts w:ascii="Times New Roman" w:hAnsi="Times New Roman"/>
          <w:szCs w:val="22"/>
          <w:lang w:val="lt-LT"/>
        </w:rPr>
        <w:t>aujų mažo išmetamų šiltnamio efektą sukeliančių dujų ir aplinkos oro teršalų kiekio, atsparių klimato kaitos pokyčiams energijos gamybos ir kaupimo technologijų kūrimas ir integravimas į tinklą; taip pat integravimasis į ES strateginės vertės grandines;</w:t>
      </w:r>
    </w:p>
    <w:p w14:paraId="27E7499A" w14:textId="212E1CBF"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nergijos gamybos iš vietinių ir atsinaujinančių energijos išteklių technologijos;</w:t>
      </w:r>
    </w:p>
    <w:p w14:paraId="6EFF7135" w14:textId="18D203BA" w:rsidR="001C4035" w:rsidRPr="00650EE4" w:rsidRDefault="006013CC" w:rsidP="00BD4925">
      <w:pPr>
        <w:pStyle w:val="ListParagraph"/>
        <w:numPr>
          <w:ilvl w:val="0"/>
          <w:numId w:val="37"/>
        </w:numPr>
        <w:spacing w:after="120"/>
        <w:ind w:left="765" w:hanging="357"/>
        <w:contextualSpacing w:val="0"/>
        <w:jc w:val="both"/>
        <w:rPr>
          <w:rFonts w:ascii="Times New Roman" w:hAnsi="Times New Roman"/>
          <w:szCs w:val="22"/>
          <w:lang w:val="lt-LT"/>
        </w:rPr>
      </w:pPr>
      <w:r>
        <w:rPr>
          <w:rFonts w:ascii="Times New Roman" w:hAnsi="Times New Roman"/>
          <w:szCs w:val="22"/>
          <w:lang w:val="lt-LT"/>
        </w:rPr>
        <w:t>p</w:t>
      </w:r>
      <w:r w:rsidR="001C4035" w:rsidRPr="00650EE4">
        <w:rPr>
          <w:rFonts w:ascii="Times New Roman" w:hAnsi="Times New Roman"/>
          <w:szCs w:val="22"/>
          <w:lang w:val="lt-LT"/>
        </w:rPr>
        <w:t>askirstytosios energijos gamybos, išmaniųjų tinklų, naujų perspektyvių energijos rūšių gamybos</w:t>
      </w:r>
      <w:r w:rsidR="008772A0" w:rsidRPr="00650EE4">
        <w:rPr>
          <w:rFonts w:ascii="Times New Roman" w:hAnsi="Times New Roman"/>
          <w:szCs w:val="22"/>
          <w:lang w:val="lt-LT"/>
        </w:rPr>
        <w:t xml:space="preserve"> ir naudojimo technologijos.</w:t>
      </w:r>
    </w:p>
    <w:p w14:paraId="58A6FD68" w14:textId="77777777" w:rsidR="001C4035" w:rsidRPr="00650EE4" w:rsidRDefault="001C4035" w:rsidP="002F3428">
      <w:pPr>
        <w:spacing w:before="240" w:after="240"/>
        <w:jc w:val="both"/>
        <w:rPr>
          <w:rFonts w:ascii="Times New Roman" w:hAnsi="Times New Roman"/>
          <w:szCs w:val="22"/>
        </w:rPr>
      </w:pPr>
      <w:r w:rsidRPr="00650EE4">
        <w:rPr>
          <w:rFonts w:ascii="Times New Roman" w:hAnsi="Times New Roman"/>
          <w:szCs w:val="22"/>
        </w:rPr>
        <w:t>Lietuvos Nacionalinėje energetinės nepriklausomybės strategijoje taip pat nustatyta, kad, siekiant energetikos inovacijų vystymosi ir energetikos kompetencijų, mokslinių tyrimų ir eksperimentinės plėtros rezultatų panaudojimo kitose ekonomikos srityse, skatinti eksporto didėjimą ir naujų verslo rūšių kūrimąsi šalyje, bus:</w:t>
      </w:r>
    </w:p>
    <w:p w14:paraId="19546210" w14:textId="43D09602"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d</w:t>
      </w:r>
      <w:r w:rsidR="001C4035" w:rsidRPr="00650EE4">
        <w:rPr>
          <w:rFonts w:ascii="Times New Roman" w:hAnsi="Times New Roman"/>
          <w:szCs w:val="22"/>
          <w:lang w:val="lt-LT"/>
        </w:rPr>
        <w:t>idinama mokslo ir studijų institucijų, energetikos bendrovių ir inžinerinės pramonės įmonių sinergija, skatinant įvairių formų (įskaitant tarptautinį) bendradarbiavimą, pasinaudojant ES bendrosios mokslinių tyrimų ir inovacijų programos „Horizontas 2020“, nacionalinių ir kitų programų investicijomis, kuriant skaitmenines energetikos inovacijas ir tobulinant technologijas Lietuvos energetikoje ir taip sustiprinant Lietuvos mokslinių tyrimų ir inovacijų ekosistemą;</w:t>
      </w:r>
    </w:p>
    <w:p w14:paraId="5542CD23" w14:textId="0A7B7B91"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iekiant glaudesnio energetikos srities verslo ir mokymo institucijų bendradarbiavimo, parengtos energetikos bendrovių ir inžinerinės pramonės įmonių partnerystės ir paramos programos, skatinančios bendradarbiavimą kuriant ir taikant skaitmenines energetikos inovacijas ir tobulinant technologijas;</w:t>
      </w:r>
    </w:p>
    <w:p w14:paraId="7EC4A2EF" w14:textId="3CBF51EF"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katinamas naujų energijos gamybos technologijų, įskaitant energijos iš atsinaujinančių energijos išteklių, paskirstytosios energijos gamybą, išmaniuosius tinklus, kūrimas ir jų integravimas į energetikos sistemą;</w:t>
      </w:r>
    </w:p>
    <w:p w14:paraId="58ABA841" w14:textId="166F76C9" w:rsidR="001C4035" w:rsidRPr="00650EE4" w:rsidRDefault="006013CC" w:rsidP="00BD4925">
      <w:pPr>
        <w:pStyle w:val="ListParagraph"/>
        <w:numPr>
          <w:ilvl w:val="0"/>
          <w:numId w:val="36"/>
        </w:numPr>
        <w:spacing w:after="120" w:line="240" w:lineRule="auto"/>
        <w:ind w:left="765" w:hanging="357"/>
        <w:contextualSpacing w:val="0"/>
        <w:jc w:val="both"/>
        <w:rPr>
          <w:rFonts w:ascii="Times New Roman" w:hAnsi="Times New Roman"/>
          <w:szCs w:val="22"/>
          <w:lang w:val="lt-LT"/>
        </w:rPr>
      </w:pPr>
      <w:r>
        <w:rPr>
          <w:rFonts w:ascii="Times New Roman" w:hAnsi="Times New Roman"/>
          <w:szCs w:val="22"/>
          <w:lang w:val="lt-LT"/>
        </w:rPr>
        <w:t>k</w:t>
      </w:r>
      <w:r w:rsidR="001C4035" w:rsidRPr="00650EE4">
        <w:rPr>
          <w:rFonts w:ascii="Times New Roman" w:hAnsi="Times New Roman"/>
          <w:szCs w:val="22"/>
          <w:lang w:val="lt-LT"/>
        </w:rPr>
        <w:t>uriamos, gaminamos ir eksportuojamos vietinių energijos išteklių gamybos ir naudojimo technologijos;</w:t>
      </w:r>
    </w:p>
    <w:p w14:paraId="4C62A226" w14:textId="466D6A75" w:rsidR="001C4035" w:rsidRPr="00650EE4" w:rsidRDefault="006013CC" w:rsidP="00BD4925">
      <w:pPr>
        <w:pStyle w:val="ListParagraph"/>
        <w:numPr>
          <w:ilvl w:val="0"/>
          <w:numId w:val="36"/>
        </w:numPr>
        <w:spacing w:line="240" w:lineRule="auto"/>
        <w:ind w:left="765" w:hanging="357"/>
        <w:contextualSpacing w:val="0"/>
        <w:jc w:val="both"/>
        <w:rPr>
          <w:rFonts w:ascii="Times New Roman" w:hAnsi="Times New Roman"/>
          <w:szCs w:val="22"/>
          <w:lang w:val="lt-LT"/>
        </w:rPr>
      </w:pPr>
      <w:r>
        <w:rPr>
          <w:rFonts w:ascii="Times New Roman" w:hAnsi="Times New Roman"/>
          <w:szCs w:val="22"/>
          <w:lang w:val="lt-LT"/>
        </w:rPr>
        <w:t>s</w:t>
      </w:r>
      <w:r w:rsidR="001C4035" w:rsidRPr="00650EE4">
        <w:rPr>
          <w:rFonts w:ascii="Times New Roman" w:hAnsi="Times New Roman"/>
          <w:szCs w:val="22"/>
          <w:lang w:val="lt-LT"/>
        </w:rPr>
        <w:t>katinami ir Lietuvoje išbandomi informacinių technologijų sprendimai energetikos sektoriui optimizuoti, skat</w:t>
      </w:r>
      <w:r w:rsidR="00FC3BE0" w:rsidRPr="00650EE4">
        <w:rPr>
          <w:rFonts w:ascii="Times New Roman" w:hAnsi="Times New Roman"/>
          <w:szCs w:val="22"/>
          <w:lang w:val="lt-LT"/>
        </w:rPr>
        <w:t>inamas tokių produktų eksportas.</w:t>
      </w:r>
    </w:p>
    <w:p w14:paraId="3182A2CB" w14:textId="77777777" w:rsidR="002F3428" w:rsidRPr="00650EE4" w:rsidRDefault="002F3428" w:rsidP="002F3428">
      <w:pPr>
        <w:pStyle w:val="ListParagraph"/>
        <w:spacing w:after="120" w:line="240" w:lineRule="auto"/>
        <w:ind w:left="765"/>
        <w:contextualSpacing w:val="0"/>
        <w:jc w:val="both"/>
        <w:rPr>
          <w:rFonts w:ascii="Times New Roman" w:hAnsi="Times New Roman"/>
          <w:szCs w:val="22"/>
          <w:lang w:val="lt-LT"/>
        </w:rPr>
      </w:pPr>
    </w:p>
    <w:p w14:paraId="141E14A5" w14:textId="7B5DFB92" w:rsidR="00B47943" w:rsidRPr="00650EE4" w:rsidRDefault="00B47943" w:rsidP="00B47943">
      <w:pPr>
        <w:pStyle w:val="Antrastes31"/>
        <w:numPr>
          <w:ilvl w:val="2"/>
          <w:numId w:val="4"/>
        </w:numPr>
        <w:spacing w:before="120"/>
        <w:ind w:left="720" w:hanging="720"/>
        <w:rPr>
          <w:rFonts w:ascii="Times New Roman" w:hAnsi="Times New Roman"/>
          <w:color w:val="000000" w:themeColor="text1"/>
          <w:sz w:val="24"/>
          <w:szCs w:val="24"/>
          <w:lang w:val="lt-LT"/>
        </w:rPr>
      </w:pPr>
      <w:bookmarkStart w:id="139" w:name="_Toc59107546"/>
      <w:r w:rsidRPr="00650EE4">
        <w:rPr>
          <w:rFonts w:ascii="Times New Roman" w:hAnsi="Times New Roman"/>
          <w:color w:val="000000" w:themeColor="text1"/>
          <w:sz w:val="24"/>
          <w:szCs w:val="24"/>
          <w:lang w:val="lt-LT"/>
        </w:rPr>
        <w:t>Iniciatyvos numatytos Sumanios specializacijos strategijoje</w:t>
      </w:r>
      <w:bookmarkEnd w:id="139"/>
      <w:r w:rsidRPr="00650EE4">
        <w:rPr>
          <w:rFonts w:ascii="Times New Roman" w:hAnsi="Times New Roman"/>
          <w:color w:val="000000" w:themeColor="text1"/>
          <w:sz w:val="24"/>
          <w:szCs w:val="24"/>
          <w:lang w:val="lt-LT"/>
        </w:rPr>
        <w:t xml:space="preserve"> </w:t>
      </w:r>
    </w:p>
    <w:p w14:paraId="7EF37227" w14:textId="0D77D132" w:rsidR="001C4035" w:rsidRPr="00650EE4" w:rsidRDefault="001C4035" w:rsidP="008772A0">
      <w:pPr>
        <w:spacing w:after="240"/>
        <w:jc w:val="both"/>
        <w:rPr>
          <w:rFonts w:ascii="Times New Roman" w:hAnsi="Times New Roman"/>
          <w:szCs w:val="22"/>
        </w:rPr>
      </w:pPr>
      <w:r w:rsidRPr="00650EE4">
        <w:rPr>
          <w:rFonts w:ascii="Times New Roman" w:hAnsi="Times New Roman"/>
          <w:bCs/>
          <w:szCs w:val="22"/>
        </w:rPr>
        <w:t>Sumanios specializacijos 2014–2020 m. strategija</w:t>
      </w:r>
      <w:r w:rsidRPr="00650EE4">
        <w:rPr>
          <w:rFonts w:ascii="Times New Roman" w:hAnsi="Times New Roman"/>
          <w:szCs w:val="22"/>
        </w:rPr>
        <w:t xml:space="preserve"> (galutinės siektinos reikšmės nustatomos 2023 m.). patvirtinta 2014 m. </w:t>
      </w:r>
      <w:r w:rsidR="002A50C6" w:rsidRPr="00650EE4">
        <w:rPr>
          <w:rFonts w:ascii="Times New Roman" w:hAnsi="Times New Roman"/>
          <w:szCs w:val="22"/>
        </w:rPr>
        <w:t xml:space="preserve">Vienas iš septynių šios programos </w:t>
      </w:r>
      <w:r w:rsidRPr="00650EE4">
        <w:rPr>
          <w:rFonts w:ascii="Times New Roman" w:hAnsi="Times New Roman"/>
          <w:szCs w:val="22"/>
        </w:rPr>
        <w:t xml:space="preserve">mokslinių tyrimų, eksperimentinės plėtros ir inovacijų (toliau – MTEPI) prioritetų </w:t>
      </w:r>
      <w:r w:rsidR="002A50C6" w:rsidRPr="00650EE4">
        <w:rPr>
          <w:rFonts w:ascii="Times New Roman" w:hAnsi="Times New Roman"/>
          <w:szCs w:val="22"/>
        </w:rPr>
        <w:t xml:space="preserve">yra </w:t>
      </w:r>
      <w:r w:rsidR="00530E73" w:rsidRPr="00650EE4">
        <w:rPr>
          <w:rFonts w:ascii="Times New Roman" w:hAnsi="Times New Roman"/>
          <w:szCs w:val="22"/>
        </w:rPr>
        <w:t>aktualus pastatų sektoriui. P</w:t>
      </w:r>
      <w:r w:rsidRPr="00650EE4">
        <w:rPr>
          <w:rFonts w:ascii="Times New Roman" w:hAnsi="Times New Roman"/>
          <w:szCs w:val="22"/>
        </w:rPr>
        <w:t xml:space="preserve">rioritetas </w:t>
      </w:r>
      <w:r w:rsidR="001B2591" w:rsidRPr="00650EE4">
        <w:rPr>
          <w:rFonts w:ascii="Times New Roman" w:hAnsi="Times New Roman"/>
          <w:szCs w:val="22"/>
        </w:rPr>
        <w:t xml:space="preserve">„Energetika ir tvari aplinka“ </w:t>
      </w:r>
      <w:r w:rsidRPr="00650EE4">
        <w:rPr>
          <w:rFonts w:ascii="Times New Roman" w:hAnsi="Times New Roman"/>
          <w:szCs w:val="22"/>
        </w:rPr>
        <w:t xml:space="preserve">apima spartų alternatyvių energijos šaltinių, alternatyvaus kuro ir energiją taupančių technologijų plėtojimą, kuris didintų galutinio vartojimo energinį </w:t>
      </w:r>
      <w:r w:rsidRPr="00650EE4">
        <w:rPr>
          <w:rFonts w:ascii="Times New Roman" w:hAnsi="Times New Roman"/>
          <w:szCs w:val="22"/>
        </w:rPr>
        <w:lastRenderedPageBreak/>
        <w:t>efektyvumą, paskatintų Lietuvos konkurencingumą švarios energetikos technologijų srityje ir atvertų augimo ir darbo vietų kūrimo potencialą. Prioriteto „Energetika ir tvari aplinka“ įgyvendinimo tematika:</w:t>
      </w:r>
    </w:p>
    <w:p w14:paraId="5C6F4704" w14:textId="1E1F5512"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p</w:t>
      </w:r>
      <w:r w:rsidR="001C4035" w:rsidRPr="00650EE4">
        <w:rPr>
          <w:rFonts w:ascii="Times New Roman" w:hAnsi="Times New Roman"/>
          <w:szCs w:val="22"/>
          <w:lang w:val="lt-LT"/>
        </w:rPr>
        <w:t xml:space="preserve">askirstytojo ir centralizuoto generavimo, tinklų ir efektyvaus energijos vartojimo sistemos </w:t>
      </w:r>
      <w:proofErr w:type="spellStart"/>
      <w:r w:rsidR="001C4035" w:rsidRPr="00650EE4">
        <w:rPr>
          <w:rFonts w:ascii="Times New Roman" w:hAnsi="Times New Roman"/>
          <w:szCs w:val="22"/>
          <w:lang w:val="lt-LT"/>
        </w:rPr>
        <w:t>sąveikumo</w:t>
      </w:r>
      <w:proofErr w:type="spellEnd"/>
      <w:r w:rsidR="001C4035" w:rsidRPr="00650EE4">
        <w:rPr>
          <w:rFonts w:ascii="Times New Roman" w:hAnsi="Times New Roman"/>
          <w:szCs w:val="22"/>
          <w:lang w:val="lt-LT"/>
        </w:rPr>
        <w:t xml:space="preserve"> stiprinimas;</w:t>
      </w:r>
    </w:p>
    <w:p w14:paraId="3404403E" w14:textId="6CAE2FEA"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e</w:t>
      </w:r>
      <w:r w:rsidR="001C4035" w:rsidRPr="00650EE4">
        <w:rPr>
          <w:rFonts w:ascii="Times New Roman" w:hAnsi="Times New Roman"/>
          <w:szCs w:val="22"/>
          <w:lang w:val="lt-LT"/>
        </w:rPr>
        <w:t>samų ir naujų galutinių vartotojų poreikių tenkinimas, energijos vartojimo efektyvumo, išmanumo stiprinimas;</w:t>
      </w:r>
    </w:p>
    <w:p w14:paraId="2221518F" w14:textId="1B8FC87D" w:rsidR="001C4035" w:rsidRPr="00650EE4" w:rsidRDefault="006013CC" w:rsidP="00BD4925">
      <w:pPr>
        <w:pStyle w:val="ListParagraph"/>
        <w:numPr>
          <w:ilvl w:val="0"/>
          <w:numId w:val="35"/>
        </w:numPr>
        <w:spacing w:after="60" w:line="240" w:lineRule="auto"/>
        <w:jc w:val="both"/>
        <w:rPr>
          <w:rFonts w:ascii="Times New Roman" w:hAnsi="Times New Roman"/>
          <w:szCs w:val="22"/>
          <w:lang w:val="lt-LT"/>
        </w:rPr>
      </w:pPr>
      <w:r>
        <w:rPr>
          <w:rFonts w:ascii="Times New Roman" w:hAnsi="Times New Roman"/>
          <w:szCs w:val="22"/>
          <w:lang w:val="lt-LT"/>
        </w:rPr>
        <w:t>a</w:t>
      </w:r>
      <w:r w:rsidR="001C4035" w:rsidRPr="00650EE4">
        <w:rPr>
          <w:rFonts w:ascii="Times New Roman" w:hAnsi="Times New Roman"/>
          <w:szCs w:val="22"/>
          <w:lang w:val="lt-LT"/>
        </w:rPr>
        <w:t>tsinaujinančių biomasės ir saulės energijos išteklių panaudojimo ir atliekų perdirbimo energijai gauti plėtra.</w:t>
      </w:r>
    </w:p>
    <w:p w14:paraId="734295EA"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Iš viso Sumanios specializacijos programai 2014–2023 m. valstybė skyrė 679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(įskaitant ir ES struktūrinę paramą). Be to, planuojama, kad privataus verslo investicijos į mokslinių tyrimų ir plėtros sritį sieks apie 260 mln. </w:t>
      </w:r>
      <w:proofErr w:type="spellStart"/>
      <w:r w:rsidRPr="00650EE4">
        <w:rPr>
          <w:rFonts w:ascii="Times New Roman" w:hAnsi="Times New Roman"/>
          <w:szCs w:val="22"/>
        </w:rPr>
        <w:t>Eur</w:t>
      </w:r>
      <w:proofErr w:type="spellEnd"/>
      <w:r w:rsidRPr="00650EE4">
        <w:rPr>
          <w:rFonts w:ascii="Times New Roman" w:hAnsi="Times New Roman"/>
          <w:szCs w:val="22"/>
        </w:rPr>
        <w:t xml:space="preserve">. Priemonei „Energetika ir tvari aplinka“ skirta 25,97 mln. </w:t>
      </w:r>
      <w:proofErr w:type="spellStart"/>
      <w:r w:rsidRPr="00650EE4">
        <w:rPr>
          <w:rFonts w:ascii="Times New Roman" w:hAnsi="Times New Roman"/>
          <w:szCs w:val="22"/>
        </w:rPr>
        <w:t>Eur</w:t>
      </w:r>
      <w:proofErr w:type="spellEnd"/>
      <w:r w:rsidRPr="00650EE4">
        <w:rPr>
          <w:rFonts w:ascii="Times New Roman" w:hAnsi="Times New Roman"/>
          <w:szCs w:val="22"/>
        </w:rPr>
        <w:t>.</w:t>
      </w:r>
    </w:p>
    <w:p w14:paraId="3FD467B9" w14:textId="7AAA5168" w:rsidR="001B2591" w:rsidRPr="00650EE4" w:rsidRDefault="001B2591" w:rsidP="009E65D9">
      <w:pPr>
        <w:pStyle w:val="Antrastes31"/>
        <w:numPr>
          <w:ilvl w:val="2"/>
          <w:numId w:val="4"/>
        </w:numPr>
        <w:spacing w:before="120"/>
        <w:ind w:left="720" w:hanging="720"/>
        <w:rPr>
          <w:rFonts w:ascii="Times New Roman" w:hAnsi="Times New Roman"/>
          <w:color w:val="000000" w:themeColor="text1"/>
          <w:sz w:val="24"/>
          <w:szCs w:val="24"/>
          <w:lang w:val="lt-LT"/>
        </w:rPr>
      </w:pPr>
      <w:bookmarkStart w:id="140" w:name="_Toc59107547"/>
      <w:r w:rsidRPr="00650EE4">
        <w:rPr>
          <w:rFonts w:ascii="Times New Roman" w:hAnsi="Times New Roman"/>
          <w:color w:val="000000" w:themeColor="text1"/>
          <w:sz w:val="24"/>
          <w:szCs w:val="24"/>
          <w:lang w:val="lt-LT"/>
        </w:rPr>
        <w:t>Iniciatyvos numatytos</w:t>
      </w:r>
      <w:r w:rsidR="0010530A">
        <w:rPr>
          <w:rFonts w:ascii="Times New Roman" w:hAnsi="Times New Roman"/>
          <w:color w:val="000000" w:themeColor="text1"/>
          <w:sz w:val="24"/>
          <w:szCs w:val="24"/>
          <w:lang w:val="lt-LT"/>
        </w:rPr>
        <w:t xml:space="preserve"> </w:t>
      </w:r>
      <w:r w:rsidR="0010530A">
        <w:rPr>
          <w:rFonts w:ascii="Times New Roman" w:hAnsi="Times New Roman"/>
          <w:color w:val="000000" w:themeColor="text1"/>
          <w:sz w:val="24"/>
          <w:szCs w:val="24"/>
          <w:lang w:val="en-GB"/>
        </w:rPr>
        <w:t>2021-2030 m.</w:t>
      </w:r>
      <w:r w:rsidRPr="00650EE4">
        <w:rPr>
          <w:rFonts w:ascii="Times New Roman" w:hAnsi="Times New Roman"/>
          <w:color w:val="000000" w:themeColor="text1"/>
          <w:sz w:val="24"/>
          <w:szCs w:val="24"/>
          <w:lang w:val="lt-LT"/>
        </w:rPr>
        <w:t xml:space="preserve"> </w:t>
      </w:r>
      <w:r w:rsidR="0010530A">
        <w:rPr>
          <w:rFonts w:ascii="Times New Roman" w:hAnsi="Times New Roman"/>
          <w:color w:val="000000" w:themeColor="text1"/>
          <w:sz w:val="24"/>
          <w:szCs w:val="24"/>
          <w:lang w:val="lt-LT"/>
        </w:rPr>
        <w:t>n</w:t>
      </w:r>
      <w:r w:rsidRPr="00650EE4">
        <w:rPr>
          <w:rFonts w:ascii="Times New Roman" w:hAnsi="Times New Roman"/>
          <w:color w:val="000000" w:themeColor="text1"/>
          <w:sz w:val="24"/>
          <w:szCs w:val="24"/>
          <w:lang w:val="lt-LT"/>
        </w:rPr>
        <w:t>acionalini</w:t>
      </w:r>
      <w:r w:rsidR="0010530A">
        <w:rPr>
          <w:rFonts w:ascii="Times New Roman" w:hAnsi="Times New Roman"/>
          <w:color w:val="000000" w:themeColor="text1"/>
          <w:sz w:val="24"/>
          <w:szCs w:val="24"/>
          <w:lang w:val="lt-LT"/>
        </w:rPr>
        <w:t>ame</w:t>
      </w:r>
      <w:r w:rsidRPr="00650EE4">
        <w:rPr>
          <w:rFonts w:ascii="Times New Roman" w:hAnsi="Times New Roman"/>
          <w:color w:val="000000" w:themeColor="text1"/>
          <w:sz w:val="24"/>
          <w:szCs w:val="24"/>
          <w:lang w:val="lt-LT"/>
        </w:rPr>
        <w:t xml:space="preserve"> pažangos plan</w:t>
      </w:r>
      <w:r w:rsidR="0010530A">
        <w:rPr>
          <w:rFonts w:ascii="Times New Roman" w:hAnsi="Times New Roman"/>
          <w:color w:val="000000" w:themeColor="text1"/>
          <w:sz w:val="24"/>
          <w:szCs w:val="24"/>
          <w:lang w:val="lt-LT"/>
        </w:rPr>
        <w:t>e</w:t>
      </w:r>
      <w:bookmarkEnd w:id="140"/>
      <w:r w:rsidRPr="00650EE4">
        <w:rPr>
          <w:rFonts w:ascii="Times New Roman" w:hAnsi="Times New Roman"/>
          <w:color w:val="000000" w:themeColor="text1"/>
          <w:sz w:val="24"/>
          <w:szCs w:val="24"/>
          <w:lang w:val="lt-LT"/>
        </w:rPr>
        <w:t xml:space="preserve"> </w:t>
      </w:r>
    </w:p>
    <w:p w14:paraId="5C7E3056" w14:textId="0B7E458E" w:rsidR="001C4035" w:rsidRPr="00650EE4" w:rsidRDefault="0010530A" w:rsidP="008772A0">
      <w:pPr>
        <w:spacing w:after="240"/>
        <w:jc w:val="both"/>
        <w:rPr>
          <w:rFonts w:ascii="Times New Roman" w:hAnsi="Times New Roman"/>
          <w:szCs w:val="22"/>
        </w:rPr>
      </w:pPr>
      <w:r w:rsidRPr="00650EE4">
        <w:rPr>
          <w:rFonts w:ascii="Times New Roman" w:hAnsi="Times New Roman"/>
          <w:bCs/>
          <w:szCs w:val="22"/>
        </w:rPr>
        <w:t>2021–2030 m.</w:t>
      </w:r>
      <w:r>
        <w:rPr>
          <w:rFonts w:ascii="Times New Roman" w:hAnsi="Times New Roman"/>
          <w:bCs/>
          <w:szCs w:val="22"/>
        </w:rPr>
        <w:t xml:space="preserve"> n</w:t>
      </w:r>
      <w:r w:rsidR="001C4035" w:rsidRPr="00650EE4">
        <w:rPr>
          <w:rFonts w:ascii="Times New Roman" w:hAnsi="Times New Roman"/>
          <w:bCs/>
          <w:szCs w:val="22"/>
        </w:rPr>
        <w:t>acionalini</w:t>
      </w:r>
      <w:r>
        <w:rPr>
          <w:rFonts w:ascii="Times New Roman" w:hAnsi="Times New Roman"/>
          <w:bCs/>
          <w:szCs w:val="22"/>
        </w:rPr>
        <w:t>ame</w:t>
      </w:r>
      <w:r w:rsidR="001C4035" w:rsidRPr="00650EE4">
        <w:rPr>
          <w:rFonts w:ascii="Times New Roman" w:hAnsi="Times New Roman"/>
          <w:bCs/>
          <w:szCs w:val="22"/>
        </w:rPr>
        <w:t xml:space="preserve"> pažangos plan</w:t>
      </w:r>
      <w:r>
        <w:rPr>
          <w:rFonts w:ascii="Times New Roman" w:hAnsi="Times New Roman"/>
          <w:bCs/>
          <w:szCs w:val="22"/>
        </w:rPr>
        <w:t>e</w:t>
      </w:r>
      <w:r w:rsidR="001C4035" w:rsidRPr="00650EE4">
        <w:rPr>
          <w:rFonts w:ascii="Times New Roman" w:hAnsi="Times New Roman"/>
          <w:bCs/>
          <w:szCs w:val="22"/>
        </w:rPr>
        <w:t xml:space="preserve"> </w:t>
      </w:r>
      <w:r w:rsidR="001C4035" w:rsidRPr="00650EE4">
        <w:rPr>
          <w:rFonts w:ascii="Times New Roman" w:hAnsi="Times New Roman"/>
          <w:szCs w:val="22"/>
        </w:rPr>
        <w:t xml:space="preserve">numatytas tikslas pereiti prie mokslo žiniomis, pažangiosiomis technologijomis, inovacijomis grįsto darnaus ekonomikos augimo ir didinti šalies tarptautinį konkurencingumą </w:t>
      </w:r>
      <w:r>
        <w:rPr>
          <w:rFonts w:ascii="Times New Roman" w:hAnsi="Times New Roman"/>
          <w:szCs w:val="22"/>
        </w:rPr>
        <w:t>ir</w:t>
      </w:r>
      <w:r w:rsidRPr="00650EE4">
        <w:rPr>
          <w:rFonts w:ascii="Times New Roman" w:hAnsi="Times New Roman"/>
          <w:szCs w:val="22"/>
        </w:rPr>
        <w:t xml:space="preserve"> </w:t>
      </w:r>
      <w:r w:rsidR="001C4035" w:rsidRPr="00650EE4">
        <w:rPr>
          <w:rFonts w:ascii="Times New Roman" w:hAnsi="Times New Roman"/>
          <w:szCs w:val="22"/>
        </w:rPr>
        <w:t>numatyt</w:t>
      </w:r>
      <w:r>
        <w:rPr>
          <w:rFonts w:ascii="Times New Roman" w:hAnsi="Times New Roman"/>
          <w:szCs w:val="22"/>
        </w:rPr>
        <w:t>i</w:t>
      </w:r>
      <w:r w:rsidR="001C4035" w:rsidRPr="00650EE4">
        <w:rPr>
          <w:rFonts w:ascii="Times New Roman" w:hAnsi="Times New Roman"/>
          <w:szCs w:val="22"/>
        </w:rPr>
        <w:t xml:space="preserve"> poveikio rodikli</w:t>
      </w:r>
      <w:r>
        <w:rPr>
          <w:rFonts w:ascii="Times New Roman" w:hAnsi="Times New Roman"/>
          <w:szCs w:val="22"/>
        </w:rPr>
        <w:t>ai</w:t>
      </w:r>
      <w:r w:rsidR="001C4035" w:rsidRPr="00650EE4">
        <w:rPr>
          <w:rFonts w:ascii="Times New Roman" w:hAnsi="Times New Roman"/>
          <w:szCs w:val="22"/>
        </w:rPr>
        <w:t xml:space="preserve">, tame tarpe pasiekti, kad 2030 m. </w:t>
      </w:r>
      <w:r w:rsidR="001E13DD">
        <w:rPr>
          <w:rFonts w:ascii="Times New Roman" w:hAnsi="Times New Roman"/>
          <w:szCs w:val="22"/>
        </w:rPr>
        <w:t>v</w:t>
      </w:r>
      <w:r w:rsidR="001E13DD" w:rsidRPr="001E13DD">
        <w:rPr>
          <w:rFonts w:ascii="Times New Roman" w:hAnsi="Times New Roman"/>
          <w:szCs w:val="22"/>
        </w:rPr>
        <w:t>isos mokslinių tyrimų ir eksperimentinės plėtros (MTEP) išlaidos, palyginti su bendruoju vidaus produktu (BVP)</w:t>
      </w:r>
      <w:r w:rsidR="001C4035" w:rsidRPr="00650EE4">
        <w:rPr>
          <w:rFonts w:ascii="Times New Roman" w:hAnsi="Times New Roman"/>
          <w:szCs w:val="22"/>
        </w:rPr>
        <w:t xml:space="preserve"> sudarytų bent 2</w:t>
      </w:r>
      <w:r w:rsidR="001E13DD">
        <w:rPr>
          <w:rFonts w:ascii="Times New Roman" w:hAnsi="Times New Roman"/>
          <w:szCs w:val="22"/>
        </w:rPr>
        <w:t>,2</w:t>
      </w:r>
      <w:r w:rsidR="001C4035" w:rsidRPr="00650EE4">
        <w:rPr>
          <w:rFonts w:ascii="Times New Roman" w:hAnsi="Times New Roman"/>
          <w:szCs w:val="22"/>
        </w:rPr>
        <w:t xml:space="preserve"> proc. (LT 2017 m. rodiklis – 0,9, ES vidurkis 2017 m. – 2</w:t>
      </w:r>
      <w:r w:rsidR="00B41BDB" w:rsidRPr="00650EE4">
        <w:rPr>
          <w:rFonts w:ascii="Times New Roman" w:hAnsi="Times New Roman"/>
          <w:szCs w:val="22"/>
        </w:rPr>
        <w:t>,06 proc.</w:t>
      </w:r>
      <w:r w:rsidR="001C4035" w:rsidRPr="00650EE4">
        <w:rPr>
          <w:rFonts w:ascii="Times New Roman" w:hAnsi="Times New Roman"/>
          <w:szCs w:val="22"/>
        </w:rPr>
        <w:t xml:space="preserve">). </w:t>
      </w:r>
    </w:p>
    <w:p w14:paraId="701136AB" w14:textId="68EE98A1" w:rsidR="001C4035" w:rsidRPr="00650EE4" w:rsidRDefault="00B41BDB" w:rsidP="008308FF">
      <w:pPr>
        <w:pStyle w:val="Antrastes31"/>
        <w:numPr>
          <w:ilvl w:val="2"/>
          <w:numId w:val="4"/>
        </w:numPr>
        <w:spacing w:before="0"/>
        <w:ind w:left="720" w:hanging="720"/>
        <w:rPr>
          <w:rFonts w:ascii="Times New Roman" w:hAnsi="Times New Roman"/>
          <w:color w:val="000000" w:themeColor="text1"/>
          <w:sz w:val="24"/>
          <w:szCs w:val="24"/>
          <w:lang w:val="lt-LT"/>
        </w:rPr>
      </w:pPr>
      <w:bookmarkStart w:id="141" w:name="_Toc59107548"/>
      <w:r w:rsidRPr="00650EE4">
        <w:rPr>
          <w:rFonts w:ascii="Times New Roman" w:hAnsi="Times New Roman"/>
          <w:color w:val="000000" w:themeColor="text1"/>
          <w:sz w:val="24"/>
          <w:szCs w:val="24"/>
          <w:lang w:val="lt-LT"/>
        </w:rPr>
        <w:t>Kitos</w:t>
      </w:r>
      <w:r w:rsidR="001C4035" w:rsidRPr="00650EE4">
        <w:rPr>
          <w:rFonts w:ascii="Times New Roman" w:hAnsi="Times New Roman"/>
          <w:color w:val="000000" w:themeColor="text1"/>
          <w:sz w:val="24"/>
          <w:szCs w:val="24"/>
          <w:lang w:val="lt-LT"/>
        </w:rPr>
        <w:t xml:space="preserve"> nacionalinės iniciatyvos</w:t>
      </w:r>
      <w:bookmarkEnd w:id="141"/>
    </w:p>
    <w:p w14:paraId="5F6B3FBF"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AEI srityje: Valstybės ir savivaldybių institucijos, įstaigos ir įmonės pagal kompetenciją yra įpareigotos rengti, teikti ir viešai skelbti informaciją apie leidimų, licencijų ar atestatų išdavimo tvarką, sertifikavimo paraiškų nagrinėjimo tvarką, apie pareiškėjams teikiamą pagalbą, paramos schemas. Ministerijos pagal kompetenciją yra įpareigotos rengti ir įgyvendinti tinkamas visuomenės informavimo ir sąmoningo ugdymo priemones, teikti konsultacijas, rengti švietimo programas apie AEI plėtros ir naudojimo praktines galimybes ir naudas.</w:t>
      </w:r>
    </w:p>
    <w:p w14:paraId="3079658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Organizuojamas keitimasis patirtimi AEI naudojimo srityje tarp valstybių institucijų, įstaigų, įmonių, organizacijų, privačių subjektų ir viešai skelbiami gerosios praktikos pavyzdžiai.</w:t>
      </w:r>
    </w:p>
    <w:p w14:paraId="3C385EB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Į formaliojo švietimo bendrąsias programas įtraukiamos AEI naudojimo galimybių, teikiamos naudos ir technologinių sprendimų srities žinios ir gebėjimai. Skatinami moksliniai tyrimai, visuomenės švietimas, valstybės tarnautojų ir profesinis mokymas AEI srityje. Skatinamas bandomųjų projektų naudojimas.</w:t>
      </w:r>
    </w:p>
    <w:p w14:paraId="599612DB"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Mokymo programos apie AEI naudą ir praktines galimybes įtrauktos į Lietuvos bendrojo lavinimo mokyklų programas ir Lietuvos universitetinio ir neuniversitetinio aukštojo mokslo įstaigų programas.</w:t>
      </w:r>
    </w:p>
    <w:p w14:paraId="6D5E31E0" w14:textId="46419315"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Nacionalinio lygmens portalas energijos vartotojams Valstybinė energetikos reguliavimo taryba (VERT) skelbia informaciją apie energijos kainas iš skirtingų tiekėjų, informaciją apie ga</w:t>
      </w:r>
      <w:r w:rsidR="007B0BAC">
        <w:rPr>
          <w:rFonts w:ascii="Times New Roman" w:hAnsi="Times New Roman"/>
          <w:szCs w:val="22"/>
        </w:rPr>
        <w:t>limybes taupyti energiją ir kt.</w:t>
      </w:r>
    </w:p>
    <w:p w14:paraId="51AC41C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Susitarimai su energijos tiekėjais dėl vartotojų švietimo ir konsultavimo energijos vartojimo klausimais (Energijos tiekėjai užtikrins vartotojų švietimo ir konsultavimo apimties ir priemonių, kurios numatytos jų tarpusavio susitarimuose ar per kitus asmenis sudarytuose susitarimuose, įgyvendinimą).</w:t>
      </w:r>
    </w:p>
    <w:p w14:paraId="42CE1CEF" w14:textId="259CE3AA"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Pažymėtina, kad visos iniciatyvos </w:t>
      </w:r>
      <w:r w:rsidR="002F7DBE" w:rsidRPr="00650EE4">
        <w:rPr>
          <w:rFonts w:ascii="Times New Roman" w:hAnsi="Times New Roman"/>
          <w:szCs w:val="22"/>
        </w:rPr>
        <w:t>skirtos</w:t>
      </w:r>
      <w:r w:rsidRPr="00650EE4">
        <w:rPr>
          <w:rFonts w:ascii="Times New Roman" w:hAnsi="Times New Roman"/>
          <w:szCs w:val="22"/>
        </w:rPr>
        <w:t xml:space="preserve"> galutiniams vartotojams. Kokybiškų nacionalinio lygmens iniciatyvų, skirtų dirbantiems statybos ir energijos vartojimo efektyvumo sektoriuose (pvz., projektuotojams, statybininkams, rangovams, nekilnojamojo turto projektų </w:t>
      </w:r>
      <w:proofErr w:type="spellStart"/>
      <w:r w:rsidRPr="00650EE4">
        <w:rPr>
          <w:rFonts w:ascii="Times New Roman" w:hAnsi="Times New Roman"/>
          <w:szCs w:val="22"/>
        </w:rPr>
        <w:t>vystytojams</w:t>
      </w:r>
      <w:proofErr w:type="spellEnd"/>
      <w:r w:rsidRPr="00650EE4">
        <w:rPr>
          <w:rFonts w:ascii="Times New Roman" w:hAnsi="Times New Roman"/>
          <w:szCs w:val="22"/>
        </w:rPr>
        <w:t>) nėra. Egzistuoja pavienės iniciatyvos, pavyzdžiui, Lietuvos žaliųjų pastatų taryba</w:t>
      </w:r>
      <w:r w:rsidRPr="00650EE4">
        <w:rPr>
          <w:rStyle w:val="FootnoteReference"/>
          <w:rFonts w:ascii="Times New Roman" w:hAnsi="Times New Roman"/>
          <w:szCs w:val="22"/>
        </w:rPr>
        <w:footnoteReference w:id="26"/>
      </w:r>
      <w:r w:rsidRPr="00650EE4">
        <w:rPr>
          <w:rFonts w:ascii="Times New Roman" w:hAnsi="Times New Roman"/>
          <w:szCs w:val="22"/>
        </w:rPr>
        <w:t xml:space="preserve"> organizuoja žaliųjų pastatų profesionalų mokymus ir teminius seminarus.</w:t>
      </w:r>
    </w:p>
    <w:p w14:paraId="7838D084" w14:textId="0ED6B04D"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NCEP numatomos šios vartotojų informavimo iniciatyvos:</w:t>
      </w:r>
    </w:p>
    <w:p w14:paraId="36A45409"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EN9</w:t>
      </w:r>
      <w:r w:rsidRPr="00650EE4">
        <w:rPr>
          <w:rStyle w:val="FootnoteReference"/>
          <w:rFonts w:ascii="Times New Roman" w:hAnsi="Times New Roman"/>
          <w:szCs w:val="22"/>
          <w:lang w:val="lt-LT"/>
        </w:rPr>
        <w:footnoteReference w:id="27"/>
      </w:r>
      <w:r w:rsidRPr="00650EE4">
        <w:rPr>
          <w:rFonts w:ascii="Times New Roman" w:hAnsi="Times New Roman"/>
          <w:szCs w:val="22"/>
          <w:lang w:val="lt-LT"/>
        </w:rPr>
        <w:t>. Energetinio nepritekliaus ir efektyvumo konsultacijos įtraukiamos į socialinių paslaugų katalogą;</w:t>
      </w:r>
    </w:p>
    <w:p w14:paraId="5938AF51"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lastRenderedPageBreak/>
        <w:t>EN10. Energijos tiekėjų įpareigojimai dėl energetinio nepritekliaus prevencijos;</w:t>
      </w:r>
    </w:p>
    <w:p w14:paraId="6EAA8C4B" w14:textId="77777777" w:rsidR="001C4035" w:rsidRPr="00650EE4" w:rsidRDefault="001C4035" w:rsidP="00BD4925">
      <w:pPr>
        <w:pStyle w:val="ListParagraph"/>
        <w:numPr>
          <w:ilvl w:val="0"/>
          <w:numId w:val="39"/>
        </w:numPr>
        <w:spacing w:after="120"/>
        <w:ind w:left="714" w:hanging="357"/>
        <w:contextualSpacing w:val="0"/>
        <w:jc w:val="both"/>
        <w:rPr>
          <w:rFonts w:ascii="Times New Roman" w:hAnsi="Times New Roman"/>
          <w:szCs w:val="22"/>
          <w:lang w:val="lt-LT"/>
        </w:rPr>
      </w:pPr>
      <w:r w:rsidRPr="00650EE4">
        <w:rPr>
          <w:rFonts w:ascii="Times New Roman" w:hAnsi="Times New Roman"/>
          <w:szCs w:val="22"/>
          <w:lang w:val="lt-LT"/>
        </w:rPr>
        <w:t>EN11. Nacionalinio energijos portalo vartotojams atnaujinimas.</w:t>
      </w:r>
    </w:p>
    <w:p w14:paraId="10CDB378" w14:textId="77777777" w:rsidR="002F3428" w:rsidRPr="00650EE4" w:rsidRDefault="002F3428" w:rsidP="002F3428">
      <w:pPr>
        <w:pStyle w:val="ListParagraph"/>
        <w:ind w:left="714"/>
        <w:contextualSpacing w:val="0"/>
        <w:jc w:val="both"/>
        <w:rPr>
          <w:rFonts w:ascii="Times New Roman" w:hAnsi="Times New Roman"/>
          <w:szCs w:val="22"/>
          <w:lang w:val="lt-LT"/>
        </w:rPr>
      </w:pPr>
    </w:p>
    <w:p w14:paraId="1FD4F93B" w14:textId="77777777" w:rsidR="001C4035" w:rsidRPr="00650EE4" w:rsidRDefault="001C4035" w:rsidP="00BE0811">
      <w:pPr>
        <w:pStyle w:val="Antrastes31"/>
        <w:numPr>
          <w:ilvl w:val="2"/>
          <w:numId w:val="4"/>
        </w:numPr>
        <w:spacing w:before="0"/>
        <w:ind w:left="720" w:hanging="720"/>
        <w:rPr>
          <w:rFonts w:ascii="Times New Roman" w:hAnsi="Times New Roman"/>
          <w:color w:val="000000" w:themeColor="text1"/>
          <w:sz w:val="24"/>
          <w:szCs w:val="24"/>
          <w:lang w:val="lt-LT"/>
        </w:rPr>
      </w:pPr>
      <w:bookmarkStart w:id="142" w:name="_Toc59107549"/>
      <w:r w:rsidRPr="00650EE4">
        <w:rPr>
          <w:rFonts w:ascii="Times New Roman" w:hAnsi="Times New Roman"/>
          <w:color w:val="000000" w:themeColor="text1"/>
          <w:sz w:val="24"/>
          <w:szCs w:val="24"/>
          <w:lang w:val="lt-LT"/>
        </w:rPr>
        <w:t>Mokslo, technologijų ir inovacijų politika</w:t>
      </w:r>
      <w:bookmarkEnd w:id="142"/>
    </w:p>
    <w:p w14:paraId="486A1A22" w14:textId="5FB24893"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Šalies studijų ir mokslo politiką formuoja Švietimo, mokslo ir sporto ministerija. Vyriausybės patvirtinta Valstybinė studijų, mokslinių tyrimų ir eksperimentinės (socialinės, kultūrinės) plėtros 2013–2020 metų plėtros programa</w:t>
      </w:r>
      <w:r w:rsidRPr="00650EE4">
        <w:rPr>
          <w:rStyle w:val="FootnoteReference"/>
          <w:rFonts w:ascii="Times New Roman" w:hAnsi="Times New Roman"/>
          <w:szCs w:val="22"/>
        </w:rPr>
        <w:footnoteReference w:id="28"/>
      </w:r>
      <w:r w:rsidRPr="00650EE4">
        <w:rPr>
          <w:rFonts w:ascii="Times New Roman" w:hAnsi="Times New Roman"/>
          <w:szCs w:val="22"/>
        </w:rPr>
        <w:t xml:space="preserve"> siekiama skatinti darnią žmogaus ir visuomenės raidą, stiprinančią šalies konkurencingumą ir sudarančią sąlygas inovacijoms, plėtojant studijas ir vykdant MTEPI. Minėtoje programoje pastatų ir/ar energetikos sektorius nėra išskiriamas. </w:t>
      </w:r>
    </w:p>
    <w:p w14:paraId="2979720E" w14:textId="669951B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Ekonomikos ir inovacijų ministerija yra atsakinga už technologijų ir inovacijų politikos formavimą. Įvairių ūkio sričių (energetikos sistemų, pramonės, transporto, žemės ūkio) inovacijų tikslai įtraukti į inovacijų politikos bendrą sistemą. Šiuo metu Lietuvos inovacijų politika įgyvendinama „Lietuvos pažangos strategijos „Lietuva 2030“, pagal ją įgyvendindamos 2014–2020 m. Nacionalinė pažangos programa ir </w:t>
      </w:r>
      <w:r w:rsidR="001E13DD" w:rsidRPr="00650EE4">
        <w:rPr>
          <w:rFonts w:ascii="Times New Roman" w:hAnsi="Times New Roman"/>
          <w:szCs w:val="22"/>
        </w:rPr>
        <w:t>2021–2030 m</w:t>
      </w:r>
      <w:r w:rsidR="001E13DD">
        <w:rPr>
          <w:rFonts w:ascii="Times New Roman" w:hAnsi="Times New Roman"/>
          <w:szCs w:val="22"/>
        </w:rPr>
        <w:t>.</w:t>
      </w:r>
      <w:r w:rsidR="001E13DD" w:rsidRPr="00650EE4">
        <w:rPr>
          <w:rFonts w:ascii="Times New Roman" w:hAnsi="Times New Roman"/>
          <w:szCs w:val="22"/>
        </w:rPr>
        <w:t xml:space="preserve"> </w:t>
      </w:r>
      <w:r w:rsidR="001E13DD">
        <w:rPr>
          <w:rFonts w:ascii="Times New Roman" w:hAnsi="Times New Roman"/>
          <w:szCs w:val="22"/>
        </w:rPr>
        <w:t>n</w:t>
      </w:r>
      <w:r w:rsidRPr="00650EE4">
        <w:rPr>
          <w:rFonts w:ascii="Times New Roman" w:hAnsi="Times New Roman"/>
          <w:szCs w:val="22"/>
        </w:rPr>
        <w:t>acionalini</w:t>
      </w:r>
      <w:r w:rsidR="001E13DD">
        <w:rPr>
          <w:rFonts w:ascii="Times New Roman" w:hAnsi="Times New Roman"/>
          <w:szCs w:val="22"/>
        </w:rPr>
        <w:t>s</w:t>
      </w:r>
      <w:r w:rsidRPr="00650EE4">
        <w:rPr>
          <w:rFonts w:ascii="Times New Roman" w:hAnsi="Times New Roman"/>
          <w:szCs w:val="22"/>
        </w:rPr>
        <w:t xml:space="preserve"> pažangos plan</w:t>
      </w:r>
      <w:r w:rsidR="001E13DD">
        <w:rPr>
          <w:rFonts w:ascii="Times New Roman" w:hAnsi="Times New Roman"/>
          <w:szCs w:val="22"/>
        </w:rPr>
        <w:t>as</w:t>
      </w:r>
      <w:r w:rsidRPr="00650EE4">
        <w:rPr>
          <w:rFonts w:ascii="Times New Roman" w:hAnsi="Times New Roman"/>
          <w:szCs w:val="22"/>
        </w:rPr>
        <w:t xml:space="preserve">. Papildomai skirtingus inovacijų politikos aspektus apima Lietuvos inovacijų plėtros 2014–2020 m. programa. Šia programa siekiama sukurti teisinį modelį verslo sektoriaus inovaciniam potencialui stiprinti, taip pat suformuoti efektyvesnę politiką bei </w:t>
      </w:r>
      <w:proofErr w:type="spellStart"/>
      <w:r w:rsidRPr="00650EE4">
        <w:rPr>
          <w:rFonts w:ascii="Times New Roman" w:hAnsi="Times New Roman"/>
          <w:szCs w:val="22"/>
        </w:rPr>
        <w:t>inovatyvų</w:t>
      </w:r>
      <w:proofErr w:type="spellEnd"/>
      <w:r w:rsidRPr="00650EE4">
        <w:rPr>
          <w:rFonts w:ascii="Times New Roman" w:hAnsi="Times New Roman"/>
          <w:szCs w:val="22"/>
        </w:rPr>
        <w:t xml:space="preserve"> viešąjį sektorių ir paskatinti bendrą verslo, mokslo bei švietimo srities institucijų veiklą. Viena iš programos įgyvendinimo plane išdėstytų priemonių siekiama paremti aplinką tausojančią, energiją taupančią bei žaliąją tyrimų ir plėtros bei inovacijų veiklą, kurią vykdant gaminami ir realizuojami didelės pridėtinės vertės produktai. Be to, taip pat remiamos su energetika ir tvaria aplinka susijusios sritys, taikant iki</w:t>
      </w:r>
      <w:r w:rsidR="00781599" w:rsidRPr="00650EE4">
        <w:rPr>
          <w:rFonts w:ascii="Times New Roman" w:hAnsi="Times New Roman"/>
          <w:szCs w:val="22"/>
        </w:rPr>
        <w:t>-</w:t>
      </w:r>
      <w:r w:rsidRPr="00650EE4">
        <w:rPr>
          <w:rFonts w:ascii="Times New Roman" w:hAnsi="Times New Roman"/>
          <w:szCs w:val="22"/>
        </w:rPr>
        <w:t xml:space="preserve">prekybinius pirkimus, kuriais siekiama sukurti inovacinius šios srities produktus. </w:t>
      </w:r>
    </w:p>
    <w:p w14:paraId="3319458C"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NECP numatyta Alternatyvios horizontaliosios klimato kaitos valdymo politikos priemonė: [H8.]</w:t>
      </w:r>
      <w:r w:rsidRPr="00650EE4">
        <w:rPr>
          <w:rStyle w:val="FootnoteReference"/>
          <w:rFonts w:ascii="Times New Roman" w:hAnsi="Times New Roman"/>
          <w:szCs w:val="22"/>
        </w:rPr>
        <w:footnoteReference w:id="29"/>
      </w:r>
      <w:r w:rsidRPr="00650EE4">
        <w:rPr>
          <w:rFonts w:ascii="Times New Roman" w:hAnsi="Times New Roman"/>
          <w:szCs w:val="22"/>
        </w:rPr>
        <w:t xml:space="preserve"> Mokslinių tyrimų susijusių su klimato kaitos švelninimu ir prisitaikymu prie klimato kaitos pokyčių skatinimas 2021–2030 m., atsakingos institucijos: Švietimo, mokslo ir sporto ministerija, Ekonomikos ir inovacijų ministerija, Lietuvos mokslo taryba, Aplinkos ministerija.</w:t>
      </w:r>
    </w:p>
    <w:p w14:paraId="6B8DEA1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Vyriausybės strateginės analizės centras kasmet atlieka Lietuvos inovacijų ekosistemos apžvalgą</w:t>
      </w:r>
      <w:r w:rsidRPr="00650EE4">
        <w:rPr>
          <w:rStyle w:val="FootnoteReference"/>
          <w:rFonts w:ascii="Times New Roman" w:hAnsi="Times New Roman"/>
          <w:szCs w:val="22"/>
        </w:rPr>
        <w:footnoteReference w:id="30"/>
      </w:r>
      <w:r w:rsidRPr="00650EE4">
        <w:rPr>
          <w:rFonts w:ascii="Times New Roman" w:hAnsi="Times New Roman"/>
          <w:szCs w:val="22"/>
        </w:rPr>
        <w:t xml:space="preserve">. Apžvalgoje pastatų sektorius nėra išskiriamas, tačiau, tikėtina, kad bendri šaliai pastebėjimai būdingi ir pastatų sektoriui. Jei nenurodyta kitas šaltinis, toliau glaustai pateikiamos pagrindinės apžvalgos išvados. </w:t>
      </w:r>
    </w:p>
    <w:p w14:paraId="3E5B6E12"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2018 m. bendrosios Lietuvos išlaidos MTEP siekė 0,88 proc. BVP (396,8 mln. EUR), iš kurių 0,55 proc. nuo BVP išleista aukštojo mokslo ir valdžios sektoriuje ir 0,33 proc. BVP – verslo sektoriuje. Paskutinių penkerių metų tendencija rodo, kad Lietuva 2020 m. strateginio tikslo – 1,9 proc. BVP siekiančių išlaidų MTEP - nepasieks.</w:t>
      </w:r>
    </w:p>
    <w:p w14:paraId="549A750A"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30–34 m. amžiaus gyventojų, turinčių aukštąjį išsilavinimą, dalimi (2018 m. 57,6 proc.) Lietuva gali pasigirti pirma vieta ES (2018 m. ES vidurkis 40,7 proc.). Absolventų, baigusių gamtos, technologijos, medicinos ir sveikatos, žemės ūkio mokslus dalis 2017 m. sudarė 30 proc. nuo visų absolventų. 2018 m. Lietuvos mokymosi visą gyvenimą lygis (6,6 proc.) buvo panašus į Latvijos (6,7 proc.), 4,5 proc. punktais žemesnis už ES vidurkį.</w:t>
      </w:r>
    </w:p>
    <w:p w14:paraId="4488EBEE"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Švietimo, mokslo ir sporto ministerijos duomenimis</w:t>
      </w:r>
      <w:r w:rsidRPr="00650EE4">
        <w:rPr>
          <w:rStyle w:val="FootnoteReference"/>
          <w:rFonts w:ascii="Times New Roman" w:hAnsi="Times New Roman"/>
          <w:szCs w:val="22"/>
        </w:rPr>
        <w:footnoteReference w:id="31"/>
      </w:r>
      <w:r w:rsidRPr="00650EE4">
        <w:rPr>
          <w:rFonts w:ascii="Times New Roman" w:hAnsi="Times New Roman"/>
          <w:szCs w:val="22"/>
        </w:rPr>
        <w:t xml:space="preserve"> profesinio mokymo įstaigų mokinių dalis inžinerijos ir inžinerinės profesijos dalis 2018 m. sudarė 24,7 proc. (2015m. – 22,7 proc.), architektūros ir statybos dalis 2018 m. sudarė 11,5 proc. (2015m. – 10,9 proc.). Kolegijų studentų skaičiaus inžinerijos ir inžinerinės profesijos dalis 2018 m. sudarė 14,4 proc., architektūros ir statybos dalis 2018 m. sudarė 5,4 proc. Universitetų pirmosios studijų pakopos studentų mokslo metų pradžioje inžinerijos ir inžinerinės profesijos dalis 2018 m. sudarė 12,0 proc., architektūros ir statybos 4,0 proc. Universitetų antrosios studijų pakopos studentų mokslo metų pradžioje inžinerijos ir inžinerinės profesijos dalis 2018 m. sudarė 10,4 proc., architektūros ir statybos 3,8 proc. </w:t>
      </w:r>
    </w:p>
    <w:p w14:paraId="53CFE77F"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Valstybinio patentų biuro duomenimis, 2012 –2018 m. laikotarpiu pramoninės nuosavybės objektų (prekių ženklų, patentų, dizainų) nacionalinių paraiškų skaičius padidėjo 20 proc. ir 2018 m. siekė 2930 paraiškų. 2018 m. Lietuvos </w:t>
      </w:r>
      <w:r w:rsidRPr="00650EE4">
        <w:rPr>
          <w:rFonts w:ascii="Times New Roman" w:hAnsi="Times New Roman"/>
          <w:szCs w:val="22"/>
        </w:rPr>
        <w:lastRenderedPageBreak/>
        <w:t xml:space="preserve">pareiškėjai padavė 81 nacionalinę patentų paraišką (iš jų 30 paraiškų padavė MSI ir 51 – verslo įmonės). Pateiktų patentų paraiškų skaičius rodo išradimų skaičių ir nėra susijęs su technologijos </w:t>
      </w:r>
      <w:proofErr w:type="spellStart"/>
      <w:r w:rsidRPr="00650EE4">
        <w:rPr>
          <w:rFonts w:ascii="Times New Roman" w:hAnsi="Times New Roman"/>
          <w:szCs w:val="22"/>
        </w:rPr>
        <w:t>komercializavimu</w:t>
      </w:r>
      <w:proofErr w:type="spellEnd"/>
      <w:r w:rsidRPr="00650EE4">
        <w:rPr>
          <w:rFonts w:ascii="Times New Roman" w:hAnsi="Times New Roman"/>
          <w:szCs w:val="22"/>
        </w:rPr>
        <w:t>, todėl atspindi tik dalį inovacinės veiklos rezultatų.</w:t>
      </w:r>
    </w:p>
    <w:p w14:paraId="69F0CB66" w14:textId="111FC16C"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Lietuvos dalyvavimo Horizontas 2020 rezultatai</w:t>
      </w:r>
      <w:r w:rsidR="00D44221" w:rsidRPr="00650EE4">
        <w:rPr>
          <w:rFonts w:ascii="Times New Roman" w:hAnsi="Times New Roman"/>
          <w:szCs w:val="22"/>
        </w:rPr>
        <w:t>:</w:t>
      </w:r>
      <w:r w:rsidRPr="00650EE4">
        <w:rPr>
          <w:rFonts w:ascii="Times New Roman" w:hAnsi="Times New Roman"/>
          <w:szCs w:val="22"/>
        </w:rPr>
        <w:t xml:space="preserve"> 2019 m. spalio mėnesio duomenimis, Lietuvos institucijos įgyvendino 340 projektų, iš kurių koordinavo – 69. Nors Lietuvos pareiškėjų paraiškos kokybiškos ir sėkmės reitingas (13,82 proc. nuo pateiktų tinkamų paraiškų) viršija ES vidurkį, pagal pateiktų paraiškų vienam gyventojui skaičių nuo Latvijos atsiliekame daugiau nei 2,5 karto, nuo Estijos – daugiau nei 6,5 karto. Pagal projektų skaičių, pirmame penketuke yra šie technologijų universitetai/įstaigos: Kauno technologijų universitetas, Lietuvos energetikos institutas ir Lietuvos mokslo taryba</w:t>
      </w:r>
      <w:r w:rsidRPr="00650EE4">
        <w:rPr>
          <w:rStyle w:val="FootnoteReference"/>
          <w:rFonts w:ascii="Times New Roman" w:hAnsi="Times New Roman"/>
          <w:szCs w:val="22"/>
        </w:rPr>
        <w:footnoteReference w:id="32"/>
      </w:r>
      <w:r w:rsidRPr="00650EE4">
        <w:rPr>
          <w:rFonts w:ascii="Times New Roman" w:hAnsi="Times New Roman"/>
          <w:szCs w:val="22"/>
        </w:rPr>
        <w:t xml:space="preserve">. </w:t>
      </w:r>
    </w:p>
    <w:p w14:paraId="55B80735" w14:textId="77777777" w:rsidR="001C4035" w:rsidRPr="00650EE4" w:rsidRDefault="001C4035" w:rsidP="008772A0">
      <w:pPr>
        <w:spacing w:after="240"/>
        <w:jc w:val="both"/>
        <w:rPr>
          <w:rFonts w:ascii="Times New Roman" w:hAnsi="Times New Roman"/>
          <w:szCs w:val="22"/>
        </w:rPr>
      </w:pPr>
      <w:r w:rsidRPr="00650EE4">
        <w:rPr>
          <w:rFonts w:ascii="Times New Roman" w:hAnsi="Times New Roman"/>
          <w:szCs w:val="22"/>
        </w:rPr>
        <w:t xml:space="preserve">Išskirtos šios reikšmingiausios 2019 m. viešojo sektoriaus inovacijos arba iniciatyvos, skatinančios inovacijas (atrinktos tik susijusios su technologijomis, tiesiogiai ar netiesiogiai susijusiomis su pastatų sektoriumi): </w:t>
      </w:r>
    </w:p>
    <w:p w14:paraId="0FF95F76" w14:textId="77777777"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2019 m. balandžio mėn. pristatyta Lietuvos dirbtinio intelekto strategija</w:t>
      </w:r>
      <w:r w:rsidRPr="00650EE4">
        <w:rPr>
          <w:rStyle w:val="FootnoteReference"/>
          <w:rFonts w:ascii="Times New Roman" w:hAnsi="Times New Roman"/>
          <w:szCs w:val="22"/>
          <w:lang w:val="lt-LT"/>
        </w:rPr>
        <w:footnoteReference w:id="33"/>
      </w:r>
      <w:r w:rsidRPr="00650EE4">
        <w:rPr>
          <w:rFonts w:ascii="Times New Roman" w:hAnsi="Times New Roman"/>
          <w:szCs w:val="22"/>
          <w:lang w:val="lt-LT"/>
        </w:rPr>
        <w:t>. Lietuva yra viena iš pirmųjų ES valstybių pateikusių savo strategiją. Jos tikslas – sukurti teisinį ir etinį pagrindą Lietuvoje taikyti dirbtinį intelektą, sukurti prielaidas verslui ir mokslui plėtoti bei taikyti dirbtinio intelekto sprendimus maksimaliai išnaudojant jo ekonominį potencialą. Energetikos sektoriuje dirbtinio intelekto sistemos turėtų būti naudojamos veiksmingesniems energijos tiekimo būdams sukurti. Taikydama veiksmingesnį energijos paskirstymo būdą, Lietuva galėtų padidinti tvarumą ir tapti mažiau priklausoma nuo užsienio energijos šaltinių.</w:t>
      </w:r>
    </w:p>
    <w:p w14:paraId="6CCFF839" w14:textId="2BA36485"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Siekiant palengvinti ir skatinti</w:t>
      </w:r>
      <w:r w:rsidR="008308FF" w:rsidRPr="00650EE4">
        <w:rPr>
          <w:rFonts w:ascii="Times New Roman" w:hAnsi="Times New Roman"/>
          <w:szCs w:val="22"/>
          <w:lang w:val="lt-LT"/>
        </w:rPr>
        <w:t xml:space="preserve"> energetikos inovacijų kūrimą, </w:t>
      </w:r>
      <w:r w:rsidRPr="00650EE4">
        <w:rPr>
          <w:rFonts w:ascii="Times New Roman" w:hAnsi="Times New Roman"/>
          <w:szCs w:val="22"/>
          <w:lang w:val="lt-LT"/>
        </w:rPr>
        <w:t>2020-04-28 priimtas Lietuvos Respublikos energetikos įstatymo Nr. IX-884 2, 3, 8, 13-1, 19, 27 straipsnių pakeitimo ir Įstatymo papildymo 18-1 straipsniu įstatymui, kuriuo sukurta bandomoji reguliacinė aplinka  energetikos inovacijoms išbandyti.</w:t>
      </w:r>
    </w:p>
    <w:p w14:paraId="0172920E" w14:textId="59574B53"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Energetikos ministerijos ir </w:t>
      </w:r>
      <w:r w:rsidR="00281FFE" w:rsidRPr="00650EE4">
        <w:rPr>
          <w:rFonts w:ascii="Times New Roman" w:hAnsi="Times New Roman"/>
          <w:szCs w:val="22"/>
          <w:lang w:val="lt-LT"/>
        </w:rPr>
        <w:t xml:space="preserve">AB </w:t>
      </w:r>
      <w:proofErr w:type="spellStart"/>
      <w:r w:rsidRPr="00650EE4">
        <w:rPr>
          <w:rFonts w:ascii="Times New Roman" w:hAnsi="Times New Roman"/>
          <w:szCs w:val="22"/>
          <w:lang w:val="lt-LT"/>
        </w:rPr>
        <w:t>Ignitis</w:t>
      </w:r>
      <w:proofErr w:type="spellEnd"/>
      <w:r w:rsidRPr="00650EE4">
        <w:rPr>
          <w:rFonts w:ascii="Times New Roman" w:hAnsi="Times New Roman"/>
          <w:szCs w:val="22"/>
          <w:lang w:val="lt-LT"/>
        </w:rPr>
        <w:t xml:space="preserve"> iniciatyva plėtoti saulės energetiką, „Saulės parkai“ – </w:t>
      </w:r>
      <w:proofErr w:type="spellStart"/>
      <w:r w:rsidRPr="00650EE4">
        <w:rPr>
          <w:rFonts w:ascii="Times New Roman" w:hAnsi="Times New Roman"/>
          <w:szCs w:val="22"/>
          <w:lang w:val="lt-LT"/>
        </w:rPr>
        <w:t>Ignitis</w:t>
      </w:r>
      <w:proofErr w:type="spellEnd"/>
      <w:r w:rsidRPr="00650EE4">
        <w:rPr>
          <w:rFonts w:ascii="Times New Roman" w:hAnsi="Times New Roman"/>
          <w:szCs w:val="22"/>
          <w:lang w:val="lt-LT"/>
        </w:rPr>
        <w:t xml:space="preserve"> internetinė platforma, suteikianti galimybę įsigyti arba išsinuomoti dalį nutolusios saulės elektrinės.</w:t>
      </w:r>
    </w:p>
    <w:p w14:paraId="2359D391" w14:textId="5ACA9489"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 xml:space="preserve">Vilniaus m. savivaldybė prijungė dalį nuosavybės teise valdomų pastatų prie 2018 m. Vilniuje įkurtos </w:t>
      </w:r>
      <w:r w:rsidR="001E13DD">
        <w:rPr>
          <w:rFonts w:ascii="Times New Roman" w:hAnsi="Times New Roman"/>
          <w:szCs w:val="22"/>
          <w:lang w:val="lt-LT"/>
        </w:rPr>
        <w:t>„</w:t>
      </w:r>
      <w:proofErr w:type="spellStart"/>
      <w:r w:rsidRPr="00650EE4">
        <w:rPr>
          <w:rFonts w:ascii="Times New Roman" w:hAnsi="Times New Roman"/>
          <w:szCs w:val="22"/>
          <w:lang w:val="lt-LT"/>
        </w:rPr>
        <w:t>RealBox</w:t>
      </w:r>
      <w:proofErr w:type="spellEnd"/>
      <w:r w:rsidR="001E13DD">
        <w:rPr>
          <w:rFonts w:ascii="Times New Roman" w:hAnsi="Times New Roman"/>
          <w:szCs w:val="22"/>
          <w:lang w:val="lt-LT"/>
        </w:rPr>
        <w:t>“</w:t>
      </w:r>
      <w:r w:rsidRPr="00650EE4">
        <w:rPr>
          <w:rFonts w:ascii="Times New Roman" w:hAnsi="Times New Roman"/>
          <w:szCs w:val="22"/>
          <w:lang w:val="lt-LT"/>
        </w:rPr>
        <w:t xml:space="preserve"> bandymų erdvės nekilnojamo turto technologijų įmonėms, kur jos gali išbandyti savo </w:t>
      </w:r>
      <w:proofErr w:type="spellStart"/>
      <w:r w:rsidRPr="00650EE4">
        <w:rPr>
          <w:rFonts w:ascii="Times New Roman" w:hAnsi="Times New Roman"/>
          <w:szCs w:val="22"/>
          <w:lang w:val="lt-LT"/>
        </w:rPr>
        <w:t>inovatyvius</w:t>
      </w:r>
      <w:proofErr w:type="spellEnd"/>
      <w:r w:rsidRPr="00650EE4">
        <w:rPr>
          <w:rFonts w:ascii="Times New Roman" w:hAnsi="Times New Roman"/>
          <w:szCs w:val="22"/>
          <w:lang w:val="lt-LT"/>
        </w:rPr>
        <w:t xml:space="preserve"> sprendimus.</w:t>
      </w:r>
    </w:p>
    <w:p w14:paraId="48162929" w14:textId="77777777" w:rsidR="001C4035" w:rsidRPr="00650EE4" w:rsidRDefault="001C4035" w:rsidP="00BD4925">
      <w:pPr>
        <w:pStyle w:val="ListParagraph"/>
        <w:numPr>
          <w:ilvl w:val="0"/>
          <w:numId w:val="55"/>
        </w:numPr>
        <w:spacing w:after="120" w:line="240" w:lineRule="auto"/>
        <w:ind w:left="714" w:hanging="357"/>
        <w:contextualSpacing w:val="0"/>
        <w:jc w:val="both"/>
        <w:rPr>
          <w:rFonts w:ascii="Times New Roman" w:hAnsi="Times New Roman"/>
          <w:szCs w:val="22"/>
          <w:lang w:val="lt-LT"/>
        </w:rPr>
      </w:pPr>
      <w:r w:rsidRPr="00650EE4">
        <w:rPr>
          <w:rFonts w:ascii="Times New Roman" w:hAnsi="Times New Roman"/>
          <w:szCs w:val="22"/>
          <w:lang w:val="lt-LT"/>
        </w:rPr>
        <w:t>Įkurta Mokslinių tyrimų ir technologijų organizacijų asociacija, kurios tikslas plėsti aukštos pridėtinės vertės pramonės sektorių, sutelkiant stipriausių Lietuvos mokslo tyrimų centrų – Fizinių ir technologijos mokslų centras, Lietuvos energetikos institutas, Lietuvos agrarinių ir miškų mokslų centras bei Fizikos instituto Mokslo ir technologijų parkas – potencialą.</w:t>
      </w:r>
    </w:p>
    <w:p w14:paraId="0344992D" w14:textId="77777777" w:rsidR="00A358AE" w:rsidRPr="00650EE4" w:rsidRDefault="00A358AE" w:rsidP="0096171B">
      <w:pPr>
        <w:pStyle w:val="ListParagraph"/>
        <w:spacing w:line="240" w:lineRule="auto"/>
        <w:ind w:left="714"/>
        <w:contextualSpacing w:val="0"/>
        <w:jc w:val="both"/>
        <w:rPr>
          <w:rFonts w:ascii="Times New Roman" w:hAnsi="Times New Roman"/>
          <w:szCs w:val="22"/>
          <w:lang w:val="lt-LT"/>
        </w:rPr>
      </w:pPr>
    </w:p>
    <w:p w14:paraId="4D0BA07D" w14:textId="77777777" w:rsidR="001C4035" w:rsidRPr="00650EE4" w:rsidRDefault="001C4035" w:rsidP="008772A0">
      <w:pPr>
        <w:spacing w:after="240"/>
        <w:jc w:val="both"/>
        <w:rPr>
          <w:rFonts w:ascii="Times New Roman" w:hAnsi="Times New Roman"/>
          <w:b/>
          <w:bCs/>
          <w:sz w:val="24"/>
          <w:szCs w:val="24"/>
        </w:rPr>
      </w:pPr>
      <w:r w:rsidRPr="00650EE4">
        <w:rPr>
          <w:rFonts w:ascii="Times New Roman" w:hAnsi="Times New Roman"/>
          <w:b/>
          <w:bCs/>
          <w:sz w:val="24"/>
          <w:szCs w:val="24"/>
        </w:rPr>
        <w:t>Išmaniųjų technologijų diegimas pastatuose</w:t>
      </w:r>
    </w:p>
    <w:p w14:paraId="5218B1A7" w14:textId="275F01B4"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Šilumos ūkio sektorius</w:t>
      </w:r>
      <w:r w:rsidR="006519FD" w:rsidRPr="00650EE4">
        <w:rPr>
          <w:rFonts w:ascii="Times New Roman" w:hAnsi="Times New Roman"/>
          <w:szCs w:val="22"/>
        </w:rPr>
        <w:t>:</w:t>
      </w:r>
    </w:p>
    <w:p w14:paraId="18643022" w14:textId="2F2A35EA" w:rsidR="001C4035" w:rsidRPr="00650EE4" w:rsidRDefault="001C4035" w:rsidP="00BD4925">
      <w:pPr>
        <w:pStyle w:val="ListParagraph"/>
        <w:numPr>
          <w:ilvl w:val="0"/>
          <w:numId w:val="38"/>
        </w:numPr>
        <w:spacing w:after="240"/>
        <w:jc w:val="both"/>
        <w:rPr>
          <w:rFonts w:ascii="Times New Roman" w:hAnsi="Times New Roman"/>
          <w:szCs w:val="22"/>
          <w:lang w:val="lt-LT"/>
        </w:rPr>
      </w:pPr>
      <w:r w:rsidRPr="00650EE4">
        <w:rPr>
          <w:rFonts w:ascii="Times New Roman" w:hAnsi="Times New Roman"/>
          <w:szCs w:val="22"/>
          <w:lang w:val="lt-LT"/>
        </w:rPr>
        <w:t xml:space="preserve">Lietuvos šilumos tiekėjų asociacijos duomenimis, 14 proc. CŠT vartotojų daugiabučiuose turi galimybę patys reguliuoti </w:t>
      </w:r>
      <w:r w:rsidR="00D44221" w:rsidRPr="00650EE4">
        <w:rPr>
          <w:rFonts w:ascii="Times New Roman" w:hAnsi="Times New Roman"/>
          <w:szCs w:val="22"/>
          <w:lang w:val="lt-LT"/>
        </w:rPr>
        <w:t>patalpų temperatūrą</w:t>
      </w:r>
      <w:r w:rsidRPr="00650EE4">
        <w:rPr>
          <w:rFonts w:ascii="Times New Roman" w:hAnsi="Times New Roman"/>
          <w:szCs w:val="22"/>
          <w:lang w:val="lt-LT"/>
        </w:rPr>
        <w:t xml:space="preserve"> savo bute. Kasmet tokių daugiabučių su įrengtais individualiais šilumos skaitikliais butuose arba sumontuotais šilumos paskirstymo prietaisais (dalikliais) ant radiatorių daugėja: 2014 m. iš viso tokių namų buvo 1243, 2016 m. – jau 1979, 2017 m. – 2312, o 2018 m. – 2586. 2018 m. visuose pastatų įvadiniuose šilumos punktuose sumontuoti 29 343 apskaitos prietaisai, iš kurių beveik 55 proc. yra su nuotoline duomenų nuskaitymo sistema, o didžiuosiuose miestuose, pavyzdžiui, Kaune net 97 proc., Vilniuje – 89 proc., apskaitos prietaisų duomenys nuskaitomi nuotoliniu būdu</w:t>
      </w:r>
      <w:r w:rsidRPr="00650EE4">
        <w:rPr>
          <w:rStyle w:val="FootnoteReference"/>
          <w:rFonts w:ascii="Times New Roman" w:hAnsi="Times New Roman"/>
          <w:szCs w:val="22"/>
          <w:lang w:val="lt-LT"/>
        </w:rPr>
        <w:footnoteReference w:id="34"/>
      </w:r>
      <w:r w:rsidR="000068D2" w:rsidRPr="00650EE4">
        <w:rPr>
          <w:rFonts w:ascii="Times New Roman" w:hAnsi="Times New Roman"/>
          <w:szCs w:val="22"/>
          <w:lang w:val="lt-LT"/>
        </w:rPr>
        <w:t>.</w:t>
      </w:r>
    </w:p>
    <w:p w14:paraId="5697415F" w14:textId="1828F997" w:rsidR="001C4035" w:rsidRPr="00650EE4" w:rsidRDefault="001C4035" w:rsidP="002F3428">
      <w:pPr>
        <w:spacing w:after="120"/>
        <w:jc w:val="both"/>
        <w:rPr>
          <w:rFonts w:ascii="Times New Roman" w:hAnsi="Times New Roman"/>
          <w:szCs w:val="22"/>
        </w:rPr>
      </w:pPr>
      <w:r w:rsidRPr="00650EE4">
        <w:rPr>
          <w:rFonts w:ascii="Times New Roman" w:hAnsi="Times New Roman"/>
          <w:szCs w:val="22"/>
        </w:rPr>
        <w:t>Elektros energijos ir gamtinių dujų sektorius</w:t>
      </w:r>
      <w:r w:rsidR="006519FD" w:rsidRPr="00650EE4">
        <w:rPr>
          <w:rFonts w:ascii="Times New Roman" w:hAnsi="Times New Roman"/>
          <w:szCs w:val="22"/>
        </w:rPr>
        <w:t>:</w:t>
      </w:r>
    </w:p>
    <w:p w14:paraId="03B3BC1F" w14:textId="5A410743" w:rsidR="001C4035" w:rsidRPr="00650EE4" w:rsidRDefault="001C4035" w:rsidP="00BD4925">
      <w:pPr>
        <w:pStyle w:val="ListParagraph"/>
        <w:numPr>
          <w:ilvl w:val="0"/>
          <w:numId w:val="38"/>
        </w:numPr>
        <w:spacing w:after="240"/>
        <w:jc w:val="both"/>
        <w:rPr>
          <w:rFonts w:ascii="Times New Roman" w:hAnsi="Times New Roman"/>
          <w:szCs w:val="22"/>
          <w:lang w:val="lt-LT"/>
        </w:rPr>
      </w:pPr>
      <w:r w:rsidRPr="00650EE4">
        <w:rPr>
          <w:rFonts w:ascii="Times New Roman" w:hAnsi="Times New Roman"/>
          <w:szCs w:val="22"/>
          <w:lang w:val="lt-LT"/>
        </w:rPr>
        <w:t xml:space="preserve">Išmaniųjų skaitiklių diegimas. ESO planuoja savo klientams, suvartojantiems apie 90% paskirstomo elektros energijos kiekio, įdiegti išmaniuosius elektros skaitiklius iki 2023 m. pabaigos. Išmanieji skaitikliai bus diegiami etapais, pradedant nuo daugiausiai elektros energijos suvartojančių klientų vėliau </w:t>
      </w:r>
      <w:r w:rsidRPr="00650EE4">
        <w:rPr>
          <w:rFonts w:ascii="Times New Roman" w:hAnsi="Times New Roman"/>
          <w:szCs w:val="22"/>
          <w:lang w:val="lt-LT"/>
        </w:rPr>
        <w:lastRenderedPageBreak/>
        <w:t xml:space="preserve">išmaniuosius skaitiklius diegiant ir kitiems vartotojams. Remiantis atlikta kaštų naudos analize gamtinių dujų vartotojams išmanieji skaitikliai kol kas diegiami nebus.   Plačiau apie ESO vykdomą išmaniųjų skaitiklių projektą galima rasti </w:t>
      </w:r>
      <w:r w:rsidR="00470BF7" w:rsidRPr="00650EE4">
        <w:rPr>
          <w:rFonts w:ascii="Times New Roman" w:hAnsi="Times New Roman"/>
          <w:szCs w:val="22"/>
          <w:lang w:val="lt-LT"/>
        </w:rPr>
        <w:t xml:space="preserve">adresu: </w:t>
      </w:r>
      <w:hyperlink r:id="rId52" w:history="1">
        <w:r w:rsidR="007B0BAC" w:rsidRPr="00650EE4">
          <w:rPr>
            <w:rStyle w:val="Hyperlink"/>
            <w:rFonts w:ascii="Times New Roman" w:hAnsi="Times New Roman"/>
            <w:szCs w:val="22"/>
            <w:lang w:val="lt-LT"/>
          </w:rPr>
          <w:t>https://ismaniejiskaitikliai.lt/</w:t>
        </w:r>
      </w:hyperlink>
    </w:p>
    <w:p w14:paraId="6EA38F63" w14:textId="7105DFA9" w:rsidR="00556D88" w:rsidRPr="00650EE4" w:rsidRDefault="00556D88" w:rsidP="00220E8D">
      <w:pPr>
        <w:spacing w:after="120"/>
        <w:jc w:val="both"/>
        <w:rPr>
          <w:rFonts w:ascii="Times New Roman" w:hAnsi="Times New Roman"/>
          <w:szCs w:val="22"/>
        </w:rPr>
      </w:pPr>
      <w:r w:rsidRPr="00650EE4">
        <w:rPr>
          <w:rFonts w:ascii="Times New Roman" w:hAnsi="Times New Roman"/>
          <w:szCs w:val="22"/>
        </w:rPr>
        <w:t xml:space="preserve">Investicijos į fizinę infrastruktūrą turėtų būti tinkamai papildytos investicijomis į žmogiškąjį kapitalą ir MTEP bazę. Pavyzdžiui, </w:t>
      </w:r>
      <w:r w:rsidR="003A3478" w:rsidRPr="00650EE4">
        <w:rPr>
          <w:rFonts w:ascii="Times New Roman" w:hAnsi="Times New Roman"/>
          <w:szCs w:val="22"/>
        </w:rPr>
        <w:t>EBPO</w:t>
      </w:r>
      <w:r w:rsidRPr="00650EE4">
        <w:rPr>
          <w:rFonts w:ascii="Times New Roman" w:hAnsi="Times New Roman"/>
          <w:szCs w:val="22"/>
        </w:rPr>
        <w:t xml:space="preserve"> studijoje atskleista, kad valstybės ar regiono augimą paskatinti galima tik taikant kompleksinį požiūrį, t. y. viešosios intervencijos nukreipimas vien į fizinę infrastruktūrą nebus sėkmingas, jeigu kartu nebus skatinami tokie endogeninio augimo veiksniai kaip žmogiškasis kapitalas ir inovacijos.</w:t>
      </w:r>
    </w:p>
    <w:p w14:paraId="32053C0D" w14:textId="77777777" w:rsidR="00EB34D6" w:rsidRPr="00650EE4" w:rsidRDefault="00EB34D6">
      <w:pPr>
        <w:spacing w:after="240"/>
        <w:rPr>
          <w:rFonts w:ascii="Times New Roman" w:hAnsi="Times New Roman"/>
          <w:szCs w:val="22"/>
        </w:rPr>
      </w:pPr>
      <w:bookmarkStart w:id="143" w:name="_Ref50562808"/>
      <w:bookmarkStart w:id="144" w:name="_Ref50562822"/>
      <w:bookmarkStart w:id="145" w:name="OLE_LINK2"/>
      <w:bookmarkStart w:id="146" w:name="Barjerai_trikdziai"/>
    </w:p>
    <w:p w14:paraId="0DDD90FF" w14:textId="77777777" w:rsidR="00EB34D6" w:rsidRPr="00650EE4" w:rsidRDefault="00EB34D6" w:rsidP="00EB34D6">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47" w:name="_Toc59107550"/>
      <w:r w:rsidRPr="00650EE4">
        <w:rPr>
          <w:rFonts w:ascii="Times New Roman" w:hAnsi="Times New Roman"/>
          <w:color w:val="auto"/>
          <w:sz w:val="24"/>
          <w:szCs w:val="24"/>
          <w:lang w:val="lt-LT"/>
        </w:rPr>
        <w:t>Esminiai skyriaus pastebėjimai</w:t>
      </w:r>
      <w:bookmarkEnd w:id="147"/>
    </w:p>
    <w:tbl>
      <w:tblPr>
        <w:tblW w:w="10161" w:type="dxa"/>
        <w:tblBorders>
          <w:left w:val="single" w:sz="36" w:space="0" w:color="EA0D2C"/>
        </w:tblBorders>
        <w:tblLayout w:type="fixed"/>
        <w:tblLook w:val="00A0" w:firstRow="1" w:lastRow="0" w:firstColumn="1" w:lastColumn="0" w:noHBand="0" w:noVBand="0"/>
      </w:tblPr>
      <w:tblGrid>
        <w:gridCol w:w="10161"/>
      </w:tblGrid>
      <w:tr w:rsidR="00EB34D6" w:rsidRPr="00650EE4" w14:paraId="572AD411" w14:textId="77777777" w:rsidTr="00581E8F">
        <w:tc>
          <w:tcPr>
            <w:tcW w:w="10161" w:type="dxa"/>
            <w:tcBorders>
              <w:left w:val="single" w:sz="36" w:space="0" w:color="002060"/>
            </w:tcBorders>
            <w:shd w:val="clear" w:color="auto" w:fill="F0F0F0"/>
          </w:tcPr>
          <w:p w14:paraId="08104B0D" w14:textId="3B393CEA" w:rsidR="00EB34D6" w:rsidRPr="00650EE4" w:rsidRDefault="00EB34D6"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 xml:space="preserve">Šiuo metu vykdomos </w:t>
            </w:r>
            <w:r w:rsidR="00EC5373" w:rsidRPr="00650EE4">
              <w:rPr>
                <w:rFonts w:ascii="Times New Roman" w:hAnsi="Times New Roman"/>
                <w:szCs w:val="22"/>
                <w:lang w:val="lt-LT"/>
              </w:rPr>
              <w:t xml:space="preserve">pagrindinės </w:t>
            </w:r>
            <w:r w:rsidRPr="00650EE4">
              <w:rPr>
                <w:rFonts w:ascii="Times New Roman" w:hAnsi="Times New Roman"/>
                <w:szCs w:val="22"/>
                <w:lang w:val="lt-LT"/>
              </w:rPr>
              <w:t xml:space="preserve">politinės priemonės, orientuotos į esminę pastatų renovaciją nukreiptos į </w:t>
            </w:r>
            <w:r w:rsidR="00EC5373" w:rsidRPr="00650EE4">
              <w:rPr>
                <w:rFonts w:ascii="Times New Roman" w:hAnsi="Times New Roman"/>
                <w:szCs w:val="22"/>
                <w:lang w:val="lt-LT"/>
              </w:rPr>
              <w:t xml:space="preserve">kelis </w:t>
            </w:r>
            <w:r w:rsidRPr="00650EE4">
              <w:rPr>
                <w:rFonts w:ascii="Times New Roman" w:hAnsi="Times New Roman"/>
                <w:szCs w:val="22"/>
                <w:lang w:val="lt-LT"/>
              </w:rPr>
              <w:t>konkrečius pastatų sektoriaus segmentus (daugiabučius ir viešuosius pastatus), atskirai teikiant prioritetą prasčiausio energinio naudingumo pastatams.</w:t>
            </w:r>
          </w:p>
          <w:p w14:paraId="6C4611EE" w14:textId="2D45DFC5" w:rsidR="00EB34D6" w:rsidRPr="00650EE4" w:rsidRDefault="00EB34D6" w:rsidP="00BD4925">
            <w:pPr>
              <w:pStyle w:val="ListParagraph"/>
              <w:numPr>
                <w:ilvl w:val="0"/>
                <w:numId w:val="27"/>
              </w:numPr>
              <w:spacing w:before="120" w:after="120" w:line="240" w:lineRule="auto"/>
              <w:ind w:left="556" w:hanging="425"/>
              <w:contextualSpacing w:val="0"/>
              <w:jc w:val="both"/>
              <w:rPr>
                <w:rFonts w:ascii="Times New Roman" w:hAnsi="Times New Roman"/>
                <w:szCs w:val="22"/>
                <w:lang w:val="lt-LT"/>
              </w:rPr>
            </w:pPr>
            <w:r w:rsidRPr="00650EE4">
              <w:rPr>
                <w:rFonts w:ascii="Times New Roman" w:hAnsi="Times New Roman"/>
                <w:szCs w:val="22"/>
                <w:lang w:val="lt-LT"/>
              </w:rPr>
              <w:t>Priemonės, susijusios su kitais rinkos nepakankamumo atvejais taikomos esamų priemonių kontekste, pvz., informuojant apie renovacijos naudą, renkant duomenis apie pastatų fondą ir pan.</w:t>
            </w:r>
          </w:p>
        </w:tc>
      </w:tr>
    </w:tbl>
    <w:p w14:paraId="21166CB7" w14:textId="77777777" w:rsidR="00EB34D6" w:rsidRPr="00650EE4" w:rsidRDefault="00EB34D6" w:rsidP="00EB34D6">
      <w:pPr>
        <w:spacing w:after="240"/>
        <w:rPr>
          <w:rFonts w:ascii="Times New Roman" w:eastAsia="Times New Roman" w:hAnsi="Times New Roman"/>
          <w:b/>
          <w:bCs/>
          <w:caps/>
          <w:color w:val="002060"/>
          <w:kern w:val="32"/>
          <w:sz w:val="28"/>
          <w:szCs w:val="28"/>
          <w:lang w:eastAsia="lt-LT"/>
        </w:rPr>
      </w:pPr>
      <w:r w:rsidRPr="00650EE4">
        <w:rPr>
          <w:rFonts w:ascii="Times New Roman" w:hAnsi="Times New Roman"/>
          <w:color w:val="002060"/>
          <w:szCs w:val="28"/>
        </w:rPr>
        <w:br w:type="page"/>
      </w:r>
    </w:p>
    <w:p w14:paraId="3A90A83B" w14:textId="1F4C8DBD" w:rsidR="00813CF9" w:rsidRPr="00650EE4" w:rsidRDefault="00F84AAE" w:rsidP="00F84AAE">
      <w:pPr>
        <w:pStyle w:val="Nenumeruojamosantrastes"/>
        <w:pageBreakBefore w:val="0"/>
        <w:numPr>
          <w:ilvl w:val="0"/>
          <w:numId w:val="4"/>
        </w:numPr>
        <w:pBdr>
          <w:bottom w:val="single" w:sz="4" w:space="1" w:color="auto"/>
        </w:pBdr>
        <w:spacing w:before="0"/>
        <w:ind w:left="357" w:hanging="357"/>
        <w:jc w:val="both"/>
        <w:outlineLvl w:val="0"/>
        <w:rPr>
          <w:rFonts w:ascii="Times New Roman" w:hAnsi="Times New Roman"/>
          <w:color w:val="002060"/>
          <w:sz w:val="24"/>
          <w:szCs w:val="24"/>
        </w:rPr>
      </w:pPr>
      <w:bookmarkStart w:id="148" w:name="_Toc59107551"/>
      <w:bookmarkEnd w:id="143"/>
      <w:bookmarkEnd w:id="144"/>
      <w:r w:rsidRPr="00650EE4">
        <w:rPr>
          <w:rFonts w:ascii="Times New Roman" w:hAnsi="Times New Roman"/>
          <w:color w:val="002060"/>
          <w:sz w:val="24"/>
          <w:szCs w:val="24"/>
        </w:rPr>
        <w:lastRenderedPageBreak/>
        <w:t>RENOVACIJOS BARJERAI</w:t>
      </w:r>
      <w:bookmarkEnd w:id="148"/>
    </w:p>
    <w:bookmarkEnd w:id="145"/>
    <w:bookmarkEnd w:id="146"/>
    <w:p w14:paraId="06529131" w14:textId="363DED87" w:rsidR="00FD64A9" w:rsidRPr="00650EE4" w:rsidRDefault="008C0FBC" w:rsidP="001F5F3C">
      <w:pPr>
        <w:spacing w:after="120"/>
        <w:jc w:val="both"/>
        <w:rPr>
          <w:rFonts w:ascii="Times New Roman" w:hAnsi="Times New Roman"/>
          <w:bCs/>
          <w:szCs w:val="22"/>
        </w:rPr>
      </w:pPr>
      <w:r w:rsidRPr="00650EE4">
        <w:rPr>
          <w:rFonts w:ascii="Times New Roman" w:hAnsi="Times New Roman"/>
          <w:bCs/>
          <w:szCs w:val="22"/>
        </w:rPr>
        <w:t>Renovacijos barjerai</w:t>
      </w:r>
      <w:r w:rsidR="001E13DD">
        <w:rPr>
          <w:rFonts w:ascii="Times New Roman" w:hAnsi="Times New Roman"/>
          <w:bCs/>
          <w:szCs w:val="22"/>
        </w:rPr>
        <w:t xml:space="preserve"> IRS kontekste</w:t>
      </w:r>
      <w:r w:rsidR="009F63EC" w:rsidRPr="00650EE4">
        <w:rPr>
          <w:rFonts w:ascii="Times New Roman" w:hAnsi="Times New Roman"/>
          <w:bCs/>
          <w:szCs w:val="22"/>
        </w:rPr>
        <w:t xml:space="preserve"> suprantami kaip </w:t>
      </w:r>
      <w:r w:rsidR="0078279F" w:rsidRPr="00650EE4">
        <w:rPr>
          <w:rFonts w:ascii="Times New Roman" w:hAnsi="Times New Roman"/>
          <w:bCs/>
          <w:szCs w:val="22"/>
        </w:rPr>
        <w:t>šiuo metu egzistuojančios renovacijos įgyvendin</w:t>
      </w:r>
      <w:r w:rsidR="009F63EC" w:rsidRPr="00650EE4">
        <w:rPr>
          <w:rFonts w:ascii="Times New Roman" w:hAnsi="Times New Roman"/>
          <w:bCs/>
          <w:szCs w:val="22"/>
        </w:rPr>
        <w:t>imo kliūtys (esami barjerai) ir</w:t>
      </w:r>
      <w:r w:rsidR="0078279F" w:rsidRPr="00650EE4">
        <w:rPr>
          <w:rFonts w:ascii="Times New Roman" w:hAnsi="Times New Roman"/>
          <w:bCs/>
          <w:szCs w:val="22"/>
        </w:rPr>
        <w:t xml:space="preserve"> potencialios rizikos, galinčios pasireikšti dėl </w:t>
      </w:r>
      <w:r w:rsidR="00D312D7" w:rsidRPr="00650EE4">
        <w:rPr>
          <w:rFonts w:ascii="Times New Roman" w:hAnsi="Times New Roman"/>
          <w:bCs/>
          <w:szCs w:val="22"/>
        </w:rPr>
        <w:t xml:space="preserve">reikšmingai </w:t>
      </w:r>
      <w:r w:rsidR="00485A19" w:rsidRPr="00650EE4">
        <w:rPr>
          <w:rFonts w:ascii="Times New Roman" w:hAnsi="Times New Roman"/>
          <w:bCs/>
          <w:szCs w:val="22"/>
        </w:rPr>
        <w:t>i</w:t>
      </w:r>
      <w:r w:rsidR="0078279F" w:rsidRPr="00650EE4">
        <w:rPr>
          <w:rFonts w:ascii="Times New Roman" w:hAnsi="Times New Roman"/>
          <w:bCs/>
          <w:szCs w:val="22"/>
        </w:rPr>
        <w:t xml:space="preserve">šaugusių renovacijos apimčių ar </w:t>
      </w:r>
      <w:r w:rsidR="00AB030B" w:rsidRPr="00650EE4">
        <w:rPr>
          <w:rFonts w:ascii="Times New Roman" w:hAnsi="Times New Roman"/>
          <w:bCs/>
          <w:szCs w:val="22"/>
        </w:rPr>
        <w:t xml:space="preserve">naujai </w:t>
      </w:r>
      <w:r w:rsidR="0078279F" w:rsidRPr="00650EE4">
        <w:rPr>
          <w:rFonts w:ascii="Times New Roman" w:hAnsi="Times New Roman"/>
          <w:bCs/>
          <w:szCs w:val="22"/>
        </w:rPr>
        <w:t>planuojamų įgyvendinti renovacijos priemonių</w:t>
      </w:r>
      <w:r w:rsidR="009F63EC" w:rsidRPr="00650EE4">
        <w:rPr>
          <w:rFonts w:ascii="Times New Roman" w:hAnsi="Times New Roman"/>
          <w:bCs/>
          <w:szCs w:val="22"/>
        </w:rPr>
        <w:t xml:space="preserve"> (tikėtini barjerai)</w:t>
      </w:r>
      <w:r w:rsidR="0078279F" w:rsidRPr="00650EE4">
        <w:rPr>
          <w:rFonts w:ascii="Times New Roman" w:hAnsi="Times New Roman"/>
          <w:bCs/>
          <w:szCs w:val="22"/>
        </w:rPr>
        <w:t>.</w:t>
      </w:r>
      <w:r w:rsidR="00FD64A9" w:rsidRPr="00650EE4">
        <w:rPr>
          <w:rFonts w:ascii="Times New Roman" w:hAnsi="Times New Roman"/>
          <w:bCs/>
          <w:szCs w:val="22"/>
        </w:rPr>
        <w:t xml:space="preserve"> </w:t>
      </w:r>
    </w:p>
    <w:p w14:paraId="3CF34375" w14:textId="383AB82E" w:rsidR="009F63EC" w:rsidRPr="00650EE4" w:rsidRDefault="008C0FBC" w:rsidP="00D312D7">
      <w:pPr>
        <w:spacing w:after="240"/>
        <w:jc w:val="both"/>
        <w:rPr>
          <w:rFonts w:ascii="Times New Roman" w:hAnsi="Times New Roman"/>
          <w:bCs/>
          <w:szCs w:val="22"/>
        </w:rPr>
      </w:pPr>
      <w:r w:rsidRPr="00650EE4">
        <w:rPr>
          <w:rFonts w:ascii="Times New Roman" w:hAnsi="Times New Roman"/>
          <w:bCs/>
          <w:szCs w:val="22"/>
        </w:rPr>
        <w:t>Renovacijos b</w:t>
      </w:r>
      <w:r w:rsidR="009F63EC" w:rsidRPr="00650EE4">
        <w:rPr>
          <w:rFonts w:ascii="Times New Roman" w:hAnsi="Times New Roman"/>
          <w:bCs/>
          <w:szCs w:val="22"/>
        </w:rPr>
        <w:t>arjer</w:t>
      </w:r>
      <w:r w:rsidR="001909FC" w:rsidRPr="00650EE4">
        <w:rPr>
          <w:rFonts w:ascii="Times New Roman" w:hAnsi="Times New Roman"/>
          <w:bCs/>
          <w:szCs w:val="22"/>
        </w:rPr>
        <w:t xml:space="preserve">ų </w:t>
      </w:r>
      <w:r w:rsidR="00A60EC8" w:rsidRPr="00650EE4">
        <w:rPr>
          <w:rFonts w:ascii="Times New Roman" w:hAnsi="Times New Roman"/>
          <w:bCs/>
          <w:szCs w:val="22"/>
        </w:rPr>
        <w:t xml:space="preserve">identifikavimas atliktas remiantis žemiau nurodytais, esminiais </w:t>
      </w:r>
      <w:r w:rsidR="001909FC" w:rsidRPr="00650EE4">
        <w:rPr>
          <w:rFonts w:ascii="Times New Roman" w:hAnsi="Times New Roman"/>
          <w:bCs/>
          <w:szCs w:val="22"/>
        </w:rPr>
        <w:t xml:space="preserve"> </w:t>
      </w:r>
      <w:r w:rsidR="001F5F3C" w:rsidRPr="00650EE4">
        <w:rPr>
          <w:rFonts w:ascii="Times New Roman" w:hAnsi="Times New Roman"/>
          <w:bCs/>
          <w:szCs w:val="22"/>
        </w:rPr>
        <w:t xml:space="preserve">efektyvios </w:t>
      </w:r>
      <w:r w:rsidR="00A60EC8" w:rsidRPr="00650EE4">
        <w:rPr>
          <w:rFonts w:ascii="Times New Roman" w:hAnsi="Times New Roman"/>
          <w:bCs/>
          <w:szCs w:val="22"/>
        </w:rPr>
        <w:t>renovacijos komponentais:</w:t>
      </w:r>
    </w:p>
    <w:p w14:paraId="4699BFAB" w14:textId="0067C108" w:rsidR="0081145E" w:rsidRPr="00650EE4" w:rsidRDefault="0081145E"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Integruotas planavimas</w:t>
      </w:r>
      <w:r w:rsidRPr="00650EE4">
        <w:rPr>
          <w:rFonts w:ascii="Times New Roman" w:hAnsi="Times New Roman"/>
          <w:color w:val="000000" w:themeColor="text1"/>
          <w:szCs w:val="22"/>
          <w:lang w:val="lt-LT"/>
        </w:rPr>
        <w:t>: IRS nustatyti tikslai ir siektini rodikliai turi būti tinkamai integruoti tiek į nacionalinio lygmens strateginius dokumentus (</w:t>
      </w:r>
      <w:r w:rsidR="004E75C3" w:rsidRPr="00650EE4">
        <w:rPr>
          <w:rFonts w:ascii="Times New Roman" w:hAnsi="Times New Roman"/>
          <w:color w:val="000000" w:themeColor="text1"/>
          <w:szCs w:val="22"/>
          <w:lang w:val="lt-LT"/>
        </w:rPr>
        <w:t xml:space="preserve">vertikali </w:t>
      </w:r>
      <w:r w:rsidRPr="00650EE4">
        <w:rPr>
          <w:rFonts w:ascii="Times New Roman" w:hAnsi="Times New Roman"/>
          <w:color w:val="000000" w:themeColor="text1"/>
          <w:szCs w:val="22"/>
          <w:lang w:val="lt-LT"/>
        </w:rPr>
        <w:t xml:space="preserve">integracija aukštyn) tiek į institucijų atsakingų už IRS įgyvendinimą </w:t>
      </w:r>
      <w:r w:rsidR="004E75C3" w:rsidRPr="00650EE4">
        <w:rPr>
          <w:rFonts w:ascii="Times New Roman" w:hAnsi="Times New Roman"/>
          <w:color w:val="000000" w:themeColor="text1"/>
          <w:szCs w:val="22"/>
          <w:lang w:val="lt-LT"/>
        </w:rPr>
        <w:t>(</w:t>
      </w:r>
      <w:r w:rsidR="00E631F2" w:rsidRPr="00650EE4">
        <w:rPr>
          <w:rFonts w:ascii="Times New Roman" w:hAnsi="Times New Roman"/>
          <w:color w:val="000000" w:themeColor="text1"/>
          <w:szCs w:val="22"/>
          <w:lang w:val="lt-LT"/>
        </w:rPr>
        <w:t>vertikali integracija žemyn) ir</w:t>
      </w:r>
      <w:r w:rsidR="004E75C3" w:rsidRPr="00650EE4">
        <w:rPr>
          <w:rFonts w:ascii="Times New Roman" w:hAnsi="Times New Roman"/>
          <w:color w:val="000000" w:themeColor="text1"/>
          <w:szCs w:val="22"/>
          <w:lang w:val="lt-LT"/>
        </w:rPr>
        <w:t xml:space="preserve"> susijusių sektorių (horiz</w:t>
      </w:r>
      <w:r w:rsidR="00E631F2" w:rsidRPr="00650EE4">
        <w:rPr>
          <w:rFonts w:ascii="Times New Roman" w:hAnsi="Times New Roman"/>
          <w:color w:val="000000" w:themeColor="text1"/>
          <w:szCs w:val="22"/>
          <w:lang w:val="lt-LT"/>
        </w:rPr>
        <w:t>ontali integracija)</w:t>
      </w:r>
      <w:r w:rsidR="004E75C3" w:rsidRPr="00650EE4">
        <w:rPr>
          <w:rFonts w:ascii="Times New Roman" w:hAnsi="Times New Roman"/>
          <w:color w:val="000000" w:themeColor="text1"/>
          <w:szCs w:val="22"/>
          <w:lang w:val="lt-LT"/>
        </w:rPr>
        <w:t xml:space="preserve"> </w:t>
      </w:r>
      <w:r w:rsidR="00E631F2" w:rsidRPr="00650EE4">
        <w:rPr>
          <w:rFonts w:ascii="Times New Roman" w:hAnsi="Times New Roman"/>
          <w:color w:val="000000" w:themeColor="text1"/>
          <w:szCs w:val="22"/>
          <w:lang w:val="lt-LT"/>
        </w:rPr>
        <w:t xml:space="preserve">strateginius ir operatyvinius dokumentus. </w:t>
      </w:r>
    </w:p>
    <w:p w14:paraId="0AB2AA4E" w14:textId="5182AA5E" w:rsidR="000941F6" w:rsidRPr="00650EE4" w:rsidRDefault="0081145E"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T</w:t>
      </w:r>
      <w:r w:rsidR="00EC1530" w:rsidRPr="00650EE4">
        <w:rPr>
          <w:rFonts w:ascii="Times New Roman" w:hAnsi="Times New Roman"/>
          <w:b/>
          <w:color w:val="000000" w:themeColor="text1"/>
          <w:szCs w:val="22"/>
          <w:lang w:val="lt-LT"/>
        </w:rPr>
        <w:t>inkamas paramos</w:t>
      </w:r>
      <w:r w:rsidRPr="00650EE4">
        <w:rPr>
          <w:rFonts w:ascii="Times New Roman" w:hAnsi="Times New Roman"/>
          <w:b/>
          <w:color w:val="000000" w:themeColor="text1"/>
          <w:szCs w:val="22"/>
          <w:lang w:val="lt-LT"/>
        </w:rPr>
        <w:t xml:space="preserve"> priemonių paketas</w:t>
      </w:r>
      <w:r w:rsidRPr="00650EE4">
        <w:rPr>
          <w:rFonts w:ascii="Times New Roman" w:hAnsi="Times New Roman"/>
          <w:color w:val="000000" w:themeColor="text1"/>
          <w:szCs w:val="22"/>
          <w:lang w:val="lt-LT"/>
        </w:rPr>
        <w:t xml:space="preserve">: </w:t>
      </w:r>
      <w:r w:rsidR="00A573FA" w:rsidRPr="00650EE4">
        <w:rPr>
          <w:rFonts w:ascii="Times New Roman" w:hAnsi="Times New Roman"/>
          <w:color w:val="000000" w:themeColor="text1"/>
          <w:szCs w:val="22"/>
          <w:lang w:val="lt-LT"/>
        </w:rPr>
        <w:t>IRS tikslus atitinkantis ir</w:t>
      </w:r>
      <w:r w:rsidRPr="00650EE4">
        <w:rPr>
          <w:rFonts w:ascii="Times New Roman" w:hAnsi="Times New Roman"/>
          <w:color w:val="000000" w:themeColor="text1"/>
          <w:szCs w:val="22"/>
          <w:lang w:val="lt-LT"/>
        </w:rPr>
        <w:t xml:space="preserve"> į vartotoją orientuotas</w:t>
      </w:r>
      <w:r w:rsidR="00A573FA" w:rsidRPr="00650EE4">
        <w:rPr>
          <w:rFonts w:ascii="Times New Roman" w:hAnsi="Times New Roman"/>
          <w:color w:val="000000" w:themeColor="text1"/>
          <w:szCs w:val="22"/>
          <w:lang w:val="lt-LT"/>
        </w:rPr>
        <w:t xml:space="preserve"> paramos</w:t>
      </w:r>
      <w:r w:rsidRPr="00650EE4">
        <w:rPr>
          <w:rFonts w:ascii="Times New Roman" w:hAnsi="Times New Roman"/>
          <w:color w:val="000000" w:themeColor="text1"/>
          <w:szCs w:val="22"/>
          <w:lang w:val="lt-LT"/>
        </w:rPr>
        <w:t xml:space="preserve"> priemonių paketas</w:t>
      </w:r>
      <w:r w:rsidR="00A573FA" w:rsidRPr="00650EE4">
        <w:rPr>
          <w:rFonts w:ascii="Times New Roman" w:hAnsi="Times New Roman"/>
          <w:color w:val="000000" w:themeColor="text1"/>
          <w:szCs w:val="22"/>
          <w:lang w:val="lt-LT"/>
        </w:rPr>
        <w:t>.</w:t>
      </w:r>
    </w:p>
    <w:p w14:paraId="3CBE7EB4" w14:textId="7459E34D" w:rsidR="000B0A36" w:rsidRPr="00650EE4" w:rsidRDefault="00D02252" w:rsidP="00BD4925">
      <w:pPr>
        <w:pStyle w:val="ListParagraph"/>
        <w:numPr>
          <w:ilvl w:val="0"/>
          <w:numId w:val="37"/>
        </w:numPr>
        <w:spacing w:after="12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P</w:t>
      </w:r>
      <w:r w:rsidR="0081145E" w:rsidRPr="00650EE4">
        <w:rPr>
          <w:rFonts w:ascii="Times New Roman" w:hAnsi="Times New Roman"/>
          <w:b/>
          <w:color w:val="000000" w:themeColor="text1"/>
          <w:szCs w:val="22"/>
          <w:lang w:val="lt-LT"/>
        </w:rPr>
        <w:t>akankamas</w:t>
      </w:r>
      <w:r w:rsidRPr="00650EE4">
        <w:rPr>
          <w:rFonts w:ascii="Times New Roman" w:hAnsi="Times New Roman"/>
          <w:b/>
          <w:color w:val="000000" w:themeColor="text1"/>
          <w:szCs w:val="22"/>
          <w:lang w:val="lt-LT"/>
        </w:rPr>
        <w:t xml:space="preserve"> finansavimas</w:t>
      </w:r>
      <w:r w:rsidR="000B0A36" w:rsidRPr="00650EE4">
        <w:rPr>
          <w:rFonts w:ascii="Times New Roman" w:hAnsi="Times New Roman"/>
          <w:color w:val="000000" w:themeColor="text1"/>
          <w:szCs w:val="22"/>
          <w:lang w:val="lt-LT"/>
        </w:rPr>
        <w:t>: Net ir tikint renovacijos nauda, reikalingos reikšmingos pradinės investicijos, todėl pastato savininkas nedalyvaus renovacijoje, jei neturės tam finansinių galimybių. Atitinkamai, turi egzistuoti patrauklūs finansavimo sprendimai visam reikalingam savininko finansiniam srautui per renovacijos laikotarpį.</w:t>
      </w:r>
    </w:p>
    <w:p w14:paraId="5B6FB7D8" w14:textId="19D2E098" w:rsidR="009F63EC" w:rsidRPr="00650EE4" w:rsidRDefault="007C691E" w:rsidP="00BD4925">
      <w:pPr>
        <w:pStyle w:val="ListParagraph"/>
        <w:numPr>
          <w:ilvl w:val="0"/>
          <w:numId w:val="37"/>
        </w:numPr>
        <w:spacing w:after="120" w:line="240" w:lineRule="auto"/>
        <w:contextualSpacing w:val="0"/>
        <w:jc w:val="both"/>
        <w:rPr>
          <w:rFonts w:ascii="Times New Roman" w:hAnsi="Times New Roman"/>
          <w:b/>
          <w:bCs/>
          <w:szCs w:val="22"/>
          <w:lang w:val="lt-LT"/>
        </w:rPr>
      </w:pPr>
      <w:r w:rsidRPr="00650EE4">
        <w:rPr>
          <w:rFonts w:ascii="Times New Roman" w:hAnsi="Times New Roman"/>
          <w:b/>
          <w:color w:val="000000" w:themeColor="text1"/>
          <w:szCs w:val="22"/>
          <w:lang w:val="lt-LT"/>
        </w:rPr>
        <w:t>Patikima įgyvendinimo sistema</w:t>
      </w:r>
      <w:r w:rsidR="000B0A36" w:rsidRPr="00650EE4">
        <w:rPr>
          <w:rFonts w:ascii="Times New Roman" w:hAnsi="Times New Roman"/>
          <w:color w:val="000000" w:themeColor="text1"/>
          <w:szCs w:val="22"/>
          <w:lang w:val="lt-LT"/>
        </w:rPr>
        <w:t xml:space="preserve">: Tikint renovacijos nauda ir turint patrauklias finansavimo galimybes pastato savininkas gali nedalyvauti renovacijoje, jei </w:t>
      </w:r>
      <w:r w:rsidRPr="00650EE4">
        <w:rPr>
          <w:rFonts w:ascii="Times New Roman" w:hAnsi="Times New Roman"/>
          <w:color w:val="000000" w:themeColor="text1"/>
          <w:szCs w:val="22"/>
          <w:lang w:val="lt-LT"/>
        </w:rPr>
        <w:t xml:space="preserve">netikės, kad naudos bus realizuotos t.y. </w:t>
      </w:r>
      <w:r w:rsidR="000B0A36" w:rsidRPr="00650EE4">
        <w:rPr>
          <w:rFonts w:ascii="Times New Roman" w:hAnsi="Times New Roman"/>
          <w:color w:val="000000" w:themeColor="text1"/>
          <w:szCs w:val="22"/>
          <w:lang w:val="lt-LT"/>
        </w:rPr>
        <w:t xml:space="preserve">matys barjerus planavimo ir (arba) įgyvendinimo etape, pvz., </w:t>
      </w:r>
    </w:p>
    <w:p w14:paraId="070515C3" w14:textId="59074D95" w:rsidR="00C775D6" w:rsidRPr="00650EE4" w:rsidRDefault="00AC3FE4" w:rsidP="00BD4925">
      <w:pPr>
        <w:pStyle w:val="ListParagraph"/>
        <w:numPr>
          <w:ilvl w:val="0"/>
          <w:numId w:val="37"/>
        </w:numPr>
        <w:spacing w:after="240" w:line="240" w:lineRule="auto"/>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Efektyvi komunikacija</w:t>
      </w:r>
      <w:r w:rsidR="00C775D6" w:rsidRPr="00650EE4">
        <w:rPr>
          <w:rFonts w:ascii="Times New Roman" w:hAnsi="Times New Roman"/>
          <w:color w:val="000000" w:themeColor="text1"/>
          <w:szCs w:val="22"/>
          <w:lang w:val="lt-LT"/>
        </w:rPr>
        <w:t xml:space="preserve">: tam, kad pastato savininkas dalyvautų renovacijoje, jis turi tikėti renovacijos </w:t>
      </w:r>
      <w:proofErr w:type="spellStart"/>
      <w:r w:rsidR="00C775D6" w:rsidRPr="00650EE4">
        <w:rPr>
          <w:rFonts w:ascii="Times New Roman" w:hAnsi="Times New Roman"/>
          <w:color w:val="000000" w:themeColor="text1"/>
          <w:szCs w:val="22"/>
          <w:lang w:val="lt-LT"/>
        </w:rPr>
        <w:t>naudomis</w:t>
      </w:r>
      <w:proofErr w:type="spellEnd"/>
      <w:r w:rsidR="00C775D6" w:rsidRPr="00650EE4">
        <w:rPr>
          <w:rFonts w:ascii="Times New Roman" w:hAnsi="Times New Roman"/>
          <w:color w:val="000000" w:themeColor="text1"/>
          <w:szCs w:val="22"/>
          <w:lang w:val="lt-LT"/>
        </w:rPr>
        <w:t xml:space="preserve"> t.y. žinoti apie renovacijos naudas, tikėti, kad jos yra didesnės nei savininko investicija. Savininko investicija yra finansinė, tuo tarpu renovacijos teikiamos naudos yra daugialypės (ne tik energijos sutaupymas ir sumažėjusios išlaidos, bet ir būsto vertės padidėjimas, geresnė socialinė aplinka, pagerėjusi sveikata, pastato saugumas ir pan.). Atitinkamai, tam, kad pastato savininkas tikėtų renovacijos nauda, jis turi būti informuotas apie visą renovacijos galimybių ir naudų spektrą. </w:t>
      </w:r>
    </w:p>
    <w:p w14:paraId="32993940" w14:textId="774E2E36" w:rsidR="0081145E" w:rsidRPr="00650EE4" w:rsidRDefault="006633DD" w:rsidP="004E75C3">
      <w:pPr>
        <w:spacing w:after="120"/>
        <w:jc w:val="both"/>
        <w:rPr>
          <w:rFonts w:ascii="Times New Roman" w:hAnsi="Times New Roman"/>
          <w:b/>
          <w:bCs/>
          <w:szCs w:val="22"/>
        </w:rPr>
      </w:pPr>
      <w:r w:rsidRPr="00650EE4">
        <w:rPr>
          <w:rFonts w:ascii="Times New Roman" w:hAnsi="Times New Roman"/>
          <w:bCs/>
          <w:szCs w:val="22"/>
        </w:rPr>
        <w:t>Toliau pateikiama esminių renovacijos įgyvendinimo barjerų apžvalga.</w:t>
      </w:r>
    </w:p>
    <w:p w14:paraId="57E2533B" w14:textId="6ED87F2A"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49" w:name="_Toc59107552"/>
      <w:r w:rsidRPr="00650EE4">
        <w:rPr>
          <w:rFonts w:ascii="Times New Roman" w:hAnsi="Times New Roman"/>
          <w:color w:val="000000" w:themeColor="text1"/>
          <w:sz w:val="24"/>
          <w:szCs w:val="24"/>
          <w:lang w:val="lt-LT"/>
        </w:rPr>
        <w:t>Planavimo etapo barjerai</w:t>
      </w:r>
      <w:bookmarkEnd w:id="149"/>
    </w:p>
    <w:p w14:paraId="585BC52A" w14:textId="6FD120B5" w:rsidR="004E75C3" w:rsidRPr="00650EE4" w:rsidRDefault="004E75C3" w:rsidP="00453EC7">
      <w:pPr>
        <w:spacing w:after="120"/>
        <w:jc w:val="both"/>
        <w:rPr>
          <w:rFonts w:ascii="Times New Roman" w:hAnsi="Times New Roman"/>
          <w:b/>
          <w:bCs/>
          <w:sz w:val="24"/>
          <w:szCs w:val="24"/>
        </w:rPr>
      </w:pPr>
      <w:r w:rsidRPr="00650EE4">
        <w:rPr>
          <w:rFonts w:ascii="Times New Roman" w:hAnsi="Times New Roman"/>
          <w:b/>
          <w:bCs/>
          <w:szCs w:val="24"/>
        </w:rPr>
        <w:t>B</w:t>
      </w:r>
      <w:r w:rsidR="00BF046E" w:rsidRPr="00650EE4">
        <w:rPr>
          <w:rFonts w:ascii="Times New Roman" w:hAnsi="Times New Roman"/>
          <w:b/>
          <w:bCs/>
          <w:szCs w:val="24"/>
        </w:rPr>
        <w:t>1</w:t>
      </w:r>
      <w:r w:rsidR="004847E3" w:rsidRPr="00650EE4">
        <w:rPr>
          <w:rFonts w:ascii="Times New Roman" w:hAnsi="Times New Roman"/>
          <w:b/>
          <w:bCs/>
          <w:szCs w:val="24"/>
        </w:rPr>
        <w:t xml:space="preserve">. </w:t>
      </w:r>
      <w:r w:rsidRPr="00650EE4">
        <w:rPr>
          <w:rFonts w:ascii="Times New Roman" w:hAnsi="Times New Roman"/>
          <w:b/>
          <w:bCs/>
          <w:szCs w:val="24"/>
        </w:rPr>
        <w:t xml:space="preserve"> </w:t>
      </w:r>
      <w:r w:rsidR="00AE6A35" w:rsidRPr="00650EE4">
        <w:rPr>
          <w:rFonts w:ascii="Times New Roman" w:hAnsi="Times New Roman"/>
          <w:b/>
          <w:bCs/>
          <w:szCs w:val="24"/>
        </w:rPr>
        <w:t>N</w:t>
      </w:r>
      <w:r w:rsidR="00CE4EAE" w:rsidRPr="00650EE4">
        <w:rPr>
          <w:rFonts w:ascii="Times New Roman" w:hAnsi="Times New Roman"/>
          <w:b/>
          <w:bCs/>
          <w:szCs w:val="24"/>
        </w:rPr>
        <w:t>e</w:t>
      </w:r>
      <w:r w:rsidR="00E631F2" w:rsidRPr="00650EE4">
        <w:rPr>
          <w:rFonts w:ascii="Times New Roman" w:hAnsi="Times New Roman"/>
          <w:b/>
          <w:bCs/>
          <w:szCs w:val="24"/>
        </w:rPr>
        <w:t>pa</w:t>
      </w:r>
      <w:r w:rsidR="004A5E1E" w:rsidRPr="00650EE4">
        <w:rPr>
          <w:rFonts w:ascii="Times New Roman" w:hAnsi="Times New Roman"/>
          <w:b/>
          <w:bCs/>
          <w:szCs w:val="24"/>
        </w:rPr>
        <w:t xml:space="preserve">kankamas </w:t>
      </w:r>
      <w:proofErr w:type="spellStart"/>
      <w:r w:rsidR="004A5E1E" w:rsidRPr="00650EE4">
        <w:rPr>
          <w:rFonts w:ascii="Times New Roman" w:hAnsi="Times New Roman"/>
          <w:b/>
          <w:bCs/>
          <w:szCs w:val="24"/>
        </w:rPr>
        <w:t>tarpinstitucinis</w:t>
      </w:r>
      <w:proofErr w:type="spellEnd"/>
      <w:r w:rsidR="004A5E1E" w:rsidRPr="00650EE4">
        <w:rPr>
          <w:rFonts w:ascii="Times New Roman" w:hAnsi="Times New Roman"/>
          <w:b/>
          <w:bCs/>
          <w:szCs w:val="24"/>
        </w:rPr>
        <w:t xml:space="preserve"> veiksmų koordinavimas</w:t>
      </w:r>
      <w:r w:rsidRPr="00650EE4">
        <w:rPr>
          <w:rFonts w:ascii="Times New Roman" w:hAnsi="Times New Roman"/>
          <w:b/>
          <w:bCs/>
          <w:sz w:val="24"/>
          <w:szCs w:val="24"/>
        </w:rPr>
        <w:t xml:space="preserve"> </w:t>
      </w:r>
    </w:p>
    <w:p w14:paraId="7F1EA00F" w14:textId="77777777" w:rsidR="004847E3" w:rsidRPr="00650EE4" w:rsidRDefault="004847E3" w:rsidP="004E75C3">
      <w:pPr>
        <w:spacing w:before="60" w:after="120"/>
        <w:jc w:val="both"/>
        <w:rPr>
          <w:rFonts w:ascii="Times New Roman" w:hAnsi="Times New Roman"/>
          <w:szCs w:val="22"/>
        </w:rPr>
      </w:pPr>
      <w:r w:rsidRPr="00650EE4">
        <w:rPr>
          <w:rFonts w:ascii="Times New Roman" w:hAnsi="Times New Roman"/>
          <w:szCs w:val="22"/>
        </w:rPr>
        <w:t xml:space="preserve">Šiuo metu už energetinio efektyvumo didinimo ir AEI panaudojimo skatinimo politikos priemonių formavimą ir įgyvendinimą šalies mastu tiesiogiai atsakinga Energetikos ministerija, o pastatų sektoriuje - Aplinkos ministerija. </w:t>
      </w:r>
    </w:p>
    <w:p w14:paraId="7DCC18F6" w14:textId="45D3493E" w:rsidR="0095159B" w:rsidRPr="00650EE4" w:rsidRDefault="00C21586" w:rsidP="005915EA">
      <w:pPr>
        <w:spacing w:before="60" w:after="120"/>
        <w:jc w:val="both"/>
        <w:rPr>
          <w:rFonts w:ascii="Times New Roman" w:hAnsi="Times New Roman"/>
          <w:color w:val="000000" w:themeColor="text1"/>
          <w:szCs w:val="22"/>
        </w:rPr>
      </w:pPr>
      <w:r w:rsidRPr="00650EE4">
        <w:rPr>
          <w:rFonts w:ascii="Times New Roman" w:hAnsi="Times New Roman"/>
          <w:szCs w:val="22"/>
        </w:rPr>
        <w:t>Įgyvendinti</w:t>
      </w:r>
      <w:r w:rsidR="00A47972" w:rsidRPr="00650EE4">
        <w:rPr>
          <w:rFonts w:ascii="Times New Roman" w:hAnsi="Times New Roman"/>
          <w:szCs w:val="22"/>
        </w:rPr>
        <w:t xml:space="preserve"> platesnio masto kompleksinės renovacijos </w:t>
      </w:r>
      <w:r w:rsidR="004847E3" w:rsidRPr="00650EE4">
        <w:rPr>
          <w:rFonts w:ascii="Times New Roman" w:hAnsi="Times New Roman"/>
          <w:szCs w:val="22"/>
        </w:rPr>
        <w:t xml:space="preserve">atvejai </w:t>
      </w:r>
      <w:r w:rsidR="00AE6A35" w:rsidRPr="00650EE4">
        <w:rPr>
          <w:rFonts w:ascii="Times New Roman" w:hAnsi="Times New Roman"/>
          <w:szCs w:val="22"/>
        </w:rPr>
        <w:t>(pvz. Ignalinos m.)</w:t>
      </w:r>
      <w:r w:rsidR="00A47972" w:rsidRPr="00650EE4">
        <w:rPr>
          <w:rFonts w:ascii="Times New Roman" w:hAnsi="Times New Roman"/>
          <w:szCs w:val="22"/>
        </w:rPr>
        <w:t xml:space="preserve"> </w:t>
      </w:r>
      <w:r w:rsidR="00AE6A35" w:rsidRPr="00650EE4">
        <w:rPr>
          <w:rFonts w:ascii="Times New Roman" w:hAnsi="Times New Roman"/>
          <w:szCs w:val="22"/>
        </w:rPr>
        <w:t>iliustruoj</w:t>
      </w:r>
      <w:r w:rsidR="00527844" w:rsidRPr="00650EE4">
        <w:rPr>
          <w:rFonts w:ascii="Times New Roman" w:hAnsi="Times New Roman"/>
          <w:szCs w:val="22"/>
        </w:rPr>
        <w:t>a</w:t>
      </w:r>
      <w:r w:rsidR="00376626" w:rsidRPr="00650EE4">
        <w:rPr>
          <w:rFonts w:ascii="Times New Roman" w:hAnsi="Times New Roman"/>
          <w:szCs w:val="22"/>
        </w:rPr>
        <w:t>, kad</w:t>
      </w:r>
      <w:r w:rsidR="005915EA" w:rsidRPr="00650EE4">
        <w:rPr>
          <w:rFonts w:ascii="Times New Roman" w:hAnsi="Times New Roman"/>
          <w:szCs w:val="22"/>
        </w:rPr>
        <w:t xml:space="preserve"> </w:t>
      </w:r>
      <w:r w:rsidR="00527844" w:rsidRPr="00650EE4">
        <w:rPr>
          <w:rFonts w:ascii="Times New Roman" w:hAnsi="Times New Roman"/>
          <w:color w:val="000000" w:themeColor="text1"/>
          <w:szCs w:val="22"/>
        </w:rPr>
        <w:t xml:space="preserve">renovacija </w:t>
      </w:r>
      <w:r w:rsidR="003739A4" w:rsidRPr="00650EE4">
        <w:rPr>
          <w:rFonts w:ascii="Times New Roman" w:hAnsi="Times New Roman"/>
          <w:color w:val="000000" w:themeColor="text1"/>
          <w:szCs w:val="22"/>
        </w:rPr>
        <w:t>gali turėti</w:t>
      </w:r>
      <w:r w:rsidR="00447211" w:rsidRPr="00650EE4">
        <w:rPr>
          <w:rFonts w:ascii="Times New Roman" w:hAnsi="Times New Roman"/>
          <w:color w:val="000000" w:themeColor="text1"/>
          <w:szCs w:val="22"/>
        </w:rPr>
        <w:t xml:space="preserve"> reikšmingą poveikį šilumos ūkiui</w:t>
      </w:r>
      <w:r w:rsidRPr="00650EE4">
        <w:rPr>
          <w:rFonts w:ascii="Times New Roman" w:hAnsi="Times New Roman"/>
          <w:color w:val="000000" w:themeColor="text1"/>
          <w:szCs w:val="22"/>
        </w:rPr>
        <w:t xml:space="preserve">, ypač regionuose su </w:t>
      </w:r>
      <w:r w:rsidR="003739A4" w:rsidRPr="00650EE4">
        <w:rPr>
          <w:rFonts w:ascii="Times New Roman" w:hAnsi="Times New Roman"/>
          <w:color w:val="000000" w:themeColor="text1"/>
          <w:szCs w:val="22"/>
        </w:rPr>
        <w:t>nedideliu naujų vartotojų skaičiumi</w:t>
      </w:r>
      <w:r w:rsidRPr="00650EE4">
        <w:rPr>
          <w:rFonts w:ascii="Times New Roman" w:hAnsi="Times New Roman"/>
          <w:color w:val="000000" w:themeColor="text1"/>
          <w:szCs w:val="22"/>
        </w:rPr>
        <w:t xml:space="preserve">. </w:t>
      </w:r>
      <w:r w:rsidR="003739A4" w:rsidRPr="00650EE4">
        <w:rPr>
          <w:rFonts w:ascii="Times New Roman" w:hAnsi="Times New Roman"/>
          <w:color w:val="000000" w:themeColor="text1"/>
          <w:szCs w:val="22"/>
        </w:rPr>
        <w:t>Renovacijos poveikis pasireiškia reikšmingai sumažėjusiu šilumos vartojimu, kai pastovūs šilumos gamybos kaštai išlieka tame pačiame lygyje ir rezultate augančia šilumos kaina</w:t>
      </w:r>
      <w:r w:rsidR="00EC25C6" w:rsidRPr="00650EE4">
        <w:rPr>
          <w:rFonts w:ascii="Times New Roman" w:hAnsi="Times New Roman"/>
          <w:color w:val="000000" w:themeColor="text1"/>
          <w:szCs w:val="22"/>
        </w:rPr>
        <w:t xml:space="preserve"> vartotojams</w:t>
      </w:r>
      <w:r w:rsidR="003739A4" w:rsidRPr="00650EE4">
        <w:rPr>
          <w:rFonts w:ascii="Times New Roman" w:hAnsi="Times New Roman"/>
          <w:color w:val="000000" w:themeColor="text1"/>
          <w:szCs w:val="22"/>
        </w:rPr>
        <w:t xml:space="preserve">. </w:t>
      </w:r>
    </w:p>
    <w:p w14:paraId="6AB8D8C4" w14:textId="2967EE4D" w:rsidR="003739A4" w:rsidRPr="00650EE4" w:rsidRDefault="005915EA" w:rsidP="003739A4">
      <w:pPr>
        <w:spacing w:before="60" w:after="120"/>
        <w:jc w:val="both"/>
        <w:rPr>
          <w:rFonts w:ascii="Times New Roman" w:hAnsi="Times New Roman"/>
          <w:color w:val="000000" w:themeColor="text1"/>
          <w:szCs w:val="22"/>
        </w:rPr>
      </w:pPr>
      <w:r w:rsidRPr="00650EE4">
        <w:rPr>
          <w:rFonts w:ascii="Times New Roman" w:hAnsi="Times New Roman"/>
          <w:szCs w:val="22"/>
        </w:rPr>
        <w:t>IRS numatyti reikšmingai didesni nei iki šiol renovacijos tempai</w:t>
      </w:r>
      <w:r w:rsidR="003739A4" w:rsidRPr="00650EE4">
        <w:rPr>
          <w:rFonts w:ascii="Times New Roman" w:hAnsi="Times New Roman"/>
          <w:szCs w:val="22"/>
        </w:rPr>
        <w:t>, todėl invest</w:t>
      </w:r>
      <w:r w:rsidR="00CE4EAE" w:rsidRPr="00650EE4">
        <w:rPr>
          <w:rFonts w:ascii="Times New Roman" w:hAnsi="Times New Roman"/>
          <w:szCs w:val="22"/>
        </w:rPr>
        <w:t>i</w:t>
      </w:r>
      <w:r w:rsidR="003739A4" w:rsidRPr="00650EE4">
        <w:rPr>
          <w:rFonts w:ascii="Times New Roman" w:hAnsi="Times New Roman"/>
          <w:szCs w:val="22"/>
        </w:rPr>
        <w:t xml:space="preserve">cijų į šilumos sektorių koordinavimas su investicijomis į renovaciją tampa </w:t>
      </w:r>
      <w:r w:rsidR="00CE4EAE" w:rsidRPr="00650EE4">
        <w:rPr>
          <w:rFonts w:ascii="Times New Roman" w:hAnsi="Times New Roman"/>
          <w:szCs w:val="22"/>
        </w:rPr>
        <w:t>dar aktualesnis</w:t>
      </w:r>
      <w:r w:rsidRPr="00650EE4">
        <w:rPr>
          <w:rFonts w:ascii="Times New Roman" w:hAnsi="Times New Roman"/>
          <w:szCs w:val="22"/>
        </w:rPr>
        <w:t>. Be to, IRS numatyti tikslai ir siektini rodikliai gali būti pasiekti tik įgyv</w:t>
      </w:r>
      <w:r w:rsidR="003739A4" w:rsidRPr="00650EE4">
        <w:rPr>
          <w:rFonts w:ascii="Times New Roman" w:hAnsi="Times New Roman"/>
          <w:szCs w:val="22"/>
        </w:rPr>
        <w:t>e</w:t>
      </w:r>
      <w:r w:rsidRPr="00650EE4">
        <w:rPr>
          <w:rFonts w:ascii="Times New Roman" w:hAnsi="Times New Roman"/>
          <w:szCs w:val="22"/>
        </w:rPr>
        <w:t xml:space="preserve">ndinus </w:t>
      </w:r>
      <w:r w:rsidR="00960339" w:rsidRPr="00650EE4">
        <w:rPr>
          <w:rFonts w:ascii="Times New Roman" w:hAnsi="Times New Roman"/>
          <w:color w:val="000000" w:themeColor="text1"/>
          <w:szCs w:val="22"/>
        </w:rPr>
        <w:t xml:space="preserve">energetikos sektorius transformaciją (žr. detaliau </w:t>
      </w:r>
      <w:r w:rsidR="00CE0097">
        <w:rPr>
          <w:rFonts w:ascii="Times New Roman" w:hAnsi="Times New Roman"/>
          <w:color w:val="000000" w:themeColor="text1"/>
          <w:szCs w:val="22"/>
        </w:rPr>
        <w:t>4</w:t>
      </w:r>
      <w:r w:rsidR="00960339" w:rsidRPr="00650EE4">
        <w:rPr>
          <w:rFonts w:ascii="Times New Roman" w:hAnsi="Times New Roman"/>
          <w:color w:val="000000" w:themeColor="text1"/>
          <w:szCs w:val="22"/>
        </w:rPr>
        <w:t>.1).</w:t>
      </w:r>
      <w:r w:rsidR="003739A4" w:rsidRPr="00650EE4">
        <w:rPr>
          <w:rFonts w:ascii="Times New Roman" w:hAnsi="Times New Roman"/>
          <w:color w:val="000000" w:themeColor="text1"/>
          <w:szCs w:val="22"/>
        </w:rPr>
        <w:t xml:space="preserve"> </w:t>
      </w:r>
    </w:p>
    <w:p w14:paraId="2C1628A4" w14:textId="108288FF" w:rsidR="00376626" w:rsidRPr="00650EE4" w:rsidRDefault="00F82D81" w:rsidP="003739A4">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M</w:t>
      </w:r>
      <w:r w:rsidR="003739A4" w:rsidRPr="00650EE4">
        <w:rPr>
          <w:rFonts w:ascii="Times New Roman" w:hAnsi="Times New Roman"/>
          <w:color w:val="000000" w:themeColor="text1"/>
          <w:szCs w:val="22"/>
        </w:rPr>
        <w:t xml:space="preserve">ūsų vertinimu, </w:t>
      </w:r>
      <w:r w:rsidR="005915EA" w:rsidRPr="00650EE4">
        <w:rPr>
          <w:rFonts w:ascii="Times New Roman" w:hAnsi="Times New Roman"/>
          <w:szCs w:val="22"/>
        </w:rPr>
        <w:t>n</w:t>
      </w:r>
      <w:r w:rsidR="005915EA" w:rsidRPr="00650EE4">
        <w:rPr>
          <w:rFonts w:ascii="Times New Roman" w:hAnsi="Times New Roman"/>
          <w:color w:val="000000" w:themeColor="text1"/>
          <w:szCs w:val="22"/>
        </w:rPr>
        <w:t>epakankamas</w:t>
      </w:r>
      <w:r w:rsidR="00A47972" w:rsidRPr="00650EE4">
        <w:rPr>
          <w:rFonts w:ascii="Times New Roman" w:hAnsi="Times New Roman"/>
          <w:color w:val="000000" w:themeColor="text1"/>
          <w:szCs w:val="22"/>
        </w:rPr>
        <w:t xml:space="preserve"> </w:t>
      </w:r>
      <w:proofErr w:type="spellStart"/>
      <w:r w:rsidR="00A47972" w:rsidRPr="00650EE4">
        <w:rPr>
          <w:rFonts w:ascii="Times New Roman" w:hAnsi="Times New Roman"/>
          <w:color w:val="000000" w:themeColor="text1"/>
          <w:szCs w:val="22"/>
        </w:rPr>
        <w:t>t</w:t>
      </w:r>
      <w:r w:rsidR="00376626" w:rsidRPr="00650EE4">
        <w:rPr>
          <w:rFonts w:ascii="Times New Roman" w:hAnsi="Times New Roman"/>
          <w:color w:val="000000" w:themeColor="text1"/>
          <w:szCs w:val="22"/>
        </w:rPr>
        <w:t>arpinstitucinis</w:t>
      </w:r>
      <w:proofErr w:type="spellEnd"/>
      <w:r w:rsidR="00376626" w:rsidRPr="00650EE4">
        <w:rPr>
          <w:rFonts w:ascii="Times New Roman" w:hAnsi="Times New Roman"/>
          <w:color w:val="000000" w:themeColor="text1"/>
          <w:szCs w:val="22"/>
        </w:rPr>
        <w:t xml:space="preserve"> veiksmų koor</w:t>
      </w:r>
      <w:r w:rsidR="00A47972" w:rsidRPr="00650EE4">
        <w:rPr>
          <w:rFonts w:ascii="Times New Roman" w:hAnsi="Times New Roman"/>
          <w:color w:val="000000" w:themeColor="text1"/>
          <w:szCs w:val="22"/>
        </w:rPr>
        <w:t>dinavim</w:t>
      </w:r>
      <w:r w:rsidR="005915EA" w:rsidRPr="00650EE4">
        <w:rPr>
          <w:rFonts w:ascii="Times New Roman" w:hAnsi="Times New Roman"/>
          <w:color w:val="000000" w:themeColor="text1"/>
          <w:szCs w:val="22"/>
        </w:rPr>
        <w:t>as</w:t>
      </w:r>
      <w:r w:rsidR="00376626" w:rsidRPr="00650EE4">
        <w:rPr>
          <w:rFonts w:ascii="Times New Roman" w:hAnsi="Times New Roman"/>
          <w:color w:val="000000" w:themeColor="text1"/>
          <w:szCs w:val="22"/>
        </w:rPr>
        <w:t xml:space="preserve"> </w:t>
      </w:r>
      <w:r w:rsidR="00F3635E" w:rsidRPr="00650EE4">
        <w:rPr>
          <w:rFonts w:ascii="Times New Roman" w:hAnsi="Times New Roman"/>
          <w:color w:val="000000" w:themeColor="text1"/>
          <w:szCs w:val="22"/>
        </w:rPr>
        <w:t xml:space="preserve">ir IRS rodiklių neintegravimas į teisės aktų sistemą </w:t>
      </w:r>
      <w:r w:rsidR="00376626" w:rsidRPr="00650EE4">
        <w:rPr>
          <w:rFonts w:ascii="Times New Roman" w:hAnsi="Times New Roman"/>
          <w:color w:val="000000" w:themeColor="text1"/>
          <w:szCs w:val="22"/>
        </w:rPr>
        <w:t xml:space="preserve">gali </w:t>
      </w:r>
      <w:r w:rsidR="005915EA" w:rsidRPr="00650EE4">
        <w:rPr>
          <w:rFonts w:ascii="Times New Roman" w:hAnsi="Times New Roman"/>
          <w:color w:val="000000" w:themeColor="text1"/>
          <w:szCs w:val="22"/>
        </w:rPr>
        <w:t xml:space="preserve">tapti reikšmingu barjeru IRS </w:t>
      </w:r>
      <w:r w:rsidR="00960339" w:rsidRPr="00650EE4">
        <w:rPr>
          <w:rFonts w:ascii="Times New Roman" w:hAnsi="Times New Roman"/>
          <w:color w:val="000000" w:themeColor="text1"/>
          <w:szCs w:val="22"/>
        </w:rPr>
        <w:t>įgy</w:t>
      </w:r>
      <w:r w:rsidR="005915EA" w:rsidRPr="00650EE4">
        <w:rPr>
          <w:rFonts w:ascii="Times New Roman" w:hAnsi="Times New Roman"/>
          <w:color w:val="000000" w:themeColor="text1"/>
          <w:szCs w:val="22"/>
        </w:rPr>
        <w:t xml:space="preserve">vendinimui. </w:t>
      </w:r>
      <w:r w:rsidR="00376626" w:rsidRPr="00650EE4">
        <w:rPr>
          <w:rFonts w:ascii="Times New Roman" w:hAnsi="Times New Roman"/>
          <w:color w:val="000000" w:themeColor="text1"/>
          <w:szCs w:val="22"/>
        </w:rPr>
        <w:t xml:space="preserve"> </w:t>
      </w:r>
    </w:p>
    <w:p w14:paraId="181E8359" w14:textId="1E638DC4" w:rsidR="004E75C3" w:rsidRPr="00650EE4" w:rsidRDefault="004847E3" w:rsidP="003B4A80">
      <w:pPr>
        <w:jc w:val="both"/>
        <w:rPr>
          <w:rFonts w:ascii="Times New Roman" w:hAnsi="Times New Roman"/>
          <w:szCs w:val="22"/>
        </w:rPr>
      </w:pPr>
      <w:r w:rsidRPr="00650EE4">
        <w:rPr>
          <w:rFonts w:ascii="Times New Roman" w:hAnsi="Times New Roman"/>
          <w:szCs w:val="22"/>
        </w:rPr>
        <w:t xml:space="preserve"> </w:t>
      </w: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E75C3" w:rsidRPr="00650EE4" w14:paraId="3BF89E9A" w14:textId="77777777" w:rsidTr="004847E3">
        <w:trPr>
          <w:trHeight w:val="61"/>
        </w:trPr>
        <w:tc>
          <w:tcPr>
            <w:tcW w:w="3114" w:type="dxa"/>
          </w:tcPr>
          <w:p w14:paraId="65A19EC9" w14:textId="77777777" w:rsidR="004E75C3" w:rsidRPr="00650EE4" w:rsidRDefault="004E75C3" w:rsidP="004847E3">
            <w:pPr>
              <w:spacing w:after="60"/>
              <w:rPr>
                <w:rFonts w:ascii="Times New Roman" w:hAnsi="Times New Roman"/>
                <w:b/>
                <w:bCs/>
                <w:szCs w:val="22"/>
              </w:rPr>
            </w:pPr>
            <w:r w:rsidRPr="00650EE4">
              <w:rPr>
                <w:rFonts w:ascii="Times New Roman" w:hAnsi="Times New Roman"/>
                <w:szCs w:val="22"/>
              </w:rPr>
              <w:t xml:space="preserve"> </w:t>
            </w:r>
            <w:r w:rsidRPr="00650EE4">
              <w:rPr>
                <w:rFonts w:ascii="Times New Roman" w:hAnsi="Times New Roman"/>
                <w:b/>
                <w:bCs/>
                <w:szCs w:val="22"/>
              </w:rPr>
              <w:t>Siūloma priemonė</w:t>
            </w:r>
          </w:p>
        </w:tc>
        <w:tc>
          <w:tcPr>
            <w:tcW w:w="7089" w:type="dxa"/>
          </w:tcPr>
          <w:p w14:paraId="0455715F" w14:textId="6B4F861E"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P1.</w:t>
            </w:r>
            <w:r w:rsidR="00A22441" w:rsidRPr="00650EE4">
              <w:rPr>
                <w:rFonts w:ascii="Times New Roman" w:hAnsi="Times New Roman"/>
                <w:szCs w:val="22"/>
                <w:lang w:eastAsia="lt-LT"/>
              </w:rPr>
              <w:t xml:space="preserve"> Koordinuotas</w:t>
            </w:r>
            <w:r w:rsidRPr="00650EE4">
              <w:rPr>
                <w:rFonts w:ascii="Times New Roman" w:hAnsi="Times New Roman"/>
                <w:szCs w:val="22"/>
                <w:lang w:eastAsia="lt-LT"/>
              </w:rPr>
              <w:t xml:space="preserve"> </w:t>
            </w:r>
            <w:proofErr w:type="spellStart"/>
            <w:r w:rsidR="00A22441" w:rsidRPr="00650EE4">
              <w:rPr>
                <w:rFonts w:ascii="Times New Roman" w:hAnsi="Times New Roman"/>
                <w:szCs w:val="22"/>
                <w:lang w:eastAsia="lt-LT"/>
              </w:rPr>
              <w:t>tarpinstitucinis</w:t>
            </w:r>
            <w:proofErr w:type="spellEnd"/>
            <w:r w:rsidR="00A22441" w:rsidRPr="00650EE4">
              <w:rPr>
                <w:rFonts w:ascii="Times New Roman" w:hAnsi="Times New Roman"/>
                <w:szCs w:val="22"/>
                <w:lang w:eastAsia="lt-LT"/>
              </w:rPr>
              <w:t xml:space="preserve"> </w:t>
            </w:r>
            <w:r w:rsidRPr="00650EE4">
              <w:rPr>
                <w:rFonts w:ascii="Times New Roman" w:hAnsi="Times New Roman"/>
                <w:szCs w:val="22"/>
                <w:lang w:eastAsia="lt-LT"/>
              </w:rPr>
              <w:t>planavimas</w:t>
            </w:r>
          </w:p>
          <w:p w14:paraId="5CEAEFA6" w14:textId="5E22E985" w:rsidR="004E75C3" w:rsidRPr="00650EE4" w:rsidRDefault="001008EE" w:rsidP="001008EE">
            <w:pPr>
              <w:spacing w:after="60"/>
              <w:rPr>
                <w:rFonts w:ascii="Times New Roman" w:hAnsi="Times New Roman"/>
                <w:szCs w:val="22"/>
                <w:lang w:eastAsia="lt-LT"/>
              </w:rPr>
            </w:pPr>
            <w:r w:rsidRPr="00650EE4">
              <w:rPr>
                <w:rFonts w:ascii="Times New Roman" w:hAnsi="Times New Roman"/>
                <w:szCs w:val="22"/>
                <w:lang w:eastAsia="lt-LT"/>
              </w:rPr>
              <w:t>P</w:t>
            </w:r>
            <w:r w:rsidR="005E6BBF" w:rsidRPr="00650EE4">
              <w:rPr>
                <w:rFonts w:ascii="Times New Roman" w:hAnsi="Times New Roman"/>
                <w:szCs w:val="22"/>
                <w:lang w:eastAsia="lt-LT"/>
              </w:rPr>
              <w:t>3</w:t>
            </w:r>
            <w:r w:rsidRPr="00650EE4">
              <w:rPr>
                <w:rFonts w:ascii="Times New Roman" w:hAnsi="Times New Roman"/>
                <w:szCs w:val="22"/>
                <w:lang w:eastAsia="lt-LT"/>
              </w:rPr>
              <w:t xml:space="preserve">. </w:t>
            </w:r>
            <w:r w:rsidR="005E6BBF" w:rsidRPr="00650EE4">
              <w:rPr>
                <w:rFonts w:ascii="Times New Roman" w:hAnsi="Times New Roman"/>
                <w:szCs w:val="22"/>
                <w:lang w:eastAsia="lt-LT"/>
              </w:rPr>
              <w:t>Renovacijos</w:t>
            </w:r>
            <w:r w:rsidR="003739A4" w:rsidRPr="00650EE4">
              <w:rPr>
                <w:rFonts w:ascii="Times New Roman" w:hAnsi="Times New Roman"/>
                <w:szCs w:val="22"/>
                <w:lang w:eastAsia="lt-LT"/>
              </w:rPr>
              <w:t xml:space="preserve"> tikslų</w:t>
            </w:r>
            <w:r w:rsidRPr="00650EE4">
              <w:rPr>
                <w:rFonts w:ascii="Times New Roman" w:hAnsi="Times New Roman"/>
                <w:szCs w:val="22"/>
                <w:lang w:eastAsia="lt-LT"/>
              </w:rPr>
              <w:t xml:space="preserve"> integracija</w:t>
            </w:r>
            <w:r w:rsidR="00A22441" w:rsidRPr="00650EE4">
              <w:rPr>
                <w:rFonts w:ascii="Times New Roman" w:hAnsi="Times New Roman"/>
                <w:szCs w:val="22"/>
                <w:lang w:eastAsia="lt-LT"/>
              </w:rPr>
              <w:t xml:space="preserve"> į teisės aktų sistemą</w:t>
            </w:r>
          </w:p>
        </w:tc>
      </w:tr>
      <w:tr w:rsidR="004E75C3" w:rsidRPr="00650EE4" w14:paraId="4240E491" w14:textId="77777777" w:rsidTr="004847E3">
        <w:trPr>
          <w:trHeight w:val="61"/>
        </w:trPr>
        <w:tc>
          <w:tcPr>
            <w:tcW w:w="3114" w:type="dxa"/>
          </w:tcPr>
          <w:p w14:paraId="4BE957FB"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1E11073"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4E75C3" w:rsidRPr="00650EE4" w14:paraId="4FE2C4D9" w14:textId="77777777" w:rsidTr="004847E3">
        <w:trPr>
          <w:trHeight w:val="76"/>
        </w:trPr>
        <w:tc>
          <w:tcPr>
            <w:tcW w:w="3114" w:type="dxa"/>
          </w:tcPr>
          <w:p w14:paraId="4E8D71E1"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56B176"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03F60169" w14:textId="77777777" w:rsidR="001A6139" w:rsidRDefault="001A6139" w:rsidP="00005E86">
      <w:pPr>
        <w:spacing w:after="120"/>
        <w:jc w:val="both"/>
        <w:rPr>
          <w:rFonts w:ascii="Times New Roman" w:hAnsi="Times New Roman"/>
          <w:b/>
          <w:bCs/>
          <w:szCs w:val="24"/>
        </w:rPr>
      </w:pPr>
    </w:p>
    <w:p w14:paraId="02F9CF52" w14:textId="77777777" w:rsidR="00005E86" w:rsidRPr="00650EE4" w:rsidRDefault="00005E86" w:rsidP="00005E86">
      <w:pPr>
        <w:spacing w:after="120"/>
        <w:jc w:val="both"/>
        <w:rPr>
          <w:rFonts w:ascii="Times New Roman" w:hAnsi="Times New Roman"/>
          <w:b/>
          <w:bCs/>
          <w:szCs w:val="24"/>
        </w:rPr>
      </w:pPr>
      <w:r w:rsidRPr="00650EE4">
        <w:rPr>
          <w:rFonts w:ascii="Times New Roman" w:hAnsi="Times New Roman"/>
          <w:b/>
          <w:bCs/>
          <w:szCs w:val="24"/>
        </w:rPr>
        <w:lastRenderedPageBreak/>
        <w:t xml:space="preserve">B2. Nepatikima (asimetrinė) informacija </w:t>
      </w:r>
    </w:p>
    <w:p w14:paraId="55ACE09D" w14:textId="4D439B38" w:rsidR="009A06F8" w:rsidRPr="00650EE4" w:rsidRDefault="009A06F8" w:rsidP="009A06F8">
      <w:pPr>
        <w:pStyle w:val="BodyText"/>
        <w:spacing w:after="120"/>
        <w:jc w:val="both"/>
        <w:rPr>
          <w:rFonts w:ascii="Times New Roman" w:hAnsi="Times New Roman"/>
          <w:szCs w:val="22"/>
          <w:lang w:val="lt-LT"/>
        </w:rPr>
      </w:pPr>
      <w:r w:rsidRPr="00650EE4">
        <w:rPr>
          <w:rFonts w:ascii="Times New Roman" w:hAnsi="Times New Roman"/>
          <w:szCs w:val="22"/>
          <w:lang w:val="lt-LT"/>
        </w:rPr>
        <w:t>Šiuo metu nėra vieningo duomenų šaltinio, kuriame būtų kaupiama informacija apie pastatų charakteristikas, techninę būklę ir faktinį energijos suvartojimą. M</w:t>
      </w:r>
      <w:r w:rsidR="00005E86" w:rsidRPr="00650EE4">
        <w:rPr>
          <w:rFonts w:ascii="Times New Roman" w:hAnsi="Times New Roman"/>
          <w:szCs w:val="22"/>
          <w:lang w:val="lt-LT"/>
        </w:rPr>
        <w:t xml:space="preserve">ūsų vertinimu, </w:t>
      </w:r>
      <w:r w:rsidRPr="00650EE4">
        <w:rPr>
          <w:rFonts w:ascii="Times New Roman" w:hAnsi="Times New Roman"/>
          <w:szCs w:val="22"/>
          <w:lang w:val="lt-LT"/>
        </w:rPr>
        <w:t xml:space="preserve">objektyvių ir </w:t>
      </w:r>
      <w:r w:rsidR="00005E86" w:rsidRPr="00650EE4">
        <w:rPr>
          <w:rFonts w:ascii="Times New Roman" w:hAnsi="Times New Roman"/>
          <w:szCs w:val="22"/>
          <w:lang w:val="lt-LT"/>
        </w:rPr>
        <w:t xml:space="preserve">patikimų bazinių </w:t>
      </w:r>
      <w:r w:rsidRPr="00650EE4">
        <w:rPr>
          <w:rFonts w:ascii="Times New Roman" w:hAnsi="Times New Roman"/>
          <w:szCs w:val="22"/>
          <w:lang w:val="lt-LT"/>
        </w:rPr>
        <w:t>duomenų trūkumas:</w:t>
      </w:r>
    </w:p>
    <w:p w14:paraId="33200208" w14:textId="29FC1F85" w:rsidR="009A06F8" w:rsidRPr="00650EE4" w:rsidRDefault="000A24D5" w:rsidP="00BD4925">
      <w:pPr>
        <w:pStyle w:val="ListParagraph"/>
        <w:numPr>
          <w:ilvl w:val="0"/>
          <w:numId w:val="58"/>
        </w:numPr>
        <w:spacing w:before="60" w:after="60"/>
        <w:jc w:val="both"/>
        <w:rPr>
          <w:rFonts w:ascii="Times New Roman" w:hAnsi="Times New Roman"/>
          <w:szCs w:val="22"/>
          <w:lang w:val="lt-LT"/>
        </w:rPr>
      </w:pPr>
      <w:r>
        <w:rPr>
          <w:rFonts w:ascii="Times New Roman" w:hAnsi="Times New Roman"/>
          <w:szCs w:val="22"/>
          <w:lang w:val="lt-LT"/>
        </w:rPr>
        <w:t>a</w:t>
      </w:r>
      <w:r w:rsidR="009A06F8" w:rsidRPr="00650EE4">
        <w:rPr>
          <w:rFonts w:ascii="Times New Roman" w:hAnsi="Times New Roman"/>
          <w:szCs w:val="22"/>
          <w:lang w:val="lt-LT"/>
        </w:rPr>
        <w:t xml:space="preserve">psunkina IRS planavimą, tikslų nustatymą ir jų įgyvendinimo </w:t>
      </w:r>
      <w:proofErr w:type="spellStart"/>
      <w:r w:rsidR="009A06F8" w:rsidRPr="00650EE4">
        <w:rPr>
          <w:rFonts w:ascii="Times New Roman" w:hAnsi="Times New Roman"/>
          <w:szCs w:val="22"/>
          <w:lang w:val="lt-LT"/>
        </w:rPr>
        <w:t>stebėseną</w:t>
      </w:r>
      <w:proofErr w:type="spellEnd"/>
      <w:r w:rsidR="009A06F8" w:rsidRPr="00650EE4">
        <w:rPr>
          <w:rFonts w:ascii="Times New Roman" w:hAnsi="Times New Roman"/>
          <w:szCs w:val="22"/>
          <w:lang w:val="lt-LT"/>
        </w:rPr>
        <w:t xml:space="preserve">, kadangi tiek rodiklių nustatymas, tiek jų stebėjimas turi būti </w:t>
      </w:r>
      <w:r>
        <w:rPr>
          <w:rFonts w:ascii="Times New Roman" w:hAnsi="Times New Roman"/>
          <w:szCs w:val="22"/>
          <w:lang w:val="lt-LT"/>
        </w:rPr>
        <w:t>vykdomas remiantis prielaidomis;</w:t>
      </w:r>
      <w:r w:rsidR="009A06F8" w:rsidRPr="00650EE4">
        <w:rPr>
          <w:rFonts w:ascii="Times New Roman" w:hAnsi="Times New Roman"/>
          <w:szCs w:val="22"/>
          <w:lang w:val="lt-LT"/>
        </w:rPr>
        <w:t xml:space="preserve"> </w:t>
      </w:r>
    </w:p>
    <w:p w14:paraId="4493398E" w14:textId="4292BDB2" w:rsidR="00005E86" w:rsidRPr="00650EE4" w:rsidRDefault="000A24D5" w:rsidP="00BD4925">
      <w:pPr>
        <w:pStyle w:val="ListParagraph"/>
        <w:numPr>
          <w:ilvl w:val="0"/>
          <w:numId w:val="58"/>
        </w:numPr>
        <w:spacing w:before="60" w:after="60"/>
        <w:jc w:val="both"/>
        <w:rPr>
          <w:rFonts w:ascii="Times New Roman" w:hAnsi="Times New Roman"/>
          <w:szCs w:val="22"/>
          <w:lang w:val="lt-LT"/>
        </w:rPr>
      </w:pPr>
      <w:r>
        <w:rPr>
          <w:rFonts w:ascii="Times New Roman" w:hAnsi="Times New Roman"/>
          <w:szCs w:val="22"/>
          <w:lang w:val="lt-LT"/>
        </w:rPr>
        <w:t>g</w:t>
      </w:r>
      <w:r w:rsidR="00005E86" w:rsidRPr="00650EE4">
        <w:rPr>
          <w:rFonts w:ascii="Times New Roman" w:hAnsi="Times New Roman"/>
          <w:szCs w:val="22"/>
          <w:lang w:val="lt-LT"/>
        </w:rPr>
        <w:t>ali tapti vienu iš esminių barjerų trukdančių suformuoti tinkamą ir vartotojų lūkesčius atiti</w:t>
      </w:r>
      <w:r>
        <w:rPr>
          <w:rFonts w:ascii="Times New Roman" w:hAnsi="Times New Roman"/>
          <w:szCs w:val="22"/>
          <w:lang w:val="lt-LT"/>
        </w:rPr>
        <w:t>nkantį paramos priemonių paketą;</w:t>
      </w:r>
    </w:p>
    <w:p w14:paraId="6BFEA254" w14:textId="765E1FAB" w:rsidR="00243A74" w:rsidRPr="00650EE4" w:rsidRDefault="000A24D5" w:rsidP="00BD4925">
      <w:pPr>
        <w:pStyle w:val="ListParagraph"/>
        <w:numPr>
          <w:ilvl w:val="0"/>
          <w:numId w:val="58"/>
        </w:numPr>
        <w:spacing w:before="60" w:after="120"/>
        <w:jc w:val="both"/>
        <w:rPr>
          <w:rFonts w:ascii="Times New Roman" w:hAnsi="Times New Roman"/>
          <w:szCs w:val="22"/>
          <w:lang w:val="lt-LT"/>
        </w:rPr>
      </w:pPr>
      <w:r>
        <w:rPr>
          <w:rFonts w:ascii="Times New Roman" w:hAnsi="Times New Roman"/>
          <w:szCs w:val="22"/>
          <w:lang w:val="lt-LT"/>
        </w:rPr>
        <w:t>g</w:t>
      </w:r>
      <w:r w:rsidR="00005E86" w:rsidRPr="00650EE4">
        <w:rPr>
          <w:rFonts w:ascii="Times New Roman" w:hAnsi="Times New Roman"/>
          <w:szCs w:val="22"/>
          <w:lang w:val="lt-LT"/>
        </w:rPr>
        <w:t xml:space="preserve">ali sąlygoti situaciją, kai skirtingos, renovacijos procese dalyvaujančios, šalys pvz. pastatų savininkai, politikos formuotojai, finansų institucijos ir pan., turės nevientisą, prieštaringą arba neteisingą informaciją apie renovacijos naudą ir teikiamas galimybes. </w:t>
      </w:r>
    </w:p>
    <w:p w14:paraId="43EBDD36" w14:textId="4FA1A4CD" w:rsidR="00C47FFC" w:rsidRPr="00650EE4" w:rsidRDefault="00243A74" w:rsidP="00243A74">
      <w:pPr>
        <w:spacing w:before="60" w:after="240"/>
        <w:jc w:val="both"/>
        <w:rPr>
          <w:rFonts w:ascii="Times New Roman" w:hAnsi="Times New Roman"/>
          <w:szCs w:val="22"/>
        </w:rPr>
      </w:pPr>
      <w:r w:rsidRPr="00650EE4">
        <w:rPr>
          <w:rFonts w:ascii="Times New Roman" w:hAnsi="Times New Roman"/>
          <w:szCs w:val="22"/>
        </w:rPr>
        <w:t>Nepagrįstai nustatyti siektini rodikliai didina riziką, kad tikslai nebus pasiekti. N</w:t>
      </w:r>
      <w:r w:rsidR="00005E86" w:rsidRPr="00650EE4">
        <w:rPr>
          <w:rFonts w:ascii="Times New Roman" w:hAnsi="Times New Roman"/>
          <w:szCs w:val="22"/>
        </w:rPr>
        <w:t xml:space="preserve">epatikima informacija ir nenuosekli komunikacija verčia vartotojus abejoti renovacijos nauda, </w:t>
      </w:r>
      <w:r w:rsidRPr="00650EE4">
        <w:rPr>
          <w:rFonts w:ascii="Times New Roman" w:hAnsi="Times New Roman"/>
          <w:szCs w:val="22"/>
        </w:rPr>
        <w:t xml:space="preserve">o </w:t>
      </w:r>
      <w:r w:rsidR="00005E86" w:rsidRPr="00650EE4">
        <w:rPr>
          <w:rFonts w:ascii="Times New Roman" w:hAnsi="Times New Roman"/>
          <w:szCs w:val="22"/>
        </w:rPr>
        <w:t>finansuotojus - renovacijos pr</w:t>
      </w:r>
      <w:r w:rsidRPr="00650EE4">
        <w:rPr>
          <w:rFonts w:ascii="Times New Roman" w:hAnsi="Times New Roman"/>
          <w:szCs w:val="22"/>
        </w:rPr>
        <w:t>ojektų gyvybingumu ir pan. Atitinkamai, du</w:t>
      </w:r>
      <w:r w:rsidR="00B114C2" w:rsidRPr="00650EE4">
        <w:rPr>
          <w:rFonts w:ascii="Times New Roman" w:hAnsi="Times New Roman"/>
          <w:szCs w:val="22"/>
        </w:rPr>
        <w:t>ome</w:t>
      </w:r>
      <w:r w:rsidRPr="00650EE4">
        <w:rPr>
          <w:rFonts w:ascii="Times New Roman" w:hAnsi="Times New Roman"/>
          <w:szCs w:val="22"/>
        </w:rPr>
        <w:t xml:space="preserve">nų nepakankamumas gali tapti reikšmingu, sisteminiu </w:t>
      </w:r>
      <w:r w:rsidR="00005E86" w:rsidRPr="00650EE4">
        <w:rPr>
          <w:rFonts w:ascii="Times New Roman" w:hAnsi="Times New Roman"/>
          <w:szCs w:val="22"/>
        </w:rPr>
        <w:t>barjeru sie</w:t>
      </w:r>
      <w:r w:rsidR="00CE0097">
        <w:rPr>
          <w:rFonts w:ascii="Times New Roman" w:hAnsi="Times New Roman"/>
          <w:szCs w:val="22"/>
        </w:rPr>
        <w:t xml:space="preserve">kiant IRS tikslų įgyvendinimo. </w:t>
      </w: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05E86" w:rsidRPr="00650EE4" w14:paraId="53C36067" w14:textId="77777777" w:rsidTr="000C1D71">
        <w:trPr>
          <w:trHeight w:val="61"/>
        </w:trPr>
        <w:tc>
          <w:tcPr>
            <w:tcW w:w="3114" w:type="dxa"/>
          </w:tcPr>
          <w:p w14:paraId="18DF07B6"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43BDE49"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P</w:t>
            </w:r>
            <w:r w:rsidR="00BD3D9E" w:rsidRPr="00650EE4">
              <w:rPr>
                <w:rFonts w:ascii="Times New Roman" w:hAnsi="Times New Roman"/>
                <w:szCs w:val="22"/>
                <w:lang w:eastAsia="lt-LT"/>
              </w:rPr>
              <w:t>2</w:t>
            </w:r>
            <w:r w:rsidRPr="00650EE4">
              <w:rPr>
                <w:rFonts w:ascii="Times New Roman" w:hAnsi="Times New Roman"/>
                <w:szCs w:val="22"/>
                <w:lang w:eastAsia="lt-LT"/>
              </w:rPr>
              <w:t>. Pastatų fondo inventorizacija ir duomenų bazės sukūrimas</w:t>
            </w:r>
          </w:p>
          <w:p w14:paraId="3F379E5E" w14:textId="7B26376F" w:rsidR="00BD3D9E" w:rsidRPr="00650EE4" w:rsidRDefault="00BD3D9E" w:rsidP="000C1D71">
            <w:pPr>
              <w:spacing w:after="60"/>
              <w:rPr>
                <w:rFonts w:ascii="Times New Roman" w:hAnsi="Times New Roman"/>
                <w:szCs w:val="22"/>
                <w:lang w:eastAsia="lt-LT"/>
              </w:rPr>
            </w:pPr>
            <w:r w:rsidRPr="00650EE4">
              <w:rPr>
                <w:rFonts w:ascii="Times New Roman" w:hAnsi="Times New Roman"/>
                <w:szCs w:val="22"/>
                <w:lang w:eastAsia="lt-LT"/>
              </w:rPr>
              <w:t>P4. Savivaldos įtraukimas</w:t>
            </w:r>
          </w:p>
        </w:tc>
      </w:tr>
      <w:tr w:rsidR="00005E86" w:rsidRPr="00650EE4" w14:paraId="1A221DBB" w14:textId="77777777" w:rsidTr="000C1D71">
        <w:trPr>
          <w:trHeight w:val="61"/>
        </w:trPr>
        <w:tc>
          <w:tcPr>
            <w:tcW w:w="3114" w:type="dxa"/>
          </w:tcPr>
          <w:p w14:paraId="09562A9C"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9AD5852"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05E86" w:rsidRPr="00650EE4" w14:paraId="2C79536C" w14:textId="77777777" w:rsidTr="000C1D71">
        <w:trPr>
          <w:trHeight w:val="76"/>
        </w:trPr>
        <w:tc>
          <w:tcPr>
            <w:tcW w:w="3114" w:type="dxa"/>
          </w:tcPr>
          <w:p w14:paraId="29DB3D8A" w14:textId="77777777" w:rsidR="00005E86" w:rsidRPr="00650EE4" w:rsidRDefault="00005E86"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AD4B039" w14:textId="77777777" w:rsidR="00005E86" w:rsidRPr="00650EE4" w:rsidRDefault="00005E86" w:rsidP="000C1D7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55178944" w14:textId="77777777" w:rsidR="00005E86" w:rsidRPr="00650EE4" w:rsidRDefault="00005E86" w:rsidP="00666ECB">
      <w:pPr>
        <w:spacing w:after="120"/>
        <w:jc w:val="both"/>
        <w:rPr>
          <w:rFonts w:ascii="Times New Roman" w:hAnsi="Times New Roman"/>
          <w:b/>
          <w:bCs/>
          <w:szCs w:val="24"/>
        </w:rPr>
      </w:pPr>
    </w:p>
    <w:p w14:paraId="47CB177F" w14:textId="05471F43" w:rsidR="002556E2" w:rsidRPr="00650EE4" w:rsidRDefault="000F308C" w:rsidP="00666ECB">
      <w:pPr>
        <w:spacing w:after="120"/>
        <w:jc w:val="both"/>
        <w:rPr>
          <w:rFonts w:ascii="Times New Roman" w:hAnsi="Times New Roman"/>
          <w:b/>
          <w:bCs/>
          <w:sz w:val="24"/>
          <w:szCs w:val="24"/>
        </w:rPr>
      </w:pPr>
      <w:r w:rsidRPr="00650EE4">
        <w:rPr>
          <w:rFonts w:ascii="Times New Roman" w:hAnsi="Times New Roman"/>
          <w:b/>
          <w:bCs/>
          <w:szCs w:val="24"/>
        </w:rPr>
        <w:t>B3</w:t>
      </w:r>
      <w:r w:rsidR="002556E2" w:rsidRPr="00650EE4">
        <w:rPr>
          <w:rFonts w:ascii="Times New Roman" w:hAnsi="Times New Roman"/>
          <w:b/>
          <w:bCs/>
          <w:szCs w:val="24"/>
        </w:rPr>
        <w:t>.  Nepakankamas savivaldos įtraukimas</w:t>
      </w:r>
      <w:r w:rsidR="002556E2" w:rsidRPr="00650EE4">
        <w:rPr>
          <w:rFonts w:ascii="Times New Roman" w:hAnsi="Times New Roman"/>
          <w:b/>
          <w:bCs/>
          <w:sz w:val="24"/>
          <w:szCs w:val="24"/>
        </w:rPr>
        <w:t xml:space="preserve"> </w:t>
      </w:r>
    </w:p>
    <w:p w14:paraId="33CFC8BF" w14:textId="110E7DD1" w:rsidR="002556E2" w:rsidRPr="00650EE4" w:rsidRDefault="00FD2CEC" w:rsidP="002556E2">
      <w:pPr>
        <w:spacing w:before="60" w:after="120"/>
        <w:jc w:val="both"/>
        <w:rPr>
          <w:rFonts w:ascii="Times New Roman" w:hAnsi="Times New Roman"/>
          <w:szCs w:val="22"/>
        </w:rPr>
      </w:pPr>
      <w:r w:rsidRPr="00650EE4">
        <w:rPr>
          <w:rFonts w:ascii="Times New Roman" w:hAnsi="Times New Roman"/>
          <w:color w:val="000000" w:themeColor="text1"/>
          <w:szCs w:val="22"/>
        </w:rPr>
        <w:t xml:space="preserve">Skirtingi pastatų fondo segmentai turi skirtingus poreikius, reikalaujančius skirtingų renovacijos priemonių padedančių tą naudą realizuoti. </w:t>
      </w:r>
      <w:r w:rsidR="005059A9">
        <w:rPr>
          <w:rFonts w:ascii="Times New Roman" w:hAnsi="Times New Roman"/>
          <w:szCs w:val="22"/>
        </w:rPr>
        <w:t>T</w:t>
      </w:r>
      <w:r w:rsidRPr="00650EE4">
        <w:rPr>
          <w:rFonts w:ascii="Times New Roman" w:hAnsi="Times New Roman"/>
          <w:szCs w:val="22"/>
        </w:rPr>
        <w:t xml:space="preserve">am, kad tie poreikiai būtų </w:t>
      </w:r>
      <w:proofErr w:type="spellStart"/>
      <w:r w:rsidRPr="00650EE4">
        <w:rPr>
          <w:rFonts w:ascii="Times New Roman" w:hAnsi="Times New Roman"/>
          <w:szCs w:val="22"/>
        </w:rPr>
        <w:t>sistemiškai</w:t>
      </w:r>
      <w:proofErr w:type="spellEnd"/>
      <w:r w:rsidRPr="00650EE4">
        <w:rPr>
          <w:rFonts w:ascii="Times New Roman" w:hAnsi="Times New Roman"/>
          <w:szCs w:val="22"/>
        </w:rPr>
        <w:t xml:space="preserve"> išgirsti</w:t>
      </w:r>
      <w:r w:rsidR="00C46AE7" w:rsidRPr="00650EE4">
        <w:rPr>
          <w:rFonts w:ascii="Times New Roman" w:hAnsi="Times New Roman"/>
          <w:szCs w:val="22"/>
        </w:rPr>
        <w:t xml:space="preserve"> ir įgyvendinti,</w:t>
      </w:r>
      <w:r w:rsidRPr="00650EE4">
        <w:rPr>
          <w:rFonts w:ascii="Times New Roman" w:hAnsi="Times New Roman"/>
          <w:szCs w:val="22"/>
        </w:rPr>
        <w:t xml:space="preserve"> </w:t>
      </w:r>
      <w:r w:rsidR="002556E2" w:rsidRPr="00650EE4">
        <w:rPr>
          <w:rFonts w:ascii="Times New Roman" w:hAnsi="Times New Roman"/>
          <w:szCs w:val="22"/>
        </w:rPr>
        <w:t>reik</w:t>
      </w:r>
      <w:r w:rsidRPr="00650EE4">
        <w:rPr>
          <w:rFonts w:ascii="Times New Roman" w:hAnsi="Times New Roman"/>
          <w:szCs w:val="22"/>
        </w:rPr>
        <w:t>alingas</w:t>
      </w:r>
      <w:r w:rsidR="002556E2" w:rsidRPr="00650EE4">
        <w:rPr>
          <w:rFonts w:ascii="Times New Roman" w:hAnsi="Times New Roman"/>
          <w:szCs w:val="22"/>
        </w:rPr>
        <w:t xml:space="preserve"> aktyvesni</w:t>
      </w:r>
      <w:r w:rsidRPr="00650EE4">
        <w:rPr>
          <w:rFonts w:ascii="Times New Roman" w:hAnsi="Times New Roman"/>
          <w:szCs w:val="22"/>
        </w:rPr>
        <w:t>s</w:t>
      </w:r>
      <w:r w:rsidR="002556E2" w:rsidRPr="00650EE4">
        <w:rPr>
          <w:rFonts w:ascii="Times New Roman" w:hAnsi="Times New Roman"/>
          <w:szCs w:val="22"/>
        </w:rPr>
        <w:t xml:space="preserve"> </w:t>
      </w:r>
      <w:r w:rsidRPr="00650EE4">
        <w:rPr>
          <w:rFonts w:ascii="Times New Roman" w:hAnsi="Times New Roman"/>
          <w:szCs w:val="22"/>
        </w:rPr>
        <w:t xml:space="preserve">savivaldos lygmens įsitraukimas </w:t>
      </w:r>
      <w:r w:rsidR="002556E2" w:rsidRPr="00650EE4">
        <w:rPr>
          <w:rFonts w:ascii="Times New Roman" w:hAnsi="Times New Roman"/>
          <w:szCs w:val="22"/>
        </w:rPr>
        <w:t>(</w:t>
      </w:r>
      <w:r w:rsidRPr="00650EE4">
        <w:rPr>
          <w:rFonts w:ascii="Times New Roman" w:hAnsi="Times New Roman"/>
          <w:szCs w:val="22"/>
        </w:rPr>
        <w:t>t.y. arčiausiai vartotojo esantis, geriausiai vartotoją pažįstantis valdymo lygmuo</w:t>
      </w:r>
      <w:r w:rsidR="002556E2" w:rsidRPr="00650EE4">
        <w:rPr>
          <w:rFonts w:ascii="Times New Roman" w:hAnsi="Times New Roman"/>
          <w:szCs w:val="22"/>
        </w:rPr>
        <w:t xml:space="preserve">). </w:t>
      </w:r>
    </w:p>
    <w:p w14:paraId="5551309D" w14:textId="62832A57" w:rsidR="002556E2" w:rsidRPr="00650EE4" w:rsidRDefault="002556E2" w:rsidP="002556E2">
      <w:pPr>
        <w:spacing w:before="60" w:after="120"/>
        <w:jc w:val="both"/>
        <w:rPr>
          <w:rFonts w:ascii="Times New Roman" w:hAnsi="Times New Roman"/>
          <w:szCs w:val="22"/>
        </w:rPr>
      </w:pPr>
      <w:r w:rsidRPr="00650EE4">
        <w:rPr>
          <w:rFonts w:ascii="Times New Roman" w:hAnsi="Times New Roman"/>
          <w:szCs w:val="22"/>
        </w:rPr>
        <w:t>Be to, dab</w:t>
      </w:r>
      <w:r w:rsidR="00FD2CEC" w:rsidRPr="00650EE4">
        <w:rPr>
          <w:rFonts w:ascii="Times New Roman" w:hAnsi="Times New Roman"/>
          <w:szCs w:val="22"/>
        </w:rPr>
        <w:t>a</w:t>
      </w:r>
      <w:r w:rsidRPr="00650EE4">
        <w:rPr>
          <w:rFonts w:ascii="Times New Roman" w:hAnsi="Times New Roman"/>
          <w:szCs w:val="22"/>
        </w:rPr>
        <w:t>rtinė situacija</w:t>
      </w:r>
      <w:r w:rsidR="00FD2CEC" w:rsidRPr="00650EE4">
        <w:rPr>
          <w:rFonts w:ascii="Times New Roman" w:hAnsi="Times New Roman"/>
          <w:szCs w:val="22"/>
        </w:rPr>
        <w:t xml:space="preserve"> iliustruoja, kad būtent savivaldos gebėjimai ir motyvacija yra kritiniai renovacijos sėkmės faktoriai arba atvirkščiai, barjerai (pvz.</w:t>
      </w:r>
      <w:r w:rsidR="0029539E" w:rsidRPr="00650EE4">
        <w:rPr>
          <w:rFonts w:ascii="Times New Roman" w:hAnsi="Times New Roman"/>
          <w:szCs w:val="22"/>
        </w:rPr>
        <w:t>,</w:t>
      </w:r>
      <w:r w:rsidR="00FD2CEC" w:rsidRPr="00650EE4">
        <w:rPr>
          <w:rFonts w:ascii="Times New Roman" w:hAnsi="Times New Roman"/>
          <w:szCs w:val="22"/>
        </w:rPr>
        <w:t xml:space="preserve"> Ignalinos </w:t>
      </w:r>
      <w:r w:rsidR="0029539E" w:rsidRPr="00650EE4">
        <w:rPr>
          <w:rFonts w:ascii="Times New Roman" w:hAnsi="Times New Roman"/>
          <w:szCs w:val="22"/>
        </w:rPr>
        <w:t>mieste renovuoti visi daugiabučiai pastatai</w:t>
      </w:r>
      <w:r w:rsidR="00FD2CEC" w:rsidRPr="00650EE4">
        <w:rPr>
          <w:rFonts w:ascii="Times New Roman" w:hAnsi="Times New Roman"/>
          <w:szCs w:val="22"/>
        </w:rPr>
        <w:t xml:space="preserve">, o Pagėgių </w:t>
      </w:r>
      <w:r w:rsidR="0029539E" w:rsidRPr="00650EE4">
        <w:rPr>
          <w:rFonts w:ascii="Times New Roman" w:hAnsi="Times New Roman"/>
          <w:szCs w:val="22"/>
        </w:rPr>
        <w:t xml:space="preserve">savivaldybėje </w:t>
      </w:r>
      <w:r w:rsidR="0002515A" w:rsidRPr="00650EE4">
        <w:rPr>
          <w:rFonts w:ascii="Times New Roman" w:hAnsi="Times New Roman"/>
          <w:szCs w:val="22"/>
        </w:rPr>
        <w:t>nerenovuotas nei vienas daugiabutis</w:t>
      </w:r>
      <w:r w:rsidR="0029539E" w:rsidRPr="00650EE4">
        <w:rPr>
          <w:rStyle w:val="FootnoteReference"/>
          <w:rFonts w:ascii="Times New Roman" w:hAnsi="Times New Roman"/>
          <w:szCs w:val="22"/>
        </w:rPr>
        <w:footnoteReference w:id="35"/>
      </w:r>
      <w:r w:rsidR="00FD2CEC" w:rsidRPr="00650EE4">
        <w:rPr>
          <w:rFonts w:ascii="Times New Roman" w:hAnsi="Times New Roman"/>
          <w:szCs w:val="22"/>
        </w:rPr>
        <w:t>)</w:t>
      </w:r>
      <w:r w:rsidRPr="00650EE4">
        <w:rPr>
          <w:rFonts w:ascii="Times New Roman" w:hAnsi="Times New Roman"/>
          <w:szCs w:val="22"/>
        </w:rPr>
        <w:t xml:space="preserve">. </w:t>
      </w:r>
    </w:p>
    <w:p w14:paraId="6CAC765A" w14:textId="162F12B9" w:rsidR="00C46AE7" w:rsidRPr="00650EE4" w:rsidRDefault="00FD2CEC" w:rsidP="003D5D10">
      <w:pPr>
        <w:spacing w:before="60"/>
        <w:jc w:val="both"/>
        <w:rPr>
          <w:rFonts w:ascii="Times New Roman" w:hAnsi="Times New Roman"/>
          <w:szCs w:val="22"/>
        </w:rPr>
      </w:pPr>
      <w:r w:rsidRPr="00650EE4">
        <w:rPr>
          <w:rFonts w:ascii="Times New Roman" w:hAnsi="Times New Roman"/>
          <w:szCs w:val="22"/>
        </w:rPr>
        <w:t xml:space="preserve">Atitinkamai </w:t>
      </w:r>
      <w:r w:rsidR="00C46AE7" w:rsidRPr="00650EE4">
        <w:rPr>
          <w:rFonts w:ascii="Times New Roman" w:hAnsi="Times New Roman"/>
          <w:szCs w:val="22"/>
        </w:rPr>
        <w:t xml:space="preserve">manome kad esamas savivaldos vaidmens </w:t>
      </w:r>
      <w:r w:rsidR="00C46AE7" w:rsidRPr="005059A9">
        <w:rPr>
          <w:rFonts w:ascii="Times New Roman" w:hAnsi="Times New Roman"/>
          <w:i/>
          <w:szCs w:val="22"/>
        </w:rPr>
        <w:t>status quo</w:t>
      </w:r>
      <w:r w:rsidR="00C46AE7" w:rsidRPr="00650EE4">
        <w:rPr>
          <w:rFonts w:ascii="Times New Roman" w:hAnsi="Times New Roman"/>
          <w:szCs w:val="22"/>
        </w:rPr>
        <w:t xml:space="preserve"> nėra pakankamas renovacijos proveržiui realizuoti. </w:t>
      </w:r>
    </w:p>
    <w:p w14:paraId="23E279FA" w14:textId="77777777" w:rsidR="00C46AE7" w:rsidRPr="00650EE4" w:rsidRDefault="00C46AE7" w:rsidP="003D5D10">
      <w:pPr>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2556E2" w:rsidRPr="00650EE4" w14:paraId="327AEB28" w14:textId="77777777" w:rsidTr="000C1D71">
        <w:trPr>
          <w:trHeight w:val="61"/>
        </w:trPr>
        <w:tc>
          <w:tcPr>
            <w:tcW w:w="3114" w:type="dxa"/>
          </w:tcPr>
          <w:p w14:paraId="53E0F61D"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9224340" w14:textId="213C51B4" w:rsidR="002556E2" w:rsidRPr="00650EE4" w:rsidRDefault="00AB6771" w:rsidP="000C1D71">
            <w:pPr>
              <w:spacing w:after="60"/>
              <w:rPr>
                <w:rFonts w:ascii="Times New Roman" w:hAnsi="Times New Roman"/>
                <w:szCs w:val="22"/>
                <w:lang w:eastAsia="lt-LT"/>
              </w:rPr>
            </w:pPr>
            <w:r w:rsidRPr="00650EE4">
              <w:rPr>
                <w:rFonts w:ascii="Times New Roman" w:hAnsi="Times New Roman"/>
                <w:szCs w:val="22"/>
                <w:lang w:eastAsia="lt-LT"/>
              </w:rPr>
              <w:t>P4. Savivaldos įtraukimas</w:t>
            </w:r>
          </w:p>
        </w:tc>
      </w:tr>
      <w:tr w:rsidR="002556E2" w:rsidRPr="00650EE4" w14:paraId="33A324D6" w14:textId="77777777" w:rsidTr="000C1D71">
        <w:trPr>
          <w:trHeight w:val="61"/>
        </w:trPr>
        <w:tc>
          <w:tcPr>
            <w:tcW w:w="3114" w:type="dxa"/>
          </w:tcPr>
          <w:p w14:paraId="309C2F94"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2DA16A1" w14:textId="77777777" w:rsidR="002556E2" w:rsidRPr="00650EE4" w:rsidRDefault="002556E2"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2556E2" w:rsidRPr="00650EE4" w14:paraId="5CF23793" w14:textId="77777777" w:rsidTr="000C1D71">
        <w:trPr>
          <w:trHeight w:val="76"/>
        </w:trPr>
        <w:tc>
          <w:tcPr>
            <w:tcW w:w="3114" w:type="dxa"/>
          </w:tcPr>
          <w:p w14:paraId="14C8F372" w14:textId="77777777" w:rsidR="002556E2" w:rsidRPr="00650EE4" w:rsidRDefault="002556E2"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C301DC0" w14:textId="77777777" w:rsidR="002556E2" w:rsidRPr="00650EE4" w:rsidRDefault="002556E2" w:rsidP="000C1D7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43B31C38" w14:textId="77777777" w:rsidR="002556E2" w:rsidRPr="00650EE4" w:rsidRDefault="002556E2" w:rsidP="004E75C3">
      <w:pPr>
        <w:spacing w:after="240"/>
        <w:rPr>
          <w:rFonts w:ascii="Times New Roman" w:hAnsi="Times New Roman"/>
          <w:bCs/>
          <w:szCs w:val="22"/>
        </w:rPr>
      </w:pPr>
    </w:p>
    <w:p w14:paraId="197A8D20" w14:textId="781583FC"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50" w:name="_Toc59107553"/>
      <w:r w:rsidRPr="00650EE4">
        <w:rPr>
          <w:rFonts w:ascii="Times New Roman" w:hAnsi="Times New Roman"/>
          <w:color w:val="000000" w:themeColor="text1"/>
          <w:sz w:val="24"/>
          <w:szCs w:val="24"/>
          <w:lang w:val="lt-LT"/>
        </w:rPr>
        <w:t>P</w:t>
      </w:r>
      <w:r w:rsidR="008C465F" w:rsidRPr="00650EE4">
        <w:rPr>
          <w:rFonts w:ascii="Times New Roman" w:hAnsi="Times New Roman"/>
          <w:color w:val="000000" w:themeColor="text1"/>
          <w:sz w:val="24"/>
          <w:szCs w:val="24"/>
          <w:lang w:val="lt-LT"/>
        </w:rPr>
        <w:t>aramos p</w:t>
      </w:r>
      <w:r w:rsidR="00713D73" w:rsidRPr="00650EE4">
        <w:rPr>
          <w:rFonts w:ascii="Times New Roman" w:hAnsi="Times New Roman"/>
          <w:color w:val="000000" w:themeColor="text1"/>
          <w:sz w:val="24"/>
          <w:szCs w:val="24"/>
          <w:lang w:val="lt-LT"/>
        </w:rPr>
        <w:t xml:space="preserve">riemonių </w:t>
      </w:r>
      <w:r w:rsidRPr="00650EE4">
        <w:rPr>
          <w:rFonts w:ascii="Times New Roman" w:hAnsi="Times New Roman"/>
          <w:color w:val="000000" w:themeColor="text1"/>
          <w:sz w:val="24"/>
          <w:szCs w:val="24"/>
          <w:lang w:val="lt-LT"/>
        </w:rPr>
        <w:t>formavimo barjerai</w:t>
      </w:r>
      <w:bookmarkEnd w:id="150"/>
    </w:p>
    <w:p w14:paraId="0C14509C" w14:textId="5074A9F9" w:rsidR="004E75C3" w:rsidRPr="00650EE4" w:rsidRDefault="004E75C3" w:rsidP="00666ECB">
      <w:pPr>
        <w:spacing w:after="120"/>
        <w:jc w:val="both"/>
        <w:rPr>
          <w:rFonts w:ascii="Times New Roman" w:hAnsi="Times New Roman"/>
          <w:b/>
          <w:bCs/>
          <w:szCs w:val="24"/>
        </w:rPr>
      </w:pPr>
      <w:r w:rsidRPr="00650EE4">
        <w:rPr>
          <w:rFonts w:ascii="Times New Roman" w:hAnsi="Times New Roman"/>
          <w:b/>
          <w:bCs/>
          <w:szCs w:val="24"/>
        </w:rPr>
        <w:t>B</w:t>
      </w:r>
      <w:r w:rsidR="0062471B" w:rsidRPr="00650EE4">
        <w:rPr>
          <w:rFonts w:ascii="Times New Roman" w:hAnsi="Times New Roman"/>
          <w:b/>
          <w:bCs/>
          <w:szCs w:val="24"/>
        </w:rPr>
        <w:t>4</w:t>
      </w:r>
      <w:r w:rsidRPr="00650EE4">
        <w:rPr>
          <w:rFonts w:ascii="Times New Roman" w:hAnsi="Times New Roman"/>
          <w:b/>
          <w:bCs/>
          <w:szCs w:val="24"/>
        </w:rPr>
        <w:t>. Nepatrauklus projektų atsiperkamumo laikotarpis</w:t>
      </w:r>
    </w:p>
    <w:p w14:paraId="026525F3" w14:textId="410EEC58" w:rsidR="004E75C3" w:rsidRPr="00650EE4" w:rsidRDefault="008D5036" w:rsidP="00CC4932">
      <w:pPr>
        <w:pStyle w:val="BodyText"/>
        <w:spacing w:after="120"/>
        <w:jc w:val="both"/>
        <w:rPr>
          <w:rFonts w:ascii="Times New Roman" w:hAnsi="Times New Roman"/>
          <w:szCs w:val="22"/>
          <w:lang w:val="lt-LT"/>
        </w:rPr>
      </w:pPr>
      <w:r w:rsidRPr="00650EE4">
        <w:rPr>
          <w:rFonts w:ascii="Times New Roman" w:hAnsi="Times New Roman"/>
          <w:szCs w:val="22"/>
          <w:lang w:val="lt-LT"/>
        </w:rPr>
        <w:t>Formuojant priemonių paketą svarbu įvertinti, kad d</w:t>
      </w:r>
      <w:r w:rsidR="006A78E7" w:rsidRPr="00650EE4">
        <w:rPr>
          <w:rFonts w:ascii="Times New Roman" w:hAnsi="Times New Roman"/>
          <w:szCs w:val="22"/>
          <w:lang w:val="lt-LT"/>
        </w:rPr>
        <w:t>ėl mažų energijos kainų (žr. B</w:t>
      </w:r>
      <w:r w:rsidR="00EB5ABC" w:rsidRPr="00650EE4">
        <w:rPr>
          <w:rFonts w:ascii="Times New Roman" w:hAnsi="Times New Roman"/>
          <w:szCs w:val="22"/>
          <w:lang w:val="lt-LT"/>
        </w:rPr>
        <w:t>5</w:t>
      </w:r>
      <w:r w:rsidR="004E75C3" w:rsidRPr="00650EE4">
        <w:rPr>
          <w:rFonts w:ascii="Times New Roman" w:hAnsi="Times New Roman"/>
          <w:szCs w:val="22"/>
          <w:lang w:val="lt-LT"/>
        </w:rPr>
        <w:t>), kylančių statybos kainų (žr. B</w:t>
      </w:r>
      <w:r w:rsidR="000657D6" w:rsidRPr="00650EE4">
        <w:rPr>
          <w:rFonts w:ascii="Times New Roman" w:hAnsi="Times New Roman"/>
          <w:szCs w:val="22"/>
          <w:lang w:val="lt-LT"/>
        </w:rPr>
        <w:t>6</w:t>
      </w:r>
      <w:r w:rsidR="004E75C3" w:rsidRPr="00650EE4">
        <w:rPr>
          <w:rFonts w:ascii="Times New Roman" w:hAnsi="Times New Roman"/>
          <w:szCs w:val="22"/>
          <w:lang w:val="lt-LT"/>
        </w:rPr>
        <w:t>), subjektų savais pajėgumais įdiegtų energijos efektyvumo priemonių (pvz.</w:t>
      </w:r>
      <w:r w:rsidR="00F45F56" w:rsidRPr="00650EE4">
        <w:rPr>
          <w:rFonts w:ascii="Times New Roman" w:hAnsi="Times New Roman"/>
          <w:szCs w:val="22"/>
          <w:lang w:val="lt-LT"/>
        </w:rPr>
        <w:t>,</w:t>
      </w:r>
      <w:r w:rsidR="004E75C3" w:rsidRPr="00650EE4">
        <w:rPr>
          <w:rFonts w:ascii="Times New Roman" w:hAnsi="Times New Roman"/>
          <w:szCs w:val="22"/>
          <w:lang w:val="lt-LT"/>
        </w:rPr>
        <w:t xml:space="preserve"> pakeisti langai, duris ir pan.) ir kitų veiksnių, renovacijos projektų atsipirkimo laikas ilgėja, viršija 10-15 metų ir </w:t>
      </w:r>
      <w:r w:rsidR="00D92A36" w:rsidRPr="00650EE4">
        <w:rPr>
          <w:rFonts w:ascii="Times New Roman" w:hAnsi="Times New Roman"/>
          <w:szCs w:val="22"/>
          <w:lang w:val="lt-LT"/>
        </w:rPr>
        <w:t xml:space="preserve">be valstybės paramos </w:t>
      </w:r>
      <w:r w:rsidR="004E75C3" w:rsidRPr="00650EE4">
        <w:rPr>
          <w:rFonts w:ascii="Times New Roman" w:hAnsi="Times New Roman"/>
          <w:szCs w:val="22"/>
          <w:lang w:val="lt-LT"/>
        </w:rPr>
        <w:t>tampa nepatrauklus nei pastato savininkui nei finansuotojui (pvz. komerciniam</w:t>
      </w:r>
      <w:r w:rsidR="009B3FA5" w:rsidRPr="00650EE4">
        <w:rPr>
          <w:rFonts w:ascii="Times New Roman" w:hAnsi="Times New Roman"/>
          <w:szCs w:val="22"/>
          <w:lang w:val="lt-LT"/>
        </w:rPr>
        <w:t>s bankams</w:t>
      </w:r>
      <w:r w:rsidR="004E75C3" w:rsidRPr="00650EE4">
        <w:rPr>
          <w:rFonts w:ascii="Times New Roman" w:hAnsi="Times New Roman"/>
          <w:szCs w:val="22"/>
          <w:lang w:val="lt-LT"/>
        </w:rPr>
        <w:t xml:space="preserve">). </w:t>
      </w:r>
    </w:p>
    <w:p w14:paraId="0ED0F081" w14:textId="5D364EF1" w:rsidR="00CC4932" w:rsidRPr="00650EE4" w:rsidRDefault="005059A9" w:rsidP="004E75C3">
      <w:pPr>
        <w:pStyle w:val="BodyText"/>
        <w:jc w:val="both"/>
        <w:rPr>
          <w:rFonts w:ascii="Times New Roman" w:hAnsi="Times New Roman"/>
          <w:szCs w:val="22"/>
          <w:lang w:val="lt-LT"/>
        </w:rPr>
      </w:pPr>
      <w:r>
        <w:rPr>
          <w:rFonts w:ascii="Times New Roman" w:hAnsi="Times New Roman"/>
          <w:szCs w:val="22"/>
          <w:lang w:val="lt-LT"/>
        </w:rPr>
        <w:t>A</w:t>
      </w:r>
      <w:r w:rsidR="008D5036" w:rsidRPr="00650EE4">
        <w:rPr>
          <w:rFonts w:ascii="Times New Roman" w:hAnsi="Times New Roman"/>
          <w:szCs w:val="22"/>
          <w:lang w:val="lt-LT"/>
        </w:rPr>
        <w:t>b</w:t>
      </w:r>
      <w:r w:rsidR="002D3E79" w:rsidRPr="00650EE4">
        <w:rPr>
          <w:rFonts w:ascii="Times New Roman" w:hAnsi="Times New Roman"/>
          <w:szCs w:val="22"/>
          <w:lang w:val="lt-LT"/>
        </w:rPr>
        <w:t>e</w:t>
      </w:r>
      <w:r w:rsidR="008D5036" w:rsidRPr="00650EE4">
        <w:rPr>
          <w:rFonts w:ascii="Times New Roman" w:hAnsi="Times New Roman"/>
          <w:szCs w:val="22"/>
          <w:lang w:val="lt-LT"/>
        </w:rPr>
        <w:t xml:space="preserve">jonė dėl projekto atsiperkamumo yra vienas esminių barjerų iš pastatų savininko (vartotojo) perspektyvos, kuriam šalinti turi būti taikomos kompleksinės priemonės. Taikant tik finansines priemones (subsidijavimą) reikalingas reikšmingas viešų finansų indėlis. </w:t>
      </w:r>
    </w:p>
    <w:p w14:paraId="7D6D945F" w14:textId="77777777" w:rsidR="004E75C3" w:rsidRPr="00650EE4" w:rsidRDefault="004E75C3" w:rsidP="004E75C3">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E75C3" w:rsidRPr="00650EE4" w14:paraId="6B0AAB29" w14:textId="77777777" w:rsidTr="004847E3">
        <w:trPr>
          <w:trHeight w:val="61"/>
        </w:trPr>
        <w:tc>
          <w:tcPr>
            <w:tcW w:w="3114" w:type="dxa"/>
          </w:tcPr>
          <w:p w14:paraId="6FE1EA16"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10B8C4F4" w14:textId="522AB360"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w:t>
            </w:r>
            <w:r w:rsidR="00D66EE0" w:rsidRPr="00650EE4">
              <w:rPr>
                <w:rFonts w:ascii="Times New Roman" w:hAnsi="Times New Roman"/>
                <w:szCs w:val="22"/>
                <w:lang w:eastAsia="lt-LT"/>
              </w:rPr>
              <w:t>6</w:t>
            </w:r>
            <w:r w:rsidRPr="00650EE4">
              <w:rPr>
                <w:rFonts w:ascii="Times New Roman" w:hAnsi="Times New Roman"/>
                <w:szCs w:val="22"/>
                <w:lang w:eastAsia="lt-LT"/>
              </w:rPr>
              <w:t>. Pilna energijos kaina</w:t>
            </w:r>
          </w:p>
          <w:p w14:paraId="623DB305" w14:textId="50395400"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P</w:t>
            </w:r>
            <w:r w:rsidR="00D66EE0" w:rsidRPr="00650EE4">
              <w:rPr>
                <w:rFonts w:ascii="Times New Roman" w:hAnsi="Times New Roman"/>
                <w:szCs w:val="22"/>
                <w:lang w:eastAsia="lt-LT"/>
              </w:rPr>
              <w:t>7</w:t>
            </w:r>
            <w:r w:rsidRPr="00650EE4">
              <w:rPr>
                <w:rFonts w:ascii="Times New Roman" w:hAnsi="Times New Roman"/>
                <w:szCs w:val="22"/>
                <w:lang w:eastAsia="lt-LT"/>
              </w:rPr>
              <w:t>. Taršos mokesčiai</w:t>
            </w:r>
          </w:p>
          <w:p w14:paraId="425859A5" w14:textId="484A7F96" w:rsidR="00D66EE0" w:rsidRPr="00650EE4" w:rsidRDefault="00D66EE0" w:rsidP="004847E3">
            <w:pPr>
              <w:spacing w:after="60"/>
              <w:rPr>
                <w:rFonts w:ascii="Times New Roman" w:hAnsi="Times New Roman"/>
                <w:szCs w:val="22"/>
                <w:lang w:eastAsia="lt-LT"/>
              </w:rPr>
            </w:pPr>
            <w:r w:rsidRPr="00650EE4">
              <w:rPr>
                <w:rFonts w:ascii="Times New Roman" w:hAnsi="Times New Roman"/>
                <w:szCs w:val="22"/>
                <w:lang w:eastAsia="lt-LT"/>
              </w:rPr>
              <w:lastRenderedPageBreak/>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118D0BCE" w14:textId="3B161D84" w:rsidR="002C4FEC" w:rsidRPr="00650EE4" w:rsidRDefault="00D66EE0" w:rsidP="00D92A36">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7</w:t>
            </w:r>
            <w:r w:rsidR="002C4FEC" w:rsidRPr="00650EE4">
              <w:rPr>
                <w:rFonts w:ascii="Times New Roman" w:hAnsi="Times New Roman"/>
                <w:szCs w:val="22"/>
                <w:lang w:eastAsia="lt-LT"/>
              </w:rPr>
              <w:t xml:space="preserve">. Komunikacija apie </w:t>
            </w:r>
            <w:r w:rsidRPr="00650EE4">
              <w:rPr>
                <w:rFonts w:ascii="Times New Roman" w:hAnsi="Times New Roman"/>
                <w:szCs w:val="22"/>
                <w:lang w:eastAsia="lt-LT"/>
              </w:rPr>
              <w:t>renovacijos naudą ir priemones</w:t>
            </w:r>
          </w:p>
        </w:tc>
      </w:tr>
      <w:tr w:rsidR="004E75C3" w:rsidRPr="00650EE4" w14:paraId="25B387FD" w14:textId="77777777" w:rsidTr="004847E3">
        <w:trPr>
          <w:trHeight w:val="61"/>
        </w:trPr>
        <w:tc>
          <w:tcPr>
            <w:tcW w:w="3114" w:type="dxa"/>
          </w:tcPr>
          <w:p w14:paraId="13552F1F"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lastRenderedPageBreak/>
              <w:t>Prioritetas</w:t>
            </w:r>
          </w:p>
        </w:tc>
        <w:tc>
          <w:tcPr>
            <w:tcW w:w="7089" w:type="dxa"/>
          </w:tcPr>
          <w:p w14:paraId="45FD690A"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4E75C3" w:rsidRPr="00650EE4" w14:paraId="5A1405B7" w14:textId="77777777" w:rsidTr="004847E3">
        <w:trPr>
          <w:trHeight w:val="76"/>
        </w:trPr>
        <w:tc>
          <w:tcPr>
            <w:tcW w:w="3114" w:type="dxa"/>
          </w:tcPr>
          <w:p w14:paraId="7374C934" w14:textId="77777777" w:rsidR="004E75C3" w:rsidRPr="00650EE4" w:rsidRDefault="004E75C3"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257B6FD" w14:textId="77777777" w:rsidR="004E75C3" w:rsidRPr="00650EE4" w:rsidRDefault="004E75C3"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6138D30" w14:textId="77777777" w:rsidR="006A78E7" w:rsidRPr="00650EE4" w:rsidRDefault="006A78E7" w:rsidP="006A78E7">
      <w:pPr>
        <w:spacing w:after="240"/>
        <w:jc w:val="both"/>
        <w:rPr>
          <w:rFonts w:ascii="Times New Roman" w:hAnsi="Times New Roman"/>
          <w:b/>
          <w:bCs/>
          <w:szCs w:val="24"/>
        </w:rPr>
      </w:pPr>
    </w:p>
    <w:p w14:paraId="38A59980" w14:textId="52DC9D6B" w:rsidR="00EC1530" w:rsidRPr="00650EE4" w:rsidRDefault="006A78E7" w:rsidP="002C4FEC">
      <w:pPr>
        <w:spacing w:after="120"/>
        <w:jc w:val="both"/>
        <w:rPr>
          <w:rFonts w:ascii="Times New Roman" w:hAnsi="Times New Roman"/>
          <w:b/>
          <w:bCs/>
          <w:szCs w:val="24"/>
        </w:rPr>
      </w:pPr>
      <w:r w:rsidRPr="00650EE4">
        <w:rPr>
          <w:rFonts w:ascii="Times New Roman" w:hAnsi="Times New Roman"/>
          <w:b/>
          <w:bCs/>
          <w:szCs w:val="24"/>
        </w:rPr>
        <w:t>B</w:t>
      </w:r>
      <w:r w:rsidR="0062471B" w:rsidRPr="00650EE4">
        <w:rPr>
          <w:rFonts w:ascii="Times New Roman" w:hAnsi="Times New Roman"/>
          <w:b/>
          <w:bCs/>
          <w:szCs w:val="24"/>
        </w:rPr>
        <w:t>5</w:t>
      </w:r>
      <w:r w:rsidR="00EC1530" w:rsidRPr="00650EE4">
        <w:rPr>
          <w:rFonts w:ascii="Times New Roman" w:hAnsi="Times New Roman"/>
          <w:b/>
          <w:bCs/>
          <w:szCs w:val="24"/>
        </w:rPr>
        <w:t xml:space="preserve">. Nepilna energijos kaina </w:t>
      </w:r>
    </w:p>
    <w:p w14:paraId="43FE9745" w14:textId="3B453564" w:rsidR="00EC1530" w:rsidRPr="00650EE4" w:rsidRDefault="00831CC9" w:rsidP="00EC1530">
      <w:pPr>
        <w:pStyle w:val="BodyText"/>
        <w:spacing w:after="120"/>
        <w:jc w:val="both"/>
        <w:rPr>
          <w:rFonts w:ascii="Times New Roman" w:hAnsi="Times New Roman"/>
          <w:szCs w:val="22"/>
          <w:lang w:val="lt-LT"/>
        </w:rPr>
      </w:pPr>
      <w:r w:rsidRPr="00650EE4">
        <w:rPr>
          <w:rFonts w:ascii="Times New Roman" w:hAnsi="Times New Roman"/>
          <w:szCs w:val="22"/>
          <w:lang w:val="lt-LT"/>
        </w:rPr>
        <w:t>Ž</w:t>
      </w:r>
      <w:r w:rsidR="00EC1530" w:rsidRPr="00650EE4">
        <w:rPr>
          <w:rFonts w:ascii="Times New Roman" w:hAnsi="Times New Roman"/>
          <w:szCs w:val="22"/>
          <w:lang w:val="lt-LT"/>
        </w:rPr>
        <w:t>ema energijos kaina yra vertybė ir viena iš priemonių mažinti energetinį skurdą, didinti</w:t>
      </w:r>
      <w:r w:rsidRPr="00650EE4">
        <w:rPr>
          <w:rFonts w:ascii="Times New Roman" w:hAnsi="Times New Roman"/>
          <w:szCs w:val="22"/>
          <w:lang w:val="lt-LT"/>
        </w:rPr>
        <w:t xml:space="preserve"> įmonių konkurencingumą ir pan. Tačiau,</w:t>
      </w:r>
      <w:r w:rsidR="00EC1530" w:rsidRPr="00650EE4">
        <w:rPr>
          <w:rFonts w:ascii="Times New Roman" w:hAnsi="Times New Roman"/>
          <w:szCs w:val="22"/>
          <w:lang w:val="lt-LT"/>
        </w:rPr>
        <w:t xml:space="preserve"> siekiant IRS numatytų tikslų, svarbu užtikrinti, kad </w:t>
      </w:r>
      <w:r w:rsidR="002C4FEC" w:rsidRPr="00650EE4">
        <w:rPr>
          <w:rFonts w:ascii="Times New Roman" w:hAnsi="Times New Roman"/>
          <w:szCs w:val="22"/>
          <w:lang w:val="lt-LT"/>
        </w:rPr>
        <w:t xml:space="preserve">ilgalaikėje perspektyvoje </w:t>
      </w:r>
      <w:r w:rsidR="00EC1530" w:rsidRPr="00650EE4">
        <w:rPr>
          <w:rFonts w:ascii="Times New Roman" w:hAnsi="Times New Roman"/>
          <w:szCs w:val="22"/>
          <w:lang w:val="lt-LT"/>
        </w:rPr>
        <w:t xml:space="preserve">energijos kainodaroje būtų atspindėti pilni energijos kaštai, apimtys tiek energijos gamybos kaštus (šiuo metu </w:t>
      </w:r>
      <w:r w:rsidR="002C4FEC" w:rsidRPr="00650EE4">
        <w:rPr>
          <w:rFonts w:ascii="Times New Roman" w:hAnsi="Times New Roman"/>
          <w:szCs w:val="22"/>
          <w:lang w:val="lt-LT"/>
        </w:rPr>
        <w:t>energetikos sektoriaus</w:t>
      </w:r>
      <w:r w:rsidR="00EC1530" w:rsidRPr="00650EE4">
        <w:rPr>
          <w:rFonts w:ascii="Times New Roman" w:hAnsi="Times New Roman"/>
          <w:szCs w:val="22"/>
          <w:lang w:val="lt-LT"/>
        </w:rPr>
        <w:t xml:space="preserve"> infrastruktūra yra reikšmingai subsidijuojama), tiek aplinkosauginius, tiek socialinius kaštus, tokius kaip taršą, šiltnamio efektą sukeliančių dujų emisijas, išteklių išeikvojimą ir pan. Priešingu atveju, </w:t>
      </w:r>
      <w:r w:rsidRPr="00650EE4">
        <w:rPr>
          <w:rFonts w:ascii="Times New Roman" w:hAnsi="Times New Roman"/>
          <w:szCs w:val="22"/>
          <w:lang w:val="lt-LT"/>
        </w:rPr>
        <w:t>netvariai</w:t>
      </w:r>
      <w:r w:rsidR="00EC1530" w:rsidRPr="00650EE4">
        <w:rPr>
          <w:rFonts w:ascii="Times New Roman" w:hAnsi="Times New Roman"/>
          <w:szCs w:val="22"/>
          <w:lang w:val="lt-LT"/>
        </w:rPr>
        <w:t xml:space="preserve"> pigi energija veikia kaip socialinė, energetinį skurdą mažinanti priemonė specifiniam vartotojų segmentui, tačiau likusiai var</w:t>
      </w:r>
      <w:r w:rsidR="002C4FEC" w:rsidRPr="00650EE4">
        <w:rPr>
          <w:rFonts w:ascii="Times New Roman" w:hAnsi="Times New Roman"/>
          <w:szCs w:val="22"/>
          <w:lang w:val="lt-LT"/>
        </w:rPr>
        <w:t>t</w:t>
      </w:r>
      <w:r w:rsidR="00EC1530" w:rsidRPr="00650EE4">
        <w:rPr>
          <w:rFonts w:ascii="Times New Roman" w:hAnsi="Times New Roman"/>
          <w:szCs w:val="22"/>
          <w:lang w:val="lt-LT"/>
        </w:rPr>
        <w:t>otojų daliai neskatina nei racionalaus energijos vartojimo, nei energijos efektyvumo priemonių diegimo.</w:t>
      </w:r>
    </w:p>
    <w:p w14:paraId="0DAB2CF8" w14:textId="7944305B" w:rsidR="002C4FEC" w:rsidRPr="00650EE4" w:rsidRDefault="002C4FEC" w:rsidP="002C4FEC">
      <w:pPr>
        <w:pStyle w:val="BodyText"/>
        <w:spacing w:after="120"/>
        <w:jc w:val="both"/>
        <w:rPr>
          <w:rFonts w:ascii="Times New Roman" w:hAnsi="Times New Roman"/>
          <w:szCs w:val="22"/>
          <w:lang w:val="lt-LT"/>
        </w:rPr>
      </w:pPr>
      <w:r w:rsidRPr="00650EE4">
        <w:rPr>
          <w:rFonts w:ascii="Times New Roman" w:hAnsi="Times New Roman"/>
          <w:szCs w:val="22"/>
          <w:lang w:val="lt-LT"/>
        </w:rPr>
        <w:t>Paraleliai, formuojant paramos priemonių paketą ir komunikacijos strategiją svarbu akcentuoti visas renovacijos teikiamas naudas (ne</w:t>
      </w:r>
      <w:r w:rsidR="00F5610D" w:rsidRPr="00650EE4">
        <w:rPr>
          <w:rFonts w:ascii="Times New Roman" w:hAnsi="Times New Roman"/>
          <w:szCs w:val="22"/>
          <w:lang w:val="lt-LT"/>
        </w:rPr>
        <w:t xml:space="preserve"> </w:t>
      </w:r>
      <w:r w:rsidRPr="00650EE4">
        <w:rPr>
          <w:rFonts w:ascii="Times New Roman" w:hAnsi="Times New Roman"/>
          <w:szCs w:val="22"/>
          <w:lang w:val="lt-LT"/>
        </w:rPr>
        <w:t xml:space="preserve">tik finansines). </w:t>
      </w:r>
    </w:p>
    <w:p w14:paraId="18FE0EC1" w14:textId="77777777" w:rsidR="00EC1530" w:rsidRPr="00650EE4" w:rsidRDefault="00EC1530" w:rsidP="00EC1530">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EC1530" w:rsidRPr="00650EE4" w14:paraId="79FC9ED5" w14:textId="77777777" w:rsidTr="004847E3">
        <w:trPr>
          <w:trHeight w:val="61"/>
        </w:trPr>
        <w:tc>
          <w:tcPr>
            <w:tcW w:w="3114" w:type="dxa"/>
          </w:tcPr>
          <w:p w14:paraId="6588D009"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492F506A" w14:textId="77777777" w:rsidR="00EC1530" w:rsidRPr="00650EE4" w:rsidRDefault="0062471B" w:rsidP="004847E3">
            <w:pPr>
              <w:spacing w:after="60"/>
              <w:rPr>
                <w:rFonts w:ascii="Times New Roman" w:hAnsi="Times New Roman"/>
                <w:szCs w:val="22"/>
                <w:lang w:eastAsia="lt-LT"/>
              </w:rPr>
            </w:pPr>
            <w:r w:rsidRPr="00650EE4">
              <w:rPr>
                <w:rFonts w:ascii="Times New Roman" w:hAnsi="Times New Roman"/>
                <w:szCs w:val="22"/>
                <w:lang w:eastAsia="lt-LT"/>
              </w:rPr>
              <w:t>P6. Pilna energijos kaina</w:t>
            </w:r>
          </w:p>
          <w:p w14:paraId="4CA1E5E0" w14:textId="2F532598" w:rsidR="008153AD" w:rsidRPr="00650EE4" w:rsidRDefault="008153AD" w:rsidP="004847E3">
            <w:pPr>
              <w:spacing w:after="60"/>
              <w:rPr>
                <w:rFonts w:ascii="Times New Roman" w:hAnsi="Times New Roman"/>
                <w:szCs w:val="22"/>
                <w:lang w:eastAsia="lt-LT"/>
              </w:rPr>
            </w:pPr>
            <w:r w:rsidRPr="00650EE4">
              <w:rPr>
                <w:rFonts w:ascii="Times New Roman" w:hAnsi="Times New Roman"/>
                <w:szCs w:val="22"/>
                <w:lang w:eastAsia="lt-LT"/>
              </w:rPr>
              <w:t>P7. Taršos mokesčiai</w:t>
            </w:r>
          </w:p>
        </w:tc>
      </w:tr>
      <w:tr w:rsidR="00EC1530" w:rsidRPr="00650EE4" w14:paraId="5AEE17B7" w14:textId="77777777" w:rsidTr="004847E3">
        <w:trPr>
          <w:trHeight w:val="61"/>
        </w:trPr>
        <w:tc>
          <w:tcPr>
            <w:tcW w:w="3114" w:type="dxa"/>
          </w:tcPr>
          <w:p w14:paraId="6B665720"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029494E" w14:textId="77777777" w:rsidR="00EC1530" w:rsidRPr="00650EE4" w:rsidRDefault="00EC1530"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EC1530" w:rsidRPr="00650EE4" w14:paraId="2EC166AC" w14:textId="77777777" w:rsidTr="004847E3">
        <w:trPr>
          <w:trHeight w:val="76"/>
        </w:trPr>
        <w:tc>
          <w:tcPr>
            <w:tcW w:w="3114" w:type="dxa"/>
          </w:tcPr>
          <w:p w14:paraId="7B10B446" w14:textId="77777777" w:rsidR="00EC1530" w:rsidRPr="00650EE4" w:rsidRDefault="00EC1530"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AE0D7BE" w14:textId="77777777" w:rsidR="00EC1530" w:rsidRPr="00650EE4" w:rsidRDefault="00EC1530"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05B67EBD" w14:textId="77777777" w:rsidR="00FD2CEC" w:rsidRPr="00650EE4" w:rsidRDefault="00FD2CEC" w:rsidP="009E5313">
      <w:pPr>
        <w:spacing w:after="120"/>
        <w:jc w:val="both"/>
        <w:rPr>
          <w:rFonts w:ascii="Times New Roman" w:hAnsi="Times New Roman"/>
          <w:b/>
          <w:bCs/>
          <w:szCs w:val="24"/>
        </w:rPr>
      </w:pPr>
    </w:p>
    <w:p w14:paraId="3445ECA7" w14:textId="583538CF" w:rsidR="00CC4932" w:rsidRPr="00650EE4" w:rsidRDefault="00A22441" w:rsidP="009E5313">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6</w:t>
      </w:r>
      <w:r w:rsidR="00831CC9" w:rsidRPr="00650EE4">
        <w:rPr>
          <w:rFonts w:ascii="Times New Roman" w:hAnsi="Times New Roman"/>
          <w:b/>
          <w:bCs/>
          <w:szCs w:val="24"/>
        </w:rPr>
        <w:t xml:space="preserve">. Brangstanti renovacija </w:t>
      </w:r>
    </w:p>
    <w:p w14:paraId="16325013" w14:textId="077F55EF" w:rsidR="002C4FEC" w:rsidRPr="00650EE4" w:rsidRDefault="002C4FEC" w:rsidP="00595E94">
      <w:pPr>
        <w:pStyle w:val="BodyText"/>
        <w:jc w:val="both"/>
        <w:rPr>
          <w:rFonts w:ascii="Times New Roman" w:hAnsi="Times New Roman"/>
          <w:szCs w:val="22"/>
          <w:lang w:val="lt-LT"/>
        </w:rPr>
      </w:pPr>
      <w:r w:rsidRPr="00650EE4">
        <w:rPr>
          <w:rFonts w:ascii="Times New Roman" w:hAnsi="Times New Roman"/>
          <w:szCs w:val="22"/>
          <w:lang w:val="lt-LT"/>
        </w:rPr>
        <w:t xml:space="preserve">Augančios statybos darbų kainos daro įtaką energijos efektyvumo projektų planavimui ir įgyvendinimui, kadangi </w:t>
      </w:r>
      <w:r w:rsidR="00692903" w:rsidRPr="00650EE4">
        <w:rPr>
          <w:rFonts w:ascii="Times New Roman" w:hAnsi="Times New Roman"/>
          <w:szCs w:val="22"/>
          <w:lang w:val="lt-LT"/>
        </w:rPr>
        <w:t>brangi</w:t>
      </w:r>
      <w:r w:rsidRPr="00650EE4">
        <w:rPr>
          <w:rFonts w:ascii="Times New Roman" w:hAnsi="Times New Roman"/>
          <w:szCs w:val="22"/>
          <w:lang w:val="lt-LT"/>
        </w:rPr>
        <w:t>na investicijas ir taip prailgina projektų atsiperkamumo laikotarpį. Remiantis Statistikos departamento duomenimis, pastatų remonto kainų indeksas 2010-2</w:t>
      </w:r>
      <w:r w:rsidR="00692903" w:rsidRPr="00650EE4">
        <w:rPr>
          <w:rFonts w:ascii="Times New Roman" w:hAnsi="Times New Roman"/>
          <w:szCs w:val="22"/>
          <w:lang w:val="lt-LT"/>
        </w:rPr>
        <w:t xml:space="preserve">019 m. laikotarpiu nuolat augo (vidutiniškai </w:t>
      </w:r>
      <w:r w:rsidRPr="00650EE4">
        <w:rPr>
          <w:rFonts w:ascii="Times New Roman" w:hAnsi="Times New Roman"/>
          <w:szCs w:val="22"/>
          <w:lang w:val="lt-LT"/>
        </w:rPr>
        <w:t xml:space="preserve">4 proc. </w:t>
      </w:r>
      <w:r w:rsidR="00781599" w:rsidRPr="00650EE4">
        <w:rPr>
          <w:rFonts w:ascii="Times New Roman" w:hAnsi="Times New Roman"/>
          <w:szCs w:val="22"/>
          <w:lang w:val="lt-LT"/>
        </w:rPr>
        <w:t>kasmet</w:t>
      </w:r>
      <w:r w:rsidR="00692903" w:rsidRPr="00650EE4">
        <w:rPr>
          <w:rFonts w:ascii="Times New Roman" w:hAnsi="Times New Roman"/>
          <w:szCs w:val="22"/>
          <w:lang w:val="lt-LT"/>
        </w:rPr>
        <w:t>)</w:t>
      </w:r>
      <w:r w:rsidRPr="00650EE4">
        <w:rPr>
          <w:rFonts w:ascii="Times New Roman" w:hAnsi="Times New Roman"/>
          <w:szCs w:val="22"/>
          <w:lang w:val="lt-LT"/>
        </w:rPr>
        <w:t>. Atsižvelgiant į dabartinį Lietuvos makroekonominį klimatą ir infliaciją, tikėtina, jog ši tendencija išsilaikys. Be to, nesuvaldytas darbo jėgo</w:t>
      </w:r>
      <w:r w:rsidR="00595E94" w:rsidRPr="00650EE4">
        <w:rPr>
          <w:rFonts w:ascii="Times New Roman" w:hAnsi="Times New Roman"/>
          <w:szCs w:val="22"/>
          <w:lang w:val="lt-LT"/>
        </w:rPr>
        <w:t>s</w:t>
      </w:r>
      <w:r w:rsidRPr="00650EE4">
        <w:rPr>
          <w:rFonts w:ascii="Times New Roman" w:hAnsi="Times New Roman"/>
          <w:szCs w:val="22"/>
          <w:lang w:val="lt-LT"/>
        </w:rPr>
        <w:t xml:space="preserve"> trūkumas (žr. B</w:t>
      </w:r>
      <w:r w:rsidR="00F50E0E" w:rsidRPr="00650EE4">
        <w:rPr>
          <w:rFonts w:ascii="Times New Roman" w:hAnsi="Times New Roman"/>
          <w:szCs w:val="22"/>
          <w:lang w:val="lt-LT"/>
        </w:rPr>
        <w:t>19</w:t>
      </w:r>
      <w:r w:rsidRPr="00650EE4">
        <w:rPr>
          <w:rFonts w:ascii="Times New Roman" w:hAnsi="Times New Roman"/>
          <w:szCs w:val="22"/>
          <w:lang w:val="lt-LT"/>
        </w:rPr>
        <w:t>) gali dar paspartin</w:t>
      </w:r>
      <w:r w:rsidR="00F30F2B" w:rsidRPr="00650EE4">
        <w:rPr>
          <w:rFonts w:ascii="Times New Roman" w:hAnsi="Times New Roman"/>
          <w:szCs w:val="22"/>
          <w:lang w:val="lt-LT"/>
        </w:rPr>
        <w:t xml:space="preserve">ti statybos darbų kainos augimą taip dar padidinant neigiamą šio barjero poveikį IRS įgyvendinimui.  </w:t>
      </w:r>
    </w:p>
    <w:p w14:paraId="5A8FD687" w14:textId="3B107842" w:rsidR="00692903" w:rsidRPr="00650EE4" w:rsidRDefault="00F30F2B" w:rsidP="00692903">
      <w:pPr>
        <w:pStyle w:val="BodyText"/>
        <w:spacing w:before="120"/>
        <w:jc w:val="both"/>
        <w:rPr>
          <w:rFonts w:ascii="Times New Roman" w:hAnsi="Times New Roman"/>
          <w:szCs w:val="22"/>
          <w:lang w:val="lt-LT"/>
        </w:rPr>
      </w:pPr>
      <w:r w:rsidRPr="00650EE4">
        <w:rPr>
          <w:rFonts w:ascii="Times New Roman" w:hAnsi="Times New Roman"/>
          <w:szCs w:val="22"/>
          <w:lang w:val="lt-LT"/>
        </w:rPr>
        <w:t>Šio barjero mažinimui paramos priemonių paketo formavimo etape rekomenduojama numatyti kompleksines priemones pvz. masto ekonomijos išnaudojimą (</w:t>
      </w:r>
      <w:r w:rsidR="00E0464B" w:rsidRPr="00650EE4">
        <w:rPr>
          <w:rFonts w:ascii="Times New Roman" w:hAnsi="Times New Roman"/>
          <w:szCs w:val="22"/>
          <w:lang w:val="lt-LT"/>
        </w:rPr>
        <w:t>pvz.</w:t>
      </w:r>
      <w:r w:rsidR="00F914E7" w:rsidRPr="00650EE4">
        <w:rPr>
          <w:rFonts w:ascii="Times New Roman" w:hAnsi="Times New Roman"/>
          <w:szCs w:val="22"/>
          <w:lang w:val="lt-LT"/>
        </w:rPr>
        <w:t>,</w:t>
      </w:r>
      <w:r w:rsidR="00E0464B" w:rsidRPr="00650EE4">
        <w:rPr>
          <w:rFonts w:ascii="Times New Roman" w:hAnsi="Times New Roman"/>
          <w:szCs w:val="22"/>
          <w:lang w:val="lt-LT"/>
        </w:rPr>
        <w:t xml:space="preserve"> </w:t>
      </w:r>
      <w:r w:rsidRPr="00650EE4">
        <w:rPr>
          <w:rFonts w:ascii="Times New Roman" w:hAnsi="Times New Roman"/>
          <w:szCs w:val="22"/>
          <w:lang w:val="lt-LT"/>
        </w:rPr>
        <w:t xml:space="preserve">projektų </w:t>
      </w:r>
      <w:r w:rsidR="006478CA">
        <w:rPr>
          <w:rFonts w:ascii="Times New Roman" w:hAnsi="Times New Roman"/>
          <w:szCs w:val="22"/>
          <w:lang w:val="lt-LT"/>
        </w:rPr>
        <w:t>sujungimą</w:t>
      </w:r>
      <w:r w:rsidR="006478CA" w:rsidRPr="00650EE4">
        <w:rPr>
          <w:rFonts w:ascii="Times New Roman" w:hAnsi="Times New Roman"/>
          <w:szCs w:val="22"/>
          <w:lang w:val="lt-LT"/>
        </w:rPr>
        <w:t xml:space="preserve"> </w:t>
      </w:r>
      <w:r w:rsidRPr="00650EE4">
        <w:rPr>
          <w:rFonts w:ascii="Times New Roman" w:hAnsi="Times New Roman"/>
          <w:szCs w:val="22"/>
          <w:lang w:val="lt-LT"/>
        </w:rPr>
        <w:t xml:space="preserve">kvartalų, rajonų ir pan. lygmeniu), </w:t>
      </w:r>
      <w:r w:rsidR="002F7091" w:rsidRPr="00650EE4">
        <w:rPr>
          <w:rFonts w:ascii="Times New Roman" w:hAnsi="Times New Roman"/>
          <w:szCs w:val="22"/>
          <w:lang w:val="lt-LT"/>
        </w:rPr>
        <w:t xml:space="preserve">renovacijos industrializaciją (dalies statybos darbų etapų perkėlimą iš statybos aikštelės į standartizuotą gamybą)  ir </w:t>
      </w:r>
      <w:proofErr w:type="spellStart"/>
      <w:r w:rsidR="00781599" w:rsidRPr="00650EE4">
        <w:rPr>
          <w:rFonts w:ascii="Times New Roman" w:hAnsi="Times New Roman"/>
          <w:szCs w:val="22"/>
          <w:lang w:val="lt-LT"/>
        </w:rPr>
        <w:t>inovatyvių</w:t>
      </w:r>
      <w:proofErr w:type="spellEnd"/>
      <w:r w:rsidR="00E0464B" w:rsidRPr="00650EE4">
        <w:rPr>
          <w:rFonts w:ascii="Times New Roman" w:hAnsi="Times New Roman"/>
          <w:szCs w:val="22"/>
          <w:lang w:val="lt-LT"/>
        </w:rPr>
        <w:t xml:space="preserve"> </w:t>
      </w:r>
      <w:r w:rsidR="002F7091" w:rsidRPr="00650EE4">
        <w:rPr>
          <w:rFonts w:ascii="Times New Roman" w:hAnsi="Times New Roman"/>
          <w:szCs w:val="22"/>
          <w:lang w:val="lt-LT"/>
        </w:rPr>
        <w:t xml:space="preserve">statybos technologijų skatinimą. </w:t>
      </w:r>
    </w:p>
    <w:p w14:paraId="0578349B" w14:textId="77777777" w:rsidR="002C4FEC" w:rsidRPr="00650EE4" w:rsidRDefault="002C4FEC" w:rsidP="002C4FEC">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4932" w:rsidRPr="00650EE4" w14:paraId="032B4957" w14:textId="77777777" w:rsidTr="004847E3">
        <w:trPr>
          <w:trHeight w:val="61"/>
        </w:trPr>
        <w:tc>
          <w:tcPr>
            <w:tcW w:w="3114" w:type="dxa"/>
          </w:tcPr>
          <w:p w14:paraId="7FBDB845"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19446F9" w14:textId="3B936153" w:rsidR="00460C1B" w:rsidRPr="00650EE4" w:rsidRDefault="00460C1B" w:rsidP="004847E3">
            <w:pPr>
              <w:spacing w:after="60"/>
              <w:rPr>
                <w:rFonts w:ascii="Times New Roman" w:hAnsi="Times New Roman"/>
                <w:szCs w:val="22"/>
                <w:lang w:eastAsia="lt-LT"/>
              </w:rPr>
            </w:pPr>
            <w:r w:rsidRPr="00650EE4">
              <w:rPr>
                <w:rFonts w:ascii="Times New Roman" w:hAnsi="Times New Roman"/>
                <w:szCs w:val="22"/>
                <w:lang w:eastAsia="lt-LT"/>
              </w:rPr>
              <w:t>P12. Renovacijos projektų agregavimas</w:t>
            </w:r>
          </w:p>
          <w:p w14:paraId="580DC902" w14:textId="2AC9FA4E" w:rsidR="00302476"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3</w:t>
            </w:r>
            <w:r w:rsidRPr="00650EE4">
              <w:rPr>
                <w:rFonts w:ascii="Times New Roman" w:hAnsi="Times New Roman"/>
                <w:szCs w:val="22"/>
                <w:lang w:eastAsia="lt-LT"/>
              </w:rPr>
              <w:t>. Tvarumo ir inovacijų užtikrinimas</w:t>
            </w:r>
          </w:p>
          <w:p w14:paraId="105305B3" w14:textId="1E670442" w:rsidR="00302476"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0E3ADC8A" w14:textId="26A09737" w:rsidR="00E0464B" w:rsidRPr="00650EE4" w:rsidRDefault="00302476" w:rsidP="004847E3">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8</w:t>
            </w:r>
            <w:r w:rsidRPr="00650EE4">
              <w:rPr>
                <w:rFonts w:ascii="Times New Roman" w:hAnsi="Times New Roman"/>
                <w:szCs w:val="22"/>
                <w:lang w:eastAsia="lt-LT"/>
              </w:rPr>
              <w:t>. Vieno langelio principo įgyvendinimas</w:t>
            </w:r>
          </w:p>
        </w:tc>
      </w:tr>
      <w:tr w:rsidR="00CC4932" w:rsidRPr="00650EE4" w14:paraId="463DDB18" w14:textId="77777777" w:rsidTr="004847E3">
        <w:trPr>
          <w:trHeight w:val="61"/>
        </w:trPr>
        <w:tc>
          <w:tcPr>
            <w:tcW w:w="3114" w:type="dxa"/>
          </w:tcPr>
          <w:p w14:paraId="2EA952B7"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0D71498"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4932" w:rsidRPr="00650EE4" w14:paraId="590DC1ED" w14:textId="77777777" w:rsidTr="004847E3">
        <w:trPr>
          <w:trHeight w:val="76"/>
        </w:trPr>
        <w:tc>
          <w:tcPr>
            <w:tcW w:w="3114" w:type="dxa"/>
          </w:tcPr>
          <w:p w14:paraId="4E0AF352"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5257532"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FD574DD" w14:textId="77777777" w:rsidR="00CC4932" w:rsidRPr="00650EE4" w:rsidRDefault="00CC4932" w:rsidP="001F5F3C">
      <w:pPr>
        <w:pStyle w:val="BodyText"/>
        <w:spacing w:after="120"/>
        <w:rPr>
          <w:rFonts w:ascii="Times New Roman" w:hAnsi="Times New Roman"/>
          <w:lang w:val="lt-LT"/>
        </w:rPr>
      </w:pPr>
    </w:p>
    <w:p w14:paraId="63081801" w14:textId="51058EA2" w:rsidR="009E5313" w:rsidRPr="00650EE4" w:rsidRDefault="00A22441" w:rsidP="009E5313">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7</w:t>
      </w:r>
      <w:r w:rsidR="009E5313" w:rsidRPr="00650EE4">
        <w:rPr>
          <w:rFonts w:ascii="Times New Roman" w:hAnsi="Times New Roman"/>
          <w:b/>
          <w:bCs/>
          <w:szCs w:val="24"/>
        </w:rPr>
        <w:t xml:space="preserve">. Neišnaudotas visas renovacijos naudų potencialas </w:t>
      </w:r>
    </w:p>
    <w:p w14:paraId="7D25FF95" w14:textId="1EBF41A9" w:rsidR="004673FD" w:rsidRPr="00650EE4" w:rsidRDefault="004673FD" w:rsidP="007F560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Tinkamai įgyvendintos renovacijos teikiamos naudos yra daugialypės (ne tik sumažėjusios energijos išlaidos, bet ir būsto vertės padidėjimas, atnaujinta ne tik pastato bet ir miesto inžinerinė infrastruktūra, geresnė socialinė aplinka, pagerėjusi sveikata ir pan.). T</w:t>
      </w:r>
      <w:r w:rsidR="007F560E" w:rsidRPr="00650EE4">
        <w:rPr>
          <w:rFonts w:ascii="Times New Roman" w:hAnsi="Times New Roman"/>
          <w:color w:val="000000" w:themeColor="text1"/>
          <w:szCs w:val="22"/>
          <w:lang w:val="lt-LT"/>
        </w:rPr>
        <w:t xml:space="preserve">uo pat metu, </w:t>
      </w:r>
      <w:r w:rsidRPr="00650EE4">
        <w:rPr>
          <w:rFonts w:ascii="Times New Roman" w:hAnsi="Times New Roman"/>
          <w:color w:val="000000" w:themeColor="text1"/>
          <w:szCs w:val="22"/>
          <w:lang w:val="lt-LT"/>
        </w:rPr>
        <w:t xml:space="preserve">skirtingi pastatų fondo segmentai </w:t>
      </w:r>
      <w:r w:rsidR="007F560E" w:rsidRPr="00650EE4">
        <w:rPr>
          <w:rFonts w:ascii="Times New Roman" w:hAnsi="Times New Roman"/>
          <w:color w:val="000000" w:themeColor="text1"/>
          <w:szCs w:val="22"/>
          <w:lang w:val="lt-LT"/>
        </w:rPr>
        <w:t>turi skirtingus poreikius, reikalaujančius skirtingų priemonių padedančių tą naudą realizuoti pvz. individualių namų savininkams ypač aktuali galim</w:t>
      </w:r>
      <w:r w:rsidR="009B3FA5" w:rsidRPr="00650EE4">
        <w:rPr>
          <w:rFonts w:ascii="Times New Roman" w:hAnsi="Times New Roman"/>
          <w:color w:val="000000" w:themeColor="text1"/>
          <w:szCs w:val="22"/>
          <w:lang w:val="lt-LT"/>
        </w:rPr>
        <w:t>ybė taikyti renovacijos priemone</w:t>
      </w:r>
      <w:r w:rsidR="007F560E" w:rsidRPr="00650EE4">
        <w:rPr>
          <w:rFonts w:ascii="Times New Roman" w:hAnsi="Times New Roman"/>
          <w:color w:val="000000" w:themeColor="text1"/>
          <w:szCs w:val="22"/>
          <w:lang w:val="lt-LT"/>
        </w:rPr>
        <w:t xml:space="preserve">s lanksčiai, prisitaikant prie konkretaus pastato techninės būklės, daugiabučiams vis aktualesniais tampa kompleksiniai, plataus masto renovacijos sprendimai iš esmės keičiantys </w:t>
      </w:r>
      <w:r w:rsidR="007F560E" w:rsidRPr="00650EE4">
        <w:rPr>
          <w:rFonts w:ascii="Times New Roman" w:hAnsi="Times New Roman"/>
          <w:color w:val="000000" w:themeColor="text1"/>
          <w:szCs w:val="22"/>
          <w:lang w:val="lt-LT"/>
        </w:rPr>
        <w:lastRenderedPageBreak/>
        <w:t>kvartalo veidą ir gerinantys gyvenimo kokybę</w:t>
      </w:r>
      <w:r w:rsidR="009B3FA5" w:rsidRPr="00650EE4">
        <w:rPr>
          <w:rStyle w:val="FootnoteReference"/>
          <w:rFonts w:ascii="Times New Roman" w:hAnsi="Times New Roman"/>
          <w:color w:val="000000" w:themeColor="text1"/>
          <w:szCs w:val="22"/>
          <w:lang w:val="lt-LT"/>
        </w:rPr>
        <w:footnoteReference w:id="36"/>
      </w:r>
      <w:r w:rsidR="007F560E" w:rsidRPr="00650EE4">
        <w:rPr>
          <w:rFonts w:ascii="Times New Roman" w:hAnsi="Times New Roman"/>
          <w:color w:val="000000" w:themeColor="text1"/>
          <w:szCs w:val="22"/>
          <w:lang w:val="lt-LT"/>
        </w:rPr>
        <w:t xml:space="preserve">. </w:t>
      </w:r>
      <w:r w:rsidR="0070727B" w:rsidRPr="00650EE4">
        <w:rPr>
          <w:rFonts w:ascii="Times New Roman" w:hAnsi="Times New Roman"/>
          <w:color w:val="000000" w:themeColor="text1"/>
          <w:szCs w:val="22"/>
          <w:lang w:val="lt-LT"/>
        </w:rPr>
        <w:t>Taip pat, svarbu įvertinti, kad</w:t>
      </w:r>
      <w:r w:rsidR="00914174" w:rsidRPr="00650EE4">
        <w:rPr>
          <w:rFonts w:ascii="Times New Roman" w:hAnsi="Times New Roman"/>
          <w:color w:val="000000" w:themeColor="text1"/>
          <w:szCs w:val="22"/>
          <w:lang w:val="lt-LT"/>
        </w:rPr>
        <w:t xml:space="preserve"> </w:t>
      </w:r>
      <w:r w:rsidR="0070727B" w:rsidRPr="00650EE4">
        <w:rPr>
          <w:rFonts w:ascii="Times New Roman" w:hAnsi="Times New Roman"/>
          <w:color w:val="000000" w:themeColor="text1"/>
          <w:szCs w:val="22"/>
          <w:lang w:val="lt-LT"/>
        </w:rPr>
        <w:t>daliai</w:t>
      </w:r>
      <w:r w:rsidR="00914174" w:rsidRPr="00650EE4">
        <w:rPr>
          <w:rFonts w:ascii="Times New Roman" w:hAnsi="Times New Roman"/>
          <w:color w:val="000000" w:themeColor="text1"/>
          <w:szCs w:val="22"/>
          <w:lang w:val="lt-LT"/>
        </w:rPr>
        <w:t xml:space="preserve"> pastatų fondo segmentų (</w:t>
      </w:r>
      <w:r w:rsidR="007233D6" w:rsidRPr="00650EE4">
        <w:rPr>
          <w:rFonts w:ascii="Times New Roman" w:hAnsi="Times New Roman"/>
          <w:color w:val="000000" w:themeColor="text1"/>
          <w:szCs w:val="22"/>
          <w:lang w:val="lt-LT"/>
        </w:rPr>
        <w:t>ypač pastatams su daugiau nei vienu savininku</w:t>
      </w:r>
      <w:r w:rsidR="00914174" w:rsidRPr="00650EE4">
        <w:rPr>
          <w:rFonts w:ascii="Times New Roman" w:hAnsi="Times New Roman"/>
          <w:color w:val="000000" w:themeColor="text1"/>
          <w:szCs w:val="22"/>
          <w:lang w:val="lt-LT"/>
        </w:rPr>
        <w:t xml:space="preserve">) </w:t>
      </w:r>
      <w:r w:rsidR="009128D6" w:rsidRPr="00650EE4">
        <w:rPr>
          <w:rFonts w:ascii="Times New Roman" w:hAnsi="Times New Roman"/>
          <w:color w:val="000000" w:themeColor="text1"/>
          <w:szCs w:val="22"/>
          <w:lang w:val="lt-LT"/>
        </w:rPr>
        <w:t>sudėtinga efektyviai įgyvendinti renovacijos p</w:t>
      </w:r>
      <w:r w:rsidR="007233D6" w:rsidRPr="00650EE4">
        <w:rPr>
          <w:rFonts w:ascii="Times New Roman" w:hAnsi="Times New Roman"/>
          <w:color w:val="000000" w:themeColor="text1"/>
          <w:szCs w:val="22"/>
          <w:lang w:val="lt-LT"/>
        </w:rPr>
        <w:t>riemones laipsniškai, etapais</w:t>
      </w:r>
      <w:r w:rsidR="009128D6" w:rsidRPr="00650EE4">
        <w:rPr>
          <w:rFonts w:ascii="Times New Roman" w:hAnsi="Times New Roman"/>
          <w:color w:val="000000" w:themeColor="text1"/>
          <w:szCs w:val="22"/>
          <w:lang w:val="lt-LT"/>
        </w:rPr>
        <w:t xml:space="preserve"> „žingsnis po žingsnio“. </w:t>
      </w:r>
    </w:p>
    <w:p w14:paraId="702AD1DF" w14:textId="2985A168" w:rsidR="007233D6" w:rsidRPr="00650EE4" w:rsidRDefault="00914174" w:rsidP="00F849C3">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Todėl</w:t>
      </w:r>
      <w:r w:rsidR="00353082">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siekiant IRS num</w:t>
      </w:r>
      <w:r w:rsidR="007233D6" w:rsidRPr="00650EE4">
        <w:rPr>
          <w:rFonts w:ascii="Times New Roman" w:hAnsi="Times New Roman"/>
          <w:color w:val="000000" w:themeColor="text1"/>
          <w:szCs w:val="22"/>
          <w:lang w:val="lt-LT"/>
        </w:rPr>
        <w:t xml:space="preserve">atyto renovacijos proveržio, formuojant paramos priemones </w:t>
      </w:r>
      <w:r w:rsidRPr="00650EE4">
        <w:rPr>
          <w:rFonts w:ascii="Times New Roman" w:hAnsi="Times New Roman"/>
          <w:color w:val="000000" w:themeColor="text1"/>
          <w:szCs w:val="22"/>
          <w:lang w:val="lt-LT"/>
        </w:rPr>
        <w:t>svarbu akcentuoti</w:t>
      </w:r>
      <w:r w:rsidR="007233D6" w:rsidRPr="00650EE4">
        <w:rPr>
          <w:rFonts w:ascii="Times New Roman" w:hAnsi="Times New Roman"/>
          <w:color w:val="000000" w:themeColor="text1"/>
          <w:szCs w:val="22"/>
          <w:lang w:val="lt-LT"/>
        </w:rPr>
        <w:t>:</w:t>
      </w:r>
    </w:p>
    <w:p w14:paraId="63B9BE62" w14:textId="0A39C8E0"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914174" w:rsidRPr="00650EE4">
        <w:rPr>
          <w:rFonts w:ascii="Times New Roman" w:hAnsi="Times New Roman"/>
          <w:szCs w:val="22"/>
          <w:lang w:val="lt-LT"/>
        </w:rPr>
        <w:t>k</w:t>
      </w:r>
      <w:r>
        <w:rPr>
          <w:rFonts w:ascii="Times New Roman" w:hAnsi="Times New Roman"/>
          <w:szCs w:val="22"/>
          <w:lang w:val="lt-LT"/>
        </w:rPr>
        <w:t>irtingus vartotojų poreikius;</w:t>
      </w:r>
    </w:p>
    <w:p w14:paraId="2A46C2E4" w14:textId="65D9905B"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914174" w:rsidRPr="00650EE4">
        <w:rPr>
          <w:rFonts w:ascii="Times New Roman" w:hAnsi="Times New Roman"/>
          <w:szCs w:val="22"/>
          <w:lang w:val="lt-LT"/>
        </w:rPr>
        <w:t>iekį</w:t>
      </w:r>
      <w:r w:rsidR="002B1BFC" w:rsidRPr="00650EE4">
        <w:rPr>
          <w:rFonts w:ascii="Times New Roman" w:hAnsi="Times New Roman"/>
          <w:szCs w:val="22"/>
          <w:lang w:val="lt-LT"/>
        </w:rPr>
        <w:t xml:space="preserve"> </w:t>
      </w:r>
      <w:r w:rsidR="00781599" w:rsidRPr="00650EE4">
        <w:rPr>
          <w:rFonts w:ascii="Times New Roman" w:hAnsi="Times New Roman"/>
          <w:szCs w:val="22"/>
          <w:lang w:val="lt-LT"/>
        </w:rPr>
        <w:t>maksimizuoti</w:t>
      </w:r>
      <w:r w:rsidR="007233D6" w:rsidRPr="00650EE4">
        <w:rPr>
          <w:rFonts w:ascii="Times New Roman" w:hAnsi="Times New Roman"/>
          <w:szCs w:val="22"/>
          <w:lang w:val="lt-LT"/>
        </w:rPr>
        <w:t xml:space="preserve"> renovacijos naudas (</w:t>
      </w:r>
      <w:r w:rsidR="00FB1BC1" w:rsidRPr="00650EE4">
        <w:rPr>
          <w:rFonts w:ascii="Times New Roman" w:hAnsi="Times New Roman"/>
          <w:szCs w:val="22"/>
          <w:lang w:val="lt-LT"/>
        </w:rPr>
        <w:t>tie</w:t>
      </w:r>
      <w:r w:rsidR="00ED6B6B" w:rsidRPr="00650EE4">
        <w:rPr>
          <w:rFonts w:ascii="Times New Roman" w:hAnsi="Times New Roman"/>
          <w:szCs w:val="22"/>
          <w:lang w:val="lt-LT"/>
        </w:rPr>
        <w:t xml:space="preserve">k </w:t>
      </w:r>
      <w:r w:rsidR="00FB1BC1" w:rsidRPr="00650EE4">
        <w:rPr>
          <w:rFonts w:ascii="Times New Roman" w:hAnsi="Times New Roman"/>
          <w:szCs w:val="22"/>
          <w:lang w:val="lt-LT"/>
        </w:rPr>
        <w:t xml:space="preserve">kiek racionalu </w:t>
      </w:r>
      <w:r w:rsidR="007233D6" w:rsidRPr="00650EE4">
        <w:rPr>
          <w:rFonts w:ascii="Times New Roman" w:hAnsi="Times New Roman"/>
          <w:szCs w:val="22"/>
          <w:lang w:val="lt-LT"/>
        </w:rPr>
        <w:t xml:space="preserve">skatinti kompleksinę, </w:t>
      </w:r>
      <w:r w:rsidR="004624BD" w:rsidRPr="00650EE4">
        <w:rPr>
          <w:rFonts w:ascii="Times New Roman" w:hAnsi="Times New Roman"/>
          <w:szCs w:val="22"/>
          <w:lang w:val="lt-LT"/>
        </w:rPr>
        <w:t>esminę</w:t>
      </w:r>
      <w:r w:rsidR="00F914E7" w:rsidRPr="00650EE4">
        <w:rPr>
          <w:rFonts w:ascii="Times New Roman" w:hAnsi="Times New Roman"/>
          <w:szCs w:val="22"/>
          <w:lang w:val="lt-LT"/>
        </w:rPr>
        <w:t xml:space="preserve"> renovaciją</w:t>
      </w:r>
      <w:r w:rsidR="007233D6" w:rsidRPr="00650EE4">
        <w:rPr>
          <w:rFonts w:ascii="Times New Roman" w:hAnsi="Times New Roman"/>
          <w:szCs w:val="22"/>
          <w:lang w:val="lt-LT"/>
        </w:rPr>
        <w:t>)</w:t>
      </w:r>
      <w:r>
        <w:rPr>
          <w:rFonts w:ascii="Times New Roman" w:hAnsi="Times New Roman"/>
          <w:szCs w:val="22"/>
          <w:lang w:val="lt-LT"/>
        </w:rPr>
        <w:t>;</w:t>
      </w:r>
    </w:p>
    <w:p w14:paraId="19522665" w14:textId="31177773" w:rsidR="007233D6"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s</w:t>
      </w:r>
      <w:r w:rsidR="007233D6" w:rsidRPr="00650EE4">
        <w:rPr>
          <w:rFonts w:ascii="Times New Roman" w:hAnsi="Times New Roman"/>
          <w:szCs w:val="22"/>
          <w:lang w:val="lt-LT"/>
        </w:rPr>
        <w:t xml:space="preserve">iekį įgyvendinti renovacijos priemones kuo labiau </w:t>
      </w:r>
      <w:r w:rsidR="002B1BFC" w:rsidRPr="00650EE4">
        <w:rPr>
          <w:rFonts w:ascii="Times New Roman" w:hAnsi="Times New Roman"/>
          <w:szCs w:val="22"/>
          <w:lang w:val="lt-LT"/>
        </w:rPr>
        <w:t>koncentruotai (</w:t>
      </w:r>
      <w:r w:rsidR="00E05FB1" w:rsidRPr="00650EE4">
        <w:rPr>
          <w:rFonts w:ascii="Times New Roman" w:hAnsi="Times New Roman"/>
          <w:szCs w:val="22"/>
          <w:lang w:val="lt-LT"/>
        </w:rPr>
        <w:t>etapais tik jei racionalu, neaukojant ilgalaikės perspektyvos vardan trumpalaikio efekto</w:t>
      </w:r>
      <w:r w:rsidR="002B1BFC" w:rsidRPr="00650EE4">
        <w:rPr>
          <w:rFonts w:ascii="Times New Roman" w:hAnsi="Times New Roman"/>
          <w:szCs w:val="22"/>
          <w:lang w:val="lt-LT"/>
        </w:rPr>
        <w:t>)</w:t>
      </w:r>
      <w:r>
        <w:rPr>
          <w:rFonts w:ascii="Times New Roman" w:hAnsi="Times New Roman"/>
          <w:szCs w:val="22"/>
          <w:lang w:val="lt-LT"/>
        </w:rPr>
        <w:t>;</w:t>
      </w:r>
      <w:r w:rsidR="00E05FB1" w:rsidRPr="00650EE4">
        <w:rPr>
          <w:rFonts w:ascii="Times New Roman" w:hAnsi="Times New Roman"/>
          <w:szCs w:val="22"/>
          <w:lang w:val="lt-LT"/>
        </w:rPr>
        <w:t xml:space="preserve"> </w:t>
      </w:r>
    </w:p>
    <w:p w14:paraId="423A5EA5" w14:textId="108C30B3" w:rsidR="00CC60FA" w:rsidRPr="00650EE4" w:rsidRDefault="000A24D5" w:rsidP="00BD4925">
      <w:pPr>
        <w:pStyle w:val="ListParagraph"/>
        <w:numPr>
          <w:ilvl w:val="0"/>
          <w:numId w:val="56"/>
        </w:numPr>
        <w:spacing w:before="60" w:after="60"/>
        <w:jc w:val="both"/>
        <w:rPr>
          <w:rFonts w:ascii="Times New Roman" w:hAnsi="Times New Roman"/>
          <w:szCs w:val="22"/>
          <w:lang w:val="lt-LT"/>
        </w:rPr>
      </w:pPr>
      <w:r>
        <w:rPr>
          <w:rFonts w:ascii="Times New Roman" w:hAnsi="Times New Roman"/>
          <w:szCs w:val="22"/>
          <w:lang w:val="lt-LT"/>
        </w:rPr>
        <w:t>a</w:t>
      </w:r>
      <w:r w:rsidR="00CC60FA" w:rsidRPr="00650EE4">
        <w:rPr>
          <w:rFonts w:ascii="Times New Roman" w:hAnsi="Times New Roman"/>
          <w:szCs w:val="22"/>
          <w:lang w:val="lt-LT"/>
        </w:rPr>
        <w:t>dministracinių barjerų mažinimą</w:t>
      </w:r>
      <w:r w:rsidR="00F87F26" w:rsidRPr="00650EE4">
        <w:rPr>
          <w:rFonts w:ascii="Times New Roman" w:hAnsi="Times New Roman"/>
          <w:szCs w:val="22"/>
          <w:lang w:val="lt-LT"/>
        </w:rPr>
        <w:t>, ypatingai</w:t>
      </w:r>
      <w:r w:rsidR="00CC60FA" w:rsidRPr="00650EE4">
        <w:rPr>
          <w:rFonts w:ascii="Times New Roman" w:hAnsi="Times New Roman"/>
          <w:szCs w:val="22"/>
          <w:lang w:val="lt-LT"/>
        </w:rPr>
        <w:t xml:space="preserve"> įgyvendinant kompleksines renovacijos priemones, pvz., vykdant </w:t>
      </w:r>
      <w:proofErr w:type="spellStart"/>
      <w:r w:rsidR="00CC60FA" w:rsidRPr="00650EE4">
        <w:rPr>
          <w:rFonts w:ascii="Times New Roman" w:hAnsi="Times New Roman"/>
          <w:szCs w:val="22"/>
          <w:lang w:val="lt-LT"/>
        </w:rPr>
        <w:t>kvartalinę</w:t>
      </w:r>
      <w:proofErr w:type="spellEnd"/>
      <w:r w:rsidR="00CC60FA" w:rsidRPr="00650EE4">
        <w:rPr>
          <w:rFonts w:ascii="Times New Roman" w:hAnsi="Times New Roman"/>
          <w:szCs w:val="22"/>
          <w:lang w:val="lt-LT"/>
        </w:rPr>
        <w:t xml:space="preserve"> renovaciją, kur renovacijos paramos priemonės papildomai turėtų būti suderintos ir su teritorijų tvarkymo ir plėtros priemonėmis.</w:t>
      </w:r>
    </w:p>
    <w:p w14:paraId="7DCE2FBF" w14:textId="22A807FB" w:rsidR="004673FD" w:rsidRPr="00650EE4" w:rsidRDefault="004673FD" w:rsidP="00E05FB1">
      <w:pPr>
        <w:pStyle w:val="BodyText"/>
        <w:spacing w:before="120"/>
        <w:jc w:val="both"/>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9E5313" w:rsidRPr="00650EE4" w14:paraId="6D758F10" w14:textId="77777777" w:rsidTr="009D11BA">
        <w:trPr>
          <w:trHeight w:val="61"/>
        </w:trPr>
        <w:tc>
          <w:tcPr>
            <w:tcW w:w="3114" w:type="dxa"/>
          </w:tcPr>
          <w:p w14:paraId="536CDDF2" w14:textId="77777777"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5C378EA" w14:textId="0CAAFAFE" w:rsidR="00E16CF2"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P8. Esminė renovacija</w:t>
            </w:r>
          </w:p>
          <w:p w14:paraId="166B97DA" w14:textId="01D620D9" w:rsidR="00E16CF2"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P9. Racionali renovacija</w:t>
            </w:r>
          </w:p>
          <w:p w14:paraId="2DDDD642" w14:textId="3CE91B27" w:rsidR="007F560E"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P1</w:t>
            </w:r>
            <w:r w:rsidR="00E16CF2" w:rsidRPr="00650EE4">
              <w:rPr>
                <w:rFonts w:ascii="Times New Roman" w:hAnsi="Times New Roman"/>
                <w:szCs w:val="22"/>
                <w:lang w:eastAsia="lt-LT"/>
              </w:rPr>
              <w:t>0</w:t>
            </w:r>
            <w:r w:rsidRPr="00650EE4">
              <w:rPr>
                <w:rFonts w:ascii="Times New Roman" w:hAnsi="Times New Roman"/>
                <w:szCs w:val="22"/>
                <w:lang w:eastAsia="lt-LT"/>
              </w:rPr>
              <w:t xml:space="preserve">. </w:t>
            </w:r>
            <w:proofErr w:type="spellStart"/>
            <w:r w:rsidR="007F560E" w:rsidRPr="00650EE4">
              <w:rPr>
                <w:rFonts w:ascii="Times New Roman" w:hAnsi="Times New Roman"/>
                <w:szCs w:val="22"/>
                <w:lang w:eastAsia="lt-LT"/>
              </w:rPr>
              <w:t>Kvartalinė</w:t>
            </w:r>
            <w:proofErr w:type="spellEnd"/>
            <w:r w:rsidR="007F560E" w:rsidRPr="00650EE4">
              <w:rPr>
                <w:rFonts w:ascii="Times New Roman" w:hAnsi="Times New Roman"/>
                <w:szCs w:val="22"/>
                <w:lang w:eastAsia="lt-LT"/>
              </w:rPr>
              <w:t xml:space="preserve"> </w:t>
            </w:r>
            <w:r w:rsidR="00781599" w:rsidRPr="00650EE4">
              <w:rPr>
                <w:rFonts w:ascii="Times New Roman" w:hAnsi="Times New Roman"/>
                <w:szCs w:val="22"/>
                <w:lang w:eastAsia="lt-LT"/>
              </w:rPr>
              <w:t>renovacija</w:t>
            </w:r>
          </w:p>
          <w:p w14:paraId="7713D80D" w14:textId="77777777" w:rsidR="009E5313" w:rsidRPr="00650EE4" w:rsidRDefault="00E16CF2" w:rsidP="009D11BA">
            <w:pPr>
              <w:spacing w:after="60"/>
              <w:rPr>
                <w:rFonts w:ascii="Times New Roman" w:hAnsi="Times New Roman"/>
                <w:szCs w:val="22"/>
                <w:lang w:eastAsia="lt-LT"/>
              </w:rPr>
            </w:pPr>
            <w:r w:rsidRPr="00650EE4">
              <w:rPr>
                <w:rFonts w:ascii="Times New Roman" w:hAnsi="Times New Roman"/>
                <w:szCs w:val="22"/>
                <w:lang w:eastAsia="lt-LT"/>
              </w:rPr>
              <w:t>P11. Dalinė renovacija</w:t>
            </w:r>
          </w:p>
          <w:p w14:paraId="5CE2376F" w14:textId="3E2C9E2C" w:rsidR="00523DB9" w:rsidRPr="00650EE4" w:rsidRDefault="00523DB9" w:rsidP="009D11BA">
            <w:pPr>
              <w:spacing w:after="60"/>
              <w:rPr>
                <w:rFonts w:ascii="Times New Roman" w:hAnsi="Times New Roman"/>
                <w:szCs w:val="22"/>
                <w:lang w:eastAsia="lt-LT"/>
              </w:rPr>
            </w:pPr>
            <w:r w:rsidRPr="00650EE4">
              <w:rPr>
                <w:rFonts w:ascii="Times New Roman" w:hAnsi="Times New Roman"/>
                <w:szCs w:val="22"/>
                <w:lang w:eastAsia="lt-LT"/>
              </w:rPr>
              <w:t>P12. Renovacijos projektų agregavimas</w:t>
            </w:r>
          </w:p>
        </w:tc>
      </w:tr>
      <w:tr w:rsidR="009E5313" w:rsidRPr="00650EE4" w14:paraId="0A4A2FFA" w14:textId="77777777" w:rsidTr="009D11BA">
        <w:trPr>
          <w:trHeight w:val="61"/>
        </w:trPr>
        <w:tc>
          <w:tcPr>
            <w:tcW w:w="3114" w:type="dxa"/>
          </w:tcPr>
          <w:p w14:paraId="51FE4EAD" w14:textId="51B6D663"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41D120D" w14:textId="77777777" w:rsidR="009E5313"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Aukštas</w:t>
            </w:r>
          </w:p>
        </w:tc>
      </w:tr>
      <w:tr w:rsidR="009E5313" w:rsidRPr="00650EE4" w14:paraId="136C13FE" w14:textId="77777777" w:rsidTr="009D11BA">
        <w:trPr>
          <w:trHeight w:val="76"/>
        </w:trPr>
        <w:tc>
          <w:tcPr>
            <w:tcW w:w="3114" w:type="dxa"/>
          </w:tcPr>
          <w:p w14:paraId="5B1F4696" w14:textId="77777777" w:rsidR="009E5313" w:rsidRPr="00650EE4" w:rsidRDefault="009E5313" w:rsidP="009D11B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9E3CE3E" w14:textId="77777777" w:rsidR="009E5313" w:rsidRPr="00650EE4" w:rsidRDefault="009E5313" w:rsidP="009D11BA">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4F1D25BB" w14:textId="77777777" w:rsidR="009D11BA" w:rsidRPr="00650EE4" w:rsidRDefault="009D11BA" w:rsidP="009D11BA">
      <w:pPr>
        <w:pStyle w:val="BodyText"/>
        <w:rPr>
          <w:rFonts w:ascii="Times New Roman" w:hAnsi="Times New Roman"/>
          <w:lang w:val="lt-LT"/>
        </w:rPr>
      </w:pPr>
    </w:p>
    <w:p w14:paraId="2C3D66CE" w14:textId="3B128CF2" w:rsidR="009D11BA" w:rsidRPr="00650EE4" w:rsidRDefault="00C76AEE" w:rsidP="009D11BA">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8</w:t>
      </w:r>
      <w:r w:rsidR="009D11BA" w:rsidRPr="00650EE4">
        <w:rPr>
          <w:rFonts w:ascii="Times New Roman" w:hAnsi="Times New Roman"/>
          <w:b/>
          <w:bCs/>
          <w:szCs w:val="24"/>
        </w:rPr>
        <w:t xml:space="preserve">. Neužtikrintas </w:t>
      </w:r>
      <w:r w:rsidR="00621FDF" w:rsidRPr="00650EE4">
        <w:rPr>
          <w:rFonts w:ascii="Times New Roman" w:hAnsi="Times New Roman"/>
          <w:b/>
          <w:bCs/>
          <w:szCs w:val="24"/>
        </w:rPr>
        <w:t>transformacijos</w:t>
      </w:r>
      <w:r w:rsidR="009D11BA" w:rsidRPr="00650EE4">
        <w:rPr>
          <w:rFonts w:ascii="Times New Roman" w:hAnsi="Times New Roman"/>
          <w:b/>
          <w:bCs/>
          <w:szCs w:val="24"/>
        </w:rPr>
        <w:t xml:space="preserve"> </w:t>
      </w:r>
      <w:r w:rsidR="00616ADD" w:rsidRPr="00650EE4">
        <w:rPr>
          <w:rFonts w:ascii="Times New Roman" w:hAnsi="Times New Roman"/>
          <w:b/>
          <w:bCs/>
          <w:szCs w:val="24"/>
        </w:rPr>
        <w:t>tvarumas</w:t>
      </w:r>
    </w:p>
    <w:p w14:paraId="48766968" w14:textId="068DECEC" w:rsidR="00751BAA" w:rsidRPr="00650EE4" w:rsidRDefault="002F7091" w:rsidP="00751BAA">
      <w:pPr>
        <w:pStyle w:val="BodyText"/>
        <w:jc w:val="both"/>
        <w:rPr>
          <w:rFonts w:ascii="Times New Roman" w:hAnsi="Times New Roman"/>
          <w:szCs w:val="22"/>
          <w:lang w:val="lt-LT"/>
        </w:rPr>
      </w:pPr>
      <w:r w:rsidRPr="00650EE4">
        <w:rPr>
          <w:rFonts w:ascii="Times New Roman" w:hAnsi="Times New Roman"/>
          <w:color w:val="000000" w:themeColor="text1"/>
          <w:szCs w:val="22"/>
          <w:lang w:val="lt-LT"/>
        </w:rPr>
        <w:t xml:space="preserve">Europos „Žaliasis </w:t>
      </w:r>
      <w:r w:rsidR="009D11BA" w:rsidRPr="00650EE4">
        <w:rPr>
          <w:rFonts w:ascii="Times New Roman" w:hAnsi="Times New Roman"/>
          <w:color w:val="000000" w:themeColor="text1"/>
          <w:szCs w:val="22"/>
          <w:lang w:val="lt-LT"/>
        </w:rPr>
        <w:t>kursas</w:t>
      </w:r>
      <w:r w:rsidRPr="00650EE4">
        <w:rPr>
          <w:rFonts w:ascii="Times New Roman" w:hAnsi="Times New Roman"/>
          <w:color w:val="000000" w:themeColor="text1"/>
          <w:szCs w:val="22"/>
          <w:lang w:val="lt-LT"/>
        </w:rPr>
        <w:t>“ įpareigoja siekti ne tik efektyvio</w:t>
      </w:r>
      <w:r w:rsidR="00ED6B6B" w:rsidRPr="00650EE4">
        <w:rPr>
          <w:rFonts w:ascii="Times New Roman" w:hAnsi="Times New Roman"/>
          <w:color w:val="000000" w:themeColor="text1"/>
          <w:szCs w:val="22"/>
          <w:lang w:val="lt-LT"/>
        </w:rPr>
        <w:t xml:space="preserve">s, </w:t>
      </w:r>
      <w:r w:rsidR="009D11BA" w:rsidRPr="00650EE4">
        <w:rPr>
          <w:rFonts w:ascii="Times New Roman" w:hAnsi="Times New Roman"/>
          <w:color w:val="000000" w:themeColor="text1"/>
          <w:szCs w:val="22"/>
          <w:lang w:val="lt-LT"/>
        </w:rPr>
        <w:t>bet ir tvarios renovacijos</w:t>
      </w:r>
      <w:r w:rsidRPr="00650EE4">
        <w:rPr>
          <w:rFonts w:ascii="Times New Roman" w:hAnsi="Times New Roman"/>
          <w:color w:val="000000" w:themeColor="text1"/>
          <w:szCs w:val="22"/>
          <w:lang w:val="lt-LT"/>
        </w:rPr>
        <w:t xml:space="preserve"> (žr. </w:t>
      </w:r>
      <w:r w:rsidR="006478CA">
        <w:rPr>
          <w:rFonts w:ascii="Times New Roman" w:hAnsi="Times New Roman"/>
          <w:color w:val="000000" w:themeColor="text1"/>
          <w:szCs w:val="22"/>
        </w:rPr>
        <w:t>5</w:t>
      </w:r>
      <w:r w:rsidRPr="00650EE4">
        <w:rPr>
          <w:rFonts w:ascii="Times New Roman" w:hAnsi="Times New Roman"/>
          <w:color w:val="000000" w:themeColor="text1"/>
          <w:szCs w:val="22"/>
          <w:lang w:val="lt-LT"/>
        </w:rPr>
        <w:t>.1 skyrių)</w:t>
      </w:r>
      <w:r w:rsidR="009D11BA"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Tvari renovacija suprantama kaip </w:t>
      </w:r>
      <w:r w:rsidR="00751BAA" w:rsidRPr="00650EE4">
        <w:rPr>
          <w:rFonts w:ascii="Times New Roman" w:hAnsi="Times New Roman"/>
          <w:color w:val="000000" w:themeColor="text1"/>
          <w:szCs w:val="22"/>
          <w:lang w:val="lt-LT"/>
        </w:rPr>
        <w:t>esminius žiedinės ekonomikos principus</w:t>
      </w:r>
      <w:r w:rsidR="00751BAA" w:rsidRPr="00650EE4">
        <w:rPr>
          <w:rFonts w:ascii="Times New Roman" w:hAnsi="Times New Roman"/>
          <w:szCs w:val="22"/>
          <w:lang w:val="lt-LT"/>
        </w:rPr>
        <w:t xml:space="preserve"> </w:t>
      </w:r>
      <w:r w:rsidR="00751BAA" w:rsidRPr="00650EE4">
        <w:rPr>
          <w:rFonts w:ascii="Times New Roman" w:hAnsi="Times New Roman"/>
          <w:color w:val="000000" w:themeColor="text1"/>
          <w:szCs w:val="22"/>
          <w:lang w:val="lt-LT"/>
        </w:rPr>
        <w:t>atitinkanti transformacija, skatinanti renovacijai reikalingų r</w:t>
      </w:r>
      <w:r w:rsidR="00751BAA" w:rsidRPr="00650EE4">
        <w:rPr>
          <w:rFonts w:ascii="Times New Roman" w:hAnsi="Times New Roman"/>
          <w:szCs w:val="22"/>
          <w:lang w:val="lt-LT"/>
        </w:rPr>
        <w:t xml:space="preserve">esursų panaudojimo mažinimą, jų pakartotinį naudojimą ir perdirbimą. </w:t>
      </w:r>
    </w:p>
    <w:p w14:paraId="4425BAA7" w14:textId="77777777" w:rsidR="002F7091" w:rsidRPr="00650EE4" w:rsidRDefault="002F7091" w:rsidP="009D11BA">
      <w:pPr>
        <w:pStyle w:val="BodyText"/>
        <w:jc w:val="both"/>
        <w:rPr>
          <w:rFonts w:ascii="Times New Roman" w:hAnsi="Times New Roman"/>
          <w:color w:val="000000" w:themeColor="text1"/>
          <w:szCs w:val="22"/>
          <w:lang w:val="lt-LT"/>
        </w:rPr>
      </w:pPr>
    </w:p>
    <w:p w14:paraId="4A9DA794" w14:textId="21AF6047" w:rsidR="009D11BA" w:rsidRPr="00650EE4" w:rsidRDefault="006478CA" w:rsidP="009D11BA">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F26210" w:rsidRPr="00650EE4">
        <w:rPr>
          <w:rFonts w:ascii="Times New Roman" w:hAnsi="Times New Roman"/>
          <w:color w:val="000000" w:themeColor="text1"/>
          <w:szCs w:val="22"/>
          <w:lang w:val="lt-LT"/>
        </w:rPr>
        <w:t>iekiant tvarios pastatų fondo t</w:t>
      </w:r>
      <w:r w:rsidR="00602BCB" w:rsidRPr="00650EE4">
        <w:rPr>
          <w:rFonts w:ascii="Times New Roman" w:hAnsi="Times New Roman"/>
          <w:color w:val="000000" w:themeColor="text1"/>
          <w:szCs w:val="22"/>
          <w:lang w:val="lt-LT"/>
        </w:rPr>
        <w:t>ransformacijos,</w:t>
      </w:r>
      <w:r w:rsidR="00F26210" w:rsidRPr="00650EE4">
        <w:rPr>
          <w:rFonts w:ascii="Times New Roman" w:hAnsi="Times New Roman"/>
          <w:color w:val="000000" w:themeColor="text1"/>
          <w:szCs w:val="22"/>
          <w:lang w:val="lt-LT"/>
        </w:rPr>
        <w:t xml:space="preserve"> formuojant</w:t>
      </w:r>
      <w:r w:rsidR="004C18C9" w:rsidRPr="00650EE4">
        <w:rPr>
          <w:rFonts w:ascii="Times New Roman" w:hAnsi="Times New Roman"/>
          <w:color w:val="000000" w:themeColor="text1"/>
          <w:szCs w:val="22"/>
          <w:lang w:val="lt-LT"/>
        </w:rPr>
        <w:t xml:space="preserve"> paramos priemones</w:t>
      </w:r>
      <w:r w:rsidR="00602BCB" w:rsidRPr="00650EE4">
        <w:rPr>
          <w:rFonts w:ascii="Times New Roman" w:hAnsi="Times New Roman"/>
          <w:color w:val="000000" w:themeColor="text1"/>
          <w:szCs w:val="22"/>
          <w:lang w:val="lt-LT"/>
        </w:rPr>
        <w:t xml:space="preserve"> tikslinga</w:t>
      </w:r>
      <w:r w:rsidR="00F26210" w:rsidRPr="00650EE4">
        <w:rPr>
          <w:rFonts w:ascii="Times New Roman" w:hAnsi="Times New Roman"/>
          <w:color w:val="000000" w:themeColor="text1"/>
          <w:szCs w:val="22"/>
          <w:lang w:val="lt-LT"/>
        </w:rPr>
        <w:t xml:space="preserve"> įdiegti konkrečius</w:t>
      </w:r>
      <w:r w:rsidR="004C18C9" w:rsidRPr="00650EE4">
        <w:rPr>
          <w:rFonts w:ascii="Times New Roman" w:hAnsi="Times New Roman"/>
          <w:color w:val="000000" w:themeColor="text1"/>
          <w:szCs w:val="22"/>
          <w:lang w:val="lt-LT"/>
        </w:rPr>
        <w:t xml:space="preserve"> </w:t>
      </w:r>
      <w:r w:rsidR="00602BCB" w:rsidRPr="00650EE4">
        <w:rPr>
          <w:rFonts w:ascii="Times New Roman" w:hAnsi="Times New Roman"/>
          <w:color w:val="000000" w:themeColor="text1"/>
          <w:szCs w:val="22"/>
          <w:lang w:val="lt-LT"/>
        </w:rPr>
        <w:t>sprendimus</w:t>
      </w:r>
      <w:r w:rsidR="00F26210" w:rsidRPr="00650EE4">
        <w:rPr>
          <w:rFonts w:ascii="Times New Roman" w:hAnsi="Times New Roman"/>
          <w:color w:val="000000" w:themeColor="text1"/>
          <w:szCs w:val="22"/>
          <w:lang w:val="lt-LT"/>
        </w:rPr>
        <w:t xml:space="preserve">, skatinančių </w:t>
      </w:r>
      <w:r w:rsidR="004C18C9" w:rsidRPr="00650EE4">
        <w:rPr>
          <w:rFonts w:ascii="Times New Roman" w:hAnsi="Times New Roman"/>
          <w:color w:val="000000" w:themeColor="text1"/>
          <w:szCs w:val="22"/>
          <w:lang w:val="lt-LT"/>
        </w:rPr>
        <w:t>tvari</w:t>
      </w:r>
      <w:r w:rsidR="00F26210" w:rsidRPr="00650EE4">
        <w:rPr>
          <w:rFonts w:ascii="Times New Roman" w:hAnsi="Times New Roman"/>
          <w:color w:val="000000" w:themeColor="text1"/>
          <w:szCs w:val="22"/>
          <w:lang w:val="lt-LT"/>
        </w:rPr>
        <w:t>os</w:t>
      </w:r>
      <w:r w:rsidR="004C18C9" w:rsidRPr="00650EE4">
        <w:rPr>
          <w:rFonts w:ascii="Times New Roman" w:hAnsi="Times New Roman"/>
          <w:color w:val="000000" w:themeColor="text1"/>
          <w:szCs w:val="22"/>
          <w:lang w:val="lt-LT"/>
        </w:rPr>
        <w:t xml:space="preserve"> ren</w:t>
      </w:r>
      <w:r w:rsidR="00F26210" w:rsidRPr="00650EE4">
        <w:rPr>
          <w:rFonts w:ascii="Times New Roman" w:hAnsi="Times New Roman"/>
          <w:color w:val="000000" w:themeColor="text1"/>
          <w:szCs w:val="22"/>
          <w:lang w:val="lt-LT"/>
        </w:rPr>
        <w:t xml:space="preserve">ovacijos įgyvendinimą. Be to, tikėtina, kad </w:t>
      </w:r>
      <w:r w:rsidR="004C18C9" w:rsidRPr="00650EE4">
        <w:rPr>
          <w:rFonts w:ascii="Times New Roman" w:hAnsi="Times New Roman"/>
          <w:color w:val="000000" w:themeColor="text1"/>
          <w:szCs w:val="22"/>
          <w:lang w:val="lt-LT"/>
        </w:rPr>
        <w:t>tiek statybų tiek projektavimo rink</w:t>
      </w:r>
      <w:r w:rsidR="006D43F0" w:rsidRPr="00650EE4">
        <w:rPr>
          <w:rFonts w:ascii="Times New Roman" w:hAnsi="Times New Roman"/>
          <w:color w:val="000000" w:themeColor="text1"/>
          <w:szCs w:val="22"/>
          <w:lang w:val="lt-LT"/>
        </w:rPr>
        <w:t>os</w:t>
      </w:r>
      <w:r w:rsidR="004C18C9" w:rsidRPr="00650EE4">
        <w:rPr>
          <w:rFonts w:ascii="Times New Roman" w:hAnsi="Times New Roman"/>
          <w:color w:val="000000" w:themeColor="text1"/>
          <w:szCs w:val="22"/>
          <w:lang w:val="lt-LT"/>
        </w:rPr>
        <w:t xml:space="preserve"> dalyviams reikalingas </w:t>
      </w:r>
      <w:r w:rsidR="00F26210" w:rsidRPr="00650EE4">
        <w:rPr>
          <w:rFonts w:ascii="Times New Roman" w:hAnsi="Times New Roman"/>
          <w:color w:val="000000" w:themeColor="text1"/>
          <w:szCs w:val="22"/>
          <w:lang w:val="lt-LT"/>
        </w:rPr>
        <w:t>adaptacijos prie naujų reik</w:t>
      </w:r>
      <w:r w:rsidR="006D43F0" w:rsidRPr="00650EE4">
        <w:rPr>
          <w:rFonts w:ascii="Times New Roman" w:hAnsi="Times New Roman"/>
          <w:color w:val="000000" w:themeColor="text1"/>
          <w:szCs w:val="22"/>
          <w:lang w:val="lt-LT"/>
        </w:rPr>
        <w:t>a</w:t>
      </w:r>
      <w:r w:rsidR="00F26210" w:rsidRPr="00650EE4">
        <w:rPr>
          <w:rFonts w:ascii="Times New Roman" w:hAnsi="Times New Roman"/>
          <w:color w:val="000000" w:themeColor="text1"/>
          <w:szCs w:val="22"/>
          <w:lang w:val="lt-LT"/>
        </w:rPr>
        <w:t xml:space="preserve">lavimų laikotarpis. </w:t>
      </w:r>
    </w:p>
    <w:p w14:paraId="125A40D6" w14:textId="77777777" w:rsidR="009D11BA" w:rsidRPr="00650EE4" w:rsidRDefault="009D11BA" w:rsidP="009D11BA">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9D11BA" w:rsidRPr="00650EE4" w14:paraId="01732921" w14:textId="77777777" w:rsidTr="009D11BA">
        <w:trPr>
          <w:trHeight w:val="61"/>
        </w:trPr>
        <w:tc>
          <w:tcPr>
            <w:tcW w:w="3114" w:type="dxa"/>
          </w:tcPr>
          <w:p w14:paraId="2B75FACE"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6478983" w14:textId="012CCAF4" w:rsidR="009D11BA" w:rsidRPr="00650EE4" w:rsidRDefault="009D11BA" w:rsidP="00616ADD">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3</w:t>
            </w:r>
            <w:r w:rsidR="00616ADD" w:rsidRPr="00650EE4">
              <w:rPr>
                <w:rFonts w:ascii="Times New Roman" w:hAnsi="Times New Roman"/>
                <w:szCs w:val="22"/>
                <w:lang w:eastAsia="lt-LT"/>
              </w:rPr>
              <w:t xml:space="preserve">. </w:t>
            </w:r>
            <w:r w:rsidR="00077E8A" w:rsidRPr="00650EE4">
              <w:rPr>
                <w:rFonts w:ascii="Times New Roman" w:hAnsi="Times New Roman"/>
                <w:szCs w:val="22"/>
                <w:lang w:eastAsia="lt-LT"/>
              </w:rPr>
              <w:t>Tvarumo ir inovacijų užtikrinimas</w:t>
            </w:r>
          </w:p>
        </w:tc>
      </w:tr>
      <w:tr w:rsidR="009D11BA" w:rsidRPr="00650EE4" w14:paraId="28B80A27" w14:textId="77777777" w:rsidTr="009D11BA">
        <w:trPr>
          <w:trHeight w:val="61"/>
        </w:trPr>
        <w:tc>
          <w:tcPr>
            <w:tcW w:w="3114" w:type="dxa"/>
          </w:tcPr>
          <w:p w14:paraId="39FD95DB"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06AB53F" w14:textId="77777777" w:rsidR="009D11BA" w:rsidRPr="00650EE4" w:rsidRDefault="009D11BA" w:rsidP="009D11BA">
            <w:pPr>
              <w:spacing w:after="60"/>
              <w:rPr>
                <w:rFonts w:ascii="Times New Roman" w:hAnsi="Times New Roman"/>
                <w:szCs w:val="22"/>
                <w:lang w:eastAsia="lt-LT"/>
              </w:rPr>
            </w:pPr>
            <w:r w:rsidRPr="00650EE4">
              <w:rPr>
                <w:rFonts w:ascii="Times New Roman" w:hAnsi="Times New Roman"/>
                <w:szCs w:val="22"/>
                <w:lang w:eastAsia="lt-LT"/>
              </w:rPr>
              <w:t>Aukštas</w:t>
            </w:r>
          </w:p>
        </w:tc>
      </w:tr>
      <w:tr w:rsidR="009D11BA" w:rsidRPr="00650EE4" w14:paraId="07FA31FB" w14:textId="77777777" w:rsidTr="009D11BA">
        <w:trPr>
          <w:trHeight w:val="76"/>
        </w:trPr>
        <w:tc>
          <w:tcPr>
            <w:tcW w:w="3114" w:type="dxa"/>
          </w:tcPr>
          <w:p w14:paraId="376A52F5" w14:textId="77777777" w:rsidR="009D11BA" w:rsidRPr="00650EE4" w:rsidRDefault="009D11BA" w:rsidP="009D11B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4FD6437" w14:textId="77777777" w:rsidR="009D11BA" w:rsidRPr="00650EE4" w:rsidRDefault="009D11BA" w:rsidP="009D11BA">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91016DE" w14:textId="77777777" w:rsidR="00F849C3" w:rsidRPr="00650EE4" w:rsidRDefault="00F849C3" w:rsidP="00F849C3">
      <w:pPr>
        <w:spacing w:after="120"/>
        <w:jc w:val="both"/>
        <w:rPr>
          <w:rFonts w:ascii="Times New Roman" w:hAnsi="Times New Roman"/>
          <w:b/>
          <w:bCs/>
          <w:szCs w:val="24"/>
        </w:rPr>
      </w:pPr>
    </w:p>
    <w:p w14:paraId="59325CB9" w14:textId="4559F599" w:rsidR="004E75C3" w:rsidRPr="00650EE4" w:rsidRDefault="00D06452" w:rsidP="004E75C3">
      <w:pPr>
        <w:pStyle w:val="Antrastes31"/>
        <w:numPr>
          <w:ilvl w:val="2"/>
          <w:numId w:val="4"/>
        </w:numPr>
        <w:spacing w:before="0"/>
        <w:ind w:left="720" w:hanging="720"/>
        <w:rPr>
          <w:rFonts w:ascii="Times New Roman" w:hAnsi="Times New Roman"/>
          <w:color w:val="000000" w:themeColor="text1"/>
          <w:sz w:val="24"/>
          <w:szCs w:val="24"/>
          <w:lang w:val="lt-LT"/>
        </w:rPr>
      </w:pPr>
      <w:bookmarkStart w:id="151" w:name="_Toc59107554"/>
      <w:r w:rsidRPr="00650EE4">
        <w:rPr>
          <w:rFonts w:ascii="Times New Roman" w:hAnsi="Times New Roman"/>
          <w:color w:val="000000" w:themeColor="text1"/>
          <w:sz w:val="24"/>
          <w:szCs w:val="24"/>
          <w:lang w:val="lt-LT"/>
        </w:rPr>
        <w:t>Finansavimo užtikrinimo barjerai</w:t>
      </w:r>
      <w:bookmarkEnd w:id="151"/>
    </w:p>
    <w:p w14:paraId="6A494615" w14:textId="4EFB9E9C" w:rsidR="00145A39" w:rsidRPr="00650EE4" w:rsidRDefault="00145A39"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9</w:t>
      </w:r>
      <w:r w:rsidRPr="00650EE4">
        <w:rPr>
          <w:rFonts w:ascii="Times New Roman" w:hAnsi="Times New Roman"/>
          <w:b/>
          <w:bCs/>
          <w:szCs w:val="24"/>
        </w:rPr>
        <w:t xml:space="preserve">. </w:t>
      </w:r>
      <w:r w:rsidR="00260986" w:rsidRPr="00650EE4">
        <w:rPr>
          <w:rFonts w:ascii="Times New Roman" w:hAnsi="Times New Roman"/>
          <w:b/>
          <w:bCs/>
          <w:szCs w:val="24"/>
        </w:rPr>
        <w:t>Pastatų savininkų n</w:t>
      </w:r>
      <w:r w:rsidR="00733898" w:rsidRPr="00650EE4">
        <w:rPr>
          <w:rFonts w:ascii="Times New Roman" w:hAnsi="Times New Roman"/>
          <w:b/>
          <w:bCs/>
          <w:szCs w:val="24"/>
        </w:rPr>
        <w:t>enoras skolintis</w:t>
      </w:r>
    </w:p>
    <w:p w14:paraId="32E5B92C" w14:textId="3E85D32C" w:rsidR="00145A39" w:rsidRPr="00650EE4" w:rsidRDefault="00C971A2" w:rsidP="00145A39">
      <w:pPr>
        <w:spacing w:before="60" w:after="120"/>
        <w:jc w:val="both"/>
        <w:rPr>
          <w:rFonts w:ascii="Times New Roman" w:hAnsi="Times New Roman"/>
          <w:szCs w:val="22"/>
        </w:rPr>
      </w:pPr>
      <w:r w:rsidRPr="00650EE4">
        <w:rPr>
          <w:rFonts w:ascii="Times New Roman" w:hAnsi="Times New Roman"/>
          <w:szCs w:val="22"/>
        </w:rPr>
        <w:t>Daliai pastatų savininkų (ypač gyvenamųjų namų segmente) poreikis skolintis yra vienas esminių barjerų mažinanč</w:t>
      </w:r>
      <w:r w:rsidR="006D7499" w:rsidRPr="00650EE4">
        <w:rPr>
          <w:rFonts w:ascii="Times New Roman" w:hAnsi="Times New Roman"/>
          <w:szCs w:val="22"/>
        </w:rPr>
        <w:t>ių norą dalyvauti renovacijoje. G</w:t>
      </w:r>
      <w:r w:rsidR="00145A39" w:rsidRPr="00650EE4">
        <w:rPr>
          <w:rFonts w:ascii="Times New Roman" w:hAnsi="Times New Roman"/>
          <w:szCs w:val="22"/>
        </w:rPr>
        <w:t>yventojų nenoras skolintis buvo viena iš pagrindinių priežasčių, k</w:t>
      </w:r>
      <w:r w:rsidRPr="00650EE4">
        <w:rPr>
          <w:rFonts w:ascii="Times New Roman" w:hAnsi="Times New Roman"/>
          <w:szCs w:val="22"/>
        </w:rPr>
        <w:t xml:space="preserve">odėl 2009 m. sukūrus JESSICA KF </w:t>
      </w:r>
      <w:r w:rsidR="00145A39" w:rsidRPr="00650EE4">
        <w:rPr>
          <w:rFonts w:ascii="Times New Roman" w:hAnsi="Times New Roman"/>
          <w:szCs w:val="22"/>
        </w:rPr>
        <w:t xml:space="preserve">ir sudarius galimybes skolintis lengvatinėmis sąlygomis </w:t>
      </w:r>
      <w:r w:rsidRPr="00650EE4">
        <w:rPr>
          <w:rFonts w:ascii="Times New Roman" w:hAnsi="Times New Roman"/>
          <w:szCs w:val="22"/>
        </w:rPr>
        <w:t>proveržis</w:t>
      </w:r>
      <w:r w:rsidR="00145A39" w:rsidRPr="00650EE4">
        <w:rPr>
          <w:rFonts w:ascii="Times New Roman" w:hAnsi="Times New Roman"/>
          <w:szCs w:val="22"/>
        </w:rPr>
        <w:t xml:space="preserve"> daugiabučių renovacijoje neįvyko</w:t>
      </w:r>
      <w:r w:rsidR="006D7499" w:rsidRPr="00650EE4">
        <w:rPr>
          <w:rStyle w:val="FootnoteReference"/>
          <w:rFonts w:ascii="Times New Roman" w:hAnsi="Times New Roman"/>
          <w:szCs w:val="22"/>
        </w:rPr>
        <w:footnoteReference w:id="37"/>
      </w:r>
      <w:r w:rsidR="00145A39" w:rsidRPr="00650EE4">
        <w:rPr>
          <w:rFonts w:ascii="Times New Roman" w:hAnsi="Times New Roman"/>
          <w:szCs w:val="22"/>
        </w:rPr>
        <w:t xml:space="preserve">. </w:t>
      </w:r>
    </w:p>
    <w:p w14:paraId="52D255C3" w14:textId="3A829473" w:rsidR="00755BDC" w:rsidRPr="00650EE4" w:rsidRDefault="00C971A2" w:rsidP="00145A39">
      <w:pPr>
        <w:spacing w:before="60" w:after="120"/>
        <w:jc w:val="both"/>
        <w:rPr>
          <w:rFonts w:ascii="Times New Roman" w:hAnsi="Times New Roman"/>
          <w:szCs w:val="22"/>
        </w:rPr>
      </w:pPr>
      <w:r w:rsidRPr="00650EE4">
        <w:rPr>
          <w:rFonts w:ascii="Times New Roman" w:hAnsi="Times New Roman"/>
          <w:szCs w:val="22"/>
        </w:rPr>
        <w:t xml:space="preserve">Nenorą skolintis net ir objektyviai palankiomis sąlygomis įtakoja tiek </w:t>
      </w:r>
      <w:r w:rsidR="00755BDC" w:rsidRPr="00650EE4">
        <w:rPr>
          <w:rFonts w:ascii="Times New Roman" w:hAnsi="Times New Roman"/>
          <w:szCs w:val="22"/>
        </w:rPr>
        <w:t xml:space="preserve">subjektyvūs </w:t>
      </w:r>
      <w:r w:rsidRPr="00650EE4">
        <w:rPr>
          <w:rFonts w:ascii="Times New Roman" w:hAnsi="Times New Roman"/>
          <w:szCs w:val="22"/>
        </w:rPr>
        <w:t>(pvz. baimė, nepakankamas finansinis išprusimas ir pan.) tiek objektyvūs veiksniai (pvz. nepatrauklus projektų atsiperkamumo laikotarpis</w:t>
      </w:r>
      <w:r w:rsidR="006478CA">
        <w:rPr>
          <w:rFonts w:ascii="Times New Roman" w:hAnsi="Times New Roman"/>
          <w:szCs w:val="22"/>
        </w:rPr>
        <w:t>, netikrumas dėl palūkanų</w:t>
      </w:r>
      <w:r w:rsidRPr="00650EE4">
        <w:rPr>
          <w:rFonts w:ascii="Times New Roman" w:hAnsi="Times New Roman"/>
          <w:szCs w:val="22"/>
        </w:rPr>
        <w:t xml:space="preserve">). </w:t>
      </w:r>
      <w:r w:rsidR="00755BDC" w:rsidRPr="00650EE4">
        <w:rPr>
          <w:rFonts w:ascii="Times New Roman" w:hAnsi="Times New Roman"/>
          <w:szCs w:val="22"/>
        </w:rPr>
        <w:t>Atitinkamai, šiam barjerui šalinti turi būti taikomos kompleksinės priemonės:</w:t>
      </w:r>
    </w:p>
    <w:p w14:paraId="352444B0" w14:textId="747554D9" w:rsidR="00C971A2" w:rsidRPr="00650EE4" w:rsidRDefault="000A24D5" w:rsidP="00BD4925">
      <w:pPr>
        <w:pStyle w:val="ListParagraph"/>
        <w:numPr>
          <w:ilvl w:val="0"/>
          <w:numId w:val="57"/>
        </w:numPr>
        <w:spacing w:before="60" w:after="60"/>
        <w:jc w:val="both"/>
        <w:rPr>
          <w:rFonts w:ascii="Times New Roman" w:hAnsi="Times New Roman"/>
          <w:szCs w:val="22"/>
          <w:lang w:val="lt-LT"/>
        </w:rPr>
      </w:pPr>
      <w:r>
        <w:rPr>
          <w:rFonts w:ascii="Times New Roman" w:hAnsi="Times New Roman"/>
          <w:szCs w:val="22"/>
          <w:lang w:val="lt-LT"/>
        </w:rPr>
        <w:t>s</w:t>
      </w:r>
      <w:r w:rsidR="00755BDC" w:rsidRPr="00650EE4">
        <w:rPr>
          <w:rFonts w:ascii="Times New Roman" w:hAnsi="Times New Roman"/>
          <w:szCs w:val="22"/>
          <w:lang w:val="lt-LT"/>
        </w:rPr>
        <w:t>ubjektyvių veiksnių šalinimui: nuosekli komunikacija akcentuojanti, kad skolinimasis renovacijai</w:t>
      </w:r>
      <w:r w:rsidR="00D00DAD" w:rsidRPr="00650EE4">
        <w:rPr>
          <w:rFonts w:ascii="Times New Roman" w:hAnsi="Times New Roman"/>
          <w:szCs w:val="22"/>
          <w:lang w:val="lt-LT"/>
        </w:rPr>
        <w:t xml:space="preserve"> yra fina</w:t>
      </w:r>
      <w:r w:rsidR="00755BDC" w:rsidRPr="00650EE4">
        <w:rPr>
          <w:rFonts w:ascii="Times New Roman" w:hAnsi="Times New Roman"/>
          <w:szCs w:val="22"/>
          <w:lang w:val="lt-LT"/>
        </w:rPr>
        <w:t xml:space="preserve">nsiškai racionalus sprendimas tolygus </w:t>
      </w:r>
      <w:r w:rsidR="00781599" w:rsidRPr="00650EE4">
        <w:rPr>
          <w:rFonts w:ascii="Times New Roman" w:hAnsi="Times New Roman"/>
          <w:szCs w:val="22"/>
          <w:lang w:val="lt-LT"/>
        </w:rPr>
        <w:t>skolinimuisi</w:t>
      </w:r>
      <w:r w:rsidR="00755BDC" w:rsidRPr="00650EE4">
        <w:rPr>
          <w:rFonts w:ascii="Times New Roman" w:hAnsi="Times New Roman"/>
          <w:szCs w:val="22"/>
          <w:lang w:val="lt-LT"/>
        </w:rPr>
        <w:t xml:space="preserve"> investicijai į </w:t>
      </w:r>
      <w:r w:rsidR="00781599" w:rsidRPr="00650EE4">
        <w:rPr>
          <w:rFonts w:ascii="Times New Roman" w:hAnsi="Times New Roman"/>
          <w:szCs w:val="22"/>
          <w:lang w:val="lt-LT"/>
        </w:rPr>
        <w:t>nekilnojamąjį</w:t>
      </w:r>
      <w:r w:rsidR="00755BDC" w:rsidRPr="00650EE4">
        <w:rPr>
          <w:rFonts w:ascii="Times New Roman" w:hAnsi="Times New Roman"/>
          <w:szCs w:val="22"/>
          <w:lang w:val="lt-LT"/>
        </w:rPr>
        <w:t xml:space="preserve"> tu</w:t>
      </w:r>
      <w:r>
        <w:rPr>
          <w:rFonts w:ascii="Times New Roman" w:hAnsi="Times New Roman"/>
          <w:szCs w:val="22"/>
          <w:lang w:val="lt-LT"/>
        </w:rPr>
        <w:t>rtą;</w:t>
      </w:r>
    </w:p>
    <w:p w14:paraId="773D715C" w14:textId="747332BA" w:rsidR="00755BDC" w:rsidRPr="00650EE4" w:rsidRDefault="000A24D5" w:rsidP="00BD4925">
      <w:pPr>
        <w:pStyle w:val="ListParagraph"/>
        <w:numPr>
          <w:ilvl w:val="0"/>
          <w:numId w:val="57"/>
        </w:numPr>
        <w:spacing w:before="60"/>
        <w:jc w:val="both"/>
        <w:rPr>
          <w:rFonts w:ascii="Times New Roman" w:hAnsi="Times New Roman"/>
          <w:szCs w:val="22"/>
          <w:lang w:val="lt-LT"/>
        </w:rPr>
      </w:pPr>
      <w:r>
        <w:rPr>
          <w:rFonts w:ascii="Times New Roman" w:hAnsi="Times New Roman"/>
          <w:szCs w:val="22"/>
          <w:lang w:val="lt-LT"/>
        </w:rPr>
        <w:lastRenderedPageBreak/>
        <w:t>o</w:t>
      </w:r>
      <w:r w:rsidR="00755BDC" w:rsidRPr="00650EE4">
        <w:rPr>
          <w:rFonts w:ascii="Times New Roman" w:hAnsi="Times New Roman"/>
          <w:szCs w:val="22"/>
          <w:lang w:val="lt-LT"/>
        </w:rPr>
        <w:t xml:space="preserve">bjektyvių veiksnių šalinimui: </w:t>
      </w:r>
      <w:r w:rsidR="00781599" w:rsidRPr="00650EE4">
        <w:rPr>
          <w:rFonts w:ascii="Times New Roman" w:hAnsi="Times New Roman"/>
          <w:szCs w:val="22"/>
          <w:lang w:val="lt-LT"/>
        </w:rPr>
        <w:t>priemonės</w:t>
      </w:r>
      <w:r w:rsidR="00755BDC" w:rsidRPr="00650EE4">
        <w:rPr>
          <w:rFonts w:ascii="Times New Roman" w:hAnsi="Times New Roman"/>
          <w:szCs w:val="22"/>
          <w:lang w:val="lt-LT"/>
        </w:rPr>
        <w:t xml:space="preserve"> </w:t>
      </w:r>
      <w:r w:rsidR="00781599" w:rsidRPr="00650EE4">
        <w:rPr>
          <w:rFonts w:ascii="Times New Roman" w:hAnsi="Times New Roman"/>
          <w:szCs w:val="22"/>
          <w:lang w:val="lt-LT"/>
        </w:rPr>
        <w:t>trumpinančios</w:t>
      </w:r>
      <w:r w:rsidR="00755BDC" w:rsidRPr="00650EE4">
        <w:rPr>
          <w:rFonts w:ascii="Times New Roman" w:hAnsi="Times New Roman"/>
          <w:szCs w:val="22"/>
          <w:lang w:val="lt-LT"/>
        </w:rPr>
        <w:t xml:space="preserve"> renovacijos projektų atsipirkimo laikot</w:t>
      </w:r>
      <w:r w:rsidR="00D00DAD" w:rsidRPr="00650EE4">
        <w:rPr>
          <w:rFonts w:ascii="Times New Roman" w:hAnsi="Times New Roman"/>
          <w:szCs w:val="22"/>
          <w:lang w:val="lt-LT"/>
        </w:rPr>
        <w:t>arpį (žr. barjerą B3)</w:t>
      </w:r>
      <w:r w:rsidR="007243CA" w:rsidRPr="00650EE4">
        <w:rPr>
          <w:rFonts w:ascii="Times New Roman" w:hAnsi="Times New Roman"/>
          <w:szCs w:val="22"/>
          <w:lang w:val="lt-LT"/>
        </w:rPr>
        <w:t xml:space="preserve">, priemonės suteikiančios </w:t>
      </w:r>
      <w:r w:rsidR="00781599" w:rsidRPr="00650EE4">
        <w:rPr>
          <w:rFonts w:ascii="Times New Roman" w:hAnsi="Times New Roman"/>
          <w:szCs w:val="22"/>
          <w:lang w:val="lt-LT"/>
        </w:rPr>
        <w:t>laisvės</w:t>
      </w:r>
      <w:r w:rsidR="007243CA" w:rsidRPr="00650EE4">
        <w:rPr>
          <w:rFonts w:ascii="Times New Roman" w:hAnsi="Times New Roman"/>
          <w:szCs w:val="22"/>
          <w:lang w:val="lt-LT"/>
        </w:rPr>
        <w:t xml:space="preserve"> (galimybė grąžinti kreditą anksčiau, lengvatinė</w:t>
      </w:r>
      <w:r w:rsidR="006C4B4D" w:rsidRPr="00650EE4">
        <w:rPr>
          <w:rFonts w:ascii="Times New Roman" w:hAnsi="Times New Roman"/>
          <w:szCs w:val="22"/>
          <w:lang w:val="lt-LT"/>
        </w:rPr>
        <w:t xml:space="preserve">s palūkanos, paskolos gražinimo atidėjimas </w:t>
      </w:r>
      <w:r w:rsidR="007243CA" w:rsidRPr="00650EE4">
        <w:rPr>
          <w:rFonts w:ascii="Times New Roman" w:hAnsi="Times New Roman"/>
          <w:szCs w:val="22"/>
          <w:lang w:val="lt-LT"/>
        </w:rPr>
        <w:t xml:space="preserve">ir </w:t>
      </w:r>
      <w:r w:rsidR="00781599" w:rsidRPr="00650EE4">
        <w:rPr>
          <w:rFonts w:ascii="Times New Roman" w:hAnsi="Times New Roman"/>
          <w:szCs w:val="22"/>
          <w:lang w:val="lt-LT"/>
        </w:rPr>
        <w:t>pan.</w:t>
      </w:r>
      <w:r w:rsidR="007243CA" w:rsidRPr="00650EE4">
        <w:rPr>
          <w:rFonts w:ascii="Times New Roman" w:hAnsi="Times New Roman"/>
          <w:szCs w:val="22"/>
          <w:lang w:val="lt-LT"/>
        </w:rPr>
        <w:t>)</w:t>
      </w:r>
      <w:r w:rsidR="001A6139">
        <w:rPr>
          <w:rFonts w:ascii="Times New Roman" w:hAnsi="Times New Roman"/>
          <w:szCs w:val="22"/>
          <w:lang w:val="lt-LT"/>
        </w:rPr>
        <w:t>.</w:t>
      </w:r>
    </w:p>
    <w:p w14:paraId="16616EFE" w14:textId="3B3BEECF" w:rsidR="00C971A2" w:rsidRPr="00650EE4" w:rsidRDefault="00C971A2" w:rsidP="00C971A2">
      <w:pPr>
        <w:pStyle w:val="BodyText"/>
        <w:rPr>
          <w:rFonts w:ascii="Times New Roman" w:hAnsi="Times New Roman"/>
          <w:lang w:val="lt-LT"/>
        </w:rPr>
      </w:pPr>
    </w:p>
    <w:p w14:paraId="4884BE87" w14:textId="77777777" w:rsidR="005C58D9" w:rsidRPr="00650EE4" w:rsidRDefault="005C58D9" w:rsidP="006478CA">
      <w:pPr>
        <w:pStyle w:val="BodyText"/>
        <w:jc w:val="both"/>
        <w:rPr>
          <w:rFonts w:ascii="Times New Roman" w:hAnsi="Times New Roman"/>
          <w:lang w:val="lt-LT"/>
        </w:rPr>
      </w:pPr>
      <w:r w:rsidRPr="00650EE4">
        <w:rPr>
          <w:rFonts w:ascii="Times New Roman" w:hAnsi="Times New Roman"/>
          <w:lang w:val="lt-LT"/>
        </w:rPr>
        <w:t>Šis barjeras taip pat gali būtų sprendžiamas įgyvendinant renovaciją savivaldybių iniciatyva ir perkeliant administracinius ir finansinius įsipareigojimus paskirtam projekto administratoriui.</w:t>
      </w:r>
    </w:p>
    <w:p w14:paraId="7AB68E79" w14:textId="77777777" w:rsidR="005C58D9" w:rsidRPr="00650EE4" w:rsidRDefault="005C58D9" w:rsidP="00C971A2">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A052AA" w:rsidRPr="00650EE4" w14:paraId="54C55203" w14:textId="77777777" w:rsidTr="000C1D71">
        <w:trPr>
          <w:trHeight w:val="61"/>
        </w:trPr>
        <w:tc>
          <w:tcPr>
            <w:tcW w:w="3114" w:type="dxa"/>
          </w:tcPr>
          <w:p w14:paraId="32EBB76D" w14:textId="77777777" w:rsidR="00A052AA" w:rsidRPr="00650EE4" w:rsidRDefault="00A052AA" w:rsidP="00A052A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74E7B4AD" w14:textId="7E4D6AB9"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p w14:paraId="17E8B06F" w14:textId="6E9FB362"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7</w:t>
            </w:r>
            <w:r w:rsidRPr="00650EE4">
              <w:rPr>
                <w:rFonts w:ascii="Times New Roman" w:hAnsi="Times New Roman"/>
                <w:szCs w:val="22"/>
                <w:lang w:eastAsia="lt-LT"/>
              </w:rPr>
              <w:t>. Komunikacija apie renovacijos naudas ir priemones</w:t>
            </w:r>
          </w:p>
        </w:tc>
      </w:tr>
      <w:tr w:rsidR="00C971A2" w:rsidRPr="00650EE4" w14:paraId="5A1DD1A7" w14:textId="77777777" w:rsidTr="000C1D71">
        <w:trPr>
          <w:trHeight w:val="61"/>
        </w:trPr>
        <w:tc>
          <w:tcPr>
            <w:tcW w:w="3114" w:type="dxa"/>
          </w:tcPr>
          <w:p w14:paraId="30E82611" w14:textId="77777777" w:rsidR="00C971A2" w:rsidRPr="00650EE4" w:rsidRDefault="00C971A2"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5092002" w14:textId="77777777" w:rsidR="00C971A2" w:rsidRPr="00650EE4" w:rsidRDefault="00C971A2"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971A2" w:rsidRPr="00650EE4" w14:paraId="3984C271" w14:textId="77777777" w:rsidTr="000C1D71">
        <w:trPr>
          <w:trHeight w:val="76"/>
        </w:trPr>
        <w:tc>
          <w:tcPr>
            <w:tcW w:w="3114" w:type="dxa"/>
          </w:tcPr>
          <w:p w14:paraId="4500E735" w14:textId="77777777" w:rsidR="00C971A2" w:rsidRPr="00650EE4" w:rsidRDefault="00C971A2"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EB2B98A" w14:textId="77777777" w:rsidR="00C971A2" w:rsidRPr="00650EE4" w:rsidRDefault="00C971A2"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4185338E" w14:textId="77777777" w:rsidR="00733898" w:rsidRPr="00650EE4" w:rsidRDefault="00733898" w:rsidP="00DD600F">
      <w:pPr>
        <w:pStyle w:val="BodyText"/>
        <w:spacing w:after="120"/>
        <w:jc w:val="both"/>
        <w:rPr>
          <w:rFonts w:ascii="Times New Roman" w:hAnsi="Times New Roman"/>
          <w:szCs w:val="22"/>
          <w:lang w:val="lt-LT"/>
        </w:rPr>
      </w:pPr>
    </w:p>
    <w:p w14:paraId="4F81AA4D" w14:textId="480519D4" w:rsidR="00733898" w:rsidRPr="00650EE4" w:rsidRDefault="00733898"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10</w:t>
      </w:r>
      <w:r w:rsidR="00260986" w:rsidRPr="00650EE4">
        <w:rPr>
          <w:rFonts w:ascii="Times New Roman" w:hAnsi="Times New Roman"/>
          <w:b/>
          <w:bCs/>
          <w:szCs w:val="24"/>
        </w:rPr>
        <w:t>. Pastatų savininkų n</w:t>
      </w:r>
      <w:r w:rsidRPr="00650EE4">
        <w:rPr>
          <w:rFonts w:ascii="Times New Roman" w:hAnsi="Times New Roman"/>
          <w:b/>
          <w:bCs/>
          <w:szCs w:val="24"/>
        </w:rPr>
        <w:t>egalėjimas skolintis (ribotos skolinimosi galimybės)</w:t>
      </w:r>
    </w:p>
    <w:p w14:paraId="72C3221E" w14:textId="44297F01" w:rsidR="00D04AC7" w:rsidRPr="00650EE4" w:rsidRDefault="00733898" w:rsidP="00D04AC7">
      <w:pPr>
        <w:pStyle w:val="BodyText"/>
        <w:spacing w:after="120"/>
        <w:jc w:val="both"/>
        <w:rPr>
          <w:rFonts w:ascii="Times New Roman" w:hAnsi="Times New Roman"/>
          <w:szCs w:val="22"/>
          <w:lang w:val="lt-LT"/>
        </w:rPr>
      </w:pPr>
      <w:r w:rsidRPr="00650EE4">
        <w:rPr>
          <w:rFonts w:ascii="Times New Roman" w:hAnsi="Times New Roman"/>
          <w:szCs w:val="22"/>
          <w:lang w:val="lt-LT"/>
        </w:rPr>
        <w:t>Net esa</w:t>
      </w:r>
      <w:r w:rsidR="006C4B4D" w:rsidRPr="00650EE4">
        <w:rPr>
          <w:rFonts w:ascii="Times New Roman" w:hAnsi="Times New Roman"/>
          <w:szCs w:val="22"/>
          <w:lang w:val="lt-LT"/>
        </w:rPr>
        <w:t xml:space="preserve">nt norui </w:t>
      </w:r>
      <w:r w:rsidR="00E70995" w:rsidRPr="00650EE4">
        <w:rPr>
          <w:rFonts w:ascii="Times New Roman" w:hAnsi="Times New Roman"/>
          <w:szCs w:val="22"/>
          <w:lang w:val="lt-LT"/>
        </w:rPr>
        <w:t>skoli</w:t>
      </w:r>
      <w:r w:rsidR="00D04AC7" w:rsidRPr="00650EE4">
        <w:rPr>
          <w:rFonts w:ascii="Times New Roman" w:hAnsi="Times New Roman"/>
          <w:szCs w:val="22"/>
          <w:lang w:val="lt-LT"/>
        </w:rPr>
        <w:t>ntis</w:t>
      </w:r>
      <w:r w:rsidR="00E70995" w:rsidRPr="00650EE4">
        <w:rPr>
          <w:rFonts w:ascii="Times New Roman" w:hAnsi="Times New Roman"/>
          <w:szCs w:val="22"/>
          <w:lang w:val="lt-LT"/>
        </w:rPr>
        <w:t>,</w:t>
      </w:r>
      <w:r w:rsidR="00D04AC7" w:rsidRPr="00650EE4">
        <w:rPr>
          <w:rFonts w:ascii="Times New Roman" w:hAnsi="Times New Roman"/>
          <w:szCs w:val="22"/>
          <w:lang w:val="lt-LT"/>
        </w:rPr>
        <w:t xml:space="preserve"> </w:t>
      </w:r>
      <w:r w:rsidR="006C4B4D" w:rsidRPr="00650EE4">
        <w:rPr>
          <w:rFonts w:ascii="Times New Roman" w:hAnsi="Times New Roman"/>
          <w:szCs w:val="22"/>
          <w:lang w:val="lt-LT"/>
        </w:rPr>
        <w:t xml:space="preserve">dalis </w:t>
      </w:r>
      <w:r w:rsidR="00D04AC7" w:rsidRPr="00650EE4">
        <w:rPr>
          <w:rFonts w:ascii="Times New Roman" w:hAnsi="Times New Roman"/>
          <w:szCs w:val="22"/>
          <w:lang w:val="lt-LT"/>
        </w:rPr>
        <w:t>pastatų savininkų neturi</w:t>
      </w:r>
      <w:r w:rsidR="00E70995" w:rsidRPr="00650EE4">
        <w:rPr>
          <w:rFonts w:ascii="Times New Roman" w:hAnsi="Times New Roman"/>
          <w:szCs w:val="22"/>
          <w:lang w:val="lt-LT"/>
        </w:rPr>
        <w:t xml:space="preserve"> tokios galimybės</w:t>
      </w:r>
      <w:r w:rsidR="00D04AC7" w:rsidRPr="00650EE4">
        <w:rPr>
          <w:rFonts w:ascii="Times New Roman" w:hAnsi="Times New Roman"/>
          <w:szCs w:val="22"/>
          <w:lang w:val="lt-LT"/>
        </w:rPr>
        <w:t xml:space="preserve"> dėl nepakankamo kreditingumo, kuris </w:t>
      </w:r>
      <w:r w:rsidR="00E70995" w:rsidRPr="00650EE4">
        <w:rPr>
          <w:rFonts w:ascii="Times New Roman" w:hAnsi="Times New Roman"/>
          <w:szCs w:val="22"/>
          <w:lang w:val="lt-LT"/>
        </w:rPr>
        <w:t>yra pagrindinis kriterijus</w:t>
      </w:r>
      <w:r w:rsidR="00D04AC7" w:rsidRPr="00650EE4">
        <w:rPr>
          <w:rFonts w:ascii="Times New Roman" w:hAnsi="Times New Roman"/>
          <w:szCs w:val="22"/>
          <w:lang w:val="lt-LT"/>
        </w:rPr>
        <w:t>, finansuotoj</w:t>
      </w:r>
      <w:r w:rsidR="00E70995" w:rsidRPr="00650EE4">
        <w:rPr>
          <w:rFonts w:ascii="Times New Roman" w:hAnsi="Times New Roman"/>
          <w:szCs w:val="22"/>
          <w:lang w:val="lt-LT"/>
        </w:rPr>
        <w:t xml:space="preserve">ui priimant sprendimą finansuoti projektą ar ne. </w:t>
      </w:r>
    </w:p>
    <w:p w14:paraId="3947406C" w14:textId="2ECEB1FB" w:rsidR="00145A39" w:rsidRPr="00650EE4" w:rsidRDefault="00D04AC7" w:rsidP="00260986">
      <w:pPr>
        <w:pStyle w:val="BodyText"/>
        <w:spacing w:after="120"/>
        <w:jc w:val="both"/>
        <w:rPr>
          <w:rFonts w:ascii="Times New Roman" w:hAnsi="Times New Roman"/>
          <w:szCs w:val="22"/>
          <w:lang w:val="lt-LT"/>
        </w:rPr>
      </w:pPr>
      <w:r w:rsidRPr="00650EE4">
        <w:rPr>
          <w:rFonts w:ascii="Times New Roman" w:hAnsi="Times New Roman"/>
          <w:szCs w:val="22"/>
          <w:lang w:val="lt-LT"/>
        </w:rPr>
        <w:t xml:space="preserve">Gyvenamojo būsto segmente tipinis nepakankamo kreditingumo pavyzdys – gyventojų įsiskolinimai už komunalines paslaugas. Jeigu 10 proc. gyventojų turi didelių įsiskolinimų už komunalines ir kitokias paslaugas, sprendimas suteikti finansavimą gali būti neigiamas. </w:t>
      </w:r>
      <w:r w:rsidR="00CC4932" w:rsidRPr="00650EE4">
        <w:rPr>
          <w:rFonts w:ascii="Times New Roman" w:hAnsi="Times New Roman"/>
          <w:szCs w:val="22"/>
          <w:lang w:val="lt-LT"/>
        </w:rPr>
        <w:t xml:space="preserve">Viešų pastatų savininkų – savivaldybių įstatyminėje bazėje yra nustatyti skolinimosi limitai, todėl galimybės kreiptis paskolos labai priklauso nuo išnaudotų skolinimosi limitų. </w:t>
      </w:r>
      <w:r w:rsidRPr="00650EE4">
        <w:rPr>
          <w:rFonts w:ascii="Times New Roman" w:hAnsi="Times New Roman"/>
          <w:szCs w:val="22"/>
          <w:lang w:val="lt-LT"/>
        </w:rPr>
        <w:t>Savivaldybėms, kurių skol</w:t>
      </w:r>
      <w:r w:rsidR="00E70995" w:rsidRPr="00650EE4">
        <w:rPr>
          <w:rFonts w:ascii="Times New Roman" w:hAnsi="Times New Roman"/>
          <w:szCs w:val="22"/>
          <w:lang w:val="lt-LT"/>
        </w:rPr>
        <w:t>inimosi limitai</w:t>
      </w:r>
      <w:r w:rsidR="00CC4932" w:rsidRPr="00650EE4">
        <w:rPr>
          <w:rFonts w:ascii="Times New Roman" w:hAnsi="Times New Roman"/>
          <w:szCs w:val="22"/>
          <w:lang w:val="lt-LT"/>
        </w:rPr>
        <w:t xml:space="preserve"> </w:t>
      </w:r>
      <w:r w:rsidRPr="00650EE4">
        <w:rPr>
          <w:rFonts w:ascii="Times New Roman" w:hAnsi="Times New Roman"/>
          <w:szCs w:val="22"/>
          <w:lang w:val="lt-LT"/>
        </w:rPr>
        <w:t>išnaudoti, finansinė būklė prasta,</w:t>
      </w:r>
      <w:r w:rsidR="00CC4932" w:rsidRPr="00650EE4">
        <w:rPr>
          <w:rFonts w:ascii="Times New Roman" w:hAnsi="Times New Roman"/>
          <w:szCs w:val="22"/>
          <w:lang w:val="lt-LT"/>
        </w:rPr>
        <w:t xml:space="preserve"> komerciniai bankai </w:t>
      </w:r>
      <w:r w:rsidRPr="00650EE4">
        <w:rPr>
          <w:rFonts w:ascii="Times New Roman" w:hAnsi="Times New Roman"/>
          <w:szCs w:val="22"/>
          <w:lang w:val="lt-LT"/>
        </w:rPr>
        <w:t xml:space="preserve">neskolina. </w:t>
      </w:r>
      <w:r w:rsidR="00CC4932" w:rsidRPr="00650EE4">
        <w:rPr>
          <w:rFonts w:ascii="Times New Roman" w:hAnsi="Times New Roman"/>
          <w:szCs w:val="22"/>
          <w:lang w:val="lt-LT"/>
        </w:rPr>
        <w:t xml:space="preserve"> </w:t>
      </w:r>
    </w:p>
    <w:p w14:paraId="224E5247" w14:textId="77777777" w:rsidR="00CC4932" w:rsidRPr="00650EE4" w:rsidRDefault="00CC4932" w:rsidP="00CC4932">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A052AA" w:rsidRPr="00650EE4" w14:paraId="332D3FE0" w14:textId="77777777" w:rsidTr="004847E3">
        <w:trPr>
          <w:trHeight w:val="61"/>
        </w:trPr>
        <w:tc>
          <w:tcPr>
            <w:tcW w:w="3114" w:type="dxa"/>
          </w:tcPr>
          <w:p w14:paraId="31B73ABF" w14:textId="77777777" w:rsidR="00A052AA" w:rsidRPr="00650EE4" w:rsidRDefault="00A052AA" w:rsidP="00A052AA">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D5579C4" w14:textId="6003CB7A" w:rsidR="00A052AA" w:rsidRPr="00650EE4" w:rsidRDefault="00A052AA" w:rsidP="00A052AA">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Finansavimo užtikrinimas</w:t>
            </w:r>
          </w:p>
        </w:tc>
      </w:tr>
      <w:tr w:rsidR="00CC4932" w:rsidRPr="00650EE4" w14:paraId="2A0B4A13" w14:textId="77777777" w:rsidTr="004847E3">
        <w:trPr>
          <w:trHeight w:val="61"/>
        </w:trPr>
        <w:tc>
          <w:tcPr>
            <w:tcW w:w="3114" w:type="dxa"/>
          </w:tcPr>
          <w:p w14:paraId="69F84EE3"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5F7447C" w14:textId="77E5806D" w:rsidR="00CC4932" w:rsidRPr="00650EE4" w:rsidRDefault="00C14641" w:rsidP="004847E3">
            <w:pPr>
              <w:spacing w:after="60"/>
              <w:rPr>
                <w:rFonts w:ascii="Times New Roman" w:hAnsi="Times New Roman"/>
                <w:szCs w:val="22"/>
                <w:lang w:eastAsia="lt-LT"/>
              </w:rPr>
            </w:pPr>
            <w:r w:rsidRPr="00650EE4">
              <w:rPr>
                <w:rFonts w:ascii="Times New Roman" w:hAnsi="Times New Roman"/>
                <w:szCs w:val="22"/>
                <w:lang w:eastAsia="lt-LT"/>
              </w:rPr>
              <w:t>Vidutinis</w:t>
            </w:r>
          </w:p>
        </w:tc>
      </w:tr>
      <w:tr w:rsidR="00CC4932" w:rsidRPr="00650EE4" w14:paraId="5A33EFDC" w14:textId="77777777" w:rsidTr="004847E3">
        <w:trPr>
          <w:trHeight w:val="76"/>
        </w:trPr>
        <w:tc>
          <w:tcPr>
            <w:tcW w:w="3114" w:type="dxa"/>
          </w:tcPr>
          <w:p w14:paraId="0E258CA7" w14:textId="77777777" w:rsidR="00CC4932" w:rsidRPr="00650EE4" w:rsidRDefault="00CC4932" w:rsidP="004847E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1919CA9" w14:textId="77777777" w:rsidR="00CC4932" w:rsidRPr="00650EE4" w:rsidRDefault="00CC4932" w:rsidP="004847E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9F236ED" w14:textId="77777777" w:rsidR="00DD5AF5" w:rsidRPr="00650EE4" w:rsidRDefault="00DD5AF5" w:rsidP="00DD600F">
      <w:pPr>
        <w:pStyle w:val="BodyText"/>
        <w:spacing w:after="120"/>
        <w:jc w:val="both"/>
        <w:rPr>
          <w:rFonts w:ascii="Times New Roman" w:hAnsi="Times New Roman"/>
          <w:b/>
          <w:bCs/>
          <w:szCs w:val="22"/>
          <w:lang w:val="lt-LT"/>
        </w:rPr>
      </w:pPr>
    </w:p>
    <w:p w14:paraId="7B70A91D" w14:textId="4070118A" w:rsidR="007908AA" w:rsidRPr="00650EE4" w:rsidRDefault="007908AA"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11</w:t>
      </w:r>
      <w:r w:rsidRPr="00650EE4">
        <w:rPr>
          <w:rFonts w:ascii="Times New Roman" w:hAnsi="Times New Roman"/>
          <w:b/>
          <w:bCs/>
          <w:szCs w:val="24"/>
        </w:rPr>
        <w:t>. Išaugęs viešų finansų poreikis</w:t>
      </w:r>
    </w:p>
    <w:p w14:paraId="7CB0D075" w14:textId="600D5384" w:rsidR="00A573FA" w:rsidRPr="00650EE4" w:rsidRDefault="00C70E1C" w:rsidP="00275D1E">
      <w:pPr>
        <w:pStyle w:val="BodyText"/>
        <w:jc w:val="both"/>
        <w:rPr>
          <w:rFonts w:ascii="Times New Roman" w:hAnsi="Times New Roman"/>
          <w:szCs w:val="22"/>
          <w:lang w:val="lt-LT"/>
        </w:rPr>
      </w:pPr>
      <w:r w:rsidRPr="00650EE4">
        <w:rPr>
          <w:rFonts w:ascii="Times New Roman" w:hAnsi="Times New Roman"/>
          <w:szCs w:val="22"/>
          <w:lang w:val="lt-LT"/>
        </w:rPr>
        <w:t xml:space="preserve">IRS suplanuotas renovacijos proveržis </w:t>
      </w:r>
      <w:r w:rsidR="00054408" w:rsidRPr="00650EE4">
        <w:rPr>
          <w:rFonts w:ascii="Times New Roman" w:hAnsi="Times New Roman"/>
          <w:szCs w:val="22"/>
          <w:lang w:val="lt-LT"/>
        </w:rPr>
        <w:t xml:space="preserve">reikšmingai </w:t>
      </w:r>
      <w:r w:rsidRPr="00650EE4">
        <w:rPr>
          <w:rFonts w:ascii="Times New Roman" w:hAnsi="Times New Roman"/>
          <w:szCs w:val="22"/>
          <w:lang w:val="lt-LT"/>
        </w:rPr>
        <w:t>didina valstybės įnašo poreikį</w:t>
      </w:r>
      <w:r w:rsidR="00275D1E" w:rsidRPr="00650EE4">
        <w:rPr>
          <w:rFonts w:ascii="Times New Roman" w:hAnsi="Times New Roman"/>
          <w:szCs w:val="22"/>
          <w:lang w:val="lt-LT"/>
        </w:rPr>
        <w:t>, ypač nuo 2030 m.</w:t>
      </w:r>
      <w:r w:rsidRPr="00650EE4">
        <w:rPr>
          <w:rFonts w:ascii="Times New Roman" w:hAnsi="Times New Roman"/>
          <w:szCs w:val="22"/>
          <w:lang w:val="lt-LT"/>
        </w:rPr>
        <w:t xml:space="preserve"> (žr. </w:t>
      </w:r>
      <w:r w:rsidR="00DE364B">
        <w:rPr>
          <w:rFonts w:ascii="Times New Roman" w:hAnsi="Times New Roman"/>
          <w:szCs w:val="22"/>
          <w:lang w:val="lt-LT"/>
        </w:rPr>
        <w:t>5</w:t>
      </w:r>
      <w:r w:rsidR="00054408" w:rsidRPr="00650EE4">
        <w:rPr>
          <w:rFonts w:ascii="Times New Roman" w:hAnsi="Times New Roman"/>
          <w:szCs w:val="22"/>
          <w:lang w:val="lt-LT"/>
        </w:rPr>
        <w:t>.2 skyrių</w:t>
      </w:r>
      <w:r w:rsidR="00D93AB4" w:rsidRPr="00650EE4">
        <w:rPr>
          <w:rFonts w:ascii="Times New Roman" w:hAnsi="Times New Roman"/>
          <w:szCs w:val="22"/>
          <w:lang w:val="lt-LT"/>
        </w:rPr>
        <w:t>).</w:t>
      </w:r>
      <w:r w:rsidR="00BF2F5D" w:rsidRPr="00650EE4">
        <w:rPr>
          <w:rFonts w:ascii="Times New Roman" w:hAnsi="Times New Roman"/>
          <w:szCs w:val="22"/>
          <w:lang w:val="lt-LT"/>
        </w:rPr>
        <w:t xml:space="preserve"> N</w:t>
      </w:r>
      <w:r w:rsidR="00275D1E" w:rsidRPr="00650EE4">
        <w:rPr>
          <w:rFonts w:ascii="Times New Roman" w:hAnsi="Times New Roman"/>
          <w:szCs w:val="22"/>
          <w:lang w:val="lt-LT"/>
        </w:rPr>
        <w:t xml:space="preserve">ors Europos „Žaliojo kurso“ komunikacija deklaruoja iniciatyvą sukurti centralizuotus, ES lygmens finansavimo mechanizmus, šiuo metu tokie sprendimai nėra priimti. </w:t>
      </w:r>
    </w:p>
    <w:p w14:paraId="00FE60E6" w14:textId="77777777" w:rsidR="007908AA" w:rsidRPr="00650EE4" w:rsidRDefault="007908AA" w:rsidP="00145A39">
      <w:pPr>
        <w:pStyle w:val="BodyText"/>
        <w:jc w:val="both"/>
        <w:rPr>
          <w:rFonts w:ascii="Times New Roman" w:hAnsi="Times New Roman"/>
          <w:b/>
          <w:bCs/>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70E1C" w:rsidRPr="00650EE4" w14:paraId="49F6F288" w14:textId="77777777" w:rsidTr="00F951EE">
        <w:trPr>
          <w:trHeight w:val="61"/>
        </w:trPr>
        <w:tc>
          <w:tcPr>
            <w:tcW w:w="3114" w:type="dxa"/>
          </w:tcPr>
          <w:p w14:paraId="5CF9B95B"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7348C693" w14:textId="3CB18C40"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P1</w:t>
            </w:r>
            <w:r w:rsidR="00AC0392" w:rsidRPr="00650EE4">
              <w:rPr>
                <w:rFonts w:ascii="Times New Roman" w:hAnsi="Times New Roman"/>
                <w:szCs w:val="22"/>
                <w:lang w:eastAsia="lt-LT"/>
              </w:rPr>
              <w:t>5</w:t>
            </w:r>
            <w:r w:rsidRPr="00650EE4">
              <w:rPr>
                <w:rFonts w:ascii="Times New Roman" w:hAnsi="Times New Roman"/>
                <w:szCs w:val="22"/>
                <w:lang w:eastAsia="lt-LT"/>
              </w:rPr>
              <w:t xml:space="preserve">. </w:t>
            </w:r>
            <w:r w:rsidR="00173BCF" w:rsidRPr="00650EE4">
              <w:rPr>
                <w:rFonts w:ascii="Times New Roman" w:hAnsi="Times New Roman"/>
                <w:szCs w:val="22"/>
                <w:lang w:eastAsia="lt-LT"/>
              </w:rPr>
              <w:t>Finansavimo užtikrinimas</w:t>
            </w:r>
          </w:p>
        </w:tc>
      </w:tr>
      <w:tr w:rsidR="00C70E1C" w:rsidRPr="00650EE4" w14:paraId="3FF61B19" w14:textId="77777777" w:rsidTr="00F951EE">
        <w:trPr>
          <w:trHeight w:val="61"/>
        </w:trPr>
        <w:tc>
          <w:tcPr>
            <w:tcW w:w="3114" w:type="dxa"/>
          </w:tcPr>
          <w:p w14:paraId="21C3326F"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8729CCC" w14:textId="77777777"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Aukštas</w:t>
            </w:r>
          </w:p>
        </w:tc>
      </w:tr>
      <w:tr w:rsidR="00C70E1C" w:rsidRPr="00650EE4" w14:paraId="047FB3DE" w14:textId="77777777" w:rsidTr="00F951EE">
        <w:trPr>
          <w:trHeight w:val="76"/>
        </w:trPr>
        <w:tc>
          <w:tcPr>
            <w:tcW w:w="3114" w:type="dxa"/>
          </w:tcPr>
          <w:p w14:paraId="5F7A5184" w14:textId="77777777" w:rsidR="00C70E1C" w:rsidRPr="00650EE4" w:rsidRDefault="00C70E1C" w:rsidP="00F951EE">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2962112" w14:textId="77777777" w:rsidR="00C70E1C" w:rsidRPr="00650EE4" w:rsidRDefault="00C70E1C" w:rsidP="00F951EE">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30E3FB4E" w14:textId="77777777" w:rsidR="007908AA" w:rsidRPr="00650EE4" w:rsidRDefault="007908AA" w:rsidP="00275D1E">
      <w:pPr>
        <w:pStyle w:val="BodyText"/>
        <w:spacing w:after="120"/>
        <w:jc w:val="both"/>
        <w:rPr>
          <w:rFonts w:ascii="Times New Roman" w:hAnsi="Times New Roman"/>
          <w:b/>
          <w:bCs/>
          <w:szCs w:val="22"/>
          <w:lang w:val="lt-LT"/>
        </w:rPr>
      </w:pPr>
    </w:p>
    <w:p w14:paraId="15A06E18" w14:textId="341D713D" w:rsidR="00733898" w:rsidRPr="00650EE4" w:rsidRDefault="00733898" w:rsidP="00DD600F">
      <w:pPr>
        <w:spacing w:after="120"/>
        <w:jc w:val="both"/>
        <w:rPr>
          <w:rFonts w:ascii="Times New Roman" w:hAnsi="Times New Roman"/>
          <w:b/>
          <w:bCs/>
          <w:szCs w:val="24"/>
        </w:rPr>
      </w:pPr>
      <w:r w:rsidRPr="00650EE4">
        <w:rPr>
          <w:rFonts w:ascii="Times New Roman" w:hAnsi="Times New Roman"/>
          <w:b/>
          <w:bCs/>
          <w:szCs w:val="24"/>
        </w:rPr>
        <w:t>B</w:t>
      </w:r>
      <w:r w:rsidR="00840ABE" w:rsidRPr="00650EE4">
        <w:rPr>
          <w:rFonts w:ascii="Times New Roman" w:hAnsi="Times New Roman"/>
          <w:b/>
          <w:bCs/>
          <w:szCs w:val="24"/>
        </w:rPr>
        <w:t>12</w:t>
      </w:r>
      <w:r w:rsidRPr="00650EE4">
        <w:rPr>
          <w:rFonts w:ascii="Times New Roman" w:hAnsi="Times New Roman"/>
          <w:b/>
          <w:bCs/>
          <w:szCs w:val="24"/>
        </w:rPr>
        <w:t xml:space="preserve">. </w:t>
      </w:r>
      <w:r w:rsidR="00260986" w:rsidRPr="00650EE4">
        <w:rPr>
          <w:rFonts w:ascii="Times New Roman" w:hAnsi="Times New Roman"/>
          <w:b/>
          <w:bCs/>
          <w:szCs w:val="24"/>
        </w:rPr>
        <w:t>Finansinių institucijų n</w:t>
      </w:r>
      <w:r w:rsidRPr="00650EE4">
        <w:rPr>
          <w:rFonts w:ascii="Times New Roman" w:hAnsi="Times New Roman"/>
          <w:b/>
          <w:bCs/>
          <w:szCs w:val="24"/>
        </w:rPr>
        <w:t>enoras skolinti (ribotos skolinimo galimybės)</w:t>
      </w:r>
    </w:p>
    <w:p w14:paraId="3B9843E2" w14:textId="0F144707" w:rsidR="008D20C3" w:rsidRPr="00650EE4" w:rsidRDefault="009651A3" w:rsidP="008D20C3">
      <w:pPr>
        <w:spacing w:before="60" w:after="120"/>
        <w:jc w:val="both"/>
        <w:rPr>
          <w:rFonts w:ascii="Times New Roman" w:hAnsi="Times New Roman"/>
          <w:szCs w:val="22"/>
        </w:rPr>
      </w:pPr>
      <w:r w:rsidRPr="00650EE4">
        <w:rPr>
          <w:rFonts w:ascii="Times New Roman" w:hAnsi="Times New Roman"/>
          <w:szCs w:val="22"/>
        </w:rPr>
        <w:t xml:space="preserve">Paraleliai su išaugusiu valstybės dalies finansavimo poreikiu, </w:t>
      </w:r>
      <w:r w:rsidR="00260986" w:rsidRPr="00650EE4">
        <w:rPr>
          <w:rFonts w:ascii="Times New Roman" w:hAnsi="Times New Roman"/>
          <w:szCs w:val="22"/>
        </w:rPr>
        <w:t>IRS suplanuotas renovacijos proveržis</w:t>
      </w:r>
      <w:r w:rsidR="00C95834" w:rsidRPr="00650EE4">
        <w:rPr>
          <w:rFonts w:ascii="Times New Roman" w:hAnsi="Times New Roman"/>
          <w:szCs w:val="22"/>
        </w:rPr>
        <w:t xml:space="preserve"> taip pat formuoja ir pastatų savininko įnašo dalies finansavimo poreikio išaugimą. </w:t>
      </w:r>
      <w:r w:rsidR="009E0F51" w:rsidRPr="00650EE4">
        <w:rPr>
          <w:rFonts w:ascii="Times New Roman" w:hAnsi="Times New Roman"/>
          <w:szCs w:val="22"/>
        </w:rPr>
        <w:t>VIPA atliktas tyrimas</w:t>
      </w:r>
      <w:r w:rsidR="009E0F51" w:rsidRPr="00650EE4">
        <w:rPr>
          <w:rStyle w:val="FootnoteReference"/>
          <w:rFonts w:ascii="Times New Roman" w:hAnsi="Times New Roman"/>
          <w:szCs w:val="22"/>
        </w:rPr>
        <w:footnoteReference w:id="38"/>
      </w:r>
      <w:r w:rsidR="009E0F51" w:rsidRPr="00650EE4">
        <w:rPr>
          <w:rFonts w:ascii="Times New Roman" w:hAnsi="Times New Roman"/>
          <w:szCs w:val="22"/>
        </w:rPr>
        <w:t xml:space="preserve"> atskleidžia, kad </w:t>
      </w:r>
      <w:r w:rsidR="00F12223">
        <w:rPr>
          <w:rFonts w:ascii="Times New Roman" w:hAnsi="Times New Roman"/>
          <w:szCs w:val="22"/>
        </w:rPr>
        <w:t>p</w:t>
      </w:r>
      <w:r w:rsidR="008D20C3" w:rsidRPr="00650EE4">
        <w:rPr>
          <w:rFonts w:ascii="Times New Roman" w:hAnsi="Times New Roman"/>
          <w:szCs w:val="22"/>
        </w:rPr>
        <w:t xml:space="preserve">avieniai pastatų renovacijos </w:t>
      </w:r>
      <w:r w:rsidR="00F12223">
        <w:rPr>
          <w:rFonts w:ascii="Times New Roman" w:hAnsi="Times New Roman"/>
          <w:szCs w:val="22"/>
        </w:rPr>
        <w:t>projektai</w:t>
      </w:r>
      <w:r w:rsidR="008D20C3" w:rsidRPr="00650EE4">
        <w:rPr>
          <w:rFonts w:ascii="Times New Roman" w:hAnsi="Times New Roman"/>
          <w:szCs w:val="22"/>
        </w:rPr>
        <w:t xml:space="preserve"> yra per mažos apimties tiek tarptautinėms finansų institucijoms tiek NT fondams, tiek</w:t>
      </w:r>
      <w:r w:rsidR="000A24D5">
        <w:rPr>
          <w:rFonts w:ascii="Times New Roman" w:hAnsi="Times New Roman"/>
          <w:szCs w:val="22"/>
        </w:rPr>
        <w:t xml:space="preserve"> didžiosioms statybų bendrovėms, </w:t>
      </w:r>
      <w:proofErr w:type="spellStart"/>
      <w:r w:rsidR="000A24D5">
        <w:rPr>
          <w:rFonts w:ascii="Times New Roman" w:hAnsi="Times New Roman"/>
          <w:szCs w:val="22"/>
        </w:rPr>
        <w:t>pvz</w:t>
      </w:r>
      <w:proofErr w:type="spellEnd"/>
      <w:r w:rsidR="008D20C3" w:rsidRPr="00650EE4">
        <w:rPr>
          <w:rFonts w:ascii="Times New Roman" w:hAnsi="Times New Roman"/>
          <w:szCs w:val="22"/>
        </w:rPr>
        <w:t>:</w:t>
      </w:r>
    </w:p>
    <w:p w14:paraId="5B70FD68" w14:textId="3BF23EED" w:rsidR="008D20C3" w:rsidRPr="00650EE4" w:rsidRDefault="00A06D88"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E</w:t>
      </w:r>
      <w:r w:rsidR="008D20C3" w:rsidRPr="00650EE4">
        <w:rPr>
          <w:rFonts w:ascii="Times New Roman" w:hAnsi="Times New Roman"/>
          <w:szCs w:val="22"/>
          <w:lang w:val="lt-LT"/>
        </w:rPr>
        <w:t xml:space="preserve">uropos plėtros ir rekonstrukcijos bankas. Vienam projektui nėra skiriamas didesnis finansavimas nei 35 proc. viso projekto išlaidų; finansavimo dydis ne mažesnis nei 5 mln. eurų; </w:t>
      </w:r>
    </w:p>
    <w:p w14:paraId="18B6637D" w14:textId="5688E8D7" w:rsidR="008D20C3" w:rsidRPr="00650EE4" w:rsidRDefault="008D20C3"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 xml:space="preserve">Europos investicijų bankas. Vienam projektui nėra skiriamas didesnis finansavimas nei 50 proc. viso projekto išlaidų; finansavimo dydis ne mažesnis nei 25 mln. eurų; jeigu projektas yra mažesnės apimties, finansavimas gali būti teikiamas per finansinius tarpininkus; </w:t>
      </w:r>
    </w:p>
    <w:p w14:paraId="48D312D7" w14:textId="5D5954D9" w:rsidR="008D20C3" w:rsidRPr="00650EE4" w:rsidRDefault="008D20C3" w:rsidP="00BD4925">
      <w:pPr>
        <w:pStyle w:val="ListParagraph"/>
        <w:numPr>
          <w:ilvl w:val="0"/>
          <w:numId w:val="59"/>
        </w:numPr>
        <w:spacing w:before="60" w:after="60"/>
        <w:jc w:val="both"/>
        <w:rPr>
          <w:rFonts w:ascii="Times New Roman" w:hAnsi="Times New Roman"/>
          <w:szCs w:val="22"/>
          <w:lang w:val="lt-LT"/>
        </w:rPr>
      </w:pPr>
      <w:r w:rsidRPr="00650EE4">
        <w:rPr>
          <w:rFonts w:ascii="Times New Roman" w:hAnsi="Times New Roman"/>
          <w:szCs w:val="22"/>
          <w:lang w:val="lt-LT"/>
        </w:rPr>
        <w:t>Šiaurės investicijų bankas. Vienam projektui nėra skiriamas didesnis finansavimas nei 50 proc. viso projekto išlaidų; finansavimo dydis ne mažesnis nei 5 mln. eurų. Atsižvelgiant į tai, tikėtina, kad nė viena tarptautinė finansų institucija nefinansuotų pavienių pastatų energijos efektyvumo projektų dėl per mažos jų apimties.</w:t>
      </w:r>
    </w:p>
    <w:p w14:paraId="27EFC6B8" w14:textId="77777777" w:rsidR="00DA1A2F" w:rsidRPr="00650EE4" w:rsidRDefault="00DA1A2F" w:rsidP="006A278B">
      <w:pPr>
        <w:spacing w:before="60" w:after="60"/>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8D20C3" w:rsidRPr="00650EE4" w14:paraId="7714A2B7" w14:textId="77777777" w:rsidTr="000C1D71">
        <w:trPr>
          <w:trHeight w:val="61"/>
        </w:trPr>
        <w:tc>
          <w:tcPr>
            <w:tcW w:w="3114" w:type="dxa"/>
          </w:tcPr>
          <w:p w14:paraId="7F024940"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C5940B8" w14:textId="29C5BB4C" w:rsidR="008D20C3" w:rsidRPr="00650EE4" w:rsidRDefault="00AC0392" w:rsidP="000C1D71">
            <w:pPr>
              <w:spacing w:after="60"/>
              <w:rPr>
                <w:rFonts w:ascii="Times New Roman" w:hAnsi="Times New Roman"/>
                <w:szCs w:val="22"/>
                <w:lang w:eastAsia="lt-LT"/>
              </w:rPr>
            </w:pPr>
            <w:r w:rsidRPr="00650EE4">
              <w:rPr>
                <w:rFonts w:ascii="Times New Roman" w:hAnsi="Times New Roman"/>
                <w:szCs w:val="22"/>
                <w:lang w:eastAsia="lt-LT"/>
              </w:rPr>
              <w:t>P12. R</w:t>
            </w:r>
            <w:r w:rsidR="00DE364B">
              <w:rPr>
                <w:rFonts w:ascii="Times New Roman" w:hAnsi="Times New Roman"/>
                <w:szCs w:val="22"/>
                <w:lang w:eastAsia="lt-LT"/>
              </w:rPr>
              <w:t>enovacijos projektų agregavimas</w:t>
            </w:r>
          </w:p>
        </w:tc>
      </w:tr>
      <w:tr w:rsidR="008D20C3" w:rsidRPr="00650EE4" w14:paraId="221787FF" w14:textId="77777777" w:rsidTr="000C1D71">
        <w:trPr>
          <w:trHeight w:val="61"/>
        </w:trPr>
        <w:tc>
          <w:tcPr>
            <w:tcW w:w="3114" w:type="dxa"/>
          </w:tcPr>
          <w:p w14:paraId="6DB33872"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F8951E5" w14:textId="77777777" w:rsidR="008D20C3" w:rsidRPr="00650EE4" w:rsidRDefault="008D20C3"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8D20C3" w:rsidRPr="00650EE4" w14:paraId="5C366870" w14:textId="77777777" w:rsidTr="000C1D71">
        <w:trPr>
          <w:trHeight w:val="76"/>
        </w:trPr>
        <w:tc>
          <w:tcPr>
            <w:tcW w:w="3114" w:type="dxa"/>
          </w:tcPr>
          <w:p w14:paraId="7BC91840" w14:textId="77777777" w:rsidR="008D20C3" w:rsidRPr="00650EE4" w:rsidRDefault="008D20C3"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CB44E8D" w14:textId="77777777" w:rsidR="008D20C3" w:rsidRPr="00650EE4" w:rsidRDefault="008D20C3"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69D3B2A" w14:textId="77777777" w:rsidR="009C069B" w:rsidRPr="00650EE4" w:rsidRDefault="009C069B" w:rsidP="000F308C">
      <w:pPr>
        <w:spacing w:after="120"/>
        <w:jc w:val="both"/>
        <w:rPr>
          <w:rFonts w:ascii="Times New Roman" w:hAnsi="Times New Roman"/>
          <w:color w:val="000000" w:themeColor="text1"/>
          <w:sz w:val="24"/>
          <w:szCs w:val="24"/>
        </w:rPr>
      </w:pPr>
    </w:p>
    <w:p w14:paraId="42A606C0" w14:textId="7119F515" w:rsidR="00710357" w:rsidRPr="00650EE4" w:rsidRDefault="00AC569D" w:rsidP="00710357">
      <w:pPr>
        <w:pStyle w:val="Antrastes31"/>
        <w:numPr>
          <w:ilvl w:val="2"/>
          <w:numId w:val="4"/>
        </w:numPr>
        <w:spacing w:before="0"/>
        <w:ind w:left="720" w:hanging="720"/>
        <w:rPr>
          <w:rFonts w:ascii="Times New Roman" w:hAnsi="Times New Roman"/>
          <w:color w:val="000000" w:themeColor="text1"/>
          <w:sz w:val="24"/>
          <w:szCs w:val="24"/>
          <w:lang w:val="lt-LT"/>
        </w:rPr>
      </w:pPr>
      <w:bookmarkStart w:id="152" w:name="_Toc59107555"/>
      <w:r w:rsidRPr="00650EE4">
        <w:rPr>
          <w:rFonts w:ascii="Times New Roman" w:hAnsi="Times New Roman"/>
          <w:color w:val="000000" w:themeColor="text1"/>
          <w:sz w:val="24"/>
          <w:szCs w:val="24"/>
          <w:lang w:val="lt-LT"/>
        </w:rPr>
        <w:t>Komunikacijos barjerai</w:t>
      </w:r>
      <w:bookmarkEnd w:id="152"/>
    </w:p>
    <w:p w14:paraId="7B9F18D7" w14:textId="70C1D48E" w:rsidR="007820BE" w:rsidRPr="00650EE4" w:rsidRDefault="007820BE" w:rsidP="00684112">
      <w:pPr>
        <w:spacing w:after="120"/>
        <w:jc w:val="both"/>
        <w:rPr>
          <w:rFonts w:ascii="Times New Roman" w:hAnsi="Times New Roman"/>
          <w:b/>
          <w:bCs/>
          <w:szCs w:val="24"/>
        </w:rPr>
      </w:pPr>
      <w:r w:rsidRPr="00650EE4">
        <w:rPr>
          <w:rFonts w:ascii="Times New Roman" w:hAnsi="Times New Roman"/>
          <w:b/>
          <w:bCs/>
          <w:szCs w:val="24"/>
        </w:rPr>
        <w:t>B1</w:t>
      </w:r>
      <w:r w:rsidR="000E7641" w:rsidRPr="00650EE4">
        <w:rPr>
          <w:rFonts w:ascii="Times New Roman" w:hAnsi="Times New Roman"/>
          <w:b/>
          <w:bCs/>
          <w:szCs w:val="24"/>
        </w:rPr>
        <w:t>3</w:t>
      </w:r>
      <w:r w:rsidRPr="00650EE4">
        <w:rPr>
          <w:rFonts w:ascii="Times New Roman" w:hAnsi="Times New Roman"/>
          <w:b/>
          <w:bCs/>
          <w:szCs w:val="24"/>
        </w:rPr>
        <w:t xml:space="preserve">. Nepakankama informacija apie renovacijos teikiamas naudas </w:t>
      </w:r>
    </w:p>
    <w:p w14:paraId="2188DC9B" w14:textId="2E2F12D6" w:rsidR="007820BE" w:rsidRPr="00650EE4" w:rsidRDefault="007820BE" w:rsidP="007820B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w:t>
      </w:r>
      <w:r w:rsidR="00401381">
        <w:rPr>
          <w:rFonts w:ascii="Times New Roman" w:hAnsi="Times New Roman"/>
          <w:color w:val="000000" w:themeColor="text1"/>
          <w:szCs w:val="22"/>
          <w:lang w:val="lt-LT"/>
        </w:rPr>
        <w:t xml:space="preserve">išlaidų </w:t>
      </w:r>
      <w:r w:rsidRPr="00650EE4">
        <w:rPr>
          <w:rFonts w:ascii="Times New Roman" w:hAnsi="Times New Roman"/>
          <w:color w:val="000000" w:themeColor="text1"/>
          <w:szCs w:val="22"/>
          <w:lang w:val="lt-LT"/>
        </w:rPr>
        <w:t xml:space="preserve">sutaupymas,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 energijos kaina yra žema (žr. </w:t>
      </w:r>
      <w:r w:rsidR="000B1823" w:rsidRPr="00650EE4">
        <w:rPr>
          <w:rFonts w:ascii="Times New Roman" w:hAnsi="Times New Roman"/>
          <w:color w:val="000000" w:themeColor="text1"/>
          <w:szCs w:val="22"/>
          <w:lang w:val="lt-LT"/>
        </w:rPr>
        <w:t>B5</w:t>
      </w:r>
      <w:r w:rsidRPr="00650EE4">
        <w:rPr>
          <w:rFonts w:ascii="Times New Roman" w:hAnsi="Times New Roman"/>
          <w:color w:val="000000" w:themeColor="text1"/>
          <w:szCs w:val="22"/>
          <w:lang w:val="lt-LT"/>
        </w:rPr>
        <w:t xml:space="preserve">) ir rezultate finansinės renovacijos naudos </w:t>
      </w:r>
      <w:r w:rsidR="009D7555">
        <w:rPr>
          <w:rFonts w:ascii="Times New Roman" w:hAnsi="Times New Roman"/>
          <w:color w:val="000000" w:themeColor="text1"/>
          <w:szCs w:val="22"/>
          <w:lang w:val="lt-LT"/>
        </w:rPr>
        <w:t xml:space="preserve">nekuria pakankamos motyvacijos </w:t>
      </w:r>
      <w:r w:rsidRPr="00650EE4">
        <w:rPr>
          <w:rFonts w:ascii="Times New Roman" w:hAnsi="Times New Roman"/>
          <w:color w:val="000000" w:themeColor="text1"/>
          <w:szCs w:val="22"/>
          <w:lang w:val="lt-LT"/>
        </w:rPr>
        <w:t xml:space="preserve">dalyvauti renovacijoje. </w:t>
      </w:r>
    </w:p>
    <w:p w14:paraId="4F5DC4A8" w14:textId="77777777" w:rsidR="007820BE" w:rsidRPr="00650EE4" w:rsidRDefault="007820BE" w:rsidP="007820BE">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20BE" w:rsidRPr="00650EE4" w14:paraId="7D3FB5BE" w14:textId="77777777" w:rsidTr="000C1D71">
        <w:trPr>
          <w:trHeight w:val="61"/>
        </w:trPr>
        <w:tc>
          <w:tcPr>
            <w:tcW w:w="3114" w:type="dxa"/>
          </w:tcPr>
          <w:p w14:paraId="5B4E3FD0"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63F30625" w14:textId="33EF07DF" w:rsidR="007820BE" w:rsidRPr="00650EE4" w:rsidRDefault="00C46117" w:rsidP="000C1D71">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7</w:t>
            </w:r>
            <w:r w:rsidRPr="00650EE4">
              <w:rPr>
                <w:rFonts w:ascii="Times New Roman" w:hAnsi="Times New Roman"/>
                <w:szCs w:val="22"/>
                <w:lang w:eastAsia="lt-LT"/>
              </w:rPr>
              <w:t>. Komunikacija apie renovacijos naudas ir priemones</w:t>
            </w:r>
          </w:p>
        </w:tc>
      </w:tr>
      <w:tr w:rsidR="007820BE" w:rsidRPr="00650EE4" w14:paraId="24F93906" w14:textId="77777777" w:rsidTr="000C1D71">
        <w:trPr>
          <w:trHeight w:val="61"/>
        </w:trPr>
        <w:tc>
          <w:tcPr>
            <w:tcW w:w="3114" w:type="dxa"/>
          </w:tcPr>
          <w:p w14:paraId="102C4757"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DB99E43" w14:textId="77777777" w:rsidR="007820BE" w:rsidRPr="00650EE4" w:rsidRDefault="007820BE" w:rsidP="000C1D71">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20BE" w:rsidRPr="00650EE4" w14:paraId="29A5E011" w14:textId="77777777" w:rsidTr="000C1D71">
        <w:trPr>
          <w:trHeight w:val="76"/>
        </w:trPr>
        <w:tc>
          <w:tcPr>
            <w:tcW w:w="3114" w:type="dxa"/>
          </w:tcPr>
          <w:p w14:paraId="080D5601" w14:textId="77777777" w:rsidR="007820BE" w:rsidRPr="00650EE4" w:rsidRDefault="007820BE" w:rsidP="000C1D7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2A90809" w14:textId="77777777" w:rsidR="007820BE" w:rsidRPr="00650EE4" w:rsidRDefault="007820BE" w:rsidP="000C1D7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5B91B8C1" w14:textId="77777777" w:rsidR="007820BE" w:rsidRPr="00650EE4" w:rsidRDefault="007820BE" w:rsidP="007820BE">
      <w:pPr>
        <w:pStyle w:val="BodyText"/>
        <w:rPr>
          <w:rFonts w:ascii="Times New Roman" w:hAnsi="Times New Roman"/>
          <w:lang w:val="lt-LT"/>
        </w:rPr>
      </w:pPr>
    </w:p>
    <w:p w14:paraId="08E82DEE" w14:textId="77777777" w:rsidR="00D75C6A" w:rsidRPr="00650EE4" w:rsidRDefault="00D75C6A" w:rsidP="007820BE">
      <w:pPr>
        <w:pStyle w:val="BodyText"/>
        <w:rPr>
          <w:rFonts w:ascii="Times New Roman" w:hAnsi="Times New Roman"/>
          <w:lang w:val="lt-LT"/>
        </w:rPr>
      </w:pPr>
    </w:p>
    <w:p w14:paraId="772916ED" w14:textId="75ECBC86" w:rsidR="00F87F26" w:rsidRPr="00650EE4" w:rsidRDefault="00F87F26" w:rsidP="00684112">
      <w:pPr>
        <w:spacing w:after="120"/>
        <w:jc w:val="both"/>
        <w:rPr>
          <w:rFonts w:ascii="Times New Roman" w:hAnsi="Times New Roman"/>
          <w:b/>
          <w:bCs/>
          <w:szCs w:val="24"/>
        </w:rPr>
      </w:pPr>
      <w:r w:rsidRPr="00650EE4">
        <w:rPr>
          <w:rFonts w:ascii="Times New Roman" w:hAnsi="Times New Roman"/>
          <w:b/>
          <w:bCs/>
          <w:szCs w:val="24"/>
        </w:rPr>
        <w:t>B</w:t>
      </w:r>
      <w:r w:rsidR="000E7641" w:rsidRPr="00650EE4">
        <w:rPr>
          <w:rFonts w:ascii="Times New Roman" w:hAnsi="Times New Roman"/>
          <w:b/>
          <w:bCs/>
          <w:szCs w:val="24"/>
        </w:rPr>
        <w:t>14</w:t>
      </w:r>
      <w:r w:rsidRPr="00650EE4">
        <w:rPr>
          <w:rFonts w:ascii="Times New Roman" w:hAnsi="Times New Roman"/>
          <w:b/>
          <w:bCs/>
          <w:szCs w:val="24"/>
        </w:rPr>
        <w:t xml:space="preserve">. Nepakankama informacija apie renovacijos neišvengiamumą </w:t>
      </w:r>
    </w:p>
    <w:p w14:paraId="3D4B6E58" w14:textId="7D2FD3D4" w:rsidR="000B0F9E" w:rsidRPr="00650EE4" w:rsidRDefault="009D7555" w:rsidP="00D75C6A">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2C5823" w:rsidRPr="00650EE4">
        <w:rPr>
          <w:rFonts w:ascii="Times New Roman" w:hAnsi="Times New Roman"/>
          <w:color w:val="000000" w:themeColor="text1"/>
          <w:szCs w:val="22"/>
          <w:lang w:val="lt-LT"/>
        </w:rPr>
        <w:t xml:space="preserve">ienas iš esminių </w:t>
      </w:r>
      <w:r w:rsidR="00F87F26" w:rsidRPr="00650EE4">
        <w:rPr>
          <w:rFonts w:ascii="Times New Roman" w:hAnsi="Times New Roman"/>
          <w:color w:val="000000" w:themeColor="text1"/>
          <w:szCs w:val="22"/>
          <w:lang w:val="lt-LT"/>
        </w:rPr>
        <w:t xml:space="preserve">barjerų trukdančių sparčiai įgyvendinti renovaciją yra nepakankama komunikacija apie renovacijos neišvengiamumą t.y. akcentavimą, kad žemo energinio efektyvumo pastatų fondo daliai ilgalaikėje perspektyvoje nėra pasirinkimo dalyvauti renovacijoje ar ne. </w:t>
      </w:r>
      <w:r w:rsidR="000B0F9E" w:rsidRPr="00650EE4">
        <w:rPr>
          <w:rFonts w:ascii="Times New Roman" w:hAnsi="Times New Roman"/>
          <w:color w:val="000000" w:themeColor="text1"/>
          <w:szCs w:val="22"/>
          <w:lang w:val="lt-LT"/>
        </w:rPr>
        <w:t xml:space="preserve">Esminiai neišvengiamumą </w:t>
      </w:r>
      <w:r w:rsidR="00781599" w:rsidRPr="00650EE4">
        <w:rPr>
          <w:rFonts w:ascii="Times New Roman" w:hAnsi="Times New Roman"/>
          <w:color w:val="000000" w:themeColor="text1"/>
          <w:szCs w:val="22"/>
          <w:lang w:val="lt-LT"/>
        </w:rPr>
        <w:t>sąlygojantys</w:t>
      </w:r>
      <w:r w:rsidR="000B0F9E" w:rsidRPr="00650EE4">
        <w:rPr>
          <w:rFonts w:ascii="Times New Roman" w:hAnsi="Times New Roman"/>
          <w:color w:val="000000" w:themeColor="text1"/>
          <w:szCs w:val="22"/>
          <w:lang w:val="lt-LT"/>
        </w:rPr>
        <w:t xml:space="preserve"> veiksniai:</w:t>
      </w:r>
    </w:p>
    <w:p w14:paraId="29FB84C5" w14:textId="32D2CDCC"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D75C6A" w:rsidRPr="00650EE4">
        <w:rPr>
          <w:rFonts w:ascii="Times New Roman" w:hAnsi="Times New Roman"/>
          <w:color w:val="000000" w:themeColor="text1"/>
          <w:szCs w:val="22"/>
          <w:lang w:val="lt-LT"/>
        </w:rPr>
        <w:t>rasta didžiosios dalies pastatų techninė būklė (iki 2050 m. dalį pastatų bet kokiu atveju teks renovuoti, pasinaudojant valstybės teikiamomis priemonėmis</w:t>
      </w:r>
      <w:r w:rsidR="009D7555">
        <w:rPr>
          <w:rFonts w:ascii="Times New Roman" w:hAnsi="Times New Roman"/>
          <w:color w:val="000000" w:themeColor="text1"/>
          <w:szCs w:val="22"/>
          <w:lang w:val="lt-LT"/>
        </w:rPr>
        <w:t xml:space="preserve"> arba ne</w:t>
      </w:r>
      <w:r w:rsidR="00D75C6A"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w:t>
      </w:r>
    </w:p>
    <w:p w14:paraId="402D6578" w14:textId="61C7D2A8" w:rsidR="00D75C6A" w:rsidRPr="00650EE4" w:rsidRDefault="00D75C6A" w:rsidP="00BD4925">
      <w:pPr>
        <w:pStyle w:val="BodyText"/>
        <w:numPr>
          <w:ilvl w:val="0"/>
          <w:numId w:val="60"/>
        </w:numPr>
        <w:spacing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Lietuva, kaip ES šalis </w:t>
      </w:r>
      <w:r w:rsidR="009D7555">
        <w:rPr>
          <w:rFonts w:ascii="Times New Roman" w:hAnsi="Times New Roman"/>
          <w:color w:val="000000" w:themeColor="text1"/>
          <w:szCs w:val="22"/>
          <w:lang w:val="lt-LT"/>
        </w:rPr>
        <w:t>turi</w:t>
      </w:r>
      <w:r w:rsidRPr="00650EE4">
        <w:rPr>
          <w:rFonts w:ascii="Times New Roman" w:hAnsi="Times New Roman"/>
          <w:color w:val="000000" w:themeColor="text1"/>
          <w:szCs w:val="22"/>
          <w:lang w:val="lt-LT"/>
        </w:rPr>
        <w:t xml:space="preserve"> vykdyti ES strateginių dokumentų (Reglamentų, Žaliojo kurso ir pan.) </w:t>
      </w:r>
      <w:r w:rsidR="002C5823" w:rsidRPr="00650EE4">
        <w:rPr>
          <w:rFonts w:ascii="Times New Roman" w:hAnsi="Times New Roman"/>
          <w:color w:val="000000" w:themeColor="text1"/>
          <w:szCs w:val="22"/>
          <w:lang w:val="lt-LT"/>
        </w:rPr>
        <w:t>nuos</w:t>
      </w:r>
      <w:r w:rsidRPr="00650EE4">
        <w:rPr>
          <w:rFonts w:ascii="Times New Roman" w:hAnsi="Times New Roman"/>
          <w:color w:val="000000" w:themeColor="text1"/>
          <w:szCs w:val="22"/>
          <w:lang w:val="lt-LT"/>
        </w:rPr>
        <w:t xml:space="preserve">tatas. </w:t>
      </w:r>
      <w:r w:rsidR="002C5823" w:rsidRPr="00650EE4">
        <w:rPr>
          <w:rFonts w:ascii="Times New Roman" w:hAnsi="Times New Roman"/>
          <w:color w:val="000000" w:themeColor="text1"/>
          <w:szCs w:val="22"/>
          <w:lang w:val="lt-LT"/>
        </w:rPr>
        <w:t xml:space="preserve">ES įpareigojimų vykdymas </w:t>
      </w:r>
      <w:r w:rsidRPr="00650EE4">
        <w:rPr>
          <w:rFonts w:ascii="Times New Roman" w:hAnsi="Times New Roman"/>
          <w:color w:val="000000" w:themeColor="text1"/>
          <w:szCs w:val="22"/>
          <w:lang w:val="lt-LT"/>
        </w:rPr>
        <w:t xml:space="preserve">yra buvimo ES </w:t>
      </w:r>
      <w:r w:rsidR="000A24D5">
        <w:rPr>
          <w:rFonts w:ascii="Times New Roman" w:hAnsi="Times New Roman"/>
          <w:color w:val="000000" w:themeColor="text1"/>
          <w:szCs w:val="22"/>
          <w:lang w:val="lt-LT"/>
        </w:rPr>
        <w:t>dalis;</w:t>
      </w:r>
      <w:r w:rsidR="002C5823" w:rsidRPr="00650EE4">
        <w:rPr>
          <w:rFonts w:ascii="Times New Roman" w:hAnsi="Times New Roman"/>
          <w:color w:val="000000" w:themeColor="text1"/>
          <w:szCs w:val="22"/>
          <w:lang w:val="lt-LT"/>
        </w:rPr>
        <w:t xml:space="preserve"> </w:t>
      </w:r>
    </w:p>
    <w:p w14:paraId="10EC6EF1" w14:textId="3C5BEDA0" w:rsidR="00D75C6A" w:rsidRPr="00650EE4" w:rsidRDefault="000A24D5" w:rsidP="00BD4925">
      <w:pPr>
        <w:pStyle w:val="BodyText"/>
        <w:numPr>
          <w:ilvl w:val="0"/>
          <w:numId w:val="60"/>
        </w:numPr>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D75C6A" w:rsidRPr="00650EE4">
        <w:rPr>
          <w:rFonts w:ascii="Times New Roman" w:hAnsi="Times New Roman"/>
          <w:color w:val="000000" w:themeColor="text1"/>
          <w:szCs w:val="22"/>
          <w:lang w:val="lt-LT"/>
        </w:rPr>
        <w:t xml:space="preserve">titinkamai, </w:t>
      </w:r>
      <w:r w:rsidR="001062B1" w:rsidRPr="00650EE4">
        <w:rPr>
          <w:rFonts w:ascii="Times New Roman" w:hAnsi="Times New Roman"/>
          <w:color w:val="000000" w:themeColor="text1"/>
          <w:szCs w:val="22"/>
          <w:lang w:val="lt-LT"/>
        </w:rPr>
        <w:t xml:space="preserve">šalia skatinamųjų priemonių motyvuojančių dalyvauti renovacijoje </w:t>
      </w:r>
      <w:r w:rsidR="00781599" w:rsidRPr="00650EE4">
        <w:rPr>
          <w:rFonts w:ascii="Times New Roman" w:hAnsi="Times New Roman"/>
          <w:color w:val="000000" w:themeColor="text1"/>
          <w:szCs w:val="22"/>
          <w:lang w:val="lt-LT"/>
        </w:rPr>
        <w:t>neišvengiamai</w:t>
      </w:r>
      <w:r w:rsidR="001062B1" w:rsidRPr="00650EE4">
        <w:rPr>
          <w:rFonts w:ascii="Times New Roman" w:hAnsi="Times New Roman"/>
          <w:color w:val="000000" w:themeColor="text1"/>
          <w:szCs w:val="22"/>
          <w:lang w:val="lt-LT"/>
        </w:rPr>
        <w:t xml:space="preserve"> atsiras ir drausminančios priemonės (taršos mokesčiai, ribojimai </w:t>
      </w:r>
      <w:r>
        <w:rPr>
          <w:rFonts w:ascii="Times New Roman" w:hAnsi="Times New Roman"/>
          <w:color w:val="000000" w:themeColor="text1"/>
          <w:szCs w:val="22"/>
          <w:lang w:val="lt-LT"/>
        </w:rPr>
        <w:t>nuomoti / parduoti</w:t>
      </w:r>
      <w:r w:rsidR="001062B1" w:rsidRPr="00650EE4">
        <w:rPr>
          <w:rFonts w:ascii="Times New Roman" w:hAnsi="Times New Roman"/>
          <w:color w:val="000000" w:themeColor="text1"/>
          <w:szCs w:val="22"/>
          <w:lang w:val="lt-LT"/>
        </w:rPr>
        <w:t xml:space="preserve"> neefektyvius pastatus ir pan.) </w:t>
      </w:r>
      <w:r w:rsidR="00577456" w:rsidRPr="00650EE4">
        <w:rPr>
          <w:rFonts w:ascii="Times New Roman" w:hAnsi="Times New Roman"/>
          <w:color w:val="000000" w:themeColor="text1"/>
          <w:szCs w:val="22"/>
          <w:lang w:val="lt-LT"/>
        </w:rPr>
        <w:t>skirtos valdyti</w:t>
      </w:r>
      <w:r w:rsidR="001062B1" w:rsidRPr="00650EE4">
        <w:rPr>
          <w:rFonts w:ascii="Times New Roman" w:hAnsi="Times New Roman"/>
          <w:color w:val="000000" w:themeColor="text1"/>
          <w:szCs w:val="22"/>
          <w:lang w:val="lt-LT"/>
        </w:rPr>
        <w:t xml:space="preserve"> neatsakingą ir neracionalią </w:t>
      </w:r>
      <w:r w:rsidR="00A32183" w:rsidRPr="00650EE4">
        <w:rPr>
          <w:rFonts w:ascii="Times New Roman" w:hAnsi="Times New Roman"/>
          <w:color w:val="000000" w:themeColor="text1"/>
          <w:szCs w:val="22"/>
          <w:lang w:val="lt-LT"/>
        </w:rPr>
        <w:t xml:space="preserve">pastatų savininkų </w:t>
      </w:r>
      <w:r w:rsidR="001062B1" w:rsidRPr="00650EE4">
        <w:rPr>
          <w:rFonts w:ascii="Times New Roman" w:hAnsi="Times New Roman"/>
          <w:color w:val="000000" w:themeColor="text1"/>
          <w:szCs w:val="22"/>
          <w:lang w:val="lt-LT"/>
        </w:rPr>
        <w:t xml:space="preserve">elgseną. </w:t>
      </w:r>
    </w:p>
    <w:p w14:paraId="7EEA490B" w14:textId="0BF5F948" w:rsidR="00F87F26" w:rsidRPr="00650EE4" w:rsidRDefault="009D7555" w:rsidP="00644441">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00D75C6A" w:rsidRPr="00650EE4">
        <w:rPr>
          <w:rFonts w:ascii="Times New Roman" w:hAnsi="Times New Roman"/>
          <w:color w:val="000000" w:themeColor="text1"/>
          <w:szCs w:val="22"/>
          <w:lang w:val="lt-LT"/>
        </w:rPr>
        <w:t>omunikacija apie renovacijos neišvengiamumą turėtų būti orientuota į du segmentus:</w:t>
      </w:r>
    </w:p>
    <w:p w14:paraId="5B2EDA45" w14:textId="3A9BE594"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D75C6A" w:rsidRPr="00650EE4">
        <w:rPr>
          <w:rFonts w:ascii="Times New Roman" w:hAnsi="Times New Roman"/>
          <w:color w:val="000000" w:themeColor="text1"/>
          <w:szCs w:val="22"/>
          <w:lang w:val="lt-LT"/>
        </w:rPr>
        <w:t>astatų savininkus (motyvuojant juos dalyvauti)</w:t>
      </w:r>
      <w:r>
        <w:rPr>
          <w:rFonts w:ascii="Times New Roman" w:hAnsi="Times New Roman"/>
          <w:color w:val="000000" w:themeColor="text1"/>
          <w:szCs w:val="22"/>
          <w:lang w:val="lt-LT"/>
        </w:rPr>
        <w:t>;</w:t>
      </w:r>
    </w:p>
    <w:p w14:paraId="68C2B3D4" w14:textId="229E8117" w:rsidR="00D75C6A" w:rsidRPr="00650EE4" w:rsidRDefault="000A24D5"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D75C6A" w:rsidRPr="00650EE4">
        <w:rPr>
          <w:rFonts w:ascii="Times New Roman" w:hAnsi="Times New Roman"/>
          <w:color w:val="000000" w:themeColor="text1"/>
          <w:szCs w:val="22"/>
          <w:lang w:val="lt-LT"/>
        </w:rPr>
        <w:t>tatybos, projektavimo, finansavimo ir kitų renovacijoje dalyvaujančių suinteresuotų šalių atstovus</w:t>
      </w:r>
      <w:r w:rsidR="00157FF4" w:rsidRPr="00650EE4">
        <w:rPr>
          <w:rFonts w:ascii="Times New Roman" w:hAnsi="Times New Roman"/>
          <w:color w:val="000000" w:themeColor="text1"/>
          <w:szCs w:val="22"/>
          <w:lang w:val="lt-LT"/>
        </w:rPr>
        <w:t xml:space="preserve"> (suteikiant užtikrinimą, kad </w:t>
      </w:r>
      <w:r w:rsidR="002C5823" w:rsidRPr="00650EE4">
        <w:rPr>
          <w:rFonts w:ascii="Times New Roman" w:hAnsi="Times New Roman"/>
          <w:color w:val="000000" w:themeColor="text1"/>
          <w:szCs w:val="22"/>
          <w:lang w:val="lt-LT"/>
        </w:rPr>
        <w:t xml:space="preserve">valstybės politika šiuo klausimu yra aiški, įpareigojanti ir ilgalaikė). </w:t>
      </w:r>
    </w:p>
    <w:p w14:paraId="0B020BC9" w14:textId="77777777" w:rsidR="009C069B" w:rsidRPr="00650EE4" w:rsidRDefault="009C069B" w:rsidP="009C069B">
      <w:pPr>
        <w:pStyle w:val="BodyText"/>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F87F26" w:rsidRPr="00650EE4" w14:paraId="2CA4B6C3" w14:textId="77777777" w:rsidTr="00F951EE">
        <w:trPr>
          <w:trHeight w:val="61"/>
        </w:trPr>
        <w:tc>
          <w:tcPr>
            <w:tcW w:w="3114" w:type="dxa"/>
          </w:tcPr>
          <w:p w14:paraId="7D011D8F"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ED7ECD0" w14:textId="50AC72B6" w:rsidR="00F87F26" w:rsidRPr="00650EE4" w:rsidRDefault="00A037CB" w:rsidP="00F951EE">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6</w:t>
            </w:r>
            <w:r w:rsidRPr="00650EE4">
              <w:rPr>
                <w:rFonts w:ascii="Times New Roman" w:hAnsi="Times New Roman"/>
                <w:szCs w:val="22"/>
                <w:lang w:eastAsia="lt-LT"/>
              </w:rPr>
              <w:t>. Komunikacija apie renovacijos neišvengiamumą</w:t>
            </w:r>
          </w:p>
        </w:tc>
      </w:tr>
      <w:tr w:rsidR="00F87F26" w:rsidRPr="00650EE4" w14:paraId="540DFDD1" w14:textId="77777777" w:rsidTr="00F951EE">
        <w:trPr>
          <w:trHeight w:val="61"/>
        </w:trPr>
        <w:tc>
          <w:tcPr>
            <w:tcW w:w="3114" w:type="dxa"/>
          </w:tcPr>
          <w:p w14:paraId="46043074"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9C3B546" w14:textId="77777777" w:rsidR="00F87F26" w:rsidRPr="00650EE4" w:rsidRDefault="00F87F26" w:rsidP="00F951EE">
            <w:pPr>
              <w:spacing w:after="60"/>
              <w:rPr>
                <w:rFonts w:ascii="Times New Roman" w:hAnsi="Times New Roman"/>
                <w:szCs w:val="22"/>
                <w:lang w:eastAsia="lt-LT"/>
              </w:rPr>
            </w:pPr>
            <w:r w:rsidRPr="00650EE4">
              <w:rPr>
                <w:rFonts w:ascii="Times New Roman" w:hAnsi="Times New Roman"/>
                <w:szCs w:val="22"/>
                <w:lang w:eastAsia="lt-LT"/>
              </w:rPr>
              <w:t>Aukštas</w:t>
            </w:r>
          </w:p>
        </w:tc>
      </w:tr>
      <w:tr w:rsidR="00F87F26" w:rsidRPr="00650EE4" w14:paraId="2E0E055F" w14:textId="77777777" w:rsidTr="00F951EE">
        <w:trPr>
          <w:trHeight w:val="76"/>
        </w:trPr>
        <w:tc>
          <w:tcPr>
            <w:tcW w:w="3114" w:type="dxa"/>
          </w:tcPr>
          <w:p w14:paraId="37CF2E64" w14:textId="77777777" w:rsidR="00F87F26" w:rsidRPr="00650EE4" w:rsidRDefault="00F87F26" w:rsidP="00F951EE">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23388A6" w14:textId="77777777" w:rsidR="00F87F26" w:rsidRPr="00650EE4" w:rsidRDefault="00F87F26" w:rsidP="00F951EE">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4CBAEE6" w14:textId="77777777" w:rsidR="001A6139" w:rsidRDefault="001A6139">
      <w:pPr>
        <w:spacing w:after="240"/>
        <w:rPr>
          <w:rFonts w:ascii="Times New Roman" w:hAnsi="Times New Roman"/>
        </w:rPr>
      </w:pPr>
    </w:p>
    <w:p w14:paraId="467E20AD" w14:textId="77777777" w:rsidR="000E7641" w:rsidRPr="00650EE4" w:rsidRDefault="000E7641" w:rsidP="000E7641">
      <w:pPr>
        <w:pStyle w:val="Antrastes31"/>
        <w:numPr>
          <w:ilvl w:val="2"/>
          <w:numId w:val="4"/>
        </w:numPr>
        <w:spacing w:before="0"/>
        <w:ind w:left="720" w:hanging="720"/>
        <w:rPr>
          <w:rFonts w:ascii="Times New Roman" w:hAnsi="Times New Roman"/>
          <w:color w:val="000000" w:themeColor="text1"/>
          <w:sz w:val="24"/>
          <w:szCs w:val="24"/>
          <w:lang w:val="lt-LT"/>
        </w:rPr>
      </w:pPr>
      <w:bookmarkStart w:id="153" w:name="_Toc59107556"/>
      <w:r w:rsidRPr="00650EE4">
        <w:rPr>
          <w:rFonts w:ascii="Times New Roman" w:hAnsi="Times New Roman"/>
          <w:color w:val="000000" w:themeColor="text1"/>
          <w:sz w:val="24"/>
          <w:szCs w:val="24"/>
          <w:lang w:val="lt-LT"/>
        </w:rPr>
        <w:t>Įgyvendinimo barjerai</w:t>
      </w:r>
      <w:bookmarkEnd w:id="153"/>
    </w:p>
    <w:p w14:paraId="6FB87046" w14:textId="01A86656"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 xml:space="preserve">B15. Nepakankami savivaldybių vadybiniai pajėgumai </w:t>
      </w:r>
    </w:p>
    <w:p w14:paraId="11B82F0F" w14:textId="4D237E68"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szCs w:val="22"/>
          <w:lang w:val="lt-LT"/>
        </w:rPr>
        <w:t xml:space="preserve">Siekiant renovacijos proveržio ir deleguojant daugiau funkcijų savivaldybėms būtina nepamiršti, kad nepakankami savivaldybių vadybiniai pajėgumai gali tapti kritiniu barjeru  IRS įgyvendinimo procese. </w:t>
      </w:r>
      <w:r w:rsidR="009D7555">
        <w:rPr>
          <w:rFonts w:ascii="Times New Roman" w:hAnsi="Times New Roman"/>
          <w:szCs w:val="22"/>
          <w:lang w:val="lt-LT"/>
        </w:rPr>
        <w:t>S</w:t>
      </w:r>
      <w:r w:rsidRPr="00650EE4">
        <w:rPr>
          <w:rFonts w:ascii="Times New Roman" w:hAnsi="Times New Roman"/>
          <w:szCs w:val="22"/>
          <w:lang w:val="lt-LT"/>
        </w:rPr>
        <w:t xml:space="preserve">kirtingi savivaldybių rezultatai įgyvendinant daugiabučių renovacijos programą (žr. B3) </w:t>
      </w:r>
      <w:r w:rsidR="000A24D5">
        <w:rPr>
          <w:rFonts w:ascii="Times New Roman" w:hAnsi="Times New Roman"/>
          <w:szCs w:val="22"/>
          <w:lang w:val="lt-LT"/>
        </w:rPr>
        <w:t>rodo</w:t>
      </w:r>
      <w:r w:rsidRPr="00650EE4">
        <w:rPr>
          <w:rFonts w:ascii="Times New Roman" w:hAnsi="Times New Roman"/>
          <w:szCs w:val="22"/>
          <w:lang w:val="lt-LT"/>
        </w:rPr>
        <w:t xml:space="preserve">, kad savivaldybių vadybiniai pajėgumai nėra tolygūs ir, tikėtina, kad dalyje savivaldybių iš esmės nepakankami. </w:t>
      </w:r>
    </w:p>
    <w:p w14:paraId="61F20F37"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6BD65A5F" w14:textId="77777777" w:rsidTr="00492041">
        <w:trPr>
          <w:trHeight w:val="61"/>
        </w:trPr>
        <w:tc>
          <w:tcPr>
            <w:tcW w:w="3114" w:type="dxa"/>
          </w:tcPr>
          <w:p w14:paraId="1E3E96BC"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lastRenderedPageBreak/>
              <w:t>Siūlomos priemonės</w:t>
            </w:r>
          </w:p>
        </w:tc>
        <w:tc>
          <w:tcPr>
            <w:tcW w:w="7089" w:type="dxa"/>
          </w:tcPr>
          <w:p w14:paraId="62297765" w14:textId="24F3B666"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p>
        </w:tc>
      </w:tr>
      <w:tr w:rsidR="000E7641" w:rsidRPr="00650EE4" w14:paraId="6F771F69" w14:textId="77777777" w:rsidTr="00492041">
        <w:trPr>
          <w:trHeight w:val="61"/>
        </w:trPr>
        <w:tc>
          <w:tcPr>
            <w:tcW w:w="3114" w:type="dxa"/>
          </w:tcPr>
          <w:p w14:paraId="1955D1F2"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C63E5E4"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11D9B398" w14:textId="77777777" w:rsidTr="00492041">
        <w:trPr>
          <w:trHeight w:val="76"/>
        </w:trPr>
        <w:tc>
          <w:tcPr>
            <w:tcW w:w="3114" w:type="dxa"/>
          </w:tcPr>
          <w:p w14:paraId="47FCF934"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EF115A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67CB799A" w14:textId="77777777" w:rsidR="000E7641" w:rsidRPr="00650EE4" w:rsidRDefault="000E7641" w:rsidP="000E7641">
      <w:pPr>
        <w:spacing w:after="120"/>
        <w:jc w:val="both"/>
        <w:rPr>
          <w:rFonts w:ascii="Times New Roman" w:hAnsi="Times New Roman"/>
          <w:szCs w:val="22"/>
        </w:rPr>
      </w:pPr>
    </w:p>
    <w:p w14:paraId="0404E94F" w14:textId="7B158ED0"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B16. Pirkimų proceso barjerai</w:t>
      </w:r>
    </w:p>
    <w:p w14:paraId="4B771F71" w14:textId="77777777" w:rsidR="000E7641" w:rsidRPr="00650EE4" w:rsidRDefault="000E7641" w:rsidP="000E7641">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Šiuo metu statybos rangos darbai gali būti perkami arba per Centrinei perkančiajai organizacijai (CPO) LT priklausantį Elektroninį pirkimų centrą, arba vadovaujantis aplinkos ministro įsakymu patvirtinta tvarka. Tuo tarpu kitos daugiabučių renovacijai reikalingos paslaugos – tik per CPO LT.</w:t>
      </w:r>
    </w:p>
    <w:p w14:paraId="33FDFE2E" w14:textId="77777777" w:rsidR="000E7641" w:rsidRPr="00650EE4" w:rsidRDefault="000E7641" w:rsidP="000E7641">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Nors per EPC realizuota pirkimų proceso standartizacija reikšmingai palengvina pirkimų procesą iš administracinės pusės (nereikia rengti pirkimo dokumentų, nereikia vykdyti laimėtojo atrankos, sutarties suformavimo ir pan.), standartizavimas turi ir savo neigiamą pusę – eliminuoja galimybę realizuoti dalį pirkėjo poreikių pvz. labiau akcentuoti kokybę nei kainą (nėra galimybės taikyti ekonominio naudingumo principo), nustatyti papildomus kriterijus, užtikrinančius, kad nupirktos paslaugos bus atliktos laiku ir kokybiškai (pvz., pareikalauti, kad pretendentai pateiktų atliktų projektų sąrašą ir buvusių klientų rekomendacijas). </w:t>
      </w:r>
    </w:p>
    <w:p w14:paraId="320CF32B" w14:textId="025E4CDC" w:rsidR="000E7641" w:rsidRPr="00650EE4" w:rsidRDefault="009D7555" w:rsidP="000E7641">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0E7641" w:rsidRPr="00650EE4">
        <w:rPr>
          <w:rFonts w:ascii="Times New Roman" w:hAnsi="Times New Roman"/>
          <w:color w:val="000000" w:themeColor="text1"/>
          <w:szCs w:val="22"/>
          <w:lang w:val="lt-LT"/>
        </w:rPr>
        <w:t xml:space="preserve">iekiant IRS numatytų renovacijos tempų įgyvendinimo, pirkimų proceso standartizacija yra strategiškai korektiška kryptis ir vienas sėkmės faktorių, tačiau ta pati standartizacija gali tapti barjeru jei dėl to </w:t>
      </w:r>
      <w:r>
        <w:rPr>
          <w:rFonts w:ascii="Times New Roman" w:hAnsi="Times New Roman"/>
          <w:color w:val="000000" w:themeColor="text1"/>
          <w:szCs w:val="22"/>
          <w:lang w:val="lt-LT"/>
        </w:rPr>
        <w:t>nėra tenkinami</w:t>
      </w:r>
      <w:r w:rsidR="000E7641" w:rsidRPr="00650EE4">
        <w:rPr>
          <w:rFonts w:ascii="Times New Roman" w:hAnsi="Times New Roman"/>
          <w:color w:val="000000" w:themeColor="text1"/>
          <w:szCs w:val="22"/>
          <w:lang w:val="lt-LT"/>
        </w:rPr>
        <w:t xml:space="preserve"> reikšmingos dalies vartotojų poreikiai. </w:t>
      </w:r>
    </w:p>
    <w:p w14:paraId="35D984E6"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4266D8" w:rsidRPr="00650EE4" w14:paraId="48269334" w14:textId="77777777" w:rsidTr="00492041">
        <w:trPr>
          <w:trHeight w:val="61"/>
        </w:trPr>
        <w:tc>
          <w:tcPr>
            <w:tcW w:w="3114" w:type="dxa"/>
          </w:tcPr>
          <w:p w14:paraId="74CC41F2" w14:textId="77777777" w:rsidR="004266D8" w:rsidRPr="00650EE4" w:rsidRDefault="004266D8" w:rsidP="004266D8">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B0ACB50" w14:textId="5A2BD0E3" w:rsidR="004266D8" w:rsidRPr="00650EE4" w:rsidRDefault="004266D8" w:rsidP="004266D8">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p>
        </w:tc>
      </w:tr>
      <w:tr w:rsidR="000E7641" w:rsidRPr="00650EE4" w14:paraId="4EB459D0" w14:textId="77777777" w:rsidTr="00492041">
        <w:trPr>
          <w:trHeight w:val="61"/>
        </w:trPr>
        <w:tc>
          <w:tcPr>
            <w:tcW w:w="3114" w:type="dxa"/>
          </w:tcPr>
          <w:p w14:paraId="0AEA154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13DE62E"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377B5665" w14:textId="77777777" w:rsidTr="00492041">
        <w:trPr>
          <w:trHeight w:val="76"/>
        </w:trPr>
        <w:tc>
          <w:tcPr>
            <w:tcW w:w="3114" w:type="dxa"/>
          </w:tcPr>
          <w:p w14:paraId="77E6580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ACAF73A"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11AE30DE" w14:textId="77777777" w:rsidR="000E7641" w:rsidRPr="00650EE4" w:rsidRDefault="000E7641" w:rsidP="000E7641">
      <w:pPr>
        <w:spacing w:after="120"/>
        <w:jc w:val="both"/>
        <w:rPr>
          <w:rFonts w:ascii="Times New Roman" w:hAnsi="Times New Roman"/>
          <w:b/>
          <w:bCs/>
          <w:szCs w:val="24"/>
        </w:rPr>
      </w:pPr>
    </w:p>
    <w:p w14:paraId="629575C2" w14:textId="09AEEE97"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B17. Nekokybiški investicijų planai</w:t>
      </w:r>
    </w:p>
    <w:p w14:paraId="1AD38DC3" w14:textId="76B752A2"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bCs/>
          <w:szCs w:val="24"/>
          <w:lang w:val="lt-LT"/>
        </w:rPr>
        <w:t>Ši</w:t>
      </w:r>
      <w:r w:rsidRPr="00650EE4">
        <w:rPr>
          <w:rFonts w:ascii="Times New Roman" w:hAnsi="Times New Roman"/>
          <w:szCs w:val="22"/>
          <w:lang w:val="lt-LT"/>
        </w:rPr>
        <w:t>uo metu, pastatų savininkams siekiant gauti valstybės paramą renovacijai, projekto administratorius Agentūrai kartu su paraiška turi pateikti parengtą ir daugiabučio namo butų ir kitų patalpų savininkų balsų dauguma patvirtintą šio namo modernizavimo investicijų planą. Už modernizavimo investicijų plano parengimo paslaugų pirkimo organizavimą atsakingas projekto administratorius, kuris taip pat turi įvertinti parengto investicijų plano atitiktį jo rengimo techninei užduočiai</w:t>
      </w:r>
    </w:p>
    <w:p w14:paraId="40F2361A" w14:textId="77777777" w:rsidR="000E7641" w:rsidRPr="00650EE4" w:rsidRDefault="000E7641" w:rsidP="000E7641">
      <w:pPr>
        <w:pStyle w:val="BodyText"/>
        <w:spacing w:before="120"/>
        <w:jc w:val="both"/>
        <w:rPr>
          <w:rFonts w:ascii="Times New Roman" w:hAnsi="Times New Roman"/>
          <w:lang w:val="lt-LT"/>
        </w:rPr>
      </w:pPr>
      <w:r w:rsidRPr="00650EE4">
        <w:rPr>
          <w:rFonts w:ascii="Times New Roman" w:hAnsi="Times New Roman"/>
          <w:szCs w:val="22"/>
          <w:lang w:val="lt-LT"/>
        </w:rPr>
        <w:t>Valstybės kontrolės atlikto audito</w:t>
      </w:r>
      <w:r w:rsidRPr="00650EE4">
        <w:rPr>
          <w:rStyle w:val="FootnoteReference"/>
          <w:rFonts w:ascii="Times New Roman" w:hAnsi="Times New Roman"/>
          <w:szCs w:val="22"/>
          <w:lang w:val="lt-LT"/>
        </w:rPr>
        <w:footnoteReference w:id="39"/>
      </w:r>
      <w:r w:rsidRPr="00650EE4">
        <w:rPr>
          <w:rFonts w:ascii="Times New Roman" w:hAnsi="Times New Roman"/>
          <w:szCs w:val="22"/>
          <w:lang w:val="lt-LT"/>
        </w:rPr>
        <w:t xml:space="preserve"> rezultatai atskleidžia, kad 2014-2018 m. </w:t>
      </w:r>
      <w:r w:rsidRPr="00650EE4">
        <w:rPr>
          <w:rFonts w:ascii="Times New Roman" w:hAnsi="Times New Roman"/>
          <w:lang w:val="lt-LT"/>
        </w:rPr>
        <w:t>BETA dėl investicijų planų parengimo trūkumų 78 proc. paraiškų grąžino tikslinti. Neištaisius neatitikimų ir nepatikslinus paraiškų, apie 29,3 proc. jų buvo atmesta. Be to, 9 proc. investicijų planų, dėl juose nustatytų neatitikimų, buvo tikslinami daugiabučio namo modernizavimo metu. Tikslinimas turėjo įtakos tam, kad 31 proc. projektų įgyvendinimo terminas užsitęsė daugiau nei 18 mėn. Užsitęsus įgyvendinimui, šių namų gyventojai patiria nepatogumų dėl statybos aikštelėje ilgą laiką esančių šiukšlių, dulkių ir triukšmo.</w:t>
      </w:r>
    </w:p>
    <w:p w14:paraId="27124921" w14:textId="737AEA92" w:rsidR="000E7641" w:rsidRPr="00650EE4" w:rsidRDefault="009D7555" w:rsidP="000E7641">
      <w:pPr>
        <w:pStyle w:val="BodyText"/>
        <w:spacing w:before="120"/>
        <w:jc w:val="both"/>
        <w:rPr>
          <w:rFonts w:ascii="Times New Roman" w:hAnsi="Times New Roman"/>
          <w:szCs w:val="22"/>
          <w:lang w:val="lt-LT"/>
        </w:rPr>
      </w:pPr>
      <w:r>
        <w:rPr>
          <w:rFonts w:ascii="Times New Roman" w:hAnsi="Times New Roman"/>
          <w:szCs w:val="22"/>
          <w:lang w:val="lt-LT"/>
        </w:rPr>
        <w:t>P</w:t>
      </w:r>
      <w:r w:rsidR="000E7641" w:rsidRPr="00650EE4">
        <w:rPr>
          <w:rFonts w:ascii="Times New Roman" w:hAnsi="Times New Roman"/>
          <w:szCs w:val="22"/>
          <w:lang w:val="lt-LT"/>
        </w:rPr>
        <w:t xml:space="preserve">oreikis tikslinti daugiau nei ¾ investicinių planų </w:t>
      </w:r>
      <w:r w:rsidR="000A24D5">
        <w:rPr>
          <w:rFonts w:ascii="Times New Roman" w:hAnsi="Times New Roman"/>
          <w:szCs w:val="22"/>
          <w:lang w:val="lt-LT"/>
        </w:rPr>
        <w:t>rodo</w:t>
      </w:r>
      <w:r w:rsidR="000E7641" w:rsidRPr="00650EE4">
        <w:rPr>
          <w:rFonts w:ascii="Times New Roman" w:hAnsi="Times New Roman"/>
          <w:szCs w:val="22"/>
          <w:lang w:val="lt-LT"/>
        </w:rPr>
        <w:t xml:space="preserve">, kad barjeras yra sisteminis. Atsižvelgiant į tai, kad neigiami pavydžiai turi tendenciją sklisti greičiau ir didesniais mastais nei teigiami  </w:t>
      </w:r>
      <w:r>
        <w:rPr>
          <w:rFonts w:ascii="Times New Roman" w:hAnsi="Times New Roman"/>
          <w:szCs w:val="22"/>
          <w:lang w:val="lt-LT"/>
        </w:rPr>
        <w:t>ir</w:t>
      </w:r>
      <w:r w:rsidRPr="00650EE4">
        <w:rPr>
          <w:rFonts w:ascii="Times New Roman" w:hAnsi="Times New Roman"/>
          <w:szCs w:val="22"/>
          <w:lang w:val="lt-LT"/>
        </w:rPr>
        <w:t xml:space="preserve"> </w:t>
      </w:r>
      <w:r w:rsidR="000E7641" w:rsidRPr="00650EE4">
        <w:rPr>
          <w:rFonts w:ascii="Times New Roman" w:hAnsi="Times New Roman"/>
          <w:szCs w:val="22"/>
          <w:lang w:val="lt-LT"/>
        </w:rPr>
        <w:t xml:space="preserve">daro didesnį poveikį tikslinei auditorijai nei oficiali komunikacija, tokia situacija gali tapti esminiu barjeru pastatų savininkų apsisprendimui dalyvauti modernizavimo procese. </w:t>
      </w:r>
    </w:p>
    <w:p w14:paraId="6241DB4C" w14:textId="77777777" w:rsidR="000223EF" w:rsidRPr="00650EE4" w:rsidRDefault="000223EF" w:rsidP="000E7641">
      <w:pPr>
        <w:pStyle w:val="BodyText"/>
        <w:spacing w:before="120"/>
        <w:jc w:val="both"/>
        <w:rPr>
          <w:rFonts w:ascii="Times New Roman" w:hAnsi="Times New Roman"/>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36888AD4" w14:textId="77777777" w:rsidTr="00492041">
        <w:trPr>
          <w:trHeight w:val="61"/>
        </w:trPr>
        <w:tc>
          <w:tcPr>
            <w:tcW w:w="3114" w:type="dxa"/>
          </w:tcPr>
          <w:p w14:paraId="38986B9A"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AE82EC2" w14:textId="444EA06A" w:rsidR="00D2630C" w:rsidRPr="00650EE4" w:rsidRDefault="000E7641" w:rsidP="00D2630C">
            <w:pPr>
              <w:spacing w:after="60"/>
              <w:rPr>
                <w:rFonts w:ascii="Times New Roman" w:hAnsi="Times New Roman"/>
                <w:szCs w:val="22"/>
                <w:lang w:eastAsia="lt-LT"/>
              </w:rPr>
            </w:pPr>
            <w:r w:rsidRPr="00650EE4">
              <w:rPr>
                <w:rFonts w:ascii="Times New Roman" w:hAnsi="Times New Roman"/>
                <w:szCs w:val="22"/>
                <w:lang w:eastAsia="lt-LT"/>
              </w:rPr>
              <w:t>P1</w:t>
            </w:r>
            <w:r w:rsidR="00952E21" w:rsidRPr="00650EE4">
              <w:rPr>
                <w:rFonts w:ascii="Times New Roman" w:hAnsi="Times New Roman"/>
                <w:szCs w:val="22"/>
                <w:lang w:eastAsia="lt-LT"/>
              </w:rPr>
              <w:t>9</w:t>
            </w:r>
            <w:r w:rsidRPr="00650EE4">
              <w:rPr>
                <w:rFonts w:ascii="Times New Roman" w:hAnsi="Times New Roman"/>
                <w:szCs w:val="22"/>
                <w:lang w:eastAsia="lt-LT"/>
              </w:rPr>
              <w:t>. Kompetencijų centro įkūrimas</w:t>
            </w:r>
            <w:r w:rsidR="00D2630C" w:rsidRPr="00650EE4">
              <w:rPr>
                <w:rFonts w:ascii="Times New Roman" w:hAnsi="Times New Roman"/>
                <w:szCs w:val="22"/>
                <w:lang w:eastAsia="lt-LT"/>
              </w:rPr>
              <w:t xml:space="preserve"> </w:t>
            </w:r>
          </w:p>
          <w:p w14:paraId="63079FC1" w14:textId="6F555E4B" w:rsidR="000E7641" w:rsidRPr="00650EE4" w:rsidRDefault="00D2630C" w:rsidP="00492041">
            <w:pPr>
              <w:spacing w:after="60"/>
              <w:rPr>
                <w:rFonts w:ascii="Times New Roman" w:hAnsi="Times New Roman"/>
                <w:szCs w:val="22"/>
                <w:lang w:eastAsia="lt-LT"/>
              </w:rPr>
            </w:pPr>
            <w:r w:rsidRPr="00650EE4">
              <w:rPr>
                <w:rFonts w:ascii="Times New Roman" w:hAnsi="Times New Roman"/>
                <w:szCs w:val="22"/>
                <w:lang w:eastAsia="lt-LT"/>
              </w:rPr>
              <w:t>P</w:t>
            </w:r>
            <w:r w:rsidR="00952E21" w:rsidRPr="00650EE4">
              <w:rPr>
                <w:rFonts w:ascii="Times New Roman" w:hAnsi="Times New Roman"/>
                <w:szCs w:val="22"/>
                <w:lang w:eastAsia="lt-LT"/>
              </w:rPr>
              <w:t>20</w:t>
            </w:r>
            <w:r w:rsidRPr="00650EE4">
              <w:rPr>
                <w:rFonts w:ascii="Times New Roman" w:hAnsi="Times New Roman"/>
                <w:szCs w:val="22"/>
                <w:lang w:eastAsia="lt-LT"/>
              </w:rPr>
              <w:t xml:space="preserve">. Techninės priežiūros užtikrinimas </w:t>
            </w:r>
          </w:p>
        </w:tc>
      </w:tr>
      <w:tr w:rsidR="000E7641" w:rsidRPr="00650EE4" w14:paraId="35665D70" w14:textId="77777777" w:rsidTr="00492041">
        <w:trPr>
          <w:trHeight w:val="61"/>
        </w:trPr>
        <w:tc>
          <w:tcPr>
            <w:tcW w:w="3114" w:type="dxa"/>
          </w:tcPr>
          <w:p w14:paraId="2F42A715"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B108FB8"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0A396BF0" w14:textId="77777777" w:rsidTr="00492041">
        <w:trPr>
          <w:trHeight w:val="76"/>
        </w:trPr>
        <w:tc>
          <w:tcPr>
            <w:tcW w:w="3114" w:type="dxa"/>
          </w:tcPr>
          <w:p w14:paraId="331B522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A2A778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2836756" w14:textId="77777777" w:rsidR="00275D1E" w:rsidRPr="00650EE4" w:rsidRDefault="00275D1E" w:rsidP="000E7641">
      <w:pPr>
        <w:rPr>
          <w:rFonts w:ascii="Times New Roman" w:hAnsi="Times New Roman"/>
          <w:szCs w:val="22"/>
        </w:rPr>
      </w:pPr>
    </w:p>
    <w:p w14:paraId="5D7E0F81" w14:textId="77777777" w:rsidR="000223EF" w:rsidRPr="00650EE4" w:rsidRDefault="000223EF" w:rsidP="000E7641">
      <w:pPr>
        <w:rPr>
          <w:rFonts w:ascii="Times New Roman" w:hAnsi="Times New Roman"/>
          <w:szCs w:val="22"/>
        </w:rPr>
      </w:pPr>
    </w:p>
    <w:p w14:paraId="0A984811" w14:textId="77777777" w:rsidR="001A6139" w:rsidRDefault="001A6139">
      <w:pPr>
        <w:spacing w:after="240"/>
        <w:rPr>
          <w:rFonts w:ascii="Times New Roman" w:hAnsi="Times New Roman"/>
          <w:b/>
          <w:bCs/>
          <w:szCs w:val="24"/>
        </w:rPr>
      </w:pPr>
      <w:r>
        <w:rPr>
          <w:rFonts w:ascii="Times New Roman" w:hAnsi="Times New Roman"/>
          <w:b/>
          <w:bCs/>
          <w:szCs w:val="24"/>
        </w:rPr>
        <w:br w:type="page"/>
      </w:r>
    </w:p>
    <w:p w14:paraId="4E0D0BB3" w14:textId="5BDB6400"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lastRenderedPageBreak/>
        <w:t>B18. Nepakankama renovacijos įgyvendinimo kokybės kontrolė</w:t>
      </w:r>
    </w:p>
    <w:p w14:paraId="6586C424" w14:textId="16357257" w:rsidR="000E7641" w:rsidRPr="00650EE4" w:rsidRDefault="000E7641" w:rsidP="000E7641">
      <w:pPr>
        <w:spacing w:before="60" w:after="120"/>
        <w:jc w:val="both"/>
        <w:rPr>
          <w:rFonts w:ascii="Times New Roman" w:hAnsi="Times New Roman"/>
        </w:rPr>
      </w:pPr>
      <w:r w:rsidRPr="00650EE4">
        <w:rPr>
          <w:rFonts w:ascii="Times New Roman" w:hAnsi="Times New Roman"/>
          <w:szCs w:val="22"/>
        </w:rPr>
        <w:t>Valstybės kontrolės atlikto audito rezultatai atskleidžia, kad d</w:t>
      </w:r>
      <w:r w:rsidRPr="00650EE4">
        <w:rPr>
          <w:rFonts w:ascii="Times New Roman" w:hAnsi="Times New Roman"/>
        </w:rPr>
        <w:t xml:space="preserve">augiabučių namų modernizavimo projektų administratoriai, atstovaujantys daugiabučių namų butų ir kitų patalpų savininkams, dažnai netinkamai atlieka statytojo (užsakovo) pareigas, t.y. organizuodami atnaujinamo daugiabučio namo darbų techninę priežiūrą neužtikrina, kad darbai būtų vykdomi be trūkumų ir laikantis daugiabučio namo modernizavimo investicijų plano. </w:t>
      </w:r>
    </w:p>
    <w:p w14:paraId="7E1F8B6A" w14:textId="65C6626E" w:rsidR="000E7641" w:rsidRPr="00650EE4" w:rsidRDefault="000A24D5" w:rsidP="000E7641">
      <w:pPr>
        <w:spacing w:before="60" w:after="120"/>
        <w:jc w:val="both"/>
        <w:rPr>
          <w:rFonts w:ascii="Times New Roman" w:hAnsi="Times New Roman"/>
          <w:szCs w:val="22"/>
        </w:rPr>
      </w:pPr>
      <w:r>
        <w:rPr>
          <w:rFonts w:ascii="Times New Roman" w:hAnsi="Times New Roman"/>
        </w:rPr>
        <w:t>T</w:t>
      </w:r>
      <w:r w:rsidR="000E7641" w:rsidRPr="00650EE4">
        <w:rPr>
          <w:rFonts w:ascii="Times New Roman" w:hAnsi="Times New Roman"/>
        </w:rPr>
        <w:t>echninė priežiūra kaip atskiras kokybės užtikrinimo elementas, procesiniu požiūriu esantis proceso pabaigoje, nėra pakankama priemonė barjerui šalinti. Būtinas sisteminis požiūris į renovacijos kokybės kontrolę ir reikiamų saugiklių integravimas į visą procesą</w:t>
      </w:r>
      <w:r>
        <w:rPr>
          <w:rFonts w:ascii="Times New Roman" w:hAnsi="Times New Roman"/>
        </w:rPr>
        <w:t>:</w:t>
      </w:r>
      <w:r w:rsidR="000E7641" w:rsidRPr="00650EE4">
        <w:rPr>
          <w:rFonts w:ascii="Times New Roman" w:hAnsi="Times New Roman"/>
        </w:rPr>
        <w:t xml:space="preserve"> </w:t>
      </w:r>
      <w:r>
        <w:rPr>
          <w:rFonts w:ascii="Times New Roman" w:hAnsi="Times New Roman"/>
          <w:szCs w:val="22"/>
        </w:rPr>
        <w:t>rangovų mokymai</w:t>
      </w:r>
      <w:r w:rsidR="000E7641" w:rsidRPr="00650EE4">
        <w:rPr>
          <w:rFonts w:ascii="Times New Roman" w:hAnsi="Times New Roman"/>
          <w:szCs w:val="22"/>
        </w:rPr>
        <w:t>, kvalif</w:t>
      </w:r>
      <w:r>
        <w:rPr>
          <w:rFonts w:ascii="Times New Roman" w:hAnsi="Times New Roman"/>
          <w:szCs w:val="22"/>
        </w:rPr>
        <w:t>ikacinių reikalavimų griežtinimas</w:t>
      </w:r>
      <w:r w:rsidR="000E7641" w:rsidRPr="00650EE4">
        <w:rPr>
          <w:rFonts w:ascii="Times New Roman" w:hAnsi="Times New Roman"/>
          <w:szCs w:val="22"/>
        </w:rPr>
        <w:t xml:space="preserve">, </w:t>
      </w:r>
      <w:r>
        <w:rPr>
          <w:rFonts w:ascii="Times New Roman" w:hAnsi="Times New Roman"/>
          <w:szCs w:val="22"/>
        </w:rPr>
        <w:t>tinkama techninė</w:t>
      </w:r>
      <w:r w:rsidR="000E7641" w:rsidRPr="00650EE4">
        <w:rPr>
          <w:rFonts w:ascii="Times New Roman" w:hAnsi="Times New Roman"/>
          <w:szCs w:val="22"/>
        </w:rPr>
        <w:t xml:space="preserve"> priežiūrą</w:t>
      </w:r>
      <w:r>
        <w:rPr>
          <w:rFonts w:ascii="Times New Roman" w:hAnsi="Times New Roman"/>
          <w:szCs w:val="22"/>
        </w:rPr>
        <w:t>,</w:t>
      </w:r>
      <w:r w:rsidR="000E7641" w:rsidRPr="00650EE4">
        <w:rPr>
          <w:rFonts w:ascii="Times New Roman" w:hAnsi="Times New Roman"/>
          <w:szCs w:val="22"/>
        </w:rPr>
        <w:t xml:space="preserve"> nekokybiškai dirbančių </w:t>
      </w:r>
      <w:r>
        <w:rPr>
          <w:rFonts w:ascii="Times New Roman" w:hAnsi="Times New Roman"/>
          <w:szCs w:val="22"/>
        </w:rPr>
        <w:t>statybos dalyvių viešinimas</w:t>
      </w:r>
      <w:r w:rsidR="000E7641" w:rsidRPr="00650EE4">
        <w:rPr>
          <w:rFonts w:ascii="Times New Roman" w:hAnsi="Times New Roman"/>
          <w:szCs w:val="22"/>
        </w:rPr>
        <w:t xml:space="preserve"> </w:t>
      </w:r>
      <w:r>
        <w:rPr>
          <w:rFonts w:ascii="Times New Roman" w:hAnsi="Times New Roman"/>
          <w:szCs w:val="22"/>
        </w:rPr>
        <w:t>ir</w:t>
      </w:r>
      <w:r w:rsidR="000E7641" w:rsidRPr="00650EE4">
        <w:rPr>
          <w:rFonts w:ascii="Times New Roman" w:hAnsi="Times New Roman"/>
          <w:szCs w:val="22"/>
        </w:rPr>
        <w:t xml:space="preserve"> jų dalyvavimo </w:t>
      </w:r>
      <w:r>
        <w:rPr>
          <w:rFonts w:ascii="Times New Roman" w:hAnsi="Times New Roman"/>
          <w:szCs w:val="22"/>
        </w:rPr>
        <w:t>renovacijos konkursuose ribojimas</w:t>
      </w:r>
      <w:r w:rsidR="000E7641" w:rsidRPr="00650EE4">
        <w:rPr>
          <w:rFonts w:ascii="Times New Roman" w:hAnsi="Times New Roman"/>
          <w:szCs w:val="22"/>
        </w:rPr>
        <w:t xml:space="preserve">. </w:t>
      </w:r>
    </w:p>
    <w:p w14:paraId="1B3468C2"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7FD7311A" w14:textId="77777777" w:rsidTr="00492041">
        <w:trPr>
          <w:trHeight w:val="61"/>
        </w:trPr>
        <w:tc>
          <w:tcPr>
            <w:tcW w:w="3114" w:type="dxa"/>
          </w:tcPr>
          <w:p w14:paraId="44A388B5"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50C0645D" w14:textId="694F8B9B" w:rsidR="000E7641" w:rsidRPr="00650EE4" w:rsidRDefault="00070A89" w:rsidP="00492041">
            <w:pPr>
              <w:spacing w:after="60"/>
              <w:rPr>
                <w:rFonts w:ascii="Times New Roman" w:hAnsi="Times New Roman"/>
                <w:szCs w:val="22"/>
                <w:lang w:eastAsia="lt-LT"/>
              </w:rPr>
            </w:pPr>
            <w:r w:rsidRPr="00650EE4">
              <w:rPr>
                <w:rFonts w:ascii="Times New Roman" w:hAnsi="Times New Roman"/>
                <w:szCs w:val="22"/>
                <w:lang w:eastAsia="lt-LT"/>
              </w:rPr>
              <w:t>P</w:t>
            </w:r>
            <w:r w:rsidR="009D71AB" w:rsidRPr="00650EE4">
              <w:rPr>
                <w:rFonts w:ascii="Times New Roman" w:hAnsi="Times New Roman"/>
                <w:szCs w:val="22"/>
                <w:lang w:eastAsia="lt-LT"/>
              </w:rPr>
              <w:t>20</w:t>
            </w:r>
            <w:r w:rsidRPr="00650EE4">
              <w:rPr>
                <w:rFonts w:ascii="Times New Roman" w:hAnsi="Times New Roman"/>
                <w:szCs w:val="22"/>
                <w:lang w:eastAsia="lt-LT"/>
              </w:rPr>
              <w:t>. Techninės priežiūros užtikrinimas</w:t>
            </w:r>
          </w:p>
        </w:tc>
      </w:tr>
      <w:tr w:rsidR="000E7641" w:rsidRPr="00650EE4" w14:paraId="28ED0443" w14:textId="77777777" w:rsidTr="00492041">
        <w:trPr>
          <w:trHeight w:val="61"/>
        </w:trPr>
        <w:tc>
          <w:tcPr>
            <w:tcW w:w="3114" w:type="dxa"/>
          </w:tcPr>
          <w:p w14:paraId="7D83B32B"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07D7B3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65A813F8" w14:textId="77777777" w:rsidTr="00492041">
        <w:trPr>
          <w:trHeight w:val="76"/>
        </w:trPr>
        <w:tc>
          <w:tcPr>
            <w:tcW w:w="3114" w:type="dxa"/>
          </w:tcPr>
          <w:p w14:paraId="27C94DEA"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0BEE01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7C12F8B7" w14:textId="77777777" w:rsidR="000E7641" w:rsidRPr="00650EE4" w:rsidRDefault="000E7641" w:rsidP="000E7641">
      <w:pPr>
        <w:jc w:val="both"/>
        <w:rPr>
          <w:rFonts w:ascii="Times New Roman" w:hAnsi="Times New Roman"/>
          <w:szCs w:val="22"/>
        </w:rPr>
      </w:pPr>
    </w:p>
    <w:p w14:paraId="7EDC8CB2" w14:textId="77777777" w:rsidR="000E7641" w:rsidRPr="00650EE4" w:rsidRDefault="000E7641" w:rsidP="000E7641">
      <w:pPr>
        <w:jc w:val="both"/>
        <w:rPr>
          <w:rFonts w:ascii="Times New Roman" w:hAnsi="Times New Roman"/>
          <w:b/>
          <w:bCs/>
          <w:szCs w:val="24"/>
        </w:rPr>
      </w:pPr>
    </w:p>
    <w:p w14:paraId="6E0E918E" w14:textId="4DBDAB8E" w:rsidR="000E7641" w:rsidRPr="00650EE4" w:rsidRDefault="000E7641" w:rsidP="000E7641">
      <w:pPr>
        <w:spacing w:after="120"/>
        <w:jc w:val="both"/>
        <w:rPr>
          <w:rFonts w:ascii="Times New Roman" w:hAnsi="Times New Roman"/>
          <w:b/>
          <w:bCs/>
          <w:szCs w:val="22"/>
        </w:rPr>
      </w:pPr>
      <w:r w:rsidRPr="00650EE4">
        <w:rPr>
          <w:rFonts w:ascii="Times New Roman" w:hAnsi="Times New Roman"/>
          <w:b/>
          <w:bCs/>
          <w:szCs w:val="22"/>
        </w:rPr>
        <w:t xml:space="preserve">B19. Darbo jėgos statybų sektoriuje apribojimai </w:t>
      </w:r>
    </w:p>
    <w:p w14:paraId="3FF2EF65" w14:textId="027E036C" w:rsidR="000E7641" w:rsidRPr="00650EE4" w:rsidRDefault="002A0BDE" w:rsidP="000223EF">
      <w:pPr>
        <w:spacing w:before="60"/>
        <w:jc w:val="both"/>
        <w:rPr>
          <w:rFonts w:ascii="Times New Roman" w:hAnsi="Times New Roman"/>
          <w:szCs w:val="22"/>
        </w:rPr>
      </w:pPr>
      <w:r>
        <w:rPr>
          <w:rFonts w:ascii="Times New Roman" w:hAnsi="Times New Roman"/>
          <w:szCs w:val="22"/>
        </w:rPr>
        <w:t>A</w:t>
      </w:r>
      <w:r w:rsidR="000E7641" w:rsidRPr="00650EE4">
        <w:rPr>
          <w:rFonts w:ascii="Times New Roman" w:hAnsi="Times New Roman"/>
          <w:szCs w:val="22"/>
        </w:rPr>
        <w:t>ugant renovacijos tempams, nepakankamas statybininkų skaičius gali tapti barjeru kokybiškam projektų įgyvendinimui. Be to</w:t>
      </w:r>
      <w:r w:rsidR="0096171B" w:rsidRPr="00650EE4">
        <w:rPr>
          <w:rFonts w:ascii="Times New Roman" w:hAnsi="Times New Roman"/>
          <w:szCs w:val="22"/>
        </w:rPr>
        <w:t>, darbo jėgos trūkumas gali paskatinti</w:t>
      </w:r>
      <w:r w:rsidR="000E7641" w:rsidRPr="00650EE4">
        <w:rPr>
          <w:rFonts w:ascii="Times New Roman" w:hAnsi="Times New Roman"/>
          <w:szCs w:val="22"/>
        </w:rPr>
        <w:t xml:space="preserve"> darbo užmokesčio sektoriuje augimą, o tai, savo ruožtu</w:t>
      </w:r>
      <w:r w:rsidR="00643941" w:rsidRPr="00650EE4">
        <w:rPr>
          <w:rFonts w:ascii="Times New Roman" w:hAnsi="Times New Roman"/>
          <w:szCs w:val="22"/>
        </w:rPr>
        <w:t xml:space="preserve"> – </w:t>
      </w:r>
      <w:r w:rsidR="000E7641" w:rsidRPr="00650EE4">
        <w:rPr>
          <w:rFonts w:ascii="Times New Roman" w:hAnsi="Times New Roman"/>
          <w:szCs w:val="22"/>
        </w:rPr>
        <w:t xml:space="preserve">statybos darbų kainų padidėjimą (žr. </w:t>
      </w:r>
      <w:r w:rsidR="00643941" w:rsidRPr="00650EE4">
        <w:rPr>
          <w:rFonts w:ascii="Times New Roman" w:hAnsi="Times New Roman"/>
          <w:szCs w:val="22"/>
        </w:rPr>
        <w:t>B6</w:t>
      </w:r>
      <w:r w:rsidR="000E7641" w:rsidRPr="00650EE4">
        <w:rPr>
          <w:rFonts w:ascii="Times New Roman" w:hAnsi="Times New Roman"/>
          <w:szCs w:val="22"/>
        </w:rPr>
        <w:t>).</w:t>
      </w:r>
    </w:p>
    <w:p w14:paraId="65D6C470"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336105DF" w14:textId="77777777" w:rsidTr="00492041">
        <w:trPr>
          <w:trHeight w:val="61"/>
        </w:trPr>
        <w:tc>
          <w:tcPr>
            <w:tcW w:w="3114" w:type="dxa"/>
          </w:tcPr>
          <w:p w14:paraId="7B3AF937"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2077AED7" w14:textId="5486A818"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 xml:space="preserve">P1. </w:t>
            </w:r>
            <w:r w:rsidR="00752FA0" w:rsidRPr="00650EE4">
              <w:rPr>
                <w:rFonts w:ascii="Times New Roman" w:hAnsi="Times New Roman"/>
                <w:szCs w:val="22"/>
                <w:lang w:eastAsia="lt-LT"/>
              </w:rPr>
              <w:t xml:space="preserve">Koordinuotas </w:t>
            </w:r>
            <w:proofErr w:type="spellStart"/>
            <w:r w:rsidR="00752FA0" w:rsidRPr="00650EE4">
              <w:rPr>
                <w:rFonts w:ascii="Times New Roman" w:hAnsi="Times New Roman"/>
                <w:szCs w:val="22"/>
                <w:lang w:eastAsia="lt-LT"/>
              </w:rPr>
              <w:t>tarpinstitucinis</w:t>
            </w:r>
            <w:proofErr w:type="spellEnd"/>
            <w:r w:rsidR="00752FA0" w:rsidRPr="00650EE4">
              <w:rPr>
                <w:rFonts w:ascii="Times New Roman" w:hAnsi="Times New Roman"/>
                <w:szCs w:val="22"/>
                <w:lang w:eastAsia="lt-LT"/>
              </w:rPr>
              <w:t xml:space="preserve"> planavimas</w:t>
            </w:r>
          </w:p>
          <w:p w14:paraId="536F1893" w14:textId="71D1181C" w:rsidR="009375C9" w:rsidRPr="00650EE4" w:rsidRDefault="009375C9" w:rsidP="00492041">
            <w:pPr>
              <w:spacing w:after="60"/>
              <w:rPr>
                <w:rFonts w:ascii="Times New Roman" w:hAnsi="Times New Roman"/>
                <w:szCs w:val="22"/>
                <w:lang w:eastAsia="lt-LT"/>
              </w:rPr>
            </w:pPr>
            <w:r w:rsidRPr="00650EE4">
              <w:rPr>
                <w:rFonts w:ascii="Times New Roman" w:hAnsi="Times New Roman"/>
                <w:szCs w:val="22"/>
                <w:lang w:eastAsia="lt-LT"/>
              </w:rPr>
              <w:t>P1</w:t>
            </w:r>
            <w:r w:rsidR="009D71AB" w:rsidRPr="00650EE4">
              <w:rPr>
                <w:rFonts w:ascii="Times New Roman" w:hAnsi="Times New Roman"/>
                <w:szCs w:val="22"/>
                <w:lang w:eastAsia="lt-LT"/>
              </w:rPr>
              <w:t>3</w:t>
            </w:r>
            <w:r w:rsidRPr="00650EE4">
              <w:rPr>
                <w:rFonts w:ascii="Times New Roman" w:hAnsi="Times New Roman"/>
                <w:szCs w:val="22"/>
                <w:lang w:eastAsia="lt-LT"/>
              </w:rPr>
              <w:t>. Tvarumo ir inovacijų užtikrinimas</w:t>
            </w:r>
          </w:p>
          <w:p w14:paraId="0F39B1A7" w14:textId="20234836"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P1</w:t>
            </w:r>
            <w:r w:rsidR="009D71AB" w:rsidRPr="00650EE4">
              <w:rPr>
                <w:rFonts w:ascii="Times New Roman" w:hAnsi="Times New Roman"/>
                <w:szCs w:val="22"/>
                <w:lang w:eastAsia="lt-LT"/>
              </w:rPr>
              <w:t>6</w:t>
            </w:r>
            <w:r w:rsidRPr="00650EE4">
              <w:rPr>
                <w:rFonts w:ascii="Times New Roman" w:hAnsi="Times New Roman"/>
                <w:szCs w:val="22"/>
                <w:lang w:eastAsia="lt-LT"/>
              </w:rPr>
              <w:t xml:space="preserve">. Komunikacija apie renovacijos </w:t>
            </w:r>
            <w:r w:rsidR="00752FA0" w:rsidRPr="00650EE4">
              <w:rPr>
                <w:rFonts w:ascii="Times New Roman" w:hAnsi="Times New Roman"/>
                <w:szCs w:val="22"/>
                <w:lang w:eastAsia="lt-LT"/>
              </w:rPr>
              <w:t>neišvengiamumą</w:t>
            </w:r>
          </w:p>
        </w:tc>
      </w:tr>
      <w:tr w:rsidR="000E7641" w:rsidRPr="00650EE4" w14:paraId="0C14F3E1" w14:textId="77777777" w:rsidTr="00492041">
        <w:trPr>
          <w:trHeight w:val="61"/>
        </w:trPr>
        <w:tc>
          <w:tcPr>
            <w:tcW w:w="3114" w:type="dxa"/>
          </w:tcPr>
          <w:p w14:paraId="2C2B0A50"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A3771C9"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0BF3083D" w14:textId="77777777" w:rsidTr="00492041">
        <w:trPr>
          <w:trHeight w:val="76"/>
        </w:trPr>
        <w:tc>
          <w:tcPr>
            <w:tcW w:w="3114" w:type="dxa"/>
          </w:tcPr>
          <w:p w14:paraId="1ADCB9A2"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0CA4CDA"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058FB2C1" w14:textId="77777777" w:rsidR="000E7641" w:rsidRPr="00650EE4" w:rsidRDefault="000E7641" w:rsidP="000E7641">
      <w:pPr>
        <w:jc w:val="both"/>
        <w:rPr>
          <w:rFonts w:ascii="Times New Roman" w:hAnsi="Times New Roman"/>
          <w:szCs w:val="22"/>
        </w:rPr>
      </w:pPr>
    </w:p>
    <w:p w14:paraId="74C93821" w14:textId="2F724652" w:rsidR="000E7641" w:rsidRPr="00650EE4" w:rsidRDefault="000E7641" w:rsidP="000E7641">
      <w:pPr>
        <w:spacing w:after="120"/>
        <w:jc w:val="both"/>
        <w:rPr>
          <w:rFonts w:ascii="Times New Roman" w:hAnsi="Times New Roman"/>
          <w:b/>
          <w:bCs/>
          <w:szCs w:val="24"/>
        </w:rPr>
      </w:pPr>
      <w:r w:rsidRPr="00650EE4">
        <w:rPr>
          <w:rFonts w:ascii="Times New Roman" w:hAnsi="Times New Roman"/>
          <w:b/>
          <w:bCs/>
          <w:szCs w:val="24"/>
        </w:rPr>
        <w:t>B20. Nepakankama viešųjų pastatų valdytojų motyvacija</w:t>
      </w:r>
    </w:p>
    <w:p w14:paraId="667B35A9" w14:textId="77777777" w:rsidR="000E7641" w:rsidRPr="00650EE4" w:rsidRDefault="000E7641" w:rsidP="000E7641">
      <w:pPr>
        <w:pStyle w:val="BodyText"/>
        <w:jc w:val="both"/>
        <w:rPr>
          <w:rFonts w:ascii="Times New Roman" w:hAnsi="Times New Roman"/>
          <w:szCs w:val="22"/>
          <w:lang w:val="lt-LT"/>
        </w:rPr>
      </w:pPr>
      <w:r w:rsidRPr="00650EE4">
        <w:rPr>
          <w:rFonts w:ascii="Times New Roman" w:hAnsi="Times New Roman"/>
          <w:szCs w:val="22"/>
          <w:lang w:val="lt-LT"/>
        </w:rPr>
        <w:t>Pagal galiojantį teisinį reglamentavimą, valstybės institucijos (biudžetinės įstaigos) ir savivaldybių viešųjų pastatų valdytojai neturi teisės laisvai disponuoti iš valstybės ar savivaldybės biudžeto skiriamais asignavimais, todėl net ir sutaupius tam tikrą kiekį lėšų, sutaupymo faktas nėra pajaučiamas. Tai veda prie motyvacijos taupyti energiją stokos, kadangi trūksta tiesioginio sutaupymų matymo. Biudžeto paskirstymo ir lėšų pervedimo tvarka aptariama prie reglamentavimo apribojimų žemiau.</w:t>
      </w:r>
    </w:p>
    <w:p w14:paraId="1FC66EFC" w14:textId="77777777" w:rsidR="000E7641" w:rsidRPr="00650EE4" w:rsidRDefault="000E7641" w:rsidP="000E7641">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7641" w:rsidRPr="00650EE4" w14:paraId="2F76DB60" w14:textId="77777777" w:rsidTr="00492041">
        <w:trPr>
          <w:trHeight w:val="61"/>
        </w:trPr>
        <w:tc>
          <w:tcPr>
            <w:tcW w:w="3114" w:type="dxa"/>
          </w:tcPr>
          <w:p w14:paraId="1A9C842E"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Siūlomos priemonės</w:t>
            </w:r>
          </w:p>
        </w:tc>
        <w:tc>
          <w:tcPr>
            <w:tcW w:w="7089" w:type="dxa"/>
          </w:tcPr>
          <w:p w14:paraId="018788E5" w14:textId="0C197DAA"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P</w:t>
            </w:r>
            <w:r w:rsidR="006C1782" w:rsidRPr="00650EE4">
              <w:rPr>
                <w:rFonts w:ascii="Times New Roman" w:hAnsi="Times New Roman"/>
                <w:szCs w:val="22"/>
                <w:lang w:eastAsia="lt-LT"/>
              </w:rPr>
              <w:t>8</w:t>
            </w:r>
            <w:r w:rsidRPr="00650EE4">
              <w:rPr>
                <w:rFonts w:ascii="Times New Roman" w:hAnsi="Times New Roman"/>
                <w:szCs w:val="22"/>
                <w:lang w:eastAsia="lt-LT"/>
              </w:rPr>
              <w:t>-P</w:t>
            </w:r>
            <w:r w:rsidR="006C1782" w:rsidRPr="00650EE4">
              <w:rPr>
                <w:rFonts w:ascii="Times New Roman" w:hAnsi="Times New Roman"/>
                <w:szCs w:val="22"/>
                <w:lang w:eastAsia="lt-LT"/>
              </w:rPr>
              <w:t>1</w:t>
            </w:r>
            <w:r w:rsidR="009D71AB" w:rsidRPr="00650EE4">
              <w:rPr>
                <w:rFonts w:ascii="Times New Roman" w:hAnsi="Times New Roman"/>
                <w:szCs w:val="22"/>
                <w:lang w:eastAsia="lt-LT"/>
              </w:rPr>
              <w:t>1</w:t>
            </w:r>
            <w:r w:rsidRPr="00650EE4">
              <w:rPr>
                <w:rFonts w:ascii="Times New Roman" w:hAnsi="Times New Roman"/>
                <w:szCs w:val="22"/>
                <w:lang w:eastAsia="lt-LT"/>
              </w:rPr>
              <w:t>. Kompleksinės motyvacijos priemonės</w:t>
            </w:r>
          </w:p>
          <w:p w14:paraId="06B59BDD"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(įpareigojimai derinami su paramos priemonėmis)</w:t>
            </w:r>
          </w:p>
          <w:p w14:paraId="479B64CD" w14:textId="6BD9ACA8" w:rsidR="00D57F48" w:rsidRPr="00650EE4" w:rsidRDefault="00D57F48" w:rsidP="00492041">
            <w:pPr>
              <w:spacing w:after="60"/>
              <w:rPr>
                <w:rFonts w:ascii="Times New Roman" w:hAnsi="Times New Roman"/>
                <w:szCs w:val="22"/>
                <w:lang w:eastAsia="lt-LT"/>
              </w:rPr>
            </w:pPr>
            <w:r w:rsidRPr="00650EE4">
              <w:rPr>
                <w:rFonts w:ascii="Times New Roman" w:hAnsi="Times New Roman"/>
                <w:szCs w:val="22"/>
                <w:lang w:eastAsia="lt-LT"/>
              </w:rPr>
              <w:t>P15. Finansavimo užtikrinimas</w:t>
            </w:r>
          </w:p>
        </w:tc>
      </w:tr>
      <w:tr w:rsidR="000E7641" w:rsidRPr="00650EE4" w14:paraId="41EDC6D5" w14:textId="77777777" w:rsidTr="00492041">
        <w:trPr>
          <w:trHeight w:val="61"/>
        </w:trPr>
        <w:tc>
          <w:tcPr>
            <w:tcW w:w="3114" w:type="dxa"/>
          </w:tcPr>
          <w:p w14:paraId="7DCABB14"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6577D9DC"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0E7641" w:rsidRPr="00650EE4" w14:paraId="6468EC31" w14:textId="77777777" w:rsidTr="00492041">
        <w:trPr>
          <w:trHeight w:val="76"/>
        </w:trPr>
        <w:tc>
          <w:tcPr>
            <w:tcW w:w="3114" w:type="dxa"/>
          </w:tcPr>
          <w:p w14:paraId="59F1A129" w14:textId="77777777" w:rsidR="000E7641" w:rsidRPr="00650EE4" w:rsidRDefault="000E7641"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5C07C2F" w14:textId="77777777" w:rsidR="000E7641" w:rsidRPr="00650EE4" w:rsidRDefault="000E7641" w:rsidP="00492041">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56C536AA" w14:textId="77777777" w:rsidR="00353082" w:rsidRDefault="00353082">
      <w:pPr>
        <w:spacing w:after="240"/>
        <w:rPr>
          <w:rFonts w:ascii="Times New Roman" w:eastAsia="Times New Roman" w:hAnsi="Times New Roman"/>
          <w:b/>
          <w:bCs/>
          <w:caps/>
          <w:color w:val="002060"/>
          <w:kern w:val="32"/>
          <w:sz w:val="24"/>
          <w:szCs w:val="24"/>
          <w:lang w:eastAsia="lt-LT"/>
        </w:rPr>
      </w:pPr>
      <w:r>
        <w:rPr>
          <w:rFonts w:ascii="Times New Roman" w:hAnsi="Times New Roman"/>
          <w:color w:val="002060"/>
          <w:sz w:val="24"/>
          <w:szCs w:val="24"/>
        </w:rPr>
        <w:br w:type="page"/>
      </w:r>
    </w:p>
    <w:p w14:paraId="1D19FBF3" w14:textId="28272906" w:rsidR="00005489" w:rsidRPr="00650EE4" w:rsidRDefault="00276453" w:rsidP="0074524A">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 w:val="24"/>
          <w:szCs w:val="24"/>
        </w:rPr>
      </w:pPr>
      <w:bookmarkStart w:id="154" w:name="_Toc59107557"/>
      <w:r w:rsidRPr="00650EE4">
        <w:rPr>
          <w:rFonts w:ascii="Times New Roman" w:hAnsi="Times New Roman"/>
          <w:color w:val="002060"/>
          <w:sz w:val="24"/>
          <w:szCs w:val="24"/>
        </w:rPr>
        <w:lastRenderedPageBreak/>
        <w:t>R</w:t>
      </w:r>
      <w:r w:rsidR="009A64F8" w:rsidRPr="00650EE4">
        <w:rPr>
          <w:rFonts w:ascii="Times New Roman" w:hAnsi="Times New Roman"/>
          <w:color w:val="002060"/>
          <w:sz w:val="24"/>
          <w:szCs w:val="24"/>
        </w:rPr>
        <w:t xml:space="preserve">ENOVACIJOS STRATEGIJOS </w:t>
      </w:r>
      <w:r w:rsidR="001D07DB" w:rsidRPr="00650EE4">
        <w:rPr>
          <w:rFonts w:ascii="Times New Roman" w:hAnsi="Times New Roman"/>
          <w:color w:val="002060"/>
          <w:sz w:val="24"/>
          <w:szCs w:val="24"/>
        </w:rPr>
        <w:t xml:space="preserve">TIKSLAI, </w:t>
      </w:r>
      <w:r w:rsidR="00B724E5" w:rsidRPr="00650EE4">
        <w:rPr>
          <w:rFonts w:ascii="Times New Roman" w:hAnsi="Times New Roman"/>
          <w:color w:val="002060"/>
          <w:sz w:val="24"/>
          <w:szCs w:val="24"/>
        </w:rPr>
        <w:t>RODIKLIAI</w:t>
      </w:r>
      <w:r w:rsidR="001D07DB" w:rsidRPr="00650EE4">
        <w:rPr>
          <w:rFonts w:ascii="Times New Roman" w:hAnsi="Times New Roman"/>
          <w:color w:val="002060"/>
          <w:sz w:val="24"/>
          <w:szCs w:val="24"/>
        </w:rPr>
        <w:t xml:space="preserve"> IR NAUDOS</w:t>
      </w:r>
      <w:bookmarkEnd w:id="154"/>
    </w:p>
    <w:p w14:paraId="1C8432BD" w14:textId="19B791F6" w:rsidR="0036191F" w:rsidRPr="00650EE4" w:rsidRDefault="00862E2C" w:rsidP="00005489">
      <w:pPr>
        <w:rPr>
          <w:rFonts w:ascii="Times New Roman" w:hAnsi="Times New Roman"/>
          <w:color w:val="000000" w:themeColor="text1"/>
          <w:sz w:val="24"/>
          <w:szCs w:val="24"/>
        </w:rPr>
      </w:pPr>
      <w:r w:rsidRPr="00650EE4">
        <w:rPr>
          <w:rFonts w:ascii="Times New Roman" w:hAnsi="Times New Roman"/>
          <w:noProof/>
          <w:color w:val="000000" w:themeColor="text1"/>
          <w:sz w:val="24"/>
          <w:szCs w:val="24"/>
          <w:lang w:eastAsia="lt-LT"/>
        </w:rPr>
        <mc:AlternateContent>
          <mc:Choice Requires="wps">
            <w:drawing>
              <wp:inline distT="0" distB="0" distL="0" distR="0" wp14:anchorId="326741D1" wp14:editId="4B3F61E7">
                <wp:extent cx="6479540" cy="1428750"/>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28750"/>
                        </a:xfrm>
                        <a:prstGeom prst="rect">
                          <a:avLst/>
                        </a:prstGeom>
                        <a:solidFill>
                          <a:schemeClr val="bg1">
                            <a:lumMod val="85000"/>
                          </a:schemeClr>
                        </a:solidFill>
                        <a:ln>
                          <a:noFill/>
                        </a:ln>
                      </wps:spPr>
                      <wps:txbx>
                        <w:txbxContent>
                          <w:p w14:paraId="0701B2FF" w14:textId="2075840C" w:rsidR="003E0C4E" w:rsidRPr="00862E2C" w:rsidRDefault="003E0C4E" w:rsidP="00862E2C">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673C91F0" w14:textId="77777777" w:rsidR="003E0C4E" w:rsidRPr="00445553" w:rsidRDefault="003E0C4E" w:rsidP="00862E2C">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38" o:spid="_x0000_s1036" type="#_x0000_t202" style="width:510.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" fillcolor="#d8d8d8 [2732]" stroked="f">
                <v:textbox>
                  <w:txbxContent>
                    <w:p w14:paraId="0701B2FF" w14:textId="2075840C" w:rsidR="003E0C4E" w:rsidRPr="00862E2C" w:rsidRDefault="003E0C4E" w:rsidP="00862E2C">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673C91F0" w14:textId="77777777" w:rsidR="003E0C4E" w:rsidRPr="00445553" w:rsidRDefault="003E0C4E" w:rsidP="00862E2C">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5262D447" w14:textId="77777777" w:rsidR="0071757D" w:rsidRPr="00650EE4" w:rsidRDefault="0071757D" w:rsidP="000D2A77">
      <w:pPr>
        <w:jc w:val="both"/>
        <w:rPr>
          <w:rFonts w:ascii="Times New Roman" w:hAnsi="Times New Roman"/>
          <w:color w:val="000000" w:themeColor="text1"/>
          <w:sz w:val="24"/>
          <w:szCs w:val="24"/>
        </w:rPr>
      </w:pPr>
    </w:p>
    <w:p w14:paraId="23F62D04" w14:textId="71273064" w:rsidR="00AF1FE7" w:rsidRPr="00650EE4" w:rsidRDefault="00900709" w:rsidP="00253F0F">
      <w:pPr>
        <w:spacing w:before="120"/>
        <w:jc w:val="both"/>
        <w:rPr>
          <w:rFonts w:ascii="Times New Roman" w:hAnsi="Times New Roman"/>
          <w:color w:val="000000" w:themeColor="text1"/>
          <w:szCs w:val="22"/>
        </w:rPr>
      </w:pPr>
      <w:r w:rsidRPr="00650EE4">
        <w:rPr>
          <w:rFonts w:ascii="Times New Roman" w:hAnsi="Times New Roman"/>
          <w:color w:val="000000" w:themeColor="text1"/>
          <w:szCs w:val="22"/>
        </w:rPr>
        <w:t>Ilgalaikė past</w:t>
      </w:r>
      <w:r w:rsidR="00AF1FE7" w:rsidRPr="00650EE4">
        <w:rPr>
          <w:rFonts w:ascii="Times New Roman" w:hAnsi="Times New Roman"/>
          <w:color w:val="000000" w:themeColor="text1"/>
          <w:szCs w:val="22"/>
        </w:rPr>
        <w:t>a</w:t>
      </w:r>
      <w:r w:rsidRPr="00650EE4">
        <w:rPr>
          <w:rFonts w:ascii="Times New Roman" w:hAnsi="Times New Roman"/>
          <w:color w:val="000000" w:themeColor="text1"/>
          <w:szCs w:val="22"/>
        </w:rPr>
        <w:t xml:space="preserve">tų renovacija yra vienas iš </w:t>
      </w:r>
      <w:r w:rsidR="0071239C" w:rsidRPr="00650EE4">
        <w:rPr>
          <w:rFonts w:ascii="Times New Roman" w:hAnsi="Times New Roman"/>
          <w:color w:val="000000" w:themeColor="text1"/>
          <w:szCs w:val="22"/>
        </w:rPr>
        <w:t>kertinių</w:t>
      </w:r>
      <w:r w:rsidR="00AF1FE7" w:rsidRPr="00650EE4">
        <w:rPr>
          <w:rFonts w:ascii="Times New Roman" w:hAnsi="Times New Roman"/>
          <w:color w:val="000000" w:themeColor="text1"/>
          <w:szCs w:val="22"/>
        </w:rPr>
        <w:t xml:space="preserve">  Europos žaliojo kurso</w:t>
      </w:r>
      <w:r w:rsidR="00AF1FE7" w:rsidRPr="00650EE4">
        <w:rPr>
          <w:rStyle w:val="FootnoteReference"/>
          <w:rFonts w:ascii="Times New Roman" w:hAnsi="Times New Roman"/>
          <w:color w:val="000000" w:themeColor="text1"/>
          <w:szCs w:val="22"/>
        </w:rPr>
        <w:footnoteReference w:id="40"/>
      </w:r>
      <w:r w:rsidR="00AF1FE7" w:rsidRPr="00650EE4">
        <w:rPr>
          <w:rFonts w:ascii="Times New Roman" w:hAnsi="Times New Roman"/>
          <w:color w:val="000000" w:themeColor="text1"/>
          <w:szCs w:val="22"/>
        </w:rPr>
        <w:t xml:space="preserve"> elementų.  Europos žal</w:t>
      </w:r>
      <w:r w:rsidR="00253F0F" w:rsidRPr="00650EE4">
        <w:rPr>
          <w:rFonts w:ascii="Times New Roman" w:hAnsi="Times New Roman"/>
          <w:color w:val="000000" w:themeColor="text1"/>
          <w:szCs w:val="22"/>
        </w:rPr>
        <w:t>iasis kursas-</w:t>
      </w:r>
      <w:r w:rsidR="00AF1FE7" w:rsidRPr="00650EE4">
        <w:rPr>
          <w:rFonts w:ascii="Times New Roman" w:hAnsi="Times New Roman"/>
          <w:color w:val="000000" w:themeColor="text1"/>
          <w:szCs w:val="22"/>
        </w:rPr>
        <w:t xml:space="preserve"> nauja augimo strategija, kuria siekiama pertvarkyti ES į teisingą ir klestinčią visuomenę, pasižyminčią modernia, efektyviai išteklius naudojančia ir konkurencinga ekonomika, kurioje 2050 m. visai nebus grynojo išmetamo šiltnamio efektą sukeliančių dujų kiekio, o ekonomikos augimas bus atsietas nuo išteklių naudojimo. </w:t>
      </w:r>
    </w:p>
    <w:p w14:paraId="5CAF53EE" w14:textId="77777777" w:rsidR="00900709" w:rsidRPr="00650EE4" w:rsidRDefault="00900709" w:rsidP="00253F0F">
      <w:pPr>
        <w:jc w:val="both"/>
        <w:rPr>
          <w:rFonts w:ascii="Times New Roman" w:hAnsi="Times New Roman"/>
          <w:color w:val="000000" w:themeColor="text1"/>
          <w:szCs w:val="22"/>
        </w:rPr>
      </w:pPr>
    </w:p>
    <w:p w14:paraId="4F75410C" w14:textId="49E00228" w:rsidR="00900709" w:rsidRPr="00650EE4" w:rsidRDefault="00AD2FDE"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55" w:name="_Toc59094268"/>
      <w:r w:rsidR="00F25C65">
        <w:t>19</w:t>
      </w:r>
      <w:r w:rsidRPr="00650EE4">
        <w:rPr>
          <w:noProof w:val="0"/>
        </w:rPr>
        <w:fldChar w:fldCharType="end"/>
      </w:r>
      <w:r w:rsidRPr="00650EE4">
        <w:rPr>
          <w:noProof w:val="0"/>
        </w:rPr>
        <w:t xml:space="preserve"> paveikslas</w:t>
      </w:r>
      <w:r w:rsidR="00390FCF" w:rsidRPr="00650EE4">
        <w:rPr>
          <w:noProof w:val="0"/>
        </w:rPr>
        <w:t>.</w:t>
      </w:r>
      <w:r w:rsidR="00900709" w:rsidRPr="00650EE4">
        <w:rPr>
          <w:noProof w:val="0"/>
        </w:rPr>
        <w:t xml:space="preserve"> </w:t>
      </w:r>
      <w:r w:rsidR="00253F0F" w:rsidRPr="00650EE4">
        <w:rPr>
          <w:noProof w:val="0"/>
        </w:rPr>
        <w:t>Europos žaliojo kurso elementai</w:t>
      </w:r>
      <w:bookmarkEnd w:id="155"/>
      <w:r w:rsidR="00253F0F" w:rsidRPr="00650EE4">
        <w:rPr>
          <w:noProof w:val="0"/>
        </w:rPr>
        <w:t xml:space="preserve"> </w:t>
      </w:r>
    </w:p>
    <w:p w14:paraId="660A425B" w14:textId="3B434987" w:rsidR="00284923" w:rsidRPr="00650EE4" w:rsidRDefault="00170543" w:rsidP="00284923">
      <w:pPr>
        <w:jc w:val="both"/>
        <w:rPr>
          <w:rFonts w:ascii="Times New Roman" w:hAnsi="Times New Roman"/>
          <w:i/>
          <w:iCs/>
          <w:color w:val="000000" w:themeColor="text1"/>
          <w:sz w:val="20"/>
          <w:szCs w:val="20"/>
        </w:rPr>
      </w:pPr>
      <w:r w:rsidRPr="00650EE4">
        <w:rPr>
          <w:rFonts w:ascii="Times New Roman" w:hAnsi="Times New Roman"/>
          <w:noProof/>
          <w:lang w:eastAsia="lt-LT"/>
        </w:rPr>
        <mc:AlternateContent>
          <mc:Choice Requires="wps">
            <w:drawing>
              <wp:anchor distT="0" distB="0" distL="114300" distR="114300" simplePos="0" relativeHeight="251812864" behindDoc="0" locked="0" layoutInCell="1" allowOverlap="1" wp14:anchorId="1598C003" wp14:editId="599BB20F">
                <wp:simplePos x="0" y="0"/>
                <wp:positionH relativeFrom="column">
                  <wp:posOffset>745490</wp:posOffset>
                </wp:positionH>
                <wp:positionV relativeFrom="paragraph">
                  <wp:posOffset>2309495</wp:posOffset>
                </wp:positionV>
                <wp:extent cx="1857375" cy="514350"/>
                <wp:effectExtent l="19050" t="19050" r="28575" b="19050"/>
                <wp:wrapNone/>
                <wp:docPr id="19" name="Rectangle 19"/>
                <wp:cNvGraphicFramePr/>
                <a:graphic xmlns:a="http://schemas.openxmlformats.org/drawingml/2006/main">
                  <a:graphicData uri="http://schemas.microsoft.com/office/word/2010/wordprocessingShape">
                    <wps:wsp>
                      <wps:cNvSpPr/>
                      <wps:spPr bwMode="ltGray">
                        <a:xfrm>
                          <a:off x="0" y="0"/>
                          <a:ext cx="1857375" cy="514350"/>
                        </a:xfrm>
                        <a:prstGeom prst="rect">
                          <a:avLst/>
                        </a:prstGeom>
                        <a:noFill/>
                        <a:ln w="28575">
                          <a:solidFill>
                            <a:srgbClr val="00206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rect w14:anchorId="5D08A30A" id="Rectangle 19" o:spid="_x0000_s1026" style="position:absolute;margin-left:58.7pt;margin-top:181.85pt;width:146.25pt;height:4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" filled="f" strokecolor="#002060" strokeweight="2.25pt">
                <v:stroke dashstyle="dash"/>
              </v:rect>
            </w:pict>
          </mc:Fallback>
        </mc:AlternateContent>
      </w:r>
      <w:r w:rsidR="00F75FED" w:rsidRPr="00650EE4">
        <w:rPr>
          <w:rFonts w:ascii="Times New Roman" w:hAnsi="Times New Roman"/>
          <w:i/>
          <w:iCs/>
          <w:noProof/>
          <w:color w:val="auto"/>
          <w:szCs w:val="22"/>
          <w:lang w:eastAsia="lt-LT"/>
        </w:rPr>
        <w:drawing>
          <wp:inline distT="0" distB="0" distL="0" distR="0" wp14:anchorId="1F68A679" wp14:editId="450ACCCE">
            <wp:extent cx="6479540" cy="3954145"/>
            <wp:effectExtent l="19050" t="19050" r="16510"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479540" cy="3954145"/>
                    </a:xfrm>
                    <a:prstGeom prst="rect">
                      <a:avLst/>
                    </a:prstGeom>
                    <a:ln>
                      <a:solidFill>
                        <a:schemeClr val="tx1"/>
                      </a:solidFill>
                    </a:ln>
                  </pic:spPr>
                </pic:pic>
              </a:graphicData>
            </a:graphic>
          </wp:inline>
        </w:drawing>
      </w:r>
      <w:r w:rsidR="00284923" w:rsidRPr="00650EE4">
        <w:rPr>
          <w:rFonts w:ascii="Times New Roman" w:hAnsi="Times New Roman"/>
          <w:i/>
          <w:iCs/>
          <w:color w:val="auto"/>
          <w:szCs w:val="22"/>
        </w:rPr>
        <w:t xml:space="preserve"> </w:t>
      </w:r>
      <w:r w:rsidR="00284923" w:rsidRPr="00650EE4">
        <w:rPr>
          <w:rFonts w:ascii="Times New Roman" w:hAnsi="Times New Roman"/>
          <w:i/>
          <w:iCs/>
          <w:color w:val="auto"/>
          <w:sz w:val="20"/>
          <w:szCs w:val="20"/>
        </w:rPr>
        <w:t xml:space="preserve">Šaltinis: </w:t>
      </w:r>
      <w:r w:rsidR="009B0C4E" w:rsidRPr="00650EE4">
        <w:rPr>
          <w:rFonts w:ascii="Times New Roman" w:hAnsi="Times New Roman"/>
          <w:i/>
          <w:iCs/>
          <w:color w:val="auto"/>
          <w:sz w:val="20"/>
          <w:szCs w:val="20"/>
        </w:rPr>
        <w:t>Europos komisija</w:t>
      </w:r>
    </w:p>
    <w:p w14:paraId="765F02AA" w14:textId="77777777" w:rsidR="00900709" w:rsidRPr="00650EE4" w:rsidRDefault="00900709" w:rsidP="006866B5">
      <w:pPr>
        <w:spacing w:after="120"/>
        <w:jc w:val="both"/>
        <w:rPr>
          <w:rFonts w:ascii="Times New Roman" w:hAnsi="Times New Roman"/>
          <w:color w:val="000000" w:themeColor="text1"/>
          <w:szCs w:val="22"/>
        </w:rPr>
      </w:pPr>
    </w:p>
    <w:p w14:paraId="6A922C4D" w14:textId="277D008F" w:rsidR="006866B5" w:rsidRPr="00650EE4" w:rsidRDefault="00253F0F" w:rsidP="006866B5">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Lietuvos i</w:t>
      </w:r>
      <w:r w:rsidR="003664B5" w:rsidRPr="00650EE4">
        <w:rPr>
          <w:rFonts w:ascii="Times New Roman" w:hAnsi="Times New Roman"/>
          <w:color w:val="000000" w:themeColor="text1"/>
          <w:szCs w:val="22"/>
        </w:rPr>
        <w:t>l</w:t>
      </w:r>
      <w:r w:rsidR="006866B5" w:rsidRPr="00650EE4">
        <w:rPr>
          <w:rFonts w:ascii="Times New Roman" w:hAnsi="Times New Roman"/>
          <w:color w:val="000000" w:themeColor="text1"/>
          <w:szCs w:val="22"/>
        </w:rPr>
        <w:t xml:space="preserve">galaikės pastatų renovacijos </w:t>
      </w:r>
      <w:r w:rsidR="009D154B" w:rsidRPr="00650EE4">
        <w:rPr>
          <w:rFonts w:ascii="Times New Roman" w:hAnsi="Times New Roman"/>
          <w:color w:val="000000" w:themeColor="text1"/>
          <w:szCs w:val="22"/>
        </w:rPr>
        <w:t>vizija</w:t>
      </w:r>
      <w:r w:rsidR="006866B5" w:rsidRPr="00650EE4">
        <w:rPr>
          <w:rFonts w:ascii="Times New Roman" w:hAnsi="Times New Roman"/>
          <w:color w:val="000000" w:themeColor="text1"/>
          <w:szCs w:val="22"/>
        </w:rPr>
        <w:t xml:space="preserve"> yra transformuoti esamą pastatų fondą</w:t>
      </w:r>
      <w:r w:rsidR="006866B5" w:rsidRPr="00650EE4">
        <w:rPr>
          <w:rStyle w:val="FootnoteReference"/>
          <w:rFonts w:ascii="Times New Roman" w:hAnsi="Times New Roman"/>
          <w:color w:val="000000" w:themeColor="text1"/>
          <w:szCs w:val="22"/>
        </w:rPr>
        <w:footnoteReference w:id="41"/>
      </w:r>
      <w:r w:rsidR="006866B5" w:rsidRPr="00650EE4">
        <w:rPr>
          <w:rFonts w:ascii="Times New Roman" w:hAnsi="Times New Roman"/>
          <w:color w:val="000000" w:themeColor="text1"/>
          <w:szCs w:val="22"/>
        </w:rPr>
        <w:t xml:space="preserve"> taip, kad 2050 metais jis būtų:</w:t>
      </w:r>
    </w:p>
    <w:p w14:paraId="04BA6EA7" w14:textId="77777777" w:rsidR="006866B5" w:rsidRPr="00650EE4" w:rsidRDefault="006866B5" w:rsidP="00BD4925">
      <w:pPr>
        <w:pStyle w:val="ListParagraph"/>
        <w:numPr>
          <w:ilvl w:val="0"/>
          <w:numId w:val="71"/>
        </w:numPr>
        <w:spacing w:after="60"/>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Efektyviai vartojantis energiją (su sąlygomis pertvarkymui į </w:t>
      </w:r>
      <w:r w:rsidRPr="00650EE4">
        <w:rPr>
          <w:rFonts w:ascii="Times New Roman" w:hAnsi="Times New Roman"/>
          <w:bCs/>
          <w:color w:val="000000" w:themeColor="text1"/>
          <w:szCs w:val="22"/>
          <w:lang w:val="lt-LT"/>
        </w:rPr>
        <w:t>beveik nulinės energijos pastatus);</w:t>
      </w:r>
    </w:p>
    <w:p w14:paraId="7F33A6A0" w14:textId="77777777" w:rsidR="006866B5" w:rsidRPr="00650EE4" w:rsidRDefault="006866B5" w:rsidP="00BD4925">
      <w:pPr>
        <w:pStyle w:val="ListParagraph"/>
        <w:numPr>
          <w:ilvl w:val="0"/>
          <w:numId w:val="71"/>
        </w:numPr>
        <w:spacing w:after="240"/>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Nepriklausomas nuo iškastinio kuro (su optimalia kuro struktūra).  </w:t>
      </w:r>
    </w:p>
    <w:p w14:paraId="1555E3B1" w14:textId="104D9C1A" w:rsidR="001F5F3C" w:rsidRPr="00650EE4" w:rsidRDefault="001F5F3C" w:rsidP="001F5F3C">
      <w:pPr>
        <w:jc w:val="both"/>
        <w:rPr>
          <w:rFonts w:ascii="Times New Roman" w:hAnsi="Times New Roman"/>
          <w:color w:val="000000" w:themeColor="text1"/>
          <w:szCs w:val="22"/>
        </w:rPr>
      </w:pPr>
      <w:r w:rsidRPr="00650EE4">
        <w:rPr>
          <w:rFonts w:ascii="Times New Roman" w:hAnsi="Times New Roman"/>
          <w:color w:val="000000" w:themeColor="text1"/>
          <w:szCs w:val="22"/>
        </w:rPr>
        <w:t>Siekiant šios vizijos įgyvendinimo bus užtikrinama, kad transformacija būtų tvari, kompleksiška ir atspindinti esmines Europos žaliojo kurso nuostatas.</w:t>
      </w:r>
    </w:p>
    <w:p w14:paraId="519D29B5" w14:textId="77777777" w:rsidR="001F5F3C" w:rsidRPr="00650EE4" w:rsidRDefault="001F5F3C" w:rsidP="005E6929">
      <w:pPr>
        <w:spacing w:before="120"/>
        <w:jc w:val="both"/>
        <w:rPr>
          <w:rFonts w:ascii="Times New Roman" w:hAnsi="Times New Roman"/>
          <w:color w:val="000000" w:themeColor="text1"/>
          <w:szCs w:val="22"/>
        </w:rPr>
      </w:pPr>
    </w:p>
    <w:p w14:paraId="3309558B" w14:textId="18718219" w:rsidR="00A6452B" w:rsidRPr="00650EE4" w:rsidRDefault="00041550" w:rsidP="005E6929">
      <w:pPr>
        <w:spacing w:before="120"/>
        <w:jc w:val="both"/>
        <w:rPr>
          <w:rFonts w:ascii="Times New Roman" w:hAnsi="Times New Roman"/>
          <w:color w:val="000000" w:themeColor="text1"/>
          <w:szCs w:val="22"/>
        </w:rPr>
      </w:pPr>
      <w:r w:rsidRPr="00650EE4">
        <w:rPr>
          <w:rFonts w:ascii="Times New Roman" w:hAnsi="Times New Roman"/>
          <w:color w:val="000000" w:themeColor="text1"/>
          <w:szCs w:val="22"/>
        </w:rPr>
        <w:t>V</w:t>
      </w:r>
      <w:r w:rsidR="005E6929" w:rsidRPr="00650EE4">
        <w:rPr>
          <w:rFonts w:ascii="Times New Roman" w:hAnsi="Times New Roman"/>
          <w:color w:val="000000" w:themeColor="text1"/>
          <w:szCs w:val="22"/>
        </w:rPr>
        <w:t xml:space="preserve">izija suformuota atsižvelgiant į </w:t>
      </w:r>
      <w:r w:rsidR="001F5F3C" w:rsidRPr="00650EE4">
        <w:rPr>
          <w:rFonts w:ascii="Times New Roman" w:hAnsi="Times New Roman"/>
          <w:color w:val="000000" w:themeColor="text1"/>
          <w:szCs w:val="22"/>
        </w:rPr>
        <w:t>esminius</w:t>
      </w:r>
      <w:r w:rsidR="0071239C" w:rsidRPr="00650EE4">
        <w:rPr>
          <w:rFonts w:ascii="Times New Roman" w:hAnsi="Times New Roman"/>
          <w:color w:val="000000" w:themeColor="text1"/>
          <w:szCs w:val="22"/>
        </w:rPr>
        <w:t xml:space="preserve"> </w:t>
      </w:r>
      <w:r w:rsidR="005E6929" w:rsidRPr="00650EE4">
        <w:rPr>
          <w:rFonts w:ascii="Times New Roman" w:hAnsi="Times New Roman"/>
          <w:color w:val="000000" w:themeColor="text1"/>
          <w:szCs w:val="22"/>
        </w:rPr>
        <w:t>strateginius E</w:t>
      </w:r>
      <w:r w:rsidRPr="00650EE4">
        <w:rPr>
          <w:rFonts w:ascii="Times New Roman" w:hAnsi="Times New Roman"/>
          <w:color w:val="000000" w:themeColor="text1"/>
          <w:szCs w:val="22"/>
        </w:rPr>
        <w:t>uropos sąjungos ir nacionalinio lygmens</w:t>
      </w:r>
      <w:r w:rsidR="005E6929" w:rsidRPr="00650EE4">
        <w:rPr>
          <w:rFonts w:ascii="Times New Roman" w:hAnsi="Times New Roman"/>
          <w:color w:val="000000" w:themeColor="text1"/>
          <w:szCs w:val="22"/>
        </w:rPr>
        <w:t xml:space="preserve"> tikslus</w:t>
      </w:r>
      <w:r w:rsidRPr="00650EE4">
        <w:rPr>
          <w:rFonts w:ascii="Times New Roman" w:hAnsi="Times New Roman"/>
          <w:color w:val="000000" w:themeColor="text1"/>
          <w:szCs w:val="22"/>
        </w:rPr>
        <w:t xml:space="preserve"> (žr. 1 skyrių)</w:t>
      </w:r>
      <w:r w:rsidR="005E6929" w:rsidRPr="00650EE4">
        <w:rPr>
          <w:rFonts w:ascii="Times New Roman" w:hAnsi="Times New Roman"/>
          <w:color w:val="000000" w:themeColor="text1"/>
          <w:szCs w:val="22"/>
        </w:rPr>
        <w:t xml:space="preserve">. </w:t>
      </w:r>
      <w:r w:rsidR="004B7C5E" w:rsidRPr="00650EE4">
        <w:rPr>
          <w:rFonts w:ascii="Times New Roman" w:hAnsi="Times New Roman"/>
          <w:color w:val="000000" w:themeColor="text1"/>
          <w:szCs w:val="22"/>
        </w:rPr>
        <w:t>Ilgalaikės pastatų renovacijos v</w:t>
      </w:r>
      <w:r w:rsidR="009D154B" w:rsidRPr="00650EE4">
        <w:rPr>
          <w:rFonts w:ascii="Times New Roman" w:hAnsi="Times New Roman"/>
          <w:color w:val="000000" w:themeColor="text1"/>
          <w:szCs w:val="22"/>
        </w:rPr>
        <w:t xml:space="preserve">izijos įgyvendinimui </w:t>
      </w:r>
      <w:r w:rsidR="005E6929" w:rsidRPr="00650EE4">
        <w:rPr>
          <w:rFonts w:ascii="Times New Roman" w:hAnsi="Times New Roman"/>
          <w:color w:val="000000" w:themeColor="text1"/>
          <w:szCs w:val="22"/>
        </w:rPr>
        <w:t xml:space="preserve">suformuoti </w:t>
      </w:r>
      <w:r w:rsidR="009D154B" w:rsidRPr="00650EE4">
        <w:rPr>
          <w:rFonts w:ascii="Times New Roman" w:hAnsi="Times New Roman"/>
          <w:color w:val="000000" w:themeColor="text1"/>
          <w:szCs w:val="22"/>
        </w:rPr>
        <w:t>strateginiai tikslai, už</w:t>
      </w:r>
      <w:r w:rsidR="003664B5" w:rsidRPr="00650EE4">
        <w:rPr>
          <w:rFonts w:ascii="Times New Roman" w:hAnsi="Times New Roman"/>
          <w:color w:val="000000" w:themeColor="text1"/>
          <w:szCs w:val="22"/>
        </w:rPr>
        <w:t>d</w:t>
      </w:r>
      <w:r w:rsidR="009D154B" w:rsidRPr="00650EE4">
        <w:rPr>
          <w:rFonts w:ascii="Times New Roman" w:hAnsi="Times New Roman"/>
          <w:color w:val="000000" w:themeColor="text1"/>
          <w:szCs w:val="22"/>
        </w:rPr>
        <w:t>aviniai ir priemonės pateikiami lentelėje žemiau:</w:t>
      </w:r>
    </w:p>
    <w:p w14:paraId="6155EB0E" w14:textId="77777777" w:rsidR="001F5F3C" w:rsidRPr="00650EE4" w:rsidRDefault="001F5F3C" w:rsidP="006A62FF">
      <w:pPr>
        <w:jc w:val="both"/>
        <w:rPr>
          <w:rFonts w:ascii="Times New Roman" w:hAnsi="Times New Roman"/>
          <w:color w:val="000000" w:themeColor="text1"/>
          <w:szCs w:val="22"/>
        </w:rPr>
      </w:pPr>
    </w:p>
    <w:p w14:paraId="32355C3A" w14:textId="0C12927B" w:rsidR="009D154B"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56" w:name="_Toc59094234"/>
      <w:r w:rsidR="00F25C65">
        <w:t>51</w:t>
      </w:r>
      <w:r w:rsidRPr="00650EE4">
        <w:rPr>
          <w:noProof w:val="0"/>
        </w:rPr>
        <w:fldChar w:fldCharType="end"/>
      </w:r>
      <w:r w:rsidR="009D154B" w:rsidRPr="00650EE4">
        <w:rPr>
          <w:noProof w:val="0"/>
        </w:rPr>
        <w:t xml:space="preserve"> lentelė. Renovacijos </w:t>
      </w:r>
      <w:r w:rsidR="00C840EB" w:rsidRPr="00650EE4">
        <w:rPr>
          <w:noProof w:val="0"/>
        </w:rPr>
        <w:t xml:space="preserve">vizija, </w:t>
      </w:r>
      <w:r w:rsidR="009D154B" w:rsidRPr="00650EE4">
        <w:rPr>
          <w:noProof w:val="0"/>
        </w:rPr>
        <w:t>strateginiai tikslai, uždaviniai ir</w:t>
      </w:r>
      <w:r w:rsidR="006E4F73">
        <w:rPr>
          <w:noProof w:val="0"/>
        </w:rPr>
        <w:t xml:space="preserve"> pagrindinės</w:t>
      </w:r>
      <w:r w:rsidR="009D154B" w:rsidRPr="00650EE4">
        <w:rPr>
          <w:noProof w:val="0"/>
        </w:rPr>
        <w:t xml:space="preserve"> priemonės</w:t>
      </w:r>
      <w:bookmarkEnd w:id="156"/>
    </w:p>
    <w:tbl>
      <w:tblPr>
        <w:tblStyle w:val="TableGrid"/>
        <w:tblW w:w="5000" w:type="pct"/>
        <w:jc w:val="center"/>
        <w:tblLook w:val="04A0" w:firstRow="1" w:lastRow="0" w:firstColumn="1" w:lastColumn="0" w:noHBand="0" w:noVBand="1"/>
      </w:tblPr>
      <w:tblGrid>
        <w:gridCol w:w="1427"/>
        <w:gridCol w:w="1611"/>
        <w:gridCol w:w="2029"/>
        <w:gridCol w:w="3042"/>
        <w:gridCol w:w="2311"/>
      </w:tblGrid>
      <w:tr w:rsidR="006E4F73" w:rsidRPr="00650EE4" w14:paraId="71697365" w14:textId="77777777" w:rsidTr="00910123">
        <w:trPr>
          <w:trHeight w:val="298"/>
          <w:jc w:val="center"/>
        </w:trPr>
        <w:tc>
          <w:tcPr>
            <w:tcW w:w="10194" w:type="dxa"/>
            <w:gridSpan w:val="5"/>
            <w:shd w:val="clear" w:color="auto" w:fill="D9D9D9" w:themeFill="background1" w:themeFillShade="D9"/>
          </w:tcPr>
          <w:p w14:paraId="5E655B39" w14:textId="77777777" w:rsidR="006E4F73" w:rsidRPr="00650EE4" w:rsidRDefault="006E4F73" w:rsidP="00910123">
            <w:pPr>
              <w:spacing w:before="120" w:after="120"/>
              <w:jc w:val="center"/>
              <w:rPr>
                <w:rFonts w:ascii="Times New Roman" w:hAnsi="Times New Roman"/>
                <w:b/>
                <w:bCs/>
                <w:sz w:val="20"/>
                <w:szCs w:val="22"/>
              </w:rPr>
            </w:pPr>
            <w:r w:rsidRPr="00650EE4">
              <w:rPr>
                <w:rFonts w:ascii="Times New Roman" w:hAnsi="Times New Roman"/>
                <w:b/>
                <w:bCs/>
                <w:sz w:val="20"/>
              </w:rPr>
              <w:t>Vizija: Iki 2050 m. energetiškai</w:t>
            </w:r>
            <w:r w:rsidRPr="00650EE4">
              <w:rPr>
                <w:rFonts w:ascii="Times New Roman" w:hAnsi="Times New Roman"/>
                <w:b/>
                <w:bCs/>
                <w:sz w:val="20"/>
                <w:szCs w:val="22"/>
              </w:rPr>
              <w:t xml:space="preserve"> efektyvus ir nepriklausomas nuo iškastinio kuro pastatų fondas</w:t>
            </w:r>
          </w:p>
        </w:tc>
      </w:tr>
      <w:tr w:rsidR="006E4F73" w:rsidRPr="00650EE4" w14:paraId="6F2A2920" w14:textId="77777777" w:rsidTr="00910123">
        <w:trPr>
          <w:jc w:val="center"/>
        </w:trPr>
        <w:tc>
          <w:tcPr>
            <w:tcW w:w="2972" w:type="dxa"/>
            <w:gridSpan w:val="2"/>
            <w:shd w:val="clear" w:color="auto" w:fill="F2F2F2" w:themeFill="background1" w:themeFillShade="F2"/>
          </w:tcPr>
          <w:p w14:paraId="757CD3C9" w14:textId="77777777" w:rsidR="006E4F73" w:rsidRPr="00650EE4" w:rsidRDefault="006E4F73" w:rsidP="00910123">
            <w:pPr>
              <w:spacing w:after="120"/>
              <w:jc w:val="center"/>
              <w:rPr>
                <w:rFonts w:ascii="Times New Roman" w:hAnsi="Times New Roman"/>
                <w:b/>
                <w:bCs/>
                <w:sz w:val="20"/>
              </w:rPr>
            </w:pPr>
            <w:r w:rsidRPr="00650EE4">
              <w:rPr>
                <w:rFonts w:ascii="Times New Roman" w:hAnsi="Times New Roman"/>
                <w:b/>
                <w:bCs/>
                <w:sz w:val="20"/>
                <w:szCs w:val="22"/>
              </w:rPr>
              <w:t>Strateginiai tikslai</w:t>
            </w:r>
          </w:p>
        </w:tc>
        <w:tc>
          <w:tcPr>
            <w:tcW w:w="1985" w:type="dxa"/>
            <w:shd w:val="clear" w:color="auto" w:fill="F2F2F2" w:themeFill="background1" w:themeFillShade="F2"/>
          </w:tcPr>
          <w:p w14:paraId="50D5CE04" w14:textId="77777777" w:rsidR="006E4F73" w:rsidRPr="00650EE4" w:rsidRDefault="006E4F73" w:rsidP="00910123">
            <w:pPr>
              <w:jc w:val="center"/>
              <w:rPr>
                <w:rFonts w:ascii="Times New Roman" w:hAnsi="Times New Roman"/>
                <w:b/>
                <w:bCs/>
                <w:sz w:val="20"/>
              </w:rPr>
            </w:pPr>
            <w:r w:rsidRPr="00650EE4">
              <w:rPr>
                <w:rFonts w:ascii="Times New Roman" w:hAnsi="Times New Roman"/>
                <w:b/>
                <w:bCs/>
                <w:sz w:val="20"/>
                <w:szCs w:val="22"/>
              </w:rPr>
              <w:t>Uždaviniai</w:t>
            </w:r>
          </w:p>
        </w:tc>
        <w:tc>
          <w:tcPr>
            <w:tcW w:w="5237" w:type="dxa"/>
            <w:gridSpan w:val="2"/>
            <w:shd w:val="clear" w:color="auto" w:fill="F2F2F2" w:themeFill="background1" w:themeFillShade="F2"/>
          </w:tcPr>
          <w:p w14:paraId="354D3D01" w14:textId="77777777" w:rsidR="006E4F73" w:rsidRPr="00650EE4" w:rsidRDefault="006E4F73" w:rsidP="00910123">
            <w:pPr>
              <w:jc w:val="center"/>
              <w:rPr>
                <w:rFonts w:ascii="Times New Roman" w:hAnsi="Times New Roman"/>
                <w:b/>
                <w:bCs/>
                <w:sz w:val="20"/>
              </w:rPr>
            </w:pPr>
            <w:r w:rsidRPr="00650EE4">
              <w:rPr>
                <w:rFonts w:ascii="Times New Roman" w:hAnsi="Times New Roman"/>
                <w:b/>
                <w:bCs/>
                <w:sz w:val="20"/>
                <w:szCs w:val="22"/>
              </w:rPr>
              <w:t>Priemon</w:t>
            </w:r>
            <w:r w:rsidRPr="00650EE4">
              <w:rPr>
                <w:rFonts w:ascii="Times New Roman" w:hAnsi="Times New Roman"/>
                <w:b/>
                <w:bCs/>
                <w:sz w:val="20"/>
              </w:rPr>
              <w:t>ės</w:t>
            </w:r>
          </w:p>
        </w:tc>
      </w:tr>
      <w:tr w:rsidR="006E4F73" w:rsidRPr="00650EE4" w14:paraId="72BB976A" w14:textId="77777777" w:rsidTr="00910123">
        <w:trPr>
          <w:trHeight w:val="433"/>
          <w:jc w:val="center"/>
        </w:trPr>
        <w:tc>
          <w:tcPr>
            <w:tcW w:w="1396" w:type="dxa"/>
            <w:vMerge w:val="restart"/>
            <w:vAlign w:val="center"/>
          </w:tcPr>
          <w:p w14:paraId="3F78A1B1" w14:textId="77777777" w:rsidR="006E4F73" w:rsidRPr="00650EE4" w:rsidRDefault="006E4F73" w:rsidP="00910123">
            <w:pPr>
              <w:jc w:val="center"/>
              <w:rPr>
                <w:rFonts w:ascii="Times New Roman" w:hAnsi="Times New Roman"/>
                <w:color w:val="000000" w:themeColor="text1"/>
                <w:sz w:val="20"/>
                <w:szCs w:val="22"/>
              </w:rPr>
            </w:pPr>
            <w:r w:rsidRPr="00650EE4">
              <w:rPr>
                <w:rFonts w:ascii="Times New Roman" w:hAnsi="Times New Roman"/>
                <w:color w:val="000000" w:themeColor="text1"/>
                <w:sz w:val="20"/>
                <w:szCs w:val="22"/>
              </w:rPr>
              <w:t>CO</w:t>
            </w:r>
            <w:r w:rsidRPr="00650EE4">
              <w:rPr>
                <w:rFonts w:ascii="Times New Roman" w:hAnsi="Times New Roman"/>
                <w:color w:val="000000" w:themeColor="text1"/>
                <w:sz w:val="20"/>
                <w:szCs w:val="22"/>
                <w:vertAlign w:val="subscript"/>
              </w:rPr>
              <w:t>2</w:t>
            </w:r>
            <w:r w:rsidRPr="00650EE4">
              <w:rPr>
                <w:rFonts w:ascii="Times New Roman" w:hAnsi="Times New Roman"/>
                <w:color w:val="000000" w:themeColor="text1"/>
                <w:sz w:val="20"/>
                <w:szCs w:val="22"/>
              </w:rPr>
              <w:t xml:space="preserve"> emisijų sumažinimas 90%</w:t>
            </w:r>
          </w:p>
        </w:tc>
        <w:tc>
          <w:tcPr>
            <w:tcW w:w="1576" w:type="dxa"/>
            <w:vMerge w:val="restart"/>
            <w:vAlign w:val="center"/>
          </w:tcPr>
          <w:p w14:paraId="11DFE0E4" w14:textId="77777777" w:rsidR="006E4F73" w:rsidRPr="00650EE4" w:rsidRDefault="006E4F73" w:rsidP="00910123">
            <w:pPr>
              <w:jc w:val="center"/>
              <w:rPr>
                <w:rFonts w:ascii="Times New Roman" w:hAnsi="Times New Roman"/>
                <w:sz w:val="20"/>
                <w:szCs w:val="22"/>
              </w:rPr>
            </w:pPr>
            <w:r w:rsidRPr="00650EE4">
              <w:rPr>
                <w:rFonts w:ascii="Times New Roman" w:hAnsi="Times New Roman"/>
                <w:color w:val="000000" w:themeColor="text1"/>
                <w:sz w:val="20"/>
                <w:szCs w:val="22"/>
              </w:rPr>
              <w:t>Pirminės energijos vartojimo sumažinimas 70%</w:t>
            </w:r>
          </w:p>
        </w:tc>
        <w:tc>
          <w:tcPr>
            <w:tcW w:w="1985" w:type="dxa"/>
          </w:tcPr>
          <w:p w14:paraId="54C33948" w14:textId="77777777" w:rsidR="006E4F73" w:rsidRPr="00650EE4" w:rsidRDefault="006E4F73" w:rsidP="00910123">
            <w:pPr>
              <w:rPr>
                <w:rFonts w:ascii="Times New Roman" w:hAnsi="Times New Roman"/>
                <w:sz w:val="20"/>
                <w:szCs w:val="22"/>
              </w:rPr>
            </w:pPr>
            <w:r w:rsidRPr="00650EE4">
              <w:rPr>
                <w:rFonts w:ascii="Times New Roman" w:hAnsi="Times New Roman"/>
                <w:color w:val="000000" w:themeColor="text1"/>
                <w:sz w:val="20"/>
                <w:szCs w:val="22"/>
              </w:rPr>
              <w:t>1.</w:t>
            </w:r>
            <w:r w:rsidRPr="00650EE4">
              <w:rPr>
                <w:rFonts w:ascii="Times New Roman" w:hAnsi="Times New Roman"/>
                <w:color w:val="000000" w:themeColor="text1"/>
                <w:sz w:val="20"/>
              </w:rPr>
              <w:t>1</w:t>
            </w:r>
            <w:r w:rsidRPr="00650EE4">
              <w:rPr>
                <w:rFonts w:ascii="Times New Roman" w:hAnsi="Times New Roman"/>
                <w:color w:val="000000" w:themeColor="text1"/>
                <w:sz w:val="20"/>
                <w:szCs w:val="22"/>
              </w:rPr>
              <w:t>. Renovacijos gylio didinimas</w:t>
            </w:r>
          </w:p>
        </w:tc>
        <w:tc>
          <w:tcPr>
            <w:tcW w:w="2976" w:type="dxa"/>
          </w:tcPr>
          <w:p w14:paraId="607970AC"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P8. Esminė renovacija</w:t>
            </w:r>
          </w:p>
          <w:p w14:paraId="2DE45771"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P1</w:t>
            </w:r>
            <w:r>
              <w:rPr>
                <w:rFonts w:ascii="Times New Roman" w:hAnsi="Times New Roman"/>
                <w:bCs/>
                <w:color w:val="auto"/>
                <w:sz w:val="20"/>
              </w:rPr>
              <w:t>5</w:t>
            </w:r>
            <w:r w:rsidRPr="00650EE4">
              <w:rPr>
                <w:rFonts w:ascii="Times New Roman" w:hAnsi="Times New Roman"/>
                <w:bCs/>
                <w:color w:val="auto"/>
                <w:sz w:val="20"/>
              </w:rPr>
              <w:t>. Griežtėjantys reikalavimai</w:t>
            </w:r>
          </w:p>
          <w:p w14:paraId="2BFB658A"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P1</w:t>
            </w:r>
            <w:r>
              <w:rPr>
                <w:rFonts w:ascii="Times New Roman" w:hAnsi="Times New Roman"/>
                <w:bCs/>
                <w:color w:val="auto"/>
                <w:sz w:val="20"/>
              </w:rPr>
              <w:t>6</w:t>
            </w:r>
            <w:r w:rsidRPr="00650EE4">
              <w:rPr>
                <w:rFonts w:ascii="Times New Roman" w:hAnsi="Times New Roman"/>
                <w:bCs/>
                <w:color w:val="auto"/>
                <w:sz w:val="20"/>
              </w:rPr>
              <w:t>. Finansavimo užtikrinimas</w:t>
            </w:r>
          </w:p>
        </w:tc>
        <w:tc>
          <w:tcPr>
            <w:tcW w:w="2261" w:type="dxa"/>
            <w:vMerge w:val="restart"/>
            <w:vAlign w:val="center"/>
          </w:tcPr>
          <w:p w14:paraId="667330A7" w14:textId="77777777" w:rsidR="006E4F73" w:rsidRPr="00650EE4"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sidRPr="00650EE4">
              <w:rPr>
                <w:rFonts w:ascii="Times New Roman" w:hAnsi="Times New Roman"/>
                <w:bCs/>
                <w:color w:val="auto"/>
                <w:sz w:val="20"/>
                <w:lang w:val="lt-LT"/>
              </w:rPr>
              <w:t>P1. Integruotas planavimas</w:t>
            </w:r>
          </w:p>
          <w:p w14:paraId="6C1E687B" w14:textId="77777777" w:rsidR="006E4F73"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sidRPr="00650EE4">
              <w:rPr>
                <w:rFonts w:ascii="Times New Roman" w:hAnsi="Times New Roman"/>
                <w:bCs/>
                <w:color w:val="auto"/>
                <w:sz w:val="20"/>
                <w:lang w:val="lt-LT"/>
              </w:rPr>
              <w:t>P2. Sisteminis duomenų rinkimas</w:t>
            </w:r>
          </w:p>
          <w:p w14:paraId="659B3383" w14:textId="77777777" w:rsidR="006E4F73" w:rsidRPr="00650EE4"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Pr>
                <w:rFonts w:ascii="Times New Roman" w:hAnsi="Times New Roman"/>
                <w:bCs/>
                <w:color w:val="auto"/>
                <w:sz w:val="20"/>
                <w:lang w:val="lt-LT"/>
              </w:rPr>
              <w:t>P</w:t>
            </w:r>
            <w:r>
              <w:rPr>
                <w:rFonts w:ascii="Times New Roman" w:hAnsi="Times New Roman"/>
                <w:bCs/>
                <w:color w:val="auto"/>
                <w:sz w:val="20"/>
                <w:lang w:val="en-US"/>
              </w:rPr>
              <w:t>3</w:t>
            </w:r>
            <w:r>
              <w:rPr>
                <w:rFonts w:ascii="Times New Roman" w:hAnsi="Times New Roman"/>
                <w:bCs/>
                <w:color w:val="auto"/>
                <w:sz w:val="20"/>
                <w:lang w:val="lt-LT"/>
              </w:rPr>
              <w:t>.Duomenų inventorizacija</w:t>
            </w:r>
          </w:p>
          <w:p w14:paraId="0E1419F6" w14:textId="77777777" w:rsidR="006E4F73" w:rsidRPr="00650EE4"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sidRPr="00650EE4">
              <w:rPr>
                <w:rFonts w:ascii="Times New Roman" w:hAnsi="Times New Roman"/>
                <w:bCs/>
                <w:color w:val="auto"/>
                <w:sz w:val="20"/>
                <w:lang w:val="lt-LT"/>
              </w:rPr>
              <w:t xml:space="preserve">P4. Savivaldos įtraukimas </w:t>
            </w:r>
          </w:p>
          <w:p w14:paraId="34349F07" w14:textId="77777777" w:rsidR="006E4F73" w:rsidRPr="00650EE4"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sidRPr="00650EE4">
              <w:rPr>
                <w:rFonts w:ascii="Times New Roman" w:hAnsi="Times New Roman"/>
                <w:bCs/>
                <w:color w:val="auto"/>
                <w:sz w:val="20"/>
                <w:lang w:val="lt-LT"/>
              </w:rPr>
              <w:t>P6. Pilna energijos kaina</w:t>
            </w:r>
          </w:p>
          <w:p w14:paraId="61C58CE8" w14:textId="77777777" w:rsidR="006E4F73" w:rsidRPr="00650EE4" w:rsidRDefault="006E4F73" w:rsidP="006E4F73">
            <w:pPr>
              <w:pStyle w:val="ListParagraph"/>
              <w:numPr>
                <w:ilvl w:val="0"/>
                <w:numId w:val="18"/>
              </w:numPr>
              <w:spacing w:after="60"/>
              <w:ind w:left="176" w:hanging="176"/>
              <w:contextualSpacing w:val="0"/>
              <w:rPr>
                <w:rFonts w:ascii="Times New Roman" w:hAnsi="Times New Roman"/>
                <w:bCs/>
                <w:color w:val="auto"/>
                <w:sz w:val="20"/>
                <w:lang w:val="lt-LT"/>
              </w:rPr>
            </w:pPr>
            <w:r w:rsidRPr="00650EE4">
              <w:rPr>
                <w:rFonts w:ascii="Times New Roman" w:hAnsi="Times New Roman"/>
                <w:bCs/>
                <w:color w:val="auto"/>
                <w:sz w:val="20"/>
                <w:lang w:val="lt-LT"/>
              </w:rPr>
              <w:t>P7. Taršos mokesčiai</w:t>
            </w:r>
          </w:p>
        </w:tc>
      </w:tr>
      <w:tr w:rsidR="006E4F73" w:rsidRPr="00650EE4" w14:paraId="0FF6550F" w14:textId="77777777" w:rsidTr="00910123">
        <w:trPr>
          <w:jc w:val="center"/>
        </w:trPr>
        <w:tc>
          <w:tcPr>
            <w:tcW w:w="1396" w:type="dxa"/>
            <w:vMerge/>
            <w:vAlign w:val="center"/>
          </w:tcPr>
          <w:p w14:paraId="21ACB65F" w14:textId="77777777" w:rsidR="006E4F73" w:rsidRPr="00650EE4" w:rsidRDefault="006E4F73" w:rsidP="00910123">
            <w:pPr>
              <w:jc w:val="center"/>
              <w:rPr>
                <w:rFonts w:ascii="Times New Roman" w:hAnsi="Times New Roman"/>
                <w:sz w:val="20"/>
                <w:szCs w:val="22"/>
              </w:rPr>
            </w:pPr>
          </w:p>
        </w:tc>
        <w:tc>
          <w:tcPr>
            <w:tcW w:w="1576" w:type="dxa"/>
            <w:vMerge/>
            <w:vAlign w:val="center"/>
          </w:tcPr>
          <w:p w14:paraId="79DD0D89" w14:textId="77777777" w:rsidR="006E4F73" w:rsidRPr="00650EE4" w:rsidRDefault="006E4F73" w:rsidP="00910123">
            <w:pPr>
              <w:jc w:val="center"/>
              <w:rPr>
                <w:rFonts w:ascii="Times New Roman" w:hAnsi="Times New Roman"/>
                <w:sz w:val="20"/>
                <w:szCs w:val="22"/>
              </w:rPr>
            </w:pPr>
          </w:p>
        </w:tc>
        <w:tc>
          <w:tcPr>
            <w:tcW w:w="1985" w:type="dxa"/>
          </w:tcPr>
          <w:p w14:paraId="305D355C" w14:textId="77777777" w:rsidR="006E4F73" w:rsidRPr="00650EE4" w:rsidRDefault="006E4F73" w:rsidP="00910123">
            <w:pPr>
              <w:rPr>
                <w:rFonts w:ascii="Times New Roman" w:hAnsi="Times New Roman"/>
                <w:sz w:val="20"/>
                <w:szCs w:val="22"/>
              </w:rPr>
            </w:pPr>
            <w:r w:rsidRPr="00650EE4">
              <w:rPr>
                <w:rFonts w:ascii="Times New Roman" w:hAnsi="Times New Roman"/>
                <w:color w:val="000000" w:themeColor="text1"/>
                <w:sz w:val="20"/>
                <w:szCs w:val="22"/>
              </w:rPr>
              <w:t>1.</w:t>
            </w:r>
            <w:r w:rsidRPr="00650EE4">
              <w:rPr>
                <w:rFonts w:ascii="Times New Roman" w:hAnsi="Times New Roman"/>
                <w:color w:val="000000" w:themeColor="text1"/>
                <w:sz w:val="20"/>
              </w:rPr>
              <w:t>2</w:t>
            </w:r>
            <w:r w:rsidRPr="00650EE4">
              <w:rPr>
                <w:rFonts w:ascii="Times New Roman" w:hAnsi="Times New Roman"/>
                <w:color w:val="000000" w:themeColor="text1"/>
                <w:sz w:val="20"/>
                <w:szCs w:val="22"/>
              </w:rPr>
              <w:t>. Renovacijos tempų didinimas</w:t>
            </w:r>
          </w:p>
        </w:tc>
        <w:tc>
          <w:tcPr>
            <w:tcW w:w="2976" w:type="dxa"/>
          </w:tcPr>
          <w:p w14:paraId="02D4D62E"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P1</w:t>
            </w:r>
            <w:r>
              <w:rPr>
                <w:rFonts w:ascii="Times New Roman" w:hAnsi="Times New Roman"/>
                <w:bCs/>
                <w:color w:val="auto"/>
                <w:sz w:val="20"/>
              </w:rPr>
              <w:t>1</w:t>
            </w:r>
            <w:r w:rsidRPr="00650EE4">
              <w:rPr>
                <w:rFonts w:ascii="Times New Roman" w:hAnsi="Times New Roman"/>
                <w:bCs/>
                <w:color w:val="auto"/>
                <w:sz w:val="20"/>
              </w:rPr>
              <w:t xml:space="preserve">. </w:t>
            </w:r>
            <w:proofErr w:type="spellStart"/>
            <w:r w:rsidRPr="00650EE4">
              <w:rPr>
                <w:rFonts w:ascii="Times New Roman" w:hAnsi="Times New Roman"/>
                <w:bCs/>
                <w:color w:val="auto"/>
                <w:sz w:val="20"/>
              </w:rPr>
              <w:t>Kvartalinė</w:t>
            </w:r>
            <w:proofErr w:type="spellEnd"/>
            <w:r w:rsidRPr="00650EE4">
              <w:rPr>
                <w:rFonts w:ascii="Times New Roman" w:hAnsi="Times New Roman"/>
                <w:bCs/>
                <w:color w:val="auto"/>
                <w:sz w:val="20"/>
              </w:rPr>
              <w:t xml:space="preserve"> renovacija</w:t>
            </w:r>
          </w:p>
          <w:p w14:paraId="3A294853"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P1</w:t>
            </w:r>
            <w:r>
              <w:rPr>
                <w:rFonts w:ascii="Times New Roman" w:hAnsi="Times New Roman"/>
                <w:bCs/>
                <w:color w:val="auto"/>
                <w:sz w:val="20"/>
              </w:rPr>
              <w:t>2</w:t>
            </w:r>
            <w:r w:rsidRPr="00650EE4">
              <w:rPr>
                <w:rFonts w:ascii="Times New Roman" w:hAnsi="Times New Roman"/>
                <w:bCs/>
                <w:color w:val="auto"/>
                <w:sz w:val="20"/>
              </w:rPr>
              <w:t>. Dalinė renovacija</w:t>
            </w:r>
          </w:p>
          <w:p w14:paraId="5CC87909" w14:textId="77777777" w:rsidR="006E4F73" w:rsidRPr="00650EE4" w:rsidRDefault="006E4F73" w:rsidP="00910123">
            <w:pPr>
              <w:spacing w:after="60"/>
              <w:rPr>
                <w:rFonts w:ascii="Times New Roman" w:hAnsi="Times New Roman"/>
                <w:bCs/>
                <w:color w:val="auto"/>
                <w:sz w:val="20"/>
              </w:rPr>
            </w:pPr>
            <w:r w:rsidRPr="00650EE4">
              <w:rPr>
                <w:rFonts w:ascii="Times New Roman" w:hAnsi="Times New Roman"/>
                <w:bCs/>
                <w:color w:val="auto"/>
                <w:sz w:val="20"/>
              </w:rPr>
              <w:t>P1</w:t>
            </w:r>
            <w:r>
              <w:rPr>
                <w:rFonts w:ascii="Times New Roman" w:hAnsi="Times New Roman"/>
                <w:bCs/>
                <w:color w:val="auto"/>
                <w:sz w:val="20"/>
              </w:rPr>
              <w:t>9</w:t>
            </w:r>
            <w:r w:rsidRPr="00650EE4">
              <w:rPr>
                <w:rFonts w:ascii="Times New Roman" w:hAnsi="Times New Roman"/>
                <w:bCs/>
                <w:color w:val="auto"/>
                <w:sz w:val="20"/>
              </w:rPr>
              <w:t>. „Vienas langelis“</w:t>
            </w:r>
          </w:p>
          <w:p w14:paraId="11D839CB" w14:textId="77777777" w:rsidR="006E4F73" w:rsidRPr="00650EE4" w:rsidRDefault="006E4F73" w:rsidP="00910123">
            <w:pPr>
              <w:spacing w:after="60"/>
              <w:rPr>
                <w:rFonts w:ascii="Times New Roman" w:hAnsi="Times New Roman"/>
                <w:color w:val="auto"/>
                <w:sz w:val="20"/>
                <w:szCs w:val="22"/>
              </w:rPr>
            </w:pPr>
            <w:r w:rsidRPr="00650EE4">
              <w:rPr>
                <w:rFonts w:ascii="Times New Roman" w:hAnsi="Times New Roman"/>
                <w:bCs/>
                <w:color w:val="auto"/>
                <w:sz w:val="20"/>
              </w:rPr>
              <w:t>P1</w:t>
            </w:r>
            <w:r>
              <w:rPr>
                <w:rFonts w:ascii="Times New Roman" w:hAnsi="Times New Roman"/>
                <w:bCs/>
                <w:color w:val="auto"/>
                <w:sz w:val="20"/>
              </w:rPr>
              <w:t>7-18</w:t>
            </w:r>
            <w:r w:rsidRPr="00650EE4">
              <w:rPr>
                <w:rFonts w:ascii="Times New Roman" w:hAnsi="Times New Roman"/>
                <w:bCs/>
                <w:color w:val="auto"/>
                <w:sz w:val="20"/>
              </w:rPr>
              <w:t>. Komunikacija</w:t>
            </w:r>
          </w:p>
        </w:tc>
        <w:tc>
          <w:tcPr>
            <w:tcW w:w="2261" w:type="dxa"/>
            <w:vMerge/>
          </w:tcPr>
          <w:p w14:paraId="2F2DED53" w14:textId="77777777" w:rsidR="006E4F73" w:rsidRPr="00650EE4" w:rsidRDefault="006E4F73" w:rsidP="00910123">
            <w:pPr>
              <w:rPr>
                <w:rFonts w:ascii="Times New Roman" w:hAnsi="Times New Roman"/>
                <w:color w:val="auto"/>
                <w:sz w:val="20"/>
                <w:szCs w:val="22"/>
              </w:rPr>
            </w:pPr>
          </w:p>
        </w:tc>
      </w:tr>
      <w:tr w:rsidR="006E4F73" w:rsidRPr="00650EE4" w14:paraId="45C6306A" w14:textId="77777777" w:rsidTr="00910123">
        <w:trPr>
          <w:trHeight w:val="380"/>
          <w:jc w:val="center"/>
        </w:trPr>
        <w:tc>
          <w:tcPr>
            <w:tcW w:w="1396" w:type="dxa"/>
            <w:vMerge/>
            <w:vAlign w:val="center"/>
          </w:tcPr>
          <w:p w14:paraId="7829D3FF" w14:textId="77777777" w:rsidR="006E4F73" w:rsidRPr="00650EE4" w:rsidRDefault="006E4F73" w:rsidP="00910123">
            <w:pPr>
              <w:jc w:val="center"/>
              <w:rPr>
                <w:rFonts w:ascii="Times New Roman" w:hAnsi="Times New Roman"/>
                <w:color w:val="000000" w:themeColor="text1"/>
                <w:sz w:val="20"/>
                <w:szCs w:val="22"/>
              </w:rPr>
            </w:pPr>
          </w:p>
        </w:tc>
        <w:tc>
          <w:tcPr>
            <w:tcW w:w="1576" w:type="dxa"/>
            <w:vMerge w:val="restart"/>
            <w:vAlign w:val="center"/>
          </w:tcPr>
          <w:p w14:paraId="77B6DCA3" w14:textId="77777777" w:rsidR="006E4F73" w:rsidRPr="00650EE4" w:rsidRDefault="006E4F73" w:rsidP="00910123">
            <w:pPr>
              <w:jc w:val="center"/>
              <w:rPr>
                <w:rFonts w:ascii="Times New Roman" w:hAnsi="Times New Roman"/>
                <w:color w:val="000000" w:themeColor="text1"/>
                <w:sz w:val="20"/>
                <w:szCs w:val="22"/>
              </w:rPr>
            </w:pPr>
            <w:r w:rsidRPr="00650EE4">
              <w:rPr>
                <w:rFonts w:ascii="Times New Roman" w:hAnsi="Times New Roman"/>
                <w:color w:val="000000" w:themeColor="text1"/>
                <w:sz w:val="20"/>
                <w:szCs w:val="22"/>
              </w:rPr>
              <w:t>Pirminės energijos iš iškastinio kuro vartojimo  sumažinimas 90%</w:t>
            </w:r>
          </w:p>
        </w:tc>
        <w:tc>
          <w:tcPr>
            <w:tcW w:w="1985" w:type="dxa"/>
            <w:vMerge w:val="restart"/>
          </w:tcPr>
          <w:p w14:paraId="3D3B54EC" w14:textId="77777777" w:rsidR="006E4F73" w:rsidRPr="00650EE4" w:rsidRDefault="006E4F73" w:rsidP="00910123">
            <w:pPr>
              <w:rPr>
                <w:rFonts w:ascii="Times New Roman" w:hAnsi="Times New Roman"/>
                <w:sz w:val="20"/>
                <w:szCs w:val="22"/>
              </w:rPr>
            </w:pPr>
            <w:r w:rsidRPr="00650EE4">
              <w:rPr>
                <w:rFonts w:ascii="Times New Roman" w:hAnsi="Times New Roman"/>
                <w:sz w:val="20"/>
                <w:szCs w:val="22"/>
              </w:rPr>
              <w:t xml:space="preserve">2.1. </w:t>
            </w:r>
            <w:r w:rsidRPr="00650EE4">
              <w:rPr>
                <w:rFonts w:ascii="Times New Roman" w:hAnsi="Times New Roman"/>
                <w:color w:val="000000" w:themeColor="text1"/>
                <w:sz w:val="20"/>
                <w:szCs w:val="22"/>
              </w:rPr>
              <w:t xml:space="preserve">Energijos gamybos </w:t>
            </w:r>
            <w:proofErr w:type="spellStart"/>
            <w:r w:rsidRPr="00650EE4">
              <w:rPr>
                <w:rFonts w:ascii="Times New Roman" w:hAnsi="Times New Roman"/>
                <w:color w:val="000000" w:themeColor="text1"/>
                <w:sz w:val="20"/>
                <w:szCs w:val="22"/>
              </w:rPr>
              <w:t>dekarbonizacija</w:t>
            </w:r>
            <w:proofErr w:type="spellEnd"/>
          </w:p>
        </w:tc>
        <w:tc>
          <w:tcPr>
            <w:tcW w:w="2976" w:type="dxa"/>
          </w:tcPr>
          <w:p w14:paraId="2835B761" w14:textId="77777777" w:rsidR="006E4F73" w:rsidRPr="00650EE4" w:rsidRDefault="006E4F73" w:rsidP="00910123">
            <w:pPr>
              <w:spacing w:after="60"/>
              <w:rPr>
                <w:rFonts w:ascii="Times New Roman" w:hAnsi="Times New Roman"/>
                <w:bCs/>
                <w:color w:val="auto"/>
                <w:sz w:val="20"/>
                <w:szCs w:val="22"/>
              </w:rPr>
            </w:pPr>
            <w:r>
              <w:rPr>
                <w:rFonts w:ascii="Times New Roman" w:hAnsi="Times New Roman"/>
                <w:bCs/>
                <w:color w:val="auto"/>
                <w:sz w:val="20"/>
              </w:rPr>
              <w:t>P</w:t>
            </w:r>
            <w:r>
              <w:rPr>
                <w:rFonts w:ascii="Times New Roman" w:hAnsi="Times New Roman"/>
                <w:bCs/>
                <w:color w:val="auto"/>
                <w:sz w:val="20"/>
                <w:lang w:val="en-US"/>
              </w:rPr>
              <w:t>10.</w:t>
            </w:r>
            <w:r>
              <w:rPr>
                <w:rFonts w:ascii="Times New Roman" w:hAnsi="Times New Roman"/>
                <w:bCs/>
                <w:color w:val="auto"/>
                <w:sz w:val="20"/>
              </w:rPr>
              <w:t xml:space="preserve"> </w:t>
            </w:r>
            <w:r w:rsidRPr="009E590B">
              <w:rPr>
                <w:rFonts w:ascii="Times New Roman" w:hAnsi="Times New Roman"/>
                <w:bCs/>
                <w:color w:val="auto"/>
                <w:sz w:val="20"/>
              </w:rPr>
              <w:t>Nulinių CO2 emisijų siekis</w:t>
            </w:r>
          </w:p>
        </w:tc>
        <w:tc>
          <w:tcPr>
            <w:tcW w:w="2261" w:type="dxa"/>
            <w:vMerge/>
          </w:tcPr>
          <w:p w14:paraId="2FC8CF51" w14:textId="77777777" w:rsidR="006E4F73" w:rsidRPr="00650EE4" w:rsidRDefault="006E4F73" w:rsidP="00910123">
            <w:pPr>
              <w:rPr>
                <w:rFonts w:ascii="Times New Roman" w:hAnsi="Times New Roman"/>
                <w:color w:val="auto"/>
                <w:sz w:val="20"/>
                <w:szCs w:val="22"/>
              </w:rPr>
            </w:pPr>
          </w:p>
        </w:tc>
      </w:tr>
      <w:tr w:rsidR="006E4F73" w:rsidRPr="00650EE4" w14:paraId="3CE27F32" w14:textId="77777777" w:rsidTr="00910123">
        <w:trPr>
          <w:trHeight w:val="374"/>
          <w:jc w:val="center"/>
        </w:trPr>
        <w:tc>
          <w:tcPr>
            <w:tcW w:w="1396" w:type="dxa"/>
            <w:vMerge/>
          </w:tcPr>
          <w:p w14:paraId="5F3C321D" w14:textId="77777777" w:rsidR="006E4F73" w:rsidRPr="00650EE4" w:rsidRDefault="006E4F73" w:rsidP="00910123">
            <w:pPr>
              <w:rPr>
                <w:rFonts w:ascii="Times New Roman" w:hAnsi="Times New Roman"/>
                <w:sz w:val="20"/>
                <w:szCs w:val="22"/>
              </w:rPr>
            </w:pPr>
          </w:p>
        </w:tc>
        <w:tc>
          <w:tcPr>
            <w:tcW w:w="1576" w:type="dxa"/>
            <w:vMerge/>
          </w:tcPr>
          <w:p w14:paraId="235B7A0C" w14:textId="77777777" w:rsidR="006E4F73" w:rsidRPr="00650EE4" w:rsidRDefault="006E4F73" w:rsidP="00910123">
            <w:pPr>
              <w:rPr>
                <w:rFonts w:ascii="Times New Roman" w:hAnsi="Times New Roman"/>
                <w:sz w:val="20"/>
                <w:szCs w:val="22"/>
              </w:rPr>
            </w:pPr>
          </w:p>
        </w:tc>
        <w:tc>
          <w:tcPr>
            <w:tcW w:w="1985" w:type="dxa"/>
            <w:vMerge/>
          </w:tcPr>
          <w:p w14:paraId="0765ED56" w14:textId="77777777" w:rsidR="006E4F73" w:rsidRPr="00650EE4" w:rsidRDefault="006E4F73" w:rsidP="00910123">
            <w:pPr>
              <w:rPr>
                <w:rFonts w:ascii="Times New Roman" w:hAnsi="Times New Roman"/>
                <w:sz w:val="20"/>
                <w:szCs w:val="22"/>
              </w:rPr>
            </w:pPr>
          </w:p>
        </w:tc>
        <w:tc>
          <w:tcPr>
            <w:tcW w:w="2976" w:type="dxa"/>
          </w:tcPr>
          <w:p w14:paraId="6C4EC0F3" w14:textId="77777777" w:rsidR="006E4F73" w:rsidRPr="00650EE4" w:rsidRDefault="006E4F73" w:rsidP="00910123">
            <w:pPr>
              <w:spacing w:after="60"/>
              <w:rPr>
                <w:rFonts w:ascii="Times New Roman" w:hAnsi="Times New Roman"/>
                <w:color w:val="auto"/>
                <w:sz w:val="20"/>
                <w:szCs w:val="22"/>
              </w:rPr>
            </w:pPr>
            <w:r w:rsidRPr="00650EE4">
              <w:rPr>
                <w:rFonts w:ascii="Times New Roman" w:hAnsi="Times New Roman"/>
                <w:bCs/>
                <w:color w:val="auto"/>
                <w:sz w:val="20"/>
              </w:rPr>
              <w:t xml:space="preserve">CŠT sistemų </w:t>
            </w:r>
            <w:proofErr w:type="spellStart"/>
            <w:r w:rsidRPr="00650EE4">
              <w:rPr>
                <w:rFonts w:ascii="Times New Roman" w:hAnsi="Times New Roman"/>
                <w:bCs/>
                <w:color w:val="auto"/>
                <w:sz w:val="20"/>
              </w:rPr>
              <w:t>dekarbonizacija</w:t>
            </w:r>
            <w:proofErr w:type="spellEnd"/>
          </w:p>
        </w:tc>
        <w:tc>
          <w:tcPr>
            <w:tcW w:w="2261" w:type="dxa"/>
            <w:vMerge/>
          </w:tcPr>
          <w:p w14:paraId="244D19C6" w14:textId="77777777" w:rsidR="006E4F73" w:rsidRPr="00650EE4" w:rsidRDefault="006E4F73" w:rsidP="00910123">
            <w:pPr>
              <w:rPr>
                <w:rFonts w:ascii="Times New Roman" w:hAnsi="Times New Roman"/>
                <w:color w:val="auto"/>
                <w:sz w:val="20"/>
                <w:szCs w:val="22"/>
              </w:rPr>
            </w:pPr>
          </w:p>
        </w:tc>
      </w:tr>
      <w:tr w:rsidR="006E4F73" w:rsidRPr="00650EE4" w14:paraId="3238FCA5" w14:textId="77777777" w:rsidTr="00910123">
        <w:trPr>
          <w:trHeight w:val="223"/>
          <w:jc w:val="center"/>
        </w:trPr>
        <w:tc>
          <w:tcPr>
            <w:tcW w:w="1396" w:type="dxa"/>
            <w:vMerge/>
          </w:tcPr>
          <w:p w14:paraId="583678D4" w14:textId="77777777" w:rsidR="006E4F73" w:rsidRPr="00650EE4" w:rsidRDefault="006E4F73" w:rsidP="00910123">
            <w:pPr>
              <w:rPr>
                <w:rFonts w:ascii="Times New Roman" w:hAnsi="Times New Roman"/>
                <w:sz w:val="20"/>
                <w:szCs w:val="22"/>
              </w:rPr>
            </w:pPr>
          </w:p>
        </w:tc>
        <w:tc>
          <w:tcPr>
            <w:tcW w:w="1576" w:type="dxa"/>
            <w:vMerge/>
          </w:tcPr>
          <w:p w14:paraId="3CC64AC9" w14:textId="77777777" w:rsidR="006E4F73" w:rsidRPr="00650EE4" w:rsidRDefault="006E4F73" w:rsidP="00910123">
            <w:pPr>
              <w:rPr>
                <w:rFonts w:ascii="Times New Roman" w:hAnsi="Times New Roman"/>
                <w:sz w:val="20"/>
                <w:szCs w:val="22"/>
              </w:rPr>
            </w:pPr>
          </w:p>
        </w:tc>
        <w:tc>
          <w:tcPr>
            <w:tcW w:w="1985" w:type="dxa"/>
            <w:vMerge/>
          </w:tcPr>
          <w:p w14:paraId="1E2FDED5" w14:textId="77777777" w:rsidR="006E4F73" w:rsidRPr="00650EE4" w:rsidRDefault="006E4F73" w:rsidP="00910123">
            <w:pPr>
              <w:rPr>
                <w:rFonts w:ascii="Times New Roman" w:hAnsi="Times New Roman"/>
                <w:sz w:val="20"/>
                <w:szCs w:val="22"/>
              </w:rPr>
            </w:pPr>
          </w:p>
        </w:tc>
        <w:tc>
          <w:tcPr>
            <w:tcW w:w="2976" w:type="dxa"/>
          </w:tcPr>
          <w:p w14:paraId="2D8454BE" w14:textId="77777777" w:rsidR="006E4F73" w:rsidRPr="00650EE4" w:rsidRDefault="006E4F73" w:rsidP="00910123">
            <w:pPr>
              <w:spacing w:after="60"/>
              <w:rPr>
                <w:rFonts w:ascii="Times New Roman" w:hAnsi="Times New Roman"/>
                <w:color w:val="auto"/>
                <w:sz w:val="20"/>
                <w:szCs w:val="22"/>
              </w:rPr>
            </w:pPr>
            <w:r w:rsidRPr="00650EE4">
              <w:rPr>
                <w:rFonts w:ascii="Times New Roman" w:hAnsi="Times New Roman"/>
                <w:bCs/>
                <w:color w:val="auto"/>
                <w:sz w:val="20"/>
              </w:rPr>
              <w:t xml:space="preserve">Elektros gamybos </w:t>
            </w:r>
            <w:proofErr w:type="spellStart"/>
            <w:r w:rsidRPr="00650EE4">
              <w:rPr>
                <w:rFonts w:ascii="Times New Roman" w:hAnsi="Times New Roman"/>
                <w:bCs/>
                <w:color w:val="auto"/>
                <w:sz w:val="20"/>
              </w:rPr>
              <w:t>dekarbonizacija</w:t>
            </w:r>
            <w:proofErr w:type="spellEnd"/>
          </w:p>
        </w:tc>
        <w:tc>
          <w:tcPr>
            <w:tcW w:w="2261" w:type="dxa"/>
            <w:vMerge/>
          </w:tcPr>
          <w:p w14:paraId="48B3BBD0" w14:textId="77777777" w:rsidR="006E4F73" w:rsidRPr="00650EE4" w:rsidRDefault="006E4F73" w:rsidP="00910123">
            <w:pPr>
              <w:rPr>
                <w:rFonts w:ascii="Times New Roman" w:hAnsi="Times New Roman"/>
                <w:color w:val="auto"/>
                <w:sz w:val="20"/>
                <w:szCs w:val="22"/>
              </w:rPr>
            </w:pPr>
          </w:p>
        </w:tc>
      </w:tr>
    </w:tbl>
    <w:p w14:paraId="3BE6B937" w14:textId="41A3EAAD" w:rsidR="009D154B" w:rsidRPr="00650EE4" w:rsidRDefault="009D154B" w:rsidP="005F0259">
      <w:pPr>
        <w:jc w:val="both"/>
        <w:rPr>
          <w:rFonts w:ascii="Times New Roman" w:hAnsi="Times New Roman"/>
          <w:i/>
          <w:iCs/>
          <w:color w:val="000000" w:themeColor="text1"/>
          <w:sz w:val="24"/>
          <w:szCs w:val="24"/>
        </w:rPr>
      </w:pPr>
      <w:r w:rsidRPr="00650EE4">
        <w:rPr>
          <w:rFonts w:ascii="Times New Roman" w:hAnsi="Times New Roman"/>
          <w:i/>
          <w:iCs/>
          <w:color w:val="auto"/>
          <w:szCs w:val="22"/>
        </w:rPr>
        <w:t xml:space="preserve">Šaltinis: </w:t>
      </w:r>
      <w:r w:rsidR="00F6555C" w:rsidRPr="00650EE4">
        <w:rPr>
          <w:rFonts w:ascii="Times New Roman" w:hAnsi="Times New Roman"/>
          <w:i/>
          <w:iCs/>
          <w:color w:val="auto"/>
          <w:szCs w:val="22"/>
        </w:rPr>
        <w:t>S</w:t>
      </w:r>
      <w:r w:rsidRPr="00650EE4">
        <w:rPr>
          <w:rFonts w:ascii="Times New Roman" w:hAnsi="Times New Roman"/>
          <w:i/>
          <w:iCs/>
          <w:color w:val="auto"/>
          <w:szCs w:val="22"/>
        </w:rPr>
        <w:t xml:space="preserve">tudijos </w:t>
      </w:r>
      <w:r w:rsidR="002A0BDE" w:rsidRPr="002A0BDE">
        <w:rPr>
          <w:rFonts w:ascii="Times New Roman" w:hAnsi="Times New Roman"/>
          <w:i/>
          <w:iCs/>
          <w:color w:val="auto"/>
          <w:szCs w:val="22"/>
        </w:rPr>
        <w:t xml:space="preserve">Lietuvos ilgalaikei renovacijos strategijai parengti </w:t>
      </w:r>
      <w:r w:rsidRPr="00650EE4">
        <w:rPr>
          <w:rFonts w:ascii="Times New Roman" w:hAnsi="Times New Roman"/>
          <w:i/>
          <w:iCs/>
          <w:color w:val="auto"/>
          <w:szCs w:val="22"/>
        </w:rPr>
        <w:t>autoriai</w:t>
      </w:r>
    </w:p>
    <w:p w14:paraId="1849A704" w14:textId="2F7D7F0F" w:rsidR="004B2370" w:rsidRPr="00650EE4" w:rsidRDefault="004B2370" w:rsidP="004B2370">
      <w:pPr>
        <w:jc w:val="both"/>
        <w:rPr>
          <w:rFonts w:ascii="Times New Roman" w:hAnsi="Times New Roman"/>
          <w:color w:val="000000" w:themeColor="text1"/>
          <w:sz w:val="24"/>
          <w:szCs w:val="24"/>
        </w:rPr>
      </w:pPr>
    </w:p>
    <w:p w14:paraId="7C803C5C" w14:textId="21AF9FEE" w:rsidR="003664B5" w:rsidRPr="00650EE4" w:rsidRDefault="00B728B2" w:rsidP="00BF6547">
      <w:pPr>
        <w:spacing w:after="120"/>
        <w:jc w:val="both"/>
        <w:rPr>
          <w:rFonts w:ascii="Times New Roman" w:hAnsi="Times New Roman"/>
          <w:color w:val="000000" w:themeColor="text1"/>
          <w:szCs w:val="24"/>
        </w:rPr>
      </w:pPr>
      <w:r w:rsidRPr="00650EE4">
        <w:rPr>
          <w:rFonts w:ascii="Times New Roman" w:hAnsi="Times New Roman"/>
          <w:color w:val="000000" w:themeColor="text1"/>
          <w:szCs w:val="24"/>
        </w:rPr>
        <w:t xml:space="preserve">Toliau </w:t>
      </w:r>
      <w:r w:rsidR="003664B5" w:rsidRPr="00650EE4">
        <w:rPr>
          <w:rFonts w:ascii="Times New Roman" w:hAnsi="Times New Roman"/>
          <w:color w:val="000000" w:themeColor="text1"/>
          <w:szCs w:val="24"/>
        </w:rPr>
        <w:t>skyriuje pateikiama</w:t>
      </w:r>
      <w:r w:rsidR="00B15197" w:rsidRPr="00650EE4">
        <w:rPr>
          <w:rFonts w:ascii="Times New Roman" w:hAnsi="Times New Roman"/>
          <w:color w:val="000000" w:themeColor="text1"/>
          <w:szCs w:val="24"/>
        </w:rPr>
        <w:t xml:space="preserve"> informacija apie renovacijos strategijos įgyvendinimo tikslus, uždavinius, priemones ir planuojamus pažangos rodiklius</w:t>
      </w:r>
      <w:r w:rsidR="00BF6547" w:rsidRPr="00650EE4">
        <w:rPr>
          <w:rFonts w:ascii="Times New Roman" w:hAnsi="Times New Roman"/>
          <w:color w:val="000000" w:themeColor="text1"/>
          <w:szCs w:val="24"/>
        </w:rPr>
        <w:t>:</w:t>
      </w:r>
    </w:p>
    <w:p w14:paraId="70906C31" w14:textId="4D7A7BD6"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BF6547" w:rsidRPr="00650EE4">
        <w:rPr>
          <w:rFonts w:ascii="Times New Roman" w:hAnsi="Times New Roman"/>
          <w:color w:val="000000" w:themeColor="text1"/>
          <w:szCs w:val="24"/>
          <w:lang w:val="lt-LT"/>
        </w:rPr>
        <w:t>trateginiai tikslai</w:t>
      </w:r>
      <w:r w:rsidR="0037160D" w:rsidRPr="00650EE4">
        <w:rPr>
          <w:rFonts w:ascii="Times New Roman" w:hAnsi="Times New Roman"/>
          <w:color w:val="000000" w:themeColor="text1"/>
          <w:szCs w:val="24"/>
          <w:lang w:val="lt-LT"/>
        </w:rPr>
        <w:t xml:space="preserve"> (5.1 skyrius)</w:t>
      </w:r>
      <w:r>
        <w:rPr>
          <w:rFonts w:ascii="Times New Roman" w:hAnsi="Times New Roman"/>
          <w:color w:val="000000" w:themeColor="text1"/>
          <w:szCs w:val="24"/>
          <w:lang w:val="lt-LT"/>
        </w:rPr>
        <w:t>;</w:t>
      </w:r>
    </w:p>
    <w:p w14:paraId="25C1A601" w14:textId="786AD6FF"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BF6547" w:rsidRPr="00650EE4">
        <w:rPr>
          <w:rFonts w:ascii="Times New Roman" w:hAnsi="Times New Roman"/>
          <w:color w:val="000000" w:themeColor="text1"/>
          <w:szCs w:val="24"/>
          <w:lang w:val="lt-LT"/>
        </w:rPr>
        <w:t>trategijos įgyvendinimo rodikliai</w:t>
      </w:r>
      <w:r w:rsidR="0037160D" w:rsidRPr="00650EE4">
        <w:rPr>
          <w:rFonts w:ascii="Times New Roman" w:hAnsi="Times New Roman"/>
          <w:color w:val="000000" w:themeColor="text1"/>
          <w:szCs w:val="24"/>
          <w:lang w:val="lt-LT"/>
        </w:rPr>
        <w:t xml:space="preserve"> (5.2 skyrius)</w:t>
      </w:r>
      <w:r>
        <w:rPr>
          <w:rFonts w:ascii="Times New Roman" w:hAnsi="Times New Roman"/>
          <w:color w:val="000000" w:themeColor="text1"/>
          <w:szCs w:val="24"/>
          <w:lang w:val="lt-LT"/>
        </w:rPr>
        <w:t>;</w:t>
      </w:r>
    </w:p>
    <w:p w14:paraId="0AEDD006" w14:textId="2ABD4419" w:rsidR="00BF6547" w:rsidRPr="00650EE4" w:rsidRDefault="00CA4BA9" w:rsidP="00BD4925">
      <w:pPr>
        <w:pStyle w:val="ListParagraph"/>
        <w:numPr>
          <w:ilvl w:val="0"/>
          <w:numId w:val="40"/>
        </w:numPr>
        <w:spacing w:after="60"/>
        <w:ind w:left="714" w:hanging="357"/>
        <w:contextualSpacing w:val="0"/>
        <w:jc w:val="both"/>
        <w:rPr>
          <w:rFonts w:ascii="Times New Roman" w:hAnsi="Times New Roman"/>
          <w:color w:val="000000" w:themeColor="text1"/>
          <w:szCs w:val="24"/>
          <w:lang w:val="lt-LT"/>
        </w:rPr>
      </w:pPr>
      <w:r>
        <w:rPr>
          <w:rFonts w:ascii="Times New Roman" w:hAnsi="Times New Roman"/>
          <w:color w:val="000000" w:themeColor="text1"/>
          <w:szCs w:val="24"/>
          <w:lang w:val="lt-LT"/>
        </w:rPr>
        <w:t>s</w:t>
      </w:r>
      <w:r w:rsidR="00BF6547" w:rsidRPr="00650EE4">
        <w:rPr>
          <w:rFonts w:ascii="Times New Roman" w:hAnsi="Times New Roman"/>
          <w:color w:val="000000" w:themeColor="text1"/>
          <w:szCs w:val="24"/>
          <w:lang w:val="lt-LT"/>
        </w:rPr>
        <w:t>trategijos įgyvendinimo platesnio masto naudos</w:t>
      </w:r>
      <w:r w:rsidR="0037160D" w:rsidRPr="00650EE4">
        <w:rPr>
          <w:rFonts w:ascii="Times New Roman" w:hAnsi="Times New Roman"/>
          <w:color w:val="000000" w:themeColor="text1"/>
          <w:szCs w:val="24"/>
          <w:lang w:val="lt-LT"/>
        </w:rPr>
        <w:t xml:space="preserve"> (5.3 skyrius)</w:t>
      </w:r>
      <w:r w:rsidR="006A62FF" w:rsidRPr="00650EE4">
        <w:rPr>
          <w:rFonts w:ascii="Times New Roman" w:hAnsi="Times New Roman"/>
          <w:color w:val="000000" w:themeColor="text1"/>
          <w:szCs w:val="24"/>
          <w:lang w:val="lt-LT"/>
        </w:rPr>
        <w:t>.</w:t>
      </w:r>
    </w:p>
    <w:p w14:paraId="2B55616D" w14:textId="77777777" w:rsidR="00170543" w:rsidRPr="00650EE4" w:rsidRDefault="00170543" w:rsidP="00170543">
      <w:pPr>
        <w:pStyle w:val="ListParagraph"/>
        <w:jc w:val="both"/>
        <w:rPr>
          <w:rFonts w:ascii="Times New Roman" w:hAnsi="Times New Roman"/>
          <w:color w:val="000000" w:themeColor="text1"/>
          <w:szCs w:val="24"/>
          <w:lang w:val="lt-LT"/>
        </w:rPr>
      </w:pPr>
    </w:p>
    <w:p w14:paraId="6E4D4C4E" w14:textId="77777777" w:rsidR="00276453" w:rsidRPr="00650EE4" w:rsidRDefault="00276453" w:rsidP="00E37933">
      <w:pPr>
        <w:jc w:val="both"/>
        <w:rPr>
          <w:rFonts w:ascii="Times New Roman" w:hAnsi="Times New Roman"/>
          <w:color w:val="000000" w:themeColor="text1"/>
          <w:sz w:val="24"/>
          <w:szCs w:val="24"/>
        </w:rPr>
      </w:pPr>
    </w:p>
    <w:p w14:paraId="72372C6D" w14:textId="2D70982D" w:rsidR="00562751" w:rsidRPr="00650EE4" w:rsidRDefault="0071757D" w:rsidP="00DF1D03">
      <w:pPr>
        <w:pStyle w:val="Antrastes2"/>
        <w:numPr>
          <w:ilvl w:val="1"/>
          <w:numId w:val="4"/>
        </w:numPr>
        <w:pBdr>
          <w:bottom w:val="single" w:sz="4" w:space="1" w:color="auto"/>
        </w:pBdr>
        <w:spacing w:before="0" w:after="120"/>
        <w:ind w:left="576" w:hanging="576"/>
        <w:jc w:val="both"/>
        <w:rPr>
          <w:rFonts w:ascii="Times New Roman" w:hAnsi="Times New Roman"/>
          <w:color w:val="auto"/>
          <w:sz w:val="24"/>
          <w:szCs w:val="24"/>
          <w:lang w:val="lt-LT"/>
        </w:rPr>
      </w:pPr>
      <w:bookmarkStart w:id="157" w:name="_Toc59107558"/>
      <w:r w:rsidRPr="00650EE4">
        <w:rPr>
          <w:rFonts w:ascii="Times New Roman" w:hAnsi="Times New Roman"/>
          <w:color w:val="auto"/>
          <w:sz w:val="24"/>
          <w:szCs w:val="24"/>
          <w:lang w:val="lt-LT"/>
        </w:rPr>
        <w:t>Strateginiai tikslai</w:t>
      </w:r>
      <w:bookmarkEnd w:id="157"/>
      <w:r w:rsidR="00F5780F" w:rsidRPr="00650EE4">
        <w:rPr>
          <w:rFonts w:ascii="Times New Roman" w:hAnsi="Times New Roman"/>
          <w:color w:val="auto"/>
          <w:sz w:val="24"/>
          <w:szCs w:val="24"/>
          <w:lang w:val="lt-LT"/>
        </w:rPr>
        <w:t xml:space="preserve"> </w:t>
      </w:r>
    </w:p>
    <w:p w14:paraId="13526789" w14:textId="45B94406" w:rsidR="00096584" w:rsidRPr="00650EE4" w:rsidRDefault="00F6555C" w:rsidP="00AE4304">
      <w:pPr>
        <w:spacing w:before="240"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Siekiant ilgalaikės p</w:t>
      </w:r>
      <w:r w:rsidR="008A39D8" w:rsidRPr="00650EE4">
        <w:rPr>
          <w:rFonts w:ascii="Times New Roman" w:hAnsi="Times New Roman"/>
          <w:color w:val="000000" w:themeColor="text1"/>
          <w:szCs w:val="22"/>
        </w:rPr>
        <w:t xml:space="preserve">astatų fondo </w:t>
      </w:r>
      <w:r w:rsidRPr="00650EE4">
        <w:rPr>
          <w:rFonts w:ascii="Times New Roman" w:hAnsi="Times New Roman"/>
          <w:color w:val="000000" w:themeColor="text1"/>
          <w:szCs w:val="22"/>
        </w:rPr>
        <w:t>transformacijos įgyvendinimo suformuoti šie</w:t>
      </w:r>
      <w:r w:rsidR="008A39D8" w:rsidRPr="00650EE4">
        <w:rPr>
          <w:rFonts w:ascii="Times New Roman" w:hAnsi="Times New Roman"/>
          <w:color w:val="000000" w:themeColor="text1"/>
          <w:szCs w:val="22"/>
        </w:rPr>
        <w:t xml:space="preserve"> strategini</w:t>
      </w:r>
      <w:r w:rsidR="00C306FD" w:rsidRPr="00650EE4">
        <w:rPr>
          <w:rFonts w:ascii="Times New Roman" w:hAnsi="Times New Roman"/>
          <w:color w:val="000000" w:themeColor="text1"/>
          <w:szCs w:val="22"/>
        </w:rPr>
        <w:t>ai</w:t>
      </w:r>
      <w:r w:rsidR="00390E21" w:rsidRPr="00650EE4">
        <w:rPr>
          <w:rFonts w:ascii="Times New Roman" w:hAnsi="Times New Roman"/>
          <w:color w:val="000000" w:themeColor="text1"/>
          <w:szCs w:val="22"/>
        </w:rPr>
        <w:t xml:space="preserve"> tiksla</w:t>
      </w:r>
      <w:r w:rsidR="00C306FD" w:rsidRPr="00650EE4">
        <w:rPr>
          <w:rFonts w:ascii="Times New Roman" w:hAnsi="Times New Roman"/>
          <w:color w:val="000000" w:themeColor="text1"/>
          <w:szCs w:val="22"/>
        </w:rPr>
        <w:t>i</w:t>
      </w:r>
      <w:r w:rsidR="00096584" w:rsidRPr="00650EE4">
        <w:rPr>
          <w:rFonts w:ascii="Times New Roman" w:hAnsi="Times New Roman"/>
          <w:color w:val="000000" w:themeColor="text1"/>
          <w:szCs w:val="22"/>
        </w:rPr>
        <w:t>:</w:t>
      </w:r>
    </w:p>
    <w:p w14:paraId="3B0FF75E" w14:textId="5AED1C39" w:rsidR="00F6555C" w:rsidRPr="00650EE4" w:rsidRDefault="00F6555C" w:rsidP="00BD4925">
      <w:pPr>
        <w:pStyle w:val="ListParagraph"/>
        <w:numPr>
          <w:ilvl w:val="0"/>
          <w:numId w:val="19"/>
        </w:numPr>
        <w:spacing w:before="60" w:after="60"/>
        <w:ind w:left="1071"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Pirminės energijos vartojimo sumažini</w:t>
      </w:r>
      <w:r w:rsidR="00657EE4" w:rsidRPr="00650EE4">
        <w:rPr>
          <w:rFonts w:ascii="Times New Roman" w:hAnsi="Times New Roman"/>
          <w:color w:val="000000" w:themeColor="text1"/>
          <w:szCs w:val="22"/>
          <w:lang w:val="lt-LT"/>
        </w:rPr>
        <w:t>mas (didinant pastatų energinį</w:t>
      </w:r>
      <w:r w:rsidRPr="00650EE4">
        <w:rPr>
          <w:rFonts w:ascii="Times New Roman" w:hAnsi="Times New Roman"/>
          <w:color w:val="000000" w:themeColor="text1"/>
          <w:szCs w:val="22"/>
          <w:lang w:val="lt-LT"/>
        </w:rPr>
        <w:t xml:space="preserve"> efektyvumą)</w:t>
      </w:r>
      <w:r w:rsidR="006A62FF" w:rsidRPr="00650EE4">
        <w:rPr>
          <w:rFonts w:ascii="Times New Roman" w:hAnsi="Times New Roman"/>
          <w:color w:val="000000" w:themeColor="text1"/>
          <w:szCs w:val="22"/>
          <w:lang w:val="lt-LT"/>
        </w:rPr>
        <w:t>.</w:t>
      </w:r>
    </w:p>
    <w:p w14:paraId="644E299B" w14:textId="0F16FCB9" w:rsidR="00F6555C" w:rsidRPr="00650EE4" w:rsidRDefault="00F6555C" w:rsidP="00BD4925">
      <w:pPr>
        <w:pStyle w:val="ListParagraph"/>
        <w:numPr>
          <w:ilvl w:val="0"/>
          <w:numId w:val="19"/>
        </w:numPr>
        <w:spacing w:before="60" w:after="60"/>
        <w:ind w:left="1071"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Pirminės energij</w:t>
      </w:r>
      <w:r w:rsidR="00AE4304" w:rsidRPr="00650EE4">
        <w:rPr>
          <w:rFonts w:ascii="Times New Roman" w:hAnsi="Times New Roman"/>
          <w:color w:val="000000" w:themeColor="text1"/>
          <w:szCs w:val="22"/>
          <w:lang w:val="lt-LT"/>
        </w:rPr>
        <w:t>os iš iškastinio kuro vartojimo</w:t>
      </w:r>
      <w:r w:rsidRPr="00650EE4">
        <w:rPr>
          <w:rFonts w:ascii="Times New Roman" w:hAnsi="Times New Roman"/>
          <w:color w:val="000000" w:themeColor="text1"/>
          <w:szCs w:val="22"/>
          <w:lang w:val="lt-LT"/>
        </w:rPr>
        <w:t xml:space="preserve"> </w:t>
      </w:r>
      <w:r w:rsidR="006E4F73">
        <w:rPr>
          <w:rFonts w:ascii="Times New Roman" w:hAnsi="Times New Roman"/>
          <w:color w:val="000000" w:themeColor="text1"/>
          <w:szCs w:val="22"/>
          <w:lang w:val="lt-LT"/>
        </w:rPr>
        <w:t>atsisakymas</w:t>
      </w:r>
      <w:r w:rsidR="00AE4304" w:rsidRPr="00650EE4">
        <w:rPr>
          <w:rFonts w:ascii="Times New Roman" w:hAnsi="Times New Roman"/>
          <w:color w:val="000000" w:themeColor="text1"/>
          <w:szCs w:val="22"/>
          <w:lang w:val="lt-LT"/>
        </w:rPr>
        <w:t xml:space="preserve"> (keičiant energijos gamybos šaltinius)</w:t>
      </w:r>
      <w:r w:rsidR="006A62FF" w:rsidRPr="00650EE4">
        <w:rPr>
          <w:rFonts w:ascii="Times New Roman" w:hAnsi="Times New Roman"/>
          <w:color w:val="000000" w:themeColor="text1"/>
          <w:szCs w:val="22"/>
          <w:lang w:val="lt-LT"/>
        </w:rPr>
        <w:t>.</w:t>
      </w:r>
    </w:p>
    <w:p w14:paraId="701F515A" w14:textId="4A67072A" w:rsidR="00870F95" w:rsidRPr="00650EE4" w:rsidRDefault="006E4F73" w:rsidP="00BD4925">
      <w:pPr>
        <w:pStyle w:val="ListParagraph"/>
        <w:numPr>
          <w:ilvl w:val="0"/>
          <w:numId w:val="19"/>
        </w:numPr>
        <w:spacing w:before="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Nulinių </w:t>
      </w:r>
      <w:r w:rsidR="00D65447" w:rsidRPr="00650EE4">
        <w:rPr>
          <w:rFonts w:ascii="Times New Roman" w:hAnsi="Times New Roman"/>
          <w:color w:val="000000" w:themeColor="text1"/>
          <w:szCs w:val="22"/>
          <w:lang w:val="lt-LT"/>
        </w:rPr>
        <w:t>CO</w:t>
      </w:r>
      <w:r w:rsidR="00D65447" w:rsidRPr="00650EE4">
        <w:rPr>
          <w:rFonts w:ascii="Times New Roman" w:hAnsi="Times New Roman"/>
          <w:color w:val="000000" w:themeColor="text1"/>
          <w:szCs w:val="22"/>
          <w:vertAlign w:val="subscript"/>
          <w:lang w:val="lt-LT"/>
        </w:rPr>
        <w:t>2</w:t>
      </w:r>
      <w:r w:rsidR="00870F95" w:rsidRPr="00650EE4">
        <w:rPr>
          <w:rFonts w:ascii="Times New Roman" w:hAnsi="Times New Roman"/>
          <w:color w:val="000000" w:themeColor="text1"/>
          <w:szCs w:val="22"/>
          <w:lang w:val="lt-LT"/>
        </w:rPr>
        <w:t xml:space="preserve"> emisijų </w:t>
      </w:r>
      <w:r>
        <w:rPr>
          <w:rFonts w:ascii="Times New Roman" w:hAnsi="Times New Roman"/>
          <w:color w:val="000000" w:themeColor="text1"/>
          <w:szCs w:val="22"/>
          <w:lang w:val="lt-LT"/>
        </w:rPr>
        <w:t>pasiekimas</w:t>
      </w:r>
      <w:r w:rsidR="004B7C5E" w:rsidRPr="00650EE4">
        <w:rPr>
          <w:rFonts w:ascii="Times New Roman" w:hAnsi="Times New Roman"/>
          <w:color w:val="000000" w:themeColor="text1"/>
          <w:szCs w:val="22"/>
          <w:lang w:val="lt-LT"/>
        </w:rPr>
        <w:t>.</w:t>
      </w:r>
    </w:p>
    <w:p w14:paraId="68DBA6A5" w14:textId="77777777" w:rsidR="00F6555C" w:rsidRPr="00650EE4" w:rsidRDefault="00F6555C" w:rsidP="00F6555C">
      <w:pPr>
        <w:pStyle w:val="ListParagraph"/>
        <w:ind w:left="1071"/>
        <w:contextualSpacing w:val="0"/>
        <w:jc w:val="both"/>
        <w:rPr>
          <w:rFonts w:ascii="Times New Roman" w:hAnsi="Times New Roman"/>
          <w:color w:val="000000" w:themeColor="text1"/>
          <w:szCs w:val="22"/>
          <w:lang w:val="lt-LT"/>
        </w:rPr>
      </w:pPr>
    </w:p>
    <w:p w14:paraId="4DD8B828" w14:textId="73A9EF21" w:rsidR="00390E21" w:rsidRPr="00650EE4" w:rsidRDefault="00390E21" w:rsidP="00F6555C">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Šio strateginio tikslo įgyvendinimo </w:t>
      </w:r>
      <w:proofErr w:type="spellStart"/>
      <w:r w:rsidRPr="00650EE4">
        <w:rPr>
          <w:rFonts w:ascii="Times New Roman" w:hAnsi="Times New Roman"/>
          <w:color w:val="000000" w:themeColor="text1"/>
          <w:szCs w:val="22"/>
        </w:rPr>
        <w:t>stebėsenai</w:t>
      </w:r>
      <w:proofErr w:type="spellEnd"/>
      <w:r w:rsidRPr="00650EE4">
        <w:rPr>
          <w:rFonts w:ascii="Times New Roman" w:hAnsi="Times New Roman"/>
          <w:color w:val="000000" w:themeColor="text1"/>
          <w:szCs w:val="22"/>
        </w:rPr>
        <w:t xml:space="preserve"> </w:t>
      </w:r>
      <w:r w:rsidR="00F6555C" w:rsidRPr="00650EE4">
        <w:rPr>
          <w:rFonts w:ascii="Times New Roman" w:hAnsi="Times New Roman"/>
          <w:color w:val="000000" w:themeColor="text1"/>
          <w:szCs w:val="22"/>
        </w:rPr>
        <w:t xml:space="preserve">nustatyti </w:t>
      </w:r>
      <w:r w:rsidRPr="00650EE4">
        <w:rPr>
          <w:rFonts w:ascii="Times New Roman" w:hAnsi="Times New Roman"/>
          <w:color w:val="000000" w:themeColor="text1"/>
          <w:szCs w:val="22"/>
        </w:rPr>
        <w:t>vertinimo kriterijai:</w:t>
      </w:r>
    </w:p>
    <w:p w14:paraId="41A36587" w14:textId="7E196F29" w:rsidR="00390E21" w:rsidRPr="00650EE4" w:rsidRDefault="00CA4BA9" w:rsidP="00BD4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390E21" w:rsidRPr="00650EE4">
        <w:rPr>
          <w:rFonts w:ascii="Times New Roman" w:hAnsi="Times New Roman"/>
          <w:color w:val="000000" w:themeColor="text1"/>
          <w:szCs w:val="22"/>
          <w:lang w:val="lt-LT"/>
        </w:rPr>
        <w:t>astatų fondo pirminės ener</w:t>
      </w:r>
      <w:r w:rsidR="00C40470" w:rsidRPr="00650EE4">
        <w:rPr>
          <w:rFonts w:ascii="Times New Roman" w:hAnsi="Times New Roman"/>
          <w:color w:val="000000" w:themeColor="text1"/>
          <w:szCs w:val="22"/>
          <w:lang w:val="lt-LT"/>
        </w:rPr>
        <w:t xml:space="preserve">gijos vartojimas, </w:t>
      </w:r>
      <w:proofErr w:type="spellStart"/>
      <w:r w:rsidR="006E4F73">
        <w:rPr>
          <w:rFonts w:ascii="Times New Roman" w:hAnsi="Times New Roman"/>
          <w:color w:val="000000" w:themeColor="text1"/>
          <w:szCs w:val="22"/>
          <w:lang w:val="lt-LT"/>
        </w:rPr>
        <w:t>T</w:t>
      </w:r>
      <w:r w:rsidR="00C40470" w:rsidRPr="00650EE4">
        <w:rPr>
          <w:rFonts w:ascii="Times New Roman" w:hAnsi="Times New Roman"/>
          <w:color w:val="000000" w:themeColor="text1"/>
          <w:szCs w:val="22"/>
          <w:lang w:val="lt-LT"/>
        </w:rPr>
        <w:t>Wh</w:t>
      </w:r>
      <w:proofErr w:type="spellEnd"/>
      <w:r w:rsidR="00C40470" w:rsidRPr="00650EE4">
        <w:rPr>
          <w:rFonts w:ascii="Times New Roman" w:hAnsi="Times New Roman"/>
          <w:color w:val="000000" w:themeColor="text1"/>
          <w:szCs w:val="22"/>
          <w:lang w:val="lt-LT"/>
        </w:rPr>
        <w:t xml:space="preserve"> per metu</w:t>
      </w:r>
      <w:r>
        <w:rPr>
          <w:rFonts w:ascii="Times New Roman" w:hAnsi="Times New Roman"/>
          <w:color w:val="000000" w:themeColor="text1"/>
          <w:szCs w:val="22"/>
          <w:lang w:val="lt-LT"/>
        </w:rPr>
        <w:t>s;</w:t>
      </w:r>
    </w:p>
    <w:p w14:paraId="1F63C4CE" w14:textId="649BCFBD" w:rsidR="00390E21" w:rsidRPr="00650EE4" w:rsidRDefault="00CA4BA9" w:rsidP="00BD4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390E21" w:rsidRPr="00650EE4">
        <w:rPr>
          <w:rFonts w:ascii="Times New Roman" w:hAnsi="Times New Roman"/>
          <w:color w:val="000000" w:themeColor="text1"/>
          <w:szCs w:val="22"/>
          <w:lang w:val="lt-LT"/>
        </w:rPr>
        <w:t xml:space="preserve">astatų fondo pirminės energijos </w:t>
      </w:r>
      <w:r w:rsidR="00870F95" w:rsidRPr="00650EE4">
        <w:rPr>
          <w:rFonts w:ascii="Times New Roman" w:hAnsi="Times New Roman"/>
          <w:color w:val="000000" w:themeColor="text1"/>
          <w:szCs w:val="22"/>
          <w:lang w:val="lt-LT"/>
        </w:rPr>
        <w:t>iš iškastinio kuro</w:t>
      </w:r>
      <w:r w:rsidR="00390E21" w:rsidRPr="00650EE4">
        <w:rPr>
          <w:rFonts w:ascii="Times New Roman" w:hAnsi="Times New Roman"/>
          <w:color w:val="000000" w:themeColor="text1"/>
          <w:szCs w:val="22"/>
          <w:lang w:val="lt-LT"/>
        </w:rPr>
        <w:t xml:space="preserve"> vartojimas, </w:t>
      </w:r>
      <w:proofErr w:type="spellStart"/>
      <w:r w:rsidR="006E4F73">
        <w:rPr>
          <w:rFonts w:ascii="Times New Roman" w:hAnsi="Times New Roman"/>
          <w:color w:val="000000" w:themeColor="text1"/>
          <w:szCs w:val="22"/>
          <w:lang w:val="lt-LT"/>
        </w:rPr>
        <w:t>T</w:t>
      </w:r>
      <w:r w:rsidR="00390E21" w:rsidRPr="00650EE4">
        <w:rPr>
          <w:rFonts w:ascii="Times New Roman" w:hAnsi="Times New Roman"/>
          <w:color w:val="000000" w:themeColor="text1"/>
          <w:szCs w:val="22"/>
          <w:lang w:val="lt-LT"/>
        </w:rPr>
        <w:t>Wh</w:t>
      </w:r>
      <w:proofErr w:type="spellEnd"/>
      <w:r>
        <w:rPr>
          <w:rFonts w:ascii="Times New Roman" w:hAnsi="Times New Roman"/>
          <w:color w:val="000000" w:themeColor="text1"/>
          <w:szCs w:val="22"/>
          <w:lang w:val="lt-LT"/>
        </w:rPr>
        <w:t xml:space="preserve"> per metus;</w:t>
      </w:r>
    </w:p>
    <w:p w14:paraId="3C7E15F0" w14:textId="0EAB4D52" w:rsidR="00870F95" w:rsidRPr="00650EE4" w:rsidRDefault="00CA4BA9" w:rsidP="00BD4925">
      <w:pPr>
        <w:pStyle w:val="ListParagraph"/>
        <w:numPr>
          <w:ilvl w:val="0"/>
          <w:numId w:val="16"/>
        </w:numPr>
        <w:spacing w:before="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806F6C" w:rsidRPr="00650EE4">
        <w:rPr>
          <w:rFonts w:ascii="Times New Roman" w:hAnsi="Times New Roman"/>
          <w:color w:val="000000" w:themeColor="text1"/>
          <w:szCs w:val="22"/>
          <w:lang w:val="lt-LT"/>
        </w:rPr>
        <w:t>astatų fondo i</w:t>
      </w:r>
      <w:r w:rsidR="00D65447" w:rsidRPr="00650EE4">
        <w:rPr>
          <w:rFonts w:ascii="Times New Roman" w:hAnsi="Times New Roman"/>
          <w:color w:val="000000" w:themeColor="text1"/>
          <w:szCs w:val="22"/>
          <w:lang w:val="lt-LT"/>
        </w:rPr>
        <w:t>šmetamų CO</w:t>
      </w:r>
      <w:r w:rsidR="00D65447" w:rsidRPr="00650EE4">
        <w:rPr>
          <w:rFonts w:ascii="Times New Roman" w:hAnsi="Times New Roman"/>
          <w:color w:val="000000" w:themeColor="text1"/>
          <w:szCs w:val="22"/>
          <w:vertAlign w:val="subscript"/>
          <w:lang w:val="lt-LT"/>
        </w:rPr>
        <w:t>2</w:t>
      </w:r>
      <w:r w:rsidR="00D65447" w:rsidRPr="00650EE4">
        <w:rPr>
          <w:rFonts w:ascii="Times New Roman" w:hAnsi="Times New Roman"/>
          <w:color w:val="000000" w:themeColor="text1"/>
          <w:szCs w:val="22"/>
          <w:lang w:val="lt-LT"/>
        </w:rPr>
        <w:t xml:space="preserve"> emisijų kiekis, </w:t>
      </w:r>
      <w:r w:rsidR="006E4F73">
        <w:rPr>
          <w:rFonts w:ascii="Times New Roman" w:hAnsi="Times New Roman"/>
          <w:color w:val="000000" w:themeColor="text1"/>
          <w:szCs w:val="22"/>
          <w:lang w:val="lt-LT"/>
        </w:rPr>
        <w:t>m</w:t>
      </w:r>
      <w:r w:rsidR="00D65447" w:rsidRPr="00650EE4">
        <w:rPr>
          <w:rFonts w:ascii="Times New Roman" w:hAnsi="Times New Roman"/>
          <w:color w:val="000000" w:themeColor="text1"/>
          <w:szCs w:val="22"/>
          <w:lang w:val="lt-LT"/>
        </w:rPr>
        <w:t>tCO</w:t>
      </w:r>
      <w:r w:rsidR="00D65447" w:rsidRPr="00650EE4">
        <w:rPr>
          <w:rFonts w:ascii="Times New Roman" w:hAnsi="Times New Roman"/>
          <w:color w:val="000000" w:themeColor="text1"/>
          <w:szCs w:val="22"/>
          <w:vertAlign w:val="subscript"/>
          <w:lang w:val="lt-LT"/>
        </w:rPr>
        <w:t>2</w:t>
      </w:r>
      <w:r w:rsidR="00870F95" w:rsidRPr="00650EE4">
        <w:rPr>
          <w:rFonts w:ascii="Times New Roman" w:hAnsi="Times New Roman"/>
          <w:color w:val="000000" w:themeColor="text1"/>
          <w:szCs w:val="22"/>
          <w:lang w:val="lt-LT"/>
        </w:rPr>
        <w:t xml:space="preserve"> per metus</w:t>
      </w:r>
      <w:r w:rsidR="00FD6560" w:rsidRPr="00650EE4">
        <w:rPr>
          <w:rFonts w:ascii="Times New Roman" w:hAnsi="Times New Roman"/>
          <w:color w:val="000000" w:themeColor="text1"/>
          <w:szCs w:val="22"/>
          <w:lang w:val="lt-LT"/>
        </w:rPr>
        <w:t>.</w:t>
      </w:r>
    </w:p>
    <w:p w14:paraId="57B0F690" w14:textId="77777777" w:rsidR="00390E21" w:rsidRPr="00650EE4" w:rsidRDefault="00390E21" w:rsidP="0071757D">
      <w:pPr>
        <w:jc w:val="both"/>
        <w:rPr>
          <w:rFonts w:ascii="Times New Roman" w:hAnsi="Times New Roman"/>
          <w:color w:val="000000" w:themeColor="text1"/>
          <w:szCs w:val="22"/>
        </w:rPr>
      </w:pPr>
    </w:p>
    <w:p w14:paraId="3713C76E" w14:textId="5BABC891" w:rsidR="0071757D" w:rsidRPr="00650EE4" w:rsidRDefault="00C1258F" w:rsidP="0071757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Įgyvendinant strateginį tikslą būtų siekiama </w:t>
      </w:r>
      <w:r w:rsidR="008A39D8" w:rsidRPr="00650EE4">
        <w:rPr>
          <w:rFonts w:ascii="Times New Roman" w:hAnsi="Times New Roman"/>
          <w:color w:val="000000" w:themeColor="text1"/>
          <w:szCs w:val="22"/>
        </w:rPr>
        <w:t>iki 2050 metų</w:t>
      </w:r>
      <w:r w:rsidR="00AC346A" w:rsidRPr="00650EE4">
        <w:rPr>
          <w:rFonts w:ascii="Times New Roman" w:hAnsi="Times New Roman"/>
          <w:color w:val="000000" w:themeColor="text1"/>
          <w:szCs w:val="22"/>
        </w:rPr>
        <w:t xml:space="preserve"> pasiekti šiuos rodiklius (lyginant su 2020 m.)</w:t>
      </w:r>
      <w:r w:rsidR="008A39D8" w:rsidRPr="00650EE4">
        <w:rPr>
          <w:rFonts w:ascii="Times New Roman" w:hAnsi="Times New Roman"/>
          <w:color w:val="000000" w:themeColor="text1"/>
          <w:szCs w:val="22"/>
        </w:rPr>
        <w:t>:</w:t>
      </w:r>
    </w:p>
    <w:p w14:paraId="401189B2" w14:textId="53A3A79F" w:rsidR="006E4F73" w:rsidRPr="00650EE4" w:rsidRDefault="006E4F73" w:rsidP="006E4F73">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metinį </w:t>
      </w:r>
      <w:r>
        <w:rPr>
          <w:rFonts w:ascii="Times New Roman" w:hAnsi="Times New Roman"/>
          <w:color w:val="000000" w:themeColor="text1"/>
          <w:szCs w:val="22"/>
          <w:lang w:val="lt-LT"/>
        </w:rPr>
        <w:t>p</w:t>
      </w:r>
      <w:r w:rsidRPr="00650EE4">
        <w:rPr>
          <w:rFonts w:ascii="Times New Roman" w:hAnsi="Times New Roman"/>
          <w:color w:val="000000" w:themeColor="text1"/>
          <w:szCs w:val="22"/>
          <w:lang w:val="lt-LT"/>
        </w:rPr>
        <w:t>astatų fondo pirminės energijos vartojimą iki 1</w:t>
      </w:r>
      <w:r>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 xml:space="preserve"> </w:t>
      </w:r>
      <w:proofErr w:type="spellStart"/>
      <w:r w:rsidRPr="00650EE4">
        <w:rPr>
          <w:rFonts w:ascii="Times New Roman" w:hAnsi="Times New Roman"/>
          <w:color w:val="000000" w:themeColor="text1"/>
          <w:szCs w:val="22"/>
          <w:lang w:val="lt-LT"/>
        </w:rPr>
        <w:t>TWh</w:t>
      </w:r>
      <w:proofErr w:type="spellEnd"/>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0 proc.)</w:t>
      </w:r>
      <w:r>
        <w:rPr>
          <w:rFonts w:ascii="Times New Roman" w:hAnsi="Times New Roman"/>
          <w:color w:val="000000" w:themeColor="text1"/>
          <w:szCs w:val="22"/>
          <w:lang w:val="lt-LT"/>
        </w:rPr>
        <w:t>;</w:t>
      </w:r>
    </w:p>
    <w:p w14:paraId="7BDC35D8" w14:textId="1D297041" w:rsidR="006E4F73" w:rsidRPr="00650EE4" w:rsidRDefault="006E4F73" w:rsidP="006E4F73">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w:t>
      </w:r>
      <w:r>
        <w:rPr>
          <w:rFonts w:ascii="Times New Roman" w:hAnsi="Times New Roman"/>
          <w:color w:val="000000" w:themeColor="text1"/>
          <w:szCs w:val="22"/>
          <w:lang w:val="lt-LT"/>
        </w:rPr>
        <w:t>metinį p</w:t>
      </w:r>
      <w:r w:rsidRPr="00650EE4">
        <w:rPr>
          <w:rFonts w:ascii="Times New Roman" w:hAnsi="Times New Roman"/>
          <w:color w:val="000000" w:themeColor="text1"/>
          <w:szCs w:val="22"/>
          <w:lang w:val="lt-LT"/>
        </w:rPr>
        <w:t xml:space="preserve">astatų fondo pirminės energijos iš iškastinio kuro vartojimą </w:t>
      </w:r>
      <w:r>
        <w:rPr>
          <w:rFonts w:ascii="Times New Roman" w:hAnsi="Times New Roman"/>
          <w:color w:val="000000" w:themeColor="text1"/>
          <w:szCs w:val="22"/>
          <w:lang w:val="lt-LT"/>
        </w:rPr>
        <w:t>iki 0</w:t>
      </w:r>
      <w:r w:rsidRPr="00650EE4">
        <w:rPr>
          <w:rFonts w:ascii="Times New Roman" w:hAnsi="Times New Roman"/>
          <w:color w:val="000000" w:themeColor="text1"/>
          <w:szCs w:val="22"/>
          <w:lang w:val="lt-LT"/>
        </w:rPr>
        <w:t xml:space="preserve"> </w:t>
      </w:r>
      <w:proofErr w:type="spellStart"/>
      <w:r w:rsidRPr="00650EE4">
        <w:rPr>
          <w:rFonts w:ascii="Times New Roman" w:hAnsi="Times New Roman"/>
          <w:color w:val="000000" w:themeColor="text1"/>
          <w:szCs w:val="22"/>
          <w:lang w:val="lt-LT"/>
        </w:rPr>
        <w:t>TWh</w:t>
      </w:r>
      <w:proofErr w:type="spellEnd"/>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10</w:t>
      </w:r>
      <w:r w:rsidRPr="00650EE4">
        <w:rPr>
          <w:rFonts w:ascii="Times New Roman" w:hAnsi="Times New Roman"/>
          <w:color w:val="000000" w:themeColor="text1"/>
          <w:szCs w:val="22"/>
          <w:lang w:val="lt-LT"/>
        </w:rPr>
        <w:t>0 proc.)</w:t>
      </w:r>
      <w:r>
        <w:rPr>
          <w:rFonts w:ascii="Times New Roman" w:hAnsi="Times New Roman"/>
          <w:color w:val="000000" w:themeColor="text1"/>
          <w:szCs w:val="22"/>
          <w:lang w:val="lt-LT"/>
        </w:rPr>
        <w:t>;</w:t>
      </w:r>
    </w:p>
    <w:p w14:paraId="4A0AAAE9" w14:textId="42774CA0" w:rsidR="006E4F73" w:rsidRPr="00650EE4" w:rsidRDefault="006E4F73" w:rsidP="006E4F73">
      <w:pPr>
        <w:pStyle w:val="ListParagraph"/>
        <w:numPr>
          <w:ilvl w:val="0"/>
          <w:numId w:val="16"/>
        </w:numPr>
        <w:spacing w:before="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umažinti </w:t>
      </w:r>
      <w:r>
        <w:rPr>
          <w:rFonts w:ascii="Times New Roman" w:hAnsi="Times New Roman"/>
          <w:color w:val="000000" w:themeColor="text1"/>
          <w:szCs w:val="22"/>
          <w:lang w:val="lt-LT"/>
        </w:rPr>
        <w:t>metinį p</w:t>
      </w:r>
      <w:r w:rsidRPr="00650EE4">
        <w:rPr>
          <w:rFonts w:ascii="Times New Roman" w:hAnsi="Times New Roman"/>
          <w:color w:val="000000" w:themeColor="text1"/>
          <w:szCs w:val="22"/>
          <w:lang w:val="lt-LT"/>
        </w:rPr>
        <w:t>astatų fondo 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kiekį iki 0 mtCO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10</w:t>
      </w:r>
      <w:r w:rsidRPr="00650EE4">
        <w:rPr>
          <w:rFonts w:ascii="Times New Roman" w:hAnsi="Times New Roman"/>
          <w:color w:val="000000" w:themeColor="text1"/>
          <w:szCs w:val="22"/>
          <w:lang w:val="lt-LT"/>
        </w:rPr>
        <w:t>0 proc.).</w:t>
      </w:r>
    </w:p>
    <w:p w14:paraId="2E15E740" w14:textId="1A0CCF18" w:rsidR="00390E21" w:rsidRPr="00650EE4" w:rsidRDefault="00390E21" w:rsidP="0071757D">
      <w:pPr>
        <w:jc w:val="both"/>
        <w:rPr>
          <w:rFonts w:ascii="Times New Roman" w:hAnsi="Times New Roman"/>
          <w:color w:val="000000" w:themeColor="text1"/>
          <w:szCs w:val="22"/>
        </w:rPr>
      </w:pPr>
    </w:p>
    <w:p w14:paraId="064A94B1" w14:textId="79BC131E" w:rsidR="00554C08" w:rsidRPr="00650EE4" w:rsidRDefault="00806F6C" w:rsidP="00870F95">
      <w:pPr>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Svarbu pastebėti, kad</w:t>
      </w:r>
      <w:r w:rsidR="00D65447" w:rsidRPr="00650EE4">
        <w:rPr>
          <w:rFonts w:ascii="Times New Roman" w:hAnsi="Times New Roman"/>
          <w:color w:val="000000" w:themeColor="text1"/>
          <w:szCs w:val="22"/>
        </w:rPr>
        <w:t xml:space="preserve"> </w:t>
      </w:r>
      <w:r w:rsidR="007A52B6">
        <w:rPr>
          <w:rFonts w:ascii="Times New Roman" w:hAnsi="Times New Roman"/>
          <w:color w:val="000000" w:themeColor="text1"/>
          <w:szCs w:val="22"/>
        </w:rPr>
        <w:t>p</w:t>
      </w:r>
      <w:r w:rsidR="00161D10" w:rsidRPr="00650EE4">
        <w:rPr>
          <w:rFonts w:ascii="Times New Roman" w:hAnsi="Times New Roman"/>
          <w:color w:val="000000" w:themeColor="text1"/>
          <w:szCs w:val="22"/>
        </w:rPr>
        <w:t>astatų fondas, kaip energijos vartotojas yra neatskiriama energetikos sektoriaus dalis.</w:t>
      </w:r>
      <w:r w:rsidR="0042477F" w:rsidRPr="00650EE4">
        <w:rPr>
          <w:rFonts w:ascii="Times New Roman" w:hAnsi="Times New Roman"/>
          <w:color w:val="000000" w:themeColor="text1"/>
          <w:szCs w:val="22"/>
        </w:rPr>
        <w:t xml:space="preserve"> </w:t>
      </w:r>
      <w:r w:rsidR="00715616" w:rsidRPr="00650EE4">
        <w:rPr>
          <w:rFonts w:ascii="Times New Roman" w:hAnsi="Times New Roman"/>
          <w:color w:val="000000" w:themeColor="text1"/>
          <w:szCs w:val="22"/>
        </w:rPr>
        <w:t xml:space="preserve">Aukščiau aprašyti siektini </w:t>
      </w:r>
      <w:r w:rsidR="002A0BDE">
        <w:rPr>
          <w:rFonts w:ascii="Times New Roman" w:hAnsi="Times New Roman"/>
          <w:color w:val="000000" w:themeColor="text1"/>
          <w:szCs w:val="22"/>
        </w:rPr>
        <w:t>p</w:t>
      </w:r>
      <w:r w:rsidR="00715616" w:rsidRPr="00650EE4">
        <w:rPr>
          <w:rFonts w:ascii="Times New Roman" w:hAnsi="Times New Roman"/>
          <w:color w:val="000000" w:themeColor="text1"/>
          <w:szCs w:val="22"/>
        </w:rPr>
        <w:t xml:space="preserve">astatų fondo transformacijos rodikliai </w:t>
      </w:r>
      <w:r w:rsidR="00554C08" w:rsidRPr="00650EE4">
        <w:rPr>
          <w:rFonts w:ascii="Times New Roman" w:hAnsi="Times New Roman"/>
          <w:color w:val="000000" w:themeColor="text1"/>
          <w:szCs w:val="22"/>
        </w:rPr>
        <w:t xml:space="preserve">nustatyti darant prielaidą, kad energetikos sektorius </w:t>
      </w:r>
      <w:r w:rsidR="00E95DED" w:rsidRPr="00650EE4">
        <w:rPr>
          <w:rFonts w:ascii="Times New Roman" w:hAnsi="Times New Roman"/>
          <w:color w:val="000000" w:themeColor="text1"/>
          <w:szCs w:val="22"/>
        </w:rPr>
        <w:t>lygiagrečiai</w:t>
      </w:r>
      <w:r w:rsidR="0027125D" w:rsidRPr="00650EE4">
        <w:rPr>
          <w:rFonts w:ascii="Times New Roman" w:hAnsi="Times New Roman"/>
          <w:color w:val="000000" w:themeColor="text1"/>
          <w:szCs w:val="22"/>
        </w:rPr>
        <w:t xml:space="preserve"> </w:t>
      </w:r>
      <w:r w:rsidR="00554C08" w:rsidRPr="00650EE4">
        <w:rPr>
          <w:rFonts w:ascii="Times New Roman" w:hAnsi="Times New Roman"/>
          <w:color w:val="000000" w:themeColor="text1"/>
          <w:szCs w:val="22"/>
        </w:rPr>
        <w:t>transformuosis</w:t>
      </w:r>
      <w:r w:rsidR="0027125D" w:rsidRPr="00650EE4">
        <w:rPr>
          <w:rFonts w:ascii="Times New Roman" w:hAnsi="Times New Roman"/>
          <w:color w:val="000000" w:themeColor="text1"/>
          <w:szCs w:val="22"/>
        </w:rPr>
        <w:t>,</w:t>
      </w:r>
      <w:r w:rsidR="00554C08" w:rsidRPr="00650EE4">
        <w:rPr>
          <w:rFonts w:ascii="Times New Roman" w:hAnsi="Times New Roman"/>
          <w:color w:val="000000" w:themeColor="text1"/>
          <w:szCs w:val="22"/>
        </w:rPr>
        <w:t xml:space="preserve"> siekdamas </w:t>
      </w:r>
      <w:r w:rsidR="0027125D" w:rsidRPr="00650EE4">
        <w:rPr>
          <w:rFonts w:ascii="Times New Roman" w:hAnsi="Times New Roman"/>
          <w:color w:val="000000" w:themeColor="text1"/>
          <w:szCs w:val="22"/>
        </w:rPr>
        <w:t xml:space="preserve">atliepti besikeičiančius vartotojų  poreikius. </w:t>
      </w:r>
    </w:p>
    <w:p w14:paraId="35BE37F5" w14:textId="77777777" w:rsidR="00554C08" w:rsidRPr="00650EE4" w:rsidRDefault="00554C08" w:rsidP="00870F95">
      <w:pPr>
        <w:jc w:val="both"/>
        <w:rPr>
          <w:rFonts w:ascii="Times New Roman" w:hAnsi="Times New Roman"/>
          <w:color w:val="000000" w:themeColor="text1"/>
          <w:szCs w:val="22"/>
        </w:rPr>
      </w:pPr>
    </w:p>
    <w:p w14:paraId="386A31C5" w14:textId="63D59403" w:rsidR="008530D6" w:rsidRPr="00650EE4" w:rsidRDefault="003A46C8" w:rsidP="00870F95">
      <w:pPr>
        <w:jc w:val="both"/>
        <w:rPr>
          <w:rFonts w:ascii="Times New Roman" w:hAnsi="Times New Roman"/>
          <w:color w:val="000000" w:themeColor="text1"/>
          <w:szCs w:val="22"/>
        </w:rPr>
      </w:pPr>
      <w:r w:rsidRPr="00650EE4">
        <w:rPr>
          <w:rFonts w:ascii="Times New Roman" w:hAnsi="Times New Roman"/>
          <w:color w:val="000000" w:themeColor="text1"/>
          <w:szCs w:val="22"/>
        </w:rPr>
        <w:t>Paveik</w:t>
      </w:r>
      <w:r w:rsidR="004B6D9F" w:rsidRPr="00650EE4">
        <w:rPr>
          <w:rFonts w:ascii="Times New Roman" w:hAnsi="Times New Roman"/>
          <w:color w:val="000000" w:themeColor="text1"/>
          <w:szCs w:val="22"/>
        </w:rPr>
        <w:t>s</w:t>
      </w:r>
      <w:r w:rsidR="006201C1" w:rsidRPr="00650EE4">
        <w:rPr>
          <w:rFonts w:ascii="Times New Roman" w:hAnsi="Times New Roman"/>
          <w:color w:val="000000" w:themeColor="text1"/>
          <w:szCs w:val="22"/>
        </w:rPr>
        <w:t>l</w:t>
      </w:r>
      <w:r w:rsidRPr="00650EE4">
        <w:rPr>
          <w:rFonts w:ascii="Times New Roman" w:hAnsi="Times New Roman"/>
          <w:color w:val="000000" w:themeColor="text1"/>
          <w:szCs w:val="22"/>
        </w:rPr>
        <w:t xml:space="preserve">e žemiau </w:t>
      </w:r>
      <w:r w:rsidR="00A06517" w:rsidRPr="00650EE4">
        <w:rPr>
          <w:rFonts w:ascii="Times New Roman" w:hAnsi="Times New Roman"/>
          <w:color w:val="000000" w:themeColor="text1"/>
          <w:szCs w:val="22"/>
        </w:rPr>
        <w:t xml:space="preserve">pateikiami duomenys iliustruojantys </w:t>
      </w:r>
      <w:r w:rsidR="002A0BDE">
        <w:rPr>
          <w:rFonts w:ascii="Times New Roman" w:hAnsi="Times New Roman"/>
          <w:color w:val="000000" w:themeColor="text1"/>
          <w:szCs w:val="22"/>
        </w:rPr>
        <w:t>p</w:t>
      </w:r>
      <w:r w:rsidR="0061185E" w:rsidRPr="00650EE4">
        <w:rPr>
          <w:rFonts w:ascii="Times New Roman" w:hAnsi="Times New Roman"/>
          <w:color w:val="000000" w:themeColor="text1"/>
          <w:szCs w:val="22"/>
        </w:rPr>
        <w:t>as</w:t>
      </w:r>
      <w:r w:rsidR="004B6D9F" w:rsidRPr="00650EE4">
        <w:rPr>
          <w:rFonts w:ascii="Times New Roman" w:hAnsi="Times New Roman"/>
          <w:color w:val="000000" w:themeColor="text1"/>
          <w:szCs w:val="22"/>
        </w:rPr>
        <w:t>tat</w:t>
      </w:r>
      <w:r w:rsidR="00C40470" w:rsidRPr="00650EE4">
        <w:rPr>
          <w:rFonts w:ascii="Times New Roman" w:hAnsi="Times New Roman"/>
          <w:color w:val="000000" w:themeColor="text1"/>
          <w:szCs w:val="22"/>
        </w:rPr>
        <w:t>ų fondo transforma</w:t>
      </w:r>
      <w:r w:rsidR="0061185E" w:rsidRPr="00650EE4">
        <w:rPr>
          <w:rFonts w:ascii="Times New Roman" w:hAnsi="Times New Roman"/>
          <w:color w:val="000000" w:themeColor="text1"/>
          <w:szCs w:val="22"/>
        </w:rPr>
        <w:t>cijos</w:t>
      </w:r>
      <w:r w:rsidR="00A06517" w:rsidRPr="00650EE4">
        <w:rPr>
          <w:rFonts w:ascii="Times New Roman" w:hAnsi="Times New Roman"/>
          <w:color w:val="000000" w:themeColor="text1"/>
          <w:szCs w:val="22"/>
        </w:rPr>
        <w:t xml:space="preserve"> priklausomybę</w:t>
      </w:r>
      <w:r w:rsidR="0061185E" w:rsidRPr="00650EE4">
        <w:rPr>
          <w:rFonts w:ascii="Times New Roman" w:hAnsi="Times New Roman"/>
          <w:color w:val="000000" w:themeColor="text1"/>
          <w:szCs w:val="22"/>
        </w:rPr>
        <w:t xml:space="preserve"> nuo energetikos sektoriaus</w:t>
      </w:r>
      <w:r w:rsidR="006201C1" w:rsidRPr="00650EE4">
        <w:rPr>
          <w:rFonts w:ascii="Times New Roman" w:hAnsi="Times New Roman"/>
          <w:color w:val="000000" w:themeColor="text1"/>
          <w:szCs w:val="22"/>
        </w:rPr>
        <w:t xml:space="preserve"> transforma</w:t>
      </w:r>
      <w:r w:rsidR="00212381" w:rsidRPr="00650EE4">
        <w:rPr>
          <w:rFonts w:ascii="Times New Roman" w:hAnsi="Times New Roman"/>
          <w:color w:val="000000" w:themeColor="text1"/>
          <w:szCs w:val="22"/>
        </w:rPr>
        <w:t>cijos</w:t>
      </w:r>
      <w:r w:rsidR="00A06517" w:rsidRPr="00650EE4">
        <w:rPr>
          <w:rFonts w:ascii="Times New Roman" w:hAnsi="Times New Roman"/>
          <w:color w:val="000000" w:themeColor="text1"/>
          <w:szCs w:val="22"/>
        </w:rPr>
        <w:t>:</w:t>
      </w:r>
    </w:p>
    <w:p w14:paraId="5718ABA8" w14:textId="6BDA7716" w:rsidR="006E4F73" w:rsidRPr="00650EE4" w:rsidRDefault="006E4F73" w:rsidP="006E4F73">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tulpelyje „2050“ patiekiamos rodiklių reikšmės, kurios galė</w:t>
      </w:r>
      <w:r>
        <w:rPr>
          <w:rFonts w:ascii="Times New Roman" w:hAnsi="Times New Roman"/>
          <w:color w:val="000000" w:themeColor="text1"/>
          <w:szCs w:val="22"/>
          <w:lang w:val="lt-LT"/>
        </w:rPr>
        <w:t>tų būti pasiektos atliktus tik p</w:t>
      </w:r>
      <w:r w:rsidRPr="00650EE4">
        <w:rPr>
          <w:rFonts w:ascii="Times New Roman" w:hAnsi="Times New Roman"/>
          <w:color w:val="000000" w:themeColor="text1"/>
          <w:szCs w:val="22"/>
          <w:lang w:val="lt-LT"/>
        </w:rPr>
        <w:t xml:space="preserve">astatų fondo transformaciją t.y. nustatyta apimtimi įgyvendinus renovacijos priemones didinančias pastatų energetinį naudingumą ir pakeitus ne AEI naudojančius individualius gamybos šaltinius į AEI. </w:t>
      </w:r>
    </w:p>
    <w:p w14:paraId="6F274837" w14:textId="3F0B81F2" w:rsidR="00870F95" w:rsidRPr="006E4F73" w:rsidRDefault="006E4F73" w:rsidP="0071757D">
      <w:pPr>
        <w:pStyle w:val="ListParagraph"/>
        <w:numPr>
          <w:ilvl w:val="0"/>
          <w:numId w:val="68"/>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tulpelyje „2050 +“ pateikiamos IRS nustatytos siektinos rodiklių reikšmės, kurios galėt</w:t>
      </w:r>
      <w:r>
        <w:rPr>
          <w:rFonts w:ascii="Times New Roman" w:hAnsi="Times New Roman"/>
          <w:color w:val="000000" w:themeColor="text1"/>
          <w:szCs w:val="22"/>
          <w:lang w:val="lt-LT"/>
        </w:rPr>
        <w:t>ų būti pasiektos atliktus tiek p</w:t>
      </w:r>
      <w:r w:rsidRPr="00650EE4">
        <w:rPr>
          <w:rFonts w:ascii="Times New Roman" w:hAnsi="Times New Roman"/>
          <w:color w:val="000000" w:themeColor="text1"/>
          <w:szCs w:val="22"/>
          <w:lang w:val="lt-LT"/>
        </w:rPr>
        <w:t>astatų fondo (energijos vartojimo), tiek energetikos sektoriaus (energijos gamybos) transformaciją.</w:t>
      </w:r>
      <w:r w:rsidR="00430431" w:rsidRPr="006E4F73">
        <w:rPr>
          <w:rFonts w:ascii="Times New Roman" w:hAnsi="Times New Roman"/>
          <w:color w:val="000000" w:themeColor="text1"/>
          <w:szCs w:val="22"/>
        </w:rPr>
        <w:t xml:space="preserve"> </w:t>
      </w:r>
    </w:p>
    <w:p w14:paraId="752BB4CF" w14:textId="63EC52F5" w:rsidR="00A62BBF" w:rsidRPr="00650EE4" w:rsidRDefault="00A62BBF"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58" w:name="_Toc59094269"/>
      <w:r w:rsidR="00F25C65">
        <w:t>20</w:t>
      </w:r>
      <w:r w:rsidRPr="00650EE4">
        <w:rPr>
          <w:noProof w:val="0"/>
        </w:rPr>
        <w:fldChar w:fldCharType="end"/>
      </w:r>
      <w:r w:rsidRPr="00650EE4">
        <w:rPr>
          <w:noProof w:val="0"/>
        </w:rPr>
        <w:t xml:space="preserve"> paveikslas. Pastatų fondo transformacijos rodikliai</w:t>
      </w:r>
      <w:bookmarkEnd w:id="158"/>
    </w:p>
    <w:p w14:paraId="2CBE3FEF" w14:textId="7D9A9D2A" w:rsidR="0001199C" w:rsidRPr="00650EE4" w:rsidRDefault="006E4F73" w:rsidP="00631BA6">
      <w:pPr>
        <w:pStyle w:val="TESlentelspavadinimas"/>
        <w:rPr>
          <w:noProof w:val="0"/>
        </w:rPr>
      </w:pPr>
      <w:r w:rsidRPr="003678CC">
        <w:rPr>
          <w:i w:val="0"/>
          <w:iCs/>
          <w:color w:val="auto"/>
          <w:lang w:eastAsia="lt-LT"/>
        </w:rPr>
        <w:drawing>
          <wp:inline distT="0" distB="0" distL="0" distR="0" wp14:anchorId="2F8C464D" wp14:editId="5CE1BC4B">
            <wp:extent cx="6479540" cy="15138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479540" cy="1513840"/>
                    </a:xfrm>
                    <a:prstGeom prst="rect">
                      <a:avLst/>
                    </a:prstGeom>
                  </pic:spPr>
                </pic:pic>
              </a:graphicData>
            </a:graphic>
          </wp:inline>
        </w:drawing>
      </w:r>
    </w:p>
    <w:p w14:paraId="360BD048" w14:textId="65979642" w:rsidR="0071757D" w:rsidRPr="00650EE4" w:rsidRDefault="00326F50" w:rsidP="00F6555C">
      <w:pPr>
        <w:jc w:val="both"/>
        <w:rPr>
          <w:rFonts w:ascii="Times New Roman" w:hAnsi="Times New Roman"/>
          <w:i/>
          <w:iCs/>
          <w:color w:val="auto"/>
          <w:sz w:val="20"/>
          <w:szCs w:val="20"/>
        </w:rPr>
      </w:pPr>
      <w:r w:rsidRPr="00650EE4">
        <w:rPr>
          <w:rFonts w:ascii="Times New Roman" w:hAnsi="Times New Roman"/>
          <w:i/>
          <w:iCs/>
          <w:color w:val="auto"/>
          <w:sz w:val="20"/>
          <w:szCs w:val="20"/>
        </w:rPr>
        <w:t>Šaltinis: S</w:t>
      </w:r>
      <w:r w:rsidR="0071757D" w:rsidRPr="00650EE4">
        <w:rPr>
          <w:rFonts w:ascii="Times New Roman" w:hAnsi="Times New Roman"/>
          <w:i/>
          <w:iCs/>
          <w:color w:val="auto"/>
          <w:sz w:val="20"/>
          <w:szCs w:val="20"/>
        </w:rPr>
        <w:t xml:space="preserve">tudijos </w:t>
      </w:r>
      <w:r w:rsidR="002A0BDE" w:rsidRPr="002A0BDE">
        <w:rPr>
          <w:rFonts w:ascii="Times New Roman" w:hAnsi="Times New Roman"/>
          <w:i/>
          <w:iCs/>
          <w:color w:val="auto"/>
          <w:sz w:val="20"/>
          <w:szCs w:val="20"/>
        </w:rPr>
        <w:t xml:space="preserve">Lietuvos ilgalaikei renovacijos strategijai parengti </w:t>
      </w:r>
      <w:r w:rsidR="0071757D" w:rsidRPr="00650EE4">
        <w:rPr>
          <w:rFonts w:ascii="Times New Roman" w:hAnsi="Times New Roman"/>
          <w:i/>
          <w:iCs/>
          <w:color w:val="auto"/>
          <w:sz w:val="20"/>
          <w:szCs w:val="20"/>
        </w:rPr>
        <w:t>autoriai</w:t>
      </w:r>
    </w:p>
    <w:p w14:paraId="6E33AD21" w14:textId="1B762338" w:rsidR="003664B5" w:rsidRPr="00650EE4" w:rsidRDefault="003664B5" w:rsidP="00395C34">
      <w:pPr>
        <w:jc w:val="both"/>
        <w:rPr>
          <w:rFonts w:ascii="Times New Roman" w:hAnsi="Times New Roman"/>
          <w:color w:val="000000" w:themeColor="text1"/>
          <w:szCs w:val="22"/>
        </w:rPr>
      </w:pPr>
    </w:p>
    <w:p w14:paraId="29B093C6" w14:textId="0CB5DE91" w:rsidR="00326F50" w:rsidRPr="00650EE4" w:rsidRDefault="00326F50" w:rsidP="00395C34">
      <w:pPr>
        <w:jc w:val="both"/>
        <w:rPr>
          <w:rFonts w:ascii="Times New Roman" w:hAnsi="Times New Roman"/>
          <w:color w:val="000000" w:themeColor="text1"/>
          <w:szCs w:val="22"/>
        </w:rPr>
      </w:pPr>
      <w:r w:rsidRPr="00650EE4">
        <w:rPr>
          <w:rFonts w:ascii="Times New Roman" w:hAnsi="Times New Roman"/>
          <w:color w:val="000000" w:themeColor="text1"/>
          <w:szCs w:val="22"/>
        </w:rPr>
        <w:t>Toliau pate</w:t>
      </w:r>
      <w:r w:rsidR="00DA3435" w:rsidRPr="00650EE4">
        <w:rPr>
          <w:rFonts w:ascii="Times New Roman" w:hAnsi="Times New Roman"/>
          <w:color w:val="000000" w:themeColor="text1"/>
          <w:szCs w:val="22"/>
        </w:rPr>
        <w:t>i</w:t>
      </w:r>
      <w:r w:rsidRPr="00650EE4">
        <w:rPr>
          <w:rFonts w:ascii="Times New Roman" w:hAnsi="Times New Roman"/>
          <w:color w:val="000000" w:themeColor="text1"/>
          <w:szCs w:val="22"/>
        </w:rPr>
        <w:t>kiam</w:t>
      </w:r>
      <w:r w:rsidR="00FD6560" w:rsidRPr="00650EE4">
        <w:rPr>
          <w:rFonts w:ascii="Times New Roman" w:hAnsi="Times New Roman"/>
          <w:color w:val="000000" w:themeColor="text1"/>
          <w:szCs w:val="22"/>
        </w:rPr>
        <w:t xml:space="preserve">as strateginių tikslų </w:t>
      </w:r>
      <w:r w:rsidR="00B077B8" w:rsidRPr="00650EE4">
        <w:rPr>
          <w:rFonts w:ascii="Times New Roman" w:hAnsi="Times New Roman"/>
          <w:color w:val="000000" w:themeColor="text1"/>
          <w:szCs w:val="22"/>
        </w:rPr>
        <w:t xml:space="preserve">ir siektinų rodiklių reikšmių aprašymas. </w:t>
      </w:r>
    </w:p>
    <w:p w14:paraId="1420C18C" w14:textId="100793F5" w:rsidR="00E13F28" w:rsidRPr="00650EE4" w:rsidRDefault="00E13F28">
      <w:pPr>
        <w:spacing w:after="240"/>
        <w:rPr>
          <w:rFonts w:ascii="Times New Roman" w:eastAsia="Times New Roman" w:hAnsi="Times New Roman"/>
          <w:b/>
          <w:bCs/>
          <w:color w:val="000000" w:themeColor="text1"/>
          <w:kern w:val="32"/>
          <w:szCs w:val="22"/>
        </w:rPr>
      </w:pPr>
    </w:p>
    <w:p w14:paraId="11FB3B51" w14:textId="0A7DB8A1" w:rsidR="00576EDC" w:rsidRPr="00650EE4" w:rsidRDefault="00576EDC" w:rsidP="00FD6560">
      <w:pPr>
        <w:pStyle w:val="Antrastes31"/>
        <w:numPr>
          <w:ilvl w:val="2"/>
          <w:numId w:val="4"/>
        </w:numPr>
        <w:spacing w:before="0"/>
        <w:ind w:left="720" w:hanging="720"/>
        <w:rPr>
          <w:rFonts w:ascii="Times New Roman" w:hAnsi="Times New Roman"/>
          <w:color w:val="000000" w:themeColor="text1"/>
          <w:sz w:val="24"/>
          <w:szCs w:val="24"/>
          <w:lang w:val="lt-LT"/>
        </w:rPr>
      </w:pPr>
      <w:bookmarkStart w:id="159" w:name="_Toc59107559"/>
      <w:r w:rsidRPr="00650EE4">
        <w:rPr>
          <w:rFonts w:ascii="Times New Roman" w:hAnsi="Times New Roman"/>
          <w:color w:val="000000" w:themeColor="text1"/>
          <w:sz w:val="24"/>
          <w:szCs w:val="24"/>
          <w:lang w:val="lt-LT"/>
        </w:rPr>
        <w:t>Pirminės energijos vartojimo sumažinimas</w:t>
      </w:r>
      <w:bookmarkEnd w:id="159"/>
    </w:p>
    <w:p w14:paraId="3EF39388" w14:textId="7CB262A3" w:rsidR="009A116B" w:rsidRPr="00650EE4" w:rsidRDefault="00BC31B2"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PEND </w:t>
      </w:r>
      <w:r w:rsidR="000466CB" w:rsidRPr="00650EE4">
        <w:rPr>
          <w:rFonts w:ascii="Times New Roman" w:hAnsi="Times New Roman"/>
          <w:color w:val="000000" w:themeColor="text1"/>
          <w:szCs w:val="22"/>
        </w:rPr>
        <w:t>2a straipsnio 2 dalis</w:t>
      </w:r>
      <w:r w:rsidR="009A116B" w:rsidRPr="00650EE4">
        <w:rPr>
          <w:rFonts w:ascii="Times New Roman" w:hAnsi="Times New Roman"/>
          <w:color w:val="000000" w:themeColor="text1"/>
          <w:szCs w:val="22"/>
        </w:rPr>
        <w:t xml:space="preserve"> </w:t>
      </w:r>
      <w:r w:rsidR="000466CB" w:rsidRPr="00650EE4">
        <w:rPr>
          <w:rFonts w:ascii="Times New Roman" w:hAnsi="Times New Roman"/>
          <w:color w:val="000000" w:themeColor="text1"/>
          <w:szCs w:val="22"/>
        </w:rPr>
        <w:t>įpareigoja</w:t>
      </w:r>
      <w:r w:rsidRPr="00650EE4">
        <w:rPr>
          <w:rFonts w:ascii="Times New Roman" w:hAnsi="Times New Roman"/>
          <w:color w:val="000000" w:themeColor="text1"/>
          <w:szCs w:val="22"/>
        </w:rPr>
        <w:t xml:space="preserve"> </w:t>
      </w:r>
      <w:r w:rsidR="00AB564C" w:rsidRPr="00650EE4">
        <w:rPr>
          <w:rFonts w:ascii="Times New Roman" w:hAnsi="Times New Roman"/>
          <w:color w:val="000000" w:themeColor="text1"/>
          <w:szCs w:val="22"/>
        </w:rPr>
        <w:t>vals</w:t>
      </w:r>
      <w:r w:rsidR="000466CB" w:rsidRPr="00650EE4">
        <w:rPr>
          <w:rFonts w:ascii="Times New Roman" w:hAnsi="Times New Roman"/>
          <w:color w:val="000000" w:themeColor="text1"/>
          <w:szCs w:val="22"/>
        </w:rPr>
        <w:t>tybes nares</w:t>
      </w:r>
      <w:r w:rsidR="009A116B"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užtikrinti, kad </w:t>
      </w:r>
      <w:r w:rsidR="009A116B" w:rsidRPr="00650EE4">
        <w:rPr>
          <w:rFonts w:ascii="Times New Roman" w:hAnsi="Times New Roman"/>
          <w:color w:val="000000" w:themeColor="text1"/>
          <w:szCs w:val="22"/>
        </w:rPr>
        <w:t xml:space="preserve">iki 2050 m. </w:t>
      </w:r>
      <w:r w:rsidRPr="00650EE4">
        <w:rPr>
          <w:rFonts w:ascii="Times New Roman" w:hAnsi="Times New Roman"/>
          <w:color w:val="000000" w:themeColor="text1"/>
          <w:szCs w:val="22"/>
        </w:rPr>
        <w:t>nacionaliniame pastatų ūkyje energija būtų vartojama ypač efektyviai, siekiant sudaryti palankesnes sąlygas ekonomiškai efektyviam esamų pastatų pertvarkymui į beveik nulinės energijos pasta</w:t>
      </w:r>
      <w:r w:rsidR="009A116B" w:rsidRPr="00650EE4">
        <w:rPr>
          <w:rFonts w:ascii="Times New Roman" w:hAnsi="Times New Roman"/>
          <w:color w:val="000000" w:themeColor="text1"/>
          <w:szCs w:val="22"/>
        </w:rPr>
        <w:t>tus.</w:t>
      </w:r>
    </w:p>
    <w:p w14:paraId="627F02D8" w14:textId="77777777" w:rsidR="005F258E" w:rsidRPr="00650EE4" w:rsidRDefault="005F258E" w:rsidP="005F258E">
      <w:pPr>
        <w:jc w:val="both"/>
        <w:rPr>
          <w:rFonts w:ascii="Times New Roman" w:hAnsi="Times New Roman"/>
          <w:color w:val="000000" w:themeColor="text1"/>
          <w:szCs w:val="22"/>
        </w:rPr>
      </w:pPr>
    </w:p>
    <w:p w14:paraId="29A81EC4" w14:textId="2E1D659D" w:rsidR="00DE517B" w:rsidRPr="00650EE4" w:rsidRDefault="00DE517B"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Pastatų fondo pirminės energijos vartojimo analizės rezultatai </w:t>
      </w:r>
      <w:r w:rsidR="00E814BE" w:rsidRPr="00650EE4">
        <w:rPr>
          <w:rFonts w:ascii="Times New Roman" w:hAnsi="Times New Roman"/>
          <w:color w:val="000000" w:themeColor="text1"/>
          <w:szCs w:val="22"/>
        </w:rPr>
        <w:t>atskleidžia</w:t>
      </w:r>
      <w:r w:rsidRPr="00650EE4">
        <w:rPr>
          <w:rFonts w:ascii="Times New Roman" w:hAnsi="Times New Roman"/>
          <w:color w:val="000000" w:themeColor="text1"/>
          <w:szCs w:val="22"/>
        </w:rPr>
        <w:t xml:space="preserve">, kad 90 proc. </w:t>
      </w:r>
      <w:r w:rsidR="004D5605">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pirminės energijos vartoja C ir žemesnio energinio naudingumo klasės pastatai (žr. </w:t>
      </w:r>
      <w:r w:rsidR="004D5605">
        <w:rPr>
          <w:rFonts w:ascii="Times New Roman" w:hAnsi="Times New Roman"/>
          <w:color w:val="000000" w:themeColor="text1"/>
          <w:szCs w:val="22"/>
          <w:lang w:val="en-GB"/>
        </w:rPr>
        <w:t>1</w:t>
      </w:r>
      <w:r w:rsidRPr="00650EE4">
        <w:rPr>
          <w:rFonts w:ascii="Times New Roman" w:hAnsi="Times New Roman"/>
          <w:color w:val="000000" w:themeColor="text1"/>
          <w:szCs w:val="22"/>
        </w:rPr>
        <w:t>.2.5 skyrių).</w:t>
      </w:r>
    </w:p>
    <w:p w14:paraId="4D1EE34C" w14:textId="77777777" w:rsidR="005F258E" w:rsidRPr="00650EE4" w:rsidRDefault="005F258E" w:rsidP="005F258E">
      <w:pPr>
        <w:jc w:val="both"/>
        <w:rPr>
          <w:rFonts w:ascii="Times New Roman" w:hAnsi="Times New Roman"/>
          <w:color w:val="000000" w:themeColor="text1"/>
          <w:szCs w:val="22"/>
        </w:rPr>
      </w:pPr>
    </w:p>
    <w:p w14:paraId="3780D3D9" w14:textId="35B6B460" w:rsidR="009A116B" w:rsidRPr="00650EE4" w:rsidRDefault="00DF2474"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E</w:t>
      </w:r>
      <w:r w:rsidR="00C84BB4" w:rsidRPr="00650EE4">
        <w:rPr>
          <w:rFonts w:ascii="Times New Roman" w:hAnsi="Times New Roman"/>
          <w:color w:val="000000" w:themeColor="text1"/>
          <w:szCs w:val="22"/>
        </w:rPr>
        <w:t xml:space="preserve">konomiškai efektyviausių renovacijos būdų </w:t>
      </w:r>
      <w:r w:rsidRPr="00650EE4">
        <w:rPr>
          <w:rFonts w:ascii="Times New Roman" w:hAnsi="Times New Roman"/>
          <w:color w:val="000000" w:themeColor="text1"/>
          <w:szCs w:val="22"/>
        </w:rPr>
        <w:t>vertinimo rezultatai</w:t>
      </w:r>
      <w:r w:rsidR="009A116B" w:rsidRPr="00650EE4">
        <w:rPr>
          <w:rFonts w:ascii="Times New Roman" w:hAnsi="Times New Roman"/>
          <w:color w:val="000000" w:themeColor="text1"/>
          <w:szCs w:val="22"/>
        </w:rPr>
        <w:t xml:space="preserve"> </w:t>
      </w:r>
      <w:r w:rsidR="00C84BB4" w:rsidRPr="00650EE4">
        <w:rPr>
          <w:rFonts w:ascii="Times New Roman" w:hAnsi="Times New Roman"/>
          <w:color w:val="000000" w:themeColor="text1"/>
          <w:szCs w:val="22"/>
        </w:rPr>
        <w:t xml:space="preserve">atskleidžia, kad maksimali ekonominė nauda </w:t>
      </w:r>
      <w:r w:rsidR="004D5605">
        <w:rPr>
          <w:rFonts w:ascii="Times New Roman" w:hAnsi="Times New Roman"/>
          <w:color w:val="000000" w:themeColor="text1"/>
          <w:szCs w:val="22"/>
        </w:rPr>
        <w:t>p</w:t>
      </w:r>
      <w:r w:rsidR="00C84BB4" w:rsidRPr="00650EE4">
        <w:rPr>
          <w:rFonts w:ascii="Times New Roman" w:hAnsi="Times New Roman"/>
          <w:color w:val="000000" w:themeColor="text1"/>
          <w:szCs w:val="22"/>
        </w:rPr>
        <w:t xml:space="preserve">astatų fondo lygmeniu būtų pasiekta </w:t>
      </w:r>
      <w:r w:rsidR="008E0191" w:rsidRPr="00650EE4">
        <w:rPr>
          <w:rFonts w:ascii="Times New Roman" w:hAnsi="Times New Roman"/>
          <w:color w:val="000000" w:themeColor="text1"/>
          <w:szCs w:val="22"/>
        </w:rPr>
        <w:t xml:space="preserve">įgyvendinus renovacijos priemones, kurios </w:t>
      </w:r>
      <w:r w:rsidRPr="00650EE4">
        <w:rPr>
          <w:rFonts w:ascii="Times New Roman" w:hAnsi="Times New Roman"/>
          <w:color w:val="000000" w:themeColor="text1"/>
          <w:szCs w:val="22"/>
        </w:rPr>
        <w:t>C ir žemesnės energinio naudingumo klasės</w:t>
      </w:r>
      <w:r w:rsidR="00212381"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pastatus </w:t>
      </w:r>
      <w:r w:rsidR="0047236E" w:rsidRPr="00650EE4">
        <w:rPr>
          <w:rFonts w:ascii="Times New Roman" w:hAnsi="Times New Roman"/>
          <w:color w:val="000000" w:themeColor="text1"/>
          <w:szCs w:val="22"/>
        </w:rPr>
        <w:t>transformuotų į A (prioritetas) arba B</w:t>
      </w:r>
      <w:r w:rsidR="007B66F6" w:rsidRPr="00650EE4">
        <w:rPr>
          <w:rFonts w:ascii="Times New Roman" w:hAnsi="Times New Roman"/>
          <w:color w:val="000000" w:themeColor="text1"/>
          <w:szCs w:val="22"/>
        </w:rPr>
        <w:t xml:space="preserve"> energinio naudingumo klasę, prioritetą teikiant </w:t>
      </w:r>
      <w:r w:rsidR="001E1247" w:rsidRPr="00650EE4">
        <w:rPr>
          <w:rFonts w:ascii="Times New Roman" w:hAnsi="Times New Roman"/>
          <w:color w:val="000000" w:themeColor="text1"/>
          <w:szCs w:val="22"/>
        </w:rPr>
        <w:t>neefektyviausių (</w:t>
      </w:r>
      <w:r w:rsidRPr="00650EE4">
        <w:rPr>
          <w:rFonts w:ascii="Times New Roman" w:hAnsi="Times New Roman"/>
          <w:color w:val="000000" w:themeColor="text1"/>
          <w:szCs w:val="22"/>
        </w:rPr>
        <w:t>D ir žemesnio energinio naudingumo klasės</w:t>
      </w:r>
      <w:r w:rsidR="001E1247"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pastatams</w:t>
      </w:r>
      <w:r w:rsidR="00002C2C"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vartojantiems </w:t>
      </w:r>
      <w:r w:rsidR="007732EC" w:rsidRPr="007732EC">
        <w:rPr>
          <w:rFonts w:ascii="Times New Roman" w:hAnsi="Times New Roman"/>
          <w:color w:val="000000" w:themeColor="text1"/>
          <w:szCs w:val="22"/>
        </w:rPr>
        <w:t>78</w:t>
      </w:r>
      <w:r w:rsidRPr="007732EC">
        <w:rPr>
          <w:rFonts w:ascii="Times New Roman" w:hAnsi="Times New Roman"/>
          <w:color w:val="000000" w:themeColor="text1"/>
          <w:szCs w:val="22"/>
        </w:rPr>
        <w:t xml:space="preserve"> proc.</w:t>
      </w:r>
      <w:r w:rsidRPr="00650EE4">
        <w:rPr>
          <w:rFonts w:ascii="Times New Roman" w:hAnsi="Times New Roman"/>
          <w:color w:val="000000" w:themeColor="text1"/>
          <w:szCs w:val="22"/>
        </w:rPr>
        <w:t xml:space="preserve"> </w:t>
      </w:r>
      <w:r w:rsidR="004D5605">
        <w:rPr>
          <w:rFonts w:ascii="Times New Roman" w:hAnsi="Times New Roman"/>
          <w:color w:val="000000" w:themeColor="text1"/>
          <w:szCs w:val="22"/>
        </w:rPr>
        <w:t>p</w:t>
      </w:r>
      <w:r w:rsidRPr="00650EE4">
        <w:rPr>
          <w:rFonts w:ascii="Times New Roman" w:hAnsi="Times New Roman"/>
          <w:color w:val="000000" w:themeColor="text1"/>
          <w:szCs w:val="22"/>
        </w:rPr>
        <w:t xml:space="preserve">astatų fondo pirminės energijos (žr. </w:t>
      </w:r>
      <w:r w:rsidR="004D5605">
        <w:rPr>
          <w:rFonts w:ascii="Times New Roman" w:hAnsi="Times New Roman"/>
          <w:color w:val="000000" w:themeColor="text1"/>
          <w:szCs w:val="22"/>
        </w:rPr>
        <w:t>2</w:t>
      </w:r>
      <w:r w:rsidRPr="00650EE4">
        <w:rPr>
          <w:rFonts w:ascii="Times New Roman" w:hAnsi="Times New Roman"/>
          <w:color w:val="000000" w:themeColor="text1"/>
          <w:szCs w:val="22"/>
        </w:rPr>
        <w:t xml:space="preserve"> skyrių). </w:t>
      </w:r>
    </w:p>
    <w:p w14:paraId="432AB8F3" w14:textId="77777777" w:rsidR="005F258E" w:rsidRPr="00650EE4" w:rsidRDefault="005F258E" w:rsidP="005F258E">
      <w:pPr>
        <w:jc w:val="both"/>
        <w:rPr>
          <w:rFonts w:ascii="Times New Roman" w:hAnsi="Times New Roman"/>
          <w:color w:val="000000" w:themeColor="text1"/>
          <w:szCs w:val="22"/>
        </w:rPr>
      </w:pPr>
    </w:p>
    <w:p w14:paraId="390F464A" w14:textId="5E78A97D" w:rsidR="003D72AB" w:rsidRPr="00650EE4" w:rsidRDefault="008247AF" w:rsidP="005F258E">
      <w:pPr>
        <w:jc w:val="both"/>
        <w:rPr>
          <w:rFonts w:ascii="Times New Roman" w:hAnsi="Times New Roman"/>
          <w:color w:val="000000" w:themeColor="text1"/>
          <w:szCs w:val="22"/>
        </w:rPr>
      </w:pPr>
      <w:r w:rsidRPr="00650EE4">
        <w:rPr>
          <w:rFonts w:ascii="Times New Roman" w:hAnsi="Times New Roman"/>
          <w:color w:val="000000" w:themeColor="text1"/>
          <w:szCs w:val="22"/>
        </w:rPr>
        <w:t>Strateginis tikslas</w:t>
      </w:r>
      <w:r w:rsidR="000466CB" w:rsidRPr="00650EE4">
        <w:rPr>
          <w:rFonts w:ascii="Times New Roman" w:hAnsi="Times New Roman"/>
          <w:color w:val="000000" w:themeColor="text1"/>
          <w:szCs w:val="22"/>
        </w:rPr>
        <w:t xml:space="preserve"> iki 2050 m. sumažinti </w:t>
      </w:r>
      <w:r w:rsidR="004D5605">
        <w:rPr>
          <w:rFonts w:ascii="Times New Roman" w:hAnsi="Times New Roman"/>
          <w:color w:val="000000" w:themeColor="text1"/>
          <w:szCs w:val="22"/>
        </w:rPr>
        <w:t>p</w:t>
      </w:r>
      <w:r w:rsidR="000466CB" w:rsidRPr="00650EE4">
        <w:rPr>
          <w:rFonts w:ascii="Times New Roman" w:hAnsi="Times New Roman"/>
          <w:color w:val="000000" w:themeColor="text1"/>
          <w:szCs w:val="22"/>
        </w:rPr>
        <w:t>astatų fondo pir</w:t>
      </w:r>
      <w:r w:rsidR="00E85EC2">
        <w:rPr>
          <w:rFonts w:ascii="Times New Roman" w:hAnsi="Times New Roman"/>
          <w:color w:val="000000" w:themeColor="text1"/>
          <w:szCs w:val="22"/>
        </w:rPr>
        <w:t>minės en</w:t>
      </w:r>
      <w:r w:rsidR="006E4F73">
        <w:rPr>
          <w:rFonts w:ascii="Times New Roman" w:hAnsi="Times New Roman"/>
          <w:color w:val="000000" w:themeColor="text1"/>
          <w:szCs w:val="22"/>
        </w:rPr>
        <w:t>ergijos vartojimą iki 1</w:t>
      </w:r>
      <w:r w:rsidR="006E4F73">
        <w:rPr>
          <w:rFonts w:ascii="Times New Roman" w:hAnsi="Times New Roman"/>
          <w:color w:val="000000" w:themeColor="text1"/>
          <w:szCs w:val="22"/>
          <w:lang w:val="en-GB"/>
        </w:rPr>
        <w:t>6</w:t>
      </w:r>
      <w:r w:rsidR="006E4F73">
        <w:rPr>
          <w:rFonts w:ascii="Times New Roman" w:hAnsi="Times New Roman"/>
          <w:color w:val="000000" w:themeColor="text1"/>
          <w:szCs w:val="22"/>
        </w:rPr>
        <w:t xml:space="preserve">,2 </w:t>
      </w:r>
      <w:proofErr w:type="spellStart"/>
      <w:r w:rsidR="006E4F73">
        <w:rPr>
          <w:rFonts w:ascii="Times New Roman" w:hAnsi="Times New Roman"/>
          <w:color w:val="000000" w:themeColor="text1"/>
          <w:szCs w:val="22"/>
        </w:rPr>
        <w:t>TWh</w:t>
      </w:r>
      <w:proofErr w:type="spellEnd"/>
      <w:r w:rsidR="006E4F73">
        <w:rPr>
          <w:rFonts w:ascii="Times New Roman" w:hAnsi="Times New Roman"/>
          <w:color w:val="000000" w:themeColor="text1"/>
          <w:szCs w:val="22"/>
        </w:rPr>
        <w:t xml:space="preserve"> (6</w:t>
      </w:r>
      <w:r w:rsidR="000466CB" w:rsidRPr="00650EE4">
        <w:rPr>
          <w:rFonts w:ascii="Times New Roman" w:hAnsi="Times New Roman"/>
          <w:color w:val="000000" w:themeColor="text1"/>
          <w:szCs w:val="22"/>
        </w:rPr>
        <w:t xml:space="preserve">0 proc. lyginant su skaičiuotinu 2020 m. vartojimu) </w:t>
      </w:r>
      <w:r w:rsidRPr="00650EE4">
        <w:rPr>
          <w:rFonts w:ascii="Times New Roman" w:hAnsi="Times New Roman"/>
          <w:color w:val="000000" w:themeColor="text1"/>
          <w:szCs w:val="22"/>
        </w:rPr>
        <w:t xml:space="preserve">suformuotas įvertinant ir prognozuojant </w:t>
      </w:r>
      <w:r w:rsidR="00874EAF">
        <w:rPr>
          <w:rFonts w:ascii="Times New Roman" w:hAnsi="Times New Roman"/>
          <w:color w:val="000000" w:themeColor="text1"/>
          <w:szCs w:val="22"/>
        </w:rPr>
        <w:t>p</w:t>
      </w:r>
      <w:r w:rsidRPr="00650EE4">
        <w:rPr>
          <w:rFonts w:ascii="Times New Roman" w:hAnsi="Times New Roman"/>
          <w:color w:val="000000" w:themeColor="text1"/>
          <w:szCs w:val="22"/>
        </w:rPr>
        <w:t>astatų fondo pokyčius tiek dėl IRS numatytų transformacijos priemonių</w:t>
      </w:r>
      <w:r w:rsidR="002909D4"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tiek dėl </w:t>
      </w:r>
      <w:r w:rsidR="002909D4" w:rsidRPr="00650EE4">
        <w:rPr>
          <w:rFonts w:ascii="Times New Roman" w:hAnsi="Times New Roman"/>
          <w:color w:val="000000" w:themeColor="text1"/>
          <w:szCs w:val="22"/>
        </w:rPr>
        <w:t>susijus</w:t>
      </w:r>
      <w:r w:rsidR="00995560" w:rsidRPr="00650EE4">
        <w:rPr>
          <w:rFonts w:ascii="Times New Roman" w:hAnsi="Times New Roman"/>
          <w:color w:val="000000" w:themeColor="text1"/>
          <w:szCs w:val="22"/>
        </w:rPr>
        <w:t xml:space="preserve">ių </w:t>
      </w:r>
      <w:r w:rsidRPr="00650EE4">
        <w:rPr>
          <w:rFonts w:ascii="Times New Roman" w:hAnsi="Times New Roman"/>
          <w:color w:val="000000" w:themeColor="text1"/>
          <w:szCs w:val="22"/>
        </w:rPr>
        <w:t xml:space="preserve">struktūrinių pokyčių </w:t>
      </w:r>
      <w:r w:rsidR="00995560" w:rsidRPr="00650EE4">
        <w:rPr>
          <w:rFonts w:ascii="Times New Roman" w:hAnsi="Times New Roman"/>
          <w:color w:val="000000" w:themeColor="text1"/>
          <w:szCs w:val="22"/>
        </w:rPr>
        <w:t>pvz.</w:t>
      </w:r>
      <w:r w:rsidR="00A50086" w:rsidRPr="00650EE4">
        <w:rPr>
          <w:rFonts w:ascii="Times New Roman" w:hAnsi="Times New Roman"/>
          <w:color w:val="000000" w:themeColor="text1"/>
          <w:szCs w:val="22"/>
        </w:rPr>
        <w:t>,</w:t>
      </w:r>
      <w:r w:rsidR="00995560" w:rsidRPr="00650EE4">
        <w:rPr>
          <w:rFonts w:ascii="Times New Roman" w:hAnsi="Times New Roman"/>
          <w:color w:val="000000" w:themeColor="text1"/>
          <w:szCs w:val="22"/>
        </w:rPr>
        <w:t xml:space="preserve"> klimato kaitos, demografinių tendencijų (žr. paveikslą žemiau). </w:t>
      </w:r>
    </w:p>
    <w:p w14:paraId="33A4A405" w14:textId="77777777" w:rsidR="003D72AB" w:rsidRPr="00650EE4" w:rsidRDefault="003D72AB">
      <w:pPr>
        <w:spacing w:after="240"/>
        <w:rPr>
          <w:rFonts w:ascii="Times New Roman" w:hAnsi="Times New Roman"/>
          <w:color w:val="000000" w:themeColor="text1"/>
          <w:szCs w:val="22"/>
        </w:rPr>
      </w:pPr>
      <w:r w:rsidRPr="00650EE4">
        <w:rPr>
          <w:rFonts w:ascii="Times New Roman" w:hAnsi="Times New Roman"/>
          <w:color w:val="000000" w:themeColor="text1"/>
          <w:szCs w:val="22"/>
        </w:rPr>
        <w:br w:type="page"/>
      </w:r>
    </w:p>
    <w:p w14:paraId="0E89019B" w14:textId="37A969EF" w:rsidR="00B60BD4" w:rsidRPr="00650EE4" w:rsidRDefault="00C4385D"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60" w:name="_Toc59094270"/>
      <w:r w:rsidR="00F25C65">
        <w:t>21</w:t>
      </w:r>
      <w:r w:rsidRPr="00650EE4">
        <w:rPr>
          <w:noProof w:val="0"/>
        </w:rPr>
        <w:fldChar w:fldCharType="end"/>
      </w:r>
      <w:r w:rsidRPr="00650EE4">
        <w:rPr>
          <w:noProof w:val="0"/>
        </w:rPr>
        <w:t xml:space="preserve"> paveikslas</w:t>
      </w:r>
      <w:r w:rsidR="00B60BD4" w:rsidRPr="00650EE4">
        <w:rPr>
          <w:noProof w:val="0"/>
        </w:rPr>
        <w:t>. Pastatų fondo transformacijos komponentai</w:t>
      </w:r>
      <w:r w:rsidR="00650597" w:rsidRPr="00650EE4">
        <w:rPr>
          <w:noProof w:val="0"/>
        </w:rPr>
        <w:t xml:space="preserve"> (pirminė</w:t>
      </w:r>
      <w:r w:rsidR="00F904F1" w:rsidRPr="00650EE4">
        <w:rPr>
          <w:noProof w:val="0"/>
        </w:rPr>
        <w:t>s</w:t>
      </w:r>
      <w:r w:rsidR="00650597" w:rsidRPr="00650EE4">
        <w:rPr>
          <w:noProof w:val="0"/>
        </w:rPr>
        <w:t xml:space="preserve"> energij</w:t>
      </w:r>
      <w:r w:rsidR="00F904F1" w:rsidRPr="00650EE4">
        <w:rPr>
          <w:noProof w:val="0"/>
        </w:rPr>
        <w:t xml:space="preserve">os </w:t>
      </w:r>
      <w:r w:rsidR="003C27FC" w:rsidRPr="00650EE4">
        <w:rPr>
          <w:noProof w:val="0"/>
        </w:rPr>
        <w:t>sumažinimas</w:t>
      </w:r>
      <w:r w:rsidR="00650597" w:rsidRPr="00650EE4">
        <w:rPr>
          <w:noProof w:val="0"/>
        </w:rPr>
        <w:t>)</w:t>
      </w:r>
      <w:bookmarkEnd w:id="160"/>
    </w:p>
    <w:p w14:paraId="01F7EF58" w14:textId="17E20047" w:rsidR="006E4F73" w:rsidRDefault="006E4F73" w:rsidP="00874EAF">
      <w:pPr>
        <w:pStyle w:val="BodySingle"/>
        <w:rPr>
          <w:noProof/>
          <w:shd w:val="clear" w:color="auto" w:fill="0070C0"/>
          <w:lang w:val="lt-LT" w:eastAsia="lt-LT"/>
        </w:rPr>
      </w:pPr>
      <w:r>
        <w:rPr>
          <w:noProof/>
          <w:lang w:val="lt-LT" w:eastAsia="lt-LT"/>
        </w:rPr>
        <w:drawing>
          <wp:inline distT="0" distB="0" distL="0" distR="0" wp14:anchorId="543170BE" wp14:editId="07BF17C5">
            <wp:extent cx="6412865" cy="3123210"/>
            <wp:effectExtent l="0" t="0" r="6985" b="1270"/>
            <wp:docPr id="62" name="Chart 62">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3CB425-9D2E-43D0-A028-E762BEA708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422673A" w14:textId="560B1380" w:rsidR="00C4385D" w:rsidRPr="00874EAF" w:rsidRDefault="00C4385D" w:rsidP="00874EAF">
      <w:pPr>
        <w:pStyle w:val="BodySingle"/>
        <w:rPr>
          <w:rFonts w:ascii="Times New Roman" w:hAnsi="Times New Roman"/>
          <w:color w:val="000000" w:themeColor="text1"/>
          <w:szCs w:val="22"/>
          <w:lang w:val="lt-LT"/>
        </w:rPr>
      </w:pPr>
      <w:proofErr w:type="spellStart"/>
      <w:r w:rsidRPr="00650EE4">
        <w:rPr>
          <w:rFonts w:ascii="Times New Roman" w:hAnsi="Times New Roman"/>
          <w:i/>
          <w:iCs/>
          <w:color w:val="auto"/>
          <w:sz w:val="20"/>
          <w:szCs w:val="20"/>
        </w:rPr>
        <w:t>Šaltinis</w:t>
      </w:r>
      <w:proofErr w:type="spellEnd"/>
      <w:r w:rsidRPr="00650EE4">
        <w:rPr>
          <w:rFonts w:ascii="Times New Roman" w:hAnsi="Times New Roman"/>
          <w:i/>
          <w:iCs/>
          <w:color w:val="auto"/>
          <w:sz w:val="20"/>
          <w:szCs w:val="20"/>
        </w:rPr>
        <w:t xml:space="preserve">: </w:t>
      </w:r>
      <w:proofErr w:type="spellStart"/>
      <w:r w:rsidRPr="00650EE4">
        <w:rPr>
          <w:rFonts w:ascii="Times New Roman" w:hAnsi="Times New Roman"/>
          <w:i/>
          <w:iCs/>
          <w:color w:val="auto"/>
          <w:sz w:val="20"/>
          <w:szCs w:val="20"/>
        </w:rPr>
        <w:t>Studijos</w:t>
      </w:r>
      <w:proofErr w:type="spellEnd"/>
      <w:r w:rsidRPr="00650EE4">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Lietuvos</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ilgalaikei</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renovacijos</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strategijai</w:t>
      </w:r>
      <w:proofErr w:type="spellEnd"/>
      <w:r w:rsidR="00874EAF" w:rsidRPr="00874EAF">
        <w:rPr>
          <w:rFonts w:ascii="Times New Roman" w:hAnsi="Times New Roman"/>
          <w:i/>
          <w:iCs/>
          <w:color w:val="auto"/>
          <w:sz w:val="20"/>
          <w:szCs w:val="20"/>
        </w:rPr>
        <w:t xml:space="preserve"> </w:t>
      </w:r>
      <w:proofErr w:type="spellStart"/>
      <w:r w:rsidR="00874EAF" w:rsidRPr="00874EAF">
        <w:rPr>
          <w:rFonts w:ascii="Times New Roman" w:hAnsi="Times New Roman"/>
          <w:i/>
          <w:iCs/>
          <w:color w:val="auto"/>
          <w:sz w:val="20"/>
          <w:szCs w:val="20"/>
        </w:rPr>
        <w:t>parengti</w:t>
      </w:r>
      <w:proofErr w:type="spellEnd"/>
      <w:r w:rsidR="00874EAF" w:rsidRPr="00874EAF">
        <w:rPr>
          <w:rFonts w:ascii="Times New Roman" w:hAnsi="Times New Roman"/>
          <w:i/>
          <w:iCs/>
          <w:color w:val="auto"/>
          <w:sz w:val="20"/>
          <w:szCs w:val="20"/>
        </w:rPr>
        <w:t xml:space="preserve"> </w:t>
      </w:r>
      <w:proofErr w:type="spellStart"/>
      <w:r w:rsidRPr="00650EE4">
        <w:rPr>
          <w:rFonts w:ascii="Times New Roman" w:hAnsi="Times New Roman"/>
          <w:i/>
          <w:iCs/>
          <w:color w:val="auto"/>
          <w:sz w:val="20"/>
          <w:szCs w:val="20"/>
        </w:rPr>
        <w:t>autoriai</w:t>
      </w:r>
      <w:proofErr w:type="spellEnd"/>
    </w:p>
    <w:p w14:paraId="44654A29" w14:textId="77777777" w:rsidR="008247AF" w:rsidRPr="00650EE4" w:rsidRDefault="008247AF" w:rsidP="00A50086">
      <w:pPr>
        <w:jc w:val="both"/>
        <w:rPr>
          <w:rFonts w:ascii="Times New Roman" w:hAnsi="Times New Roman"/>
          <w:color w:val="000000" w:themeColor="text1"/>
          <w:szCs w:val="22"/>
        </w:rPr>
      </w:pPr>
    </w:p>
    <w:p w14:paraId="776E2B97" w14:textId="697AD2A4" w:rsidR="00326F50" w:rsidRPr="007A4F1F" w:rsidRDefault="002909D4" w:rsidP="006201C1">
      <w:pPr>
        <w:spacing w:after="120"/>
        <w:jc w:val="both"/>
        <w:rPr>
          <w:rFonts w:ascii="Times New Roman" w:hAnsi="Times New Roman"/>
          <w:color w:val="auto"/>
          <w:szCs w:val="22"/>
        </w:rPr>
      </w:pPr>
      <w:r w:rsidRPr="007A4F1F">
        <w:rPr>
          <w:rFonts w:ascii="Times New Roman" w:hAnsi="Times New Roman"/>
          <w:color w:val="auto"/>
          <w:szCs w:val="22"/>
        </w:rPr>
        <w:t>Strateginis</w:t>
      </w:r>
      <w:r w:rsidR="007A52B6" w:rsidRPr="007A4F1F">
        <w:rPr>
          <w:rFonts w:ascii="Times New Roman" w:hAnsi="Times New Roman"/>
          <w:color w:val="auto"/>
          <w:szCs w:val="22"/>
        </w:rPr>
        <w:t xml:space="preserve"> tikslas iki 2050 m. sumažinti p</w:t>
      </w:r>
      <w:r w:rsidRPr="007A4F1F">
        <w:rPr>
          <w:rFonts w:ascii="Times New Roman" w:hAnsi="Times New Roman"/>
          <w:color w:val="auto"/>
          <w:szCs w:val="22"/>
        </w:rPr>
        <w:t>astatų fondo pirminės energijos vartojimą iki 1</w:t>
      </w:r>
      <w:r w:rsidR="006E4F73">
        <w:rPr>
          <w:rFonts w:ascii="Times New Roman" w:hAnsi="Times New Roman"/>
          <w:color w:val="auto"/>
          <w:szCs w:val="22"/>
        </w:rPr>
        <w:t>6</w:t>
      </w:r>
      <w:r w:rsidR="00E80EEC" w:rsidRPr="007A4F1F">
        <w:rPr>
          <w:rFonts w:ascii="Times New Roman" w:hAnsi="Times New Roman"/>
          <w:color w:val="auto"/>
          <w:szCs w:val="22"/>
        </w:rPr>
        <w:t>,</w:t>
      </w:r>
      <w:r w:rsidR="006E4F73">
        <w:rPr>
          <w:rFonts w:ascii="Times New Roman" w:hAnsi="Times New Roman"/>
          <w:color w:val="auto"/>
          <w:szCs w:val="22"/>
        </w:rPr>
        <w:t>2</w:t>
      </w:r>
      <w:r w:rsidRPr="007A4F1F">
        <w:rPr>
          <w:rFonts w:ascii="Times New Roman" w:hAnsi="Times New Roman"/>
          <w:color w:val="auto"/>
          <w:szCs w:val="22"/>
        </w:rPr>
        <w:t xml:space="preserve"> </w:t>
      </w:r>
      <w:proofErr w:type="spellStart"/>
      <w:r w:rsidRPr="007A4F1F">
        <w:rPr>
          <w:rFonts w:ascii="Times New Roman" w:hAnsi="Times New Roman"/>
          <w:color w:val="auto"/>
          <w:szCs w:val="22"/>
        </w:rPr>
        <w:t>TWh</w:t>
      </w:r>
      <w:proofErr w:type="spellEnd"/>
      <w:r w:rsidRPr="007A4F1F">
        <w:rPr>
          <w:rFonts w:ascii="Times New Roman" w:hAnsi="Times New Roman"/>
          <w:color w:val="auto"/>
          <w:szCs w:val="22"/>
        </w:rPr>
        <w:t xml:space="preserve"> </w:t>
      </w:r>
      <w:r w:rsidR="00C264E6" w:rsidRPr="007A4F1F">
        <w:rPr>
          <w:rFonts w:ascii="Times New Roman" w:hAnsi="Times New Roman"/>
          <w:color w:val="auto"/>
          <w:szCs w:val="22"/>
        </w:rPr>
        <w:t>(</w:t>
      </w:r>
      <w:r w:rsidR="006E4F73">
        <w:rPr>
          <w:rFonts w:ascii="Times New Roman" w:hAnsi="Times New Roman"/>
          <w:color w:val="auto"/>
          <w:szCs w:val="22"/>
        </w:rPr>
        <w:t>6</w:t>
      </w:r>
      <w:r w:rsidR="00C264E6" w:rsidRPr="007A4F1F">
        <w:rPr>
          <w:rFonts w:ascii="Times New Roman" w:hAnsi="Times New Roman"/>
          <w:color w:val="auto"/>
          <w:szCs w:val="22"/>
        </w:rPr>
        <w:t xml:space="preserve">0 proc. lyginant su skaičiuotinu 2020 m. vartojimu) </w:t>
      </w:r>
      <w:r w:rsidRPr="007A4F1F">
        <w:rPr>
          <w:rFonts w:ascii="Times New Roman" w:hAnsi="Times New Roman"/>
          <w:color w:val="auto"/>
          <w:szCs w:val="22"/>
        </w:rPr>
        <w:t>suformuotas prognozuojant</w:t>
      </w:r>
      <w:r w:rsidR="006201C1" w:rsidRPr="007A4F1F">
        <w:rPr>
          <w:rFonts w:ascii="Times New Roman" w:hAnsi="Times New Roman"/>
          <w:color w:val="auto"/>
          <w:szCs w:val="22"/>
        </w:rPr>
        <w:t>, kad:</w:t>
      </w:r>
    </w:p>
    <w:p w14:paraId="3ACC7A59" w14:textId="42DCEEC5" w:rsidR="00F30F1D"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F30F1D" w:rsidRPr="00650EE4">
        <w:rPr>
          <w:rFonts w:ascii="Times New Roman" w:hAnsi="Times New Roman"/>
          <w:color w:val="000000" w:themeColor="text1"/>
          <w:szCs w:val="22"/>
          <w:lang w:val="lt-LT"/>
        </w:rPr>
        <w:t>ėl klimato kaitos</w:t>
      </w:r>
      <w:r w:rsidR="00B077B8" w:rsidRPr="00650EE4">
        <w:rPr>
          <w:rFonts w:ascii="Times New Roman" w:hAnsi="Times New Roman"/>
          <w:color w:val="000000" w:themeColor="text1"/>
          <w:szCs w:val="22"/>
          <w:lang w:val="lt-LT"/>
        </w:rPr>
        <w:t xml:space="preserve"> </w:t>
      </w:r>
      <w:r w:rsidR="002909D4" w:rsidRPr="00650EE4">
        <w:rPr>
          <w:rFonts w:ascii="Times New Roman" w:hAnsi="Times New Roman"/>
          <w:color w:val="000000" w:themeColor="text1"/>
          <w:szCs w:val="22"/>
          <w:lang w:val="lt-LT"/>
        </w:rPr>
        <w:t xml:space="preserve">įtakos </w:t>
      </w:r>
      <w:r w:rsidR="007A52B6">
        <w:rPr>
          <w:rFonts w:ascii="Times New Roman" w:hAnsi="Times New Roman"/>
          <w:color w:val="000000" w:themeColor="text1"/>
          <w:szCs w:val="22"/>
          <w:lang w:val="lt-LT"/>
        </w:rPr>
        <w:t>p</w:t>
      </w:r>
      <w:r w:rsidR="00B077B8" w:rsidRPr="00650EE4">
        <w:rPr>
          <w:rFonts w:ascii="Times New Roman" w:hAnsi="Times New Roman"/>
          <w:color w:val="000000" w:themeColor="text1"/>
          <w:szCs w:val="22"/>
          <w:lang w:val="lt-LT"/>
        </w:rPr>
        <w:t>astatų fondo</w:t>
      </w:r>
      <w:r w:rsidR="00F30F1D" w:rsidRPr="00650EE4">
        <w:rPr>
          <w:rFonts w:ascii="Times New Roman" w:hAnsi="Times New Roman"/>
          <w:color w:val="000000" w:themeColor="text1"/>
          <w:szCs w:val="22"/>
          <w:lang w:val="lt-LT"/>
        </w:rPr>
        <w:t xml:space="preserve"> pirminės energijos vartojimas</w:t>
      </w:r>
      <w:r w:rsidR="002909D4" w:rsidRPr="00650EE4">
        <w:rPr>
          <w:rFonts w:ascii="Times New Roman" w:hAnsi="Times New Roman"/>
          <w:color w:val="000000" w:themeColor="text1"/>
          <w:szCs w:val="22"/>
          <w:lang w:val="lt-LT"/>
        </w:rPr>
        <w:t xml:space="preserve"> 2050 m. bus</w:t>
      </w:r>
      <w:r w:rsidR="00F30F1D" w:rsidRPr="00650EE4">
        <w:rPr>
          <w:rFonts w:ascii="Times New Roman" w:hAnsi="Times New Roman"/>
          <w:color w:val="000000" w:themeColor="text1"/>
          <w:szCs w:val="22"/>
          <w:lang w:val="lt-LT"/>
        </w:rPr>
        <w:t xml:space="preserve"> ~</w:t>
      </w:r>
      <w:r w:rsidR="002909D4" w:rsidRPr="00650EE4">
        <w:rPr>
          <w:rFonts w:ascii="Times New Roman" w:hAnsi="Times New Roman"/>
          <w:color w:val="000000" w:themeColor="text1"/>
          <w:szCs w:val="22"/>
          <w:lang w:val="lt-LT"/>
        </w:rPr>
        <w:t xml:space="preserve">4.1 </w:t>
      </w:r>
      <w:proofErr w:type="spellStart"/>
      <w:r w:rsidR="002909D4" w:rsidRPr="00650EE4">
        <w:rPr>
          <w:rFonts w:ascii="Times New Roman" w:hAnsi="Times New Roman"/>
          <w:color w:val="000000" w:themeColor="text1"/>
          <w:szCs w:val="22"/>
          <w:lang w:val="lt-LT"/>
        </w:rPr>
        <w:t>TWh</w:t>
      </w:r>
      <w:proofErr w:type="spellEnd"/>
      <w:r w:rsidR="002909D4" w:rsidRPr="00650EE4">
        <w:rPr>
          <w:rFonts w:ascii="Times New Roman" w:hAnsi="Times New Roman"/>
          <w:color w:val="000000" w:themeColor="text1"/>
          <w:szCs w:val="22"/>
          <w:lang w:val="lt-LT"/>
        </w:rPr>
        <w:t xml:space="preserve"> (</w:t>
      </w:r>
      <w:r w:rsidR="00F30F1D" w:rsidRPr="00650EE4">
        <w:rPr>
          <w:rFonts w:ascii="Times New Roman" w:hAnsi="Times New Roman"/>
          <w:color w:val="000000" w:themeColor="text1"/>
          <w:szCs w:val="22"/>
          <w:lang w:val="lt-LT"/>
        </w:rPr>
        <w:t>10 proc</w:t>
      </w:r>
      <w:r w:rsidR="002909D4" w:rsidRPr="00650EE4">
        <w:rPr>
          <w:rFonts w:ascii="Times New Roman" w:hAnsi="Times New Roman"/>
          <w:color w:val="000000" w:themeColor="text1"/>
          <w:szCs w:val="22"/>
          <w:lang w:val="lt-LT"/>
        </w:rPr>
        <w:t xml:space="preserve">.) mažesnis nei 2020 m. </w:t>
      </w:r>
      <w:r w:rsidR="00370FCC" w:rsidRPr="00650EE4">
        <w:rPr>
          <w:rFonts w:ascii="Times New Roman" w:hAnsi="Times New Roman"/>
          <w:color w:val="000000" w:themeColor="text1"/>
          <w:szCs w:val="22"/>
          <w:lang w:val="lt-LT"/>
        </w:rPr>
        <w:t xml:space="preserve">(žr. </w:t>
      </w:r>
      <w:r w:rsidR="00DD791C">
        <w:rPr>
          <w:rFonts w:ascii="Times New Roman" w:hAnsi="Times New Roman"/>
          <w:color w:val="000000" w:themeColor="text1"/>
          <w:szCs w:val="22"/>
          <w:lang w:val="lt-LT"/>
        </w:rPr>
        <w:t>1</w:t>
      </w:r>
      <w:r w:rsidR="00370FCC" w:rsidRPr="00650EE4">
        <w:rPr>
          <w:rFonts w:ascii="Times New Roman" w:hAnsi="Times New Roman"/>
          <w:color w:val="000000" w:themeColor="text1"/>
          <w:szCs w:val="22"/>
          <w:lang w:val="lt-LT"/>
        </w:rPr>
        <w:t>.2.1</w:t>
      </w:r>
      <w:r w:rsidR="0008367D" w:rsidRPr="00650EE4">
        <w:rPr>
          <w:rFonts w:ascii="Times New Roman" w:hAnsi="Times New Roman"/>
          <w:color w:val="000000" w:themeColor="text1"/>
          <w:szCs w:val="22"/>
          <w:lang w:val="lt-LT"/>
        </w:rPr>
        <w:t xml:space="preserve"> skyrių</w:t>
      </w:r>
      <w:r w:rsidR="00370FCC" w:rsidRPr="00650EE4">
        <w:rPr>
          <w:rFonts w:ascii="Times New Roman" w:hAnsi="Times New Roman"/>
          <w:color w:val="000000" w:themeColor="text1"/>
          <w:szCs w:val="22"/>
          <w:lang w:val="lt-LT"/>
        </w:rPr>
        <w:t>)</w:t>
      </w:r>
      <w:r w:rsidR="00F30F1D" w:rsidRPr="00650EE4">
        <w:rPr>
          <w:rFonts w:ascii="Times New Roman" w:hAnsi="Times New Roman"/>
          <w:color w:val="000000" w:themeColor="text1"/>
          <w:szCs w:val="22"/>
          <w:lang w:val="lt-LT"/>
        </w:rPr>
        <w:t>;</w:t>
      </w:r>
    </w:p>
    <w:p w14:paraId="5AA13B60" w14:textId="6F4C5986" w:rsidR="00F30F1D"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40615A" w:rsidRPr="00650EE4">
        <w:rPr>
          <w:rFonts w:ascii="Times New Roman" w:hAnsi="Times New Roman"/>
          <w:color w:val="000000" w:themeColor="text1"/>
          <w:szCs w:val="22"/>
          <w:lang w:val="lt-LT"/>
        </w:rPr>
        <w:t>ėl demografinių tendencijų iki 2050 m. bus apleisti, nugriauti ir</w:t>
      </w:r>
      <w:r w:rsidR="00DD791C">
        <w:rPr>
          <w:rFonts w:ascii="Times New Roman" w:hAnsi="Times New Roman"/>
          <w:color w:val="000000" w:themeColor="text1"/>
          <w:szCs w:val="22"/>
          <w:lang w:val="lt-LT"/>
        </w:rPr>
        <w:t xml:space="preserve"> </w:t>
      </w:r>
      <w:r w:rsidR="0040615A" w:rsidRPr="00650EE4">
        <w:rPr>
          <w:rFonts w:ascii="Times New Roman" w:hAnsi="Times New Roman"/>
          <w:color w:val="000000" w:themeColor="text1"/>
          <w:szCs w:val="22"/>
          <w:lang w:val="lt-LT"/>
        </w:rPr>
        <w:t>/</w:t>
      </w:r>
      <w:r w:rsidR="00DD791C">
        <w:rPr>
          <w:rFonts w:ascii="Times New Roman" w:hAnsi="Times New Roman"/>
          <w:color w:val="000000" w:themeColor="text1"/>
          <w:szCs w:val="22"/>
          <w:lang w:val="lt-LT"/>
        </w:rPr>
        <w:t xml:space="preserve"> </w:t>
      </w:r>
      <w:r w:rsidR="0040615A" w:rsidRPr="00650EE4">
        <w:rPr>
          <w:rFonts w:ascii="Times New Roman" w:hAnsi="Times New Roman"/>
          <w:color w:val="000000" w:themeColor="text1"/>
          <w:szCs w:val="22"/>
          <w:lang w:val="lt-LT"/>
        </w:rPr>
        <w:t>arba nevarto</w:t>
      </w:r>
      <w:r w:rsidR="007A52B6">
        <w:rPr>
          <w:rFonts w:ascii="Times New Roman" w:hAnsi="Times New Roman"/>
          <w:color w:val="000000" w:themeColor="text1"/>
          <w:szCs w:val="22"/>
          <w:lang w:val="lt-LT"/>
        </w:rPr>
        <w:t>s energijos mažiausiai 5 proc. p</w:t>
      </w:r>
      <w:r w:rsidR="0040615A" w:rsidRPr="00650EE4">
        <w:rPr>
          <w:rFonts w:ascii="Times New Roman" w:hAnsi="Times New Roman"/>
          <w:color w:val="000000" w:themeColor="text1"/>
          <w:szCs w:val="22"/>
          <w:lang w:val="lt-LT"/>
        </w:rPr>
        <w:t xml:space="preserve">astatų fondo pastatų, dėl to  (žr. </w:t>
      </w:r>
      <w:r w:rsidR="00DD791C">
        <w:rPr>
          <w:rFonts w:ascii="Times New Roman" w:hAnsi="Times New Roman"/>
          <w:color w:val="000000" w:themeColor="text1"/>
          <w:szCs w:val="22"/>
          <w:lang w:val="lt-LT"/>
        </w:rPr>
        <w:t>1</w:t>
      </w:r>
      <w:r w:rsidR="0040615A" w:rsidRPr="00650EE4">
        <w:rPr>
          <w:rFonts w:ascii="Times New Roman" w:hAnsi="Times New Roman"/>
          <w:color w:val="000000" w:themeColor="text1"/>
          <w:szCs w:val="22"/>
          <w:lang w:val="lt-LT"/>
        </w:rPr>
        <w:t>.4.3 skyrių)</w:t>
      </w:r>
      <w:r w:rsidR="00F30F1D" w:rsidRPr="00650EE4">
        <w:rPr>
          <w:rFonts w:ascii="Times New Roman" w:hAnsi="Times New Roman"/>
          <w:color w:val="000000" w:themeColor="text1"/>
          <w:szCs w:val="22"/>
          <w:lang w:val="lt-LT"/>
        </w:rPr>
        <w:t>;</w:t>
      </w:r>
    </w:p>
    <w:p w14:paraId="66E700D7" w14:textId="02094BF2" w:rsidR="00505C1C"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b</w:t>
      </w:r>
      <w:r w:rsidR="00505C1C" w:rsidRPr="00650EE4">
        <w:rPr>
          <w:rFonts w:ascii="Times New Roman" w:hAnsi="Times New Roman"/>
          <w:color w:val="000000" w:themeColor="text1"/>
          <w:szCs w:val="22"/>
          <w:lang w:val="lt-LT"/>
        </w:rPr>
        <w:t>us atlikta pastatų fondo transformacija:</w:t>
      </w:r>
    </w:p>
    <w:p w14:paraId="4718316A" w14:textId="264CE142" w:rsidR="00505C1C" w:rsidRPr="00956BF4" w:rsidRDefault="00CA4BA9" w:rsidP="00BD4925">
      <w:pPr>
        <w:pStyle w:val="ListParagraph"/>
        <w:numPr>
          <w:ilvl w:val="0"/>
          <w:numId w:val="62"/>
        </w:numPr>
        <w:spacing w:before="60" w:after="60"/>
        <w:contextualSpacing w:val="0"/>
        <w:jc w:val="both"/>
        <w:rPr>
          <w:rFonts w:ascii="Times New Roman" w:hAnsi="Times New Roman"/>
          <w:color w:val="000000" w:themeColor="text1"/>
          <w:szCs w:val="22"/>
          <w:lang w:val="lt-LT"/>
        </w:rPr>
      </w:pPr>
      <w:r w:rsidRPr="00956BF4">
        <w:rPr>
          <w:rFonts w:ascii="Times New Roman" w:hAnsi="Times New Roman"/>
          <w:color w:val="000000" w:themeColor="text1"/>
          <w:szCs w:val="22"/>
          <w:lang w:val="lt-LT"/>
        </w:rPr>
        <w:t>p</w:t>
      </w:r>
      <w:r w:rsidR="00505C1C" w:rsidRPr="00956BF4">
        <w:rPr>
          <w:rFonts w:ascii="Times New Roman" w:hAnsi="Times New Roman"/>
          <w:color w:val="000000" w:themeColor="text1"/>
          <w:szCs w:val="22"/>
          <w:lang w:val="lt-LT"/>
        </w:rPr>
        <w:t>astatų fondo transformacijoje dalyvaus ne</w:t>
      </w:r>
      <w:r w:rsidR="006E4F73">
        <w:rPr>
          <w:rFonts w:ascii="Times New Roman" w:hAnsi="Times New Roman"/>
          <w:color w:val="000000" w:themeColor="text1"/>
          <w:szCs w:val="22"/>
          <w:lang w:val="lt-LT"/>
        </w:rPr>
        <w:t xml:space="preserve"> mažiau nei 90 proc. blogiausių</w:t>
      </w:r>
      <w:r w:rsidR="00505C1C" w:rsidRPr="00956BF4">
        <w:rPr>
          <w:rFonts w:ascii="Times New Roman" w:hAnsi="Times New Roman"/>
          <w:color w:val="000000" w:themeColor="text1"/>
          <w:szCs w:val="22"/>
          <w:lang w:val="lt-LT"/>
        </w:rPr>
        <w:t xml:space="preserve"> energinio naudingumo klas</w:t>
      </w:r>
      <w:r w:rsidR="006E4F73">
        <w:rPr>
          <w:rFonts w:ascii="Times New Roman" w:hAnsi="Times New Roman"/>
          <w:color w:val="000000" w:themeColor="text1"/>
          <w:szCs w:val="22"/>
          <w:lang w:val="lt-LT"/>
        </w:rPr>
        <w:t>ių (C ir žemesnių</w:t>
      </w:r>
      <w:r w:rsidR="00505C1C" w:rsidRPr="00956BF4">
        <w:rPr>
          <w:rFonts w:ascii="Times New Roman" w:hAnsi="Times New Roman"/>
          <w:color w:val="000000" w:themeColor="text1"/>
          <w:szCs w:val="22"/>
          <w:lang w:val="lt-LT"/>
        </w:rPr>
        <w:t xml:space="preserve">) </w:t>
      </w:r>
      <w:r w:rsidR="00DD791C" w:rsidRPr="00956BF4">
        <w:rPr>
          <w:rFonts w:ascii="Times New Roman" w:hAnsi="Times New Roman"/>
          <w:color w:val="000000" w:themeColor="text1"/>
          <w:szCs w:val="22"/>
          <w:lang w:val="lt-LT"/>
        </w:rPr>
        <w:t>i</w:t>
      </w:r>
      <w:r w:rsidR="00505C1C" w:rsidRPr="00956BF4">
        <w:rPr>
          <w:rFonts w:ascii="Times New Roman" w:hAnsi="Times New Roman"/>
          <w:color w:val="000000" w:themeColor="text1"/>
          <w:szCs w:val="22"/>
          <w:lang w:val="lt-LT"/>
        </w:rPr>
        <w:t xml:space="preserve">ndividualių, </w:t>
      </w:r>
      <w:r w:rsidR="00DD791C" w:rsidRPr="00956BF4">
        <w:rPr>
          <w:rFonts w:ascii="Times New Roman" w:hAnsi="Times New Roman"/>
          <w:color w:val="000000" w:themeColor="text1"/>
          <w:szCs w:val="22"/>
          <w:lang w:val="lt-LT"/>
        </w:rPr>
        <w:t>d</w:t>
      </w:r>
      <w:r w:rsidR="00505C1C" w:rsidRPr="00956BF4">
        <w:rPr>
          <w:rFonts w:ascii="Times New Roman" w:hAnsi="Times New Roman"/>
          <w:color w:val="000000" w:themeColor="text1"/>
          <w:szCs w:val="22"/>
          <w:lang w:val="lt-LT"/>
        </w:rPr>
        <w:t xml:space="preserve">augiabučių ir </w:t>
      </w:r>
      <w:r w:rsidR="00DD791C" w:rsidRPr="00956BF4">
        <w:rPr>
          <w:rFonts w:ascii="Times New Roman" w:hAnsi="Times New Roman"/>
          <w:color w:val="000000" w:themeColor="text1"/>
          <w:szCs w:val="22"/>
          <w:lang w:val="lt-LT"/>
        </w:rPr>
        <w:t>k</w:t>
      </w:r>
      <w:r w:rsidR="00505C1C" w:rsidRPr="00956BF4">
        <w:rPr>
          <w:rFonts w:ascii="Times New Roman" w:hAnsi="Times New Roman"/>
          <w:color w:val="000000" w:themeColor="text1"/>
          <w:szCs w:val="22"/>
          <w:lang w:val="lt-LT"/>
        </w:rPr>
        <w:t>itos ne</w:t>
      </w:r>
      <w:r w:rsidRPr="00956BF4">
        <w:rPr>
          <w:rFonts w:ascii="Times New Roman" w:hAnsi="Times New Roman"/>
          <w:color w:val="000000" w:themeColor="text1"/>
          <w:szCs w:val="22"/>
          <w:lang w:val="lt-LT"/>
        </w:rPr>
        <w:t>gyvenamosios paskirties pastatų.</w:t>
      </w:r>
      <w:r w:rsidR="00505C1C" w:rsidRPr="00956BF4">
        <w:rPr>
          <w:rFonts w:ascii="Times New Roman" w:hAnsi="Times New Roman"/>
          <w:color w:val="000000" w:themeColor="text1"/>
          <w:szCs w:val="22"/>
          <w:lang w:val="lt-LT"/>
        </w:rPr>
        <w:t xml:space="preserve"> </w:t>
      </w:r>
    </w:p>
    <w:p w14:paraId="062C8C46" w14:textId="28EA1794" w:rsidR="00505C1C" w:rsidRPr="00650EE4" w:rsidRDefault="00505C1C" w:rsidP="00505C1C">
      <w:pPr>
        <w:pStyle w:val="ListParagraph"/>
        <w:spacing w:before="60" w:after="60"/>
        <w:ind w:left="1431"/>
        <w:contextualSpacing w:val="0"/>
        <w:jc w:val="both"/>
        <w:rPr>
          <w:rFonts w:ascii="Times New Roman" w:hAnsi="Times New Roman"/>
          <w:color w:val="000000" w:themeColor="text1"/>
          <w:szCs w:val="22"/>
          <w:lang w:val="lt-LT"/>
        </w:rPr>
      </w:pPr>
      <w:r w:rsidRPr="00956BF4">
        <w:rPr>
          <w:rFonts w:ascii="Times New Roman" w:hAnsi="Times New Roman"/>
          <w:color w:val="000000" w:themeColor="text1"/>
          <w:szCs w:val="22"/>
          <w:lang w:val="lt-LT"/>
        </w:rPr>
        <w:t>Šis vertinimas remiasi prielaida, kad iki 2050 m. absoliučios daugumos šių pastatų amžius pasieks ribą, kai jų atnaujinimas bus privalomas siekiant juos toliau saugiai naudoti. Remiantis konservatyvumo principu, vertinama, kad 10 proc. pastatų atsisakys dalyvauti renovacijoje dėl subjektyvių priežasčių,</w:t>
      </w:r>
      <w:r w:rsidR="00CA4BA9" w:rsidRPr="00956BF4">
        <w:rPr>
          <w:rFonts w:ascii="Times New Roman" w:hAnsi="Times New Roman"/>
          <w:color w:val="000000" w:themeColor="text1"/>
          <w:szCs w:val="22"/>
          <w:lang w:val="lt-LT"/>
        </w:rPr>
        <w:t xml:space="preserve"> tačiau ir toliau bus naudojami;</w:t>
      </w:r>
    </w:p>
    <w:p w14:paraId="760E07F5" w14:textId="4E6F191A" w:rsidR="00505C1C" w:rsidRPr="00650EE4" w:rsidRDefault="00CA4BA9" w:rsidP="00BD4925">
      <w:pPr>
        <w:pStyle w:val="ListParagraph"/>
        <w:numPr>
          <w:ilvl w:val="0"/>
          <w:numId w:val="63"/>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505C1C" w:rsidRPr="00650EE4">
        <w:rPr>
          <w:rFonts w:ascii="Times New Roman" w:hAnsi="Times New Roman"/>
          <w:color w:val="000000" w:themeColor="text1"/>
          <w:szCs w:val="22"/>
          <w:lang w:val="lt-LT"/>
        </w:rPr>
        <w:t>astatų fondo transformacijoje dalyvaus ne mažiau nei 50 proc. blogiausi</w:t>
      </w:r>
      <w:r w:rsidR="006E4F73">
        <w:rPr>
          <w:rFonts w:ascii="Times New Roman" w:hAnsi="Times New Roman"/>
          <w:color w:val="000000" w:themeColor="text1"/>
          <w:szCs w:val="22"/>
          <w:lang w:val="lt-LT"/>
        </w:rPr>
        <w:t>ų</w:t>
      </w:r>
      <w:r w:rsidR="00505C1C" w:rsidRPr="00650EE4">
        <w:rPr>
          <w:rFonts w:ascii="Times New Roman" w:hAnsi="Times New Roman"/>
          <w:color w:val="000000" w:themeColor="text1"/>
          <w:szCs w:val="22"/>
          <w:lang w:val="lt-LT"/>
        </w:rPr>
        <w:t xml:space="preserve"> energinio naudingumo klas</w:t>
      </w:r>
      <w:r w:rsidR="006E4F73">
        <w:rPr>
          <w:rFonts w:ascii="Times New Roman" w:hAnsi="Times New Roman"/>
          <w:color w:val="000000" w:themeColor="text1"/>
          <w:szCs w:val="22"/>
          <w:lang w:val="lt-LT"/>
        </w:rPr>
        <w:t>ių</w:t>
      </w:r>
      <w:r w:rsidR="00505C1C" w:rsidRPr="00650EE4">
        <w:rPr>
          <w:rFonts w:ascii="Times New Roman" w:hAnsi="Times New Roman"/>
          <w:color w:val="000000" w:themeColor="text1"/>
          <w:szCs w:val="22"/>
          <w:lang w:val="lt-LT"/>
        </w:rPr>
        <w:t xml:space="preserve"> (C ir žemesn</w:t>
      </w:r>
      <w:r w:rsidR="006E4F73">
        <w:rPr>
          <w:rFonts w:ascii="Times New Roman" w:hAnsi="Times New Roman"/>
          <w:color w:val="000000" w:themeColor="text1"/>
          <w:szCs w:val="22"/>
          <w:lang w:val="lt-LT"/>
        </w:rPr>
        <w:t>ių</w:t>
      </w:r>
      <w:r w:rsidR="00505C1C" w:rsidRPr="00650EE4">
        <w:rPr>
          <w:rFonts w:ascii="Times New Roman" w:hAnsi="Times New Roman"/>
          <w:color w:val="000000" w:themeColor="text1"/>
          <w:szCs w:val="22"/>
          <w:lang w:val="lt-LT"/>
        </w:rPr>
        <w:t xml:space="preserve">) </w:t>
      </w:r>
      <w:r w:rsidR="00DD791C">
        <w:rPr>
          <w:rFonts w:ascii="Times New Roman" w:hAnsi="Times New Roman"/>
          <w:color w:val="000000" w:themeColor="text1"/>
          <w:szCs w:val="22"/>
          <w:lang w:val="lt-LT"/>
        </w:rPr>
        <w:t>p</w:t>
      </w:r>
      <w:r>
        <w:rPr>
          <w:rFonts w:ascii="Times New Roman" w:hAnsi="Times New Roman"/>
          <w:color w:val="000000" w:themeColor="text1"/>
          <w:szCs w:val="22"/>
          <w:lang w:val="lt-LT"/>
        </w:rPr>
        <w:t>ramonės paskirties pastatų.</w:t>
      </w:r>
      <w:r w:rsidR="00505C1C" w:rsidRPr="00650EE4">
        <w:rPr>
          <w:rFonts w:ascii="Times New Roman" w:hAnsi="Times New Roman"/>
          <w:color w:val="000000" w:themeColor="text1"/>
          <w:szCs w:val="22"/>
          <w:lang w:val="lt-LT"/>
        </w:rPr>
        <w:t xml:space="preserve"> </w:t>
      </w:r>
    </w:p>
    <w:p w14:paraId="13543A7E" w14:textId="7D5DDE0A" w:rsidR="00505C1C" w:rsidRPr="00650EE4" w:rsidRDefault="00505C1C" w:rsidP="00505C1C">
      <w:pPr>
        <w:pStyle w:val="ListParagraph"/>
        <w:spacing w:before="60" w:after="60"/>
        <w:ind w:left="1431"/>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Šis vertinimas remiasi prielaida, kad pramonės pastatų savininkų motyvacija atnaujinti pastatus yra išskirtinai finansinė (kitos paskatos, veikiančios kitų paskirčių pastatų savininkus, veikia mažiau), o energinis efektyvumas dažnai neprisideda prie verslo procesų gerinimo bei neatneša reikšmingos grąžos (ypatingai – prie esamų energijo</w:t>
      </w:r>
      <w:r w:rsidR="003445F7" w:rsidRPr="00650EE4">
        <w:rPr>
          <w:rFonts w:ascii="Times New Roman" w:hAnsi="Times New Roman"/>
          <w:color w:val="000000" w:themeColor="text1"/>
          <w:szCs w:val="22"/>
          <w:lang w:val="lt-LT"/>
        </w:rPr>
        <w:t>s</w:t>
      </w:r>
      <w:r w:rsidRPr="00650EE4">
        <w:rPr>
          <w:rFonts w:ascii="Times New Roman" w:hAnsi="Times New Roman"/>
          <w:color w:val="000000" w:themeColor="text1"/>
          <w:szCs w:val="22"/>
          <w:lang w:val="lt-LT"/>
        </w:rPr>
        <w:t xml:space="preserve"> kainų). Atitinkamai pagrindinė planuojama priemonė – reikalavimų pastatų rekonstrukcijai didinimas (nuo C ik B ir A energinio naudingumo klasės. Vadovaujantis konservatyvumo principu, vertinama, kad iki 2050 m. 50 proc. pramonės pastatų nebus atnaujinti,</w:t>
      </w:r>
      <w:r w:rsidR="00CA4BA9">
        <w:rPr>
          <w:rFonts w:ascii="Times New Roman" w:hAnsi="Times New Roman"/>
          <w:color w:val="000000" w:themeColor="text1"/>
          <w:szCs w:val="22"/>
          <w:lang w:val="lt-LT"/>
        </w:rPr>
        <w:t xml:space="preserve"> tačiau ir toliau bus naudojami;</w:t>
      </w:r>
      <w:r w:rsidRPr="00650EE4">
        <w:rPr>
          <w:rFonts w:ascii="Times New Roman" w:hAnsi="Times New Roman"/>
          <w:color w:val="000000" w:themeColor="text1"/>
          <w:szCs w:val="22"/>
          <w:lang w:val="lt-LT"/>
        </w:rPr>
        <w:t xml:space="preserve"> </w:t>
      </w:r>
    </w:p>
    <w:p w14:paraId="2154AA40" w14:textId="498711E1" w:rsidR="00505C1C" w:rsidRPr="00650EE4" w:rsidRDefault="006E4F73" w:rsidP="00BD4925">
      <w:pPr>
        <w:pStyle w:val="ListParagraph"/>
        <w:numPr>
          <w:ilvl w:val="0"/>
          <w:numId w:val="64"/>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po </w:t>
      </w:r>
      <w:r w:rsidR="00505C1C" w:rsidRPr="00650EE4">
        <w:rPr>
          <w:rFonts w:ascii="Times New Roman" w:hAnsi="Times New Roman"/>
          <w:color w:val="000000" w:themeColor="text1"/>
          <w:szCs w:val="22"/>
          <w:lang w:val="lt-LT"/>
        </w:rPr>
        <w:t>50 proc. pastatų t</w:t>
      </w:r>
      <w:r w:rsidR="00905EBE" w:rsidRPr="00650EE4">
        <w:rPr>
          <w:rFonts w:ascii="Times New Roman" w:hAnsi="Times New Roman"/>
          <w:color w:val="000000" w:themeColor="text1"/>
          <w:szCs w:val="22"/>
          <w:lang w:val="lt-LT"/>
        </w:rPr>
        <w:t>ransformacijoje dalyvaujančių</w:t>
      </w:r>
      <w:r>
        <w:rPr>
          <w:rFonts w:ascii="Times New Roman" w:hAnsi="Times New Roman"/>
          <w:color w:val="000000" w:themeColor="text1"/>
          <w:szCs w:val="22"/>
          <w:lang w:val="lt-LT"/>
        </w:rPr>
        <w:t xml:space="preserve"> D ir žemesnių klasių</w:t>
      </w:r>
      <w:r w:rsidR="00505C1C" w:rsidRPr="00650EE4">
        <w:rPr>
          <w:rFonts w:ascii="Times New Roman" w:hAnsi="Times New Roman"/>
          <w:color w:val="000000" w:themeColor="text1"/>
          <w:szCs w:val="22"/>
          <w:lang w:val="lt-LT"/>
        </w:rPr>
        <w:t xml:space="preserve"> pastatų pasieks A</w:t>
      </w:r>
      <w:r>
        <w:rPr>
          <w:rFonts w:ascii="Times New Roman" w:hAnsi="Times New Roman"/>
          <w:color w:val="000000" w:themeColor="text1"/>
          <w:szCs w:val="22"/>
          <w:lang w:val="lt-LT"/>
        </w:rPr>
        <w:t xml:space="preserve"> ir B </w:t>
      </w:r>
      <w:r w:rsidR="00505C1C" w:rsidRPr="00650EE4">
        <w:rPr>
          <w:rFonts w:ascii="Times New Roman" w:hAnsi="Times New Roman"/>
          <w:color w:val="000000" w:themeColor="text1"/>
          <w:szCs w:val="22"/>
          <w:lang w:val="lt-LT"/>
        </w:rPr>
        <w:t>en</w:t>
      </w:r>
      <w:r w:rsidR="00905EBE" w:rsidRPr="00650EE4">
        <w:rPr>
          <w:rFonts w:ascii="Times New Roman" w:hAnsi="Times New Roman"/>
          <w:color w:val="000000" w:themeColor="text1"/>
          <w:szCs w:val="22"/>
          <w:lang w:val="lt-LT"/>
        </w:rPr>
        <w:t>erginio naudingumo klases</w:t>
      </w:r>
      <w:r w:rsidR="000A0925">
        <w:rPr>
          <w:rFonts w:ascii="Times New Roman" w:hAnsi="Times New Roman"/>
          <w:color w:val="000000" w:themeColor="text1"/>
          <w:szCs w:val="22"/>
          <w:lang w:val="lt-LT"/>
        </w:rPr>
        <w:t>, o 100 proc. transformacijoje dalyvaujančių C energinio naudingumo klasės pastatų pasieks A energinio naudingumo klasę.</w:t>
      </w:r>
      <w:r w:rsidR="000A0925" w:rsidRPr="00650EE4">
        <w:rPr>
          <w:rFonts w:ascii="Times New Roman" w:hAnsi="Times New Roman"/>
          <w:color w:val="000000" w:themeColor="text1"/>
          <w:szCs w:val="22"/>
          <w:lang w:val="lt-LT"/>
        </w:rPr>
        <w:t xml:space="preserve"> Vertinimas remiasi prielaida, kad priklausomai nuo konkretaus pastato techninių charakteristikų ir (ar) pastato savininko poreikių, gali skirtis siekiamos ENK pasirinkimas.</w:t>
      </w:r>
      <w:r w:rsidR="00CA4BA9">
        <w:rPr>
          <w:rFonts w:ascii="Times New Roman" w:hAnsi="Times New Roman"/>
          <w:color w:val="000000" w:themeColor="text1"/>
          <w:szCs w:val="22"/>
          <w:lang w:val="lt-LT"/>
        </w:rPr>
        <w:t>;</w:t>
      </w:r>
    </w:p>
    <w:p w14:paraId="48140EC0" w14:textId="45667A7E" w:rsidR="00505C1C" w:rsidRPr="00650EE4" w:rsidRDefault="000A0925" w:rsidP="00BD4925">
      <w:pPr>
        <w:pStyle w:val="ListParagraph"/>
        <w:numPr>
          <w:ilvl w:val="0"/>
          <w:numId w:val="65"/>
        </w:numPr>
        <w:spacing w:before="60"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10</w:t>
      </w:r>
      <w:r w:rsidRPr="00650EE4">
        <w:rPr>
          <w:rFonts w:ascii="Times New Roman" w:hAnsi="Times New Roman"/>
          <w:color w:val="000000" w:themeColor="text1"/>
          <w:szCs w:val="22"/>
          <w:lang w:val="lt-LT"/>
        </w:rPr>
        <w:t>0 proc. pastatų</w:t>
      </w:r>
      <w:r>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kurių esamas šilumos energijos šaltinis nėra CŠT, </w:t>
      </w:r>
      <w:r w:rsidRPr="00650EE4">
        <w:rPr>
          <w:rFonts w:ascii="Times New Roman" w:hAnsi="Times New Roman"/>
          <w:color w:val="000000" w:themeColor="text1"/>
          <w:szCs w:val="22"/>
          <w:lang w:val="lt-LT"/>
        </w:rPr>
        <w:t>kartu su energinio efektyvumo didinimo priemonėmis, įsidiegs ir AEI priemones (šilumos siurblius ir fotovoltinius saulės elementus)</w:t>
      </w:r>
      <w:r w:rsidR="00CA4BA9">
        <w:rPr>
          <w:rFonts w:ascii="Times New Roman" w:hAnsi="Times New Roman"/>
          <w:color w:val="000000" w:themeColor="text1"/>
          <w:szCs w:val="22"/>
          <w:lang w:val="lt-LT"/>
        </w:rPr>
        <w:t>;</w:t>
      </w:r>
    </w:p>
    <w:p w14:paraId="4486A9C0" w14:textId="784BE936" w:rsidR="00505C1C" w:rsidRPr="00650EE4" w:rsidRDefault="00CA4BA9" w:rsidP="00BD4925">
      <w:pPr>
        <w:pStyle w:val="ListParagraph"/>
        <w:numPr>
          <w:ilvl w:val="0"/>
          <w:numId w:val="54"/>
        </w:numPr>
        <w:spacing w:before="60" w:after="60"/>
        <w:ind w:left="993"/>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v</w:t>
      </w:r>
      <w:r w:rsidR="00505C1C" w:rsidRPr="00650EE4">
        <w:rPr>
          <w:rFonts w:ascii="Times New Roman" w:hAnsi="Times New Roman"/>
          <w:color w:val="000000" w:themeColor="text1"/>
          <w:szCs w:val="22"/>
          <w:lang w:val="lt-LT"/>
        </w:rPr>
        <w:t xml:space="preserve">isi renovacijoje nedalyvavę </w:t>
      </w:r>
      <w:r w:rsidR="000A0925" w:rsidRPr="00650EE4">
        <w:rPr>
          <w:rFonts w:ascii="Times New Roman" w:hAnsi="Times New Roman"/>
          <w:color w:val="000000" w:themeColor="text1"/>
          <w:szCs w:val="22"/>
          <w:lang w:val="lt-LT"/>
        </w:rPr>
        <w:t>ir iškastinį kurą naudojantys pastatai, neprijungti prie CŠT, pakeis gamybos šaltinį į naudojančius AEI, pvz., įsidiegs šilumos siurblius ir fotovoltinius saulės elementus</w:t>
      </w:r>
      <w:r w:rsidR="000A0925">
        <w:rPr>
          <w:rFonts w:ascii="Times New Roman" w:hAnsi="Times New Roman"/>
          <w:color w:val="000000" w:themeColor="text1"/>
          <w:szCs w:val="22"/>
          <w:lang w:val="lt-LT"/>
        </w:rPr>
        <w:t xml:space="preserve"> ar biokuro katilus</w:t>
      </w:r>
      <w:r w:rsidR="000A0925" w:rsidRPr="00650EE4">
        <w:rPr>
          <w:rFonts w:ascii="Times New Roman" w:hAnsi="Times New Roman"/>
          <w:color w:val="000000" w:themeColor="text1"/>
          <w:szCs w:val="22"/>
          <w:lang w:val="lt-LT"/>
        </w:rPr>
        <w:t xml:space="preserve">. Šis vertinimas remiasi </w:t>
      </w:r>
      <w:r w:rsidR="000A0925">
        <w:rPr>
          <w:rFonts w:ascii="Times New Roman" w:hAnsi="Times New Roman"/>
          <w:color w:val="000000" w:themeColor="text1"/>
          <w:szCs w:val="22"/>
          <w:lang w:val="lt-LT"/>
        </w:rPr>
        <w:t xml:space="preserve">siekiu pilnai </w:t>
      </w:r>
      <w:r w:rsidR="000A0925" w:rsidRPr="00650EE4">
        <w:rPr>
          <w:rFonts w:ascii="Times New Roman" w:hAnsi="Times New Roman"/>
          <w:color w:val="000000" w:themeColor="text1"/>
          <w:szCs w:val="22"/>
          <w:lang w:val="lt-LT"/>
        </w:rPr>
        <w:t>atsisakyti iškastinio kuro šaltinių, juos keičiant AEI</w:t>
      </w:r>
      <w:r>
        <w:rPr>
          <w:rFonts w:ascii="Times New Roman" w:hAnsi="Times New Roman"/>
          <w:color w:val="000000" w:themeColor="text1"/>
          <w:szCs w:val="22"/>
          <w:lang w:val="lt-LT"/>
        </w:rPr>
        <w:t>;</w:t>
      </w:r>
    </w:p>
    <w:p w14:paraId="6C070B65" w14:textId="67318F94" w:rsidR="00900EE8" w:rsidRPr="000A0925" w:rsidRDefault="000A0925" w:rsidP="00395C34">
      <w:pPr>
        <w:pStyle w:val="ListParagraph"/>
        <w:numPr>
          <w:ilvl w:val="0"/>
          <w:numId w:val="54"/>
        </w:numPr>
        <w:spacing w:before="60" w:after="60" w:line="240" w:lineRule="auto"/>
        <w:ind w:left="993"/>
        <w:contextualSpacing w:val="0"/>
        <w:jc w:val="both"/>
        <w:rPr>
          <w:rFonts w:ascii="Times New Roman" w:hAnsi="Times New Roman"/>
          <w:color w:val="000000" w:themeColor="text1"/>
          <w:szCs w:val="22"/>
        </w:rPr>
      </w:pPr>
      <w:r w:rsidRPr="000A0925">
        <w:rPr>
          <w:rFonts w:ascii="Times New Roman" w:hAnsi="Times New Roman"/>
          <w:color w:val="000000" w:themeColor="text1"/>
          <w:szCs w:val="22"/>
          <w:lang w:val="lt-LT"/>
        </w:rPr>
        <w:t>įvyks energetikos sektoriaus transformacija – CŠT ir elektros sektoriai 100 proc. energijos gamins iš AEI. Įvairios energetinio sektoriaus inovacijos ir griežtas reguliavimas leis sulaikyti 100 proc. CO</w:t>
      </w:r>
      <w:r w:rsidRPr="000A0925">
        <w:rPr>
          <w:rFonts w:ascii="Times New Roman" w:hAnsi="Times New Roman"/>
          <w:color w:val="000000" w:themeColor="text1"/>
          <w:szCs w:val="22"/>
          <w:vertAlign w:val="subscript"/>
          <w:lang w:val="lt-LT"/>
        </w:rPr>
        <w:t>2</w:t>
      </w:r>
      <w:r w:rsidRPr="000A0925">
        <w:rPr>
          <w:rFonts w:ascii="Times New Roman" w:hAnsi="Times New Roman"/>
          <w:color w:val="000000" w:themeColor="text1"/>
          <w:szCs w:val="22"/>
          <w:lang w:val="lt-LT"/>
        </w:rPr>
        <w:t xml:space="preserve"> emisijų energijos gamybos procesuose tiek elektros bei šilumos jėgainėse, tiek individualių namų šilumos šaltiniuose. Šis vertinimas remiasi prielaida, kad bus pasiekti NENS ir kituose strateginiuose teisės aktuose deklaruoti tikslai. </w:t>
      </w:r>
    </w:p>
    <w:p w14:paraId="7F349F52" w14:textId="7CF59DD5" w:rsidR="008247AF" w:rsidRPr="00650EE4" w:rsidRDefault="00B60BD4" w:rsidP="00395C34">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Svarbu pastebėti, kad </w:t>
      </w:r>
      <w:r w:rsidR="00FD0C76" w:rsidRPr="00650EE4">
        <w:rPr>
          <w:rFonts w:ascii="Times New Roman" w:hAnsi="Times New Roman"/>
          <w:color w:val="000000" w:themeColor="text1"/>
          <w:szCs w:val="22"/>
        </w:rPr>
        <w:t>dėl duome</w:t>
      </w:r>
      <w:r w:rsidR="00C264E6" w:rsidRPr="00650EE4">
        <w:rPr>
          <w:rFonts w:ascii="Times New Roman" w:hAnsi="Times New Roman"/>
          <w:color w:val="000000" w:themeColor="text1"/>
          <w:szCs w:val="22"/>
        </w:rPr>
        <w:t xml:space="preserve">nų nepakankamumo </w:t>
      </w:r>
      <w:r w:rsidR="00F111BF" w:rsidRPr="00650EE4">
        <w:rPr>
          <w:rFonts w:ascii="Times New Roman" w:hAnsi="Times New Roman"/>
          <w:color w:val="000000" w:themeColor="text1"/>
          <w:szCs w:val="22"/>
        </w:rPr>
        <w:t xml:space="preserve">2020 </w:t>
      </w:r>
      <w:r w:rsidR="00B4287B" w:rsidRPr="00650EE4">
        <w:rPr>
          <w:rFonts w:ascii="Times New Roman" w:hAnsi="Times New Roman"/>
          <w:color w:val="000000" w:themeColor="text1"/>
          <w:szCs w:val="22"/>
        </w:rPr>
        <w:t xml:space="preserve">m. </w:t>
      </w:r>
      <w:r w:rsidR="00C264E6" w:rsidRPr="00650EE4">
        <w:rPr>
          <w:rFonts w:ascii="Times New Roman" w:hAnsi="Times New Roman"/>
          <w:color w:val="000000" w:themeColor="text1"/>
          <w:szCs w:val="22"/>
        </w:rPr>
        <w:t xml:space="preserve">skaičiuotinas </w:t>
      </w:r>
      <w:r w:rsidR="00115A43" w:rsidRPr="00650EE4">
        <w:rPr>
          <w:rFonts w:ascii="Times New Roman" w:hAnsi="Times New Roman"/>
          <w:color w:val="000000" w:themeColor="text1"/>
          <w:szCs w:val="22"/>
        </w:rPr>
        <w:t xml:space="preserve">energijos </w:t>
      </w:r>
      <w:r w:rsidR="00C264E6" w:rsidRPr="00650EE4">
        <w:rPr>
          <w:rFonts w:ascii="Times New Roman" w:hAnsi="Times New Roman"/>
          <w:color w:val="000000" w:themeColor="text1"/>
          <w:szCs w:val="22"/>
        </w:rPr>
        <w:t xml:space="preserve">vartojimas </w:t>
      </w:r>
      <w:r w:rsidR="00115A43" w:rsidRPr="00650EE4">
        <w:rPr>
          <w:rFonts w:ascii="Times New Roman" w:hAnsi="Times New Roman"/>
          <w:color w:val="000000" w:themeColor="text1"/>
          <w:szCs w:val="22"/>
        </w:rPr>
        <w:t xml:space="preserve">apskaičiuotas remiantis prielaidomis (žr. </w:t>
      </w:r>
      <w:r w:rsidR="00DD791C">
        <w:rPr>
          <w:rFonts w:ascii="Times New Roman" w:hAnsi="Times New Roman"/>
          <w:color w:val="000000" w:themeColor="text1"/>
          <w:szCs w:val="22"/>
        </w:rPr>
        <w:t>1</w:t>
      </w:r>
      <w:r w:rsidR="00115A43" w:rsidRPr="00650EE4">
        <w:rPr>
          <w:rFonts w:ascii="Times New Roman" w:hAnsi="Times New Roman"/>
          <w:color w:val="000000" w:themeColor="text1"/>
          <w:szCs w:val="22"/>
        </w:rPr>
        <w:t xml:space="preserve">.2 ir </w:t>
      </w:r>
      <w:r w:rsidR="00DD791C">
        <w:rPr>
          <w:rFonts w:ascii="Times New Roman" w:hAnsi="Times New Roman"/>
          <w:color w:val="000000" w:themeColor="text1"/>
          <w:szCs w:val="22"/>
        </w:rPr>
        <w:t>1</w:t>
      </w:r>
      <w:r w:rsidR="00115A43" w:rsidRPr="00650EE4">
        <w:rPr>
          <w:rFonts w:ascii="Times New Roman" w:hAnsi="Times New Roman"/>
          <w:color w:val="000000" w:themeColor="text1"/>
          <w:szCs w:val="22"/>
        </w:rPr>
        <w:t>.3 skyrius), todėl surinkus faktinius duomenis apie pastatų fondo energijos vartojimą gali</w:t>
      </w:r>
      <w:r w:rsidR="00C264E6" w:rsidRPr="00650EE4">
        <w:rPr>
          <w:rFonts w:ascii="Times New Roman" w:hAnsi="Times New Roman"/>
          <w:color w:val="000000" w:themeColor="text1"/>
          <w:szCs w:val="22"/>
        </w:rPr>
        <w:t xml:space="preserve"> keistis. Atitinkamai, </w:t>
      </w:r>
      <w:r w:rsidR="00115A43" w:rsidRPr="00650EE4">
        <w:rPr>
          <w:rFonts w:ascii="Times New Roman" w:hAnsi="Times New Roman"/>
          <w:color w:val="000000" w:themeColor="text1"/>
          <w:szCs w:val="22"/>
        </w:rPr>
        <w:t>didesnis dėmesys turėtų būti teikiamas ne</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santykiniam tikslui</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 xml:space="preserve">sutaupyti </w:t>
      </w:r>
      <w:r w:rsidR="00C264E6" w:rsidRPr="00650EE4">
        <w:rPr>
          <w:rFonts w:ascii="Times New Roman" w:hAnsi="Times New Roman"/>
          <w:color w:val="000000" w:themeColor="text1"/>
          <w:szCs w:val="22"/>
        </w:rPr>
        <w:t xml:space="preserve">70 proc.), o </w:t>
      </w:r>
      <w:r w:rsidR="00115A43" w:rsidRPr="00650EE4">
        <w:rPr>
          <w:rFonts w:ascii="Times New Roman" w:hAnsi="Times New Roman"/>
          <w:color w:val="000000" w:themeColor="text1"/>
          <w:szCs w:val="22"/>
        </w:rPr>
        <w:t>absoliučiam</w:t>
      </w:r>
      <w:r w:rsidR="00C264E6" w:rsidRPr="00650EE4">
        <w:rPr>
          <w:rFonts w:ascii="Times New Roman" w:hAnsi="Times New Roman"/>
          <w:color w:val="000000" w:themeColor="text1"/>
          <w:szCs w:val="22"/>
        </w:rPr>
        <w:t xml:space="preserve"> </w:t>
      </w:r>
      <w:r w:rsidR="00115A43" w:rsidRPr="00650EE4">
        <w:rPr>
          <w:rFonts w:ascii="Times New Roman" w:hAnsi="Times New Roman"/>
          <w:color w:val="000000" w:themeColor="text1"/>
          <w:szCs w:val="22"/>
        </w:rPr>
        <w:t>vartojimo dydžiui pasiekti</w:t>
      </w:r>
      <w:r w:rsidR="00C264E6" w:rsidRPr="00650EE4">
        <w:rPr>
          <w:rFonts w:ascii="Times New Roman" w:hAnsi="Times New Roman"/>
          <w:color w:val="000000" w:themeColor="text1"/>
          <w:szCs w:val="22"/>
        </w:rPr>
        <w:t xml:space="preserve"> (1</w:t>
      </w:r>
      <w:r w:rsidR="000A0925">
        <w:rPr>
          <w:rFonts w:ascii="Times New Roman" w:hAnsi="Times New Roman"/>
          <w:color w:val="000000" w:themeColor="text1"/>
          <w:szCs w:val="22"/>
          <w:lang w:val="en-GB"/>
        </w:rPr>
        <w:t>6,2</w:t>
      </w:r>
      <w:r w:rsidR="00C264E6" w:rsidRPr="00650EE4">
        <w:rPr>
          <w:rFonts w:ascii="Times New Roman" w:hAnsi="Times New Roman"/>
          <w:color w:val="000000" w:themeColor="text1"/>
          <w:szCs w:val="22"/>
        </w:rPr>
        <w:t xml:space="preserve"> </w:t>
      </w:r>
      <w:proofErr w:type="spellStart"/>
      <w:r w:rsidR="00C264E6" w:rsidRPr="00650EE4">
        <w:rPr>
          <w:rFonts w:ascii="Times New Roman" w:hAnsi="Times New Roman"/>
          <w:color w:val="000000" w:themeColor="text1"/>
          <w:szCs w:val="22"/>
        </w:rPr>
        <w:t>TWh</w:t>
      </w:r>
      <w:proofErr w:type="spellEnd"/>
      <w:r w:rsidR="00C264E6" w:rsidRPr="00650EE4">
        <w:rPr>
          <w:rFonts w:ascii="Times New Roman" w:hAnsi="Times New Roman"/>
          <w:color w:val="000000" w:themeColor="text1"/>
          <w:szCs w:val="22"/>
        </w:rPr>
        <w:t xml:space="preserve">) t.y. </w:t>
      </w:r>
      <w:r w:rsidR="00F708C7" w:rsidRPr="00650EE4">
        <w:rPr>
          <w:rFonts w:ascii="Times New Roman" w:hAnsi="Times New Roman"/>
          <w:color w:val="000000" w:themeColor="text1"/>
          <w:szCs w:val="22"/>
        </w:rPr>
        <w:t xml:space="preserve">transformuoti faktiškai naudojamą pastatų </w:t>
      </w:r>
      <w:r w:rsidR="00C264E6" w:rsidRPr="00650EE4">
        <w:rPr>
          <w:rFonts w:ascii="Times New Roman" w:hAnsi="Times New Roman"/>
          <w:color w:val="000000" w:themeColor="text1"/>
          <w:szCs w:val="22"/>
        </w:rPr>
        <w:t>fond</w:t>
      </w:r>
      <w:r w:rsidR="00F708C7" w:rsidRPr="00650EE4">
        <w:rPr>
          <w:rFonts w:ascii="Times New Roman" w:hAnsi="Times New Roman"/>
          <w:color w:val="000000" w:themeColor="text1"/>
          <w:szCs w:val="22"/>
        </w:rPr>
        <w:t>ą</w:t>
      </w:r>
      <w:r w:rsidR="00C264E6" w:rsidRPr="00650EE4">
        <w:rPr>
          <w:rFonts w:ascii="Times New Roman" w:hAnsi="Times New Roman"/>
          <w:color w:val="000000" w:themeColor="text1"/>
          <w:szCs w:val="22"/>
        </w:rPr>
        <w:t xml:space="preserve"> į A</w:t>
      </w:r>
      <w:r w:rsidR="00DD791C">
        <w:rPr>
          <w:rFonts w:ascii="Times New Roman" w:hAnsi="Times New Roman"/>
          <w:color w:val="000000" w:themeColor="text1"/>
          <w:szCs w:val="22"/>
        </w:rPr>
        <w:t xml:space="preserve"> </w:t>
      </w:r>
      <w:r w:rsidR="00C264E6" w:rsidRPr="00650EE4">
        <w:rPr>
          <w:rFonts w:ascii="Times New Roman" w:hAnsi="Times New Roman"/>
          <w:color w:val="000000" w:themeColor="text1"/>
          <w:szCs w:val="22"/>
        </w:rPr>
        <w:t>/</w:t>
      </w:r>
      <w:r w:rsidR="00DD791C">
        <w:rPr>
          <w:rFonts w:ascii="Times New Roman" w:hAnsi="Times New Roman"/>
          <w:color w:val="000000" w:themeColor="text1"/>
          <w:szCs w:val="22"/>
        </w:rPr>
        <w:t xml:space="preserve"> </w:t>
      </w:r>
      <w:r w:rsidR="00C264E6" w:rsidRPr="00650EE4">
        <w:rPr>
          <w:rFonts w:ascii="Times New Roman" w:hAnsi="Times New Roman"/>
          <w:color w:val="000000" w:themeColor="text1"/>
          <w:szCs w:val="22"/>
        </w:rPr>
        <w:t xml:space="preserve">B energinio </w:t>
      </w:r>
      <w:r w:rsidR="00F904F1" w:rsidRPr="00650EE4">
        <w:rPr>
          <w:rFonts w:ascii="Times New Roman" w:hAnsi="Times New Roman"/>
          <w:color w:val="000000" w:themeColor="text1"/>
          <w:szCs w:val="22"/>
        </w:rPr>
        <w:t>naudingumo</w:t>
      </w:r>
      <w:r w:rsidR="00C264E6" w:rsidRPr="00650EE4">
        <w:rPr>
          <w:rFonts w:ascii="Times New Roman" w:hAnsi="Times New Roman"/>
          <w:color w:val="000000" w:themeColor="text1"/>
          <w:szCs w:val="22"/>
        </w:rPr>
        <w:t xml:space="preserve"> klases. </w:t>
      </w:r>
    </w:p>
    <w:p w14:paraId="4D90F125" w14:textId="77777777" w:rsidR="00576EDC" w:rsidRPr="00650EE4" w:rsidRDefault="00576EDC" w:rsidP="00395C34">
      <w:pPr>
        <w:jc w:val="both"/>
        <w:rPr>
          <w:rFonts w:ascii="Times New Roman" w:hAnsi="Times New Roman"/>
          <w:color w:val="000000" w:themeColor="text1"/>
          <w:szCs w:val="22"/>
        </w:rPr>
      </w:pPr>
    </w:p>
    <w:p w14:paraId="5BF76719" w14:textId="38689D46" w:rsidR="00F75D90" w:rsidRPr="00650EE4" w:rsidRDefault="00F75D90" w:rsidP="00F75D90">
      <w:pPr>
        <w:pStyle w:val="Antrastes31"/>
        <w:numPr>
          <w:ilvl w:val="2"/>
          <w:numId w:val="4"/>
        </w:numPr>
        <w:spacing w:before="120"/>
        <w:ind w:left="720" w:hanging="720"/>
        <w:rPr>
          <w:rFonts w:ascii="Times New Roman" w:hAnsi="Times New Roman"/>
          <w:color w:val="000000" w:themeColor="text1"/>
          <w:sz w:val="24"/>
          <w:szCs w:val="24"/>
          <w:lang w:val="lt-LT"/>
        </w:rPr>
      </w:pPr>
      <w:bookmarkStart w:id="161" w:name="_Toc59107560"/>
      <w:r w:rsidRPr="00650EE4">
        <w:rPr>
          <w:rFonts w:ascii="Times New Roman" w:hAnsi="Times New Roman"/>
          <w:color w:val="000000" w:themeColor="text1"/>
          <w:sz w:val="24"/>
          <w:szCs w:val="24"/>
          <w:lang w:val="lt-LT"/>
        </w:rPr>
        <w:t>Pirminės energijos iš iškastinio kuro vartojimo</w:t>
      </w:r>
      <w:r w:rsidR="002A6440" w:rsidRPr="00650EE4">
        <w:rPr>
          <w:rFonts w:ascii="Times New Roman" w:hAnsi="Times New Roman"/>
          <w:color w:val="000000" w:themeColor="text1"/>
          <w:sz w:val="24"/>
          <w:szCs w:val="24"/>
          <w:lang w:val="lt-LT"/>
        </w:rPr>
        <w:t xml:space="preserve"> </w:t>
      </w:r>
      <w:bookmarkEnd w:id="161"/>
      <w:r w:rsidR="000A0925">
        <w:rPr>
          <w:rFonts w:ascii="Times New Roman" w:hAnsi="Times New Roman"/>
          <w:color w:val="000000" w:themeColor="text1"/>
          <w:sz w:val="24"/>
          <w:szCs w:val="24"/>
          <w:lang w:val="lt-LT"/>
        </w:rPr>
        <w:t>atsisakymas</w:t>
      </w:r>
    </w:p>
    <w:p w14:paraId="35B91589" w14:textId="5F3D6B80" w:rsidR="000A0925" w:rsidRPr="00650EE4" w:rsidRDefault="000A0925" w:rsidP="000A0925">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Siekis </w:t>
      </w:r>
      <w:r>
        <w:rPr>
          <w:rFonts w:ascii="Times New Roman" w:hAnsi="Times New Roman"/>
          <w:color w:val="000000" w:themeColor="text1"/>
          <w:szCs w:val="22"/>
        </w:rPr>
        <w:t xml:space="preserve">100 </w:t>
      </w:r>
      <w:r w:rsidRPr="00650EE4">
        <w:rPr>
          <w:rFonts w:ascii="Times New Roman" w:hAnsi="Times New Roman"/>
          <w:color w:val="000000" w:themeColor="text1"/>
          <w:szCs w:val="22"/>
        </w:rPr>
        <w:t xml:space="preserve">proc. </w:t>
      </w:r>
      <w:r>
        <w:rPr>
          <w:rFonts w:ascii="Times New Roman" w:hAnsi="Times New Roman"/>
          <w:color w:val="000000" w:themeColor="text1"/>
          <w:szCs w:val="22"/>
        </w:rPr>
        <w:t xml:space="preserve">atsisakyti </w:t>
      </w:r>
      <w:r w:rsidRPr="00650EE4">
        <w:rPr>
          <w:rFonts w:ascii="Times New Roman" w:hAnsi="Times New Roman"/>
          <w:color w:val="000000" w:themeColor="text1"/>
          <w:szCs w:val="22"/>
        </w:rPr>
        <w:t>pirminės energijos iš ne AEI ir</w:t>
      </w:r>
      <w:r>
        <w:rPr>
          <w:rFonts w:ascii="Times New Roman" w:hAnsi="Times New Roman"/>
          <w:color w:val="000000" w:themeColor="text1"/>
          <w:szCs w:val="22"/>
        </w:rPr>
        <w:t xml:space="preserve"> pasiekti nulines </w:t>
      </w:r>
      <w:r w:rsidRPr="00650EE4">
        <w:rPr>
          <w:rFonts w:ascii="Times New Roman" w:hAnsi="Times New Roman"/>
          <w:color w:val="000000" w:themeColor="text1"/>
          <w:szCs w:val="22"/>
        </w:rPr>
        <w:t>CO</w:t>
      </w:r>
      <w:r w:rsidRPr="000A0925">
        <w:rPr>
          <w:rFonts w:ascii="Times New Roman" w:hAnsi="Times New Roman"/>
          <w:color w:val="000000" w:themeColor="text1"/>
          <w:szCs w:val="22"/>
          <w:vertAlign w:val="subscript"/>
        </w:rPr>
        <w:t>2</w:t>
      </w:r>
      <w:r w:rsidRPr="00650EE4">
        <w:rPr>
          <w:rFonts w:ascii="Times New Roman" w:hAnsi="Times New Roman"/>
          <w:color w:val="000000" w:themeColor="text1"/>
          <w:szCs w:val="22"/>
        </w:rPr>
        <w:t xml:space="preserve"> emisijas (stulpelis „2050+“ paveiksle aukščiau) suformuotas prognozuojant, kad iki 2050 m.:</w:t>
      </w:r>
    </w:p>
    <w:p w14:paraId="187BFCD8" w14:textId="5A7FD553" w:rsidR="000A0925" w:rsidRPr="00650EE4"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b</w:t>
      </w:r>
      <w:r w:rsidRPr="00650EE4">
        <w:rPr>
          <w:rFonts w:ascii="Times New Roman" w:hAnsi="Times New Roman"/>
          <w:color w:val="000000" w:themeColor="text1"/>
          <w:szCs w:val="22"/>
          <w:lang w:val="lt-LT"/>
        </w:rPr>
        <w:t xml:space="preserve">us įgyvendintos energinio efektyvumo priemonės (žr. </w:t>
      </w:r>
      <w:r>
        <w:rPr>
          <w:rFonts w:ascii="Times New Roman" w:hAnsi="Times New Roman"/>
          <w:color w:val="000000" w:themeColor="text1"/>
          <w:szCs w:val="22"/>
          <w:lang w:val="lt-LT"/>
        </w:rPr>
        <w:t>5</w:t>
      </w:r>
      <w:r w:rsidRPr="00650EE4">
        <w:rPr>
          <w:rFonts w:ascii="Times New Roman" w:hAnsi="Times New Roman"/>
          <w:color w:val="000000" w:themeColor="text1"/>
          <w:szCs w:val="22"/>
          <w:lang w:val="lt-LT"/>
        </w:rPr>
        <w:t>.1.1 skyrių);</w:t>
      </w:r>
    </w:p>
    <w:p w14:paraId="679F964D" w14:textId="03223217" w:rsidR="000A0925" w:rsidRPr="005365A7"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5365A7">
        <w:rPr>
          <w:rFonts w:ascii="Times New Roman" w:hAnsi="Times New Roman"/>
          <w:color w:val="000000" w:themeColor="text1"/>
          <w:szCs w:val="22"/>
          <w:lang w:val="lt-LT"/>
        </w:rPr>
        <w:t xml:space="preserve">lektros sektorius 100% </w:t>
      </w:r>
      <w:r>
        <w:rPr>
          <w:rFonts w:ascii="Times New Roman" w:hAnsi="Times New Roman"/>
          <w:color w:val="000000" w:themeColor="text1"/>
          <w:szCs w:val="22"/>
          <w:lang w:val="lt-LT"/>
        </w:rPr>
        <w:t>transformuosis</w:t>
      </w:r>
      <w:r w:rsidRPr="005365A7">
        <w:rPr>
          <w:rFonts w:ascii="Times New Roman" w:hAnsi="Times New Roman"/>
          <w:color w:val="000000" w:themeColor="text1"/>
          <w:szCs w:val="22"/>
          <w:lang w:val="lt-LT"/>
        </w:rPr>
        <w:t xml:space="preserve"> į nulinių CO</w:t>
      </w:r>
      <w:r w:rsidRPr="005365A7">
        <w:rPr>
          <w:rFonts w:ascii="Times New Roman" w:hAnsi="Times New Roman"/>
          <w:color w:val="000000" w:themeColor="text1"/>
          <w:szCs w:val="22"/>
          <w:vertAlign w:val="subscript"/>
          <w:lang w:val="lt-LT"/>
        </w:rPr>
        <w:t>2</w:t>
      </w:r>
      <w:r w:rsidRPr="005365A7">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p>
    <w:p w14:paraId="7055EBC6" w14:textId="556F0084" w:rsidR="000A0925" w:rsidRPr="005365A7"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sidRPr="005365A7">
        <w:rPr>
          <w:rFonts w:ascii="Times New Roman" w:hAnsi="Times New Roman"/>
          <w:color w:val="000000" w:themeColor="text1"/>
          <w:szCs w:val="22"/>
          <w:lang w:val="lt-LT"/>
        </w:rPr>
        <w:t xml:space="preserve">CŠT  sektorius 100% </w:t>
      </w:r>
      <w:r>
        <w:rPr>
          <w:rFonts w:ascii="Times New Roman" w:hAnsi="Times New Roman"/>
          <w:color w:val="000000" w:themeColor="text1"/>
          <w:szCs w:val="22"/>
          <w:lang w:val="lt-LT"/>
        </w:rPr>
        <w:t>transformuosis</w:t>
      </w:r>
      <w:r w:rsidRPr="005365A7">
        <w:rPr>
          <w:rFonts w:ascii="Times New Roman" w:hAnsi="Times New Roman"/>
          <w:color w:val="000000" w:themeColor="text1"/>
          <w:szCs w:val="22"/>
          <w:lang w:val="lt-LT"/>
        </w:rPr>
        <w:t xml:space="preserve"> į nulinių CO</w:t>
      </w:r>
      <w:r w:rsidRPr="005365A7">
        <w:rPr>
          <w:rFonts w:ascii="Times New Roman" w:hAnsi="Times New Roman"/>
          <w:color w:val="000000" w:themeColor="text1"/>
          <w:szCs w:val="22"/>
          <w:vertAlign w:val="subscript"/>
          <w:lang w:val="lt-LT"/>
        </w:rPr>
        <w:t>2</w:t>
      </w:r>
      <w:r w:rsidRPr="005365A7">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p>
    <w:p w14:paraId="2B430909" w14:textId="3BF29D0C" w:rsidR="000A0925" w:rsidRPr="00A86AB3"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Pr="00A86AB3">
        <w:rPr>
          <w:rFonts w:ascii="Times New Roman" w:hAnsi="Times New Roman"/>
          <w:color w:val="000000" w:themeColor="text1"/>
          <w:szCs w:val="22"/>
          <w:lang w:val="lt-LT"/>
        </w:rPr>
        <w:t xml:space="preserve">isi </w:t>
      </w:r>
      <w:r>
        <w:rPr>
          <w:rFonts w:ascii="Times New Roman" w:hAnsi="Times New Roman"/>
          <w:color w:val="000000" w:themeColor="text1"/>
          <w:szCs w:val="22"/>
          <w:lang w:val="lt-LT"/>
        </w:rPr>
        <w:t>p</w:t>
      </w:r>
      <w:r w:rsidRPr="00A86AB3">
        <w:rPr>
          <w:rFonts w:ascii="Times New Roman" w:hAnsi="Times New Roman"/>
          <w:color w:val="000000" w:themeColor="text1"/>
          <w:szCs w:val="22"/>
          <w:lang w:val="lt-LT"/>
        </w:rPr>
        <w:t>astatų fondo pastatai (2020 m.), neprijungti prie CŠT, naudos individualius AEI gamybos šaltinius</w:t>
      </w:r>
      <w:r>
        <w:rPr>
          <w:rFonts w:ascii="Times New Roman" w:hAnsi="Times New Roman"/>
          <w:color w:val="000000" w:themeColor="text1"/>
          <w:szCs w:val="22"/>
          <w:lang w:val="lt-LT"/>
        </w:rPr>
        <w:t>.</w:t>
      </w:r>
    </w:p>
    <w:p w14:paraId="390B43BB" w14:textId="77777777" w:rsidR="002F0B4E" w:rsidRPr="00650EE4" w:rsidRDefault="002F0B4E" w:rsidP="00395C34">
      <w:pPr>
        <w:jc w:val="both"/>
        <w:rPr>
          <w:rFonts w:ascii="Times New Roman" w:hAnsi="Times New Roman"/>
          <w:color w:val="000000" w:themeColor="text1"/>
          <w:sz w:val="24"/>
          <w:szCs w:val="24"/>
        </w:rPr>
      </w:pPr>
    </w:p>
    <w:p w14:paraId="514A228C" w14:textId="2195C993" w:rsidR="003350E3" w:rsidRPr="00650EE4" w:rsidRDefault="003350E3"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62" w:name="_Toc59094271"/>
      <w:r w:rsidR="00F25C65">
        <w:t>22</w:t>
      </w:r>
      <w:r w:rsidRPr="00650EE4">
        <w:rPr>
          <w:noProof w:val="0"/>
        </w:rPr>
        <w:fldChar w:fldCharType="end"/>
      </w:r>
      <w:r w:rsidRPr="00650EE4">
        <w:rPr>
          <w:noProof w:val="0"/>
        </w:rPr>
        <w:t xml:space="preserve"> paveikslas. Pastatų fondo transformacijos komponentai (CO2 emisij</w:t>
      </w:r>
      <w:r w:rsidR="00B27D44" w:rsidRPr="00650EE4">
        <w:rPr>
          <w:noProof w:val="0"/>
        </w:rPr>
        <w:t>ų sumažinimas</w:t>
      </w:r>
      <w:r w:rsidRPr="00650EE4">
        <w:rPr>
          <w:noProof w:val="0"/>
        </w:rPr>
        <w:t>)</w:t>
      </w:r>
      <w:bookmarkEnd w:id="162"/>
    </w:p>
    <w:p w14:paraId="7A06DA69" w14:textId="73F5EA13" w:rsidR="000A0925" w:rsidRDefault="000A0925" w:rsidP="000223EF">
      <w:pPr>
        <w:jc w:val="both"/>
        <w:rPr>
          <w:rFonts w:ascii="Times New Roman" w:hAnsi="Times New Roman"/>
          <w:noProof/>
          <w:shd w:val="clear" w:color="auto" w:fill="0070C0"/>
          <w:lang w:eastAsia="lt-LT"/>
        </w:rPr>
      </w:pPr>
      <w:r>
        <w:rPr>
          <w:noProof/>
          <w:lang w:eastAsia="lt-LT"/>
        </w:rPr>
        <w:drawing>
          <wp:inline distT="0" distB="0" distL="0" distR="0" wp14:anchorId="3C21C560" wp14:editId="769DD20F">
            <wp:extent cx="6416675" cy="3305175"/>
            <wp:effectExtent l="0" t="0" r="3175" b="0"/>
            <wp:docPr id="63" name="Chart 6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86B7216-605F-4E93-BCFC-7F20E8A675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392326B" w14:textId="0679643B" w:rsidR="001179ED" w:rsidRDefault="001179ED" w:rsidP="000223EF">
      <w:pPr>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Studijos </w:t>
      </w:r>
      <w:r w:rsidR="00DD791C" w:rsidRPr="00DD791C">
        <w:rPr>
          <w:rFonts w:ascii="Times New Roman" w:hAnsi="Times New Roman"/>
          <w:i/>
          <w:iCs/>
          <w:color w:val="auto"/>
          <w:sz w:val="20"/>
          <w:szCs w:val="20"/>
        </w:rPr>
        <w:t xml:space="preserve">Lietuvos ilgalaikei renovacijos strategijai parengti </w:t>
      </w:r>
      <w:r w:rsidRPr="00650EE4">
        <w:rPr>
          <w:rFonts w:ascii="Times New Roman" w:hAnsi="Times New Roman"/>
          <w:i/>
          <w:iCs/>
          <w:color w:val="auto"/>
          <w:sz w:val="20"/>
          <w:szCs w:val="20"/>
        </w:rPr>
        <w:t>autoriai</w:t>
      </w:r>
    </w:p>
    <w:p w14:paraId="633276AF" w14:textId="77777777" w:rsidR="000A0925" w:rsidRDefault="000A0925" w:rsidP="000A0925">
      <w:pPr>
        <w:jc w:val="both"/>
        <w:rPr>
          <w:rFonts w:ascii="Times New Roman" w:hAnsi="Times New Roman"/>
          <w:color w:val="000000" w:themeColor="text1"/>
          <w:szCs w:val="22"/>
        </w:rPr>
      </w:pPr>
    </w:p>
    <w:p w14:paraId="53F79899" w14:textId="22001528" w:rsidR="000A0925" w:rsidRPr="00A86AB3" w:rsidRDefault="000A0925" w:rsidP="000A0925">
      <w:pPr>
        <w:jc w:val="both"/>
        <w:rPr>
          <w:rFonts w:ascii="Times New Roman" w:hAnsi="Times New Roman"/>
          <w:color w:val="000000" w:themeColor="text1"/>
          <w:szCs w:val="22"/>
        </w:rPr>
      </w:pPr>
      <w:r w:rsidRPr="00A86AB3">
        <w:rPr>
          <w:rFonts w:ascii="Times New Roman" w:hAnsi="Times New Roman"/>
          <w:color w:val="000000" w:themeColor="text1"/>
          <w:szCs w:val="22"/>
        </w:rPr>
        <w:t>Svarbu pastebėti, kad siekiant šių tikslų būtinas ne tik renovacijos priemonių įgyvendinimas, tačiau ir plate</w:t>
      </w:r>
      <w:r>
        <w:rPr>
          <w:rFonts w:ascii="Times New Roman" w:hAnsi="Times New Roman"/>
          <w:color w:val="000000" w:themeColor="text1"/>
          <w:szCs w:val="22"/>
        </w:rPr>
        <w:t>s</w:t>
      </w:r>
      <w:r w:rsidRPr="00A86AB3">
        <w:rPr>
          <w:rFonts w:ascii="Times New Roman" w:hAnsi="Times New Roman"/>
          <w:color w:val="000000" w:themeColor="text1"/>
          <w:szCs w:val="22"/>
        </w:rPr>
        <w:t>nio masto išorinių veiksnių poveikis, pvz.:</w:t>
      </w:r>
    </w:p>
    <w:p w14:paraId="5CA60B7C" w14:textId="0C573365" w:rsidR="000A0925" w:rsidRPr="00A86AB3" w:rsidRDefault="000A0925" w:rsidP="000A0925">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sidRPr="00A86AB3">
        <w:rPr>
          <w:rFonts w:ascii="Times New Roman" w:hAnsi="Times New Roman"/>
          <w:color w:val="000000" w:themeColor="text1"/>
          <w:szCs w:val="22"/>
          <w:lang w:val="lt-LT"/>
        </w:rPr>
        <w:t>AEI technologijų raida. Šiuo metu reikšminga dalis AEI priemonių nėra CO</w:t>
      </w:r>
      <w:r w:rsidRPr="00F07A70">
        <w:rPr>
          <w:rFonts w:ascii="Times New Roman" w:hAnsi="Times New Roman"/>
          <w:color w:val="000000" w:themeColor="text1"/>
          <w:szCs w:val="22"/>
          <w:vertAlign w:val="subscript"/>
          <w:lang w:val="lt-LT"/>
        </w:rPr>
        <w:t>2</w:t>
      </w:r>
      <w:r w:rsidRPr="00A86AB3">
        <w:rPr>
          <w:rFonts w:ascii="Times New Roman" w:hAnsi="Times New Roman"/>
          <w:color w:val="000000" w:themeColor="text1"/>
          <w:szCs w:val="22"/>
          <w:lang w:val="lt-LT"/>
        </w:rPr>
        <w:t xml:space="preserve"> neutralios, todėl net visų pastatų gamybos šaltinius pakeitus į iškastinio kuro nenaudojančius, CO</w:t>
      </w:r>
      <w:r w:rsidRPr="00F07A70">
        <w:rPr>
          <w:rFonts w:ascii="Times New Roman" w:hAnsi="Times New Roman"/>
          <w:color w:val="000000" w:themeColor="text1"/>
          <w:szCs w:val="22"/>
          <w:vertAlign w:val="subscript"/>
          <w:lang w:val="lt-LT"/>
        </w:rPr>
        <w:t>2</w:t>
      </w:r>
      <w:r w:rsidRPr="00A86AB3">
        <w:rPr>
          <w:rFonts w:ascii="Times New Roman" w:hAnsi="Times New Roman"/>
          <w:color w:val="000000" w:themeColor="text1"/>
          <w:szCs w:val="22"/>
          <w:lang w:val="lt-LT"/>
        </w:rPr>
        <w:t xml:space="preserve"> emisijos nebūtų nuli</w:t>
      </w:r>
      <w:r>
        <w:rPr>
          <w:rFonts w:ascii="Times New Roman" w:hAnsi="Times New Roman"/>
          <w:color w:val="000000" w:themeColor="text1"/>
          <w:szCs w:val="22"/>
          <w:lang w:val="lt-LT"/>
        </w:rPr>
        <w:t>nės;</w:t>
      </w:r>
    </w:p>
    <w:p w14:paraId="15B96665" w14:textId="332EF683" w:rsidR="000A0925" w:rsidRPr="000A0925" w:rsidRDefault="000A0925" w:rsidP="000223EF">
      <w:pPr>
        <w:pStyle w:val="ListParagraph"/>
        <w:numPr>
          <w:ilvl w:val="0"/>
          <w:numId w:val="16"/>
        </w:numPr>
        <w:spacing w:before="60" w:after="60"/>
        <w:ind w:left="1071"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Pr="00A86AB3">
        <w:rPr>
          <w:rFonts w:ascii="Times New Roman" w:hAnsi="Times New Roman"/>
          <w:color w:val="000000" w:themeColor="text1"/>
          <w:szCs w:val="22"/>
          <w:lang w:val="lt-LT"/>
        </w:rPr>
        <w:t xml:space="preserve"> tvarumą nukreiptų politikos priemonių raida. Pavyzdžiui, pakitus biokuro kaip AEI gamybos šaltinio statusui, reikšmingai dalis dabartinių AEI gamybos šaltinių pataptų ne AEI ir pan.</w:t>
      </w:r>
    </w:p>
    <w:p w14:paraId="61D65B77" w14:textId="6FF18AEC" w:rsidR="00F81404" w:rsidRPr="00650EE4" w:rsidRDefault="00D74AEF" w:rsidP="002859E3">
      <w:pPr>
        <w:pStyle w:val="Antrastes2"/>
        <w:numPr>
          <w:ilvl w:val="1"/>
          <w:numId w:val="4"/>
        </w:numPr>
        <w:pBdr>
          <w:bottom w:val="single" w:sz="4" w:space="1" w:color="auto"/>
        </w:pBdr>
        <w:ind w:left="576" w:hanging="576"/>
        <w:jc w:val="both"/>
        <w:rPr>
          <w:rFonts w:ascii="Times New Roman" w:hAnsi="Times New Roman"/>
          <w:color w:val="auto"/>
          <w:sz w:val="24"/>
          <w:szCs w:val="24"/>
          <w:lang w:val="lt-LT"/>
        </w:rPr>
      </w:pPr>
      <w:bookmarkStart w:id="163" w:name="_Toc59107561"/>
      <w:r w:rsidRPr="00650EE4">
        <w:rPr>
          <w:rFonts w:ascii="Times New Roman" w:hAnsi="Times New Roman"/>
          <w:color w:val="auto"/>
          <w:sz w:val="24"/>
          <w:szCs w:val="24"/>
          <w:lang w:val="lt-LT"/>
        </w:rPr>
        <w:lastRenderedPageBreak/>
        <w:t>S</w:t>
      </w:r>
      <w:r w:rsidR="00F81404" w:rsidRPr="00650EE4">
        <w:rPr>
          <w:rFonts w:ascii="Times New Roman" w:hAnsi="Times New Roman"/>
          <w:color w:val="auto"/>
          <w:sz w:val="24"/>
          <w:szCs w:val="24"/>
          <w:lang w:val="lt-LT"/>
        </w:rPr>
        <w:t xml:space="preserve">trategijos įgyvendinimo </w:t>
      </w:r>
      <w:r w:rsidR="00BE54C9" w:rsidRPr="00650EE4">
        <w:rPr>
          <w:rFonts w:ascii="Times New Roman" w:hAnsi="Times New Roman"/>
          <w:color w:val="auto"/>
          <w:sz w:val="24"/>
          <w:szCs w:val="24"/>
          <w:lang w:val="lt-LT"/>
        </w:rPr>
        <w:t>rodikliai</w:t>
      </w:r>
      <w:bookmarkEnd w:id="163"/>
    </w:p>
    <w:p w14:paraId="23B6E45A" w14:textId="29FD1C7B" w:rsidR="006866B5" w:rsidRPr="00650EE4" w:rsidRDefault="00367082" w:rsidP="00367082">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w:t>
      </w:r>
      <w:r w:rsidR="00B22481" w:rsidRPr="00650EE4">
        <w:rPr>
          <w:rFonts w:ascii="Times New Roman" w:hAnsi="Times New Roman"/>
          <w:bCs/>
          <w:color w:val="000000" w:themeColor="text1"/>
        </w:rPr>
        <w:t xml:space="preserve">numatomi IRS </w:t>
      </w:r>
      <w:r w:rsidR="003445F7" w:rsidRPr="00650EE4">
        <w:rPr>
          <w:rFonts w:ascii="Times New Roman" w:hAnsi="Times New Roman"/>
          <w:bCs/>
          <w:color w:val="000000" w:themeColor="text1"/>
        </w:rPr>
        <w:t>įgyvendinimo</w:t>
      </w:r>
      <w:r w:rsidR="00B22481" w:rsidRPr="00650EE4">
        <w:rPr>
          <w:rFonts w:ascii="Times New Roman" w:hAnsi="Times New Roman"/>
          <w:bCs/>
          <w:color w:val="000000" w:themeColor="text1"/>
        </w:rPr>
        <w:t xml:space="preserve"> </w:t>
      </w:r>
      <w:r w:rsidR="003445F7" w:rsidRPr="00650EE4">
        <w:rPr>
          <w:rFonts w:ascii="Times New Roman" w:hAnsi="Times New Roman"/>
          <w:bCs/>
          <w:color w:val="000000" w:themeColor="text1"/>
        </w:rPr>
        <w:t>rodikliai</w:t>
      </w:r>
      <w:r w:rsidR="00B22481" w:rsidRPr="00650EE4">
        <w:rPr>
          <w:rFonts w:ascii="Times New Roman" w:hAnsi="Times New Roman"/>
          <w:bCs/>
          <w:color w:val="000000" w:themeColor="text1"/>
        </w:rPr>
        <w:t xml:space="preserve"> ir orientaciniai 2030 m., 2040 m. ir 2050 m. tarpiniai tikslai. </w:t>
      </w:r>
    </w:p>
    <w:p w14:paraId="0F1DBD92" w14:textId="77777777" w:rsidR="009E3D51" w:rsidRPr="00650EE4" w:rsidRDefault="009E3D51" w:rsidP="00367082">
      <w:pPr>
        <w:jc w:val="both"/>
        <w:rPr>
          <w:rFonts w:ascii="Times New Roman" w:hAnsi="Times New Roman"/>
          <w:color w:val="000000" w:themeColor="text1"/>
          <w:szCs w:val="22"/>
        </w:rPr>
      </w:pPr>
    </w:p>
    <w:p w14:paraId="0586C7EF" w14:textId="66C1EE30" w:rsidR="006866B5" w:rsidRPr="00650EE4"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4" w:name="_Toc59094235"/>
      <w:r w:rsidR="00F25C65">
        <w:t>52</w:t>
      </w:r>
      <w:r w:rsidRPr="00650EE4">
        <w:rPr>
          <w:noProof w:val="0"/>
        </w:rPr>
        <w:fldChar w:fldCharType="end"/>
      </w:r>
      <w:r w:rsidR="001E6DEB" w:rsidRPr="00650EE4">
        <w:rPr>
          <w:noProof w:val="0"/>
        </w:rPr>
        <w:t xml:space="preserve"> lentelė</w:t>
      </w:r>
      <w:r w:rsidR="006866B5" w:rsidRPr="00650EE4">
        <w:rPr>
          <w:noProof w:val="0"/>
        </w:rPr>
        <w:t xml:space="preserve">. </w:t>
      </w:r>
      <w:r w:rsidR="00181620" w:rsidRPr="00650EE4">
        <w:rPr>
          <w:noProof w:val="0"/>
        </w:rPr>
        <w:t>Renovacijos strategijos siekiami rodikliai</w:t>
      </w:r>
      <w:bookmarkEnd w:id="164"/>
      <w:r w:rsidR="006866B5" w:rsidRPr="00650EE4">
        <w:rPr>
          <w:noProof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7"/>
        <w:gridCol w:w="1055"/>
        <w:gridCol w:w="975"/>
        <w:gridCol w:w="975"/>
        <w:gridCol w:w="975"/>
        <w:gridCol w:w="973"/>
      </w:tblGrid>
      <w:tr w:rsidR="000A0925" w:rsidRPr="00650EE4" w14:paraId="51DAF966"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1CB73E" w14:textId="77777777" w:rsidR="000A0925" w:rsidRPr="00650EE4" w:rsidRDefault="000A0925" w:rsidP="00910123">
            <w:pPr>
              <w:spacing w:line="240" w:lineRule="auto"/>
              <w:rPr>
                <w:rFonts w:ascii="Times New Roman" w:eastAsia="Times New Roman" w:hAnsi="Times New Roman"/>
                <w:b/>
                <w:bCs/>
                <w:sz w:val="20"/>
                <w:szCs w:val="20"/>
                <w:lang w:eastAsia="lt-LT"/>
              </w:rPr>
            </w:pPr>
            <w:bookmarkStart w:id="165" w:name="_Toc46399963"/>
            <w:r w:rsidRPr="00650EE4">
              <w:rPr>
                <w:rFonts w:ascii="Times New Roman" w:eastAsia="Times New Roman" w:hAnsi="Times New Roman"/>
                <w:b/>
                <w:bCs/>
                <w:sz w:val="20"/>
                <w:szCs w:val="20"/>
                <w:lang w:eastAsia="lt-LT"/>
              </w:rPr>
              <w:t>Rodiklis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AEAB0E" w14:textId="77777777" w:rsidR="000A0925" w:rsidRPr="00650EE4" w:rsidRDefault="000A0925" w:rsidP="00910123">
            <w:pPr>
              <w:spacing w:line="240" w:lineRule="auto"/>
              <w:ind w:right="-62"/>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4F048" w14:textId="77777777" w:rsidR="000A0925" w:rsidRPr="00650EE4" w:rsidRDefault="000A0925" w:rsidP="00910123">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E2DCD6" w14:textId="77777777" w:rsidR="000A0925" w:rsidRPr="00650EE4" w:rsidRDefault="000A0925" w:rsidP="00910123">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3EE020" w14:textId="77777777" w:rsidR="000A0925" w:rsidRPr="00650EE4" w:rsidRDefault="000A0925" w:rsidP="00910123">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28F20F" w14:textId="77777777" w:rsidR="000A0925" w:rsidRPr="00650EE4" w:rsidRDefault="000A0925" w:rsidP="00910123">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2050</w:t>
            </w:r>
          </w:p>
        </w:tc>
      </w:tr>
      <w:tr w:rsidR="000A0925" w:rsidRPr="0093740C" w14:paraId="71D61EA0"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9E90A0"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 Metinis pirminės energijos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61F2A68" w14:textId="77777777" w:rsidR="000A0925" w:rsidRPr="0093740C" w:rsidRDefault="000A0925" w:rsidP="00910123">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AAC149"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40.827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5B768"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34.759</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19D8DD"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25.888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16615"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16.162</w:t>
            </w:r>
          </w:p>
        </w:tc>
      </w:tr>
      <w:tr w:rsidR="000A0925" w:rsidRPr="0093740C" w14:paraId="0E59AC71"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E61C8A7"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R2. Metinis pirminės energijos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B7121"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0FDD3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A7A70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85%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C0B6F3"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63%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377392"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w:t>
            </w:r>
          </w:p>
        </w:tc>
      </w:tr>
      <w:tr w:rsidR="000A0925" w:rsidRPr="0093740C" w14:paraId="25B8B058"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391D08"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R3. Metinis pirminės energijos (ne AEI)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1B754E" w14:textId="77777777" w:rsidR="000A0925" w:rsidRPr="0093740C" w:rsidRDefault="000A0925" w:rsidP="00910123">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36FEA0E"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26.407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3082E"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19.865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DB888"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10.369</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D21DB"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27</w:t>
            </w:r>
          </w:p>
        </w:tc>
      </w:tr>
      <w:tr w:rsidR="000A0925" w:rsidRPr="0093740C" w14:paraId="069FD1C8"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51D518"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R4. Metinis pirminės energijos (ne AEI) energijos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8CB3E"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49D4F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7C514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75%</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1474EE3"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39%</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7AA2D7C"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r>
      <w:tr w:rsidR="000A0925" w:rsidRPr="0093740C" w14:paraId="344FC9E1"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3F9011"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R5. CO2 emisijos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86AEAB"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ktCO2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2E7D5CC"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5.287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01E0B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4.003</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1735C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2.108</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7811CD"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0A0925" w:rsidRPr="0093740C" w14:paraId="1026CD21"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007F7F"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R6. CO2 emisijos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282545"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2AA4C0"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FF4E0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76%</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61ABE1"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40%</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0B8CD7"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r>
      <w:tr w:rsidR="000A0925" w:rsidRPr="0093740C" w14:paraId="515FC037"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B98273C"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R7. Neefektyvių (≤D klasės)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725F4C6" w14:textId="0D5937FA" w:rsidR="000A0925" w:rsidRPr="0093740C" w:rsidRDefault="000A0925" w:rsidP="00910123">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93740C">
              <w:rPr>
                <w:rFonts w:ascii="Times New Roman" w:eastAsia="Times New Roman" w:hAnsi="Times New Roman"/>
                <w:sz w:val="20"/>
                <w:szCs w:val="20"/>
                <w:lang w:eastAsia="lt-LT"/>
              </w:rPr>
              <w:t>m</w:t>
            </w:r>
            <w:r w:rsidRPr="000A0925">
              <w:rPr>
                <w:rFonts w:ascii="Times New Roman" w:eastAsia="Times New Roman" w:hAnsi="Times New Roman"/>
                <w:sz w:val="20"/>
                <w:szCs w:val="20"/>
                <w:vertAlign w:val="superscript"/>
                <w:lang w:eastAsia="lt-LT"/>
              </w:rPr>
              <w:t>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62C30C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108.924</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597015"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85.887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2DAB46"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54.043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106782"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19.981</w:t>
            </w:r>
          </w:p>
        </w:tc>
      </w:tr>
      <w:tr w:rsidR="000A0925" w:rsidRPr="0093740C" w14:paraId="6AAF87B8"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5DDD96"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R8. Neefektyvių (≤D klasės) pastatų vartojimas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0ABB00" w14:textId="77777777" w:rsidR="000A0925" w:rsidRPr="0093740C" w:rsidRDefault="000A0925" w:rsidP="00910123">
            <w:pPr>
              <w:spacing w:line="240" w:lineRule="auto"/>
              <w:ind w:right="-62"/>
              <w:rPr>
                <w:rFonts w:ascii="Times New Roman" w:eastAsia="Times New Roman" w:hAnsi="Times New Roman"/>
                <w:sz w:val="20"/>
                <w:szCs w:val="20"/>
                <w:lang w:eastAsia="lt-LT"/>
              </w:rPr>
            </w:pPr>
            <w:proofErr w:type="spellStart"/>
            <w:r w:rsidRPr="0093740C">
              <w:rPr>
                <w:rFonts w:ascii="Times New Roman" w:eastAsia="Times New Roman" w:hAnsi="Times New Roman"/>
                <w:sz w:val="20"/>
                <w:szCs w:val="20"/>
                <w:lang w:eastAsia="lt-LT"/>
              </w:rPr>
              <w:t>GWh</w:t>
            </w:r>
            <w:proofErr w:type="spellEnd"/>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B4E456"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31.601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A8A251"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24.208</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67C68E"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14.306</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5391A37"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3.717</w:t>
            </w:r>
          </w:p>
        </w:tc>
      </w:tr>
      <w:tr w:rsidR="000A0925" w:rsidRPr="0093740C" w14:paraId="21CB1707"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AF69294"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R9. Neefektyvių (≤D klasės) pastatų vartojimas (lyginant su 2020)</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6237D2"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04371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C2A2AE"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E7DCE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1369B5"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12%</w:t>
            </w:r>
          </w:p>
        </w:tc>
      </w:tr>
      <w:tr w:rsidR="000A0925" w:rsidRPr="0093740C" w14:paraId="54DB5EA4"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3F2BF5"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R10. Renovuotų pastatų skaičius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D860343"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vnt.</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7F017"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027886"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99.281</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D6822D"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255.421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4CB57C"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436.008</w:t>
            </w:r>
          </w:p>
        </w:tc>
      </w:tr>
      <w:tr w:rsidR="000A0925" w:rsidRPr="0093740C" w14:paraId="317F4812"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ECA9882"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R11. Renovuotų pastatų dalis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9B8C0"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416B73"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C4027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9FEB26"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0CC8C7"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74%</w:t>
            </w:r>
          </w:p>
        </w:tc>
      </w:tr>
      <w:tr w:rsidR="000A0925" w:rsidRPr="0093740C" w14:paraId="027CD194"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FCA2D7"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R12. Renovuotų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001D2C" w14:textId="5F63DB68" w:rsidR="000A0925" w:rsidRPr="0093740C" w:rsidRDefault="000A0925" w:rsidP="00910123">
            <w:pPr>
              <w:spacing w:line="240" w:lineRule="auto"/>
              <w:ind w:right="-6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93740C">
              <w:rPr>
                <w:rFonts w:ascii="Times New Roman" w:eastAsia="Times New Roman" w:hAnsi="Times New Roman"/>
                <w:sz w:val="20"/>
                <w:szCs w:val="20"/>
                <w:lang w:eastAsia="lt-LT"/>
              </w:rPr>
              <w:t>m</w:t>
            </w:r>
            <w:r w:rsidRPr="000A0925">
              <w:rPr>
                <w:rFonts w:ascii="Times New Roman" w:eastAsia="Times New Roman" w:hAnsi="Times New Roman"/>
                <w:sz w:val="20"/>
                <w:szCs w:val="20"/>
                <w:vertAlign w:val="superscript"/>
                <w:lang w:eastAsia="lt-LT"/>
              </w:rPr>
              <w:t>2</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6BFF9F"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3A3A0C"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27.819</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D1BC8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67.233</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B3B06B2"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109.534</w:t>
            </w:r>
          </w:p>
        </w:tc>
      </w:tr>
      <w:tr w:rsidR="000A0925" w:rsidRPr="0093740C" w14:paraId="199A067A" w14:textId="77777777" w:rsidTr="00910123">
        <w:tc>
          <w:tcPr>
            <w:tcW w:w="26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0D85C" w14:textId="77777777" w:rsidR="000A0925" w:rsidRPr="0093740C" w:rsidRDefault="000A0925" w:rsidP="00910123">
            <w:pPr>
              <w:spacing w:line="240" w:lineRule="auto"/>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R13. Renovuotų pastatų plotas</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F900BD" w14:textId="77777777" w:rsidR="000A0925" w:rsidRPr="0093740C" w:rsidRDefault="000A0925" w:rsidP="00910123">
            <w:pPr>
              <w:spacing w:line="240" w:lineRule="auto"/>
              <w:ind w:right="-62"/>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proc.</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9E2FCA"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0%</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9C1A82"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17%</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1BF50"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41%</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052646" w14:textId="77777777" w:rsidR="000A0925" w:rsidRPr="0093740C" w:rsidRDefault="000A0925" w:rsidP="00910123">
            <w:pPr>
              <w:spacing w:line="240" w:lineRule="auto"/>
              <w:jc w:val="right"/>
              <w:rPr>
                <w:rFonts w:ascii="Times New Roman" w:eastAsia="Times New Roman" w:hAnsi="Times New Roman"/>
                <w:sz w:val="20"/>
                <w:szCs w:val="20"/>
                <w:lang w:eastAsia="lt-LT"/>
              </w:rPr>
            </w:pPr>
            <w:r w:rsidRPr="0093740C">
              <w:rPr>
                <w:rFonts w:ascii="Times New Roman" w:eastAsia="Times New Roman" w:hAnsi="Times New Roman"/>
                <w:sz w:val="20"/>
                <w:szCs w:val="20"/>
                <w:lang w:eastAsia="lt-LT"/>
              </w:rPr>
              <w:t>66%</w:t>
            </w:r>
          </w:p>
        </w:tc>
      </w:tr>
    </w:tbl>
    <w:p w14:paraId="025AC9F2" w14:textId="0D34BD75" w:rsidR="006D0165" w:rsidRPr="00650EE4" w:rsidRDefault="00A336F1" w:rsidP="00631BA6">
      <w:pPr>
        <w:pStyle w:val="TESlentelspavadinimas"/>
        <w:rPr>
          <w:noProof w:val="0"/>
        </w:rPr>
      </w:pPr>
      <w:r w:rsidRPr="00650EE4">
        <w:rPr>
          <w:noProof w:val="0"/>
        </w:rPr>
        <w:t>Šaltinis: S</w:t>
      </w:r>
      <w:r w:rsidR="006D0165" w:rsidRPr="00650EE4">
        <w:rPr>
          <w:noProof w:val="0"/>
        </w:rPr>
        <w:t>tudijos</w:t>
      </w:r>
      <w:r w:rsidR="00DD791C" w:rsidRPr="00DD791C">
        <w:rPr>
          <w:iCs/>
          <w:color w:val="auto"/>
        </w:rPr>
        <w:t xml:space="preserve"> </w:t>
      </w:r>
      <w:r w:rsidR="00DD791C" w:rsidRPr="00874EAF">
        <w:rPr>
          <w:iCs/>
          <w:color w:val="auto"/>
        </w:rPr>
        <w:t>Lietuvos ilgalaikei renovacijos strategijai parengti</w:t>
      </w:r>
      <w:r w:rsidR="006D0165" w:rsidRPr="00650EE4">
        <w:rPr>
          <w:noProof w:val="0"/>
        </w:rPr>
        <w:t xml:space="preserve"> autoriai</w:t>
      </w:r>
    </w:p>
    <w:p w14:paraId="42D34546" w14:textId="77777777" w:rsidR="00E3547E" w:rsidRPr="00650EE4" w:rsidRDefault="00E3547E" w:rsidP="00E3547E">
      <w:pPr>
        <w:rPr>
          <w:rFonts w:ascii="Times New Roman" w:hAnsi="Times New Roman"/>
          <w:szCs w:val="22"/>
        </w:rPr>
      </w:pPr>
    </w:p>
    <w:p w14:paraId="3E155C0E" w14:textId="77777777" w:rsidR="00E3547E" w:rsidRPr="00650EE4" w:rsidRDefault="00E3547E" w:rsidP="00E3547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547965D1" w14:textId="71165A3B" w:rsidR="00E3547E" w:rsidRPr="00650EE4" w:rsidRDefault="00CA4BA9" w:rsidP="00477E09">
      <w:pPr>
        <w:pStyle w:val="Pagrindinispaprastastekstas"/>
        <w:numPr>
          <w:ilvl w:val="0"/>
          <w:numId w:val="13"/>
        </w:numPr>
        <w:rPr>
          <w:rFonts w:ascii="Times New Roman" w:hAnsi="Times New Roman"/>
          <w:szCs w:val="22"/>
        </w:rPr>
      </w:pPr>
      <w:r>
        <w:rPr>
          <w:rFonts w:ascii="Times New Roman" w:hAnsi="Times New Roman"/>
          <w:szCs w:val="22"/>
        </w:rPr>
        <w:t>p</w:t>
      </w:r>
      <w:r w:rsidR="00E3547E" w:rsidRPr="00650EE4">
        <w:rPr>
          <w:rFonts w:ascii="Times New Roman" w:hAnsi="Times New Roman"/>
          <w:szCs w:val="22"/>
        </w:rPr>
        <w:t>lanuojamu laikotarpiu bus siekiama</w:t>
      </w:r>
      <w:r w:rsidR="00764D8F" w:rsidRPr="00650EE4">
        <w:rPr>
          <w:rFonts w:ascii="Times New Roman" w:hAnsi="Times New Roman"/>
          <w:szCs w:val="22"/>
        </w:rPr>
        <w:t xml:space="preserve">, kad renovacijoje dalyvautų </w:t>
      </w:r>
      <w:r w:rsidR="00711D8B" w:rsidRPr="00650EE4">
        <w:rPr>
          <w:rFonts w:ascii="Times New Roman" w:hAnsi="Times New Roman"/>
          <w:szCs w:val="22"/>
        </w:rPr>
        <w:t>beveik 440</w:t>
      </w:r>
      <w:r w:rsidR="00E3547E" w:rsidRPr="00650EE4">
        <w:rPr>
          <w:rFonts w:ascii="Times New Roman" w:hAnsi="Times New Roman"/>
          <w:szCs w:val="22"/>
        </w:rPr>
        <w:t xml:space="preserve"> tūkst. pastatų (</w:t>
      </w:r>
      <w:r w:rsidR="00957A18" w:rsidRPr="00650EE4">
        <w:rPr>
          <w:rFonts w:ascii="Times New Roman" w:hAnsi="Times New Roman"/>
          <w:szCs w:val="22"/>
        </w:rPr>
        <w:t>74</w:t>
      </w:r>
      <w:r w:rsidR="00E3547E" w:rsidRPr="00650EE4">
        <w:rPr>
          <w:rFonts w:ascii="Times New Roman" w:hAnsi="Times New Roman"/>
          <w:szCs w:val="22"/>
        </w:rPr>
        <w:t xml:space="preserve"> proc.</w:t>
      </w:r>
      <w:r w:rsidR="00677B2E" w:rsidRPr="00650EE4">
        <w:rPr>
          <w:rFonts w:ascii="Times New Roman" w:hAnsi="Times New Roman"/>
          <w:szCs w:val="22"/>
        </w:rPr>
        <w:t xml:space="preserve"> viso pastatų fondo</w:t>
      </w:r>
      <w:r w:rsidR="00E3547E" w:rsidRPr="00650EE4">
        <w:rPr>
          <w:rFonts w:ascii="Times New Roman" w:hAnsi="Times New Roman"/>
          <w:szCs w:val="22"/>
        </w:rPr>
        <w:t>);</w:t>
      </w:r>
    </w:p>
    <w:p w14:paraId="577910E2" w14:textId="2BED8A4C" w:rsidR="00E3547E" w:rsidRPr="00650EE4" w:rsidRDefault="00CA4BA9" w:rsidP="007271BF">
      <w:pPr>
        <w:pStyle w:val="Pagrindinispaprastastekstas"/>
        <w:numPr>
          <w:ilvl w:val="0"/>
          <w:numId w:val="13"/>
        </w:numPr>
        <w:rPr>
          <w:rFonts w:ascii="Times New Roman" w:hAnsi="Times New Roman"/>
          <w:szCs w:val="22"/>
        </w:rPr>
      </w:pPr>
      <w:r>
        <w:rPr>
          <w:rFonts w:ascii="Times New Roman" w:hAnsi="Times New Roman"/>
          <w:szCs w:val="22"/>
        </w:rPr>
        <w:t>p</w:t>
      </w:r>
      <w:r w:rsidR="00E3547E" w:rsidRPr="00650EE4">
        <w:rPr>
          <w:rFonts w:ascii="Times New Roman" w:hAnsi="Times New Roman"/>
          <w:szCs w:val="22"/>
        </w:rPr>
        <w:t>o renovacijos</w:t>
      </w:r>
      <w:r w:rsidR="00E16548">
        <w:rPr>
          <w:rFonts w:ascii="Times New Roman" w:hAnsi="Times New Roman"/>
          <w:szCs w:val="22"/>
        </w:rPr>
        <w:t xml:space="preserve"> ir energetikos sektoriaus transformacijos</w:t>
      </w:r>
      <w:r w:rsidR="00E3547E" w:rsidRPr="00650EE4">
        <w:rPr>
          <w:rFonts w:ascii="Times New Roman" w:hAnsi="Times New Roman"/>
          <w:szCs w:val="22"/>
        </w:rPr>
        <w:t xml:space="preserve"> pirminės energijos vartojimas sumažės </w:t>
      </w:r>
      <w:r w:rsidR="00E16548">
        <w:rPr>
          <w:rFonts w:ascii="Times New Roman" w:hAnsi="Times New Roman"/>
          <w:szCs w:val="22"/>
          <w:lang w:val="en-GB"/>
        </w:rPr>
        <w:t>60</w:t>
      </w:r>
      <w:r w:rsidR="00E3547E" w:rsidRPr="00650EE4">
        <w:rPr>
          <w:rFonts w:ascii="Times New Roman" w:hAnsi="Times New Roman"/>
          <w:szCs w:val="22"/>
        </w:rPr>
        <w:t xml:space="preserve"> proc. (neefektyviausių pastatų – </w:t>
      </w:r>
      <w:r w:rsidR="00E16548">
        <w:rPr>
          <w:rFonts w:ascii="Times New Roman" w:hAnsi="Times New Roman"/>
          <w:szCs w:val="22"/>
        </w:rPr>
        <w:t>88</w:t>
      </w:r>
      <w:r w:rsidR="006C3B91" w:rsidRPr="00650EE4">
        <w:rPr>
          <w:rFonts w:ascii="Times New Roman" w:hAnsi="Times New Roman"/>
          <w:szCs w:val="22"/>
        </w:rPr>
        <w:t xml:space="preserve"> </w:t>
      </w:r>
      <w:r w:rsidR="00E3547E" w:rsidRPr="00650EE4">
        <w:rPr>
          <w:rFonts w:ascii="Times New Roman" w:hAnsi="Times New Roman"/>
          <w:szCs w:val="22"/>
        </w:rPr>
        <w:t>proc.)</w:t>
      </w:r>
      <w:r w:rsidR="006C3B91" w:rsidRPr="00650EE4">
        <w:rPr>
          <w:rFonts w:ascii="Times New Roman" w:hAnsi="Times New Roman"/>
          <w:szCs w:val="22"/>
        </w:rPr>
        <w:t xml:space="preserve">, </w:t>
      </w:r>
      <w:r w:rsidR="00E3547E" w:rsidRPr="00650EE4">
        <w:rPr>
          <w:rFonts w:ascii="Times New Roman" w:hAnsi="Times New Roman"/>
          <w:szCs w:val="22"/>
        </w:rPr>
        <w:t>CO</w:t>
      </w:r>
      <w:r w:rsidR="00E3547E" w:rsidRPr="00650EE4">
        <w:rPr>
          <w:rFonts w:ascii="Times New Roman" w:hAnsi="Times New Roman"/>
          <w:szCs w:val="22"/>
          <w:vertAlign w:val="subscript"/>
        </w:rPr>
        <w:t>2</w:t>
      </w:r>
      <w:r w:rsidR="00E3547E" w:rsidRPr="00650EE4">
        <w:rPr>
          <w:rFonts w:ascii="Times New Roman" w:hAnsi="Times New Roman"/>
          <w:szCs w:val="22"/>
        </w:rPr>
        <w:t xml:space="preserve"> emisijos sumažės </w:t>
      </w:r>
      <w:r w:rsidR="00E16548">
        <w:rPr>
          <w:rFonts w:ascii="Times New Roman" w:hAnsi="Times New Roman"/>
          <w:szCs w:val="22"/>
        </w:rPr>
        <w:t>100</w:t>
      </w:r>
      <w:r w:rsidR="00E3547E" w:rsidRPr="00650EE4">
        <w:rPr>
          <w:rFonts w:ascii="Times New Roman" w:hAnsi="Times New Roman"/>
          <w:szCs w:val="22"/>
        </w:rPr>
        <w:t xml:space="preserve"> proc.;</w:t>
      </w:r>
    </w:p>
    <w:p w14:paraId="48EEBF25" w14:textId="611BD30E" w:rsidR="006C3B91" w:rsidRPr="00650EE4" w:rsidRDefault="00CA4BA9" w:rsidP="007271BF">
      <w:pPr>
        <w:pStyle w:val="Pagrindinispaprastastekstas"/>
        <w:numPr>
          <w:ilvl w:val="0"/>
          <w:numId w:val="13"/>
        </w:numPr>
        <w:rPr>
          <w:rFonts w:ascii="Times New Roman" w:hAnsi="Times New Roman"/>
          <w:szCs w:val="22"/>
        </w:rPr>
      </w:pPr>
      <w:r>
        <w:rPr>
          <w:rFonts w:ascii="Times New Roman" w:hAnsi="Times New Roman"/>
          <w:szCs w:val="22"/>
        </w:rPr>
        <w:t>p</w:t>
      </w:r>
      <w:r w:rsidR="006C3B91" w:rsidRPr="00650EE4">
        <w:rPr>
          <w:rFonts w:ascii="Times New Roman" w:hAnsi="Times New Roman"/>
          <w:szCs w:val="22"/>
        </w:rPr>
        <w:t xml:space="preserve">rasčiausio energinio efektyvumo pastatų dalis visame fonde sumažės nuo </w:t>
      </w:r>
      <w:r w:rsidR="009B7163" w:rsidRPr="00650EE4">
        <w:rPr>
          <w:rFonts w:ascii="Times New Roman" w:hAnsi="Times New Roman"/>
          <w:szCs w:val="22"/>
        </w:rPr>
        <w:t>66 proc. (2020 m.) iki 25 proc. (2050 m.)</w:t>
      </w:r>
      <w:r w:rsidR="00881ACD" w:rsidRPr="00650EE4">
        <w:rPr>
          <w:rFonts w:ascii="Times New Roman" w:hAnsi="Times New Roman"/>
          <w:szCs w:val="22"/>
        </w:rPr>
        <w:t>.</w:t>
      </w:r>
    </w:p>
    <w:p w14:paraId="3BEFAB71" w14:textId="340E627B" w:rsidR="00881ACD" w:rsidRPr="00650EE4" w:rsidRDefault="00881ACD" w:rsidP="00C85B01">
      <w:pPr>
        <w:spacing w:before="120"/>
        <w:jc w:val="both"/>
        <w:rPr>
          <w:rFonts w:ascii="Times New Roman" w:hAnsi="Times New Roman"/>
          <w:szCs w:val="22"/>
        </w:rPr>
      </w:pPr>
      <w:r w:rsidRPr="00650EE4">
        <w:rPr>
          <w:rFonts w:ascii="Times New Roman" w:hAnsi="Times New Roman"/>
          <w:szCs w:val="22"/>
        </w:rPr>
        <w:t xml:space="preserve">Akivaizdu, kad siekiant IRS transformacijos rodiklių </w:t>
      </w:r>
      <w:r w:rsidR="00B302BA" w:rsidRPr="00650EE4">
        <w:rPr>
          <w:rFonts w:ascii="Times New Roman" w:hAnsi="Times New Roman"/>
          <w:szCs w:val="22"/>
        </w:rPr>
        <w:t xml:space="preserve">turi reikšmingai didėti </w:t>
      </w:r>
      <w:r w:rsidR="008E687E" w:rsidRPr="00650EE4">
        <w:rPr>
          <w:rFonts w:ascii="Times New Roman" w:hAnsi="Times New Roman"/>
          <w:szCs w:val="22"/>
        </w:rPr>
        <w:t xml:space="preserve">tiek </w:t>
      </w:r>
      <w:r w:rsidR="00B302BA" w:rsidRPr="00650EE4">
        <w:rPr>
          <w:rFonts w:ascii="Times New Roman" w:hAnsi="Times New Roman"/>
          <w:szCs w:val="22"/>
        </w:rPr>
        <w:t>renovacijos tempai (</w:t>
      </w:r>
      <w:r w:rsidR="008E687E" w:rsidRPr="00650EE4">
        <w:rPr>
          <w:rFonts w:ascii="Times New Roman" w:hAnsi="Times New Roman"/>
          <w:szCs w:val="22"/>
        </w:rPr>
        <w:t>renovuojamų pastatų skaičius) tiek</w:t>
      </w:r>
      <w:r w:rsidR="00B302BA" w:rsidRPr="00650EE4">
        <w:rPr>
          <w:rFonts w:ascii="Times New Roman" w:hAnsi="Times New Roman"/>
          <w:szCs w:val="22"/>
        </w:rPr>
        <w:t xml:space="preserve"> renovacijos gylis (vykdomų renovacijos priemonių pasiekiami sutaupymai). </w:t>
      </w:r>
      <w:r w:rsidR="00195125" w:rsidRPr="00650EE4">
        <w:rPr>
          <w:rFonts w:ascii="Times New Roman" w:hAnsi="Times New Roman"/>
          <w:szCs w:val="22"/>
        </w:rPr>
        <w:t xml:space="preserve">Atitinkamai, </w:t>
      </w:r>
      <w:r w:rsidR="00E71F27" w:rsidRPr="00650EE4">
        <w:rPr>
          <w:rFonts w:ascii="Times New Roman" w:hAnsi="Times New Roman"/>
          <w:szCs w:val="22"/>
        </w:rPr>
        <w:t>reikšmingai padidės investicijų ir</w:t>
      </w:r>
      <w:r w:rsidR="00B302BA" w:rsidRPr="00650EE4">
        <w:rPr>
          <w:rFonts w:ascii="Times New Roman" w:hAnsi="Times New Roman"/>
          <w:szCs w:val="22"/>
        </w:rPr>
        <w:t xml:space="preserve"> finansavimo</w:t>
      </w:r>
      <w:r w:rsidR="00E71F27" w:rsidRPr="00650EE4">
        <w:rPr>
          <w:rFonts w:ascii="Times New Roman" w:hAnsi="Times New Roman"/>
          <w:szCs w:val="22"/>
        </w:rPr>
        <w:t xml:space="preserve"> poreikis</w:t>
      </w:r>
      <w:r w:rsidR="00B302BA" w:rsidRPr="00650EE4">
        <w:rPr>
          <w:rFonts w:ascii="Times New Roman" w:hAnsi="Times New Roman"/>
          <w:szCs w:val="22"/>
        </w:rPr>
        <w:t>.</w:t>
      </w:r>
    </w:p>
    <w:p w14:paraId="749D577F" w14:textId="728510E2" w:rsidR="007D200E" w:rsidRPr="00650EE4" w:rsidRDefault="007D200E" w:rsidP="00B302BA">
      <w:pPr>
        <w:rPr>
          <w:rFonts w:ascii="Times New Roman" w:hAnsi="Times New Roman"/>
          <w:szCs w:val="22"/>
        </w:rPr>
      </w:pPr>
    </w:p>
    <w:p w14:paraId="70E42D09" w14:textId="4B0E09DE" w:rsidR="002F756A" w:rsidRPr="00650EE4" w:rsidRDefault="002F756A" w:rsidP="00B8248E">
      <w:pPr>
        <w:spacing w:after="120"/>
        <w:jc w:val="both"/>
        <w:rPr>
          <w:rFonts w:ascii="Times New Roman" w:hAnsi="Times New Roman"/>
          <w:b/>
          <w:bCs/>
          <w:szCs w:val="24"/>
        </w:rPr>
      </w:pPr>
      <w:r w:rsidRPr="00650EE4">
        <w:rPr>
          <w:rFonts w:ascii="Times New Roman" w:hAnsi="Times New Roman"/>
          <w:b/>
          <w:bCs/>
          <w:szCs w:val="24"/>
        </w:rPr>
        <w:t>Renovacijos tempai</w:t>
      </w:r>
    </w:p>
    <w:p w14:paraId="78EE2DB8" w14:textId="551D7792" w:rsidR="00D13D6B" w:rsidRPr="00650EE4" w:rsidRDefault="0053170A" w:rsidP="002E56F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Norint pasiekti pastatų fondo transformacijai reik</w:t>
      </w:r>
      <w:r w:rsidR="00853868" w:rsidRPr="00650EE4">
        <w:rPr>
          <w:rFonts w:ascii="Times New Roman" w:hAnsi="Times New Roman"/>
          <w:color w:val="000000" w:themeColor="text1"/>
          <w:szCs w:val="22"/>
        </w:rPr>
        <w:t>aling</w:t>
      </w:r>
      <w:r w:rsidRPr="00650EE4">
        <w:rPr>
          <w:rFonts w:ascii="Times New Roman" w:hAnsi="Times New Roman"/>
          <w:color w:val="000000" w:themeColor="text1"/>
          <w:szCs w:val="22"/>
        </w:rPr>
        <w:t xml:space="preserve">us renovacijos tempus reikalingas „įsibėgėjimo“ periodas </w:t>
      </w:r>
      <w:r w:rsidR="00195125" w:rsidRPr="00650EE4">
        <w:rPr>
          <w:rFonts w:ascii="Times New Roman" w:hAnsi="Times New Roman"/>
          <w:color w:val="000000" w:themeColor="text1"/>
          <w:szCs w:val="22"/>
        </w:rPr>
        <w:t xml:space="preserve">per kurį būtų suformuoti paramos priemonių paketai, atlikti reikalingi teisės aktų pakeitimai, statybų bei finansų sektoriai galėtų </w:t>
      </w:r>
      <w:r w:rsidR="00DE75DF" w:rsidRPr="00650EE4">
        <w:rPr>
          <w:rFonts w:ascii="Times New Roman" w:hAnsi="Times New Roman"/>
          <w:color w:val="000000" w:themeColor="text1"/>
          <w:szCs w:val="22"/>
        </w:rPr>
        <w:t>adaptuoti savo resursus</w:t>
      </w:r>
      <w:r w:rsidR="003608AC" w:rsidRPr="00650EE4">
        <w:rPr>
          <w:rFonts w:ascii="Times New Roman" w:hAnsi="Times New Roman"/>
          <w:color w:val="000000" w:themeColor="text1"/>
          <w:szCs w:val="22"/>
        </w:rPr>
        <w:t xml:space="preserve">, </w:t>
      </w:r>
      <w:r w:rsidR="00DE75DF" w:rsidRPr="00650EE4">
        <w:rPr>
          <w:rFonts w:ascii="Times New Roman" w:hAnsi="Times New Roman"/>
          <w:color w:val="000000" w:themeColor="text1"/>
          <w:szCs w:val="22"/>
        </w:rPr>
        <w:t xml:space="preserve">procesus ir pan. </w:t>
      </w:r>
    </w:p>
    <w:p w14:paraId="6DD0A35C" w14:textId="7859DA2E" w:rsidR="00AF1264" w:rsidRPr="00650EE4" w:rsidRDefault="00AF1264" w:rsidP="002E56FE">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pateikiamas planuojamo per metus renovuoti pastatų skaičiaus didėjamas atspindi tiek „įsibėgėjimo“ periodą</w:t>
      </w:r>
      <w:r w:rsidR="00693D7B"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tiek prioritetą didesnio </w:t>
      </w:r>
      <w:r w:rsidR="00693D7B" w:rsidRPr="00650EE4">
        <w:rPr>
          <w:rFonts w:ascii="Times New Roman" w:hAnsi="Times New Roman"/>
          <w:color w:val="000000" w:themeColor="text1"/>
          <w:szCs w:val="22"/>
        </w:rPr>
        <w:t xml:space="preserve">ploto pastatams (daugiabučiams), </w:t>
      </w:r>
      <w:r w:rsidRPr="00650EE4">
        <w:rPr>
          <w:rFonts w:ascii="Times New Roman" w:hAnsi="Times New Roman"/>
          <w:color w:val="000000" w:themeColor="text1"/>
          <w:szCs w:val="22"/>
        </w:rPr>
        <w:t>IRS įgyvendinimo laikotarpio pradžioje.</w:t>
      </w:r>
    </w:p>
    <w:p w14:paraId="7403882F" w14:textId="77777777" w:rsidR="003802B5" w:rsidRPr="00650EE4" w:rsidRDefault="006B5EA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6" w:name="_Toc59094236"/>
      <w:r w:rsidR="00F25C65">
        <w:t>53</w:t>
      </w:r>
      <w:r w:rsidRPr="00650EE4">
        <w:rPr>
          <w:noProof w:val="0"/>
        </w:rPr>
        <w:fldChar w:fldCharType="end"/>
      </w:r>
      <w:r w:rsidRPr="00650EE4">
        <w:rPr>
          <w:noProof w:val="0"/>
        </w:rPr>
        <w:t xml:space="preserve"> lentelė. Renovacijos tempai</w:t>
      </w:r>
      <w:r w:rsidR="00CD6FFA" w:rsidRPr="00650EE4">
        <w:rPr>
          <w:noProof w:val="0"/>
        </w:rPr>
        <w:t xml:space="preserve"> – </w:t>
      </w:r>
      <w:r w:rsidRPr="00650EE4">
        <w:rPr>
          <w:noProof w:val="0"/>
        </w:rPr>
        <w:t xml:space="preserve"> renovuojamų pastatų skaičius per metus</w:t>
      </w:r>
      <w:bookmarkEnd w:id="166"/>
    </w:p>
    <w:tbl>
      <w:tblPr>
        <w:tblW w:w="5000" w:type="pct"/>
        <w:tblLook w:val="04A0" w:firstRow="1" w:lastRow="0" w:firstColumn="1" w:lastColumn="0" w:noHBand="0" w:noVBand="1"/>
      </w:tblPr>
      <w:tblGrid>
        <w:gridCol w:w="2296"/>
        <w:gridCol w:w="1625"/>
        <w:gridCol w:w="1626"/>
        <w:gridCol w:w="1626"/>
        <w:gridCol w:w="1626"/>
        <w:gridCol w:w="1621"/>
      </w:tblGrid>
      <w:tr w:rsidR="00E16548" w:rsidRPr="00650EE4" w14:paraId="09D6AF06" w14:textId="77777777" w:rsidTr="00910123">
        <w:trPr>
          <w:trHeight w:val="255"/>
        </w:trPr>
        <w:tc>
          <w:tcPr>
            <w:tcW w:w="1102"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DFB5E6" w14:textId="77777777" w:rsidR="00E16548" w:rsidRPr="00650EE4" w:rsidRDefault="00E16548"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51FEC4" w14:textId="77777777" w:rsidR="00E16548" w:rsidRPr="00650EE4" w:rsidRDefault="00E16548"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2A76040"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A242FD2"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94B6A73"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7D3F8B79"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r>
      <w:tr w:rsidR="00E16548" w:rsidRPr="00A93038" w14:paraId="481B038B" w14:textId="77777777" w:rsidTr="00910123">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0C053BA5"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nil"/>
              <w:left w:val="nil"/>
              <w:bottom w:val="single" w:sz="4" w:space="0" w:color="auto"/>
              <w:right w:val="single" w:sz="4" w:space="0" w:color="auto"/>
            </w:tcBorders>
            <w:shd w:val="clear" w:color="000000" w:fill="FFFFFF"/>
            <w:noWrap/>
            <w:vAlign w:val="center"/>
            <w:hideMark/>
          </w:tcPr>
          <w:p w14:paraId="3FCDE0D7"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58375EE9"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760</w:t>
            </w:r>
          </w:p>
        </w:tc>
        <w:tc>
          <w:tcPr>
            <w:tcW w:w="780" w:type="pct"/>
            <w:tcBorders>
              <w:top w:val="nil"/>
              <w:left w:val="nil"/>
              <w:bottom w:val="single" w:sz="4" w:space="0" w:color="auto"/>
              <w:right w:val="single" w:sz="4" w:space="0" w:color="auto"/>
            </w:tcBorders>
            <w:shd w:val="clear" w:color="000000" w:fill="FFFFFF"/>
            <w:vAlign w:val="center"/>
            <w:hideMark/>
          </w:tcPr>
          <w:p w14:paraId="5F41036F"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1.086</w:t>
            </w:r>
          </w:p>
        </w:tc>
        <w:tc>
          <w:tcPr>
            <w:tcW w:w="780" w:type="pct"/>
            <w:tcBorders>
              <w:top w:val="nil"/>
              <w:left w:val="nil"/>
              <w:bottom w:val="single" w:sz="4" w:space="0" w:color="auto"/>
              <w:right w:val="single" w:sz="4" w:space="0" w:color="auto"/>
            </w:tcBorders>
            <w:shd w:val="clear" w:color="000000" w:fill="FFFFFF"/>
            <w:vAlign w:val="center"/>
            <w:hideMark/>
          </w:tcPr>
          <w:p w14:paraId="5C2D9DA7"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1.083</w:t>
            </w:r>
          </w:p>
        </w:tc>
        <w:tc>
          <w:tcPr>
            <w:tcW w:w="779" w:type="pct"/>
            <w:tcBorders>
              <w:top w:val="nil"/>
              <w:left w:val="nil"/>
              <w:bottom w:val="single" w:sz="4" w:space="0" w:color="auto"/>
              <w:right w:val="single" w:sz="4" w:space="0" w:color="auto"/>
            </w:tcBorders>
            <w:shd w:val="clear" w:color="000000" w:fill="FFFFFF"/>
            <w:vAlign w:val="center"/>
            <w:hideMark/>
          </w:tcPr>
          <w:p w14:paraId="5D05F1D3"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934</w:t>
            </w:r>
          </w:p>
        </w:tc>
      </w:tr>
      <w:tr w:rsidR="00E16548" w:rsidRPr="00A93038" w14:paraId="568B3C80" w14:textId="77777777" w:rsidTr="00910123">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4F63C7CF"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nil"/>
              <w:left w:val="nil"/>
              <w:bottom w:val="single" w:sz="4" w:space="0" w:color="auto"/>
              <w:right w:val="single" w:sz="4" w:space="0" w:color="auto"/>
            </w:tcBorders>
            <w:shd w:val="clear" w:color="000000" w:fill="FFFFFF"/>
            <w:noWrap/>
            <w:vAlign w:val="center"/>
            <w:hideMark/>
          </w:tcPr>
          <w:p w14:paraId="41F521A5"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418A1C9"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6.500</w:t>
            </w:r>
          </w:p>
        </w:tc>
        <w:tc>
          <w:tcPr>
            <w:tcW w:w="780" w:type="pct"/>
            <w:tcBorders>
              <w:top w:val="nil"/>
              <w:left w:val="nil"/>
              <w:bottom w:val="single" w:sz="4" w:space="0" w:color="auto"/>
              <w:right w:val="single" w:sz="4" w:space="0" w:color="auto"/>
            </w:tcBorders>
            <w:shd w:val="clear" w:color="000000" w:fill="FFFFFF"/>
            <w:vAlign w:val="center"/>
            <w:hideMark/>
          </w:tcPr>
          <w:p w14:paraId="70039CF8"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8.485</w:t>
            </w:r>
          </w:p>
        </w:tc>
        <w:tc>
          <w:tcPr>
            <w:tcW w:w="780" w:type="pct"/>
            <w:tcBorders>
              <w:top w:val="nil"/>
              <w:left w:val="nil"/>
              <w:bottom w:val="single" w:sz="4" w:space="0" w:color="auto"/>
              <w:right w:val="single" w:sz="4" w:space="0" w:color="auto"/>
            </w:tcBorders>
            <w:shd w:val="clear" w:color="000000" w:fill="FFFFFF"/>
            <w:vAlign w:val="center"/>
            <w:hideMark/>
          </w:tcPr>
          <w:p w14:paraId="55A9C729"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12.702</w:t>
            </w:r>
          </w:p>
        </w:tc>
        <w:tc>
          <w:tcPr>
            <w:tcW w:w="779" w:type="pct"/>
            <w:tcBorders>
              <w:top w:val="nil"/>
              <w:left w:val="nil"/>
              <w:bottom w:val="single" w:sz="4" w:space="0" w:color="auto"/>
              <w:right w:val="single" w:sz="4" w:space="0" w:color="auto"/>
            </w:tcBorders>
            <w:shd w:val="clear" w:color="000000" w:fill="FFFFFF"/>
            <w:vAlign w:val="center"/>
            <w:hideMark/>
          </w:tcPr>
          <w:p w14:paraId="6D4A4D7A"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14.935</w:t>
            </w:r>
          </w:p>
        </w:tc>
      </w:tr>
      <w:tr w:rsidR="00E16548" w:rsidRPr="00A93038" w14:paraId="007AA58E" w14:textId="77777777" w:rsidTr="00910123">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369CEC04"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nil"/>
              <w:left w:val="nil"/>
              <w:bottom w:val="single" w:sz="4" w:space="0" w:color="auto"/>
              <w:right w:val="single" w:sz="4" w:space="0" w:color="auto"/>
            </w:tcBorders>
            <w:shd w:val="clear" w:color="000000" w:fill="FFFFFF"/>
            <w:noWrap/>
            <w:vAlign w:val="center"/>
            <w:hideMark/>
          </w:tcPr>
          <w:p w14:paraId="3D173669"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3E8F35A2"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308</w:t>
            </w:r>
          </w:p>
        </w:tc>
        <w:tc>
          <w:tcPr>
            <w:tcW w:w="780" w:type="pct"/>
            <w:tcBorders>
              <w:top w:val="nil"/>
              <w:left w:val="nil"/>
              <w:bottom w:val="single" w:sz="4" w:space="0" w:color="auto"/>
              <w:right w:val="single" w:sz="4" w:space="0" w:color="auto"/>
            </w:tcBorders>
            <w:shd w:val="clear" w:color="000000" w:fill="FFFFFF"/>
            <w:vAlign w:val="center"/>
            <w:hideMark/>
          </w:tcPr>
          <w:p w14:paraId="17095960"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428</w:t>
            </w:r>
          </w:p>
        </w:tc>
        <w:tc>
          <w:tcPr>
            <w:tcW w:w="780" w:type="pct"/>
            <w:tcBorders>
              <w:top w:val="nil"/>
              <w:left w:val="nil"/>
              <w:bottom w:val="single" w:sz="4" w:space="0" w:color="auto"/>
              <w:right w:val="single" w:sz="4" w:space="0" w:color="auto"/>
            </w:tcBorders>
            <w:shd w:val="clear" w:color="000000" w:fill="FFFFFF"/>
            <w:vAlign w:val="center"/>
            <w:hideMark/>
          </w:tcPr>
          <w:p w14:paraId="5CB68354"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682</w:t>
            </w:r>
          </w:p>
        </w:tc>
        <w:tc>
          <w:tcPr>
            <w:tcW w:w="779" w:type="pct"/>
            <w:tcBorders>
              <w:top w:val="nil"/>
              <w:left w:val="nil"/>
              <w:bottom w:val="single" w:sz="4" w:space="0" w:color="auto"/>
              <w:right w:val="single" w:sz="4" w:space="0" w:color="auto"/>
            </w:tcBorders>
            <w:shd w:val="clear" w:color="000000" w:fill="FFFFFF"/>
            <w:vAlign w:val="center"/>
            <w:hideMark/>
          </w:tcPr>
          <w:p w14:paraId="60D903FB"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816</w:t>
            </w:r>
          </w:p>
        </w:tc>
      </w:tr>
      <w:tr w:rsidR="00E16548" w:rsidRPr="00A93038" w14:paraId="362C7F36" w14:textId="77777777" w:rsidTr="00910123">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7C2DE53D"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nil"/>
              <w:left w:val="nil"/>
              <w:bottom w:val="single" w:sz="4" w:space="0" w:color="auto"/>
              <w:right w:val="single" w:sz="4" w:space="0" w:color="auto"/>
            </w:tcBorders>
            <w:shd w:val="clear" w:color="000000" w:fill="FFFFFF"/>
            <w:noWrap/>
            <w:vAlign w:val="center"/>
            <w:hideMark/>
          </w:tcPr>
          <w:p w14:paraId="07C05F42"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A131CD9"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518</w:t>
            </w:r>
          </w:p>
        </w:tc>
        <w:tc>
          <w:tcPr>
            <w:tcW w:w="780" w:type="pct"/>
            <w:tcBorders>
              <w:top w:val="nil"/>
              <w:left w:val="nil"/>
              <w:bottom w:val="single" w:sz="4" w:space="0" w:color="auto"/>
              <w:right w:val="single" w:sz="4" w:space="0" w:color="auto"/>
            </w:tcBorders>
            <w:shd w:val="clear" w:color="000000" w:fill="FFFFFF"/>
            <w:vAlign w:val="center"/>
            <w:hideMark/>
          </w:tcPr>
          <w:p w14:paraId="4A46A1AC"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719</w:t>
            </w:r>
          </w:p>
        </w:tc>
        <w:tc>
          <w:tcPr>
            <w:tcW w:w="780" w:type="pct"/>
            <w:tcBorders>
              <w:top w:val="nil"/>
              <w:left w:val="nil"/>
              <w:bottom w:val="single" w:sz="4" w:space="0" w:color="auto"/>
              <w:right w:val="single" w:sz="4" w:space="0" w:color="auto"/>
            </w:tcBorders>
            <w:shd w:val="clear" w:color="000000" w:fill="FFFFFF"/>
            <w:vAlign w:val="center"/>
            <w:hideMark/>
          </w:tcPr>
          <w:p w14:paraId="12B53275"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1.147</w:t>
            </w:r>
          </w:p>
        </w:tc>
        <w:tc>
          <w:tcPr>
            <w:tcW w:w="779" w:type="pct"/>
            <w:tcBorders>
              <w:top w:val="nil"/>
              <w:left w:val="nil"/>
              <w:bottom w:val="single" w:sz="4" w:space="0" w:color="auto"/>
              <w:right w:val="single" w:sz="4" w:space="0" w:color="auto"/>
            </w:tcBorders>
            <w:shd w:val="clear" w:color="000000" w:fill="FFFFFF"/>
            <w:vAlign w:val="center"/>
            <w:hideMark/>
          </w:tcPr>
          <w:p w14:paraId="4C5D665B"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1.373</w:t>
            </w:r>
          </w:p>
        </w:tc>
      </w:tr>
      <w:tr w:rsidR="00E16548" w:rsidRPr="00A93038" w14:paraId="042D962A" w14:textId="77777777" w:rsidTr="00910123">
        <w:trPr>
          <w:trHeight w:val="255"/>
        </w:trPr>
        <w:tc>
          <w:tcPr>
            <w:tcW w:w="1102" w:type="pct"/>
            <w:tcBorders>
              <w:top w:val="nil"/>
              <w:left w:val="single" w:sz="4" w:space="0" w:color="auto"/>
              <w:bottom w:val="single" w:sz="4" w:space="0" w:color="auto"/>
              <w:right w:val="single" w:sz="4" w:space="0" w:color="auto"/>
            </w:tcBorders>
            <w:shd w:val="clear" w:color="000000" w:fill="FFFFFF"/>
            <w:noWrap/>
            <w:vAlign w:val="center"/>
            <w:hideMark/>
          </w:tcPr>
          <w:p w14:paraId="6418FF66" w14:textId="77777777" w:rsidR="00E16548" w:rsidRPr="00A93038" w:rsidRDefault="00E16548" w:rsidP="00910123">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nil"/>
              <w:left w:val="nil"/>
              <w:bottom w:val="single" w:sz="4" w:space="0" w:color="auto"/>
              <w:right w:val="single" w:sz="4" w:space="0" w:color="auto"/>
            </w:tcBorders>
            <w:shd w:val="clear" w:color="000000" w:fill="FFFFFF"/>
            <w:noWrap/>
            <w:vAlign w:val="center"/>
            <w:hideMark/>
          </w:tcPr>
          <w:p w14:paraId="2E0AE285" w14:textId="77777777" w:rsidR="00E16548" w:rsidRPr="00A93038" w:rsidRDefault="00E16548" w:rsidP="00910123">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vnt./metus</w:t>
            </w:r>
          </w:p>
        </w:tc>
        <w:tc>
          <w:tcPr>
            <w:tcW w:w="780" w:type="pct"/>
            <w:tcBorders>
              <w:top w:val="nil"/>
              <w:left w:val="nil"/>
              <w:bottom w:val="single" w:sz="4" w:space="0" w:color="auto"/>
              <w:right w:val="single" w:sz="4" w:space="0" w:color="auto"/>
            </w:tcBorders>
            <w:shd w:val="clear" w:color="000000" w:fill="FFFFFF"/>
            <w:vAlign w:val="center"/>
            <w:hideMark/>
          </w:tcPr>
          <w:p w14:paraId="72A0C275"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8.086</w:t>
            </w:r>
          </w:p>
        </w:tc>
        <w:tc>
          <w:tcPr>
            <w:tcW w:w="780" w:type="pct"/>
            <w:tcBorders>
              <w:top w:val="nil"/>
              <w:left w:val="nil"/>
              <w:bottom w:val="single" w:sz="4" w:space="0" w:color="auto"/>
              <w:right w:val="single" w:sz="4" w:space="0" w:color="auto"/>
            </w:tcBorders>
            <w:shd w:val="clear" w:color="000000" w:fill="FFFFFF"/>
            <w:vAlign w:val="center"/>
            <w:hideMark/>
          </w:tcPr>
          <w:p w14:paraId="1C5100E9"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10.717</w:t>
            </w:r>
          </w:p>
        </w:tc>
        <w:tc>
          <w:tcPr>
            <w:tcW w:w="780" w:type="pct"/>
            <w:tcBorders>
              <w:top w:val="nil"/>
              <w:left w:val="nil"/>
              <w:bottom w:val="single" w:sz="4" w:space="0" w:color="auto"/>
              <w:right w:val="single" w:sz="4" w:space="0" w:color="auto"/>
            </w:tcBorders>
            <w:shd w:val="clear" w:color="000000" w:fill="FFFFFF"/>
            <w:vAlign w:val="center"/>
            <w:hideMark/>
          </w:tcPr>
          <w:p w14:paraId="6A9CAE9A"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15.614</w:t>
            </w:r>
          </w:p>
        </w:tc>
        <w:tc>
          <w:tcPr>
            <w:tcW w:w="779" w:type="pct"/>
            <w:tcBorders>
              <w:top w:val="nil"/>
              <w:left w:val="nil"/>
              <w:bottom w:val="single" w:sz="4" w:space="0" w:color="auto"/>
              <w:right w:val="single" w:sz="4" w:space="0" w:color="auto"/>
            </w:tcBorders>
            <w:shd w:val="clear" w:color="000000" w:fill="FFFFFF"/>
            <w:vAlign w:val="center"/>
            <w:hideMark/>
          </w:tcPr>
          <w:p w14:paraId="17E3407C"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18.059</w:t>
            </w:r>
          </w:p>
        </w:tc>
      </w:tr>
    </w:tbl>
    <w:p w14:paraId="40020A51" w14:textId="44F50AEE" w:rsidR="005D16AB" w:rsidRPr="00650EE4" w:rsidRDefault="005D16AB" w:rsidP="00631BA6">
      <w:pPr>
        <w:pStyle w:val="TESlentelspavadinimas"/>
        <w:rPr>
          <w:noProof w:val="0"/>
        </w:rPr>
      </w:pPr>
      <w:r w:rsidRPr="00650EE4">
        <w:rPr>
          <w:noProof w:val="0"/>
        </w:rPr>
        <w:t>Šaltinis: Studijos</w:t>
      </w:r>
      <w:r w:rsidR="00DD791C" w:rsidRPr="00DD791C">
        <w:rPr>
          <w:iCs/>
          <w:color w:val="auto"/>
        </w:rPr>
        <w:t xml:space="preserve"> </w:t>
      </w:r>
      <w:r w:rsidR="00DD791C" w:rsidRPr="00874EAF">
        <w:rPr>
          <w:iCs/>
          <w:color w:val="auto"/>
        </w:rPr>
        <w:t>Lietuvos ilgalaikei renovacijos strategijai parengti</w:t>
      </w:r>
      <w:r w:rsidRPr="00650EE4">
        <w:rPr>
          <w:noProof w:val="0"/>
        </w:rPr>
        <w:t xml:space="preserve"> autoriai</w:t>
      </w:r>
    </w:p>
    <w:p w14:paraId="6A9A8FD1" w14:textId="55943EB6" w:rsidR="003802B5" w:rsidRPr="00650EE4" w:rsidRDefault="003802B5">
      <w:pPr>
        <w:spacing w:after="240"/>
        <w:rPr>
          <w:rFonts w:ascii="Times New Roman" w:eastAsiaTheme="minorHAnsi" w:hAnsi="Times New Roman"/>
          <w:bCs/>
          <w:i/>
          <w:color w:val="000000" w:themeColor="text1"/>
          <w:sz w:val="20"/>
          <w:szCs w:val="20"/>
        </w:rPr>
      </w:pPr>
      <w:r w:rsidRPr="00650EE4">
        <w:br w:type="page"/>
      </w:r>
    </w:p>
    <w:p w14:paraId="791B68A0" w14:textId="4D1DB221" w:rsidR="003802B5" w:rsidRPr="00650EE4" w:rsidRDefault="003802B5" w:rsidP="003802B5">
      <w:pPr>
        <w:pStyle w:val="TESlentelspavadinimas"/>
        <w:rPr>
          <w:noProof w:val="0"/>
        </w:rPr>
      </w:pPr>
      <w:r w:rsidRPr="00650EE4">
        <w:rPr>
          <w:noProof w:val="0"/>
        </w:rPr>
        <w:lastRenderedPageBreak/>
        <w:fldChar w:fldCharType="begin"/>
      </w:r>
      <w:r w:rsidRPr="00650EE4">
        <w:rPr>
          <w:noProof w:val="0"/>
        </w:rPr>
        <w:instrText xml:space="preserve"> SEQ lentelė \* ARABIC </w:instrText>
      </w:r>
      <w:r w:rsidRPr="00650EE4">
        <w:rPr>
          <w:noProof w:val="0"/>
        </w:rPr>
        <w:fldChar w:fldCharType="separate"/>
      </w:r>
      <w:bookmarkStart w:id="167" w:name="_Toc59094237"/>
      <w:r w:rsidR="00F25C65">
        <w:t>54</w:t>
      </w:r>
      <w:r w:rsidRPr="00650EE4">
        <w:rPr>
          <w:noProof w:val="0"/>
        </w:rPr>
        <w:fldChar w:fldCharType="end"/>
      </w:r>
      <w:r w:rsidRPr="00650EE4">
        <w:rPr>
          <w:noProof w:val="0"/>
        </w:rPr>
        <w:t xml:space="preserve"> lentelė. Renovacijos tempai –  renovuojamų pastatų plotas per metus</w:t>
      </w:r>
      <w:bookmarkEnd w:id="167"/>
    </w:p>
    <w:tbl>
      <w:tblPr>
        <w:tblW w:w="5000" w:type="pct"/>
        <w:tblLook w:val="04A0" w:firstRow="1" w:lastRow="0" w:firstColumn="1" w:lastColumn="0" w:noHBand="0" w:noVBand="1"/>
      </w:tblPr>
      <w:tblGrid>
        <w:gridCol w:w="2300"/>
        <w:gridCol w:w="1625"/>
        <w:gridCol w:w="1626"/>
        <w:gridCol w:w="1626"/>
        <w:gridCol w:w="1626"/>
        <w:gridCol w:w="1617"/>
      </w:tblGrid>
      <w:tr w:rsidR="00E16548" w:rsidRPr="00650EE4" w14:paraId="3884C926"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61D28" w14:textId="77777777" w:rsidR="00E16548" w:rsidRPr="00650EE4" w:rsidRDefault="00E16548"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FC94C9D" w14:textId="77777777" w:rsidR="00E16548" w:rsidRPr="00650EE4" w:rsidRDefault="00E16548"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88D0F02"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6858FD2"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CEB7228"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6F8766EF" w14:textId="77777777" w:rsidR="00E16548" w:rsidRPr="00650EE4" w:rsidRDefault="00E16548"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r>
      <w:tr w:rsidR="00E16548" w:rsidRPr="00A93038" w14:paraId="7D5D2496"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25870D"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FBAEC2C" w14:textId="07F724A8" w:rsidR="00E16548" w:rsidRPr="00A93038" w:rsidRDefault="00E16548" w:rsidP="00910123">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102FD6C"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950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AC0DCDF"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1.265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3E6192D"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1.243</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7D6095BB"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1.028</w:t>
            </w:r>
          </w:p>
        </w:tc>
      </w:tr>
      <w:tr w:rsidR="00E16548" w:rsidRPr="00A93038" w14:paraId="602F1352"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517FDB"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6A2EE04" w14:textId="1BACD954" w:rsidR="00E16548" w:rsidRPr="00A93038" w:rsidRDefault="00E16548" w:rsidP="00910123">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391FA39"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672</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23956B1"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878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CBF930D"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1.314</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4C792FE4"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1.545</w:t>
            </w:r>
          </w:p>
        </w:tc>
      </w:tr>
      <w:tr w:rsidR="00E16548" w:rsidRPr="00A93038" w14:paraId="7D0DB5E4"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5144C"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2E8637B" w14:textId="76C6F288" w:rsidR="00E16548" w:rsidRPr="00A93038" w:rsidRDefault="00E16548" w:rsidP="00910123">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83D1E2E"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212</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BBBA2E6"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295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86549BE"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470</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00CABEFE"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563</w:t>
            </w:r>
          </w:p>
        </w:tc>
      </w:tr>
      <w:tr w:rsidR="00E16548" w:rsidRPr="00A93038" w14:paraId="7D7E601B"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7DEB3" w14:textId="77777777" w:rsidR="00E16548" w:rsidRPr="00A93038" w:rsidRDefault="00E16548"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2F72310" w14:textId="195DAA4E" w:rsidR="00E16548" w:rsidRPr="00A93038" w:rsidRDefault="00E16548" w:rsidP="00910123">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E08F2D4"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413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8589CEF"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573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A8968A6"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914</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74806A63" w14:textId="77777777" w:rsidR="00E16548" w:rsidRPr="00A93038" w:rsidRDefault="00E16548" w:rsidP="00910123">
            <w:pPr>
              <w:spacing w:line="240" w:lineRule="auto"/>
              <w:jc w:val="right"/>
              <w:rPr>
                <w:rFonts w:ascii="Times New Roman" w:eastAsia="Times New Roman" w:hAnsi="Times New Roman"/>
                <w:sz w:val="20"/>
                <w:szCs w:val="20"/>
              </w:rPr>
            </w:pPr>
            <w:r w:rsidRPr="00A93038">
              <w:rPr>
                <w:rFonts w:ascii="Times New Roman" w:eastAsia="Times New Roman" w:hAnsi="Times New Roman"/>
                <w:sz w:val="20"/>
                <w:szCs w:val="20"/>
              </w:rPr>
              <w:t>1.094</w:t>
            </w:r>
          </w:p>
        </w:tc>
      </w:tr>
      <w:tr w:rsidR="00E16548" w:rsidRPr="00A93038" w14:paraId="6B2EDC4E" w14:textId="77777777" w:rsidTr="00910123">
        <w:trPr>
          <w:trHeight w:val="253"/>
        </w:trPr>
        <w:tc>
          <w:tcPr>
            <w:tcW w:w="110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39EDA8" w14:textId="77777777" w:rsidR="00E16548" w:rsidRPr="00A93038" w:rsidRDefault="00E16548" w:rsidP="00910123">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D5F3DFD" w14:textId="7CEB1E82" w:rsidR="00E16548" w:rsidRPr="00A93038" w:rsidRDefault="00E16548" w:rsidP="00910123">
            <w:pPr>
              <w:spacing w:line="240" w:lineRule="auto"/>
              <w:rPr>
                <w:rFonts w:ascii="Times New Roman" w:eastAsia="Times New Roman" w:hAnsi="Times New Roman"/>
                <w:sz w:val="20"/>
                <w:szCs w:val="20"/>
              </w:rPr>
            </w:pPr>
            <w:r>
              <w:rPr>
                <w:rFonts w:ascii="Times New Roman" w:eastAsia="Times New Roman" w:hAnsi="Times New Roman"/>
                <w:sz w:val="20"/>
                <w:szCs w:val="20"/>
              </w:rPr>
              <w:t xml:space="preserve">tūkst. </w:t>
            </w:r>
            <w:r w:rsidRPr="00A93038">
              <w:rPr>
                <w:rFonts w:ascii="Times New Roman" w:eastAsia="Times New Roman" w:hAnsi="Times New Roman"/>
                <w:sz w:val="20"/>
                <w:szCs w:val="20"/>
              </w:rPr>
              <w:t>m</w:t>
            </w:r>
            <w:r w:rsidRPr="00E16548">
              <w:rPr>
                <w:rFonts w:ascii="Times New Roman" w:eastAsia="Times New Roman" w:hAnsi="Times New Roman"/>
                <w:sz w:val="20"/>
                <w:szCs w:val="20"/>
                <w:vertAlign w:val="superscript"/>
              </w:rPr>
              <w:t>2</w:t>
            </w:r>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9DA0BC4"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2.248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D025DF5"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3.011</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EDB4E4E"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3.941</w:t>
            </w:r>
          </w:p>
        </w:tc>
        <w:tc>
          <w:tcPr>
            <w:tcW w:w="777" w:type="pct"/>
            <w:tcBorders>
              <w:top w:val="single" w:sz="4" w:space="0" w:color="auto"/>
              <w:left w:val="nil"/>
              <w:bottom w:val="single" w:sz="4" w:space="0" w:color="auto"/>
              <w:right w:val="single" w:sz="4" w:space="0" w:color="auto"/>
            </w:tcBorders>
            <w:shd w:val="clear" w:color="000000" w:fill="FFFFFF"/>
            <w:noWrap/>
            <w:vAlign w:val="center"/>
            <w:hideMark/>
          </w:tcPr>
          <w:p w14:paraId="5E57D90E" w14:textId="77777777" w:rsidR="00E16548" w:rsidRPr="00A93038" w:rsidRDefault="00E16548" w:rsidP="00910123">
            <w:pPr>
              <w:spacing w:line="240" w:lineRule="auto"/>
              <w:jc w:val="right"/>
              <w:rPr>
                <w:rFonts w:ascii="Times New Roman" w:eastAsia="Times New Roman" w:hAnsi="Times New Roman"/>
                <w:b/>
                <w:bCs/>
                <w:sz w:val="20"/>
                <w:szCs w:val="20"/>
              </w:rPr>
            </w:pPr>
            <w:r w:rsidRPr="00A93038">
              <w:rPr>
                <w:rFonts w:ascii="Times New Roman" w:eastAsia="Times New Roman" w:hAnsi="Times New Roman"/>
                <w:b/>
                <w:bCs/>
                <w:sz w:val="20"/>
                <w:szCs w:val="20"/>
              </w:rPr>
              <w:t>4.230</w:t>
            </w:r>
          </w:p>
        </w:tc>
      </w:tr>
    </w:tbl>
    <w:p w14:paraId="20C4A7F0" w14:textId="32C0C204" w:rsidR="004C28AF" w:rsidRPr="00650EE4" w:rsidRDefault="003802B5" w:rsidP="003802B5">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477CB0CC" w14:textId="77777777" w:rsidR="003802B5" w:rsidRPr="00650EE4" w:rsidRDefault="003802B5" w:rsidP="003802B5">
      <w:pPr>
        <w:pStyle w:val="TESlentelspavadinimas"/>
        <w:rPr>
          <w:noProof w:val="0"/>
        </w:rPr>
      </w:pPr>
    </w:p>
    <w:p w14:paraId="79DCC3B6" w14:textId="38700087" w:rsidR="002F756A" w:rsidRPr="00650EE4" w:rsidRDefault="002F756A" w:rsidP="00B8248E">
      <w:pPr>
        <w:spacing w:after="120"/>
        <w:jc w:val="both"/>
        <w:rPr>
          <w:rFonts w:ascii="Times New Roman" w:hAnsi="Times New Roman"/>
          <w:b/>
          <w:bCs/>
          <w:szCs w:val="24"/>
        </w:rPr>
      </w:pPr>
      <w:r w:rsidRPr="00650EE4">
        <w:rPr>
          <w:rFonts w:ascii="Times New Roman" w:hAnsi="Times New Roman"/>
          <w:b/>
          <w:bCs/>
          <w:szCs w:val="24"/>
        </w:rPr>
        <w:t>Renovacijos investicijos</w:t>
      </w:r>
    </w:p>
    <w:p w14:paraId="45B2E872" w14:textId="6C92FFAE" w:rsidR="00383FA1" w:rsidRPr="00650EE4" w:rsidRDefault="00783FA0" w:rsidP="00010773">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pateikiama renovacijai  įgyvendinti reikalingų metinių investicijų </w:t>
      </w:r>
      <w:r w:rsidR="00F667CA" w:rsidRPr="00650EE4">
        <w:rPr>
          <w:rFonts w:ascii="Times New Roman" w:hAnsi="Times New Roman"/>
          <w:color w:val="000000" w:themeColor="text1"/>
          <w:szCs w:val="22"/>
        </w:rPr>
        <w:t>suvestinė</w:t>
      </w:r>
      <w:r w:rsidRPr="00650EE4">
        <w:rPr>
          <w:rFonts w:ascii="Times New Roman" w:hAnsi="Times New Roman"/>
          <w:color w:val="000000" w:themeColor="text1"/>
          <w:szCs w:val="22"/>
        </w:rPr>
        <w:t>.</w:t>
      </w:r>
    </w:p>
    <w:p w14:paraId="75DD0F9C" w14:textId="692308CD" w:rsidR="005D16AB" w:rsidRPr="00650EE4" w:rsidRDefault="00BC34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8" w:name="_Toc59094238"/>
      <w:r w:rsidR="00F25C65">
        <w:t>55</w:t>
      </w:r>
      <w:r w:rsidRPr="00650EE4">
        <w:rPr>
          <w:noProof w:val="0"/>
        </w:rPr>
        <w:fldChar w:fldCharType="end"/>
      </w:r>
      <w:r w:rsidR="005D16AB" w:rsidRPr="00650EE4">
        <w:rPr>
          <w:noProof w:val="0"/>
        </w:rPr>
        <w:t xml:space="preserve"> lentelė. Renovacij</w:t>
      </w:r>
      <w:r w:rsidR="00B6760D" w:rsidRPr="00650EE4">
        <w:rPr>
          <w:noProof w:val="0"/>
        </w:rPr>
        <w:t>ai įgyvendinti reikalingos investicijos</w:t>
      </w:r>
      <w:r w:rsidR="00537836" w:rsidRPr="00650EE4">
        <w:rPr>
          <w:noProof w:val="0"/>
        </w:rPr>
        <w:t xml:space="preserve"> per metus</w:t>
      </w:r>
      <w:r w:rsidR="002D2026" w:rsidRPr="00650EE4">
        <w:rPr>
          <w:rStyle w:val="FootnoteReference"/>
          <w:noProof w:val="0"/>
        </w:rPr>
        <w:footnoteReference w:id="42"/>
      </w:r>
      <w:bookmarkEnd w:id="168"/>
    </w:p>
    <w:tbl>
      <w:tblPr>
        <w:tblW w:w="5000" w:type="pct"/>
        <w:tblLook w:val="04A0" w:firstRow="1" w:lastRow="0" w:firstColumn="1" w:lastColumn="0" w:noHBand="0" w:noVBand="1"/>
      </w:tblPr>
      <w:tblGrid>
        <w:gridCol w:w="2302"/>
        <w:gridCol w:w="1625"/>
        <w:gridCol w:w="1626"/>
        <w:gridCol w:w="1626"/>
        <w:gridCol w:w="1626"/>
        <w:gridCol w:w="1615"/>
      </w:tblGrid>
      <w:tr w:rsidR="00296C0B" w:rsidRPr="00AC6715" w14:paraId="2DE461D2"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6BC2D9" w14:textId="77777777" w:rsidR="00296C0B" w:rsidRPr="00AC6715" w:rsidRDefault="00296C0B" w:rsidP="00910123">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81EDF6A" w14:textId="77777777" w:rsidR="00296C0B" w:rsidRPr="00AC6715" w:rsidRDefault="00296C0B" w:rsidP="00910123">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36DC484"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518E216"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6A60936"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2031-2040</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4ABC1E54"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2041-2050</w:t>
            </w:r>
          </w:p>
        </w:tc>
      </w:tr>
      <w:tr w:rsidR="00296C0B" w:rsidRPr="00A93038" w14:paraId="313290FA"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97EF2"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ED7D299"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8B6F268"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286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D7E2372"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419</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B22B7F0"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487</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1DF73ED7"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492</w:t>
            </w:r>
          </w:p>
        </w:tc>
      </w:tr>
      <w:tr w:rsidR="00296C0B" w:rsidRPr="00A93038" w14:paraId="76488068"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F09C9C"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8B50C0C"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9C2078"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328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4967BF3"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475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7C1E09BE"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844</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2768B084"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1.202</w:t>
            </w:r>
          </w:p>
        </w:tc>
      </w:tr>
      <w:tr w:rsidR="00296C0B" w:rsidRPr="00A93038" w14:paraId="552D11E6"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73086C"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616EDA1"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8A6FD87"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88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958D4D3"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136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FE95FA5"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258</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2707113D"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374</w:t>
            </w:r>
          </w:p>
        </w:tc>
      </w:tr>
      <w:tr w:rsidR="00296C0B" w:rsidRPr="00A93038" w14:paraId="0D666B2B"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147BFF"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5E5BE80" w14:textId="77777777" w:rsidR="00296C0B" w:rsidRPr="00A93038" w:rsidRDefault="00296C0B" w:rsidP="00910123">
            <w:pPr>
              <w:spacing w:line="240" w:lineRule="auto"/>
              <w:rPr>
                <w:rFonts w:ascii="Times New Roman" w:eastAsia="Times New Roman" w:hAnsi="Times New Roman"/>
                <w:sz w:val="20"/>
                <w:szCs w:val="20"/>
              </w:rPr>
            </w:pPr>
            <w:r w:rsidRPr="00A93038">
              <w:rPr>
                <w:rFonts w:ascii="Times New Roman" w:eastAsia="Times New Roman" w:hAnsi="Times New Roman"/>
                <w:sz w:val="20"/>
                <w:szCs w:val="20"/>
              </w:rPr>
              <w:t xml:space="preserve">mln. </w:t>
            </w:r>
            <w:proofErr w:type="spellStart"/>
            <w:r w:rsidRPr="00A93038">
              <w:rPr>
                <w:rFonts w:ascii="Times New Roman" w:eastAsia="Times New Roman" w:hAnsi="Times New Roman"/>
                <w:sz w:val="20"/>
                <w:szCs w:val="20"/>
              </w:rPr>
              <w:t>Eur</w:t>
            </w:r>
            <w:proofErr w:type="spellEnd"/>
            <w:r w:rsidRPr="00A93038">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CA1EAC"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166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A079516"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255</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FEF3658"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483</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7704C780" w14:textId="77777777" w:rsidR="00296C0B" w:rsidRPr="00A93038" w:rsidRDefault="00296C0B" w:rsidP="00910123">
            <w:pPr>
              <w:spacing w:line="240" w:lineRule="auto"/>
              <w:jc w:val="center"/>
              <w:rPr>
                <w:rFonts w:ascii="Times New Roman" w:eastAsia="Times New Roman" w:hAnsi="Times New Roman"/>
                <w:sz w:val="20"/>
                <w:szCs w:val="20"/>
              </w:rPr>
            </w:pPr>
            <w:r w:rsidRPr="00A93038">
              <w:rPr>
                <w:rFonts w:ascii="Times New Roman" w:eastAsia="Times New Roman" w:hAnsi="Times New Roman"/>
                <w:sz w:val="20"/>
                <w:szCs w:val="20"/>
              </w:rPr>
              <w:t>700</w:t>
            </w:r>
          </w:p>
        </w:tc>
      </w:tr>
      <w:tr w:rsidR="00296C0B" w:rsidRPr="00A93038" w14:paraId="5A1A6A3E" w14:textId="77777777" w:rsidTr="00910123">
        <w:trPr>
          <w:trHeight w:val="257"/>
        </w:trPr>
        <w:tc>
          <w:tcPr>
            <w:tcW w:w="110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A193A" w14:textId="77777777" w:rsidR="00296C0B" w:rsidRPr="00A93038" w:rsidRDefault="00296C0B" w:rsidP="00910123">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316A049" w14:textId="77777777" w:rsidR="00296C0B" w:rsidRPr="00A93038" w:rsidRDefault="00296C0B" w:rsidP="00910123">
            <w:pPr>
              <w:spacing w:line="240" w:lineRule="auto"/>
              <w:rPr>
                <w:rFonts w:ascii="Times New Roman" w:eastAsia="Times New Roman" w:hAnsi="Times New Roman"/>
                <w:b/>
                <w:bCs/>
                <w:sz w:val="20"/>
                <w:szCs w:val="20"/>
              </w:rPr>
            </w:pPr>
            <w:r w:rsidRPr="00A93038">
              <w:rPr>
                <w:rFonts w:ascii="Times New Roman" w:eastAsia="Times New Roman" w:hAnsi="Times New Roman"/>
                <w:b/>
                <w:bCs/>
                <w:sz w:val="20"/>
                <w:szCs w:val="20"/>
              </w:rPr>
              <w:t xml:space="preserve">mln. </w:t>
            </w:r>
            <w:proofErr w:type="spellStart"/>
            <w:r w:rsidRPr="00A93038">
              <w:rPr>
                <w:rFonts w:ascii="Times New Roman" w:eastAsia="Times New Roman" w:hAnsi="Times New Roman"/>
                <w:b/>
                <w:bCs/>
                <w:sz w:val="20"/>
                <w:szCs w:val="20"/>
              </w:rPr>
              <w:t>Eur</w:t>
            </w:r>
            <w:proofErr w:type="spellEnd"/>
            <w:r w:rsidRPr="00A93038">
              <w:rPr>
                <w:rFonts w:ascii="Times New Roman" w:eastAsia="Times New Roman" w:hAnsi="Times New Roman"/>
                <w:b/>
                <w:bCs/>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60FDEAB" w14:textId="77777777" w:rsidR="00296C0B" w:rsidRPr="00A93038" w:rsidRDefault="00296C0B" w:rsidP="00910123">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867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9DE3145" w14:textId="77777777" w:rsidR="00296C0B" w:rsidRPr="00A93038" w:rsidRDefault="00296C0B" w:rsidP="00910123">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1.286</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C14F42B" w14:textId="77777777" w:rsidR="00296C0B" w:rsidRPr="00A93038" w:rsidRDefault="00296C0B" w:rsidP="00910123">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2.071</w:t>
            </w:r>
          </w:p>
        </w:tc>
        <w:tc>
          <w:tcPr>
            <w:tcW w:w="776" w:type="pct"/>
            <w:tcBorders>
              <w:top w:val="single" w:sz="4" w:space="0" w:color="auto"/>
              <w:left w:val="nil"/>
              <w:bottom w:val="single" w:sz="4" w:space="0" w:color="auto"/>
              <w:right w:val="single" w:sz="4" w:space="0" w:color="auto"/>
            </w:tcBorders>
            <w:shd w:val="clear" w:color="000000" w:fill="FFFFFF"/>
            <w:noWrap/>
            <w:vAlign w:val="center"/>
            <w:hideMark/>
          </w:tcPr>
          <w:p w14:paraId="6AE7CFC3" w14:textId="77777777" w:rsidR="00296C0B" w:rsidRPr="00A93038" w:rsidRDefault="00296C0B" w:rsidP="00910123">
            <w:pPr>
              <w:spacing w:line="240" w:lineRule="auto"/>
              <w:jc w:val="center"/>
              <w:rPr>
                <w:rFonts w:ascii="Times New Roman" w:eastAsia="Times New Roman" w:hAnsi="Times New Roman"/>
                <w:b/>
                <w:bCs/>
                <w:sz w:val="20"/>
                <w:szCs w:val="20"/>
              </w:rPr>
            </w:pPr>
            <w:r w:rsidRPr="00A93038">
              <w:rPr>
                <w:rFonts w:ascii="Times New Roman" w:eastAsia="Times New Roman" w:hAnsi="Times New Roman"/>
                <w:b/>
                <w:bCs/>
                <w:sz w:val="20"/>
                <w:szCs w:val="20"/>
              </w:rPr>
              <w:t>2.767</w:t>
            </w:r>
          </w:p>
        </w:tc>
      </w:tr>
    </w:tbl>
    <w:p w14:paraId="65CC8D9E" w14:textId="529C9F11" w:rsidR="005D16AB" w:rsidRPr="00650EE4" w:rsidRDefault="005D16AB"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0074F2D0" w14:textId="29B3426A" w:rsidR="00AC6D4E" w:rsidRPr="00650EE4" w:rsidRDefault="00AC6D4E" w:rsidP="00631BA6">
      <w:pPr>
        <w:pStyle w:val="TESlentelspavadinimas"/>
        <w:rPr>
          <w:noProof w:val="0"/>
        </w:rPr>
      </w:pPr>
    </w:p>
    <w:p w14:paraId="55E4E1F8" w14:textId="27EE813D" w:rsidR="002B0414" w:rsidRPr="00650EE4" w:rsidRDefault="002B0414" w:rsidP="00233C32">
      <w:pPr>
        <w:spacing w:before="120" w:after="120"/>
        <w:jc w:val="both"/>
        <w:rPr>
          <w:rFonts w:ascii="Times New Roman" w:hAnsi="Times New Roman"/>
          <w:b/>
          <w:bCs/>
          <w:szCs w:val="24"/>
        </w:rPr>
      </w:pPr>
      <w:r w:rsidRPr="00650EE4">
        <w:rPr>
          <w:rFonts w:ascii="Times New Roman" w:hAnsi="Times New Roman"/>
          <w:b/>
          <w:bCs/>
          <w:szCs w:val="24"/>
        </w:rPr>
        <w:t xml:space="preserve">Renovacijos </w:t>
      </w:r>
      <w:r w:rsidR="00697510" w:rsidRPr="00650EE4">
        <w:rPr>
          <w:rFonts w:ascii="Times New Roman" w:hAnsi="Times New Roman"/>
          <w:b/>
          <w:bCs/>
          <w:szCs w:val="24"/>
        </w:rPr>
        <w:t>subsidijavimas</w:t>
      </w:r>
    </w:p>
    <w:p w14:paraId="4C1AB834" w14:textId="426AB6D9" w:rsidR="00233C32" w:rsidRPr="00650EE4" w:rsidRDefault="006E5504" w:rsidP="00233C32">
      <w:pPr>
        <w:jc w:val="both"/>
        <w:rPr>
          <w:rFonts w:ascii="Times New Roman" w:hAnsi="Times New Roman"/>
          <w:color w:val="000000" w:themeColor="text1"/>
          <w:szCs w:val="22"/>
        </w:rPr>
      </w:pPr>
      <w:r w:rsidRPr="00650EE4">
        <w:rPr>
          <w:rFonts w:ascii="Times New Roman" w:hAnsi="Times New Roman"/>
          <w:color w:val="000000" w:themeColor="text1"/>
          <w:szCs w:val="22"/>
        </w:rPr>
        <w:t>Dėl žemų energijos kainų ir</w:t>
      </w:r>
      <w:r w:rsidR="006E4707" w:rsidRPr="00650EE4">
        <w:rPr>
          <w:rFonts w:ascii="Times New Roman" w:hAnsi="Times New Roman"/>
          <w:color w:val="000000" w:themeColor="text1"/>
          <w:szCs w:val="22"/>
        </w:rPr>
        <w:t xml:space="preserve">, atitinkamai, </w:t>
      </w:r>
      <w:r w:rsidRPr="00650EE4">
        <w:rPr>
          <w:rFonts w:ascii="Times New Roman" w:hAnsi="Times New Roman"/>
          <w:color w:val="000000" w:themeColor="text1"/>
          <w:szCs w:val="22"/>
        </w:rPr>
        <w:t xml:space="preserve">ilgo </w:t>
      </w:r>
      <w:r w:rsidR="003445F7" w:rsidRPr="00650EE4">
        <w:rPr>
          <w:rFonts w:ascii="Times New Roman" w:hAnsi="Times New Roman"/>
          <w:color w:val="000000" w:themeColor="text1"/>
          <w:szCs w:val="22"/>
        </w:rPr>
        <w:t>atsipirkimo</w:t>
      </w:r>
      <w:r w:rsidRPr="00650EE4">
        <w:rPr>
          <w:rFonts w:ascii="Times New Roman" w:hAnsi="Times New Roman"/>
          <w:color w:val="000000" w:themeColor="text1"/>
          <w:szCs w:val="22"/>
        </w:rPr>
        <w:t xml:space="preserve"> laikotarpio, </w:t>
      </w:r>
      <w:r w:rsidR="006E4707" w:rsidRPr="00650EE4">
        <w:rPr>
          <w:rFonts w:ascii="Times New Roman" w:hAnsi="Times New Roman"/>
          <w:color w:val="000000" w:themeColor="text1"/>
          <w:szCs w:val="22"/>
        </w:rPr>
        <w:t xml:space="preserve">numatoma, kad </w:t>
      </w:r>
      <w:r w:rsidRPr="00650EE4">
        <w:rPr>
          <w:rFonts w:ascii="Times New Roman" w:hAnsi="Times New Roman"/>
          <w:color w:val="000000" w:themeColor="text1"/>
          <w:szCs w:val="22"/>
        </w:rPr>
        <w:t>r</w:t>
      </w:r>
      <w:r w:rsidR="009D0EDD" w:rsidRPr="00650EE4">
        <w:rPr>
          <w:rFonts w:ascii="Times New Roman" w:hAnsi="Times New Roman"/>
          <w:color w:val="000000" w:themeColor="text1"/>
          <w:szCs w:val="22"/>
        </w:rPr>
        <w:t>enovac</w:t>
      </w:r>
      <w:r w:rsidR="006E4707" w:rsidRPr="00650EE4">
        <w:rPr>
          <w:rFonts w:ascii="Times New Roman" w:hAnsi="Times New Roman"/>
          <w:color w:val="000000" w:themeColor="text1"/>
          <w:szCs w:val="22"/>
        </w:rPr>
        <w:t>ijai įgyvendinti bus reikalinga paskata valstybės lėšomis (subsidijomis)</w:t>
      </w:r>
      <w:r w:rsidR="009D0EDD" w:rsidRPr="00650EE4">
        <w:rPr>
          <w:rFonts w:ascii="Times New Roman" w:hAnsi="Times New Roman"/>
          <w:color w:val="000000" w:themeColor="text1"/>
          <w:szCs w:val="22"/>
        </w:rPr>
        <w:t xml:space="preserve">. </w:t>
      </w:r>
      <w:r w:rsidR="00233C32" w:rsidRPr="00650EE4">
        <w:rPr>
          <w:rFonts w:ascii="Times New Roman" w:hAnsi="Times New Roman"/>
          <w:color w:val="000000" w:themeColor="text1"/>
          <w:szCs w:val="22"/>
        </w:rPr>
        <w:t xml:space="preserve">Numatomas, renovacijai  įgyvendinti reikalingų subsidijų poreikis </w:t>
      </w:r>
      <w:r w:rsidR="00262C85" w:rsidRPr="00650EE4">
        <w:rPr>
          <w:rFonts w:ascii="Times New Roman" w:hAnsi="Times New Roman"/>
          <w:color w:val="000000" w:themeColor="text1"/>
          <w:szCs w:val="22"/>
        </w:rPr>
        <w:t xml:space="preserve">(per metus) </w:t>
      </w:r>
      <w:r w:rsidR="00233C32" w:rsidRPr="00650EE4">
        <w:rPr>
          <w:rFonts w:ascii="Times New Roman" w:hAnsi="Times New Roman"/>
          <w:color w:val="000000" w:themeColor="text1"/>
          <w:szCs w:val="22"/>
        </w:rPr>
        <w:t>pateikiamas lentelėje žemiau. Subsidijų poreikis</w:t>
      </w:r>
      <w:r w:rsidR="00262C85" w:rsidRPr="00650EE4">
        <w:rPr>
          <w:rFonts w:ascii="Times New Roman" w:hAnsi="Times New Roman"/>
          <w:color w:val="000000" w:themeColor="text1"/>
          <w:szCs w:val="22"/>
        </w:rPr>
        <w:t xml:space="preserve"> </w:t>
      </w:r>
      <w:r w:rsidR="00233C32" w:rsidRPr="00650EE4">
        <w:rPr>
          <w:rFonts w:ascii="Times New Roman" w:hAnsi="Times New Roman"/>
          <w:color w:val="000000" w:themeColor="text1"/>
          <w:szCs w:val="22"/>
        </w:rPr>
        <w:t>apskaičiuotas remiantis šiuo metu taikomų renovacijos paramos priemonių finansavimo intensyvumu, kai finansuojama 30 proc. investicijų. Daugiabučių atveju papildomai įvertinta parama investicinių projektų rengimui ir projekto administravimui, papildomai sudaranti apie 10 proc. investicijų</w:t>
      </w:r>
      <w:r w:rsidR="00296C0B">
        <w:rPr>
          <w:rFonts w:ascii="Times New Roman" w:hAnsi="Times New Roman"/>
          <w:color w:val="000000" w:themeColor="text1"/>
          <w:szCs w:val="22"/>
        </w:rPr>
        <w:t>.</w:t>
      </w:r>
    </w:p>
    <w:p w14:paraId="129E16FF" w14:textId="7EB2DAE5" w:rsidR="002B0414" w:rsidRPr="00650EE4" w:rsidRDefault="002B0414" w:rsidP="00631BA6">
      <w:pPr>
        <w:pStyle w:val="TESlentelspavadinimas"/>
        <w:rPr>
          <w:noProof w:val="0"/>
        </w:rPr>
      </w:pPr>
    </w:p>
    <w:p w14:paraId="136E8F99" w14:textId="5831A5A2" w:rsidR="00BE5218" w:rsidRDefault="00BC348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69" w:name="_Toc59094239"/>
      <w:r w:rsidR="00F25C65">
        <w:t>56</w:t>
      </w:r>
      <w:r w:rsidRPr="00650EE4">
        <w:rPr>
          <w:noProof w:val="0"/>
        </w:rPr>
        <w:fldChar w:fldCharType="end"/>
      </w:r>
      <w:r w:rsidR="00BE5218" w:rsidRPr="00650EE4">
        <w:rPr>
          <w:noProof w:val="0"/>
        </w:rPr>
        <w:t xml:space="preserve"> lentelė. Renovacijai įgyvendinti reikaling</w:t>
      </w:r>
      <w:r w:rsidR="00C26226" w:rsidRPr="00650EE4">
        <w:rPr>
          <w:noProof w:val="0"/>
        </w:rPr>
        <w:t>ų subsidijų poreikis</w:t>
      </w:r>
      <w:bookmarkEnd w:id="169"/>
    </w:p>
    <w:tbl>
      <w:tblPr>
        <w:tblW w:w="5000" w:type="pct"/>
        <w:tblLook w:val="04A0" w:firstRow="1" w:lastRow="0" w:firstColumn="1" w:lastColumn="0" w:noHBand="0" w:noVBand="1"/>
      </w:tblPr>
      <w:tblGrid>
        <w:gridCol w:w="2298"/>
        <w:gridCol w:w="1625"/>
        <w:gridCol w:w="1626"/>
        <w:gridCol w:w="1626"/>
        <w:gridCol w:w="1626"/>
        <w:gridCol w:w="1619"/>
      </w:tblGrid>
      <w:tr w:rsidR="00296C0B" w:rsidRPr="00AC6715" w14:paraId="353A5468"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BE0BB" w14:textId="77777777" w:rsidR="00296C0B" w:rsidRPr="00AC6715" w:rsidRDefault="00296C0B" w:rsidP="00910123">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Pastato etalonas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3E93390" w14:textId="77777777" w:rsidR="00296C0B" w:rsidRPr="00AC6715" w:rsidRDefault="00296C0B" w:rsidP="00910123">
            <w:pPr>
              <w:spacing w:line="240" w:lineRule="auto"/>
              <w:rPr>
                <w:rFonts w:ascii="Times New Roman" w:eastAsia="Times New Roman" w:hAnsi="Times New Roman"/>
                <w:b/>
                <w:bCs/>
                <w:sz w:val="20"/>
                <w:szCs w:val="20"/>
              </w:rPr>
            </w:pPr>
            <w:r w:rsidRPr="00AC6715">
              <w:rPr>
                <w:rFonts w:ascii="Times New Roman" w:eastAsia="Times New Roman" w:hAnsi="Times New Roman"/>
                <w:b/>
                <w:bCs/>
                <w:sz w:val="20"/>
                <w:szCs w:val="20"/>
              </w:rPr>
              <w:t>Mato vnt.</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46BE412"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2021-2023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A194854"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2024-2030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F8846D"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2031-2040</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06FD0F23" w14:textId="77777777" w:rsidR="00296C0B" w:rsidRPr="00AC6715" w:rsidRDefault="00296C0B" w:rsidP="00910123">
            <w:pPr>
              <w:spacing w:line="240" w:lineRule="auto"/>
              <w:jc w:val="center"/>
              <w:rPr>
                <w:rFonts w:ascii="Times New Roman" w:eastAsia="Times New Roman" w:hAnsi="Times New Roman"/>
                <w:b/>
                <w:bCs/>
                <w:sz w:val="20"/>
                <w:szCs w:val="20"/>
              </w:rPr>
            </w:pPr>
            <w:r w:rsidRPr="00AC6715">
              <w:rPr>
                <w:rFonts w:ascii="Times New Roman" w:eastAsia="Times New Roman" w:hAnsi="Times New Roman"/>
                <w:b/>
                <w:bCs/>
                <w:sz w:val="20"/>
                <w:szCs w:val="20"/>
              </w:rPr>
              <w:t>2041-2050</w:t>
            </w:r>
          </w:p>
        </w:tc>
      </w:tr>
      <w:tr w:rsidR="00296C0B" w:rsidRPr="00776DA9" w14:paraId="00BD4AA8"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C4F772"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Daugiabučiai </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5585D7"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4FFC5023"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114</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D9B300D"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168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58F1453"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195</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3D0B976F"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197</w:t>
            </w:r>
          </w:p>
        </w:tc>
      </w:tr>
      <w:tr w:rsidR="00296C0B" w:rsidRPr="00776DA9" w14:paraId="2BE62186"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E5AD86"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Individualūs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E3EEB1D"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ECE7918"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98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2088B74"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143</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CDA8CAD"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253</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075390C9"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360</w:t>
            </w:r>
          </w:p>
        </w:tc>
      </w:tr>
      <w:tr w:rsidR="00296C0B" w:rsidRPr="00776DA9" w14:paraId="3F2A6AD3"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0D57E"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Pramonės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532B0502"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46C0D72"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04CA196"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41</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06DFC2CD"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77</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5140D4A4"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112</w:t>
            </w:r>
          </w:p>
        </w:tc>
      </w:tr>
      <w:tr w:rsidR="00296C0B" w:rsidRPr="00776DA9" w14:paraId="2C880EF4"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50F2EC"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Kiti negyvenamieji</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1843283" w14:textId="77777777" w:rsidR="00296C0B" w:rsidRPr="00776DA9" w:rsidRDefault="00296C0B" w:rsidP="00910123">
            <w:pPr>
              <w:spacing w:line="240" w:lineRule="auto"/>
              <w:rPr>
                <w:rFonts w:ascii="Times New Roman" w:eastAsia="Times New Roman" w:hAnsi="Times New Roman"/>
                <w:sz w:val="20"/>
                <w:szCs w:val="20"/>
              </w:rPr>
            </w:pPr>
            <w:r w:rsidRPr="00776DA9">
              <w:rPr>
                <w:rFonts w:ascii="Times New Roman" w:eastAsia="Times New Roman" w:hAnsi="Times New Roman"/>
                <w:sz w:val="20"/>
                <w:szCs w:val="20"/>
              </w:rPr>
              <w:t xml:space="preserve">mln. </w:t>
            </w:r>
            <w:proofErr w:type="spellStart"/>
            <w:r w:rsidRPr="00776DA9">
              <w:rPr>
                <w:rFonts w:ascii="Times New Roman" w:eastAsia="Times New Roman" w:hAnsi="Times New Roman"/>
                <w:sz w:val="20"/>
                <w:szCs w:val="20"/>
              </w:rPr>
              <w:t>Eur</w:t>
            </w:r>
            <w:proofErr w:type="spellEnd"/>
            <w:r w:rsidRPr="00776DA9">
              <w:rPr>
                <w:rFonts w:ascii="Times New Roman" w:eastAsia="Times New Roman" w:hAnsi="Times New Roman"/>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79278D9"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50</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32EB94"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77</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184894B"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145</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3493FE1B" w14:textId="77777777" w:rsidR="00296C0B" w:rsidRPr="00776DA9" w:rsidRDefault="00296C0B" w:rsidP="00910123">
            <w:pPr>
              <w:spacing w:line="240" w:lineRule="auto"/>
              <w:jc w:val="center"/>
              <w:rPr>
                <w:rFonts w:ascii="Times New Roman" w:eastAsia="Times New Roman" w:hAnsi="Times New Roman"/>
                <w:sz w:val="20"/>
                <w:szCs w:val="20"/>
              </w:rPr>
            </w:pPr>
            <w:r w:rsidRPr="00776DA9">
              <w:rPr>
                <w:rFonts w:ascii="Times New Roman" w:eastAsia="Times New Roman" w:hAnsi="Times New Roman"/>
                <w:sz w:val="20"/>
                <w:szCs w:val="20"/>
              </w:rPr>
              <w:t>210</w:t>
            </w:r>
          </w:p>
        </w:tc>
      </w:tr>
      <w:tr w:rsidR="00296C0B" w:rsidRPr="00776DA9" w14:paraId="2320467A" w14:textId="77777777" w:rsidTr="00910123">
        <w:trPr>
          <w:trHeight w:val="257"/>
        </w:trPr>
        <w:tc>
          <w:tcPr>
            <w:tcW w:w="1103"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B26281" w14:textId="77777777" w:rsidR="00296C0B" w:rsidRPr="00776DA9" w:rsidRDefault="00296C0B" w:rsidP="00910123">
            <w:pPr>
              <w:spacing w:line="240" w:lineRule="auto"/>
              <w:rPr>
                <w:rFonts w:ascii="Times New Roman" w:eastAsia="Times New Roman" w:hAnsi="Times New Roman"/>
                <w:b/>
                <w:bCs/>
                <w:sz w:val="20"/>
                <w:szCs w:val="20"/>
              </w:rPr>
            </w:pPr>
            <w:r w:rsidRPr="00776DA9">
              <w:rPr>
                <w:rFonts w:ascii="Times New Roman" w:eastAsia="Times New Roman" w:hAnsi="Times New Roman"/>
                <w:b/>
                <w:bCs/>
                <w:sz w:val="20"/>
                <w:szCs w:val="20"/>
              </w:rPr>
              <w:t>Iš viso</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2879F416" w14:textId="77777777" w:rsidR="00296C0B" w:rsidRPr="00776DA9" w:rsidRDefault="00296C0B" w:rsidP="00910123">
            <w:pPr>
              <w:spacing w:line="240" w:lineRule="auto"/>
              <w:rPr>
                <w:rFonts w:ascii="Times New Roman" w:eastAsia="Times New Roman" w:hAnsi="Times New Roman"/>
                <w:b/>
                <w:bCs/>
                <w:sz w:val="20"/>
                <w:szCs w:val="20"/>
              </w:rPr>
            </w:pPr>
            <w:r w:rsidRPr="00776DA9">
              <w:rPr>
                <w:rFonts w:ascii="Times New Roman" w:eastAsia="Times New Roman" w:hAnsi="Times New Roman"/>
                <w:b/>
                <w:bCs/>
                <w:sz w:val="20"/>
                <w:szCs w:val="20"/>
              </w:rPr>
              <w:t xml:space="preserve">mln. </w:t>
            </w:r>
            <w:proofErr w:type="spellStart"/>
            <w:r w:rsidRPr="00776DA9">
              <w:rPr>
                <w:rFonts w:ascii="Times New Roman" w:eastAsia="Times New Roman" w:hAnsi="Times New Roman"/>
                <w:b/>
                <w:bCs/>
                <w:sz w:val="20"/>
                <w:szCs w:val="20"/>
              </w:rPr>
              <w:t>Eur</w:t>
            </w:r>
            <w:proofErr w:type="spellEnd"/>
            <w:r w:rsidRPr="00776DA9">
              <w:rPr>
                <w:rFonts w:ascii="Times New Roman" w:eastAsia="Times New Roman" w:hAnsi="Times New Roman"/>
                <w:b/>
                <w:bCs/>
                <w:sz w:val="20"/>
                <w:szCs w:val="20"/>
              </w:rPr>
              <w:t>/metus</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6995C82E" w14:textId="77777777" w:rsidR="00296C0B" w:rsidRPr="00776DA9" w:rsidRDefault="00296C0B" w:rsidP="00910123">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289</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322D84E6" w14:textId="77777777" w:rsidR="00296C0B" w:rsidRPr="00776DA9" w:rsidRDefault="00296C0B" w:rsidP="00910123">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428</w:t>
            </w:r>
          </w:p>
        </w:tc>
        <w:tc>
          <w:tcPr>
            <w:tcW w:w="780" w:type="pct"/>
            <w:tcBorders>
              <w:top w:val="single" w:sz="4" w:space="0" w:color="auto"/>
              <w:left w:val="nil"/>
              <w:bottom w:val="single" w:sz="4" w:space="0" w:color="auto"/>
              <w:right w:val="single" w:sz="4" w:space="0" w:color="auto"/>
            </w:tcBorders>
            <w:shd w:val="clear" w:color="000000" w:fill="FFFFFF"/>
            <w:noWrap/>
            <w:vAlign w:val="center"/>
            <w:hideMark/>
          </w:tcPr>
          <w:p w14:paraId="17502C85" w14:textId="77777777" w:rsidR="00296C0B" w:rsidRPr="00776DA9" w:rsidRDefault="00296C0B" w:rsidP="00910123">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670</w:t>
            </w:r>
          </w:p>
        </w:tc>
        <w:tc>
          <w:tcPr>
            <w:tcW w:w="778" w:type="pct"/>
            <w:tcBorders>
              <w:top w:val="single" w:sz="4" w:space="0" w:color="auto"/>
              <w:left w:val="nil"/>
              <w:bottom w:val="single" w:sz="4" w:space="0" w:color="auto"/>
              <w:right w:val="single" w:sz="4" w:space="0" w:color="auto"/>
            </w:tcBorders>
            <w:shd w:val="clear" w:color="000000" w:fill="FFFFFF"/>
            <w:noWrap/>
            <w:vAlign w:val="center"/>
            <w:hideMark/>
          </w:tcPr>
          <w:p w14:paraId="79C8B04C" w14:textId="77777777" w:rsidR="00296C0B" w:rsidRPr="00776DA9" w:rsidRDefault="00296C0B" w:rsidP="00910123">
            <w:pPr>
              <w:spacing w:line="240" w:lineRule="auto"/>
              <w:jc w:val="center"/>
              <w:rPr>
                <w:rFonts w:ascii="Times New Roman" w:eastAsia="Times New Roman" w:hAnsi="Times New Roman"/>
                <w:b/>
                <w:bCs/>
                <w:sz w:val="20"/>
                <w:szCs w:val="20"/>
              </w:rPr>
            </w:pPr>
            <w:r w:rsidRPr="00776DA9">
              <w:rPr>
                <w:rFonts w:ascii="Times New Roman" w:eastAsia="Times New Roman" w:hAnsi="Times New Roman"/>
                <w:b/>
                <w:bCs/>
                <w:sz w:val="20"/>
                <w:szCs w:val="20"/>
              </w:rPr>
              <w:t>879</w:t>
            </w:r>
          </w:p>
        </w:tc>
      </w:tr>
    </w:tbl>
    <w:p w14:paraId="24990480" w14:textId="596461C5" w:rsidR="00B05C61" w:rsidRPr="00650EE4" w:rsidRDefault="00BE5218"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661EF19F" w14:textId="77777777" w:rsidR="00B05C61" w:rsidRPr="00650EE4" w:rsidRDefault="00B05C61" w:rsidP="00631BA6">
      <w:pPr>
        <w:pStyle w:val="TESlentelspavadinimas"/>
        <w:rPr>
          <w:noProof w:val="0"/>
        </w:rPr>
      </w:pPr>
    </w:p>
    <w:p w14:paraId="612DA3FA" w14:textId="42F4DE36" w:rsidR="00697510" w:rsidRPr="00650EE4" w:rsidRDefault="00697510" w:rsidP="00233C32">
      <w:pPr>
        <w:spacing w:before="120" w:after="120"/>
        <w:jc w:val="both"/>
        <w:rPr>
          <w:rFonts w:ascii="Times New Roman" w:hAnsi="Times New Roman"/>
          <w:b/>
          <w:bCs/>
          <w:szCs w:val="24"/>
        </w:rPr>
      </w:pPr>
      <w:r w:rsidRPr="00650EE4">
        <w:rPr>
          <w:rFonts w:ascii="Times New Roman" w:hAnsi="Times New Roman"/>
          <w:b/>
          <w:bCs/>
          <w:szCs w:val="24"/>
        </w:rPr>
        <w:t>Renovacijos finansavimas</w:t>
      </w:r>
    </w:p>
    <w:p w14:paraId="04CF1DE8" w14:textId="7A708D77" w:rsidR="00EF1A3F" w:rsidRPr="00650EE4" w:rsidRDefault="00EF1A3F" w:rsidP="00233C32">
      <w:pPr>
        <w:spacing w:before="120" w:after="120"/>
        <w:jc w:val="both"/>
        <w:rPr>
          <w:rFonts w:ascii="Times New Roman" w:hAnsi="Times New Roman"/>
          <w:b/>
          <w:bCs/>
          <w:szCs w:val="24"/>
        </w:rPr>
      </w:pPr>
      <w:r w:rsidRPr="00650EE4">
        <w:rPr>
          <w:rFonts w:ascii="Times New Roman" w:hAnsi="Times New Roman"/>
          <w:szCs w:val="22"/>
        </w:rPr>
        <w:t>N</w:t>
      </w:r>
      <w:r w:rsidR="00D44F5B" w:rsidRPr="00650EE4">
        <w:rPr>
          <w:rFonts w:ascii="Times New Roman" w:hAnsi="Times New Roman"/>
          <w:szCs w:val="22"/>
        </w:rPr>
        <w:t>uma</w:t>
      </w:r>
      <w:r w:rsidRPr="00650EE4">
        <w:rPr>
          <w:rFonts w:ascii="Times New Roman" w:hAnsi="Times New Roman"/>
          <w:szCs w:val="22"/>
        </w:rPr>
        <w:t xml:space="preserve">toma, kad reikšmingai daliai pastatų savininkų, pageidaujančių dalyvauti </w:t>
      </w:r>
      <w:r w:rsidR="00C367FD" w:rsidRPr="00650EE4">
        <w:rPr>
          <w:rFonts w:ascii="Times New Roman" w:hAnsi="Times New Roman"/>
          <w:szCs w:val="22"/>
        </w:rPr>
        <w:t>renovacijos</w:t>
      </w:r>
      <w:r w:rsidRPr="00650EE4">
        <w:rPr>
          <w:rFonts w:ascii="Times New Roman" w:hAnsi="Times New Roman"/>
          <w:szCs w:val="22"/>
        </w:rPr>
        <w:t xml:space="preserve"> procese, bus </w:t>
      </w:r>
      <w:r w:rsidR="00F4081D" w:rsidRPr="00650EE4">
        <w:rPr>
          <w:rFonts w:ascii="Times New Roman" w:hAnsi="Times New Roman"/>
          <w:szCs w:val="22"/>
        </w:rPr>
        <w:t>reikalingi nuosavo įnašo</w:t>
      </w:r>
      <w:r w:rsidRPr="00650EE4">
        <w:rPr>
          <w:rFonts w:ascii="Times New Roman" w:hAnsi="Times New Roman"/>
          <w:szCs w:val="22"/>
        </w:rPr>
        <w:t xml:space="preserve"> dalies finansavimo sprendimai. Maksimalus r</w:t>
      </w:r>
      <w:r w:rsidRPr="00650EE4">
        <w:rPr>
          <w:rFonts w:ascii="Times New Roman" w:hAnsi="Times New Roman"/>
          <w:color w:val="000000" w:themeColor="text1"/>
          <w:szCs w:val="22"/>
        </w:rPr>
        <w:t xml:space="preserve">enovacijai  įgyvendinti reikalingo finansavimo </w:t>
      </w:r>
      <w:r w:rsidR="00262C85" w:rsidRPr="00650EE4">
        <w:rPr>
          <w:rFonts w:ascii="Times New Roman" w:hAnsi="Times New Roman"/>
          <w:color w:val="000000" w:themeColor="text1"/>
          <w:szCs w:val="22"/>
        </w:rPr>
        <w:t xml:space="preserve">(per metus) </w:t>
      </w:r>
      <w:r w:rsidRPr="00650EE4">
        <w:rPr>
          <w:rFonts w:ascii="Times New Roman" w:hAnsi="Times New Roman"/>
          <w:color w:val="000000" w:themeColor="text1"/>
          <w:szCs w:val="22"/>
        </w:rPr>
        <w:t>poreikis</w:t>
      </w:r>
      <w:r w:rsidR="00262C85"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apskaičiuotas remiantis vertinimui, kad kreditavimas bus reikalingas visai pastatų savininkų nuosavo įnašo daliai</w:t>
      </w:r>
      <w:r w:rsidR="00262C85"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w:t>
      </w:r>
      <w:r w:rsidR="00D44F5B" w:rsidRPr="00650EE4">
        <w:rPr>
          <w:rFonts w:ascii="Times New Roman" w:hAnsi="Times New Roman"/>
          <w:color w:val="000000" w:themeColor="text1"/>
          <w:szCs w:val="22"/>
        </w:rPr>
        <w:t>pateikiamas lentelėje žemiau.</w:t>
      </w:r>
    </w:p>
    <w:p w14:paraId="7DCED459" w14:textId="4761B896" w:rsidR="00BB5E09" w:rsidRPr="00650EE4" w:rsidRDefault="00BC348D" w:rsidP="00BB5E09">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0" w:name="_Toc59094240"/>
      <w:r w:rsidR="00F25C65">
        <w:t>57</w:t>
      </w:r>
      <w:r w:rsidRPr="00650EE4">
        <w:rPr>
          <w:noProof w:val="0"/>
        </w:rPr>
        <w:fldChar w:fldCharType="end"/>
      </w:r>
      <w:r w:rsidR="00BB5E09" w:rsidRPr="00650EE4">
        <w:rPr>
          <w:noProof w:val="0"/>
        </w:rPr>
        <w:t xml:space="preserve"> lentelė. Renovacijai įgyvendinti reikalingas finansavimas</w:t>
      </w:r>
      <w:bookmarkEnd w:id="170"/>
    </w:p>
    <w:tbl>
      <w:tblPr>
        <w:tblW w:w="5000" w:type="pct"/>
        <w:tblLook w:val="04A0" w:firstRow="1" w:lastRow="0" w:firstColumn="1" w:lastColumn="0" w:noHBand="0" w:noVBand="1"/>
      </w:tblPr>
      <w:tblGrid>
        <w:gridCol w:w="3229"/>
        <w:gridCol w:w="1627"/>
        <w:gridCol w:w="1391"/>
        <w:gridCol w:w="1391"/>
        <w:gridCol w:w="1391"/>
        <w:gridCol w:w="1391"/>
      </w:tblGrid>
      <w:tr w:rsidR="00296C0B" w:rsidRPr="00F87057" w14:paraId="2EDAB7F3"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B6EF798" w14:textId="77777777" w:rsidR="00296C0B" w:rsidRPr="00F87057" w:rsidRDefault="00296C0B" w:rsidP="00910123">
            <w:pPr>
              <w:spacing w:line="240" w:lineRule="auto"/>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Pastato etalonas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3B1D3C97" w14:textId="77777777" w:rsidR="00296C0B" w:rsidRPr="00F87057" w:rsidRDefault="00296C0B" w:rsidP="00910123">
            <w:pPr>
              <w:spacing w:line="240" w:lineRule="auto"/>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Mato vnt.</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BAA3370" w14:textId="77777777" w:rsidR="00296C0B" w:rsidRPr="00F87057" w:rsidRDefault="00296C0B" w:rsidP="00910123">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2021-2023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B842D92" w14:textId="77777777" w:rsidR="00296C0B" w:rsidRPr="00F87057" w:rsidRDefault="00296C0B" w:rsidP="00910123">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2024-2030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8D52ACF" w14:textId="77777777" w:rsidR="00296C0B" w:rsidRPr="00F87057" w:rsidRDefault="00296C0B" w:rsidP="00910123">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2031-2040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4D808E9" w14:textId="77777777" w:rsidR="00296C0B" w:rsidRPr="00F87057" w:rsidRDefault="00296C0B" w:rsidP="00910123">
            <w:pPr>
              <w:spacing w:line="240" w:lineRule="auto"/>
              <w:jc w:val="center"/>
              <w:rPr>
                <w:rFonts w:ascii="Times New Roman" w:eastAsia="Times New Roman" w:hAnsi="Times New Roman"/>
                <w:b/>
                <w:bCs/>
                <w:sz w:val="20"/>
                <w:szCs w:val="20"/>
                <w:lang w:eastAsia="lt-LT"/>
              </w:rPr>
            </w:pPr>
            <w:r w:rsidRPr="00F87057">
              <w:rPr>
                <w:rFonts w:ascii="Times New Roman" w:eastAsia="Times New Roman" w:hAnsi="Times New Roman"/>
                <w:b/>
                <w:bCs/>
                <w:sz w:val="20"/>
                <w:szCs w:val="20"/>
                <w:lang w:eastAsia="lt-LT"/>
              </w:rPr>
              <w:t>2041-2050</w:t>
            </w:r>
          </w:p>
        </w:tc>
      </w:tr>
      <w:tr w:rsidR="00296C0B" w:rsidRPr="00776DA9" w14:paraId="2378F0D1"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CFAEEF"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Daugiabučiai </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1576CF82"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0A03690D"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171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FE1BB64"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251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1DEB07C"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292</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72577FC"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295</w:t>
            </w:r>
          </w:p>
        </w:tc>
      </w:tr>
      <w:tr w:rsidR="00296C0B" w:rsidRPr="00776DA9" w14:paraId="36B786D4"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1BB3579"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Individualūs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35FF61F6"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15DEFB6"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230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2BC1EEB0"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333</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9EE9A0C"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591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1989C78"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841</w:t>
            </w:r>
          </w:p>
        </w:tc>
      </w:tr>
      <w:tr w:rsidR="00296C0B" w:rsidRPr="00776DA9" w14:paraId="12D7AEFA"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9BC47AF"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Pramonės</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0716E828"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4D5095F"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62</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BD535E3"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95</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4D811E08"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180</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D69E734"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261</w:t>
            </w:r>
          </w:p>
        </w:tc>
      </w:tr>
      <w:tr w:rsidR="00296C0B" w:rsidRPr="00776DA9" w14:paraId="000259AF"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76074AC"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Kiti negyvenamieji</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4A68F21B" w14:textId="77777777" w:rsidR="00296C0B" w:rsidRPr="00776DA9" w:rsidRDefault="00296C0B" w:rsidP="00910123">
            <w:pPr>
              <w:spacing w:line="240" w:lineRule="auto"/>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 xml:space="preserve">mln. </w:t>
            </w:r>
            <w:proofErr w:type="spellStart"/>
            <w:r w:rsidRPr="00776DA9">
              <w:rPr>
                <w:rFonts w:ascii="Times New Roman" w:eastAsia="Times New Roman" w:hAnsi="Times New Roman"/>
                <w:sz w:val="20"/>
                <w:szCs w:val="20"/>
                <w:lang w:eastAsia="lt-LT"/>
              </w:rPr>
              <w:t>Eur</w:t>
            </w:r>
            <w:proofErr w:type="spellEnd"/>
            <w:r w:rsidRPr="00776DA9">
              <w:rPr>
                <w:rFonts w:ascii="Times New Roman" w:eastAsia="Times New Roman" w:hAnsi="Times New Roman"/>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71CC6CF"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116</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6603B43C"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179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3726551D"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338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549C01EA" w14:textId="77777777" w:rsidR="00296C0B" w:rsidRPr="00776DA9" w:rsidRDefault="00296C0B" w:rsidP="00910123">
            <w:pPr>
              <w:spacing w:line="240" w:lineRule="auto"/>
              <w:jc w:val="center"/>
              <w:rPr>
                <w:rFonts w:ascii="Times New Roman" w:eastAsia="Times New Roman" w:hAnsi="Times New Roman"/>
                <w:sz w:val="20"/>
                <w:szCs w:val="20"/>
                <w:lang w:eastAsia="lt-LT"/>
              </w:rPr>
            </w:pPr>
            <w:r w:rsidRPr="00776DA9">
              <w:rPr>
                <w:rFonts w:ascii="Times New Roman" w:eastAsia="Times New Roman" w:hAnsi="Times New Roman"/>
                <w:sz w:val="20"/>
                <w:szCs w:val="20"/>
                <w:lang w:eastAsia="lt-LT"/>
              </w:rPr>
              <w:t>490</w:t>
            </w:r>
          </w:p>
        </w:tc>
      </w:tr>
      <w:tr w:rsidR="00296C0B" w:rsidRPr="00776DA9" w14:paraId="4E9D501D" w14:textId="77777777" w:rsidTr="00910123">
        <w:trPr>
          <w:trHeight w:val="56"/>
        </w:trPr>
        <w:tc>
          <w:tcPr>
            <w:tcW w:w="315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53742B9" w14:textId="77777777" w:rsidR="00296C0B" w:rsidRPr="00776DA9" w:rsidRDefault="00296C0B" w:rsidP="00910123">
            <w:pPr>
              <w:spacing w:line="240" w:lineRule="auto"/>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Iš viso</w:t>
            </w:r>
          </w:p>
        </w:tc>
        <w:tc>
          <w:tcPr>
            <w:tcW w:w="1592" w:type="dxa"/>
            <w:tcBorders>
              <w:top w:val="single" w:sz="4" w:space="0" w:color="auto"/>
              <w:left w:val="nil"/>
              <w:bottom w:val="single" w:sz="4" w:space="0" w:color="auto"/>
              <w:right w:val="single" w:sz="4" w:space="0" w:color="auto"/>
            </w:tcBorders>
            <w:shd w:val="clear" w:color="000000" w:fill="FFFFFF"/>
            <w:noWrap/>
            <w:vAlign w:val="bottom"/>
            <w:hideMark/>
          </w:tcPr>
          <w:p w14:paraId="64079D3B" w14:textId="77777777" w:rsidR="00296C0B" w:rsidRPr="00776DA9" w:rsidRDefault="00296C0B" w:rsidP="00910123">
            <w:pPr>
              <w:spacing w:line="240" w:lineRule="auto"/>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 xml:space="preserve">mln. </w:t>
            </w:r>
            <w:proofErr w:type="spellStart"/>
            <w:r w:rsidRPr="00776DA9">
              <w:rPr>
                <w:rFonts w:ascii="Times New Roman" w:eastAsia="Times New Roman" w:hAnsi="Times New Roman"/>
                <w:b/>
                <w:bCs/>
                <w:sz w:val="20"/>
                <w:szCs w:val="20"/>
                <w:lang w:eastAsia="lt-LT"/>
              </w:rPr>
              <w:t>Eur</w:t>
            </w:r>
            <w:proofErr w:type="spellEnd"/>
            <w:r w:rsidRPr="00776DA9">
              <w:rPr>
                <w:rFonts w:ascii="Times New Roman" w:eastAsia="Times New Roman" w:hAnsi="Times New Roman"/>
                <w:b/>
                <w:bCs/>
                <w:sz w:val="20"/>
                <w:szCs w:val="20"/>
                <w:lang w:eastAsia="lt-LT"/>
              </w:rPr>
              <w:t>/metus</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327C8F6" w14:textId="77777777" w:rsidR="00296C0B" w:rsidRPr="00776DA9" w:rsidRDefault="00296C0B" w:rsidP="00910123">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579</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85547C0" w14:textId="77777777" w:rsidR="00296C0B" w:rsidRPr="00776DA9" w:rsidRDefault="00296C0B" w:rsidP="00910123">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858</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7AAE8E67" w14:textId="77777777" w:rsidR="00296C0B" w:rsidRPr="00776DA9" w:rsidRDefault="00296C0B" w:rsidP="00910123">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1.401</w:t>
            </w:r>
          </w:p>
        </w:tc>
        <w:tc>
          <w:tcPr>
            <w:tcW w:w="1361" w:type="dxa"/>
            <w:tcBorders>
              <w:top w:val="single" w:sz="4" w:space="0" w:color="auto"/>
              <w:left w:val="nil"/>
              <w:bottom w:val="single" w:sz="4" w:space="0" w:color="auto"/>
              <w:right w:val="single" w:sz="4" w:space="0" w:color="auto"/>
            </w:tcBorders>
            <w:shd w:val="clear" w:color="000000" w:fill="FFFFFF"/>
            <w:noWrap/>
            <w:vAlign w:val="bottom"/>
            <w:hideMark/>
          </w:tcPr>
          <w:p w14:paraId="1599F6CA" w14:textId="77777777" w:rsidR="00296C0B" w:rsidRPr="00776DA9" w:rsidRDefault="00296C0B" w:rsidP="00910123">
            <w:pPr>
              <w:spacing w:line="240" w:lineRule="auto"/>
              <w:jc w:val="center"/>
              <w:rPr>
                <w:rFonts w:ascii="Times New Roman" w:eastAsia="Times New Roman" w:hAnsi="Times New Roman"/>
                <w:b/>
                <w:bCs/>
                <w:sz w:val="20"/>
                <w:szCs w:val="20"/>
                <w:lang w:eastAsia="lt-LT"/>
              </w:rPr>
            </w:pPr>
            <w:r w:rsidRPr="00776DA9">
              <w:rPr>
                <w:rFonts w:ascii="Times New Roman" w:eastAsia="Times New Roman" w:hAnsi="Times New Roman"/>
                <w:b/>
                <w:bCs/>
                <w:sz w:val="20"/>
                <w:szCs w:val="20"/>
                <w:lang w:eastAsia="lt-LT"/>
              </w:rPr>
              <w:t>1.888</w:t>
            </w:r>
          </w:p>
        </w:tc>
      </w:tr>
    </w:tbl>
    <w:p w14:paraId="1DCB2867" w14:textId="6E66EF2F" w:rsidR="00BB5E09" w:rsidRPr="00650EE4" w:rsidRDefault="00BB5E09" w:rsidP="00BB5E09">
      <w:pPr>
        <w:pStyle w:val="TESlentelspavadinimas"/>
        <w:rPr>
          <w:noProof w:val="0"/>
        </w:rPr>
      </w:pPr>
      <w:r w:rsidRPr="00650EE4">
        <w:rPr>
          <w:noProof w:val="0"/>
        </w:rPr>
        <w:t>Šaltinis: Studijos</w:t>
      </w:r>
      <w:r w:rsidR="00DD791C" w:rsidRPr="00DD791C">
        <w:rPr>
          <w:iCs/>
          <w:color w:val="auto"/>
        </w:rPr>
        <w:t xml:space="preserve"> </w:t>
      </w:r>
      <w:r w:rsidR="00DD791C" w:rsidRPr="00874EAF">
        <w:rPr>
          <w:iCs/>
          <w:color w:val="auto"/>
        </w:rPr>
        <w:t>Lietuvos ilgalaikei renovacijos strategijai parengti</w:t>
      </w:r>
      <w:r w:rsidRPr="00650EE4">
        <w:rPr>
          <w:noProof w:val="0"/>
        </w:rPr>
        <w:t xml:space="preserve"> autoriai</w:t>
      </w:r>
    </w:p>
    <w:p w14:paraId="13028030" w14:textId="4DFE63ED" w:rsidR="00697510" w:rsidRPr="00650EE4" w:rsidRDefault="00697510" w:rsidP="00B05C61">
      <w:pPr>
        <w:spacing w:after="120"/>
        <w:jc w:val="both"/>
        <w:rPr>
          <w:rFonts w:ascii="Times New Roman" w:hAnsi="Times New Roman"/>
          <w:color w:val="000000" w:themeColor="text1"/>
          <w:szCs w:val="22"/>
        </w:rPr>
      </w:pPr>
    </w:p>
    <w:p w14:paraId="33F28086" w14:textId="1E3F8041" w:rsidR="00771A41" w:rsidRPr="00650EE4" w:rsidRDefault="00C22A29" w:rsidP="00771A41">
      <w:pPr>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 xml:space="preserve">Vertinant, kad </w:t>
      </w:r>
      <w:r w:rsidR="001324F8" w:rsidRPr="00650EE4">
        <w:rPr>
          <w:rFonts w:ascii="Times New Roman" w:hAnsi="Times New Roman"/>
          <w:color w:val="000000" w:themeColor="text1"/>
          <w:szCs w:val="22"/>
        </w:rPr>
        <w:t xml:space="preserve"> valstybės galimybės užtikrinti finansavimą (savo ar paramos fondų lėšomis) yra ribotos, didelę svarbą</w:t>
      </w:r>
      <w:r w:rsidR="00771A41" w:rsidRPr="00650EE4">
        <w:rPr>
          <w:rFonts w:ascii="Times New Roman" w:hAnsi="Times New Roman"/>
          <w:color w:val="000000" w:themeColor="text1"/>
          <w:szCs w:val="22"/>
        </w:rPr>
        <w:t xml:space="preserve"> </w:t>
      </w:r>
      <w:r w:rsidR="00C367FD" w:rsidRPr="00650EE4">
        <w:rPr>
          <w:rFonts w:ascii="Times New Roman" w:hAnsi="Times New Roman"/>
          <w:color w:val="000000" w:themeColor="text1"/>
          <w:szCs w:val="22"/>
        </w:rPr>
        <w:t>finansavimo</w:t>
      </w:r>
      <w:r w:rsidR="00771A41" w:rsidRPr="00650EE4">
        <w:rPr>
          <w:rFonts w:ascii="Times New Roman" w:hAnsi="Times New Roman"/>
          <w:color w:val="000000" w:themeColor="text1"/>
          <w:szCs w:val="22"/>
        </w:rPr>
        <w:t xml:space="preserve"> užtikrinimui</w:t>
      </w:r>
      <w:r w:rsidR="001324F8" w:rsidRPr="00650EE4">
        <w:rPr>
          <w:rFonts w:ascii="Times New Roman" w:hAnsi="Times New Roman"/>
          <w:color w:val="000000" w:themeColor="text1"/>
          <w:szCs w:val="22"/>
        </w:rPr>
        <w:t xml:space="preserve"> įgyja </w:t>
      </w:r>
      <w:r w:rsidR="00771A41" w:rsidRPr="00650EE4">
        <w:rPr>
          <w:rFonts w:ascii="Times New Roman" w:hAnsi="Times New Roman"/>
          <w:color w:val="000000" w:themeColor="text1"/>
          <w:szCs w:val="22"/>
        </w:rPr>
        <w:t>gebėjimas sukurti ir pasiūlyti rinkai finansinius instrumentus, turinčius didelį sverto efektą</w:t>
      </w:r>
      <w:r w:rsidR="00771A41" w:rsidRPr="00650EE4">
        <w:rPr>
          <w:rStyle w:val="FootnoteReference"/>
          <w:rFonts w:ascii="Times New Roman" w:hAnsi="Times New Roman"/>
          <w:color w:val="000000" w:themeColor="text1"/>
          <w:szCs w:val="22"/>
        </w:rPr>
        <w:footnoteReference w:id="43"/>
      </w:r>
      <w:r w:rsidR="00771A41" w:rsidRPr="00650EE4">
        <w:rPr>
          <w:rFonts w:ascii="Times New Roman" w:hAnsi="Times New Roman"/>
          <w:color w:val="000000" w:themeColor="text1"/>
          <w:szCs w:val="22"/>
        </w:rPr>
        <w:t xml:space="preserve"> ir įtraukiančius privačias, pensijų fondų, tarptautinių finansinių institucijų lėšas. </w:t>
      </w:r>
    </w:p>
    <w:p w14:paraId="334C60ED" w14:textId="576A9003" w:rsidR="00697510" w:rsidRPr="00650EE4" w:rsidRDefault="00697510" w:rsidP="00771A41">
      <w:pPr>
        <w:jc w:val="both"/>
        <w:rPr>
          <w:rFonts w:ascii="Times New Roman" w:hAnsi="Times New Roman"/>
          <w:color w:val="000000" w:themeColor="text1"/>
          <w:szCs w:val="22"/>
        </w:rPr>
      </w:pPr>
    </w:p>
    <w:p w14:paraId="7DC2D7A4" w14:textId="7A5F6537" w:rsidR="006866B5" w:rsidRPr="00650EE4" w:rsidRDefault="006866B5" w:rsidP="006866B5">
      <w:pPr>
        <w:pStyle w:val="Antrastes31"/>
        <w:numPr>
          <w:ilvl w:val="2"/>
          <w:numId w:val="4"/>
        </w:numPr>
        <w:spacing w:before="120"/>
        <w:ind w:left="720" w:hanging="720"/>
        <w:rPr>
          <w:rFonts w:ascii="Times New Roman" w:hAnsi="Times New Roman"/>
          <w:color w:val="000000" w:themeColor="text1"/>
          <w:sz w:val="24"/>
          <w:szCs w:val="24"/>
          <w:lang w:val="lt-LT"/>
        </w:rPr>
      </w:pPr>
      <w:bookmarkStart w:id="171" w:name="_Toc59107562"/>
      <w:r w:rsidRPr="00650EE4">
        <w:rPr>
          <w:rFonts w:ascii="Times New Roman" w:hAnsi="Times New Roman"/>
          <w:color w:val="000000" w:themeColor="text1"/>
          <w:sz w:val="24"/>
          <w:szCs w:val="24"/>
          <w:lang w:val="lt-LT"/>
        </w:rPr>
        <w:t>Daugiabučiai</w:t>
      </w:r>
      <w:bookmarkEnd w:id="165"/>
      <w:bookmarkEnd w:id="171"/>
    </w:p>
    <w:p w14:paraId="2E9BE250" w14:textId="7B4C5CF8" w:rsidR="006866B5" w:rsidRPr="00650EE4" w:rsidRDefault="006866B5" w:rsidP="00DD0BCA">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siektini </w:t>
      </w:r>
      <w:r w:rsidR="002C424D">
        <w:rPr>
          <w:rFonts w:ascii="Times New Roman" w:hAnsi="Times New Roman"/>
          <w:color w:val="000000" w:themeColor="text1"/>
          <w:szCs w:val="22"/>
        </w:rPr>
        <w:t>d</w:t>
      </w:r>
      <w:r w:rsidRPr="00650EE4">
        <w:rPr>
          <w:rFonts w:ascii="Times New Roman" w:hAnsi="Times New Roman"/>
          <w:color w:val="000000" w:themeColor="text1"/>
          <w:szCs w:val="22"/>
        </w:rPr>
        <w:t>augiabučių paskirties pastatų r</w:t>
      </w:r>
      <w:r w:rsidR="0016170B" w:rsidRPr="00650EE4">
        <w:rPr>
          <w:rFonts w:ascii="Times New Roman" w:hAnsi="Times New Roman"/>
          <w:color w:val="000000" w:themeColor="text1"/>
          <w:szCs w:val="22"/>
        </w:rPr>
        <w:t>enovacijos rodikliai:</w:t>
      </w:r>
    </w:p>
    <w:p w14:paraId="7062697D" w14:textId="77777777" w:rsidR="00CB5D5D" w:rsidRPr="00650EE4" w:rsidRDefault="00CB5D5D" w:rsidP="00DD0BCA">
      <w:pPr>
        <w:jc w:val="both"/>
        <w:rPr>
          <w:rFonts w:ascii="Times New Roman" w:hAnsi="Times New Roman"/>
          <w:color w:val="000000" w:themeColor="text1"/>
          <w:szCs w:val="22"/>
        </w:rPr>
      </w:pPr>
    </w:p>
    <w:p w14:paraId="5E5FE353" w14:textId="2551D302" w:rsidR="00764C7E"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2" w:name="_Toc59094241"/>
      <w:r w:rsidR="00F25C65">
        <w:t>58</w:t>
      </w:r>
      <w:r w:rsidRPr="00650EE4">
        <w:rPr>
          <w:noProof w:val="0"/>
        </w:rPr>
        <w:fldChar w:fldCharType="end"/>
      </w:r>
      <w:r w:rsidR="00F32C43">
        <w:rPr>
          <w:noProof w:val="0"/>
        </w:rPr>
        <w:t xml:space="preserve"> </w:t>
      </w:r>
      <w:r w:rsidR="001E6DEB" w:rsidRPr="00650EE4">
        <w:rPr>
          <w:noProof w:val="0"/>
        </w:rPr>
        <w:t>lentelė</w:t>
      </w:r>
      <w:r w:rsidR="006866B5" w:rsidRPr="00650EE4">
        <w:rPr>
          <w:noProof w:val="0"/>
        </w:rPr>
        <w:t xml:space="preserve">. </w:t>
      </w:r>
      <w:r w:rsidR="00F9023F" w:rsidRPr="00650EE4">
        <w:rPr>
          <w:noProof w:val="0"/>
        </w:rPr>
        <w:t>Daugiabučių</w:t>
      </w:r>
      <w:r w:rsidR="006866B5" w:rsidRPr="00650EE4">
        <w:rPr>
          <w:noProof w:val="0"/>
        </w:rPr>
        <w:t xml:space="preserve"> </w:t>
      </w:r>
      <w:r w:rsidR="00F9023F" w:rsidRPr="00650EE4">
        <w:rPr>
          <w:noProof w:val="0"/>
        </w:rPr>
        <w:t>paskirties pastatų renovacijos rodikliai</w:t>
      </w:r>
      <w:bookmarkEnd w:id="172"/>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992"/>
        <w:gridCol w:w="851"/>
        <w:gridCol w:w="850"/>
        <w:gridCol w:w="851"/>
        <w:gridCol w:w="850"/>
      </w:tblGrid>
      <w:tr w:rsidR="00576E41" w:rsidRPr="00521FEE" w14:paraId="04200244"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CA9D2D" w14:textId="77777777" w:rsidR="00576E41" w:rsidRPr="00521FEE" w:rsidRDefault="00576E41" w:rsidP="00910123">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CB08C" w14:textId="77777777" w:rsidR="00576E41" w:rsidRPr="00521FEE" w:rsidRDefault="00576E41" w:rsidP="00910123">
            <w:pPr>
              <w:spacing w:line="240" w:lineRule="auto"/>
              <w:ind w:right="-108"/>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0DC59A"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625727"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61B1C"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AAD88"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576E41" w:rsidRPr="006B7FAD" w14:paraId="6E9F2A07"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03A598"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4AF95" w14:textId="77777777" w:rsidR="00576E41" w:rsidRPr="006B7FAD" w:rsidRDefault="00576E41"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00A82C"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11.977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40469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9.891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E03DC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7.676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AF0D5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5.844</w:t>
            </w:r>
          </w:p>
        </w:tc>
      </w:tr>
      <w:tr w:rsidR="00576E41" w:rsidRPr="006B7FAD" w14:paraId="3DD5D574"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1C3890"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B2ED6A"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AD42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98B1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19268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E6EB1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w:t>
            </w:r>
          </w:p>
        </w:tc>
      </w:tr>
      <w:tr w:rsidR="00576E41" w:rsidRPr="006B7FAD" w14:paraId="55D49F23"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AA5E5"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6B2B77" w14:textId="77777777" w:rsidR="00576E41" w:rsidRPr="006B7FAD" w:rsidRDefault="00576E41"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6F55F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7.243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40ACA1"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4.781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2B9187"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2.165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7AB73E"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w:t>
            </w:r>
          </w:p>
        </w:tc>
      </w:tr>
      <w:tr w:rsidR="00576E41" w:rsidRPr="006B7FAD" w14:paraId="33E2CC23"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E9E4D8"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D1839"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70FC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464E8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3F016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24E7F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5F710BBA"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E2E69"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747DE"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5CBB5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1.279</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B81B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846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FD67D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385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6B24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576E41" w:rsidRPr="006B7FAD" w14:paraId="3486060F"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BCD8B"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0159"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65817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536D5"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5597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367DD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7E1AFD6D"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A33156"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87972" w14:textId="6FADD076" w:rsidR="00576E41" w:rsidRPr="006B7FAD" w:rsidRDefault="00576E41" w:rsidP="00910123">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B7FAD">
              <w:rPr>
                <w:rFonts w:ascii="Times New Roman" w:eastAsia="Times New Roman" w:hAnsi="Times New Roman"/>
                <w:sz w:val="20"/>
                <w:szCs w:val="20"/>
                <w:lang w:eastAsia="lt-LT"/>
              </w:rPr>
              <w:t>m</w:t>
            </w:r>
            <w:r w:rsidRPr="00576E41">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7F60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34.090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B5A4A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23.937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9C90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12.863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20C46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3.228</w:t>
            </w:r>
          </w:p>
        </w:tc>
      </w:tr>
      <w:tr w:rsidR="00576E41" w:rsidRPr="006B7FAD" w14:paraId="6F7446CE"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793B47"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E3F63A" w14:textId="77777777" w:rsidR="00576E41" w:rsidRPr="006B7FAD" w:rsidRDefault="00576E41"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9C40C"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9.548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92C3F2"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6.631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4059D"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3.477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824B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693</w:t>
            </w:r>
          </w:p>
        </w:tc>
      </w:tr>
      <w:tr w:rsidR="00576E41" w:rsidRPr="006B7FAD" w14:paraId="28AF68CA"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D48FE"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76115E"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84F581"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CB0BBD"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8E1C2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A59A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576E41" w:rsidRPr="006B7FAD" w14:paraId="77DAD4B7"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53DB88"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19DB8D"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08A6A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EF6815"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9.881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78C5AC"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20.715</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441B5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30.060</w:t>
            </w:r>
          </w:p>
        </w:tc>
      </w:tr>
      <w:tr w:rsidR="00576E41" w:rsidRPr="006B7FAD" w14:paraId="3B13CED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1F5C14"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C3ECF"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2795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5FF4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EE5C1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4FEBBE"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w:t>
            </w:r>
          </w:p>
        </w:tc>
      </w:tr>
      <w:tr w:rsidR="00576E41" w:rsidRPr="006B7FAD" w14:paraId="07278F1B"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3AAE9"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07014" w14:textId="747496BA" w:rsidR="00576E41" w:rsidRPr="006B7FAD" w:rsidRDefault="00576E41" w:rsidP="00910123">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B7FAD">
              <w:rPr>
                <w:rFonts w:ascii="Times New Roman" w:eastAsia="Times New Roman" w:hAnsi="Times New Roman"/>
                <w:sz w:val="20"/>
                <w:szCs w:val="20"/>
                <w:lang w:eastAsia="lt-LT"/>
              </w:rPr>
              <w:t>m</w:t>
            </w:r>
            <w:r w:rsidRPr="00576E41">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89B6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E19EE"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11.704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7587B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24.137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E36F0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34.415</w:t>
            </w:r>
          </w:p>
        </w:tc>
      </w:tr>
      <w:tr w:rsidR="00576E41" w:rsidRPr="006B7FAD" w14:paraId="5BE9E079"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A9A254"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C527BC" w14:textId="77777777" w:rsidR="00576E41" w:rsidRPr="006B7FAD" w:rsidRDefault="00576E41"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2527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303D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6709B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EBF38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w:t>
            </w:r>
          </w:p>
        </w:tc>
      </w:tr>
    </w:tbl>
    <w:p w14:paraId="06D4228F" w14:textId="6615C044" w:rsidR="006D0165" w:rsidRPr="00650EE4" w:rsidRDefault="006D0165"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34BDDF5F" w14:textId="77777777" w:rsidR="00965939" w:rsidRPr="00650EE4" w:rsidRDefault="00965939" w:rsidP="00016518">
      <w:pPr>
        <w:spacing w:after="120"/>
        <w:jc w:val="both"/>
        <w:rPr>
          <w:rFonts w:ascii="Times New Roman" w:hAnsi="Times New Roman"/>
          <w:color w:val="000000" w:themeColor="text1"/>
          <w:szCs w:val="22"/>
        </w:rPr>
      </w:pPr>
    </w:p>
    <w:p w14:paraId="66066F48" w14:textId="2F85A2A8" w:rsidR="00D4764C" w:rsidRPr="00650EE4" w:rsidRDefault="00D4764C" w:rsidP="00016518">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2B034037" w14:textId="2973B37B" w:rsidR="000B1D75"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71AC4" w:rsidRPr="00650EE4">
        <w:rPr>
          <w:rFonts w:ascii="Times New Roman" w:hAnsi="Times New Roman"/>
          <w:szCs w:val="22"/>
        </w:rPr>
        <w:t>lanuojamu laikotarpiu b</w:t>
      </w:r>
      <w:r w:rsidR="000B1D75" w:rsidRPr="00650EE4">
        <w:rPr>
          <w:rFonts w:ascii="Times New Roman" w:hAnsi="Times New Roman"/>
          <w:szCs w:val="22"/>
        </w:rPr>
        <w:t>us siekiama renovuoti 30 tūkst. pastatų;</w:t>
      </w:r>
    </w:p>
    <w:p w14:paraId="04AABB88" w14:textId="58DD61B4" w:rsidR="00416B5E"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d</w:t>
      </w:r>
      <w:r w:rsidR="00416B5E" w:rsidRPr="00650EE4">
        <w:rPr>
          <w:rFonts w:ascii="Times New Roman" w:hAnsi="Times New Roman"/>
          <w:szCs w:val="22"/>
        </w:rPr>
        <w:t>augiabučiai sudarys tik 7 proc. visų renovuojamų pastatų skaičiaus, tačiau pasieks net 2</w:t>
      </w:r>
      <w:r w:rsidR="00576E41">
        <w:rPr>
          <w:rFonts w:ascii="Times New Roman" w:hAnsi="Times New Roman"/>
          <w:szCs w:val="22"/>
          <w:lang w:val="en-GB"/>
        </w:rPr>
        <w:t>5</w:t>
      </w:r>
      <w:r w:rsidR="00416B5E" w:rsidRPr="00650EE4">
        <w:rPr>
          <w:rFonts w:ascii="Times New Roman" w:hAnsi="Times New Roman"/>
          <w:szCs w:val="22"/>
        </w:rPr>
        <w:t xml:space="preserve"> proc. pirminės energijos ir 2</w:t>
      </w:r>
      <w:r w:rsidR="00576E41">
        <w:rPr>
          <w:rFonts w:ascii="Times New Roman" w:hAnsi="Times New Roman"/>
          <w:szCs w:val="22"/>
        </w:rPr>
        <w:t>4</w:t>
      </w:r>
      <w:r w:rsidR="00416B5E" w:rsidRPr="00650EE4">
        <w:rPr>
          <w:rFonts w:ascii="Times New Roman" w:hAnsi="Times New Roman"/>
          <w:szCs w:val="22"/>
        </w:rPr>
        <w:t xml:space="preserve"> proc. CO</w:t>
      </w:r>
      <w:r w:rsidR="00416B5E" w:rsidRPr="00650EE4">
        <w:rPr>
          <w:rFonts w:ascii="Times New Roman" w:hAnsi="Times New Roman"/>
          <w:szCs w:val="22"/>
          <w:vertAlign w:val="subscript"/>
        </w:rPr>
        <w:t>2</w:t>
      </w:r>
      <w:r w:rsidR="00416B5E" w:rsidRPr="00650EE4">
        <w:rPr>
          <w:rFonts w:ascii="Times New Roman" w:hAnsi="Times New Roman"/>
          <w:szCs w:val="22"/>
        </w:rPr>
        <w:t xml:space="preserve"> emisijų sutaupymų;</w:t>
      </w:r>
    </w:p>
    <w:p w14:paraId="6E5F750F" w14:textId="643A1AD6" w:rsidR="00252B05"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0B1D75" w:rsidRPr="00650EE4">
        <w:rPr>
          <w:rFonts w:ascii="Times New Roman" w:hAnsi="Times New Roman"/>
          <w:szCs w:val="22"/>
        </w:rPr>
        <w:t>o renovacijos</w:t>
      </w:r>
      <w:r w:rsidR="00576E41">
        <w:rPr>
          <w:rFonts w:ascii="Times New Roman" w:hAnsi="Times New Roman"/>
          <w:szCs w:val="22"/>
        </w:rPr>
        <w:t xml:space="preserve"> ir energetikos sektoriaus transformacijos</w:t>
      </w:r>
      <w:r w:rsidR="000B1D75" w:rsidRPr="00650EE4">
        <w:rPr>
          <w:rFonts w:ascii="Times New Roman" w:hAnsi="Times New Roman"/>
          <w:szCs w:val="22"/>
        </w:rPr>
        <w:t xml:space="preserve"> </w:t>
      </w:r>
      <w:r w:rsidR="000951BF" w:rsidRPr="00650EE4">
        <w:rPr>
          <w:rFonts w:ascii="Times New Roman" w:hAnsi="Times New Roman"/>
          <w:szCs w:val="22"/>
        </w:rPr>
        <w:t xml:space="preserve">pirminės energijos vartojimas sumažės </w:t>
      </w:r>
      <w:r w:rsidR="00576E41">
        <w:rPr>
          <w:rFonts w:ascii="Times New Roman" w:hAnsi="Times New Roman"/>
          <w:szCs w:val="22"/>
        </w:rPr>
        <w:t>51</w:t>
      </w:r>
      <w:r w:rsidR="000951BF" w:rsidRPr="00650EE4">
        <w:rPr>
          <w:rFonts w:ascii="Times New Roman" w:hAnsi="Times New Roman"/>
          <w:szCs w:val="22"/>
        </w:rPr>
        <w:t xml:space="preserve"> proc. (</w:t>
      </w:r>
      <w:r w:rsidR="000B1D75" w:rsidRPr="00650EE4">
        <w:rPr>
          <w:rFonts w:ascii="Times New Roman" w:hAnsi="Times New Roman"/>
          <w:szCs w:val="22"/>
        </w:rPr>
        <w:t>n</w:t>
      </w:r>
      <w:r w:rsidR="006674E6" w:rsidRPr="00650EE4">
        <w:rPr>
          <w:rFonts w:ascii="Times New Roman" w:hAnsi="Times New Roman"/>
          <w:szCs w:val="22"/>
        </w:rPr>
        <w:t xml:space="preserve">eefektyviausių pastatų </w:t>
      </w:r>
      <w:r w:rsidR="000951BF" w:rsidRPr="00650EE4">
        <w:rPr>
          <w:rFonts w:ascii="Times New Roman" w:hAnsi="Times New Roman"/>
          <w:szCs w:val="22"/>
        </w:rPr>
        <w:t>–</w:t>
      </w:r>
      <w:r w:rsidR="006674E6" w:rsidRPr="00650EE4">
        <w:rPr>
          <w:rFonts w:ascii="Times New Roman" w:hAnsi="Times New Roman"/>
          <w:szCs w:val="22"/>
        </w:rPr>
        <w:t xml:space="preserve"> 9</w:t>
      </w:r>
      <w:r w:rsidR="00576E41">
        <w:rPr>
          <w:rFonts w:ascii="Times New Roman" w:hAnsi="Times New Roman"/>
          <w:szCs w:val="22"/>
        </w:rPr>
        <w:t>3</w:t>
      </w:r>
      <w:r w:rsidR="006674E6" w:rsidRPr="00650EE4">
        <w:rPr>
          <w:rFonts w:ascii="Times New Roman" w:hAnsi="Times New Roman"/>
          <w:szCs w:val="22"/>
        </w:rPr>
        <w:t xml:space="preserve"> proc.</w:t>
      </w:r>
      <w:r w:rsidR="000951BF" w:rsidRPr="00650EE4">
        <w:rPr>
          <w:rFonts w:ascii="Times New Roman" w:hAnsi="Times New Roman"/>
          <w:szCs w:val="22"/>
        </w:rPr>
        <w:t>)</w:t>
      </w:r>
      <w:r w:rsidR="00880C2E" w:rsidRPr="00650EE4">
        <w:rPr>
          <w:rFonts w:ascii="Times New Roman" w:hAnsi="Times New Roman"/>
          <w:szCs w:val="22"/>
        </w:rPr>
        <w:t>;</w:t>
      </w:r>
    </w:p>
    <w:p w14:paraId="1AF3188A" w14:textId="38ABB790" w:rsidR="006674E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52B05" w:rsidRPr="00650EE4">
        <w:rPr>
          <w:rFonts w:ascii="Times New Roman" w:hAnsi="Times New Roman"/>
          <w:szCs w:val="22"/>
        </w:rPr>
        <w:t>o renovacijos</w:t>
      </w:r>
      <w:r w:rsidR="00576E41">
        <w:rPr>
          <w:rFonts w:ascii="Times New Roman" w:hAnsi="Times New Roman"/>
          <w:szCs w:val="22"/>
        </w:rPr>
        <w:t xml:space="preserve"> ir energetikos sektoriaus transformacijos</w:t>
      </w:r>
      <w:r w:rsidR="00252B05" w:rsidRPr="00650EE4">
        <w:rPr>
          <w:rFonts w:ascii="Times New Roman" w:hAnsi="Times New Roman"/>
          <w:szCs w:val="22"/>
        </w:rPr>
        <w:t xml:space="preserve"> </w:t>
      </w:r>
      <w:r w:rsidR="000951BF" w:rsidRPr="00650EE4">
        <w:rPr>
          <w:rFonts w:ascii="Times New Roman" w:hAnsi="Times New Roman"/>
          <w:szCs w:val="22"/>
        </w:rPr>
        <w:t>CO</w:t>
      </w:r>
      <w:r w:rsidR="000951BF" w:rsidRPr="00650EE4">
        <w:rPr>
          <w:rFonts w:ascii="Times New Roman" w:hAnsi="Times New Roman"/>
          <w:szCs w:val="22"/>
          <w:vertAlign w:val="subscript"/>
        </w:rPr>
        <w:t>2</w:t>
      </w:r>
      <w:r w:rsidR="000951BF" w:rsidRPr="00650EE4">
        <w:rPr>
          <w:rFonts w:ascii="Times New Roman" w:hAnsi="Times New Roman"/>
          <w:szCs w:val="22"/>
        </w:rPr>
        <w:t xml:space="preserve"> emisijos sumažės </w:t>
      </w:r>
      <w:r w:rsidR="00576E41">
        <w:rPr>
          <w:rFonts w:ascii="Times New Roman" w:hAnsi="Times New Roman"/>
          <w:szCs w:val="22"/>
        </w:rPr>
        <w:t>100</w:t>
      </w:r>
      <w:r w:rsidR="000951BF" w:rsidRPr="00650EE4">
        <w:rPr>
          <w:rFonts w:ascii="Times New Roman" w:hAnsi="Times New Roman"/>
          <w:szCs w:val="22"/>
        </w:rPr>
        <w:t xml:space="preserve"> proc.</w:t>
      </w:r>
    </w:p>
    <w:p w14:paraId="59BF31EE" w14:textId="12FA23BF" w:rsidR="00F111BF" w:rsidRPr="00650EE4" w:rsidRDefault="00F111BF" w:rsidP="002F1F13">
      <w:pPr>
        <w:jc w:val="both"/>
        <w:rPr>
          <w:rFonts w:ascii="Times New Roman" w:hAnsi="Times New Roman"/>
          <w:color w:val="000000" w:themeColor="text1"/>
          <w:szCs w:val="22"/>
        </w:rPr>
      </w:pPr>
    </w:p>
    <w:p w14:paraId="2139FF00" w14:textId="47E54B28" w:rsidR="006A2C33" w:rsidRPr="00650EE4" w:rsidRDefault="006A2C33"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73" w:name="_Toc59094272"/>
      <w:r w:rsidR="00F25C65">
        <w:t>23</w:t>
      </w:r>
      <w:r w:rsidRPr="00650EE4">
        <w:rPr>
          <w:noProof w:val="0"/>
        </w:rPr>
        <w:fldChar w:fldCharType="end"/>
      </w:r>
      <w:r w:rsidRPr="00650EE4">
        <w:rPr>
          <w:noProof w:val="0"/>
        </w:rPr>
        <w:t xml:space="preserve"> paveikslas. </w:t>
      </w:r>
      <w:r w:rsidR="00B4622F" w:rsidRPr="00650EE4">
        <w:rPr>
          <w:noProof w:val="0"/>
        </w:rPr>
        <w:t xml:space="preserve">Siekiami </w:t>
      </w:r>
      <w:r w:rsidR="000B16A6" w:rsidRPr="00650EE4">
        <w:rPr>
          <w:noProof w:val="0"/>
        </w:rPr>
        <w:t>d</w:t>
      </w:r>
      <w:r w:rsidRPr="00650EE4">
        <w:rPr>
          <w:noProof w:val="0"/>
        </w:rPr>
        <w:t>augiabučių pastatų renovacijos tempai</w:t>
      </w:r>
      <w:bookmarkEnd w:id="173"/>
    </w:p>
    <w:p w14:paraId="01DB55DB" w14:textId="54D4545C" w:rsidR="00764C7E" w:rsidRPr="00650EE4" w:rsidRDefault="00576E41" w:rsidP="00631BA6">
      <w:pPr>
        <w:pStyle w:val="TESlentelspavadinimas"/>
        <w:rPr>
          <w:noProof w:val="0"/>
          <w:sz w:val="24"/>
          <w:szCs w:val="24"/>
        </w:rPr>
      </w:pPr>
      <w:r>
        <w:rPr>
          <w:lang w:eastAsia="lt-LT"/>
        </w:rPr>
        <w:drawing>
          <wp:inline distT="0" distB="0" distL="0" distR="0" wp14:anchorId="70B53100" wp14:editId="22A4E5C3">
            <wp:extent cx="6479540" cy="1802765"/>
            <wp:effectExtent l="0" t="0" r="16510" b="26035"/>
            <wp:docPr id="39" name="Chart 3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4FDDB45-0960-4706-B351-6289656016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0EFEFF9" w14:textId="57B85B29" w:rsidR="00B55DC7" w:rsidRPr="00650EE4" w:rsidRDefault="00B55DC7"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2B0F3213" w14:textId="77777777" w:rsidR="00576E41" w:rsidRDefault="00576E41" w:rsidP="007C555D">
      <w:pPr>
        <w:pStyle w:val="Pagrindinispaprastastekstas"/>
        <w:rPr>
          <w:rFonts w:ascii="Times New Roman" w:hAnsi="Times New Roman"/>
        </w:rPr>
      </w:pPr>
    </w:p>
    <w:p w14:paraId="696DF318" w14:textId="78F398B1" w:rsidR="007C555D" w:rsidRPr="00650EE4" w:rsidRDefault="007C555D" w:rsidP="007C555D">
      <w:pPr>
        <w:pStyle w:val="Pagrindinispaprastastekstas"/>
        <w:rPr>
          <w:rFonts w:ascii="Times New Roman" w:hAnsi="Times New Roman"/>
        </w:rPr>
      </w:pPr>
      <w:r w:rsidRPr="00650EE4">
        <w:rPr>
          <w:rFonts w:ascii="Times New Roman" w:hAnsi="Times New Roman"/>
        </w:rPr>
        <w:t xml:space="preserve">Daugiabučių pastatų renovacijos tempų prognozė pagrįsta planuojamomis paramos priemonėmis, orientuotomis į </w:t>
      </w:r>
      <w:proofErr w:type="spellStart"/>
      <w:r w:rsidR="0046182E" w:rsidRPr="00650EE4">
        <w:rPr>
          <w:rFonts w:ascii="Times New Roman" w:hAnsi="Times New Roman"/>
        </w:rPr>
        <w:t>kvartalinės</w:t>
      </w:r>
      <w:proofErr w:type="spellEnd"/>
      <w:r w:rsidRPr="00650EE4">
        <w:rPr>
          <w:rFonts w:ascii="Times New Roman" w:hAnsi="Times New Roman"/>
        </w:rPr>
        <w:t xml:space="preserve"> renovacijos </w:t>
      </w:r>
      <w:r w:rsidRPr="000A008D">
        <w:rPr>
          <w:rFonts w:ascii="Times New Roman" w:hAnsi="Times New Roman"/>
        </w:rPr>
        <w:t xml:space="preserve">skatinimą (žr. </w:t>
      </w:r>
      <w:r w:rsidR="00436287" w:rsidRPr="000A008D">
        <w:rPr>
          <w:rFonts w:ascii="Times New Roman" w:hAnsi="Times New Roman"/>
        </w:rPr>
        <w:t>6</w:t>
      </w:r>
      <w:r w:rsidR="000A008D" w:rsidRPr="000A008D">
        <w:rPr>
          <w:rFonts w:ascii="Times New Roman" w:hAnsi="Times New Roman"/>
        </w:rPr>
        <w:t>.</w:t>
      </w:r>
      <w:r w:rsidR="000A008D" w:rsidRPr="000A008D">
        <w:rPr>
          <w:rFonts w:ascii="Times New Roman" w:hAnsi="Times New Roman"/>
          <w:lang w:val="en-GB"/>
        </w:rPr>
        <w:t>2</w:t>
      </w:r>
      <w:r w:rsidRPr="000A008D">
        <w:rPr>
          <w:rFonts w:ascii="Times New Roman" w:hAnsi="Times New Roman"/>
        </w:rPr>
        <w:t xml:space="preserve"> skyrių)</w:t>
      </w:r>
      <w:r w:rsidR="005B268B" w:rsidRPr="000A008D">
        <w:rPr>
          <w:rFonts w:ascii="Times New Roman" w:hAnsi="Times New Roman"/>
        </w:rPr>
        <w:t>.</w:t>
      </w:r>
    </w:p>
    <w:p w14:paraId="6D5B1666" w14:textId="21EC90BB" w:rsidR="001A7FAE" w:rsidRDefault="001A7FAE">
      <w:pPr>
        <w:spacing w:after="240"/>
        <w:rPr>
          <w:rFonts w:ascii="Times New Roman" w:eastAsia="Times New Roman" w:hAnsi="Times New Roman"/>
          <w:color w:val="auto"/>
          <w:szCs w:val="24"/>
        </w:rPr>
      </w:pPr>
      <w:r>
        <w:rPr>
          <w:rFonts w:ascii="Times New Roman" w:hAnsi="Times New Roman"/>
        </w:rPr>
        <w:br w:type="page"/>
      </w:r>
    </w:p>
    <w:p w14:paraId="6005B04C" w14:textId="0EDB70CD" w:rsidR="006866B5" w:rsidRPr="00650EE4" w:rsidRDefault="006866B5" w:rsidP="006866B5">
      <w:pPr>
        <w:pStyle w:val="Antrastes31"/>
        <w:numPr>
          <w:ilvl w:val="2"/>
          <w:numId w:val="4"/>
        </w:numPr>
        <w:spacing w:before="120"/>
        <w:ind w:left="720" w:hanging="720"/>
        <w:rPr>
          <w:rFonts w:ascii="Times New Roman" w:hAnsi="Times New Roman"/>
          <w:color w:val="auto"/>
          <w:sz w:val="24"/>
          <w:szCs w:val="24"/>
          <w:lang w:val="lt-LT"/>
        </w:rPr>
      </w:pPr>
      <w:bookmarkStart w:id="174" w:name="_Toc46399964"/>
      <w:bookmarkStart w:id="175" w:name="_Toc59107563"/>
      <w:r w:rsidRPr="00650EE4">
        <w:rPr>
          <w:rFonts w:ascii="Times New Roman" w:hAnsi="Times New Roman"/>
          <w:color w:val="000000" w:themeColor="text1"/>
          <w:sz w:val="24"/>
          <w:szCs w:val="24"/>
          <w:lang w:val="lt-LT"/>
        </w:rPr>
        <w:lastRenderedPageBreak/>
        <w:t>Individualūs namai</w:t>
      </w:r>
      <w:bookmarkEnd w:id="174"/>
      <w:bookmarkEnd w:id="175"/>
    </w:p>
    <w:p w14:paraId="42D59071" w14:textId="2EB86DCD" w:rsidR="006D0165" w:rsidRPr="00650EE4" w:rsidRDefault="006D0165" w:rsidP="006D0165">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pateikiami siektini Individualių namų renovacijos rodikliai:</w:t>
      </w:r>
    </w:p>
    <w:p w14:paraId="16132302" w14:textId="0BC8B4F9" w:rsidR="006D0165"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76" w:name="_Toc59094242"/>
      <w:r w:rsidR="00F25C65">
        <w:t>59</w:t>
      </w:r>
      <w:r w:rsidRPr="00650EE4">
        <w:rPr>
          <w:noProof w:val="0"/>
        </w:rPr>
        <w:fldChar w:fldCharType="end"/>
      </w:r>
      <w:r w:rsidR="006D0165" w:rsidRPr="00650EE4">
        <w:rPr>
          <w:noProof w:val="0"/>
        </w:rPr>
        <w:t xml:space="preserve"> lentelė. </w:t>
      </w:r>
      <w:r w:rsidR="00573F22" w:rsidRPr="00650EE4">
        <w:rPr>
          <w:noProof w:val="0"/>
        </w:rPr>
        <w:t>Individualių</w:t>
      </w:r>
      <w:r w:rsidR="006D0165" w:rsidRPr="00650EE4">
        <w:rPr>
          <w:noProof w:val="0"/>
        </w:rPr>
        <w:t xml:space="preserve"> </w:t>
      </w:r>
      <w:r w:rsidR="00671A3C" w:rsidRPr="00650EE4">
        <w:rPr>
          <w:noProof w:val="0"/>
        </w:rPr>
        <w:t xml:space="preserve">namų </w:t>
      </w:r>
      <w:r w:rsidR="006D0165" w:rsidRPr="00650EE4">
        <w:rPr>
          <w:noProof w:val="0"/>
        </w:rPr>
        <w:t>renovacijos rodikliai</w:t>
      </w:r>
      <w:bookmarkEnd w:id="176"/>
    </w:p>
    <w:tbl>
      <w:tblPr>
        <w:tblW w:w="10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1041"/>
        <w:gridCol w:w="766"/>
        <w:gridCol w:w="847"/>
        <w:gridCol w:w="866"/>
        <w:gridCol w:w="866"/>
      </w:tblGrid>
      <w:tr w:rsidR="00576E41" w:rsidRPr="00521FEE" w14:paraId="67061EB2"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AE8F94" w14:textId="77777777" w:rsidR="00576E41" w:rsidRPr="00521FEE" w:rsidRDefault="00576E41" w:rsidP="00910123">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C6F2D1" w14:textId="77777777" w:rsidR="00576E41" w:rsidRPr="00521FEE" w:rsidRDefault="00576E41" w:rsidP="00910123">
            <w:pPr>
              <w:spacing w:line="240" w:lineRule="auto"/>
              <w:ind w:right="-20"/>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E0270"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0333F"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0A9FF9"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7FF9E" w14:textId="77777777" w:rsidR="00576E41" w:rsidRPr="00521FEE" w:rsidRDefault="00576E41"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576E41" w:rsidRPr="006B7FAD" w14:paraId="772D489E"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48BBF"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20C9C" w14:textId="77777777" w:rsidR="00576E41" w:rsidRPr="006B7FAD" w:rsidRDefault="00576E41" w:rsidP="00910123">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A77A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13.819</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CA68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11.693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4E05C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8.269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0709E"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4.244</w:t>
            </w:r>
          </w:p>
        </w:tc>
      </w:tr>
      <w:tr w:rsidR="00576E41" w:rsidRPr="006B7FAD" w14:paraId="7E663E91"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7D2D5"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6FEB68"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A6A6D5"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5B201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EB86C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9E210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w:t>
            </w:r>
          </w:p>
        </w:tc>
      </w:tr>
      <w:tr w:rsidR="00576E41" w:rsidRPr="006B7FAD" w14:paraId="2A6264C5"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B3AE3"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ED3D5" w14:textId="77777777" w:rsidR="00576E41" w:rsidRPr="006B7FAD" w:rsidRDefault="00576E41" w:rsidP="00910123">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616328"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7.581</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25A1A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5.899</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7D012"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3.192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B6302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p>
        </w:tc>
      </w:tr>
      <w:tr w:rsidR="00576E41" w:rsidRPr="006B7FAD" w14:paraId="2F0A700E"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0A52C"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8D4706"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EA9A4D"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E761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75C67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4CC41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576E41" w:rsidRPr="006B7FAD" w14:paraId="5D55108E"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9A58C"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0CB3E"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1EC2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1.570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C8953"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1.224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4D1F2E"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666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B1DC1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Pr>
                <w:rFonts w:ascii="Times New Roman" w:eastAsia="Times New Roman" w:hAnsi="Times New Roman"/>
                <w:sz w:val="20"/>
                <w:szCs w:val="20"/>
                <w:lang w:eastAsia="lt-LT"/>
              </w:rPr>
              <w:t>0</w:t>
            </w:r>
          </w:p>
        </w:tc>
      </w:tr>
      <w:tr w:rsidR="00576E41" w:rsidRPr="006B7FAD" w14:paraId="4DE0E32F"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690C40"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7C5F9"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2A951"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664352"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3171CA"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E7136C"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w:t>
            </w:r>
          </w:p>
        </w:tc>
      </w:tr>
      <w:tr w:rsidR="00576E41" w:rsidRPr="006B7FAD" w14:paraId="4D718D31"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7870D1"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8CED98" w14:textId="3AEF36B2" w:rsidR="00576E41" w:rsidRPr="006B7FAD" w:rsidRDefault="00576E41" w:rsidP="00910123">
            <w:pPr>
              <w:spacing w:line="240" w:lineRule="auto"/>
              <w:ind w:right="-20"/>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83E11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25.937</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F3FBF"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20.527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1D36B1"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12.161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7CF8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2.424</w:t>
            </w:r>
          </w:p>
        </w:tc>
      </w:tr>
      <w:tr w:rsidR="00576E41" w:rsidRPr="006B7FAD" w14:paraId="1DF0123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427A27"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54EC7B" w14:textId="77777777" w:rsidR="00576E41" w:rsidRPr="006B7FAD" w:rsidRDefault="00576E41" w:rsidP="00910123">
            <w:pPr>
              <w:spacing w:line="240" w:lineRule="auto"/>
              <w:ind w:right="-20"/>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00FB01"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9.714</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AA4AC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7.531</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037FF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4.330</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13877"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657</w:t>
            </w:r>
          </w:p>
        </w:tc>
      </w:tr>
      <w:tr w:rsidR="00576E41" w:rsidRPr="006B7FAD" w14:paraId="7BEEF56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F85BF2"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C05B7"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A41D2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FAC60"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84A9BA"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70300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576E41" w:rsidRPr="006B7FAD" w14:paraId="59FE6EF3"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A26A0"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B87B4D"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F1522"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AA33A"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78.893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14B4CD"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205.913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68CFF4"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355.261</w:t>
            </w:r>
          </w:p>
        </w:tc>
      </w:tr>
      <w:tr w:rsidR="00576E41" w:rsidRPr="006B7FAD" w14:paraId="1B09ED6A"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F3452C"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15F88"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AAC73D"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A390A"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17%</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5B123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D6C32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76%</w:t>
            </w:r>
          </w:p>
        </w:tc>
      </w:tr>
      <w:tr w:rsidR="00576E41" w:rsidRPr="006B7FAD" w14:paraId="3C0D2D9B"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E5B61A"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7DEF0" w14:textId="7F4ECEB5" w:rsidR="00576E41" w:rsidRPr="006B7FAD" w:rsidRDefault="00576E41" w:rsidP="00910123">
            <w:pPr>
              <w:spacing w:line="240" w:lineRule="auto"/>
              <w:ind w:right="-20"/>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80485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6449CA"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8.162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6F7A7C"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21.302</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AD86B"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36.752</w:t>
            </w:r>
          </w:p>
        </w:tc>
      </w:tr>
      <w:tr w:rsidR="00576E41" w:rsidRPr="006B7FAD" w14:paraId="52708E84"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9B57A4" w14:textId="77777777" w:rsidR="00576E41" w:rsidRPr="006B7FAD" w:rsidRDefault="00576E41"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10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7E2198" w14:textId="77777777" w:rsidR="00576E41" w:rsidRPr="006B7FAD" w:rsidRDefault="00576E41" w:rsidP="00910123">
            <w:pPr>
              <w:spacing w:line="240" w:lineRule="auto"/>
              <w:ind w:right="-20"/>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DB971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8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02326"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16%</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141E5"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8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99C6E9" w14:textId="77777777" w:rsidR="00576E41" w:rsidRPr="006B7FAD" w:rsidRDefault="00576E41"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w:t>
            </w:r>
          </w:p>
        </w:tc>
      </w:tr>
    </w:tbl>
    <w:p w14:paraId="698FE277" w14:textId="262CCEE1" w:rsidR="006D0165" w:rsidRPr="00650EE4" w:rsidRDefault="006D0165"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1AD00092" w14:textId="77777777" w:rsidR="00767540" w:rsidRPr="00650EE4" w:rsidRDefault="00767540" w:rsidP="00767540">
      <w:pPr>
        <w:rPr>
          <w:rFonts w:ascii="Times New Roman" w:hAnsi="Times New Roman"/>
          <w:szCs w:val="22"/>
        </w:rPr>
      </w:pPr>
    </w:p>
    <w:p w14:paraId="38B2A812" w14:textId="77777777" w:rsidR="00767540" w:rsidRPr="00650EE4" w:rsidRDefault="00767540" w:rsidP="00767540">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38E69BDF" w14:textId="0CD6E9E1" w:rsidR="00767540"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767540" w:rsidRPr="00650EE4">
        <w:rPr>
          <w:rFonts w:ascii="Times New Roman" w:hAnsi="Times New Roman"/>
          <w:szCs w:val="22"/>
        </w:rPr>
        <w:t>lanuojamu laikotarpiu bus siekiama renovuoti 3</w:t>
      </w:r>
      <w:r w:rsidR="00692FBE" w:rsidRPr="00650EE4">
        <w:rPr>
          <w:rFonts w:ascii="Times New Roman" w:hAnsi="Times New Roman"/>
          <w:szCs w:val="22"/>
        </w:rPr>
        <w:t>55</w:t>
      </w:r>
      <w:r w:rsidR="00767540" w:rsidRPr="00650EE4">
        <w:rPr>
          <w:rFonts w:ascii="Times New Roman" w:hAnsi="Times New Roman"/>
          <w:szCs w:val="22"/>
        </w:rPr>
        <w:t xml:space="preserve"> tūkst. pastatų</w:t>
      </w:r>
      <w:r w:rsidR="005B5D4E" w:rsidRPr="00650EE4">
        <w:rPr>
          <w:rFonts w:ascii="Times New Roman" w:hAnsi="Times New Roman"/>
          <w:szCs w:val="22"/>
        </w:rPr>
        <w:t>;</w:t>
      </w:r>
    </w:p>
    <w:p w14:paraId="20D7D87D" w14:textId="2980DBF2" w:rsidR="000F6643"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individualūs namai sudarys</w:t>
      </w:r>
      <w:r w:rsidR="000F6643" w:rsidRPr="00650EE4">
        <w:rPr>
          <w:rFonts w:ascii="Times New Roman" w:hAnsi="Times New Roman"/>
          <w:szCs w:val="22"/>
        </w:rPr>
        <w:t xml:space="preserve"> 81 proc. visų renovuojamų pastatų skaičiaus, pasieks 3</w:t>
      </w:r>
      <w:r w:rsidR="00772ABB">
        <w:rPr>
          <w:rFonts w:ascii="Times New Roman" w:hAnsi="Times New Roman"/>
          <w:szCs w:val="22"/>
        </w:rPr>
        <w:t>9</w:t>
      </w:r>
      <w:r w:rsidR="000F6643" w:rsidRPr="00650EE4">
        <w:rPr>
          <w:rFonts w:ascii="Times New Roman" w:hAnsi="Times New Roman"/>
          <w:szCs w:val="22"/>
        </w:rPr>
        <w:t xml:space="preserve"> proc. pirminės energijos ir </w:t>
      </w:r>
      <w:r w:rsidR="00A860C3" w:rsidRPr="00650EE4">
        <w:rPr>
          <w:rFonts w:ascii="Times New Roman" w:hAnsi="Times New Roman"/>
          <w:szCs w:val="22"/>
        </w:rPr>
        <w:t>3</w:t>
      </w:r>
      <w:r w:rsidR="00772ABB">
        <w:rPr>
          <w:rFonts w:ascii="Times New Roman" w:hAnsi="Times New Roman"/>
          <w:szCs w:val="22"/>
        </w:rPr>
        <w:t>0</w:t>
      </w:r>
      <w:r w:rsidR="000F6643" w:rsidRPr="00650EE4">
        <w:rPr>
          <w:rFonts w:ascii="Times New Roman" w:hAnsi="Times New Roman"/>
          <w:szCs w:val="22"/>
        </w:rPr>
        <w:t xml:space="preserve"> proc. CO</w:t>
      </w:r>
      <w:r w:rsidR="000F6643" w:rsidRPr="00650EE4">
        <w:rPr>
          <w:rFonts w:ascii="Times New Roman" w:hAnsi="Times New Roman"/>
          <w:szCs w:val="22"/>
          <w:vertAlign w:val="subscript"/>
        </w:rPr>
        <w:t>2</w:t>
      </w:r>
      <w:r w:rsidR="000F6643" w:rsidRPr="00650EE4">
        <w:rPr>
          <w:rFonts w:ascii="Times New Roman" w:hAnsi="Times New Roman"/>
          <w:szCs w:val="22"/>
        </w:rPr>
        <w:t xml:space="preserve"> emisijų sutaupymų;</w:t>
      </w:r>
    </w:p>
    <w:p w14:paraId="4B599247" w14:textId="7FA6D5C6" w:rsidR="00A03B8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03B86" w:rsidRPr="00650EE4">
        <w:rPr>
          <w:rFonts w:ascii="Times New Roman" w:hAnsi="Times New Roman"/>
          <w:szCs w:val="22"/>
        </w:rPr>
        <w:t>o renovacijos</w:t>
      </w:r>
      <w:r w:rsidR="00772ABB">
        <w:rPr>
          <w:rFonts w:ascii="Times New Roman" w:hAnsi="Times New Roman"/>
          <w:szCs w:val="22"/>
        </w:rPr>
        <w:t xml:space="preserve"> ir energetikos sektoriaus transformacijos</w:t>
      </w:r>
      <w:r w:rsidR="00A03B86" w:rsidRPr="00650EE4">
        <w:rPr>
          <w:rFonts w:ascii="Times New Roman" w:hAnsi="Times New Roman"/>
          <w:szCs w:val="22"/>
        </w:rPr>
        <w:t xml:space="preserve"> pirminės energijos vartojimas sumažės </w:t>
      </w:r>
      <w:r w:rsidR="00772ABB">
        <w:rPr>
          <w:rFonts w:ascii="Times New Roman" w:hAnsi="Times New Roman"/>
          <w:szCs w:val="22"/>
        </w:rPr>
        <w:t>69</w:t>
      </w:r>
      <w:r w:rsidR="00A03B86" w:rsidRPr="00650EE4">
        <w:rPr>
          <w:rFonts w:ascii="Times New Roman" w:hAnsi="Times New Roman"/>
          <w:szCs w:val="22"/>
        </w:rPr>
        <w:t xml:space="preserve"> proc. (neefektyviausių pastatų – </w:t>
      </w:r>
      <w:r w:rsidR="006B3D08" w:rsidRPr="00650EE4">
        <w:rPr>
          <w:rFonts w:ascii="Times New Roman" w:hAnsi="Times New Roman"/>
          <w:szCs w:val="22"/>
        </w:rPr>
        <w:t>9</w:t>
      </w:r>
      <w:r w:rsidR="00772ABB">
        <w:rPr>
          <w:rFonts w:ascii="Times New Roman" w:hAnsi="Times New Roman"/>
          <w:szCs w:val="22"/>
        </w:rPr>
        <w:t>3</w:t>
      </w:r>
      <w:r w:rsidR="00A03B86" w:rsidRPr="00650EE4">
        <w:rPr>
          <w:rFonts w:ascii="Times New Roman" w:hAnsi="Times New Roman"/>
          <w:szCs w:val="22"/>
        </w:rPr>
        <w:t xml:space="preserve"> proc.);</w:t>
      </w:r>
    </w:p>
    <w:p w14:paraId="464D8921" w14:textId="1D20AF2D" w:rsidR="00A03B86" w:rsidRPr="00650EE4" w:rsidRDefault="00D967FD"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03B86" w:rsidRPr="00650EE4">
        <w:rPr>
          <w:rFonts w:ascii="Times New Roman" w:hAnsi="Times New Roman"/>
          <w:szCs w:val="22"/>
        </w:rPr>
        <w:t>o renovacijos</w:t>
      </w:r>
      <w:r w:rsidR="00772ABB">
        <w:rPr>
          <w:rFonts w:ascii="Times New Roman" w:hAnsi="Times New Roman"/>
          <w:szCs w:val="22"/>
        </w:rPr>
        <w:t xml:space="preserve"> ir energetikos sektoriaus transformacijos</w:t>
      </w:r>
      <w:r w:rsidR="00A03B86" w:rsidRPr="00650EE4">
        <w:rPr>
          <w:rFonts w:ascii="Times New Roman" w:hAnsi="Times New Roman"/>
          <w:szCs w:val="22"/>
        </w:rPr>
        <w:t xml:space="preserve"> CO</w:t>
      </w:r>
      <w:r w:rsidR="00A03B86" w:rsidRPr="00650EE4">
        <w:rPr>
          <w:rFonts w:ascii="Times New Roman" w:hAnsi="Times New Roman"/>
          <w:szCs w:val="22"/>
          <w:vertAlign w:val="subscript"/>
        </w:rPr>
        <w:t>2</w:t>
      </w:r>
      <w:r w:rsidR="00A03B86" w:rsidRPr="00650EE4">
        <w:rPr>
          <w:rFonts w:ascii="Times New Roman" w:hAnsi="Times New Roman"/>
          <w:szCs w:val="22"/>
        </w:rPr>
        <w:t xml:space="preserve"> emisijos sumažės </w:t>
      </w:r>
      <w:r w:rsidR="00772ABB">
        <w:rPr>
          <w:rFonts w:ascii="Times New Roman" w:hAnsi="Times New Roman"/>
          <w:szCs w:val="22"/>
        </w:rPr>
        <w:t>100</w:t>
      </w:r>
      <w:r w:rsidR="00A03B86" w:rsidRPr="00650EE4">
        <w:rPr>
          <w:rFonts w:ascii="Times New Roman" w:hAnsi="Times New Roman"/>
          <w:szCs w:val="22"/>
        </w:rPr>
        <w:t xml:space="preserve"> proc.</w:t>
      </w:r>
    </w:p>
    <w:p w14:paraId="4897C780" w14:textId="77777777" w:rsidR="00772ABB" w:rsidRDefault="00772ABB" w:rsidP="00772ABB">
      <w:pPr>
        <w:jc w:val="both"/>
        <w:rPr>
          <w:rFonts w:ascii="Times New Roman" w:hAnsi="Times New Roman"/>
          <w:color w:val="000000" w:themeColor="text1"/>
          <w:szCs w:val="22"/>
        </w:rPr>
      </w:pPr>
    </w:p>
    <w:p w14:paraId="0DD96A32" w14:textId="77777777" w:rsidR="00772ABB" w:rsidRPr="00772ABB" w:rsidRDefault="00772ABB" w:rsidP="00772ABB">
      <w:pPr>
        <w:jc w:val="both"/>
        <w:rPr>
          <w:rFonts w:ascii="Times New Roman" w:hAnsi="Times New Roman"/>
          <w:color w:val="000000" w:themeColor="text1"/>
          <w:szCs w:val="22"/>
        </w:rPr>
      </w:pPr>
      <w:r w:rsidRPr="00772ABB">
        <w:rPr>
          <w:rFonts w:ascii="Times New Roman" w:hAnsi="Times New Roman"/>
          <w:color w:val="000000" w:themeColor="text1"/>
          <w:szCs w:val="22"/>
        </w:rPr>
        <w:t>Tam, kad būtų pasiekti tiksliniai rodikliai, reikės atnaujinti bent po 6500 individualių namų 2021-2023 metais, vėliau kasmet didinant renovacijos tempą bent po 500 pastatų, siekiant 2040 m. pasiekti beveik 15 tūkst. per metus renovuojamų pastatų skaičių ir palaikyti šį tempą iki 2050 metų.</w:t>
      </w:r>
    </w:p>
    <w:p w14:paraId="09ED21D3" w14:textId="77777777" w:rsidR="00772ABB" w:rsidRPr="00650EE4" w:rsidRDefault="00772ABB" w:rsidP="00767540">
      <w:pPr>
        <w:jc w:val="both"/>
        <w:rPr>
          <w:rFonts w:ascii="Times New Roman" w:hAnsi="Times New Roman"/>
          <w:color w:val="000000" w:themeColor="text1"/>
          <w:szCs w:val="22"/>
        </w:rPr>
      </w:pPr>
    </w:p>
    <w:p w14:paraId="75C7C895" w14:textId="09D018B6" w:rsidR="00573F22" w:rsidRPr="00650EE4" w:rsidRDefault="00573F22"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77" w:name="_Toc59094273"/>
      <w:r w:rsidR="00F25C65">
        <w:t>24</w:t>
      </w:r>
      <w:r w:rsidRPr="00650EE4">
        <w:rPr>
          <w:noProof w:val="0"/>
        </w:rPr>
        <w:fldChar w:fldCharType="end"/>
      </w:r>
      <w:r w:rsidRPr="00650EE4">
        <w:rPr>
          <w:noProof w:val="0"/>
        </w:rPr>
        <w:t xml:space="preserve"> paveikslas. </w:t>
      </w:r>
      <w:r w:rsidR="00E42C46" w:rsidRPr="00650EE4">
        <w:rPr>
          <w:noProof w:val="0"/>
        </w:rPr>
        <w:t xml:space="preserve">Siekiami </w:t>
      </w:r>
      <w:r w:rsidR="000B16A6" w:rsidRPr="00650EE4">
        <w:rPr>
          <w:noProof w:val="0"/>
        </w:rPr>
        <w:t>i</w:t>
      </w:r>
      <w:r w:rsidRPr="00650EE4">
        <w:rPr>
          <w:noProof w:val="0"/>
        </w:rPr>
        <w:t>ndividuali namų renovacijos tempai</w:t>
      </w:r>
      <w:bookmarkEnd w:id="177"/>
    </w:p>
    <w:p w14:paraId="70637070" w14:textId="34B08D16" w:rsidR="009E7755" w:rsidRPr="00650EE4" w:rsidRDefault="00772ABB" w:rsidP="006F7EC1">
      <w:pPr>
        <w:pStyle w:val="TESlentelspavadinimas"/>
        <w:rPr>
          <w:noProof w:val="0"/>
        </w:rPr>
      </w:pPr>
      <w:r w:rsidRPr="00650EE4">
        <w:rPr>
          <w:lang w:eastAsia="lt-LT"/>
        </w:rPr>
        <w:drawing>
          <wp:inline distT="0" distB="0" distL="0" distR="0" wp14:anchorId="74215A7C" wp14:editId="048003A0">
            <wp:extent cx="6479540" cy="2032635"/>
            <wp:effectExtent l="0" t="0" r="16510" b="24765"/>
            <wp:docPr id="75" name="Chart 7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6DFA51-88F7-4178-8E96-1CEF2A8CE7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9AE16FA" w14:textId="220B7F22" w:rsidR="00C00F52" w:rsidRPr="00650EE4" w:rsidRDefault="00C00F52" w:rsidP="00631BA6">
      <w:pPr>
        <w:pStyle w:val="TESlentelspavadinimas"/>
        <w:rPr>
          <w:noProof w:val="0"/>
        </w:rPr>
      </w:pPr>
      <w:r w:rsidRPr="00650EE4">
        <w:rPr>
          <w:noProof w:val="0"/>
        </w:rPr>
        <w:t xml:space="preserve">Šaltinis: Studijos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568D9C7C" w14:textId="302E7C9B" w:rsidR="009E7755" w:rsidRPr="00650EE4" w:rsidRDefault="009E7755" w:rsidP="006866B5">
      <w:pPr>
        <w:pStyle w:val="Pagrindinispaprastastekstas"/>
        <w:rPr>
          <w:rFonts w:ascii="Times New Roman" w:hAnsi="Times New Roman"/>
        </w:rPr>
      </w:pPr>
    </w:p>
    <w:p w14:paraId="026F2087" w14:textId="5A1ACC20" w:rsidR="009E7755" w:rsidRPr="00650EE4" w:rsidRDefault="00CA1829" w:rsidP="006866B5">
      <w:pPr>
        <w:pStyle w:val="Pagrindinispaprastastekstas"/>
        <w:rPr>
          <w:rFonts w:ascii="Times New Roman" w:hAnsi="Times New Roman"/>
        </w:rPr>
      </w:pPr>
      <w:r w:rsidRPr="00650EE4">
        <w:rPr>
          <w:rFonts w:ascii="Times New Roman" w:hAnsi="Times New Roman"/>
        </w:rPr>
        <w:t xml:space="preserve">Individualių namų renovacijos </w:t>
      </w:r>
      <w:r w:rsidR="00475948" w:rsidRPr="00650EE4">
        <w:rPr>
          <w:rFonts w:ascii="Times New Roman" w:hAnsi="Times New Roman"/>
        </w:rPr>
        <w:t>tempų</w:t>
      </w:r>
      <w:r w:rsidRPr="00650EE4">
        <w:rPr>
          <w:rFonts w:ascii="Times New Roman" w:hAnsi="Times New Roman"/>
        </w:rPr>
        <w:t xml:space="preserve"> prognozė pagrįsta </w:t>
      </w:r>
      <w:r w:rsidR="00526609" w:rsidRPr="00650EE4">
        <w:rPr>
          <w:rFonts w:ascii="Times New Roman" w:hAnsi="Times New Roman"/>
        </w:rPr>
        <w:t>savanoriškai pastatų savininkų vykdoma renovacija (žr. </w:t>
      </w:r>
      <w:r w:rsidR="00436287">
        <w:rPr>
          <w:rFonts w:ascii="Times New Roman" w:hAnsi="Times New Roman"/>
        </w:rPr>
        <w:t>1</w:t>
      </w:r>
      <w:r w:rsidR="00526609" w:rsidRPr="00650EE4">
        <w:rPr>
          <w:rFonts w:ascii="Times New Roman" w:hAnsi="Times New Roman"/>
        </w:rPr>
        <w:t>.4.4 skyrių)</w:t>
      </w:r>
      <w:r w:rsidR="00DC7148" w:rsidRPr="00650EE4">
        <w:rPr>
          <w:rFonts w:ascii="Times New Roman" w:hAnsi="Times New Roman"/>
        </w:rPr>
        <w:t xml:space="preserve"> ir planuojamomis paramos priemonėmis, orientuotomis į </w:t>
      </w:r>
      <w:r w:rsidR="002C60B4" w:rsidRPr="00650EE4">
        <w:rPr>
          <w:rFonts w:ascii="Times New Roman" w:hAnsi="Times New Roman"/>
        </w:rPr>
        <w:t>dalinės renovacijos skatinimą</w:t>
      </w:r>
      <w:r w:rsidR="002768A6" w:rsidRPr="00650EE4">
        <w:rPr>
          <w:rFonts w:ascii="Times New Roman" w:hAnsi="Times New Roman"/>
        </w:rPr>
        <w:t>.</w:t>
      </w:r>
    </w:p>
    <w:p w14:paraId="1F5664BC" w14:textId="77777777" w:rsidR="009E7755" w:rsidRPr="00650EE4" w:rsidRDefault="009E7755" w:rsidP="006866B5">
      <w:pPr>
        <w:pStyle w:val="Pagrindinispaprastastekstas"/>
        <w:rPr>
          <w:rFonts w:ascii="Times New Roman" w:hAnsi="Times New Roman"/>
        </w:rPr>
      </w:pPr>
    </w:p>
    <w:p w14:paraId="1082ADCC" w14:textId="77777777" w:rsidR="00F323C5" w:rsidRPr="00650EE4" w:rsidRDefault="00F323C5">
      <w:pPr>
        <w:spacing w:after="240"/>
        <w:rPr>
          <w:rFonts w:ascii="Times New Roman" w:eastAsia="Times New Roman" w:hAnsi="Times New Roman"/>
          <w:b/>
          <w:bCs/>
          <w:color w:val="000000" w:themeColor="text1"/>
          <w:kern w:val="32"/>
          <w:sz w:val="24"/>
          <w:szCs w:val="24"/>
        </w:rPr>
      </w:pPr>
      <w:bookmarkStart w:id="178" w:name="_Toc46399965"/>
      <w:r w:rsidRPr="00650EE4">
        <w:rPr>
          <w:rFonts w:ascii="Times New Roman" w:hAnsi="Times New Roman"/>
          <w:color w:val="000000" w:themeColor="text1"/>
          <w:sz w:val="24"/>
          <w:szCs w:val="24"/>
        </w:rPr>
        <w:br w:type="page"/>
      </w:r>
    </w:p>
    <w:p w14:paraId="614497B6" w14:textId="28A301A4" w:rsidR="006866B5" w:rsidRPr="00650EE4" w:rsidRDefault="006866B5" w:rsidP="006866B5">
      <w:pPr>
        <w:pStyle w:val="Antrastes31"/>
        <w:numPr>
          <w:ilvl w:val="2"/>
          <w:numId w:val="4"/>
        </w:numPr>
        <w:spacing w:before="120"/>
        <w:ind w:left="720" w:hanging="720"/>
        <w:rPr>
          <w:rFonts w:ascii="Times New Roman" w:hAnsi="Times New Roman"/>
          <w:color w:val="000000" w:themeColor="text1"/>
          <w:sz w:val="24"/>
          <w:szCs w:val="24"/>
          <w:lang w:val="lt-LT"/>
        </w:rPr>
      </w:pPr>
      <w:bookmarkStart w:id="179" w:name="_Toc59107564"/>
      <w:r w:rsidRPr="00650EE4">
        <w:rPr>
          <w:rFonts w:ascii="Times New Roman" w:hAnsi="Times New Roman"/>
          <w:color w:val="000000" w:themeColor="text1"/>
          <w:sz w:val="24"/>
          <w:szCs w:val="24"/>
          <w:lang w:val="lt-LT"/>
        </w:rPr>
        <w:lastRenderedPageBreak/>
        <w:t>Kiti negyvenamieji pastatai</w:t>
      </w:r>
      <w:bookmarkEnd w:id="178"/>
      <w:bookmarkEnd w:id="179"/>
    </w:p>
    <w:p w14:paraId="7BDAF27B" w14:textId="00B6C6A1" w:rsidR="00774427" w:rsidRPr="00650EE4" w:rsidRDefault="00774427" w:rsidP="00774427">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Lentelėje žemiau pateikiami siektini Kitos negyvenamosios paskirties </w:t>
      </w:r>
      <w:r w:rsidR="00307C6B" w:rsidRPr="00650EE4">
        <w:rPr>
          <w:rFonts w:ascii="Times New Roman" w:hAnsi="Times New Roman"/>
          <w:color w:val="000000" w:themeColor="text1"/>
          <w:szCs w:val="22"/>
        </w:rPr>
        <w:t xml:space="preserve">pastatų </w:t>
      </w:r>
      <w:r w:rsidRPr="00650EE4">
        <w:rPr>
          <w:rFonts w:ascii="Times New Roman" w:hAnsi="Times New Roman"/>
          <w:color w:val="000000" w:themeColor="text1"/>
          <w:szCs w:val="22"/>
        </w:rPr>
        <w:t>renovacijos rodikliai:</w:t>
      </w:r>
    </w:p>
    <w:p w14:paraId="19954A34" w14:textId="6C8CF3B4" w:rsidR="00774427" w:rsidRDefault="00E723D0"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80" w:name="_Toc59094243"/>
      <w:r w:rsidR="00F25C65">
        <w:t>60</w:t>
      </w:r>
      <w:r w:rsidRPr="00650EE4">
        <w:rPr>
          <w:noProof w:val="0"/>
        </w:rPr>
        <w:fldChar w:fldCharType="end"/>
      </w:r>
      <w:r w:rsidR="00774427" w:rsidRPr="00650EE4">
        <w:rPr>
          <w:noProof w:val="0"/>
        </w:rPr>
        <w:t xml:space="preserve"> lentelė. Kitos negyvenamosios paskirties renovacijos rodikliai</w:t>
      </w:r>
      <w:bookmarkEnd w:id="180"/>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992"/>
        <w:gridCol w:w="934"/>
        <w:gridCol w:w="767"/>
        <w:gridCol w:w="826"/>
        <w:gridCol w:w="875"/>
      </w:tblGrid>
      <w:tr w:rsidR="0037479D" w:rsidRPr="00521FEE" w14:paraId="07E62528"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082F69" w14:textId="77777777" w:rsidR="0037479D" w:rsidRPr="00521FEE" w:rsidRDefault="0037479D" w:rsidP="00910123">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0FA04A" w14:textId="77777777" w:rsidR="0037479D" w:rsidRPr="00521FEE" w:rsidRDefault="0037479D" w:rsidP="00910123">
            <w:pPr>
              <w:spacing w:line="240" w:lineRule="auto"/>
              <w:ind w:right="-112"/>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52C39" w14:textId="77777777" w:rsidR="0037479D" w:rsidRPr="00521FEE" w:rsidRDefault="0037479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FE4B6B" w14:textId="77777777" w:rsidR="0037479D" w:rsidRPr="00521FEE" w:rsidRDefault="0037479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A01101" w14:textId="77777777" w:rsidR="0037479D" w:rsidRPr="00521FEE" w:rsidRDefault="0037479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B911A0" w14:textId="77777777" w:rsidR="0037479D" w:rsidRPr="00521FEE" w:rsidRDefault="0037479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37479D" w:rsidRPr="006B7FAD" w14:paraId="267A0CBB"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2C36F1"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472FF" w14:textId="77777777" w:rsidR="0037479D" w:rsidRPr="006B7FAD" w:rsidRDefault="0037479D" w:rsidP="00910123">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FC8A5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7.765</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4D0A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6.742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5595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4.962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1C4D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2.831</w:t>
            </w:r>
          </w:p>
        </w:tc>
      </w:tr>
      <w:tr w:rsidR="0037479D" w:rsidRPr="006B7FAD" w14:paraId="0CA37178"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472F7C"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581CF"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81D345"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92B53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3ECCD5"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44E21E"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36%</w:t>
            </w:r>
          </w:p>
        </w:tc>
      </w:tr>
      <w:tr w:rsidR="0037479D" w:rsidRPr="006B7FAD" w14:paraId="7B366E37"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44B087"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352420" w14:textId="77777777" w:rsidR="0037479D" w:rsidRPr="006B7FAD" w:rsidRDefault="0037479D" w:rsidP="00910123">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B7CDD7"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5.962</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60B8BA"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4.728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9B8891"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2.580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D30A14"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37479D" w:rsidRPr="006B7FAD" w14:paraId="3DFE4437"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2F22B9"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53FEE2"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65D853"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8D925"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F36F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8D3385"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37479D" w:rsidRPr="006B7FAD" w14:paraId="058FDC72"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8BD615"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A0D73F"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6E49C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1.258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11327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998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CA74C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545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EE8C7A"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w:t>
            </w:r>
          </w:p>
        </w:tc>
      </w:tr>
      <w:tr w:rsidR="0037479D" w:rsidRPr="006B7FAD" w14:paraId="78C18DBD"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08B6C2"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83D45"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33F3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0D98FF"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32AF5"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3B4F3"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37479D" w:rsidRPr="006B7FAD" w14:paraId="6A97715E"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678618"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018EB" w14:textId="635F2BD5" w:rsidR="0037479D" w:rsidRPr="006B7FAD" w:rsidRDefault="0037479D" w:rsidP="00910123">
            <w:pPr>
              <w:spacing w:line="240" w:lineRule="auto"/>
              <w:ind w:right="-11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8ACCF"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23.416</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A7F4E"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18.875</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E2B8B7"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11.263</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D5151A"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2.225</w:t>
            </w:r>
          </w:p>
        </w:tc>
      </w:tr>
      <w:tr w:rsidR="0037479D" w:rsidRPr="006B7FAD" w14:paraId="7E879CD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E504B4"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F25A43" w14:textId="77777777" w:rsidR="0037479D" w:rsidRPr="006B7FAD" w:rsidRDefault="0037479D" w:rsidP="00910123">
            <w:pPr>
              <w:spacing w:line="240" w:lineRule="auto"/>
              <w:ind w:right="-112"/>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7D9341"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5.788</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87196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4.556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74B42"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2.619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3EE297"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355</w:t>
            </w:r>
          </w:p>
        </w:tc>
      </w:tr>
      <w:tr w:rsidR="0037479D" w:rsidRPr="006B7FAD" w14:paraId="2B053189"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99943E"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D8CCCA"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5390D"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A6F21"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622CD"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1D5D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w:t>
            </w:r>
          </w:p>
        </w:tc>
      </w:tr>
      <w:tr w:rsidR="0037479D" w:rsidRPr="006B7FAD" w14:paraId="43CBE375"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4A107E"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675C56"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4E0950"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C81EA3"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6.589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4C29E8"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18.057</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F08931"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31.787</w:t>
            </w:r>
          </w:p>
        </w:tc>
      </w:tr>
      <w:tr w:rsidR="0037479D" w:rsidRPr="006B7FAD" w14:paraId="67BECFC8"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E1E45B"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0263A2"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B4F8F9"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C027FE"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B3CAD"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386FF"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77%</w:t>
            </w:r>
          </w:p>
        </w:tc>
      </w:tr>
      <w:tr w:rsidR="0037479D" w:rsidRPr="006B7FAD" w14:paraId="3B827CA7"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6221F"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C7B969" w14:textId="0F0C4A15" w:rsidR="0037479D" w:rsidRPr="006B7FAD" w:rsidRDefault="0037479D" w:rsidP="00910123">
            <w:pPr>
              <w:spacing w:line="240" w:lineRule="auto"/>
              <w:ind w:right="-112"/>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20A2D3"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133C8B"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5.251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064357"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14.390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225D8"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25.332</w:t>
            </w:r>
          </w:p>
        </w:tc>
      </w:tr>
      <w:tr w:rsidR="0037479D" w:rsidRPr="006B7FAD" w14:paraId="1BE8DBCB"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4DA74" w14:textId="77777777" w:rsidR="0037479D" w:rsidRPr="006B7FAD" w:rsidRDefault="0037479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6D4811" w14:textId="77777777" w:rsidR="0037479D" w:rsidRPr="006B7FAD" w:rsidRDefault="0037479D" w:rsidP="00910123">
            <w:pPr>
              <w:spacing w:line="240" w:lineRule="auto"/>
              <w:ind w:right="-112"/>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72894C"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09E947"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46F2E6"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39%</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E164E8" w14:textId="77777777" w:rsidR="0037479D" w:rsidRPr="006B7FAD" w:rsidRDefault="0037479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p>
        </w:tc>
      </w:tr>
    </w:tbl>
    <w:p w14:paraId="2A855115" w14:textId="0E91C10D" w:rsidR="00774427" w:rsidRPr="00650EE4" w:rsidRDefault="00774427" w:rsidP="00631BA6">
      <w:pPr>
        <w:pStyle w:val="TESlentelspavadinimas"/>
        <w:rPr>
          <w:noProof w:val="0"/>
        </w:rPr>
      </w:pPr>
      <w:r w:rsidRPr="00650EE4">
        <w:rPr>
          <w:noProof w:val="0"/>
        </w:rPr>
        <w:t xml:space="preserve">Šaltinis: </w:t>
      </w:r>
      <w:r w:rsidR="0019694C" w:rsidRPr="00650EE4">
        <w:rPr>
          <w:noProof w:val="0"/>
        </w:rPr>
        <w:t>S</w:t>
      </w:r>
      <w:r w:rsidRPr="00650EE4">
        <w:rPr>
          <w:noProof w:val="0"/>
        </w:rPr>
        <w:t xml:space="preserve">tudijos </w:t>
      </w:r>
      <w:r w:rsidR="00DD791C" w:rsidRPr="00874EAF">
        <w:rPr>
          <w:iCs/>
          <w:color w:val="auto"/>
        </w:rPr>
        <w:t>Lietuvos ilgalaikei renovacijos strategijai parengti</w:t>
      </w:r>
      <w:r w:rsidR="00DD791C" w:rsidRPr="00650EE4">
        <w:rPr>
          <w:noProof w:val="0"/>
        </w:rPr>
        <w:t xml:space="preserve"> </w:t>
      </w:r>
      <w:r w:rsidRPr="00650EE4">
        <w:rPr>
          <w:noProof w:val="0"/>
        </w:rPr>
        <w:t>autoriai</w:t>
      </w:r>
    </w:p>
    <w:p w14:paraId="4B423242" w14:textId="77777777" w:rsidR="00A57169" w:rsidRPr="00650EE4" w:rsidRDefault="00A57169" w:rsidP="00A57169">
      <w:pPr>
        <w:rPr>
          <w:rFonts w:ascii="Times New Roman" w:hAnsi="Times New Roman"/>
          <w:szCs w:val="22"/>
        </w:rPr>
      </w:pPr>
    </w:p>
    <w:p w14:paraId="458EED23" w14:textId="77777777" w:rsidR="00A57169" w:rsidRPr="00650EE4" w:rsidRDefault="00A57169" w:rsidP="00A57169">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72C256B" w14:textId="6ED7A323"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lanuojamu laikotarpiu bus siekiama renovuoti 3</w:t>
      </w:r>
      <w:r w:rsidR="007B03EA" w:rsidRPr="00650EE4">
        <w:rPr>
          <w:rFonts w:ascii="Times New Roman" w:hAnsi="Times New Roman"/>
          <w:szCs w:val="22"/>
        </w:rPr>
        <w:t>2</w:t>
      </w:r>
      <w:r w:rsidR="00A57169" w:rsidRPr="00650EE4">
        <w:rPr>
          <w:rFonts w:ascii="Times New Roman" w:hAnsi="Times New Roman"/>
          <w:szCs w:val="22"/>
        </w:rPr>
        <w:t xml:space="preserve"> tūkst. pastatų</w:t>
      </w:r>
      <w:r w:rsidR="00A951DB" w:rsidRPr="00650EE4">
        <w:rPr>
          <w:rFonts w:ascii="Times New Roman" w:hAnsi="Times New Roman"/>
          <w:szCs w:val="22"/>
        </w:rPr>
        <w:t>;</w:t>
      </w:r>
    </w:p>
    <w:p w14:paraId="13A43B36" w14:textId="7FA68C23"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k</w:t>
      </w:r>
      <w:r w:rsidR="001D2113" w:rsidRPr="00650EE4">
        <w:rPr>
          <w:rFonts w:ascii="Times New Roman" w:hAnsi="Times New Roman"/>
          <w:szCs w:val="22"/>
        </w:rPr>
        <w:t>itos negyvenamosios paskirties pastatai</w:t>
      </w:r>
      <w:r w:rsidR="00A57169" w:rsidRPr="00650EE4">
        <w:rPr>
          <w:rFonts w:ascii="Times New Roman" w:hAnsi="Times New Roman"/>
          <w:szCs w:val="22"/>
        </w:rPr>
        <w:t xml:space="preserve"> sudarys tik </w:t>
      </w:r>
      <w:r w:rsidR="00B83C2E" w:rsidRPr="00650EE4">
        <w:rPr>
          <w:rFonts w:ascii="Times New Roman" w:hAnsi="Times New Roman"/>
          <w:szCs w:val="22"/>
        </w:rPr>
        <w:t>7</w:t>
      </w:r>
      <w:r w:rsidR="00A57169" w:rsidRPr="00650EE4">
        <w:rPr>
          <w:rFonts w:ascii="Times New Roman" w:hAnsi="Times New Roman"/>
          <w:szCs w:val="22"/>
        </w:rPr>
        <w:t xml:space="preserve"> proc. visų renovuojamų pastatų skaičiaus</w:t>
      </w:r>
      <w:r w:rsidR="005F094D" w:rsidRPr="00650EE4">
        <w:rPr>
          <w:rFonts w:ascii="Times New Roman" w:hAnsi="Times New Roman"/>
          <w:szCs w:val="22"/>
        </w:rPr>
        <w:t xml:space="preserve"> (23 proc. ploto)</w:t>
      </w:r>
      <w:r w:rsidR="006A0956" w:rsidRPr="00650EE4">
        <w:rPr>
          <w:rFonts w:ascii="Times New Roman" w:hAnsi="Times New Roman"/>
          <w:szCs w:val="22"/>
        </w:rPr>
        <w:t xml:space="preserve"> ir </w:t>
      </w:r>
      <w:r w:rsidR="00A57169" w:rsidRPr="00650EE4">
        <w:rPr>
          <w:rFonts w:ascii="Times New Roman" w:hAnsi="Times New Roman"/>
          <w:szCs w:val="22"/>
        </w:rPr>
        <w:t xml:space="preserve">pasieks </w:t>
      </w:r>
      <w:r w:rsidR="00601B42" w:rsidRPr="00650EE4">
        <w:rPr>
          <w:rFonts w:ascii="Times New Roman" w:hAnsi="Times New Roman"/>
          <w:szCs w:val="22"/>
        </w:rPr>
        <w:t>20</w:t>
      </w:r>
      <w:r w:rsidR="00A57169" w:rsidRPr="00650EE4">
        <w:rPr>
          <w:rFonts w:ascii="Times New Roman" w:hAnsi="Times New Roman"/>
          <w:szCs w:val="22"/>
        </w:rPr>
        <w:t xml:space="preserve"> proc. pirminės energijos ir </w:t>
      </w:r>
      <w:r w:rsidR="00601B42" w:rsidRPr="00650EE4">
        <w:rPr>
          <w:rFonts w:ascii="Times New Roman" w:hAnsi="Times New Roman"/>
          <w:szCs w:val="22"/>
        </w:rPr>
        <w:t>2</w:t>
      </w:r>
      <w:r w:rsidR="0037479D">
        <w:rPr>
          <w:rFonts w:ascii="Times New Roman" w:hAnsi="Times New Roman"/>
          <w:szCs w:val="22"/>
        </w:rPr>
        <w:t>4</w:t>
      </w:r>
      <w:r w:rsidR="00A57169" w:rsidRPr="00650EE4">
        <w:rPr>
          <w:rFonts w:ascii="Times New Roman" w:hAnsi="Times New Roman"/>
          <w:szCs w:val="22"/>
        </w:rPr>
        <w:t xml:space="preserve"> proc. CO</w:t>
      </w:r>
      <w:r w:rsidR="00A57169" w:rsidRPr="00650EE4">
        <w:rPr>
          <w:rFonts w:ascii="Times New Roman" w:hAnsi="Times New Roman"/>
          <w:szCs w:val="22"/>
          <w:vertAlign w:val="subscript"/>
        </w:rPr>
        <w:t>2</w:t>
      </w:r>
      <w:r w:rsidR="00A57169" w:rsidRPr="00650EE4">
        <w:rPr>
          <w:rFonts w:ascii="Times New Roman" w:hAnsi="Times New Roman"/>
          <w:szCs w:val="22"/>
        </w:rPr>
        <w:t xml:space="preserve"> emisijų sutaupymų;</w:t>
      </w:r>
    </w:p>
    <w:p w14:paraId="1E804915" w14:textId="5E54B578" w:rsidR="00A57169"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 xml:space="preserve">o renovacijos </w:t>
      </w:r>
      <w:r w:rsidR="0037479D">
        <w:rPr>
          <w:rFonts w:ascii="Times New Roman" w:hAnsi="Times New Roman"/>
          <w:szCs w:val="22"/>
        </w:rPr>
        <w:t xml:space="preserve">ir energetikos sektoriaus transformacijos </w:t>
      </w:r>
      <w:r w:rsidR="00A57169" w:rsidRPr="00650EE4">
        <w:rPr>
          <w:rFonts w:ascii="Times New Roman" w:hAnsi="Times New Roman"/>
          <w:szCs w:val="22"/>
        </w:rPr>
        <w:t xml:space="preserve">pirminės energijos vartojimas sumažės </w:t>
      </w:r>
      <w:r w:rsidR="0037479D">
        <w:rPr>
          <w:rFonts w:ascii="Times New Roman" w:hAnsi="Times New Roman"/>
          <w:szCs w:val="22"/>
        </w:rPr>
        <w:t>64</w:t>
      </w:r>
      <w:r w:rsidR="00A57169" w:rsidRPr="00650EE4">
        <w:rPr>
          <w:rFonts w:ascii="Times New Roman" w:hAnsi="Times New Roman"/>
          <w:szCs w:val="22"/>
        </w:rPr>
        <w:t xml:space="preserve"> proc. (neefektyviausių pastatų – 9</w:t>
      </w:r>
      <w:r w:rsidR="0037479D">
        <w:rPr>
          <w:rFonts w:ascii="Times New Roman" w:hAnsi="Times New Roman"/>
          <w:szCs w:val="22"/>
        </w:rPr>
        <w:t>4</w:t>
      </w:r>
      <w:r w:rsidR="00A57169" w:rsidRPr="00650EE4">
        <w:rPr>
          <w:rFonts w:ascii="Times New Roman" w:hAnsi="Times New Roman"/>
          <w:szCs w:val="22"/>
        </w:rPr>
        <w:t xml:space="preserve"> proc.);</w:t>
      </w:r>
    </w:p>
    <w:p w14:paraId="3A806287" w14:textId="7F516820" w:rsidR="00A57169"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A57169" w:rsidRPr="00650EE4">
        <w:rPr>
          <w:rFonts w:ascii="Times New Roman" w:hAnsi="Times New Roman"/>
          <w:szCs w:val="22"/>
        </w:rPr>
        <w:t>o renovacijos</w:t>
      </w:r>
      <w:r w:rsidR="0037479D">
        <w:rPr>
          <w:rFonts w:ascii="Times New Roman" w:hAnsi="Times New Roman"/>
          <w:szCs w:val="22"/>
        </w:rPr>
        <w:t xml:space="preserve"> ir energetikos sektoriaus transformacijos</w:t>
      </w:r>
      <w:r w:rsidR="00A57169" w:rsidRPr="00650EE4">
        <w:rPr>
          <w:rFonts w:ascii="Times New Roman" w:hAnsi="Times New Roman"/>
          <w:szCs w:val="22"/>
        </w:rPr>
        <w:t xml:space="preserve"> CO</w:t>
      </w:r>
      <w:r w:rsidR="00A57169" w:rsidRPr="00650EE4">
        <w:rPr>
          <w:rFonts w:ascii="Times New Roman" w:hAnsi="Times New Roman"/>
          <w:szCs w:val="22"/>
          <w:vertAlign w:val="subscript"/>
        </w:rPr>
        <w:t>2</w:t>
      </w:r>
      <w:r w:rsidR="00A57169" w:rsidRPr="00650EE4">
        <w:rPr>
          <w:rFonts w:ascii="Times New Roman" w:hAnsi="Times New Roman"/>
          <w:szCs w:val="22"/>
        </w:rPr>
        <w:t xml:space="preserve"> emisijos sumažės </w:t>
      </w:r>
      <w:r w:rsidR="0037479D">
        <w:rPr>
          <w:rFonts w:ascii="Times New Roman" w:hAnsi="Times New Roman"/>
          <w:szCs w:val="22"/>
        </w:rPr>
        <w:t>100</w:t>
      </w:r>
      <w:r w:rsidR="00A57169" w:rsidRPr="00650EE4">
        <w:rPr>
          <w:rFonts w:ascii="Times New Roman" w:hAnsi="Times New Roman"/>
          <w:szCs w:val="22"/>
        </w:rPr>
        <w:t xml:space="preserve"> proc.</w:t>
      </w:r>
    </w:p>
    <w:p w14:paraId="5A8209CA" w14:textId="77777777" w:rsidR="0037479D" w:rsidRDefault="0037479D" w:rsidP="0037479D">
      <w:pPr>
        <w:pStyle w:val="Pagrindinispaprastastekstas"/>
        <w:rPr>
          <w:rFonts w:ascii="Times New Roman" w:hAnsi="Times New Roman"/>
          <w:szCs w:val="22"/>
        </w:rPr>
      </w:pPr>
    </w:p>
    <w:p w14:paraId="289ECA4D" w14:textId="77777777" w:rsidR="0037479D" w:rsidRPr="00650EE4" w:rsidRDefault="0037479D" w:rsidP="0037479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būtų pasiekti tiksliniai rodikliai, reikės atnaujinti po </w:t>
      </w:r>
      <w:r>
        <w:rPr>
          <w:rFonts w:ascii="Times New Roman" w:hAnsi="Times New Roman"/>
          <w:color w:val="000000" w:themeColor="text1"/>
          <w:szCs w:val="22"/>
        </w:rPr>
        <w:t>500</w:t>
      </w:r>
      <w:r w:rsidRPr="00650EE4">
        <w:rPr>
          <w:rFonts w:ascii="Times New Roman" w:hAnsi="Times New Roman"/>
          <w:color w:val="000000" w:themeColor="text1"/>
          <w:szCs w:val="22"/>
        </w:rPr>
        <w:t xml:space="preserve"> </w:t>
      </w:r>
      <w:r>
        <w:rPr>
          <w:rFonts w:ascii="Times New Roman" w:hAnsi="Times New Roman"/>
          <w:color w:val="000000" w:themeColor="text1"/>
          <w:szCs w:val="22"/>
        </w:rPr>
        <w:t>negyvenamųjų</w:t>
      </w:r>
      <w:r w:rsidRPr="00650EE4">
        <w:rPr>
          <w:rFonts w:ascii="Times New Roman" w:hAnsi="Times New Roman"/>
          <w:color w:val="000000" w:themeColor="text1"/>
          <w:szCs w:val="22"/>
        </w:rPr>
        <w:t xml:space="preserve"> pastatų 2021-202</w:t>
      </w:r>
      <w:r>
        <w:rPr>
          <w:rFonts w:ascii="Times New Roman" w:hAnsi="Times New Roman"/>
          <w:color w:val="000000" w:themeColor="text1"/>
          <w:szCs w:val="22"/>
        </w:rPr>
        <w:t>3</w:t>
      </w:r>
      <w:r w:rsidRPr="00650EE4">
        <w:rPr>
          <w:rFonts w:ascii="Times New Roman" w:hAnsi="Times New Roman"/>
          <w:color w:val="000000" w:themeColor="text1"/>
          <w:szCs w:val="22"/>
        </w:rPr>
        <w:t xml:space="preserve"> metais, vėliau kasmet didinant renovacijos tempą bent po </w:t>
      </w:r>
      <w:r>
        <w:rPr>
          <w:rFonts w:ascii="Times New Roman" w:hAnsi="Times New Roman"/>
          <w:color w:val="000000" w:themeColor="text1"/>
          <w:szCs w:val="22"/>
        </w:rPr>
        <w:t>5</w:t>
      </w:r>
      <w:r w:rsidRPr="00650EE4">
        <w:rPr>
          <w:rFonts w:ascii="Times New Roman" w:hAnsi="Times New Roman"/>
          <w:color w:val="000000" w:themeColor="text1"/>
          <w:szCs w:val="22"/>
        </w:rPr>
        <w:t>0 pastatų, siekiant 20</w:t>
      </w:r>
      <w:r>
        <w:rPr>
          <w:rFonts w:ascii="Times New Roman" w:hAnsi="Times New Roman"/>
          <w:color w:val="000000" w:themeColor="text1"/>
          <w:szCs w:val="22"/>
        </w:rPr>
        <w:t>40</w:t>
      </w:r>
      <w:r w:rsidRPr="00650EE4">
        <w:rPr>
          <w:rFonts w:ascii="Times New Roman" w:hAnsi="Times New Roman"/>
          <w:color w:val="000000" w:themeColor="text1"/>
          <w:szCs w:val="22"/>
        </w:rPr>
        <w:t xml:space="preserve"> m. pasiekti </w:t>
      </w:r>
      <w:r>
        <w:rPr>
          <w:rFonts w:ascii="Times New Roman" w:hAnsi="Times New Roman"/>
          <w:color w:val="000000" w:themeColor="text1"/>
          <w:szCs w:val="22"/>
        </w:rPr>
        <w:t>beveik 1400</w:t>
      </w:r>
      <w:r w:rsidRPr="00650EE4">
        <w:rPr>
          <w:rFonts w:ascii="Times New Roman" w:hAnsi="Times New Roman"/>
          <w:color w:val="000000" w:themeColor="text1"/>
          <w:szCs w:val="22"/>
        </w:rPr>
        <w:t xml:space="preserve"> per metus renovuojamų pastatų skaičių.</w:t>
      </w:r>
    </w:p>
    <w:p w14:paraId="766E39EC" w14:textId="77777777" w:rsidR="00E723D0" w:rsidRDefault="00E723D0" w:rsidP="00631BA6">
      <w:pPr>
        <w:pStyle w:val="TESlentelspavadinimas"/>
        <w:rPr>
          <w:noProof w:val="0"/>
        </w:rPr>
      </w:pPr>
    </w:p>
    <w:p w14:paraId="1AE2B810" w14:textId="3166FA40" w:rsidR="00C00F52" w:rsidRPr="00650EE4" w:rsidRDefault="00C00F52"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81" w:name="_Toc59094274"/>
      <w:r w:rsidR="00F25C65">
        <w:t>25</w:t>
      </w:r>
      <w:r w:rsidRPr="00650EE4">
        <w:rPr>
          <w:noProof w:val="0"/>
        </w:rPr>
        <w:fldChar w:fldCharType="end"/>
      </w:r>
      <w:r w:rsidRPr="00650EE4">
        <w:rPr>
          <w:noProof w:val="0"/>
        </w:rPr>
        <w:t xml:space="preserve"> paveikslas. </w:t>
      </w:r>
      <w:r w:rsidR="003A2680" w:rsidRPr="00650EE4">
        <w:rPr>
          <w:noProof w:val="0"/>
        </w:rPr>
        <w:t>Siekiami k</w:t>
      </w:r>
      <w:r w:rsidR="0078764A" w:rsidRPr="00650EE4">
        <w:rPr>
          <w:noProof w:val="0"/>
        </w:rPr>
        <w:t>itų negyvenamųjų pastatų</w:t>
      </w:r>
      <w:r w:rsidRPr="00650EE4">
        <w:rPr>
          <w:noProof w:val="0"/>
        </w:rPr>
        <w:t xml:space="preserve"> renovacijos tempai</w:t>
      </w:r>
      <w:bookmarkEnd w:id="181"/>
    </w:p>
    <w:p w14:paraId="06BBFE7B" w14:textId="5BEDC7C6" w:rsidR="00C00F52" w:rsidRPr="00650EE4" w:rsidRDefault="0037479D" w:rsidP="006F7EC1">
      <w:pPr>
        <w:pStyle w:val="TESlentelspavadinimas"/>
        <w:rPr>
          <w:noProof w:val="0"/>
        </w:rPr>
      </w:pPr>
      <w:r w:rsidRPr="00650EE4">
        <w:rPr>
          <w:lang w:eastAsia="lt-LT"/>
        </w:rPr>
        <w:drawing>
          <wp:inline distT="0" distB="0" distL="0" distR="0" wp14:anchorId="4C15E84C" wp14:editId="198E0C45">
            <wp:extent cx="6479540" cy="2025015"/>
            <wp:effectExtent l="0" t="0" r="16510" b="13335"/>
            <wp:docPr id="76" name="Chart 7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124FA86-4023-48A0-97E2-744FC8515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751E5ECA" w14:textId="12509397" w:rsidR="00C00F52" w:rsidRPr="00650EE4" w:rsidRDefault="00C00F52"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17E3727B" w14:textId="77777777" w:rsidR="006C4053" w:rsidRPr="00650EE4" w:rsidRDefault="006C4053" w:rsidP="006C4053">
      <w:pPr>
        <w:pStyle w:val="Pagrindinispaprastastekstas"/>
        <w:rPr>
          <w:rFonts w:ascii="Times New Roman" w:hAnsi="Times New Roman"/>
        </w:rPr>
      </w:pPr>
    </w:p>
    <w:p w14:paraId="0BAB9587" w14:textId="672F723E" w:rsidR="006C4053" w:rsidRPr="00650EE4" w:rsidRDefault="006C4053" w:rsidP="006C4053">
      <w:pPr>
        <w:pStyle w:val="Pagrindinispaprastastekstas"/>
        <w:rPr>
          <w:rFonts w:ascii="Times New Roman" w:hAnsi="Times New Roman"/>
        </w:rPr>
      </w:pPr>
      <w:r w:rsidRPr="00650EE4">
        <w:rPr>
          <w:rFonts w:ascii="Times New Roman" w:hAnsi="Times New Roman"/>
        </w:rPr>
        <w:t xml:space="preserve">Kitos negyvenamosios paskirties pastatų renovacijos tempų prognozė pagrįsta planuojamomis paramos priemonėmis, orientuotomis į </w:t>
      </w:r>
      <w:r w:rsidR="008D5C0B" w:rsidRPr="00650EE4">
        <w:rPr>
          <w:rFonts w:ascii="Times New Roman" w:hAnsi="Times New Roman"/>
        </w:rPr>
        <w:t>integruotą planavimą</w:t>
      </w:r>
      <w:r w:rsidR="00D47392" w:rsidRPr="00650EE4">
        <w:rPr>
          <w:rFonts w:ascii="Times New Roman" w:hAnsi="Times New Roman"/>
        </w:rPr>
        <w:t xml:space="preserve"> (viešieji pastatai)</w:t>
      </w:r>
      <w:r w:rsidR="008D5C0B" w:rsidRPr="00650EE4">
        <w:rPr>
          <w:rFonts w:ascii="Times New Roman" w:hAnsi="Times New Roman"/>
        </w:rPr>
        <w:t xml:space="preserve"> ir </w:t>
      </w:r>
      <w:proofErr w:type="spellStart"/>
      <w:r w:rsidR="008D5C0B" w:rsidRPr="00650EE4">
        <w:rPr>
          <w:rFonts w:ascii="Times New Roman" w:hAnsi="Times New Roman"/>
        </w:rPr>
        <w:t>kvartalinę</w:t>
      </w:r>
      <w:proofErr w:type="spellEnd"/>
      <w:r w:rsidR="008D5C0B" w:rsidRPr="00650EE4">
        <w:rPr>
          <w:rFonts w:ascii="Times New Roman" w:hAnsi="Times New Roman"/>
        </w:rPr>
        <w:t xml:space="preserve"> renovaciją</w:t>
      </w:r>
      <w:r w:rsidRPr="00650EE4">
        <w:rPr>
          <w:rFonts w:ascii="Times New Roman" w:hAnsi="Times New Roman"/>
        </w:rPr>
        <w:t xml:space="preserve"> (žr. </w:t>
      </w:r>
      <w:r w:rsidR="00436287">
        <w:rPr>
          <w:rFonts w:ascii="Times New Roman" w:hAnsi="Times New Roman"/>
        </w:rPr>
        <w:t>6</w:t>
      </w:r>
      <w:r w:rsidRPr="00650EE4">
        <w:rPr>
          <w:rFonts w:ascii="Times New Roman" w:hAnsi="Times New Roman"/>
        </w:rPr>
        <w:t>.</w:t>
      </w:r>
      <w:r w:rsidR="0037479D">
        <w:rPr>
          <w:rFonts w:ascii="Times New Roman" w:hAnsi="Times New Roman"/>
        </w:rPr>
        <w:t>2</w:t>
      </w:r>
      <w:r w:rsidRPr="00650EE4">
        <w:rPr>
          <w:rFonts w:ascii="Times New Roman" w:hAnsi="Times New Roman"/>
        </w:rPr>
        <w:t xml:space="preserve"> skyrių).</w:t>
      </w:r>
    </w:p>
    <w:p w14:paraId="577B2DCB" w14:textId="77777777" w:rsidR="004C28AF" w:rsidRPr="00650EE4" w:rsidRDefault="004C28AF" w:rsidP="006C4053">
      <w:pPr>
        <w:pStyle w:val="Pagrindinispaprastastekstas"/>
        <w:rPr>
          <w:rFonts w:ascii="Times New Roman" w:hAnsi="Times New Roman"/>
        </w:rPr>
      </w:pPr>
    </w:p>
    <w:p w14:paraId="45301A3C" w14:textId="77777777" w:rsidR="00F323C5" w:rsidRPr="00650EE4" w:rsidRDefault="00F323C5">
      <w:pPr>
        <w:spacing w:after="240"/>
        <w:rPr>
          <w:rFonts w:ascii="Times New Roman" w:eastAsia="Times New Roman" w:hAnsi="Times New Roman"/>
          <w:b/>
          <w:bCs/>
          <w:color w:val="000000" w:themeColor="text1"/>
          <w:kern w:val="32"/>
          <w:sz w:val="24"/>
          <w:szCs w:val="24"/>
        </w:rPr>
      </w:pPr>
      <w:bookmarkStart w:id="182" w:name="_Toc46399966"/>
      <w:r w:rsidRPr="00650EE4">
        <w:rPr>
          <w:rFonts w:ascii="Times New Roman" w:hAnsi="Times New Roman"/>
          <w:color w:val="000000" w:themeColor="text1"/>
          <w:sz w:val="24"/>
          <w:szCs w:val="24"/>
        </w:rPr>
        <w:br w:type="page"/>
      </w:r>
    </w:p>
    <w:p w14:paraId="6094DC64" w14:textId="6BB977A6" w:rsidR="006866B5" w:rsidRPr="00650EE4" w:rsidRDefault="006866B5" w:rsidP="0019694C">
      <w:pPr>
        <w:pStyle w:val="Antrastes31"/>
        <w:numPr>
          <w:ilvl w:val="2"/>
          <w:numId w:val="4"/>
        </w:numPr>
        <w:spacing w:before="0"/>
        <w:ind w:left="720" w:hanging="720"/>
        <w:rPr>
          <w:rFonts w:ascii="Times New Roman" w:hAnsi="Times New Roman"/>
          <w:color w:val="000000" w:themeColor="text1"/>
          <w:sz w:val="24"/>
          <w:szCs w:val="24"/>
          <w:lang w:val="lt-LT"/>
        </w:rPr>
      </w:pPr>
      <w:bookmarkStart w:id="183" w:name="_Toc59107565"/>
      <w:r w:rsidRPr="00650EE4">
        <w:rPr>
          <w:rFonts w:ascii="Times New Roman" w:hAnsi="Times New Roman"/>
          <w:color w:val="000000" w:themeColor="text1"/>
          <w:sz w:val="24"/>
          <w:szCs w:val="24"/>
          <w:lang w:val="lt-LT"/>
        </w:rPr>
        <w:lastRenderedPageBreak/>
        <w:t>Pramonės pastat</w:t>
      </w:r>
      <w:bookmarkEnd w:id="182"/>
      <w:r w:rsidRPr="00650EE4">
        <w:rPr>
          <w:rFonts w:ascii="Times New Roman" w:hAnsi="Times New Roman"/>
          <w:color w:val="000000" w:themeColor="text1"/>
          <w:sz w:val="24"/>
          <w:szCs w:val="24"/>
          <w:lang w:val="lt-LT"/>
        </w:rPr>
        <w:t>ai</w:t>
      </w:r>
      <w:bookmarkEnd w:id="183"/>
    </w:p>
    <w:p w14:paraId="3E22096C" w14:textId="155ADA2A" w:rsidR="00774427" w:rsidRPr="00650EE4" w:rsidRDefault="00774427" w:rsidP="00774427">
      <w:pPr>
        <w:spacing w:before="240" w:after="120"/>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pateikiami siektini Pramonės pastatų renovacijos rodikliai:</w:t>
      </w:r>
    </w:p>
    <w:p w14:paraId="09EC6504" w14:textId="4FCEB8F9" w:rsidR="006F7EC1" w:rsidRDefault="0019538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84" w:name="_Toc59094244"/>
      <w:r w:rsidR="00F25C65">
        <w:t>61</w:t>
      </w:r>
      <w:r w:rsidRPr="00650EE4">
        <w:rPr>
          <w:noProof w:val="0"/>
        </w:rPr>
        <w:fldChar w:fldCharType="end"/>
      </w:r>
      <w:r w:rsidR="00774427" w:rsidRPr="00650EE4">
        <w:rPr>
          <w:noProof w:val="0"/>
        </w:rPr>
        <w:t xml:space="preserve"> lentelė. Pramonės pastatų renovacijos rodikliai</w:t>
      </w:r>
      <w:bookmarkEnd w:id="184"/>
    </w:p>
    <w:tbl>
      <w:tblPr>
        <w:tblW w:w="10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7"/>
        <w:gridCol w:w="992"/>
        <w:gridCol w:w="851"/>
        <w:gridCol w:w="934"/>
        <w:gridCol w:w="826"/>
        <w:gridCol w:w="766"/>
      </w:tblGrid>
      <w:tr w:rsidR="00FD352D" w:rsidRPr="00521FEE" w14:paraId="6859EE86"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B1BF72" w14:textId="77777777" w:rsidR="00FD352D" w:rsidRPr="00521FEE" w:rsidRDefault="00FD352D" w:rsidP="00910123">
            <w:pPr>
              <w:spacing w:line="240" w:lineRule="auto"/>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Rodiklis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0A7120" w14:textId="77777777" w:rsidR="00FD352D" w:rsidRPr="00521FEE" w:rsidRDefault="00FD352D" w:rsidP="00910123">
            <w:pPr>
              <w:spacing w:line="240" w:lineRule="auto"/>
              <w:ind w:right="-108"/>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Mato 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2A400" w14:textId="77777777" w:rsidR="00FD352D" w:rsidRPr="00521FEE" w:rsidRDefault="00FD352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2020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7A89DD" w14:textId="77777777" w:rsidR="00FD352D" w:rsidRPr="00521FEE" w:rsidRDefault="00FD352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2030</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07B27D" w14:textId="77777777" w:rsidR="00FD352D" w:rsidRPr="00521FEE" w:rsidRDefault="00FD352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2040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718A9" w14:textId="77777777" w:rsidR="00FD352D" w:rsidRPr="00521FEE" w:rsidRDefault="00FD352D" w:rsidP="00910123">
            <w:pPr>
              <w:spacing w:line="240" w:lineRule="auto"/>
              <w:jc w:val="center"/>
              <w:rPr>
                <w:rFonts w:ascii="Times New Roman" w:eastAsia="Times New Roman" w:hAnsi="Times New Roman"/>
                <w:b/>
                <w:bCs/>
                <w:sz w:val="20"/>
                <w:szCs w:val="20"/>
                <w:lang w:eastAsia="lt-LT"/>
              </w:rPr>
            </w:pPr>
            <w:r w:rsidRPr="00521FEE">
              <w:rPr>
                <w:rFonts w:ascii="Times New Roman" w:eastAsia="Times New Roman" w:hAnsi="Times New Roman"/>
                <w:b/>
                <w:bCs/>
                <w:sz w:val="20"/>
                <w:szCs w:val="20"/>
                <w:lang w:eastAsia="lt-LT"/>
              </w:rPr>
              <w:t>2050</w:t>
            </w:r>
          </w:p>
        </w:tc>
      </w:tr>
      <w:tr w:rsidR="00FD352D" w:rsidRPr="006B7FAD" w14:paraId="2AEBABAF"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20706E"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 Metinis pirminės energijos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61F6D" w14:textId="77777777" w:rsidR="00FD352D" w:rsidRPr="006B7FAD" w:rsidRDefault="00FD352D"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06EEA"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7.267</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5BEA71"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6.432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DA607"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4.981</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71E20"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3.243</w:t>
            </w:r>
          </w:p>
        </w:tc>
      </w:tr>
      <w:tr w:rsidR="00FD352D" w:rsidRPr="006B7FAD" w14:paraId="69358C41"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62E5E"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R2. Metinis pirminės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DA52B"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460E01"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41CB8"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EAF50"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385C31"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r>
      <w:tr w:rsidR="00FD352D" w:rsidRPr="006B7FAD" w14:paraId="16C701B4"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528C41"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R3. Metinis pirminės energijos (ne AEI)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DB7001" w14:textId="77777777" w:rsidR="00FD352D" w:rsidRPr="006B7FAD" w:rsidRDefault="00FD352D"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4C0C2"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5.621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43CFFA"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4.457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8EB38A"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2.432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8A896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w:t>
            </w:r>
          </w:p>
        </w:tc>
      </w:tr>
      <w:tr w:rsidR="00FD352D" w:rsidRPr="006B7FAD" w14:paraId="2B8759F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990777"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R4. Metinis pirminės energijos (ne AEI) energijos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05F75"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1AF5A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4FD673"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E2C322"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64C285"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FD352D" w:rsidRPr="006B7FAD" w14:paraId="54239E48"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93E115"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R5. CO2 emisijos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E8F82"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ktCO2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466DD"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1.180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2B079F"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936</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D048B7"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512</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8241D0"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w:t>
            </w:r>
          </w:p>
        </w:tc>
      </w:tr>
      <w:tr w:rsidR="00FD352D" w:rsidRPr="006B7FAD" w14:paraId="521C2215"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C0233"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R6. CO2 emisijos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6D5AC2"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3FA476"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95107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A69281"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4F4BCF"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r>
      <w:tr w:rsidR="00FD352D" w:rsidRPr="006B7FAD" w14:paraId="37D23413"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47053"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R7. Neefektyvių (≤D klasės)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65DAD2" w14:textId="2A2CCF20" w:rsidR="00FD352D" w:rsidRPr="006B7FAD" w:rsidRDefault="00FD352D" w:rsidP="00910123">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88CB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25.481</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C48CA"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22.547</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D13936"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17.756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8C9F91"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12.104</w:t>
            </w:r>
          </w:p>
        </w:tc>
      </w:tr>
      <w:tr w:rsidR="00FD352D" w:rsidRPr="006B7FAD" w14:paraId="0D3C969C"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2491CD"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R8. Neefektyvių (≤D klasės) pastatų vartojimas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FA113C" w14:textId="77777777" w:rsidR="00FD352D" w:rsidRPr="006B7FAD" w:rsidRDefault="00FD352D" w:rsidP="00910123">
            <w:pPr>
              <w:spacing w:line="240" w:lineRule="auto"/>
              <w:ind w:right="-108"/>
              <w:rPr>
                <w:rFonts w:ascii="Times New Roman" w:eastAsia="Times New Roman" w:hAnsi="Times New Roman"/>
                <w:sz w:val="20"/>
                <w:szCs w:val="20"/>
                <w:lang w:eastAsia="lt-LT"/>
              </w:rPr>
            </w:pPr>
            <w:proofErr w:type="spellStart"/>
            <w:r w:rsidRPr="006B7FAD">
              <w:rPr>
                <w:rFonts w:ascii="Times New Roman" w:eastAsia="Times New Roman" w:hAnsi="Times New Roman"/>
                <w:sz w:val="20"/>
                <w:szCs w:val="20"/>
                <w:lang w:eastAsia="lt-LT"/>
              </w:rPr>
              <w:t>GWh</w:t>
            </w:r>
            <w:proofErr w:type="spellEnd"/>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3E144"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6.552</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95EFE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5.491</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224B76"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3.880</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B5CB14"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2.013</w:t>
            </w:r>
          </w:p>
        </w:tc>
      </w:tr>
      <w:tr w:rsidR="00FD352D" w:rsidRPr="006B7FAD" w14:paraId="261F7A29"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6A9811"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R9. Neefektyvių (≤D klasės) pastatų vartojimas (lyginant su 2020)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58A342"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7C0812"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4E865C"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84%</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855FDF"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59%</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BBCFCC"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31%</w:t>
            </w:r>
          </w:p>
        </w:tc>
      </w:tr>
      <w:tr w:rsidR="00FD352D" w:rsidRPr="006B7FAD" w14:paraId="2D50DB4D"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9E4173"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R10. Renovuotų pastatų skaičius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1A859"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vnt.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45AC9"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7BC5FB"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3.918</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671CC7"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10.736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C7DC08"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18.901</w:t>
            </w:r>
          </w:p>
        </w:tc>
      </w:tr>
      <w:tr w:rsidR="00FD352D" w:rsidRPr="006B7FAD" w14:paraId="49C70F4B"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F9DBE3"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R11. Renovuotų pastatų dalis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754ECF"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5D2FA4"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F99B9D"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D3CB99"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26%</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68632"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45%</w:t>
            </w:r>
          </w:p>
        </w:tc>
      </w:tr>
      <w:tr w:rsidR="00FD352D" w:rsidRPr="006B7FAD" w14:paraId="5DD97431"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A295FF"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R12.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614B1B" w14:textId="2F1320EB" w:rsidR="00FD352D" w:rsidRPr="006B7FAD" w:rsidRDefault="00FD352D" w:rsidP="00910123">
            <w:pPr>
              <w:spacing w:line="240" w:lineRule="auto"/>
              <w:ind w:right="-108"/>
              <w:rPr>
                <w:rFonts w:ascii="Times New Roman" w:eastAsia="Times New Roman" w:hAnsi="Times New Roman"/>
                <w:sz w:val="20"/>
                <w:szCs w:val="20"/>
                <w:lang w:eastAsia="lt-LT"/>
              </w:rPr>
            </w:pPr>
            <w:r>
              <w:rPr>
                <w:rFonts w:ascii="Times New Roman" w:eastAsia="Times New Roman" w:hAnsi="Times New Roman"/>
                <w:sz w:val="20"/>
                <w:szCs w:val="20"/>
                <w:lang w:eastAsia="lt-LT"/>
              </w:rPr>
              <w:t xml:space="preserve">tūkst. </w:t>
            </w:r>
            <w:r w:rsidRPr="00650EE4">
              <w:rPr>
                <w:rFonts w:ascii="Times New Roman" w:eastAsia="Times New Roman" w:hAnsi="Times New Roman"/>
                <w:sz w:val="20"/>
                <w:szCs w:val="20"/>
                <w:lang w:eastAsia="lt-LT"/>
              </w:rPr>
              <w:t>m</w:t>
            </w:r>
            <w:r w:rsidRPr="00A32448">
              <w:rPr>
                <w:rFonts w:ascii="Times New Roman" w:eastAsia="Times New Roman" w:hAnsi="Times New Roman"/>
                <w:sz w:val="20"/>
                <w:szCs w:val="20"/>
                <w:vertAlign w:val="superscript"/>
                <w:lang w:eastAsia="lt-LT"/>
              </w:rPr>
              <w:t>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FAD6"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C5CE23"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2.702</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821239"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7.404</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01D1C7"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13.033</w:t>
            </w:r>
          </w:p>
        </w:tc>
      </w:tr>
      <w:tr w:rsidR="00FD352D" w:rsidRPr="006B7FAD" w14:paraId="28DE17FA" w14:textId="77777777" w:rsidTr="00910123">
        <w:tc>
          <w:tcPr>
            <w:tcW w:w="580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B5EC7" w14:textId="77777777" w:rsidR="00FD352D" w:rsidRPr="006B7FAD" w:rsidRDefault="00FD352D" w:rsidP="00910123">
            <w:pPr>
              <w:spacing w:line="240" w:lineRule="auto"/>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R13. Renovuotų pastatų plotas</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679" w14:textId="77777777" w:rsidR="00FD352D" w:rsidRPr="006B7FAD" w:rsidRDefault="00FD352D" w:rsidP="00910123">
            <w:pPr>
              <w:spacing w:line="240" w:lineRule="auto"/>
              <w:ind w:right="-108"/>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proc.</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1F554D"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0%</w:t>
            </w:r>
          </w:p>
        </w:tc>
        <w:tc>
          <w:tcPr>
            <w:tcW w:w="9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18408A"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9%</w:t>
            </w:r>
          </w:p>
        </w:tc>
        <w:tc>
          <w:tcPr>
            <w:tcW w:w="8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70D89B"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23%</w:t>
            </w:r>
          </w:p>
        </w:tc>
        <w:tc>
          <w:tcPr>
            <w:tcW w:w="7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32907E" w14:textId="77777777" w:rsidR="00FD352D" w:rsidRPr="006B7FAD" w:rsidRDefault="00FD352D" w:rsidP="00910123">
            <w:pPr>
              <w:spacing w:line="240" w:lineRule="auto"/>
              <w:jc w:val="center"/>
              <w:rPr>
                <w:rFonts w:ascii="Times New Roman" w:eastAsia="Times New Roman" w:hAnsi="Times New Roman"/>
                <w:sz w:val="20"/>
                <w:szCs w:val="20"/>
                <w:lang w:eastAsia="lt-LT"/>
              </w:rPr>
            </w:pPr>
            <w:r w:rsidRPr="006B7FAD">
              <w:rPr>
                <w:rFonts w:ascii="Times New Roman" w:eastAsia="Times New Roman" w:hAnsi="Times New Roman"/>
                <w:sz w:val="20"/>
                <w:szCs w:val="20"/>
                <w:lang w:eastAsia="lt-LT"/>
              </w:rPr>
              <w:t>41%</w:t>
            </w:r>
          </w:p>
        </w:tc>
      </w:tr>
    </w:tbl>
    <w:p w14:paraId="5EE4CA09" w14:textId="40933927" w:rsidR="00774427" w:rsidRPr="00650EE4" w:rsidRDefault="00774427"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66CDAE0F" w14:textId="77777777" w:rsidR="00222643" w:rsidRPr="00650EE4" w:rsidRDefault="00222643" w:rsidP="00222643">
      <w:pPr>
        <w:rPr>
          <w:rFonts w:ascii="Times New Roman" w:hAnsi="Times New Roman"/>
          <w:szCs w:val="22"/>
        </w:rPr>
      </w:pPr>
    </w:p>
    <w:p w14:paraId="7B9B7127" w14:textId="77777777" w:rsidR="00222643" w:rsidRPr="00650EE4" w:rsidRDefault="00222643" w:rsidP="00222643">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550E11A" w14:textId="54885A5C"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 xml:space="preserve">lanuojamu laikotarpiu bus siekiama renovuoti </w:t>
      </w:r>
      <w:r w:rsidR="00FD454E" w:rsidRPr="00650EE4">
        <w:rPr>
          <w:rFonts w:ascii="Times New Roman" w:hAnsi="Times New Roman"/>
          <w:szCs w:val="22"/>
        </w:rPr>
        <w:t>beveik 19</w:t>
      </w:r>
      <w:r w:rsidR="00222643" w:rsidRPr="00650EE4">
        <w:rPr>
          <w:rFonts w:ascii="Times New Roman" w:hAnsi="Times New Roman"/>
          <w:szCs w:val="22"/>
        </w:rPr>
        <w:t xml:space="preserve"> tūkst. pastatų;</w:t>
      </w:r>
    </w:p>
    <w:p w14:paraId="5AD866B4" w14:textId="409902C7"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95580D" w:rsidRPr="00650EE4">
        <w:rPr>
          <w:rFonts w:ascii="Times New Roman" w:hAnsi="Times New Roman"/>
          <w:szCs w:val="22"/>
        </w:rPr>
        <w:t>ramonės</w:t>
      </w:r>
      <w:r w:rsidR="00B67D51" w:rsidRPr="00650EE4">
        <w:rPr>
          <w:rFonts w:ascii="Times New Roman" w:hAnsi="Times New Roman"/>
          <w:szCs w:val="22"/>
        </w:rPr>
        <w:t xml:space="preserve"> pastatai</w:t>
      </w:r>
      <w:r w:rsidR="00222643" w:rsidRPr="00650EE4">
        <w:rPr>
          <w:rFonts w:ascii="Times New Roman" w:hAnsi="Times New Roman"/>
          <w:szCs w:val="22"/>
        </w:rPr>
        <w:t xml:space="preserve"> sudarys tik </w:t>
      </w:r>
      <w:r w:rsidR="00C078AA" w:rsidRPr="00650EE4">
        <w:rPr>
          <w:rFonts w:ascii="Times New Roman" w:hAnsi="Times New Roman"/>
          <w:szCs w:val="22"/>
        </w:rPr>
        <w:t>4</w:t>
      </w:r>
      <w:r w:rsidR="00222643" w:rsidRPr="00650EE4">
        <w:rPr>
          <w:rFonts w:ascii="Times New Roman" w:hAnsi="Times New Roman"/>
          <w:szCs w:val="22"/>
        </w:rPr>
        <w:t xml:space="preserve"> proc. visų renovuojamų pastatų skaičiaus (</w:t>
      </w:r>
      <w:r w:rsidR="00C078AA" w:rsidRPr="00650EE4">
        <w:rPr>
          <w:rFonts w:ascii="Times New Roman" w:hAnsi="Times New Roman"/>
          <w:szCs w:val="22"/>
        </w:rPr>
        <w:t>12</w:t>
      </w:r>
      <w:r w:rsidR="00222643" w:rsidRPr="00650EE4">
        <w:rPr>
          <w:rFonts w:ascii="Times New Roman" w:hAnsi="Times New Roman"/>
          <w:szCs w:val="22"/>
        </w:rPr>
        <w:t xml:space="preserve"> proc. ploto) ir pasieks </w:t>
      </w:r>
      <w:r w:rsidR="00852ADB" w:rsidRPr="00650EE4">
        <w:rPr>
          <w:rFonts w:ascii="Times New Roman" w:hAnsi="Times New Roman"/>
          <w:szCs w:val="22"/>
        </w:rPr>
        <w:t>1</w:t>
      </w:r>
      <w:r w:rsidR="00FD352D">
        <w:rPr>
          <w:rFonts w:ascii="Times New Roman" w:hAnsi="Times New Roman"/>
          <w:szCs w:val="22"/>
        </w:rPr>
        <w:t>6</w:t>
      </w:r>
      <w:r w:rsidR="00222643" w:rsidRPr="00650EE4">
        <w:rPr>
          <w:rFonts w:ascii="Times New Roman" w:hAnsi="Times New Roman"/>
          <w:szCs w:val="22"/>
        </w:rPr>
        <w:t xml:space="preserve"> proc. pirminės energijos ir </w:t>
      </w:r>
      <w:r w:rsidR="00852ADB" w:rsidRPr="00650EE4">
        <w:rPr>
          <w:rFonts w:ascii="Times New Roman" w:hAnsi="Times New Roman"/>
          <w:szCs w:val="22"/>
        </w:rPr>
        <w:t>2</w:t>
      </w:r>
      <w:r w:rsidR="00FD352D">
        <w:rPr>
          <w:rFonts w:ascii="Times New Roman" w:hAnsi="Times New Roman"/>
          <w:szCs w:val="22"/>
        </w:rPr>
        <w:t>2</w:t>
      </w:r>
      <w:r w:rsidR="00222643" w:rsidRPr="00650EE4">
        <w:rPr>
          <w:rFonts w:ascii="Times New Roman" w:hAnsi="Times New Roman"/>
          <w:szCs w:val="22"/>
        </w:rPr>
        <w:t xml:space="preserve"> proc. CO</w:t>
      </w:r>
      <w:r w:rsidR="00222643" w:rsidRPr="00650EE4">
        <w:rPr>
          <w:rFonts w:ascii="Times New Roman" w:hAnsi="Times New Roman"/>
          <w:szCs w:val="22"/>
          <w:vertAlign w:val="subscript"/>
        </w:rPr>
        <w:t>2</w:t>
      </w:r>
      <w:r w:rsidR="00222643" w:rsidRPr="00650EE4">
        <w:rPr>
          <w:rFonts w:ascii="Times New Roman" w:hAnsi="Times New Roman"/>
          <w:szCs w:val="22"/>
        </w:rPr>
        <w:t xml:space="preserve"> emisijų sutaupymų;</w:t>
      </w:r>
    </w:p>
    <w:p w14:paraId="3AE8F370" w14:textId="2BDDFC99"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o renovacijos</w:t>
      </w:r>
      <w:r w:rsidR="00FD352D">
        <w:rPr>
          <w:rFonts w:ascii="Times New Roman" w:hAnsi="Times New Roman"/>
          <w:szCs w:val="22"/>
        </w:rPr>
        <w:t xml:space="preserve"> ir energetikos sektoriaus transformacijos</w:t>
      </w:r>
      <w:r w:rsidR="00222643" w:rsidRPr="00650EE4">
        <w:rPr>
          <w:rFonts w:ascii="Times New Roman" w:hAnsi="Times New Roman"/>
          <w:szCs w:val="22"/>
        </w:rPr>
        <w:t xml:space="preserve"> pirminės energijos vartojimas sumažės </w:t>
      </w:r>
      <w:r w:rsidR="00FD352D">
        <w:rPr>
          <w:rFonts w:ascii="Times New Roman" w:hAnsi="Times New Roman"/>
          <w:szCs w:val="22"/>
        </w:rPr>
        <w:t>55</w:t>
      </w:r>
      <w:r w:rsidR="00222643" w:rsidRPr="00650EE4">
        <w:rPr>
          <w:rFonts w:ascii="Times New Roman" w:hAnsi="Times New Roman"/>
          <w:szCs w:val="22"/>
        </w:rPr>
        <w:t xml:space="preserve"> proc. (neefektyviausių pastatų – </w:t>
      </w:r>
      <w:r w:rsidR="00FD352D">
        <w:rPr>
          <w:rFonts w:ascii="Times New Roman" w:hAnsi="Times New Roman"/>
          <w:szCs w:val="22"/>
        </w:rPr>
        <w:t>69</w:t>
      </w:r>
      <w:r w:rsidR="00222643" w:rsidRPr="00650EE4">
        <w:rPr>
          <w:rFonts w:ascii="Times New Roman" w:hAnsi="Times New Roman"/>
          <w:szCs w:val="22"/>
        </w:rPr>
        <w:t xml:space="preserve"> proc.);</w:t>
      </w:r>
    </w:p>
    <w:p w14:paraId="15CFE6AF" w14:textId="0E7ED213" w:rsidR="00222643" w:rsidRPr="00650EE4" w:rsidRDefault="00206096" w:rsidP="00477E09">
      <w:pPr>
        <w:pStyle w:val="Pagrindinispaprastastekstas"/>
        <w:numPr>
          <w:ilvl w:val="0"/>
          <w:numId w:val="13"/>
        </w:numPr>
        <w:rPr>
          <w:rFonts w:ascii="Times New Roman" w:hAnsi="Times New Roman"/>
          <w:szCs w:val="22"/>
        </w:rPr>
      </w:pPr>
      <w:r>
        <w:rPr>
          <w:rFonts w:ascii="Times New Roman" w:hAnsi="Times New Roman"/>
          <w:szCs w:val="22"/>
        </w:rPr>
        <w:t>p</w:t>
      </w:r>
      <w:r w:rsidR="00222643" w:rsidRPr="00650EE4">
        <w:rPr>
          <w:rFonts w:ascii="Times New Roman" w:hAnsi="Times New Roman"/>
          <w:szCs w:val="22"/>
        </w:rPr>
        <w:t xml:space="preserve">o renovacijos </w:t>
      </w:r>
      <w:r w:rsidR="00FD352D">
        <w:rPr>
          <w:rFonts w:ascii="Times New Roman" w:hAnsi="Times New Roman"/>
          <w:szCs w:val="22"/>
        </w:rPr>
        <w:t>ir energetikos sektoriaus transformacijos</w:t>
      </w:r>
      <w:r w:rsidR="00FD352D" w:rsidRPr="00650EE4">
        <w:rPr>
          <w:rFonts w:ascii="Times New Roman" w:hAnsi="Times New Roman"/>
          <w:szCs w:val="22"/>
        </w:rPr>
        <w:t xml:space="preserve"> </w:t>
      </w:r>
      <w:r w:rsidR="00222643" w:rsidRPr="00650EE4">
        <w:rPr>
          <w:rFonts w:ascii="Times New Roman" w:hAnsi="Times New Roman"/>
          <w:szCs w:val="22"/>
        </w:rPr>
        <w:t>CO</w:t>
      </w:r>
      <w:r w:rsidR="00222643" w:rsidRPr="00650EE4">
        <w:rPr>
          <w:rFonts w:ascii="Times New Roman" w:hAnsi="Times New Roman"/>
          <w:szCs w:val="22"/>
          <w:vertAlign w:val="subscript"/>
        </w:rPr>
        <w:t>2</w:t>
      </w:r>
      <w:r w:rsidR="00222643" w:rsidRPr="00650EE4">
        <w:rPr>
          <w:rFonts w:ascii="Times New Roman" w:hAnsi="Times New Roman"/>
          <w:szCs w:val="22"/>
        </w:rPr>
        <w:t xml:space="preserve"> emisijos sumažės </w:t>
      </w:r>
      <w:r w:rsidR="00FD352D">
        <w:rPr>
          <w:rFonts w:ascii="Times New Roman" w:hAnsi="Times New Roman"/>
          <w:szCs w:val="22"/>
        </w:rPr>
        <w:t>100</w:t>
      </w:r>
      <w:r w:rsidR="00222643" w:rsidRPr="00650EE4">
        <w:rPr>
          <w:rFonts w:ascii="Times New Roman" w:hAnsi="Times New Roman"/>
          <w:szCs w:val="22"/>
        </w:rPr>
        <w:t xml:space="preserve"> proc.</w:t>
      </w:r>
    </w:p>
    <w:p w14:paraId="63D176A1" w14:textId="77777777" w:rsidR="00222643" w:rsidRDefault="00222643" w:rsidP="00222643">
      <w:pPr>
        <w:rPr>
          <w:rFonts w:ascii="Times New Roman" w:hAnsi="Times New Roman"/>
          <w:szCs w:val="22"/>
        </w:rPr>
      </w:pPr>
    </w:p>
    <w:p w14:paraId="2142B04A" w14:textId="77777777" w:rsidR="00FD352D" w:rsidRPr="00650EE4" w:rsidRDefault="00FD352D" w:rsidP="00FD352D">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būtų pasiekti tiksliniai rodikliai, reikės atnaujinti bent po </w:t>
      </w:r>
      <w:r>
        <w:rPr>
          <w:rFonts w:ascii="Times New Roman" w:hAnsi="Times New Roman"/>
          <w:color w:val="000000" w:themeColor="text1"/>
          <w:szCs w:val="22"/>
        </w:rPr>
        <w:t>30</w:t>
      </w:r>
      <w:r w:rsidRPr="00650EE4">
        <w:rPr>
          <w:rFonts w:ascii="Times New Roman" w:hAnsi="Times New Roman"/>
          <w:color w:val="000000" w:themeColor="text1"/>
          <w:szCs w:val="22"/>
        </w:rPr>
        <w:t>0 pramonės pastatų 2021-202</w:t>
      </w:r>
      <w:r>
        <w:rPr>
          <w:rFonts w:ascii="Times New Roman" w:hAnsi="Times New Roman"/>
          <w:color w:val="000000" w:themeColor="text1"/>
          <w:szCs w:val="22"/>
        </w:rPr>
        <w:t>3</w:t>
      </w:r>
      <w:r w:rsidRPr="00650EE4">
        <w:rPr>
          <w:rFonts w:ascii="Times New Roman" w:hAnsi="Times New Roman"/>
          <w:color w:val="000000" w:themeColor="text1"/>
          <w:szCs w:val="22"/>
        </w:rPr>
        <w:t xml:space="preserve"> metais, vėliau kasmet didinant renovacijos tempą bent po </w:t>
      </w:r>
      <w:r>
        <w:rPr>
          <w:rFonts w:ascii="Times New Roman" w:hAnsi="Times New Roman"/>
          <w:color w:val="000000" w:themeColor="text1"/>
          <w:szCs w:val="22"/>
        </w:rPr>
        <w:t>3</w:t>
      </w:r>
      <w:r w:rsidRPr="00650EE4">
        <w:rPr>
          <w:rFonts w:ascii="Times New Roman" w:hAnsi="Times New Roman"/>
          <w:color w:val="000000" w:themeColor="text1"/>
          <w:szCs w:val="22"/>
        </w:rPr>
        <w:t>0 pastatų, siekiant 20</w:t>
      </w:r>
      <w:r>
        <w:rPr>
          <w:rFonts w:ascii="Times New Roman" w:hAnsi="Times New Roman"/>
          <w:color w:val="000000" w:themeColor="text1"/>
          <w:szCs w:val="22"/>
        </w:rPr>
        <w:t>40</w:t>
      </w:r>
      <w:r w:rsidRPr="00650EE4">
        <w:rPr>
          <w:rFonts w:ascii="Times New Roman" w:hAnsi="Times New Roman"/>
          <w:color w:val="000000" w:themeColor="text1"/>
          <w:szCs w:val="22"/>
        </w:rPr>
        <w:t xml:space="preserve"> m. pasiekti </w:t>
      </w:r>
      <w:r>
        <w:rPr>
          <w:rFonts w:ascii="Times New Roman" w:hAnsi="Times New Roman"/>
          <w:color w:val="000000" w:themeColor="text1"/>
          <w:szCs w:val="22"/>
        </w:rPr>
        <w:t xml:space="preserve">virš </w:t>
      </w:r>
      <w:r w:rsidRPr="00650EE4">
        <w:rPr>
          <w:rFonts w:ascii="Times New Roman" w:hAnsi="Times New Roman"/>
          <w:color w:val="000000" w:themeColor="text1"/>
          <w:szCs w:val="22"/>
        </w:rPr>
        <w:t>8</w:t>
      </w:r>
      <w:r>
        <w:rPr>
          <w:rFonts w:ascii="Times New Roman" w:hAnsi="Times New Roman"/>
          <w:color w:val="000000" w:themeColor="text1"/>
          <w:szCs w:val="22"/>
        </w:rPr>
        <w:t>0</w:t>
      </w:r>
      <w:r w:rsidRPr="00650EE4">
        <w:rPr>
          <w:rFonts w:ascii="Times New Roman" w:hAnsi="Times New Roman"/>
          <w:color w:val="000000" w:themeColor="text1"/>
          <w:szCs w:val="22"/>
        </w:rPr>
        <w:t>0 per metus renovuojamų pastatų skaičių.</w:t>
      </w:r>
    </w:p>
    <w:p w14:paraId="0208480B" w14:textId="77777777" w:rsidR="00212F3D" w:rsidRPr="00650EE4" w:rsidRDefault="00212F3D" w:rsidP="00222643">
      <w:pPr>
        <w:jc w:val="both"/>
        <w:rPr>
          <w:rFonts w:ascii="Times New Roman" w:hAnsi="Times New Roman"/>
          <w:color w:val="000000" w:themeColor="text1"/>
          <w:szCs w:val="22"/>
        </w:rPr>
      </w:pPr>
    </w:p>
    <w:p w14:paraId="2D62310C" w14:textId="489B0957" w:rsidR="006E0686" w:rsidRPr="00650EE4" w:rsidRDefault="006E0686"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185" w:name="_Toc59094275"/>
      <w:r w:rsidR="00F25C65">
        <w:t>26</w:t>
      </w:r>
      <w:r w:rsidRPr="00650EE4">
        <w:rPr>
          <w:noProof w:val="0"/>
        </w:rPr>
        <w:fldChar w:fldCharType="end"/>
      </w:r>
      <w:r w:rsidRPr="00650EE4">
        <w:rPr>
          <w:noProof w:val="0"/>
        </w:rPr>
        <w:t xml:space="preserve"> paveikslas. Pramonės pastatų renovacijos tempai</w:t>
      </w:r>
      <w:bookmarkEnd w:id="185"/>
    </w:p>
    <w:p w14:paraId="2B007021" w14:textId="4BE1692D" w:rsidR="006E0686" w:rsidRPr="00650EE4" w:rsidRDefault="00FD352D" w:rsidP="00ED3BBC">
      <w:pPr>
        <w:pStyle w:val="TESlentelspavadinimas"/>
        <w:rPr>
          <w:noProof w:val="0"/>
        </w:rPr>
      </w:pPr>
      <w:r w:rsidRPr="00650EE4">
        <w:rPr>
          <w:lang w:eastAsia="lt-LT"/>
        </w:rPr>
        <w:drawing>
          <wp:inline distT="0" distB="0" distL="0" distR="0" wp14:anchorId="218CBBEA" wp14:editId="71AAC59C">
            <wp:extent cx="6479540" cy="2025015"/>
            <wp:effectExtent l="0" t="0" r="16510" b="13335"/>
            <wp:docPr id="77" name="Chart 7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21967CF-DD5D-4B39-A193-58DA3EB319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ADA6280" w14:textId="24DEF328" w:rsidR="006E0686" w:rsidRPr="00650EE4" w:rsidRDefault="006E0686"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43C511E6" w14:textId="77777777" w:rsidR="006D02E1" w:rsidRPr="00650EE4" w:rsidRDefault="006D02E1" w:rsidP="006D02E1">
      <w:pPr>
        <w:pStyle w:val="Pagrindinispaprastastekstas"/>
        <w:rPr>
          <w:rFonts w:ascii="Times New Roman" w:hAnsi="Times New Roman"/>
        </w:rPr>
      </w:pPr>
    </w:p>
    <w:p w14:paraId="7A4C8BE1" w14:textId="29D7BF62" w:rsidR="006D02E1" w:rsidRPr="00650EE4" w:rsidRDefault="00284BCA" w:rsidP="006D02E1">
      <w:pPr>
        <w:pStyle w:val="Pagrindinispaprastastekstas"/>
        <w:rPr>
          <w:rFonts w:ascii="Times New Roman" w:hAnsi="Times New Roman"/>
        </w:rPr>
      </w:pPr>
      <w:r w:rsidRPr="00650EE4">
        <w:rPr>
          <w:rFonts w:ascii="Times New Roman" w:hAnsi="Times New Roman"/>
        </w:rPr>
        <w:t>Pramonės</w:t>
      </w:r>
      <w:r w:rsidR="006D02E1" w:rsidRPr="00650EE4">
        <w:rPr>
          <w:rFonts w:ascii="Times New Roman" w:hAnsi="Times New Roman"/>
        </w:rPr>
        <w:t xml:space="preserve"> paskirties pastatų renovacijos tempų prognozė pagrįsta planuojamomis paramos priemonėmis, orientuotomis į </w:t>
      </w:r>
      <w:r w:rsidR="00DE35B2" w:rsidRPr="00650EE4">
        <w:rPr>
          <w:rFonts w:ascii="Times New Roman" w:hAnsi="Times New Roman"/>
        </w:rPr>
        <w:t xml:space="preserve">energinio </w:t>
      </w:r>
      <w:r w:rsidR="00421BC2" w:rsidRPr="00650EE4">
        <w:rPr>
          <w:rFonts w:ascii="Times New Roman" w:hAnsi="Times New Roman"/>
        </w:rPr>
        <w:t>naudingumo</w:t>
      </w:r>
      <w:r w:rsidR="00DE35B2" w:rsidRPr="00650EE4">
        <w:rPr>
          <w:rFonts w:ascii="Times New Roman" w:hAnsi="Times New Roman"/>
        </w:rPr>
        <w:t xml:space="preserve"> reikalavimų nustatymą rekonstruojamiems pastatams</w:t>
      </w:r>
      <w:r w:rsidR="006D02E1" w:rsidRPr="00650EE4">
        <w:rPr>
          <w:rFonts w:ascii="Times New Roman" w:hAnsi="Times New Roman"/>
        </w:rPr>
        <w:t xml:space="preserve"> ir </w:t>
      </w:r>
      <w:proofErr w:type="spellStart"/>
      <w:r w:rsidR="006D02E1" w:rsidRPr="00650EE4">
        <w:rPr>
          <w:rFonts w:ascii="Times New Roman" w:hAnsi="Times New Roman"/>
        </w:rPr>
        <w:t>kvartalinę</w:t>
      </w:r>
      <w:proofErr w:type="spellEnd"/>
      <w:r w:rsidR="006D02E1" w:rsidRPr="00650EE4">
        <w:rPr>
          <w:rFonts w:ascii="Times New Roman" w:hAnsi="Times New Roman"/>
        </w:rPr>
        <w:t xml:space="preserve"> renovaciją</w:t>
      </w:r>
      <w:r w:rsidR="00D6777C" w:rsidRPr="00650EE4">
        <w:rPr>
          <w:rFonts w:ascii="Times New Roman" w:hAnsi="Times New Roman"/>
        </w:rPr>
        <w:t xml:space="preserve"> (miestuose)</w:t>
      </w:r>
      <w:r w:rsidR="006D02E1" w:rsidRPr="00650EE4">
        <w:rPr>
          <w:rFonts w:ascii="Times New Roman" w:hAnsi="Times New Roman"/>
        </w:rPr>
        <w:t xml:space="preserve"> (žr. </w:t>
      </w:r>
      <w:r w:rsidR="00436287">
        <w:rPr>
          <w:rFonts w:ascii="Times New Roman" w:hAnsi="Times New Roman"/>
        </w:rPr>
        <w:t>6</w:t>
      </w:r>
      <w:r w:rsidR="006D02E1" w:rsidRPr="00650EE4">
        <w:rPr>
          <w:rFonts w:ascii="Times New Roman" w:hAnsi="Times New Roman"/>
        </w:rPr>
        <w:t>.</w:t>
      </w:r>
      <w:r w:rsidR="00FD352D">
        <w:rPr>
          <w:rFonts w:ascii="Times New Roman" w:hAnsi="Times New Roman"/>
        </w:rPr>
        <w:t>2</w:t>
      </w:r>
      <w:r w:rsidR="006D02E1" w:rsidRPr="00650EE4">
        <w:rPr>
          <w:rFonts w:ascii="Times New Roman" w:hAnsi="Times New Roman"/>
        </w:rPr>
        <w:t xml:space="preserve"> skyrių).</w:t>
      </w:r>
    </w:p>
    <w:p w14:paraId="57360500" w14:textId="77777777" w:rsidR="004C28AF" w:rsidRPr="00650EE4" w:rsidRDefault="004C28AF" w:rsidP="006D02E1">
      <w:pPr>
        <w:pStyle w:val="Pagrindinispaprastastekstas"/>
        <w:rPr>
          <w:rFonts w:ascii="Times New Roman" w:hAnsi="Times New Roman"/>
        </w:rPr>
      </w:pPr>
    </w:p>
    <w:p w14:paraId="6E9EB07E" w14:textId="77777777" w:rsidR="004C28AF" w:rsidRPr="00650EE4" w:rsidRDefault="004C28AF" w:rsidP="006D02E1">
      <w:pPr>
        <w:pStyle w:val="Pagrindinispaprastastekstas"/>
        <w:rPr>
          <w:rFonts w:ascii="Times New Roman" w:hAnsi="Times New Roman"/>
        </w:rPr>
      </w:pPr>
    </w:p>
    <w:p w14:paraId="68C903AF" w14:textId="77777777" w:rsidR="002C19B7" w:rsidRPr="00650EE4" w:rsidRDefault="002C19B7">
      <w:pPr>
        <w:spacing w:after="240"/>
        <w:rPr>
          <w:rFonts w:ascii="Times New Roman" w:eastAsia="Times New Roman" w:hAnsi="Times New Roman"/>
          <w:b/>
          <w:bCs/>
          <w:caps/>
          <w:color w:val="auto"/>
          <w:kern w:val="32"/>
          <w:sz w:val="24"/>
          <w:szCs w:val="24"/>
        </w:rPr>
      </w:pPr>
      <w:r w:rsidRPr="00650EE4">
        <w:rPr>
          <w:rFonts w:ascii="Times New Roman" w:hAnsi="Times New Roman"/>
          <w:color w:val="auto"/>
          <w:sz w:val="24"/>
          <w:szCs w:val="24"/>
        </w:rPr>
        <w:br w:type="page"/>
      </w:r>
    </w:p>
    <w:p w14:paraId="3FAB68FA" w14:textId="4706BE8D" w:rsidR="00D867C4" w:rsidRPr="00650EE4" w:rsidRDefault="001657FA" w:rsidP="0019694C">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86" w:name="_Toc59107566"/>
      <w:r w:rsidRPr="00650EE4">
        <w:rPr>
          <w:rFonts w:ascii="Times New Roman" w:hAnsi="Times New Roman"/>
          <w:color w:val="auto"/>
          <w:sz w:val="24"/>
          <w:szCs w:val="24"/>
          <w:lang w:val="lt-LT"/>
        </w:rPr>
        <w:lastRenderedPageBreak/>
        <w:t>Strategijos</w:t>
      </w:r>
      <w:r w:rsidR="0036191F" w:rsidRPr="00650EE4">
        <w:rPr>
          <w:rFonts w:ascii="Times New Roman" w:hAnsi="Times New Roman"/>
          <w:color w:val="auto"/>
          <w:sz w:val="24"/>
          <w:szCs w:val="24"/>
          <w:lang w:val="lt-LT"/>
        </w:rPr>
        <w:t xml:space="preserve"> </w:t>
      </w:r>
      <w:r w:rsidRPr="00650EE4">
        <w:rPr>
          <w:rFonts w:ascii="Times New Roman" w:hAnsi="Times New Roman"/>
          <w:color w:val="auto"/>
          <w:sz w:val="24"/>
          <w:szCs w:val="24"/>
          <w:lang w:val="lt-LT"/>
        </w:rPr>
        <w:t>įgyvendinimo</w:t>
      </w:r>
      <w:r w:rsidR="0036191F" w:rsidRPr="00650EE4">
        <w:rPr>
          <w:rFonts w:ascii="Times New Roman" w:hAnsi="Times New Roman"/>
          <w:color w:val="auto"/>
          <w:sz w:val="24"/>
          <w:szCs w:val="24"/>
          <w:lang w:val="lt-LT"/>
        </w:rPr>
        <w:t xml:space="preserve"> </w:t>
      </w:r>
      <w:r w:rsidR="003F57F0" w:rsidRPr="00650EE4">
        <w:rPr>
          <w:rFonts w:ascii="Times New Roman" w:hAnsi="Times New Roman"/>
          <w:color w:val="auto"/>
          <w:sz w:val="24"/>
          <w:szCs w:val="24"/>
          <w:lang w:val="lt-LT"/>
        </w:rPr>
        <w:t xml:space="preserve">tiesioginės ir </w:t>
      </w:r>
      <w:r w:rsidRPr="00650EE4">
        <w:rPr>
          <w:rFonts w:ascii="Times New Roman" w:hAnsi="Times New Roman"/>
          <w:color w:val="auto"/>
          <w:sz w:val="24"/>
          <w:szCs w:val="24"/>
          <w:lang w:val="lt-LT"/>
        </w:rPr>
        <w:t>platesnio masto naudos</w:t>
      </w:r>
      <w:bookmarkEnd w:id="186"/>
      <w:r w:rsidR="00D867C4" w:rsidRPr="00650EE4">
        <w:rPr>
          <w:rFonts w:ascii="Times New Roman" w:hAnsi="Times New Roman"/>
          <w:color w:val="auto"/>
          <w:sz w:val="24"/>
          <w:szCs w:val="24"/>
          <w:lang w:val="lt-LT"/>
        </w:rPr>
        <w:t xml:space="preserve"> </w:t>
      </w:r>
    </w:p>
    <w:p w14:paraId="72E57ADE" w14:textId="31BA87B4" w:rsidR="00D867C4" w:rsidRPr="00650EE4" w:rsidRDefault="00E7695C" w:rsidP="00D867C4">
      <w:pPr>
        <w:spacing w:after="240"/>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5BF4D217" wp14:editId="339291DA">
                <wp:extent cx="6479540" cy="586853"/>
                <wp:effectExtent l="0" t="0" r="0" b="381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586853"/>
                        </a:xfrm>
                        <a:prstGeom prst="rect">
                          <a:avLst/>
                        </a:prstGeom>
                        <a:solidFill>
                          <a:schemeClr val="bg1">
                            <a:lumMod val="85000"/>
                          </a:schemeClr>
                        </a:solidFill>
                        <a:ln>
                          <a:noFill/>
                        </a:ln>
                      </wps:spPr>
                      <wps:txbx>
                        <w:txbxContent>
                          <w:p w14:paraId="51DD4C07" w14:textId="1C626A4E" w:rsidR="003E0C4E" w:rsidRPr="00445553" w:rsidRDefault="003E0C4E" w:rsidP="00E7695C">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g</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s </w:t>
                            </w:r>
                            <w:r w:rsidRPr="00EB20A1">
                              <w:rPr>
                                <w:rFonts w:ascii="Times New Roman" w:hAnsi="Times New Roman" w:cs="Times New Roman"/>
                                <w:bCs/>
                                <w:color w:val="000000" w:themeColor="text1"/>
                                <w:sz w:val="22"/>
                              </w:rPr>
                              <w:t>įrodymais pagrįstas numatomos sutaupyti energijos ir platesnio masto naudos, kaip antai, susijusios su sveikata, sauga ir oro kokybe, įvertinimas.</w:t>
                            </w:r>
                            <w:r>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40" o:spid="_x0000_s1037" type="#_x0000_t202" style="width:510.2pt;height:4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" fillcolor="#d8d8d8 [2732]" stroked="f">
                <v:textbox>
                  <w:txbxContent>
                    <w:p w14:paraId="51DD4C07" w14:textId="1C626A4E" w:rsidR="003E0C4E" w:rsidRPr="00445553" w:rsidRDefault="003E0C4E" w:rsidP="00E7695C">
                      <w:pPr>
                        <w:pStyle w:val="Text"/>
                        <w:spacing w:after="120" w:line="240" w:lineRule="auto"/>
                        <w:ind w:left="0" w:right="0"/>
                        <w:rPr>
                          <w:rFonts w:ascii="Times New Roman" w:hAnsi="Times New Roman" w:cs="Times New Roman"/>
                          <w:bCs/>
                          <w:i/>
                          <w:iCs/>
                          <w:color w:val="000000" w:themeColor="text1"/>
                          <w:sz w:val="22"/>
                        </w:rPr>
                      </w:pPr>
                      <w:r>
                        <w:rPr>
                          <w:rFonts w:ascii="Times New Roman" w:hAnsi="Times New Roman" w:cs="Times New Roman"/>
                          <w:bCs/>
                          <w:color w:val="000000" w:themeColor="text1"/>
                          <w:sz w:val="22"/>
                        </w:rPr>
                        <w:t>PEND 2a straipsnio 1 dalies g</w:t>
                      </w:r>
                      <w:r w:rsidRPr="00445553">
                        <w:rPr>
                          <w:rFonts w:ascii="Times New Roman" w:hAnsi="Times New Roman" w:cs="Times New Roman"/>
                          <w:bCs/>
                          <w:color w:val="000000" w:themeColor="text1"/>
                          <w:sz w:val="22"/>
                        </w:rPr>
                        <w:t xml:space="preserve"> punkte numatyta, </w:t>
                      </w:r>
                      <w:r>
                        <w:rPr>
                          <w:rFonts w:ascii="Times New Roman" w:hAnsi="Times New Roman" w:cs="Times New Roman"/>
                          <w:bCs/>
                          <w:color w:val="000000" w:themeColor="text1"/>
                          <w:sz w:val="22"/>
                        </w:rPr>
                        <w:t xml:space="preserve">kad „į </w:t>
                      </w:r>
                      <w:r w:rsidRPr="00E205BA">
                        <w:rPr>
                          <w:rFonts w:ascii="Times New Roman" w:hAnsi="Times New Roman" w:cs="Times New Roman"/>
                          <w:bCs/>
                          <w:color w:val="000000" w:themeColor="text1"/>
                          <w:sz w:val="22"/>
                        </w:rPr>
                        <w:t>kiekvieną ilgalaikę renovacijos strategiją įtraukiama</w:t>
                      </w:r>
                      <w:r>
                        <w:rPr>
                          <w:rFonts w:ascii="Times New Roman" w:hAnsi="Times New Roman" w:cs="Times New Roman"/>
                          <w:bCs/>
                          <w:color w:val="000000" w:themeColor="text1"/>
                          <w:sz w:val="22"/>
                        </w:rPr>
                        <w:t xml:space="preserve">s </w:t>
                      </w:r>
                      <w:r w:rsidRPr="00EB20A1">
                        <w:rPr>
                          <w:rFonts w:ascii="Times New Roman" w:hAnsi="Times New Roman" w:cs="Times New Roman"/>
                          <w:bCs/>
                          <w:color w:val="000000" w:themeColor="text1"/>
                          <w:sz w:val="22"/>
                        </w:rPr>
                        <w:t>įrodymais pagrįstas numatomos sutaupyti energijos ir platesnio masto naudos, kaip antai, susijusios su sveikata, sauga ir oro kokybe, įvertinimas.</w:t>
                      </w:r>
                      <w:r>
                        <w:rPr>
                          <w:rFonts w:ascii="Times New Roman" w:hAnsi="Times New Roman" w:cs="Times New Roman"/>
                          <w:bCs/>
                          <w:color w:val="000000" w:themeColor="text1"/>
                          <w:sz w:val="22"/>
                        </w:rPr>
                        <w:t>“</w:t>
                      </w:r>
                    </w:p>
                  </w:txbxContent>
                </v:textbox>
                <w10:anchorlock/>
              </v:shape>
            </w:pict>
          </mc:Fallback>
        </mc:AlternateContent>
      </w:r>
    </w:p>
    <w:p w14:paraId="0A875DAB" w14:textId="24C38B94" w:rsidR="003A0129" w:rsidRPr="00650EE4" w:rsidRDefault="003A0129" w:rsidP="003A0129">
      <w:pPr>
        <w:jc w:val="both"/>
        <w:rPr>
          <w:rFonts w:ascii="Times New Roman" w:hAnsi="Times New Roman"/>
          <w:color w:val="auto"/>
          <w:szCs w:val="22"/>
        </w:rPr>
      </w:pPr>
      <w:r w:rsidRPr="00650EE4">
        <w:rPr>
          <w:rFonts w:ascii="Times New Roman" w:hAnsi="Times New Roman"/>
          <w:color w:val="auto"/>
          <w:szCs w:val="22"/>
        </w:rPr>
        <w:t>Nors strateginiai IRS tikslai akcentuoja renovacijos naudas susijusias su energijos taupymu ir ŠESD išmetimų mažinimu, pastatų renovacija kuria ir</w:t>
      </w:r>
      <w:r w:rsidR="00B04FC7" w:rsidRPr="00650EE4">
        <w:rPr>
          <w:rFonts w:ascii="Times New Roman" w:hAnsi="Times New Roman"/>
          <w:color w:val="auto"/>
          <w:szCs w:val="22"/>
        </w:rPr>
        <w:t xml:space="preserve"> kitas</w:t>
      </w:r>
      <w:r w:rsidRPr="00650EE4">
        <w:rPr>
          <w:rFonts w:ascii="Times New Roman" w:hAnsi="Times New Roman"/>
          <w:color w:val="auto"/>
          <w:szCs w:val="22"/>
        </w:rPr>
        <w:t xml:space="preserve"> reikšmingas </w:t>
      </w:r>
      <w:r w:rsidR="00B04FC7" w:rsidRPr="00650EE4">
        <w:rPr>
          <w:rFonts w:ascii="Times New Roman" w:hAnsi="Times New Roman"/>
          <w:color w:val="auto"/>
          <w:szCs w:val="22"/>
        </w:rPr>
        <w:t xml:space="preserve">naudas, tiek tiesiogines (pastatų techninės būklės pagerinimas, atstatymas), tiek netiesiogines, </w:t>
      </w:r>
      <w:r w:rsidRPr="00650EE4">
        <w:rPr>
          <w:rFonts w:ascii="Times New Roman" w:hAnsi="Times New Roman"/>
          <w:color w:val="auto"/>
          <w:szCs w:val="22"/>
        </w:rPr>
        <w:t xml:space="preserve">papildomas platesnio masto naudas. </w:t>
      </w:r>
    </w:p>
    <w:p w14:paraId="06211303" w14:textId="77777777" w:rsidR="003A0129" w:rsidRPr="00650EE4" w:rsidRDefault="003A0129" w:rsidP="003A0129">
      <w:pPr>
        <w:jc w:val="both"/>
        <w:rPr>
          <w:rFonts w:ascii="Times New Roman" w:hAnsi="Times New Roman"/>
          <w:color w:val="auto"/>
          <w:szCs w:val="22"/>
        </w:rPr>
      </w:pPr>
    </w:p>
    <w:p w14:paraId="3DE2FBCF" w14:textId="1302F111" w:rsidR="003A0129" w:rsidRPr="00650EE4" w:rsidRDefault="003A0129" w:rsidP="003A0129">
      <w:pPr>
        <w:spacing w:after="120"/>
        <w:jc w:val="both"/>
        <w:rPr>
          <w:rFonts w:ascii="Times New Roman" w:hAnsi="Times New Roman"/>
          <w:color w:val="auto"/>
          <w:szCs w:val="22"/>
        </w:rPr>
      </w:pPr>
      <w:r w:rsidRPr="00650EE4">
        <w:rPr>
          <w:rFonts w:ascii="Times New Roman" w:hAnsi="Times New Roman"/>
          <w:szCs w:val="22"/>
        </w:rPr>
        <w:t>Nors PEND nepateikia išsamaus platesnių naudų, kurią reikėtų įvertinti I</w:t>
      </w:r>
      <w:r w:rsidR="002C50C7" w:rsidRPr="00650EE4">
        <w:rPr>
          <w:rFonts w:ascii="Times New Roman" w:hAnsi="Times New Roman"/>
          <w:szCs w:val="22"/>
        </w:rPr>
        <w:t>RS, rūšių sąrašo</w:t>
      </w:r>
      <w:r w:rsidRPr="00650EE4">
        <w:rPr>
          <w:rFonts w:ascii="Times New Roman" w:hAnsi="Times New Roman"/>
          <w:szCs w:val="22"/>
        </w:rPr>
        <w:t>, ap</w:t>
      </w:r>
      <w:r w:rsidRPr="00650EE4">
        <w:rPr>
          <w:rFonts w:ascii="Times New Roman" w:hAnsi="Times New Roman"/>
          <w:color w:val="auto"/>
          <w:szCs w:val="22"/>
        </w:rPr>
        <w:t>ibendrinus studijų, nagrinėjusių pastatų renovacijos teikiamas naudas, rezultatus</w:t>
      </w:r>
      <w:r w:rsidRPr="00650EE4">
        <w:rPr>
          <w:rStyle w:val="FootnoteReference"/>
          <w:rFonts w:ascii="Times New Roman" w:hAnsi="Times New Roman"/>
          <w:color w:val="auto"/>
          <w:szCs w:val="22"/>
        </w:rPr>
        <w:footnoteReference w:id="44"/>
      </w:r>
      <w:r w:rsidR="00B04FC7" w:rsidRPr="00650EE4">
        <w:rPr>
          <w:rFonts w:ascii="Times New Roman" w:hAnsi="Times New Roman"/>
          <w:color w:val="auto"/>
          <w:szCs w:val="22"/>
        </w:rPr>
        <w:t xml:space="preserve">, </w:t>
      </w:r>
      <w:r w:rsidRPr="00650EE4">
        <w:rPr>
          <w:rFonts w:ascii="Times New Roman" w:hAnsi="Times New Roman"/>
          <w:color w:val="auto"/>
          <w:szCs w:val="22"/>
        </w:rPr>
        <w:t xml:space="preserve">visas tiesiogines ir platesnio masto pastatų renovacijos naudas galima suskirstyti į </w:t>
      </w:r>
      <w:r w:rsidR="00B04FC7" w:rsidRPr="00650EE4">
        <w:rPr>
          <w:rFonts w:ascii="Times New Roman" w:hAnsi="Times New Roman"/>
          <w:color w:val="auto"/>
          <w:szCs w:val="22"/>
        </w:rPr>
        <w:t>šias</w:t>
      </w:r>
      <w:r w:rsidRPr="00650EE4">
        <w:rPr>
          <w:rFonts w:ascii="Times New Roman" w:hAnsi="Times New Roman"/>
          <w:color w:val="auto"/>
          <w:szCs w:val="22"/>
        </w:rPr>
        <w:t xml:space="preserve"> pagrindines grupes: </w:t>
      </w:r>
    </w:p>
    <w:p w14:paraId="47E303FF" w14:textId="22FE5D02"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a</w:t>
      </w:r>
      <w:r w:rsidR="003A0129" w:rsidRPr="00650EE4">
        <w:rPr>
          <w:rFonts w:ascii="Times New Roman" w:hAnsi="Times New Roman"/>
          <w:szCs w:val="22"/>
        </w:rPr>
        <w:t>plinkosauginės naudos (pvz., sumažėjęs resursų naudojimas, sumažėjusi oro tarša, kt.);</w:t>
      </w:r>
    </w:p>
    <w:p w14:paraId="6B1D38A2" w14:textId="076F3C10"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e</w:t>
      </w:r>
      <w:r w:rsidR="003A0129" w:rsidRPr="00650EE4">
        <w:rPr>
          <w:rFonts w:ascii="Times New Roman" w:hAnsi="Times New Roman"/>
          <w:szCs w:val="22"/>
        </w:rPr>
        <w:t>konominės naudos (pvz., BVP aug</w:t>
      </w:r>
      <w:r w:rsidR="002C50C7" w:rsidRPr="00650EE4">
        <w:rPr>
          <w:rFonts w:ascii="Times New Roman" w:hAnsi="Times New Roman"/>
          <w:szCs w:val="22"/>
        </w:rPr>
        <w:t xml:space="preserve">imas, pastatų vertės didėjimas, pastatų techninės būklės pagerinimas, </w:t>
      </w:r>
      <w:r w:rsidR="003A0129" w:rsidRPr="00650EE4">
        <w:rPr>
          <w:rFonts w:ascii="Times New Roman" w:hAnsi="Times New Roman"/>
          <w:szCs w:val="22"/>
        </w:rPr>
        <w:t>padidėjęs atskirų sektorių našumas, kt.);</w:t>
      </w:r>
    </w:p>
    <w:p w14:paraId="5B128760" w14:textId="65FAA46B" w:rsidR="003A0129" w:rsidRPr="00650EE4" w:rsidRDefault="00D23408" w:rsidP="003A0129">
      <w:pPr>
        <w:pStyle w:val="Pagrindinispaprastastekstas"/>
        <w:numPr>
          <w:ilvl w:val="0"/>
          <w:numId w:val="13"/>
        </w:numPr>
        <w:rPr>
          <w:rFonts w:ascii="Times New Roman" w:hAnsi="Times New Roman"/>
          <w:szCs w:val="22"/>
        </w:rPr>
      </w:pPr>
      <w:r>
        <w:rPr>
          <w:rFonts w:ascii="Times New Roman" w:hAnsi="Times New Roman"/>
          <w:szCs w:val="22"/>
        </w:rPr>
        <w:t>s</w:t>
      </w:r>
      <w:r w:rsidR="003A0129" w:rsidRPr="00650EE4">
        <w:rPr>
          <w:rFonts w:ascii="Times New Roman" w:hAnsi="Times New Roman"/>
          <w:szCs w:val="22"/>
        </w:rPr>
        <w:t>ocialinės naudos. (pvz., energetinio skurdo sumažėjimas, pagerėjusi gyvenimo kokybė, kt.).</w:t>
      </w:r>
    </w:p>
    <w:p w14:paraId="70E056B2" w14:textId="77777777" w:rsidR="003A0129" w:rsidRPr="00650EE4" w:rsidRDefault="003A0129" w:rsidP="003A0129">
      <w:pPr>
        <w:rPr>
          <w:rFonts w:ascii="Times New Roman" w:hAnsi="Times New Roman"/>
          <w:color w:val="auto"/>
          <w:szCs w:val="22"/>
        </w:rPr>
      </w:pPr>
    </w:p>
    <w:p w14:paraId="696AEF49" w14:textId="77777777" w:rsidR="003A0129" w:rsidRPr="00650EE4" w:rsidRDefault="003A0129" w:rsidP="003A0129">
      <w:pPr>
        <w:jc w:val="both"/>
        <w:rPr>
          <w:rFonts w:ascii="Times New Roman" w:hAnsi="Times New Roman"/>
          <w:color w:val="auto"/>
          <w:szCs w:val="22"/>
        </w:rPr>
      </w:pPr>
      <w:r w:rsidRPr="00650EE4">
        <w:rPr>
          <w:rFonts w:ascii="Times New Roman" w:eastAsia="Times New Roman" w:hAnsi="Times New Roman"/>
          <w:color w:val="auto"/>
          <w:szCs w:val="22"/>
        </w:rPr>
        <w:t>Dėl savo pobūdžio ar duomenų trūkumo</w:t>
      </w:r>
      <w:r w:rsidRPr="00650EE4">
        <w:rPr>
          <w:rFonts w:ascii="Times New Roman" w:hAnsi="Times New Roman"/>
          <w:color w:val="auto"/>
          <w:szCs w:val="22"/>
        </w:rPr>
        <w:t xml:space="preserve"> ne visos pastatų renovacijos naudos gali būti patikimai įvertinamos pinigine išraiška (</w:t>
      </w:r>
      <w:proofErr w:type="spellStart"/>
      <w:r w:rsidRPr="00650EE4">
        <w:rPr>
          <w:rFonts w:ascii="Times New Roman" w:hAnsi="Times New Roman"/>
          <w:color w:val="auto"/>
          <w:szCs w:val="22"/>
        </w:rPr>
        <w:t>monetizuojamos</w:t>
      </w:r>
      <w:proofErr w:type="spellEnd"/>
      <w:r w:rsidRPr="00650EE4">
        <w:rPr>
          <w:rFonts w:ascii="Times New Roman" w:hAnsi="Times New Roman"/>
          <w:color w:val="auto"/>
          <w:szCs w:val="22"/>
        </w:rPr>
        <w:t xml:space="preserve">). Atitinkamai šiame skyriuje pateikiamas esminių pastatų renovacijos naudų aprašymas, atskiriant </w:t>
      </w:r>
      <w:proofErr w:type="spellStart"/>
      <w:r w:rsidRPr="00650EE4">
        <w:rPr>
          <w:rFonts w:ascii="Times New Roman" w:hAnsi="Times New Roman"/>
          <w:color w:val="auto"/>
          <w:szCs w:val="22"/>
        </w:rPr>
        <w:t>monetizuojamas</w:t>
      </w:r>
      <w:proofErr w:type="spellEnd"/>
      <w:r w:rsidRPr="00650EE4">
        <w:rPr>
          <w:rFonts w:ascii="Times New Roman" w:hAnsi="Times New Roman"/>
          <w:color w:val="auto"/>
          <w:szCs w:val="22"/>
        </w:rPr>
        <w:t xml:space="preserve"> ir </w:t>
      </w:r>
      <w:proofErr w:type="spellStart"/>
      <w:r w:rsidRPr="00650EE4">
        <w:rPr>
          <w:rFonts w:ascii="Times New Roman" w:hAnsi="Times New Roman"/>
          <w:color w:val="auto"/>
          <w:szCs w:val="22"/>
        </w:rPr>
        <w:t>nemonetizuojamas</w:t>
      </w:r>
      <w:proofErr w:type="spellEnd"/>
      <w:r w:rsidRPr="00650EE4">
        <w:rPr>
          <w:rFonts w:ascii="Times New Roman" w:hAnsi="Times New Roman"/>
          <w:color w:val="auto"/>
          <w:szCs w:val="22"/>
        </w:rPr>
        <w:t xml:space="preserve"> naudas.</w:t>
      </w:r>
    </w:p>
    <w:p w14:paraId="451A3274" w14:textId="77777777" w:rsidR="00A34224" w:rsidRPr="00650EE4" w:rsidRDefault="00A34224" w:rsidP="000910B9">
      <w:pPr>
        <w:rPr>
          <w:rFonts w:ascii="Times New Roman" w:hAnsi="Times New Roman"/>
          <w:color w:val="auto"/>
          <w:szCs w:val="22"/>
        </w:rPr>
      </w:pPr>
    </w:p>
    <w:p w14:paraId="39CC53DB" w14:textId="3CD1FE6E" w:rsidR="000910B9" w:rsidRPr="00650EE4" w:rsidRDefault="00A34224" w:rsidP="006A5A8F">
      <w:pPr>
        <w:pStyle w:val="Antrastes31"/>
        <w:numPr>
          <w:ilvl w:val="2"/>
          <w:numId w:val="4"/>
        </w:numPr>
        <w:spacing w:before="120"/>
        <w:ind w:left="720" w:hanging="720"/>
        <w:rPr>
          <w:rFonts w:ascii="Times New Roman" w:hAnsi="Times New Roman"/>
          <w:color w:val="000000" w:themeColor="text1"/>
          <w:sz w:val="24"/>
          <w:szCs w:val="24"/>
          <w:lang w:val="lt-LT"/>
        </w:rPr>
      </w:pPr>
      <w:bookmarkStart w:id="187" w:name="_Ref43293842"/>
      <w:bookmarkStart w:id="188" w:name="_Toc59107567"/>
      <w:proofErr w:type="spellStart"/>
      <w:r w:rsidRPr="00650EE4">
        <w:rPr>
          <w:rFonts w:ascii="Times New Roman" w:hAnsi="Times New Roman"/>
          <w:color w:val="000000" w:themeColor="text1"/>
          <w:sz w:val="24"/>
          <w:szCs w:val="24"/>
          <w:lang w:val="lt-LT"/>
        </w:rPr>
        <w:t>Monetizuojamos</w:t>
      </w:r>
      <w:proofErr w:type="spellEnd"/>
      <w:r w:rsidR="00A01C81" w:rsidRPr="00650EE4">
        <w:rPr>
          <w:rFonts w:ascii="Times New Roman" w:hAnsi="Times New Roman"/>
          <w:color w:val="000000" w:themeColor="text1"/>
          <w:sz w:val="24"/>
          <w:szCs w:val="24"/>
          <w:lang w:val="lt-LT"/>
        </w:rPr>
        <w:t xml:space="preserve"> pastatų renovacijos</w:t>
      </w:r>
      <w:r w:rsidR="000910B9" w:rsidRPr="00650EE4">
        <w:rPr>
          <w:rFonts w:ascii="Times New Roman" w:hAnsi="Times New Roman"/>
          <w:color w:val="000000" w:themeColor="text1"/>
          <w:sz w:val="24"/>
          <w:szCs w:val="24"/>
          <w:lang w:val="lt-LT"/>
        </w:rPr>
        <w:t xml:space="preserve"> naudos</w:t>
      </w:r>
      <w:bookmarkEnd w:id="187"/>
      <w:bookmarkEnd w:id="188"/>
    </w:p>
    <w:p w14:paraId="2C7A2068" w14:textId="500EAC8B" w:rsidR="00C55AB3" w:rsidRPr="00650EE4" w:rsidRDefault="00235869" w:rsidP="00C55AB3">
      <w:pPr>
        <w:jc w:val="both"/>
        <w:rPr>
          <w:rFonts w:ascii="Times New Roman" w:hAnsi="Times New Roman"/>
          <w:color w:val="auto"/>
          <w:szCs w:val="22"/>
        </w:rPr>
      </w:pPr>
      <w:r>
        <w:rPr>
          <w:rFonts w:ascii="Times New Roman" w:hAnsi="Times New Roman"/>
          <w:color w:val="auto"/>
          <w:szCs w:val="22"/>
        </w:rPr>
        <w:t>E</w:t>
      </w:r>
      <w:r w:rsidR="00C55AB3" w:rsidRPr="00650EE4">
        <w:rPr>
          <w:rFonts w:ascii="Times New Roman" w:hAnsi="Times New Roman"/>
          <w:color w:val="auto"/>
          <w:szCs w:val="22"/>
        </w:rPr>
        <w:t xml:space="preserve">konomiškai efektyviausio renovacijos būdo skaičiavimuose </w:t>
      </w:r>
      <w:r w:rsidR="006B5DD8" w:rsidRPr="00650EE4">
        <w:rPr>
          <w:rFonts w:ascii="Times New Roman" w:hAnsi="Times New Roman"/>
          <w:color w:val="auto"/>
          <w:szCs w:val="22"/>
        </w:rPr>
        <w:t>kartu su</w:t>
      </w:r>
      <w:r w:rsidR="00C55AB3" w:rsidRPr="00650EE4">
        <w:rPr>
          <w:rFonts w:ascii="Times New Roman" w:hAnsi="Times New Roman"/>
          <w:color w:val="auto"/>
          <w:szCs w:val="22"/>
        </w:rPr>
        <w:t xml:space="preserve"> tiesiogin</w:t>
      </w:r>
      <w:r w:rsidR="006B5DD8" w:rsidRPr="00650EE4">
        <w:rPr>
          <w:rFonts w:ascii="Times New Roman" w:hAnsi="Times New Roman"/>
          <w:color w:val="auto"/>
          <w:szCs w:val="22"/>
        </w:rPr>
        <w:t>ėmis</w:t>
      </w:r>
      <w:r w:rsidR="00C55AB3" w:rsidRPr="00650EE4">
        <w:rPr>
          <w:rFonts w:ascii="Times New Roman" w:hAnsi="Times New Roman"/>
          <w:color w:val="auto"/>
          <w:szCs w:val="22"/>
        </w:rPr>
        <w:t xml:space="preserve"> renovacijos </w:t>
      </w:r>
      <w:proofErr w:type="spellStart"/>
      <w:r w:rsidR="00C55AB3" w:rsidRPr="00650EE4">
        <w:rPr>
          <w:rFonts w:ascii="Times New Roman" w:hAnsi="Times New Roman"/>
          <w:color w:val="auto"/>
          <w:szCs w:val="22"/>
        </w:rPr>
        <w:t>naud</w:t>
      </w:r>
      <w:r w:rsidR="006B5DD8" w:rsidRPr="00650EE4">
        <w:rPr>
          <w:rFonts w:ascii="Times New Roman" w:hAnsi="Times New Roman"/>
          <w:color w:val="auto"/>
          <w:szCs w:val="22"/>
        </w:rPr>
        <w:t>omis</w:t>
      </w:r>
      <w:proofErr w:type="spellEnd"/>
      <w:r w:rsidR="00C55AB3" w:rsidRPr="00650EE4">
        <w:rPr>
          <w:rFonts w:ascii="Times New Roman" w:hAnsi="Times New Roman"/>
          <w:color w:val="auto"/>
          <w:szCs w:val="22"/>
        </w:rPr>
        <w:t xml:space="preserve"> (sutaupyta energija ir </w:t>
      </w:r>
      <w:r w:rsidR="006B5DD8" w:rsidRPr="00650EE4">
        <w:rPr>
          <w:rFonts w:ascii="Times New Roman" w:hAnsi="Times New Roman"/>
          <w:color w:val="auto"/>
          <w:szCs w:val="22"/>
        </w:rPr>
        <w:t>sumažėjusiomis</w:t>
      </w:r>
      <w:r w:rsidR="00C55AB3" w:rsidRPr="00650EE4">
        <w:rPr>
          <w:rFonts w:ascii="Times New Roman" w:hAnsi="Times New Roman"/>
          <w:color w:val="auto"/>
          <w:szCs w:val="22"/>
        </w:rPr>
        <w:t xml:space="preserve"> CO</w:t>
      </w:r>
      <w:r w:rsidR="00C55AB3" w:rsidRPr="00650EE4">
        <w:rPr>
          <w:rFonts w:ascii="Times New Roman" w:hAnsi="Times New Roman"/>
          <w:color w:val="auto"/>
          <w:szCs w:val="22"/>
          <w:vertAlign w:val="subscript"/>
        </w:rPr>
        <w:t>2</w:t>
      </w:r>
      <w:r w:rsidR="00C55AB3" w:rsidRPr="00650EE4">
        <w:rPr>
          <w:rFonts w:ascii="Times New Roman" w:hAnsi="Times New Roman"/>
          <w:color w:val="auto"/>
          <w:szCs w:val="22"/>
        </w:rPr>
        <w:t xml:space="preserve"> emisijo</w:t>
      </w:r>
      <w:r w:rsidR="006B5DD8" w:rsidRPr="00650EE4">
        <w:rPr>
          <w:rFonts w:ascii="Times New Roman" w:hAnsi="Times New Roman"/>
          <w:color w:val="auto"/>
          <w:szCs w:val="22"/>
        </w:rPr>
        <w:t>mi</w:t>
      </w:r>
      <w:r w:rsidR="00C55AB3" w:rsidRPr="00650EE4">
        <w:rPr>
          <w:rFonts w:ascii="Times New Roman" w:hAnsi="Times New Roman"/>
          <w:color w:val="auto"/>
          <w:szCs w:val="22"/>
        </w:rPr>
        <w:t>s) jau buvo vertintas ir BVP padidėjimas.</w:t>
      </w:r>
      <w:r w:rsidR="006B5DD8" w:rsidRPr="00650EE4">
        <w:rPr>
          <w:rFonts w:ascii="Times New Roman" w:hAnsi="Times New Roman"/>
          <w:color w:val="auto"/>
          <w:szCs w:val="22"/>
        </w:rPr>
        <w:t xml:space="preserve"> </w:t>
      </w:r>
      <w:r w:rsidR="0037329E" w:rsidRPr="00650EE4">
        <w:rPr>
          <w:rFonts w:ascii="Times New Roman" w:hAnsi="Times New Roman"/>
          <w:color w:val="auto"/>
          <w:szCs w:val="22"/>
        </w:rPr>
        <w:t>Papildomai įvertinamos ir apskaičiuojamos platesnio masto naudos iš visų 3 pagrindinių naudų grupių</w:t>
      </w:r>
      <w:r w:rsidR="00AE1150" w:rsidRPr="00650EE4">
        <w:rPr>
          <w:rFonts w:ascii="Times New Roman" w:hAnsi="Times New Roman"/>
          <w:color w:val="auto"/>
          <w:szCs w:val="22"/>
        </w:rPr>
        <w:t xml:space="preserve">, kurias galima </w:t>
      </w:r>
      <w:proofErr w:type="spellStart"/>
      <w:r w:rsidR="00AE1150" w:rsidRPr="00650EE4">
        <w:rPr>
          <w:rFonts w:ascii="Times New Roman" w:hAnsi="Times New Roman"/>
          <w:color w:val="auto"/>
          <w:szCs w:val="22"/>
        </w:rPr>
        <w:t>patikimiausiai</w:t>
      </w:r>
      <w:proofErr w:type="spellEnd"/>
      <w:r w:rsidR="00AE1150" w:rsidRPr="00650EE4">
        <w:rPr>
          <w:rFonts w:ascii="Times New Roman" w:hAnsi="Times New Roman"/>
          <w:color w:val="auto"/>
          <w:szCs w:val="22"/>
        </w:rPr>
        <w:t xml:space="preserve"> </w:t>
      </w:r>
      <w:r w:rsidR="00723226" w:rsidRPr="00650EE4">
        <w:rPr>
          <w:rFonts w:ascii="Times New Roman" w:hAnsi="Times New Roman"/>
          <w:color w:val="auto"/>
          <w:szCs w:val="22"/>
        </w:rPr>
        <w:t>prognozuoti ir įvertinti</w:t>
      </w:r>
      <w:r w:rsidR="00AE1150" w:rsidRPr="00650EE4">
        <w:rPr>
          <w:rFonts w:ascii="Times New Roman" w:hAnsi="Times New Roman"/>
          <w:color w:val="auto"/>
          <w:szCs w:val="22"/>
        </w:rPr>
        <w:t>.</w:t>
      </w:r>
    </w:p>
    <w:p w14:paraId="63047857" w14:textId="77777777" w:rsidR="00673EF0" w:rsidRPr="00650EE4" w:rsidRDefault="00673EF0" w:rsidP="00C55AB3">
      <w:pPr>
        <w:jc w:val="both"/>
        <w:rPr>
          <w:rFonts w:ascii="Times New Roman" w:hAnsi="Times New Roman"/>
          <w:color w:val="auto"/>
          <w:szCs w:val="22"/>
        </w:rPr>
      </w:pPr>
    </w:p>
    <w:p w14:paraId="1DD5CDB8" w14:textId="434C5923" w:rsidR="00C55AB3" w:rsidRPr="00650EE4" w:rsidRDefault="00C55AB3" w:rsidP="00C55AB3">
      <w:pPr>
        <w:jc w:val="both"/>
        <w:rPr>
          <w:rFonts w:ascii="Times New Roman" w:hAnsi="Times New Roman"/>
          <w:color w:val="auto"/>
          <w:szCs w:val="22"/>
        </w:rPr>
      </w:pPr>
      <w:r w:rsidRPr="00650EE4">
        <w:rPr>
          <w:rFonts w:ascii="Times New Roman" w:hAnsi="Times New Roman"/>
          <w:color w:val="auto"/>
          <w:szCs w:val="22"/>
        </w:rPr>
        <w:t xml:space="preserve">Lentelėje žemiau pateikiama apskaičiuotų </w:t>
      </w:r>
      <w:r w:rsidR="006B5DD8" w:rsidRPr="00650EE4">
        <w:rPr>
          <w:rFonts w:ascii="Times New Roman" w:hAnsi="Times New Roman"/>
          <w:color w:val="auto"/>
          <w:szCs w:val="22"/>
        </w:rPr>
        <w:t xml:space="preserve">tiesioginių ir </w:t>
      </w:r>
      <w:r w:rsidRPr="00650EE4">
        <w:rPr>
          <w:rFonts w:ascii="Times New Roman" w:hAnsi="Times New Roman"/>
          <w:color w:val="auto"/>
          <w:szCs w:val="22"/>
        </w:rPr>
        <w:t>platesnio masto naudų suvestinė.</w:t>
      </w:r>
    </w:p>
    <w:p w14:paraId="6F5C5ADA" w14:textId="77777777" w:rsidR="00344BEC" w:rsidRPr="00650EE4" w:rsidRDefault="00344BEC" w:rsidP="0019694C">
      <w:pPr>
        <w:jc w:val="both"/>
        <w:rPr>
          <w:rFonts w:ascii="Times New Roman" w:hAnsi="Times New Roman"/>
          <w:color w:val="auto"/>
          <w:szCs w:val="22"/>
        </w:rPr>
      </w:pPr>
    </w:p>
    <w:p w14:paraId="223F213B" w14:textId="251E033D" w:rsidR="00FE3B6D" w:rsidRPr="00650EE4" w:rsidRDefault="00FE3B6D"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89" w:name="_Toc59094245"/>
      <w:r w:rsidR="00F25C65">
        <w:t>62</w:t>
      </w:r>
      <w:r w:rsidRPr="00650EE4">
        <w:rPr>
          <w:noProof w:val="0"/>
        </w:rPr>
        <w:fldChar w:fldCharType="end"/>
      </w:r>
      <w:r w:rsidRPr="00650EE4">
        <w:rPr>
          <w:noProof w:val="0"/>
        </w:rPr>
        <w:t xml:space="preserve"> lentelė. </w:t>
      </w:r>
      <w:r w:rsidR="00816783" w:rsidRPr="00650EE4">
        <w:rPr>
          <w:noProof w:val="0"/>
        </w:rPr>
        <w:t>IRS įgyvendinimo naudos</w:t>
      </w:r>
      <w:r w:rsidR="00C967AF" w:rsidRPr="00650EE4">
        <w:rPr>
          <w:noProof w:val="0"/>
        </w:rPr>
        <w:t xml:space="preserve"> (realia verte</w:t>
      </w:r>
      <w:r w:rsidR="00C967AF" w:rsidRPr="00650EE4">
        <w:rPr>
          <w:rStyle w:val="FootnoteReference"/>
          <w:noProof w:val="0"/>
        </w:rPr>
        <w:footnoteReference w:id="45"/>
      </w:r>
      <w:r w:rsidR="00C967AF" w:rsidRPr="00650EE4">
        <w:rPr>
          <w:noProof w:val="0"/>
        </w:rPr>
        <w:t>)</w:t>
      </w:r>
      <w:bookmarkEnd w:id="189"/>
    </w:p>
    <w:tbl>
      <w:tblPr>
        <w:tblW w:w="5000" w:type="pct"/>
        <w:tblLook w:val="04A0" w:firstRow="1" w:lastRow="0" w:firstColumn="1" w:lastColumn="0" w:noHBand="0" w:noVBand="1"/>
      </w:tblPr>
      <w:tblGrid>
        <w:gridCol w:w="3907"/>
        <w:gridCol w:w="1113"/>
        <w:gridCol w:w="902"/>
        <w:gridCol w:w="886"/>
        <w:gridCol w:w="886"/>
        <w:gridCol w:w="1163"/>
        <w:gridCol w:w="1563"/>
      </w:tblGrid>
      <w:tr w:rsidR="00A67A01" w:rsidRPr="00650EE4" w14:paraId="3782C450" w14:textId="77777777" w:rsidTr="00910123">
        <w:trPr>
          <w:trHeight w:val="177"/>
        </w:trPr>
        <w:tc>
          <w:tcPr>
            <w:tcW w:w="187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EE3106" w14:textId="77777777" w:rsidR="00A67A01" w:rsidRPr="00650EE4" w:rsidRDefault="00A67A01"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Rodiklis</w:t>
            </w:r>
          </w:p>
        </w:tc>
        <w:tc>
          <w:tcPr>
            <w:tcW w:w="534" w:type="pct"/>
            <w:tcBorders>
              <w:top w:val="single" w:sz="4" w:space="0" w:color="auto"/>
              <w:left w:val="nil"/>
              <w:bottom w:val="single" w:sz="4" w:space="0" w:color="auto"/>
              <w:right w:val="single" w:sz="4" w:space="0" w:color="auto"/>
            </w:tcBorders>
            <w:shd w:val="clear" w:color="auto" w:fill="auto"/>
            <w:vAlign w:val="center"/>
            <w:hideMark/>
          </w:tcPr>
          <w:p w14:paraId="7BDBB208" w14:textId="77777777" w:rsidR="00A67A01" w:rsidRPr="00650EE4" w:rsidRDefault="00A67A01" w:rsidP="00910123">
            <w:pPr>
              <w:spacing w:line="240" w:lineRule="auto"/>
              <w:rPr>
                <w:rFonts w:ascii="Times New Roman" w:eastAsia="Times New Roman" w:hAnsi="Times New Roman"/>
                <w:b/>
                <w:bCs/>
                <w:sz w:val="20"/>
                <w:szCs w:val="20"/>
              </w:rPr>
            </w:pPr>
            <w:r w:rsidRPr="00650EE4">
              <w:rPr>
                <w:rFonts w:ascii="Times New Roman" w:eastAsia="Times New Roman" w:hAnsi="Times New Roman"/>
                <w:b/>
                <w:bCs/>
                <w:sz w:val="20"/>
                <w:szCs w:val="20"/>
              </w:rPr>
              <w:t>Mato vnt.</w:t>
            </w:r>
          </w:p>
        </w:tc>
        <w:tc>
          <w:tcPr>
            <w:tcW w:w="433" w:type="pct"/>
            <w:tcBorders>
              <w:top w:val="single" w:sz="4" w:space="0" w:color="auto"/>
              <w:left w:val="nil"/>
              <w:bottom w:val="single" w:sz="4" w:space="0" w:color="auto"/>
              <w:right w:val="single" w:sz="4" w:space="0" w:color="auto"/>
            </w:tcBorders>
            <w:shd w:val="clear" w:color="auto" w:fill="auto"/>
            <w:vAlign w:val="center"/>
            <w:hideMark/>
          </w:tcPr>
          <w:p w14:paraId="3649CAAD" w14:textId="77777777" w:rsidR="00A67A01" w:rsidRPr="00650EE4" w:rsidRDefault="00A67A01"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2021-2030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47F12CBC" w14:textId="77777777" w:rsidR="00A67A01" w:rsidRPr="00650EE4" w:rsidRDefault="00A67A01"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2031-2040</w:t>
            </w:r>
          </w:p>
        </w:tc>
        <w:tc>
          <w:tcPr>
            <w:tcW w:w="425" w:type="pct"/>
            <w:tcBorders>
              <w:top w:val="single" w:sz="4" w:space="0" w:color="auto"/>
              <w:left w:val="nil"/>
              <w:bottom w:val="single" w:sz="4" w:space="0" w:color="auto"/>
              <w:right w:val="single" w:sz="4" w:space="0" w:color="auto"/>
            </w:tcBorders>
            <w:shd w:val="clear" w:color="auto" w:fill="auto"/>
            <w:vAlign w:val="center"/>
            <w:hideMark/>
          </w:tcPr>
          <w:p w14:paraId="0A4DF2A1" w14:textId="77777777" w:rsidR="00A67A01" w:rsidRPr="00650EE4" w:rsidRDefault="00A67A01"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2041-2050</w:t>
            </w:r>
          </w:p>
        </w:tc>
        <w:tc>
          <w:tcPr>
            <w:tcW w:w="558" w:type="pct"/>
            <w:tcBorders>
              <w:top w:val="single" w:sz="4" w:space="0" w:color="auto"/>
              <w:left w:val="nil"/>
              <w:bottom w:val="single" w:sz="4" w:space="0" w:color="auto"/>
              <w:right w:val="single" w:sz="4" w:space="0" w:color="auto"/>
            </w:tcBorders>
            <w:shd w:val="clear" w:color="auto" w:fill="auto"/>
            <w:vAlign w:val="center"/>
            <w:hideMark/>
          </w:tcPr>
          <w:p w14:paraId="6B61C528" w14:textId="77777777" w:rsidR="00A67A01" w:rsidRPr="00650EE4" w:rsidRDefault="00A67A01"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2041-2050</w:t>
            </w:r>
          </w:p>
        </w:tc>
        <w:tc>
          <w:tcPr>
            <w:tcW w:w="750" w:type="pct"/>
            <w:tcBorders>
              <w:top w:val="single" w:sz="4" w:space="0" w:color="auto"/>
              <w:left w:val="nil"/>
              <w:bottom w:val="single" w:sz="4" w:space="0" w:color="auto"/>
              <w:right w:val="single" w:sz="4" w:space="0" w:color="auto"/>
            </w:tcBorders>
            <w:shd w:val="clear" w:color="auto" w:fill="auto"/>
            <w:vAlign w:val="center"/>
            <w:hideMark/>
          </w:tcPr>
          <w:p w14:paraId="20D571FD" w14:textId="77777777" w:rsidR="00A67A01" w:rsidRPr="00650EE4" w:rsidRDefault="00A67A01" w:rsidP="00910123">
            <w:pPr>
              <w:spacing w:line="240" w:lineRule="auto"/>
              <w:jc w:val="center"/>
              <w:rPr>
                <w:rFonts w:ascii="Times New Roman" w:eastAsia="Times New Roman" w:hAnsi="Times New Roman"/>
                <w:b/>
                <w:bCs/>
                <w:sz w:val="20"/>
                <w:szCs w:val="20"/>
              </w:rPr>
            </w:pPr>
            <w:r w:rsidRPr="00650EE4">
              <w:rPr>
                <w:rFonts w:ascii="Times New Roman" w:eastAsia="Times New Roman" w:hAnsi="Times New Roman"/>
                <w:b/>
                <w:bCs/>
                <w:sz w:val="20"/>
                <w:szCs w:val="20"/>
              </w:rPr>
              <w:t>Iš viso per gyvavimo ciklą</w:t>
            </w:r>
          </w:p>
        </w:tc>
      </w:tr>
      <w:tr w:rsidR="00A67A01" w:rsidRPr="006B7FAD" w14:paraId="3DF521BC"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2EB1FCE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Renovuota pastatų</w:t>
            </w:r>
          </w:p>
        </w:tc>
        <w:tc>
          <w:tcPr>
            <w:tcW w:w="534" w:type="pct"/>
            <w:tcBorders>
              <w:top w:val="nil"/>
              <w:left w:val="nil"/>
              <w:bottom w:val="single" w:sz="4" w:space="0" w:color="auto"/>
              <w:right w:val="single" w:sz="4" w:space="0" w:color="auto"/>
            </w:tcBorders>
            <w:shd w:val="clear" w:color="000000" w:fill="FFFFFF"/>
            <w:vAlign w:val="center"/>
            <w:hideMark/>
          </w:tcPr>
          <w:p w14:paraId="7D3F89C5"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vnt.</w:t>
            </w:r>
          </w:p>
        </w:tc>
        <w:tc>
          <w:tcPr>
            <w:tcW w:w="433" w:type="pct"/>
            <w:tcBorders>
              <w:top w:val="nil"/>
              <w:left w:val="nil"/>
              <w:bottom w:val="single" w:sz="4" w:space="0" w:color="auto"/>
              <w:right w:val="single" w:sz="4" w:space="0" w:color="auto"/>
            </w:tcBorders>
            <w:shd w:val="clear" w:color="000000" w:fill="FFFFFF"/>
            <w:vAlign w:val="center"/>
            <w:hideMark/>
          </w:tcPr>
          <w:p w14:paraId="09954DB2"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99.281</w:t>
            </w:r>
          </w:p>
        </w:tc>
        <w:tc>
          <w:tcPr>
            <w:tcW w:w="425" w:type="pct"/>
            <w:tcBorders>
              <w:top w:val="nil"/>
              <w:left w:val="nil"/>
              <w:bottom w:val="single" w:sz="4" w:space="0" w:color="auto"/>
              <w:right w:val="single" w:sz="4" w:space="0" w:color="auto"/>
            </w:tcBorders>
            <w:shd w:val="clear" w:color="000000" w:fill="FFFFFF"/>
            <w:vAlign w:val="center"/>
            <w:hideMark/>
          </w:tcPr>
          <w:p w14:paraId="3FD25432"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156.141</w:t>
            </w:r>
          </w:p>
        </w:tc>
        <w:tc>
          <w:tcPr>
            <w:tcW w:w="425" w:type="pct"/>
            <w:tcBorders>
              <w:top w:val="nil"/>
              <w:left w:val="nil"/>
              <w:bottom w:val="single" w:sz="4" w:space="0" w:color="auto"/>
              <w:right w:val="single" w:sz="4" w:space="0" w:color="auto"/>
            </w:tcBorders>
            <w:shd w:val="clear" w:color="000000" w:fill="FFFFFF"/>
            <w:vAlign w:val="center"/>
            <w:hideMark/>
          </w:tcPr>
          <w:p w14:paraId="02F4D44A"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180.587</w:t>
            </w:r>
          </w:p>
        </w:tc>
        <w:tc>
          <w:tcPr>
            <w:tcW w:w="558" w:type="pct"/>
            <w:tcBorders>
              <w:top w:val="nil"/>
              <w:left w:val="nil"/>
              <w:bottom w:val="single" w:sz="4" w:space="0" w:color="auto"/>
              <w:right w:val="single" w:sz="4" w:space="0" w:color="auto"/>
            </w:tcBorders>
            <w:shd w:val="clear" w:color="000000" w:fill="FFFFFF"/>
            <w:vAlign w:val="center"/>
            <w:hideMark/>
          </w:tcPr>
          <w:p w14:paraId="0580D15C"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436.008</w:t>
            </w:r>
          </w:p>
        </w:tc>
        <w:tc>
          <w:tcPr>
            <w:tcW w:w="750" w:type="pct"/>
            <w:tcBorders>
              <w:top w:val="nil"/>
              <w:left w:val="nil"/>
              <w:bottom w:val="single" w:sz="4" w:space="0" w:color="auto"/>
              <w:right w:val="single" w:sz="4" w:space="0" w:color="auto"/>
            </w:tcBorders>
            <w:shd w:val="clear" w:color="000000" w:fill="FFFFFF"/>
            <w:vAlign w:val="center"/>
            <w:hideMark/>
          </w:tcPr>
          <w:p w14:paraId="39EC6BEC"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436.008</w:t>
            </w:r>
          </w:p>
        </w:tc>
      </w:tr>
      <w:tr w:rsidR="00A67A01" w:rsidRPr="006B7FAD" w14:paraId="756F86E2"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001BF5CE"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Renovuota pastatų</w:t>
            </w:r>
          </w:p>
        </w:tc>
        <w:tc>
          <w:tcPr>
            <w:tcW w:w="534" w:type="pct"/>
            <w:tcBorders>
              <w:top w:val="nil"/>
              <w:left w:val="nil"/>
              <w:bottom w:val="single" w:sz="4" w:space="0" w:color="auto"/>
              <w:right w:val="single" w:sz="4" w:space="0" w:color="auto"/>
            </w:tcBorders>
            <w:shd w:val="clear" w:color="000000" w:fill="FFFFFF"/>
            <w:vAlign w:val="center"/>
            <w:hideMark/>
          </w:tcPr>
          <w:p w14:paraId="4BB17E68"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tūkst. m</w:t>
            </w:r>
            <w:r w:rsidRPr="00A67A01">
              <w:rPr>
                <w:rFonts w:ascii="Times New Roman" w:eastAsia="Times New Roman" w:hAnsi="Times New Roman"/>
                <w:sz w:val="20"/>
                <w:szCs w:val="20"/>
                <w:vertAlign w:val="superscript"/>
              </w:rPr>
              <w:t>2</w:t>
            </w:r>
          </w:p>
        </w:tc>
        <w:tc>
          <w:tcPr>
            <w:tcW w:w="433" w:type="pct"/>
            <w:tcBorders>
              <w:top w:val="nil"/>
              <w:left w:val="nil"/>
              <w:bottom w:val="single" w:sz="4" w:space="0" w:color="auto"/>
              <w:right w:val="single" w:sz="4" w:space="0" w:color="auto"/>
            </w:tcBorders>
            <w:shd w:val="clear" w:color="000000" w:fill="FFFFFF"/>
            <w:vAlign w:val="center"/>
            <w:hideMark/>
          </w:tcPr>
          <w:p w14:paraId="734B39D1"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27.819</w:t>
            </w:r>
          </w:p>
        </w:tc>
        <w:tc>
          <w:tcPr>
            <w:tcW w:w="425" w:type="pct"/>
            <w:tcBorders>
              <w:top w:val="nil"/>
              <w:left w:val="nil"/>
              <w:bottom w:val="single" w:sz="4" w:space="0" w:color="auto"/>
              <w:right w:val="single" w:sz="4" w:space="0" w:color="auto"/>
            </w:tcBorders>
            <w:shd w:val="clear" w:color="000000" w:fill="FFFFFF"/>
            <w:vAlign w:val="center"/>
            <w:hideMark/>
          </w:tcPr>
          <w:p w14:paraId="27F5ED94"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39.414</w:t>
            </w:r>
          </w:p>
        </w:tc>
        <w:tc>
          <w:tcPr>
            <w:tcW w:w="425" w:type="pct"/>
            <w:tcBorders>
              <w:top w:val="nil"/>
              <w:left w:val="nil"/>
              <w:bottom w:val="single" w:sz="4" w:space="0" w:color="auto"/>
              <w:right w:val="single" w:sz="4" w:space="0" w:color="auto"/>
            </w:tcBorders>
            <w:shd w:val="clear" w:color="000000" w:fill="FFFFFF"/>
            <w:vAlign w:val="center"/>
            <w:hideMark/>
          </w:tcPr>
          <w:p w14:paraId="20A81AC3"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42.301</w:t>
            </w:r>
          </w:p>
        </w:tc>
        <w:tc>
          <w:tcPr>
            <w:tcW w:w="558" w:type="pct"/>
            <w:tcBorders>
              <w:top w:val="nil"/>
              <w:left w:val="nil"/>
              <w:bottom w:val="single" w:sz="4" w:space="0" w:color="auto"/>
              <w:right w:val="single" w:sz="4" w:space="0" w:color="auto"/>
            </w:tcBorders>
            <w:shd w:val="clear" w:color="000000" w:fill="FFFFFF"/>
            <w:vAlign w:val="center"/>
            <w:hideMark/>
          </w:tcPr>
          <w:p w14:paraId="6C177611"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109.534</w:t>
            </w:r>
          </w:p>
        </w:tc>
        <w:tc>
          <w:tcPr>
            <w:tcW w:w="750" w:type="pct"/>
            <w:tcBorders>
              <w:top w:val="nil"/>
              <w:left w:val="nil"/>
              <w:bottom w:val="single" w:sz="4" w:space="0" w:color="auto"/>
              <w:right w:val="single" w:sz="4" w:space="0" w:color="auto"/>
            </w:tcBorders>
            <w:shd w:val="clear" w:color="000000" w:fill="FFFFFF"/>
            <w:vAlign w:val="center"/>
            <w:hideMark/>
          </w:tcPr>
          <w:p w14:paraId="5B19521A"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109.534</w:t>
            </w:r>
          </w:p>
        </w:tc>
      </w:tr>
      <w:tr w:rsidR="00A67A01" w:rsidRPr="006B7FAD" w14:paraId="6E164A01"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2968B5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Investicijos</w:t>
            </w:r>
          </w:p>
        </w:tc>
        <w:tc>
          <w:tcPr>
            <w:tcW w:w="534" w:type="pct"/>
            <w:tcBorders>
              <w:top w:val="nil"/>
              <w:left w:val="nil"/>
              <w:bottom w:val="single" w:sz="4" w:space="0" w:color="auto"/>
              <w:right w:val="single" w:sz="4" w:space="0" w:color="auto"/>
            </w:tcBorders>
            <w:shd w:val="clear" w:color="000000" w:fill="FFFFFF"/>
            <w:vAlign w:val="center"/>
            <w:hideMark/>
          </w:tcPr>
          <w:p w14:paraId="746BFFB0"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6E3CEB89"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11.603</w:t>
            </w:r>
          </w:p>
        </w:tc>
        <w:tc>
          <w:tcPr>
            <w:tcW w:w="425" w:type="pct"/>
            <w:tcBorders>
              <w:top w:val="nil"/>
              <w:left w:val="nil"/>
              <w:bottom w:val="single" w:sz="4" w:space="0" w:color="auto"/>
              <w:right w:val="single" w:sz="4" w:space="0" w:color="auto"/>
            </w:tcBorders>
            <w:shd w:val="clear" w:color="000000" w:fill="FFFFFF"/>
            <w:vAlign w:val="center"/>
            <w:hideMark/>
          </w:tcPr>
          <w:p w14:paraId="3224D67D"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20.714</w:t>
            </w:r>
          </w:p>
        </w:tc>
        <w:tc>
          <w:tcPr>
            <w:tcW w:w="425" w:type="pct"/>
            <w:tcBorders>
              <w:top w:val="nil"/>
              <w:left w:val="nil"/>
              <w:bottom w:val="single" w:sz="4" w:space="0" w:color="auto"/>
              <w:right w:val="single" w:sz="4" w:space="0" w:color="auto"/>
            </w:tcBorders>
            <w:shd w:val="clear" w:color="000000" w:fill="FFFFFF"/>
            <w:vAlign w:val="center"/>
            <w:hideMark/>
          </w:tcPr>
          <w:p w14:paraId="4A454CA8"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27.667</w:t>
            </w:r>
          </w:p>
        </w:tc>
        <w:tc>
          <w:tcPr>
            <w:tcW w:w="558" w:type="pct"/>
            <w:tcBorders>
              <w:top w:val="nil"/>
              <w:left w:val="nil"/>
              <w:bottom w:val="single" w:sz="4" w:space="0" w:color="auto"/>
              <w:right w:val="single" w:sz="4" w:space="0" w:color="auto"/>
            </w:tcBorders>
            <w:shd w:val="clear" w:color="000000" w:fill="FFFFFF"/>
            <w:vAlign w:val="center"/>
            <w:hideMark/>
          </w:tcPr>
          <w:p w14:paraId="5F9A9B4D"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59.985</w:t>
            </w:r>
          </w:p>
        </w:tc>
        <w:tc>
          <w:tcPr>
            <w:tcW w:w="750" w:type="pct"/>
            <w:tcBorders>
              <w:top w:val="nil"/>
              <w:left w:val="nil"/>
              <w:bottom w:val="single" w:sz="4" w:space="0" w:color="auto"/>
              <w:right w:val="single" w:sz="4" w:space="0" w:color="auto"/>
            </w:tcBorders>
            <w:shd w:val="clear" w:color="000000" w:fill="FFFFFF"/>
            <w:vAlign w:val="center"/>
            <w:hideMark/>
          </w:tcPr>
          <w:p w14:paraId="4944C3BF"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59.985</w:t>
            </w:r>
          </w:p>
        </w:tc>
      </w:tr>
      <w:tr w:rsidR="00A67A01" w:rsidRPr="006B7FAD" w14:paraId="7CE747B4"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6821FD79"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Sutaupyta pirminė energija</w:t>
            </w:r>
          </w:p>
        </w:tc>
        <w:tc>
          <w:tcPr>
            <w:tcW w:w="534" w:type="pct"/>
            <w:tcBorders>
              <w:top w:val="nil"/>
              <w:left w:val="nil"/>
              <w:bottom w:val="single" w:sz="4" w:space="0" w:color="auto"/>
              <w:right w:val="single" w:sz="4" w:space="0" w:color="auto"/>
            </w:tcBorders>
            <w:shd w:val="clear" w:color="000000" w:fill="FFFFFF"/>
            <w:vAlign w:val="center"/>
            <w:hideMark/>
          </w:tcPr>
          <w:p w14:paraId="7B06078F" w14:textId="77777777" w:rsidR="00A67A01" w:rsidRPr="001425FE" w:rsidRDefault="00A67A01" w:rsidP="00910123">
            <w:pPr>
              <w:spacing w:line="240" w:lineRule="auto"/>
              <w:rPr>
                <w:rFonts w:ascii="Times New Roman" w:eastAsia="Times New Roman" w:hAnsi="Times New Roman"/>
                <w:sz w:val="20"/>
                <w:szCs w:val="20"/>
              </w:rPr>
            </w:pPr>
            <w:proofErr w:type="spellStart"/>
            <w:r w:rsidRPr="001425FE">
              <w:rPr>
                <w:rFonts w:ascii="Times New Roman" w:eastAsia="Times New Roman" w:hAnsi="Times New Roman"/>
                <w:sz w:val="20"/>
                <w:szCs w:val="20"/>
              </w:rPr>
              <w:t>GWh</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15CFBC6"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30.799</w:t>
            </w:r>
          </w:p>
        </w:tc>
        <w:tc>
          <w:tcPr>
            <w:tcW w:w="425" w:type="pct"/>
            <w:tcBorders>
              <w:top w:val="nil"/>
              <w:left w:val="nil"/>
              <w:bottom w:val="single" w:sz="4" w:space="0" w:color="auto"/>
              <w:right w:val="single" w:sz="4" w:space="0" w:color="auto"/>
            </w:tcBorders>
            <w:shd w:val="clear" w:color="000000" w:fill="FFFFFF"/>
            <w:vAlign w:val="center"/>
            <w:hideMark/>
          </w:tcPr>
          <w:p w14:paraId="5733BA5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107.394</w:t>
            </w:r>
          </w:p>
        </w:tc>
        <w:tc>
          <w:tcPr>
            <w:tcW w:w="425" w:type="pct"/>
            <w:tcBorders>
              <w:top w:val="nil"/>
              <w:left w:val="nil"/>
              <w:bottom w:val="single" w:sz="4" w:space="0" w:color="auto"/>
              <w:right w:val="single" w:sz="4" w:space="0" w:color="auto"/>
            </w:tcBorders>
            <w:shd w:val="clear" w:color="000000" w:fill="FFFFFF"/>
            <w:vAlign w:val="center"/>
            <w:hideMark/>
          </w:tcPr>
          <w:p w14:paraId="767F71AA"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202.883</w:t>
            </w:r>
          </w:p>
        </w:tc>
        <w:tc>
          <w:tcPr>
            <w:tcW w:w="558" w:type="pct"/>
            <w:tcBorders>
              <w:top w:val="nil"/>
              <w:left w:val="nil"/>
              <w:bottom w:val="single" w:sz="4" w:space="0" w:color="auto"/>
              <w:right w:val="single" w:sz="4" w:space="0" w:color="auto"/>
            </w:tcBorders>
            <w:shd w:val="clear" w:color="000000" w:fill="FFFFFF"/>
            <w:vAlign w:val="center"/>
            <w:hideMark/>
          </w:tcPr>
          <w:p w14:paraId="12388876"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341.076</w:t>
            </w:r>
          </w:p>
        </w:tc>
        <w:tc>
          <w:tcPr>
            <w:tcW w:w="750" w:type="pct"/>
            <w:tcBorders>
              <w:top w:val="nil"/>
              <w:left w:val="nil"/>
              <w:bottom w:val="single" w:sz="4" w:space="0" w:color="auto"/>
              <w:right w:val="single" w:sz="4" w:space="0" w:color="auto"/>
            </w:tcBorders>
            <w:shd w:val="clear" w:color="000000" w:fill="FFFFFF"/>
            <w:vAlign w:val="center"/>
            <w:hideMark/>
          </w:tcPr>
          <w:p w14:paraId="1DD7DA88"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739.949</w:t>
            </w:r>
          </w:p>
        </w:tc>
      </w:tr>
      <w:tr w:rsidR="00A67A01" w:rsidRPr="006B7FAD" w14:paraId="28F1A87D"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4FB6BC5A"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Sutaupytos CO2 </w:t>
            </w:r>
            <w:proofErr w:type="spellStart"/>
            <w:r w:rsidRPr="001425FE">
              <w:rPr>
                <w:rFonts w:ascii="Times New Roman" w:eastAsia="Times New Roman" w:hAnsi="Times New Roman"/>
                <w:sz w:val="20"/>
                <w:szCs w:val="20"/>
              </w:rPr>
              <w:t>esmisijos</w:t>
            </w:r>
            <w:proofErr w:type="spellEnd"/>
          </w:p>
        </w:tc>
        <w:tc>
          <w:tcPr>
            <w:tcW w:w="534" w:type="pct"/>
            <w:tcBorders>
              <w:top w:val="nil"/>
              <w:left w:val="nil"/>
              <w:bottom w:val="single" w:sz="4" w:space="0" w:color="auto"/>
              <w:right w:val="single" w:sz="4" w:space="0" w:color="auto"/>
            </w:tcBorders>
            <w:shd w:val="clear" w:color="000000" w:fill="FFFFFF"/>
            <w:vAlign w:val="center"/>
            <w:hideMark/>
          </w:tcPr>
          <w:p w14:paraId="30649B31"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ktCO</w:t>
            </w:r>
            <w:r w:rsidRPr="00A67A01">
              <w:rPr>
                <w:rFonts w:ascii="Times New Roman" w:eastAsia="Times New Roman" w:hAnsi="Times New Roman"/>
                <w:sz w:val="20"/>
                <w:szCs w:val="20"/>
                <w:vertAlign w:val="subscript"/>
              </w:rPr>
              <w:t>2</w:t>
            </w:r>
          </w:p>
        </w:tc>
        <w:tc>
          <w:tcPr>
            <w:tcW w:w="433" w:type="pct"/>
            <w:tcBorders>
              <w:top w:val="nil"/>
              <w:left w:val="nil"/>
              <w:bottom w:val="single" w:sz="4" w:space="0" w:color="auto"/>
              <w:right w:val="single" w:sz="4" w:space="0" w:color="auto"/>
            </w:tcBorders>
            <w:shd w:val="clear" w:color="000000" w:fill="FFFFFF"/>
            <w:vAlign w:val="center"/>
            <w:hideMark/>
          </w:tcPr>
          <w:p w14:paraId="1EA2801E"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6.504</w:t>
            </w:r>
          </w:p>
        </w:tc>
        <w:tc>
          <w:tcPr>
            <w:tcW w:w="425" w:type="pct"/>
            <w:tcBorders>
              <w:top w:val="nil"/>
              <w:left w:val="nil"/>
              <w:bottom w:val="single" w:sz="4" w:space="0" w:color="auto"/>
              <w:right w:val="single" w:sz="4" w:space="0" w:color="auto"/>
            </w:tcBorders>
            <w:shd w:val="clear" w:color="000000" w:fill="FFFFFF"/>
            <w:vAlign w:val="center"/>
            <w:hideMark/>
          </w:tcPr>
          <w:p w14:paraId="5B19C627"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22.803</w:t>
            </w:r>
          </w:p>
        </w:tc>
        <w:tc>
          <w:tcPr>
            <w:tcW w:w="425" w:type="pct"/>
            <w:tcBorders>
              <w:top w:val="nil"/>
              <w:left w:val="nil"/>
              <w:bottom w:val="single" w:sz="4" w:space="0" w:color="auto"/>
              <w:right w:val="single" w:sz="4" w:space="0" w:color="auto"/>
            </w:tcBorders>
            <w:shd w:val="clear" w:color="000000" w:fill="FFFFFF"/>
            <w:vAlign w:val="center"/>
            <w:hideMark/>
          </w:tcPr>
          <w:p w14:paraId="06D3BC69"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43.261</w:t>
            </w:r>
          </w:p>
        </w:tc>
        <w:tc>
          <w:tcPr>
            <w:tcW w:w="558" w:type="pct"/>
            <w:tcBorders>
              <w:top w:val="nil"/>
              <w:left w:val="nil"/>
              <w:bottom w:val="single" w:sz="4" w:space="0" w:color="auto"/>
              <w:right w:val="single" w:sz="4" w:space="0" w:color="auto"/>
            </w:tcBorders>
            <w:shd w:val="clear" w:color="000000" w:fill="FFFFFF"/>
            <w:vAlign w:val="center"/>
            <w:hideMark/>
          </w:tcPr>
          <w:p w14:paraId="03EFAD63"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72.569</w:t>
            </w:r>
          </w:p>
        </w:tc>
        <w:tc>
          <w:tcPr>
            <w:tcW w:w="750" w:type="pct"/>
            <w:tcBorders>
              <w:top w:val="nil"/>
              <w:left w:val="nil"/>
              <w:bottom w:val="single" w:sz="4" w:space="0" w:color="auto"/>
              <w:right w:val="single" w:sz="4" w:space="0" w:color="auto"/>
            </w:tcBorders>
            <w:shd w:val="clear" w:color="000000" w:fill="FFFFFF"/>
            <w:vAlign w:val="center"/>
            <w:hideMark/>
          </w:tcPr>
          <w:p w14:paraId="1CDB6D02"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157.947</w:t>
            </w:r>
          </w:p>
        </w:tc>
      </w:tr>
      <w:tr w:rsidR="00A67A01" w:rsidRPr="006B7FAD" w14:paraId="0B899C67" w14:textId="77777777" w:rsidTr="00910123">
        <w:trPr>
          <w:trHeight w:val="177"/>
        </w:trPr>
        <w:tc>
          <w:tcPr>
            <w:tcW w:w="5000" w:type="pct"/>
            <w:gridSpan w:val="7"/>
            <w:tcBorders>
              <w:top w:val="nil"/>
              <w:left w:val="single" w:sz="4" w:space="0" w:color="auto"/>
              <w:bottom w:val="single" w:sz="4" w:space="0" w:color="auto"/>
              <w:right w:val="single" w:sz="4" w:space="0" w:color="auto"/>
            </w:tcBorders>
            <w:shd w:val="clear" w:color="000000" w:fill="FFFFFF"/>
            <w:vAlign w:val="center"/>
            <w:hideMark/>
          </w:tcPr>
          <w:p w14:paraId="59D9972E" w14:textId="77777777" w:rsidR="00A67A01" w:rsidRPr="006B7FAD" w:rsidRDefault="00A67A01" w:rsidP="00910123">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Naudos vertintos ekonomiškai efektyviausio renovacijos būdo vertinime</w:t>
            </w:r>
          </w:p>
        </w:tc>
      </w:tr>
      <w:tr w:rsidR="00A67A01" w:rsidRPr="006B7FAD" w14:paraId="5BF2816A"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3941C2FB"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FN1. Sutaupytos energijos vertė (renovacija)</w:t>
            </w:r>
          </w:p>
        </w:tc>
        <w:tc>
          <w:tcPr>
            <w:tcW w:w="534" w:type="pct"/>
            <w:tcBorders>
              <w:top w:val="nil"/>
              <w:left w:val="nil"/>
              <w:bottom w:val="single" w:sz="4" w:space="0" w:color="auto"/>
              <w:right w:val="single" w:sz="4" w:space="0" w:color="auto"/>
            </w:tcBorders>
            <w:shd w:val="clear" w:color="000000" w:fill="FFFFFF"/>
            <w:vAlign w:val="center"/>
            <w:hideMark/>
          </w:tcPr>
          <w:p w14:paraId="2AE1ED6D"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85E4B0F"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1.235</w:t>
            </w:r>
          </w:p>
        </w:tc>
        <w:tc>
          <w:tcPr>
            <w:tcW w:w="425" w:type="pct"/>
            <w:tcBorders>
              <w:top w:val="nil"/>
              <w:left w:val="nil"/>
              <w:bottom w:val="single" w:sz="4" w:space="0" w:color="auto"/>
              <w:right w:val="single" w:sz="4" w:space="0" w:color="auto"/>
            </w:tcBorders>
            <w:shd w:val="clear" w:color="000000" w:fill="FFFFFF"/>
            <w:vAlign w:val="center"/>
            <w:hideMark/>
          </w:tcPr>
          <w:p w14:paraId="14725DD6"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4.736</w:t>
            </w:r>
          </w:p>
        </w:tc>
        <w:tc>
          <w:tcPr>
            <w:tcW w:w="425" w:type="pct"/>
            <w:tcBorders>
              <w:top w:val="nil"/>
              <w:left w:val="nil"/>
              <w:bottom w:val="single" w:sz="4" w:space="0" w:color="auto"/>
              <w:right w:val="single" w:sz="4" w:space="0" w:color="auto"/>
            </w:tcBorders>
            <w:shd w:val="clear" w:color="000000" w:fill="FFFFFF"/>
            <w:vAlign w:val="center"/>
            <w:hideMark/>
          </w:tcPr>
          <w:p w14:paraId="028696FD"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9.390</w:t>
            </w:r>
          </w:p>
        </w:tc>
        <w:tc>
          <w:tcPr>
            <w:tcW w:w="558" w:type="pct"/>
            <w:tcBorders>
              <w:top w:val="nil"/>
              <w:left w:val="nil"/>
              <w:bottom w:val="single" w:sz="4" w:space="0" w:color="auto"/>
              <w:right w:val="single" w:sz="4" w:space="0" w:color="auto"/>
            </w:tcBorders>
            <w:shd w:val="clear" w:color="000000" w:fill="FFFFFF"/>
            <w:vAlign w:val="center"/>
            <w:hideMark/>
          </w:tcPr>
          <w:p w14:paraId="005B1CE4"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15.360</w:t>
            </w:r>
          </w:p>
        </w:tc>
        <w:tc>
          <w:tcPr>
            <w:tcW w:w="750" w:type="pct"/>
            <w:tcBorders>
              <w:top w:val="nil"/>
              <w:left w:val="nil"/>
              <w:bottom w:val="single" w:sz="4" w:space="0" w:color="auto"/>
              <w:right w:val="single" w:sz="4" w:space="0" w:color="auto"/>
            </w:tcBorders>
            <w:shd w:val="clear" w:color="000000" w:fill="FFFFFF"/>
            <w:vAlign w:val="center"/>
            <w:hideMark/>
          </w:tcPr>
          <w:p w14:paraId="426FF40D"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33.323</w:t>
            </w:r>
          </w:p>
        </w:tc>
      </w:tr>
      <w:tr w:rsidR="00A67A01" w:rsidRPr="006B7FAD" w14:paraId="445A95AC"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015BA24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FN2. Sumažintų CO2 išmetimų vertė (</w:t>
            </w:r>
            <w:proofErr w:type="spellStart"/>
            <w:r w:rsidRPr="001425FE">
              <w:rPr>
                <w:rFonts w:ascii="Times New Roman" w:eastAsia="Times New Roman" w:hAnsi="Times New Roman"/>
                <w:sz w:val="20"/>
                <w:szCs w:val="20"/>
              </w:rPr>
              <w:t>renvoacija</w:t>
            </w:r>
            <w:proofErr w:type="spellEnd"/>
            <w:r w:rsidRPr="001425FE">
              <w:rPr>
                <w:rFonts w:ascii="Times New Roman" w:eastAsia="Times New Roman" w:hAnsi="Times New Roman"/>
                <w:sz w:val="20"/>
                <w:szCs w:val="20"/>
              </w:rPr>
              <w:t>)</w:t>
            </w:r>
          </w:p>
        </w:tc>
        <w:tc>
          <w:tcPr>
            <w:tcW w:w="534" w:type="pct"/>
            <w:tcBorders>
              <w:top w:val="nil"/>
              <w:left w:val="nil"/>
              <w:bottom w:val="single" w:sz="4" w:space="0" w:color="auto"/>
              <w:right w:val="single" w:sz="4" w:space="0" w:color="auto"/>
            </w:tcBorders>
            <w:shd w:val="clear" w:color="000000" w:fill="FFFFFF"/>
            <w:vAlign w:val="center"/>
            <w:hideMark/>
          </w:tcPr>
          <w:p w14:paraId="336CCD9D"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7018E1BD"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185</w:t>
            </w:r>
          </w:p>
        </w:tc>
        <w:tc>
          <w:tcPr>
            <w:tcW w:w="425" w:type="pct"/>
            <w:tcBorders>
              <w:top w:val="nil"/>
              <w:left w:val="nil"/>
              <w:bottom w:val="single" w:sz="4" w:space="0" w:color="auto"/>
              <w:right w:val="single" w:sz="4" w:space="0" w:color="auto"/>
            </w:tcBorders>
            <w:shd w:val="clear" w:color="000000" w:fill="FFFFFF"/>
            <w:vAlign w:val="center"/>
            <w:hideMark/>
          </w:tcPr>
          <w:p w14:paraId="059915F9"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1.024</w:t>
            </w:r>
          </w:p>
        </w:tc>
        <w:tc>
          <w:tcPr>
            <w:tcW w:w="425" w:type="pct"/>
            <w:tcBorders>
              <w:top w:val="nil"/>
              <w:left w:val="nil"/>
              <w:bottom w:val="single" w:sz="4" w:space="0" w:color="auto"/>
              <w:right w:val="single" w:sz="4" w:space="0" w:color="auto"/>
            </w:tcBorders>
            <w:shd w:val="clear" w:color="000000" w:fill="FFFFFF"/>
            <w:vAlign w:val="center"/>
            <w:hideMark/>
          </w:tcPr>
          <w:p w14:paraId="5CECA861"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3.297</w:t>
            </w:r>
          </w:p>
        </w:tc>
        <w:tc>
          <w:tcPr>
            <w:tcW w:w="558" w:type="pct"/>
            <w:tcBorders>
              <w:top w:val="nil"/>
              <w:left w:val="nil"/>
              <w:bottom w:val="single" w:sz="4" w:space="0" w:color="auto"/>
              <w:right w:val="single" w:sz="4" w:space="0" w:color="auto"/>
            </w:tcBorders>
            <w:shd w:val="clear" w:color="000000" w:fill="FFFFFF"/>
            <w:vAlign w:val="center"/>
            <w:hideMark/>
          </w:tcPr>
          <w:p w14:paraId="7E04708B"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4.506</w:t>
            </w:r>
          </w:p>
        </w:tc>
        <w:tc>
          <w:tcPr>
            <w:tcW w:w="750" w:type="pct"/>
            <w:tcBorders>
              <w:top w:val="nil"/>
              <w:left w:val="nil"/>
              <w:bottom w:val="single" w:sz="4" w:space="0" w:color="auto"/>
              <w:right w:val="single" w:sz="4" w:space="0" w:color="auto"/>
            </w:tcBorders>
            <w:shd w:val="clear" w:color="000000" w:fill="FFFFFF"/>
            <w:vAlign w:val="center"/>
            <w:hideMark/>
          </w:tcPr>
          <w:p w14:paraId="0B5E868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9.807</w:t>
            </w:r>
          </w:p>
        </w:tc>
      </w:tr>
      <w:tr w:rsidR="00A67A01" w:rsidRPr="006B7FAD" w14:paraId="63FB593B"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622CB1A9"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EN1. BVP padidėjimas</w:t>
            </w:r>
          </w:p>
        </w:tc>
        <w:tc>
          <w:tcPr>
            <w:tcW w:w="534" w:type="pct"/>
            <w:tcBorders>
              <w:top w:val="nil"/>
              <w:left w:val="nil"/>
              <w:bottom w:val="single" w:sz="4" w:space="0" w:color="auto"/>
              <w:right w:val="single" w:sz="4" w:space="0" w:color="auto"/>
            </w:tcBorders>
            <w:shd w:val="clear" w:color="000000" w:fill="FFFFFF"/>
            <w:vAlign w:val="center"/>
            <w:hideMark/>
          </w:tcPr>
          <w:p w14:paraId="67A899DA"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4A232AE5"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5.801</w:t>
            </w:r>
          </w:p>
        </w:tc>
        <w:tc>
          <w:tcPr>
            <w:tcW w:w="425" w:type="pct"/>
            <w:tcBorders>
              <w:top w:val="nil"/>
              <w:left w:val="nil"/>
              <w:bottom w:val="single" w:sz="4" w:space="0" w:color="auto"/>
              <w:right w:val="single" w:sz="4" w:space="0" w:color="auto"/>
            </w:tcBorders>
            <w:shd w:val="clear" w:color="000000" w:fill="FFFFFF"/>
            <w:vAlign w:val="center"/>
            <w:hideMark/>
          </w:tcPr>
          <w:p w14:paraId="42315FD8"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10.357</w:t>
            </w:r>
          </w:p>
        </w:tc>
        <w:tc>
          <w:tcPr>
            <w:tcW w:w="425" w:type="pct"/>
            <w:tcBorders>
              <w:top w:val="nil"/>
              <w:left w:val="nil"/>
              <w:bottom w:val="single" w:sz="4" w:space="0" w:color="auto"/>
              <w:right w:val="single" w:sz="4" w:space="0" w:color="auto"/>
            </w:tcBorders>
            <w:shd w:val="clear" w:color="000000" w:fill="FFFFFF"/>
            <w:vAlign w:val="center"/>
            <w:hideMark/>
          </w:tcPr>
          <w:p w14:paraId="7B36B456"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13.834</w:t>
            </w:r>
          </w:p>
        </w:tc>
        <w:tc>
          <w:tcPr>
            <w:tcW w:w="558" w:type="pct"/>
            <w:tcBorders>
              <w:top w:val="nil"/>
              <w:left w:val="nil"/>
              <w:bottom w:val="single" w:sz="4" w:space="0" w:color="auto"/>
              <w:right w:val="single" w:sz="4" w:space="0" w:color="auto"/>
            </w:tcBorders>
            <w:shd w:val="clear" w:color="000000" w:fill="FFFFFF"/>
            <w:vAlign w:val="center"/>
            <w:hideMark/>
          </w:tcPr>
          <w:p w14:paraId="7CB14365"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29.992</w:t>
            </w:r>
          </w:p>
        </w:tc>
        <w:tc>
          <w:tcPr>
            <w:tcW w:w="750" w:type="pct"/>
            <w:tcBorders>
              <w:top w:val="nil"/>
              <w:left w:val="nil"/>
              <w:bottom w:val="single" w:sz="4" w:space="0" w:color="auto"/>
              <w:right w:val="single" w:sz="4" w:space="0" w:color="auto"/>
            </w:tcBorders>
            <w:shd w:val="clear" w:color="000000" w:fill="FFFFFF"/>
            <w:vAlign w:val="center"/>
            <w:hideMark/>
          </w:tcPr>
          <w:p w14:paraId="37737925"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29.992</w:t>
            </w:r>
          </w:p>
        </w:tc>
      </w:tr>
      <w:tr w:rsidR="00A67A01" w:rsidRPr="006B7FAD" w14:paraId="293EBA8A"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3C9B0FA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Iš viso:</w:t>
            </w:r>
          </w:p>
        </w:tc>
        <w:tc>
          <w:tcPr>
            <w:tcW w:w="534" w:type="pct"/>
            <w:tcBorders>
              <w:top w:val="nil"/>
              <w:left w:val="nil"/>
              <w:bottom w:val="single" w:sz="4" w:space="0" w:color="auto"/>
              <w:right w:val="single" w:sz="4" w:space="0" w:color="auto"/>
            </w:tcBorders>
            <w:shd w:val="clear" w:color="000000" w:fill="FFFFFF"/>
            <w:vAlign w:val="center"/>
            <w:hideMark/>
          </w:tcPr>
          <w:p w14:paraId="23B3CCF0"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43C9DC2B"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7.221</w:t>
            </w:r>
          </w:p>
        </w:tc>
        <w:tc>
          <w:tcPr>
            <w:tcW w:w="425" w:type="pct"/>
            <w:tcBorders>
              <w:top w:val="nil"/>
              <w:left w:val="nil"/>
              <w:bottom w:val="single" w:sz="4" w:space="0" w:color="auto"/>
              <w:right w:val="single" w:sz="4" w:space="0" w:color="auto"/>
            </w:tcBorders>
            <w:shd w:val="clear" w:color="000000" w:fill="FFFFFF"/>
            <w:vAlign w:val="center"/>
            <w:hideMark/>
          </w:tcPr>
          <w:p w14:paraId="3210345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16.117</w:t>
            </w:r>
          </w:p>
        </w:tc>
        <w:tc>
          <w:tcPr>
            <w:tcW w:w="425" w:type="pct"/>
            <w:tcBorders>
              <w:top w:val="nil"/>
              <w:left w:val="nil"/>
              <w:bottom w:val="single" w:sz="4" w:space="0" w:color="auto"/>
              <w:right w:val="single" w:sz="4" w:space="0" w:color="auto"/>
            </w:tcBorders>
            <w:shd w:val="clear" w:color="000000" w:fill="FFFFFF"/>
            <w:vAlign w:val="center"/>
            <w:hideMark/>
          </w:tcPr>
          <w:p w14:paraId="32B3C0F9"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26.520</w:t>
            </w:r>
          </w:p>
        </w:tc>
        <w:tc>
          <w:tcPr>
            <w:tcW w:w="558" w:type="pct"/>
            <w:tcBorders>
              <w:top w:val="nil"/>
              <w:left w:val="nil"/>
              <w:bottom w:val="single" w:sz="4" w:space="0" w:color="auto"/>
              <w:right w:val="single" w:sz="4" w:space="0" w:color="auto"/>
            </w:tcBorders>
            <w:shd w:val="clear" w:color="000000" w:fill="FFFFFF"/>
            <w:vAlign w:val="center"/>
            <w:hideMark/>
          </w:tcPr>
          <w:p w14:paraId="34FED71E"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49.859</w:t>
            </w:r>
          </w:p>
        </w:tc>
        <w:tc>
          <w:tcPr>
            <w:tcW w:w="750" w:type="pct"/>
            <w:tcBorders>
              <w:top w:val="nil"/>
              <w:left w:val="nil"/>
              <w:bottom w:val="single" w:sz="4" w:space="0" w:color="auto"/>
              <w:right w:val="single" w:sz="4" w:space="0" w:color="auto"/>
            </w:tcBorders>
            <w:shd w:val="clear" w:color="000000" w:fill="FFFFFF"/>
            <w:vAlign w:val="center"/>
            <w:hideMark/>
          </w:tcPr>
          <w:p w14:paraId="2F8F5864"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73.123</w:t>
            </w:r>
          </w:p>
        </w:tc>
      </w:tr>
      <w:tr w:rsidR="00A67A01" w:rsidRPr="006B7FAD" w14:paraId="635ECC48" w14:textId="77777777" w:rsidTr="00910123">
        <w:trPr>
          <w:trHeight w:val="177"/>
        </w:trPr>
        <w:tc>
          <w:tcPr>
            <w:tcW w:w="5000" w:type="pct"/>
            <w:gridSpan w:val="7"/>
            <w:tcBorders>
              <w:top w:val="nil"/>
              <w:left w:val="single" w:sz="4" w:space="0" w:color="auto"/>
              <w:bottom w:val="single" w:sz="4" w:space="0" w:color="auto"/>
              <w:right w:val="single" w:sz="4" w:space="0" w:color="auto"/>
            </w:tcBorders>
            <w:shd w:val="clear" w:color="000000" w:fill="FFFFFF"/>
            <w:vAlign w:val="center"/>
            <w:hideMark/>
          </w:tcPr>
          <w:p w14:paraId="6686FB2D" w14:textId="77777777" w:rsidR="00A67A01" w:rsidRPr="006B7FAD" w:rsidRDefault="00A67A01" w:rsidP="00910123">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Papildomos </w:t>
            </w:r>
            <w:proofErr w:type="spellStart"/>
            <w:r w:rsidRPr="006B7FAD">
              <w:rPr>
                <w:rFonts w:ascii="Times New Roman" w:eastAsia="Times New Roman" w:hAnsi="Times New Roman"/>
                <w:b/>
                <w:bCs/>
                <w:sz w:val="20"/>
                <w:szCs w:val="20"/>
              </w:rPr>
              <w:t>monetizuojamos</w:t>
            </w:r>
            <w:proofErr w:type="spellEnd"/>
            <w:r w:rsidRPr="006B7FAD">
              <w:rPr>
                <w:rFonts w:ascii="Times New Roman" w:eastAsia="Times New Roman" w:hAnsi="Times New Roman"/>
                <w:b/>
                <w:bCs/>
                <w:sz w:val="20"/>
                <w:szCs w:val="20"/>
              </w:rPr>
              <w:t xml:space="preserve"> naudos</w:t>
            </w:r>
          </w:p>
        </w:tc>
      </w:tr>
      <w:tr w:rsidR="00A67A01" w:rsidRPr="006B7FAD" w14:paraId="6D1393DD"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46CFC551"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EN2. Pagerėjusi žmonių sveikata ir darbingumas</w:t>
            </w:r>
          </w:p>
        </w:tc>
        <w:tc>
          <w:tcPr>
            <w:tcW w:w="534" w:type="pct"/>
            <w:tcBorders>
              <w:top w:val="nil"/>
              <w:left w:val="nil"/>
              <w:bottom w:val="single" w:sz="4" w:space="0" w:color="auto"/>
              <w:right w:val="single" w:sz="4" w:space="0" w:color="auto"/>
            </w:tcBorders>
            <w:shd w:val="clear" w:color="000000" w:fill="FFFFFF"/>
            <w:vAlign w:val="center"/>
            <w:hideMark/>
          </w:tcPr>
          <w:p w14:paraId="2BD18221"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1F79ED54"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3.771</w:t>
            </w:r>
          </w:p>
        </w:tc>
        <w:tc>
          <w:tcPr>
            <w:tcW w:w="425" w:type="pct"/>
            <w:tcBorders>
              <w:top w:val="nil"/>
              <w:left w:val="nil"/>
              <w:bottom w:val="single" w:sz="4" w:space="0" w:color="auto"/>
              <w:right w:val="single" w:sz="4" w:space="0" w:color="auto"/>
            </w:tcBorders>
            <w:shd w:val="clear" w:color="000000" w:fill="FFFFFF"/>
            <w:vAlign w:val="center"/>
            <w:hideMark/>
          </w:tcPr>
          <w:p w14:paraId="239271FB"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6.732</w:t>
            </w:r>
          </w:p>
        </w:tc>
        <w:tc>
          <w:tcPr>
            <w:tcW w:w="425" w:type="pct"/>
            <w:tcBorders>
              <w:top w:val="nil"/>
              <w:left w:val="nil"/>
              <w:bottom w:val="single" w:sz="4" w:space="0" w:color="auto"/>
              <w:right w:val="single" w:sz="4" w:space="0" w:color="auto"/>
            </w:tcBorders>
            <w:shd w:val="clear" w:color="000000" w:fill="FFFFFF"/>
            <w:vAlign w:val="center"/>
            <w:hideMark/>
          </w:tcPr>
          <w:p w14:paraId="442B6215"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8.992</w:t>
            </w:r>
          </w:p>
        </w:tc>
        <w:tc>
          <w:tcPr>
            <w:tcW w:w="558" w:type="pct"/>
            <w:tcBorders>
              <w:top w:val="nil"/>
              <w:left w:val="nil"/>
              <w:bottom w:val="single" w:sz="4" w:space="0" w:color="auto"/>
              <w:right w:val="single" w:sz="4" w:space="0" w:color="auto"/>
            </w:tcBorders>
            <w:shd w:val="clear" w:color="000000" w:fill="FFFFFF"/>
            <w:vAlign w:val="center"/>
            <w:hideMark/>
          </w:tcPr>
          <w:p w14:paraId="4F5E866F"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19.495</w:t>
            </w:r>
          </w:p>
        </w:tc>
        <w:tc>
          <w:tcPr>
            <w:tcW w:w="750" w:type="pct"/>
            <w:tcBorders>
              <w:top w:val="nil"/>
              <w:left w:val="nil"/>
              <w:bottom w:val="single" w:sz="4" w:space="0" w:color="auto"/>
              <w:right w:val="single" w:sz="4" w:space="0" w:color="auto"/>
            </w:tcBorders>
            <w:shd w:val="clear" w:color="000000" w:fill="FFFFFF"/>
            <w:vAlign w:val="center"/>
            <w:hideMark/>
          </w:tcPr>
          <w:p w14:paraId="7858431C"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19.495</w:t>
            </w:r>
          </w:p>
        </w:tc>
      </w:tr>
      <w:tr w:rsidR="00A67A01" w:rsidRPr="006B7FAD" w14:paraId="7E8F4292"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231C6785"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EN3. Gyvenamojo būsto vertės padidėjimas</w:t>
            </w:r>
          </w:p>
        </w:tc>
        <w:tc>
          <w:tcPr>
            <w:tcW w:w="534" w:type="pct"/>
            <w:tcBorders>
              <w:top w:val="nil"/>
              <w:left w:val="nil"/>
              <w:bottom w:val="single" w:sz="4" w:space="0" w:color="auto"/>
              <w:right w:val="single" w:sz="4" w:space="0" w:color="auto"/>
            </w:tcBorders>
            <w:shd w:val="clear" w:color="000000" w:fill="FFFFFF"/>
            <w:vAlign w:val="center"/>
            <w:hideMark/>
          </w:tcPr>
          <w:p w14:paraId="13BC11E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10710A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831</w:t>
            </w:r>
          </w:p>
        </w:tc>
        <w:tc>
          <w:tcPr>
            <w:tcW w:w="425" w:type="pct"/>
            <w:tcBorders>
              <w:top w:val="nil"/>
              <w:left w:val="nil"/>
              <w:bottom w:val="single" w:sz="4" w:space="0" w:color="auto"/>
              <w:right w:val="single" w:sz="4" w:space="0" w:color="auto"/>
            </w:tcBorders>
            <w:shd w:val="clear" w:color="000000" w:fill="FFFFFF"/>
            <w:vAlign w:val="center"/>
            <w:hideMark/>
          </w:tcPr>
          <w:p w14:paraId="771597D3"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1.615</w:t>
            </w:r>
          </w:p>
        </w:tc>
        <w:tc>
          <w:tcPr>
            <w:tcW w:w="425" w:type="pct"/>
            <w:tcBorders>
              <w:top w:val="nil"/>
              <w:left w:val="nil"/>
              <w:bottom w:val="single" w:sz="4" w:space="0" w:color="auto"/>
              <w:right w:val="single" w:sz="4" w:space="0" w:color="auto"/>
            </w:tcBorders>
            <w:shd w:val="clear" w:color="000000" w:fill="FFFFFF"/>
            <w:vAlign w:val="center"/>
            <w:hideMark/>
          </w:tcPr>
          <w:p w14:paraId="126E615B"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2.083</w:t>
            </w:r>
          </w:p>
        </w:tc>
        <w:tc>
          <w:tcPr>
            <w:tcW w:w="558" w:type="pct"/>
            <w:tcBorders>
              <w:top w:val="nil"/>
              <w:left w:val="nil"/>
              <w:bottom w:val="single" w:sz="4" w:space="0" w:color="auto"/>
              <w:right w:val="single" w:sz="4" w:space="0" w:color="auto"/>
            </w:tcBorders>
            <w:shd w:val="clear" w:color="000000" w:fill="FFFFFF"/>
            <w:vAlign w:val="center"/>
            <w:hideMark/>
          </w:tcPr>
          <w:p w14:paraId="2F99A285"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4.529</w:t>
            </w:r>
          </w:p>
        </w:tc>
        <w:tc>
          <w:tcPr>
            <w:tcW w:w="750" w:type="pct"/>
            <w:tcBorders>
              <w:top w:val="nil"/>
              <w:left w:val="nil"/>
              <w:bottom w:val="single" w:sz="4" w:space="0" w:color="auto"/>
              <w:right w:val="single" w:sz="4" w:space="0" w:color="auto"/>
            </w:tcBorders>
            <w:shd w:val="clear" w:color="000000" w:fill="FFFFFF"/>
            <w:vAlign w:val="center"/>
            <w:hideMark/>
          </w:tcPr>
          <w:p w14:paraId="33FCA694"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4.529</w:t>
            </w:r>
          </w:p>
        </w:tc>
      </w:tr>
      <w:tr w:rsidR="00A67A01" w:rsidRPr="006B7FAD" w14:paraId="46A59081"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8F9CDD4"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EN4. Taršos sumažėjimas</w:t>
            </w:r>
          </w:p>
        </w:tc>
        <w:tc>
          <w:tcPr>
            <w:tcW w:w="534" w:type="pct"/>
            <w:tcBorders>
              <w:top w:val="nil"/>
              <w:left w:val="nil"/>
              <w:bottom w:val="single" w:sz="4" w:space="0" w:color="auto"/>
              <w:right w:val="single" w:sz="4" w:space="0" w:color="auto"/>
            </w:tcBorders>
            <w:shd w:val="clear" w:color="000000" w:fill="FFFFFF"/>
            <w:vAlign w:val="center"/>
            <w:hideMark/>
          </w:tcPr>
          <w:p w14:paraId="025A2259"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56E46C2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55</w:t>
            </w:r>
          </w:p>
        </w:tc>
        <w:tc>
          <w:tcPr>
            <w:tcW w:w="425" w:type="pct"/>
            <w:tcBorders>
              <w:top w:val="nil"/>
              <w:left w:val="nil"/>
              <w:bottom w:val="single" w:sz="4" w:space="0" w:color="auto"/>
              <w:right w:val="single" w:sz="4" w:space="0" w:color="auto"/>
            </w:tcBorders>
            <w:shd w:val="clear" w:color="000000" w:fill="FFFFFF"/>
            <w:vAlign w:val="center"/>
            <w:hideMark/>
          </w:tcPr>
          <w:p w14:paraId="1414DF85"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288</w:t>
            </w:r>
          </w:p>
        </w:tc>
        <w:tc>
          <w:tcPr>
            <w:tcW w:w="425" w:type="pct"/>
            <w:tcBorders>
              <w:top w:val="nil"/>
              <w:left w:val="nil"/>
              <w:bottom w:val="single" w:sz="4" w:space="0" w:color="auto"/>
              <w:right w:val="single" w:sz="4" w:space="0" w:color="auto"/>
            </w:tcBorders>
            <w:shd w:val="clear" w:color="000000" w:fill="FFFFFF"/>
            <w:vAlign w:val="center"/>
            <w:hideMark/>
          </w:tcPr>
          <w:p w14:paraId="7FCFBE44"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857</w:t>
            </w:r>
          </w:p>
        </w:tc>
        <w:tc>
          <w:tcPr>
            <w:tcW w:w="558" w:type="pct"/>
            <w:tcBorders>
              <w:top w:val="nil"/>
              <w:left w:val="nil"/>
              <w:bottom w:val="single" w:sz="4" w:space="0" w:color="auto"/>
              <w:right w:val="single" w:sz="4" w:space="0" w:color="auto"/>
            </w:tcBorders>
            <w:shd w:val="clear" w:color="000000" w:fill="FFFFFF"/>
            <w:vAlign w:val="center"/>
            <w:hideMark/>
          </w:tcPr>
          <w:p w14:paraId="5FC32572"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1.201</w:t>
            </w:r>
          </w:p>
        </w:tc>
        <w:tc>
          <w:tcPr>
            <w:tcW w:w="750" w:type="pct"/>
            <w:tcBorders>
              <w:top w:val="nil"/>
              <w:left w:val="nil"/>
              <w:bottom w:val="single" w:sz="4" w:space="0" w:color="auto"/>
              <w:right w:val="single" w:sz="4" w:space="0" w:color="auto"/>
            </w:tcBorders>
            <w:shd w:val="clear" w:color="000000" w:fill="FFFFFF"/>
            <w:vAlign w:val="center"/>
            <w:hideMark/>
          </w:tcPr>
          <w:p w14:paraId="5C807216"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2.606</w:t>
            </w:r>
          </w:p>
        </w:tc>
      </w:tr>
      <w:tr w:rsidR="00A67A01" w:rsidRPr="006B7FAD" w14:paraId="38497DDC"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58A58EE3"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EN5. Sumažėjusios išmokos</w:t>
            </w:r>
          </w:p>
        </w:tc>
        <w:tc>
          <w:tcPr>
            <w:tcW w:w="534" w:type="pct"/>
            <w:tcBorders>
              <w:top w:val="nil"/>
              <w:left w:val="nil"/>
              <w:bottom w:val="single" w:sz="4" w:space="0" w:color="auto"/>
              <w:right w:val="single" w:sz="4" w:space="0" w:color="auto"/>
            </w:tcBorders>
            <w:shd w:val="clear" w:color="000000" w:fill="FFFFFF"/>
            <w:vAlign w:val="center"/>
            <w:hideMark/>
          </w:tcPr>
          <w:p w14:paraId="62677520" w14:textId="77777777" w:rsidR="00A67A01" w:rsidRPr="001425FE" w:rsidRDefault="00A67A01" w:rsidP="00910123">
            <w:pPr>
              <w:spacing w:line="240" w:lineRule="auto"/>
              <w:rPr>
                <w:rFonts w:ascii="Times New Roman" w:eastAsia="Times New Roman" w:hAnsi="Times New Roman"/>
                <w:sz w:val="20"/>
                <w:szCs w:val="20"/>
              </w:rPr>
            </w:pPr>
            <w:r w:rsidRPr="001425FE">
              <w:rPr>
                <w:rFonts w:ascii="Times New Roman" w:eastAsia="Times New Roman" w:hAnsi="Times New Roman"/>
                <w:sz w:val="20"/>
                <w:szCs w:val="20"/>
              </w:rPr>
              <w:t xml:space="preserve">mln. </w:t>
            </w:r>
            <w:proofErr w:type="spellStart"/>
            <w:r w:rsidRPr="001425FE">
              <w:rPr>
                <w:rFonts w:ascii="Times New Roman" w:eastAsia="Times New Roman" w:hAnsi="Times New Roman"/>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6054496"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32</w:t>
            </w:r>
          </w:p>
        </w:tc>
        <w:tc>
          <w:tcPr>
            <w:tcW w:w="425" w:type="pct"/>
            <w:tcBorders>
              <w:top w:val="nil"/>
              <w:left w:val="nil"/>
              <w:bottom w:val="single" w:sz="4" w:space="0" w:color="auto"/>
              <w:right w:val="single" w:sz="4" w:space="0" w:color="auto"/>
            </w:tcBorders>
            <w:shd w:val="clear" w:color="000000" w:fill="FFFFFF"/>
            <w:vAlign w:val="center"/>
            <w:hideMark/>
          </w:tcPr>
          <w:p w14:paraId="032500EB"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89</w:t>
            </w:r>
          </w:p>
        </w:tc>
        <w:tc>
          <w:tcPr>
            <w:tcW w:w="425" w:type="pct"/>
            <w:tcBorders>
              <w:top w:val="nil"/>
              <w:left w:val="nil"/>
              <w:bottom w:val="single" w:sz="4" w:space="0" w:color="auto"/>
              <w:right w:val="single" w:sz="4" w:space="0" w:color="auto"/>
            </w:tcBorders>
            <w:shd w:val="clear" w:color="000000" w:fill="FFFFFF"/>
            <w:vAlign w:val="center"/>
            <w:hideMark/>
          </w:tcPr>
          <w:p w14:paraId="3DA0E35B"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147</w:t>
            </w:r>
          </w:p>
        </w:tc>
        <w:tc>
          <w:tcPr>
            <w:tcW w:w="558" w:type="pct"/>
            <w:tcBorders>
              <w:top w:val="nil"/>
              <w:left w:val="nil"/>
              <w:bottom w:val="single" w:sz="4" w:space="0" w:color="auto"/>
              <w:right w:val="single" w:sz="4" w:space="0" w:color="auto"/>
            </w:tcBorders>
            <w:shd w:val="clear" w:color="000000" w:fill="FFFFFF"/>
            <w:vAlign w:val="center"/>
            <w:hideMark/>
          </w:tcPr>
          <w:p w14:paraId="603EE570"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268</w:t>
            </w:r>
          </w:p>
        </w:tc>
        <w:tc>
          <w:tcPr>
            <w:tcW w:w="750" w:type="pct"/>
            <w:tcBorders>
              <w:top w:val="nil"/>
              <w:left w:val="nil"/>
              <w:bottom w:val="single" w:sz="4" w:space="0" w:color="auto"/>
              <w:right w:val="single" w:sz="4" w:space="0" w:color="auto"/>
            </w:tcBorders>
            <w:shd w:val="clear" w:color="000000" w:fill="FFFFFF"/>
            <w:vAlign w:val="center"/>
            <w:hideMark/>
          </w:tcPr>
          <w:p w14:paraId="67F4E030" w14:textId="77777777" w:rsidR="00A67A01" w:rsidRPr="001425FE" w:rsidRDefault="00A67A01" w:rsidP="00910123">
            <w:pPr>
              <w:spacing w:line="240" w:lineRule="auto"/>
              <w:jc w:val="right"/>
              <w:rPr>
                <w:rFonts w:ascii="Times New Roman" w:eastAsia="Times New Roman" w:hAnsi="Times New Roman"/>
                <w:sz w:val="20"/>
                <w:szCs w:val="20"/>
              </w:rPr>
            </w:pPr>
            <w:r w:rsidRPr="001425FE">
              <w:rPr>
                <w:rFonts w:ascii="Times New Roman" w:eastAsia="Times New Roman" w:hAnsi="Times New Roman"/>
                <w:sz w:val="20"/>
                <w:szCs w:val="20"/>
              </w:rPr>
              <w:t>268</w:t>
            </w:r>
          </w:p>
        </w:tc>
      </w:tr>
      <w:tr w:rsidR="00A67A01" w:rsidRPr="006B7FAD" w14:paraId="146FDC37" w14:textId="77777777" w:rsidTr="00910123">
        <w:trPr>
          <w:trHeight w:val="177"/>
        </w:trPr>
        <w:tc>
          <w:tcPr>
            <w:tcW w:w="1875" w:type="pct"/>
            <w:tcBorders>
              <w:top w:val="nil"/>
              <w:left w:val="single" w:sz="4" w:space="0" w:color="auto"/>
              <w:bottom w:val="single" w:sz="4" w:space="0" w:color="auto"/>
              <w:right w:val="single" w:sz="4" w:space="0" w:color="auto"/>
            </w:tcBorders>
            <w:shd w:val="clear" w:color="000000" w:fill="FFFFFF"/>
            <w:vAlign w:val="center"/>
            <w:hideMark/>
          </w:tcPr>
          <w:p w14:paraId="766E3464" w14:textId="77777777" w:rsidR="00A67A01" w:rsidRPr="006B7FAD" w:rsidRDefault="00A67A01" w:rsidP="00910123">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Iš viso su papildomomis </w:t>
            </w:r>
            <w:proofErr w:type="spellStart"/>
            <w:r w:rsidRPr="006B7FAD">
              <w:rPr>
                <w:rFonts w:ascii="Times New Roman" w:eastAsia="Times New Roman" w:hAnsi="Times New Roman"/>
                <w:b/>
                <w:bCs/>
                <w:sz w:val="20"/>
                <w:szCs w:val="20"/>
              </w:rPr>
              <w:t>naudomis</w:t>
            </w:r>
            <w:proofErr w:type="spellEnd"/>
            <w:r w:rsidRPr="006B7FAD">
              <w:rPr>
                <w:rFonts w:ascii="Times New Roman" w:eastAsia="Times New Roman" w:hAnsi="Times New Roman"/>
                <w:b/>
                <w:bCs/>
                <w:sz w:val="20"/>
                <w:szCs w:val="20"/>
              </w:rPr>
              <w:t>:</w:t>
            </w:r>
          </w:p>
        </w:tc>
        <w:tc>
          <w:tcPr>
            <w:tcW w:w="534" w:type="pct"/>
            <w:tcBorders>
              <w:top w:val="nil"/>
              <w:left w:val="nil"/>
              <w:bottom w:val="single" w:sz="4" w:space="0" w:color="auto"/>
              <w:right w:val="single" w:sz="4" w:space="0" w:color="auto"/>
            </w:tcBorders>
            <w:shd w:val="clear" w:color="000000" w:fill="FFFFFF"/>
            <w:vAlign w:val="center"/>
            <w:hideMark/>
          </w:tcPr>
          <w:p w14:paraId="7CDCC780" w14:textId="77777777" w:rsidR="00A67A01" w:rsidRPr="006B7FAD" w:rsidRDefault="00A67A01" w:rsidP="00910123">
            <w:pPr>
              <w:spacing w:line="240" w:lineRule="auto"/>
              <w:rPr>
                <w:rFonts w:ascii="Times New Roman" w:eastAsia="Times New Roman" w:hAnsi="Times New Roman"/>
                <w:b/>
                <w:bCs/>
                <w:sz w:val="20"/>
                <w:szCs w:val="20"/>
              </w:rPr>
            </w:pPr>
            <w:r w:rsidRPr="006B7FAD">
              <w:rPr>
                <w:rFonts w:ascii="Times New Roman" w:eastAsia="Times New Roman" w:hAnsi="Times New Roman"/>
                <w:b/>
                <w:bCs/>
                <w:sz w:val="20"/>
                <w:szCs w:val="20"/>
              </w:rPr>
              <w:t xml:space="preserve">mln. </w:t>
            </w:r>
            <w:proofErr w:type="spellStart"/>
            <w:r w:rsidRPr="006B7FAD">
              <w:rPr>
                <w:rFonts w:ascii="Times New Roman" w:eastAsia="Times New Roman" w:hAnsi="Times New Roman"/>
                <w:b/>
                <w:bCs/>
                <w:sz w:val="20"/>
                <w:szCs w:val="20"/>
              </w:rPr>
              <w:t>Eur</w:t>
            </w:r>
            <w:proofErr w:type="spellEnd"/>
          </w:p>
        </w:tc>
        <w:tc>
          <w:tcPr>
            <w:tcW w:w="433" w:type="pct"/>
            <w:tcBorders>
              <w:top w:val="nil"/>
              <w:left w:val="nil"/>
              <w:bottom w:val="single" w:sz="4" w:space="0" w:color="auto"/>
              <w:right w:val="single" w:sz="4" w:space="0" w:color="auto"/>
            </w:tcBorders>
            <w:shd w:val="clear" w:color="000000" w:fill="FFFFFF"/>
            <w:vAlign w:val="center"/>
            <w:hideMark/>
          </w:tcPr>
          <w:p w14:paraId="3CDE7E59" w14:textId="77777777" w:rsidR="00A67A01" w:rsidRPr="006B7FAD" w:rsidRDefault="00A67A01" w:rsidP="00910123">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11.910</w:t>
            </w:r>
          </w:p>
        </w:tc>
        <w:tc>
          <w:tcPr>
            <w:tcW w:w="425" w:type="pct"/>
            <w:tcBorders>
              <w:top w:val="nil"/>
              <w:left w:val="nil"/>
              <w:bottom w:val="single" w:sz="4" w:space="0" w:color="auto"/>
              <w:right w:val="single" w:sz="4" w:space="0" w:color="auto"/>
            </w:tcBorders>
            <w:shd w:val="clear" w:color="000000" w:fill="FFFFFF"/>
            <w:vAlign w:val="center"/>
            <w:hideMark/>
          </w:tcPr>
          <w:p w14:paraId="3EA1F81F" w14:textId="77777777" w:rsidR="00A67A01" w:rsidRPr="006B7FAD" w:rsidRDefault="00A67A01" w:rsidP="00910123">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24.842</w:t>
            </w:r>
          </w:p>
        </w:tc>
        <w:tc>
          <w:tcPr>
            <w:tcW w:w="425" w:type="pct"/>
            <w:tcBorders>
              <w:top w:val="nil"/>
              <w:left w:val="nil"/>
              <w:bottom w:val="single" w:sz="4" w:space="0" w:color="auto"/>
              <w:right w:val="single" w:sz="4" w:space="0" w:color="auto"/>
            </w:tcBorders>
            <w:shd w:val="clear" w:color="000000" w:fill="FFFFFF"/>
            <w:vAlign w:val="center"/>
            <w:hideMark/>
          </w:tcPr>
          <w:p w14:paraId="66B8844B" w14:textId="77777777" w:rsidR="00A67A01" w:rsidRPr="006B7FAD" w:rsidRDefault="00A67A01" w:rsidP="00910123">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38.600</w:t>
            </w:r>
          </w:p>
        </w:tc>
        <w:tc>
          <w:tcPr>
            <w:tcW w:w="558" w:type="pct"/>
            <w:tcBorders>
              <w:top w:val="nil"/>
              <w:left w:val="nil"/>
              <w:bottom w:val="single" w:sz="4" w:space="0" w:color="auto"/>
              <w:right w:val="single" w:sz="4" w:space="0" w:color="auto"/>
            </w:tcBorders>
            <w:shd w:val="clear" w:color="000000" w:fill="FFFFFF"/>
            <w:vAlign w:val="center"/>
            <w:hideMark/>
          </w:tcPr>
          <w:p w14:paraId="4FB81294" w14:textId="77777777" w:rsidR="00A67A01" w:rsidRPr="001425FE" w:rsidRDefault="00A67A01" w:rsidP="00910123">
            <w:pPr>
              <w:spacing w:line="240" w:lineRule="auto"/>
              <w:jc w:val="right"/>
              <w:rPr>
                <w:rFonts w:ascii="Times New Roman" w:eastAsia="Times New Roman" w:hAnsi="Times New Roman"/>
                <w:b/>
                <w:bCs/>
                <w:sz w:val="20"/>
                <w:szCs w:val="20"/>
              </w:rPr>
            </w:pPr>
            <w:r w:rsidRPr="001425FE">
              <w:rPr>
                <w:rFonts w:ascii="Times New Roman" w:eastAsia="Times New Roman" w:hAnsi="Times New Roman"/>
                <w:b/>
                <w:bCs/>
                <w:sz w:val="20"/>
                <w:szCs w:val="20"/>
              </w:rPr>
              <w:t>75.351</w:t>
            </w:r>
          </w:p>
        </w:tc>
        <w:tc>
          <w:tcPr>
            <w:tcW w:w="750" w:type="pct"/>
            <w:tcBorders>
              <w:top w:val="nil"/>
              <w:left w:val="nil"/>
              <w:bottom w:val="single" w:sz="4" w:space="0" w:color="auto"/>
              <w:right w:val="single" w:sz="4" w:space="0" w:color="auto"/>
            </w:tcBorders>
            <w:shd w:val="clear" w:color="000000" w:fill="FFFFFF"/>
            <w:vAlign w:val="center"/>
            <w:hideMark/>
          </w:tcPr>
          <w:p w14:paraId="63AD8FBB" w14:textId="77777777" w:rsidR="00A67A01" w:rsidRPr="006B7FAD" w:rsidRDefault="00A67A01" w:rsidP="00910123">
            <w:pPr>
              <w:spacing w:line="240" w:lineRule="auto"/>
              <w:jc w:val="right"/>
              <w:rPr>
                <w:rFonts w:ascii="Times New Roman" w:eastAsia="Times New Roman" w:hAnsi="Times New Roman"/>
                <w:b/>
                <w:bCs/>
                <w:sz w:val="20"/>
                <w:szCs w:val="20"/>
              </w:rPr>
            </w:pPr>
            <w:r w:rsidRPr="006B7FAD">
              <w:rPr>
                <w:rFonts w:ascii="Times New Roman" w:eastAsia="Times New Roman" w:hAnsi="Times New Roman"/>
                <w:b/>
                <w:bCs/>
                <w:sz w:val="20"/>
                <w:szCs w:val="20"/>
              </w:rPr>
              <w:t>100.020</w:t>
            </w:r>
          </w:p>
        </w:tc>
      </w:tr>
    </w:tbl>
    <w:p w14:paraId="2C61F3E9" w14:textId="77777777" w:rsidR="000A008D" w:rsidRDefault="000A008D" w:rsidP="00631BA6">
      <w:pPr>
        <w:pStyle w:val="TESlentelspavadinimas"/>
        <w:rPr>
          <w:noProof w:val="0"/>
        </w:rPr>
      </w:pPr>
    </w:p>
    <w:p w14:paraId="55DA3FB6" w14:textId="77777777" w:rsidR="000A008D" w:rsidRDefault="000A008D" w:rsidP="00631BA6">
      <w:pPr>
        <w:pStyle w:val="TESlentelspavadinimas"/>
        <w:rPr>
          <w:noProof w:val="0"/>
        </w:rPr>
      </w:pPr>
    </w:p>
    <w:p w14:paraId="44D6EC77" w14:textId="77777777" w:rsidR="000A008D" w:rsidRDefault="000A008D" w:rsidP="00631BA6">
      <w:pPr>
        <w:pStyle w:val="TESlentelspavadinimas"/>
        <w:rPr>
          <w:noProof w:val="0"/>
        </w:rPr>
      </w:pPr>
    </w:p>
    <w:p w14:paraId="7A618785" w14:textId="13A8B185" w:rsidR="00FE3B6D" w:rsidRPr="00650EE4" w:rsidRDefault="00FE3B6D" w:rsidP="00631BA6">
      <w:pPr>
        <w:pStyle w:val="TESlentelspavadinimas"/>
        <w:rPr>
          <w:noProof w:val="0"/>
        </w:rPr>
      </w:pPr>
      <w:r w:rsidRPr="00650EE4">
        <w:rPr>
          <w:noProof w:val="0"/>
        </w:rPr>
        <w:t xml:space="preserve">Šaltinis: </w:t>
      </w:r>
      <w:r w:rsidR="006C489E" w:rsidRPr="00650EE4">
        <w:rPr>
          <w:noProof w:val="0"/>
        </w:rPr>
        <w:t>S</w:t>
      </w:r>
      <w:r w:rsidRPr="00650EE4">
        <w:rPr>
          <w:noProof w:val="0"/>
        </w:rPr>
        <w:t xml:space="preserve">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78F383C2" w14:textId="07736580" w:rsidR="008609A8" w:rsidRPr="00650EE4" w:rsidRDefault="008609A8" w:rsidP="00217B0B">
      <w:pPr>
        <w:rPr>
          <w:rFonts w:ascii="Times New Roman" w:hAnsi="Times New Roman"/>
          <w:color w:val="000000" w:themeColor="text1"/>
          <w:szCs w:val="22"/>
        </w:rPr>
      </w:pPr>
    </w:p>
    <w:p w14:paraId="508214D7" w14:textId="269D3B2A" w:rsidR="00776CA7" w:rsidRPr="00650EE4" w:rsidRDefault="00776CA7" w:rsidP="00776CA7">
      <w:pPr>
        <w:spacing w:after="120"/>
        <w:rPr>
          <w:rFonts w:ascii="Times New Roman" w:hAnsi="Times New Roman"/>
          <w:color w:val="000000" w:themeColor="text1"/>
          <w:szCs w:val="22"/>
        </w:rPr>
      </w:pPr>
      <w:r w:rsidRPr="00650EE4">
        <w:rPr>
          <w:rFonts w:ascii="Times New Roman" w:hAnsi="Times New Roman"/>
          <w:color w:val="000000" w:themeColor="text1"/>
          <w:szCs w:val="22"/>
        </w:rPr>
        <w:t>Apibendrinant aukščiau pateiktus duomenis galima pastebėti, kad:</w:t>
      </w:r>
    </w:p>
    <w:p w14:paraId="1FD0E667" w14:textId="72BBBEE8"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r</w:t>
      </w:r>
      <w:r w:rsidR="00776CA7" w:rsidRPr="00650EE4">
        <w:rPr>
          <w:rFonts w:ascii="Times New Roman" w:hAnsi="Times New Roman"/>
          <w:szCs w:val="22"/>
        </w:rPr>
        <w:t>eikšminga dalis naudų persikelia (yra gaunama) į laikotarpį po renovacijos įgyvendinimo</w:t>
      </w:r>
      <w:r w:rsidR="002E34FB" w:rsidRPr="00650EE4">
        <w:rPr>
          <w:rFonts w:ascii="Times New Roman" w:hAnsi="Times New Roman"/>
          <w:szCs w:val="22"/>
        </w:rPr>
        <w:t xml:space="preserve"> (po 2050 m.)</w:t>
      </w:r>
      <w:r w:rsidR="00776CA7" w:rsidRPr="00650EE4">
        <w:rPr>
          <w:rFonts w:ascii="Times New Roman" w:hAnsi="Times New Roman"/>
          <w:szCs w:val="22"/>
        </w:rPr>
        <w:t>, pvz., 2050 metais renovuotas pastata</w:t>
      </w:r>
      <w:r>
        <w:rPr>
          <w:rFonts w:ascii="Times New Roman" w:hAnsi="Times New Roman"/>
          <w:szCs w:val="22"/>
        </w:rPr>
        <w:t>s taupys energiją</w:t>
      </w:r>
      <w:r w:rsidR="00175A5A">
        <w:rPr>
          <w:rFonts w:ascii="Times New Roman" w:hAnsi="Times New Roman"/>
          <w:szCs w:val="22"/>
        </w:rPr>
        <w:t xml:space="preserve"> bent</w:t>
      </w:r>
      <w:r>
        <w:rPr>
          <w:rFonts w:ascii="Times New Roman" w:hAnsi="Times New Roman"/>
          <w:szCs w:val="22"/>
        </w:rPr>
        <w:t xml:space="preserve"> iki 2079 metų;</w:t>
      </w:r>
    </w:p>
    <w:p w14:paraId="3D8423A9" w14:textId="3A49B738"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n</w:t>
      </w:r>
      <w:r w:rsidR="00776CA7" w:rsidRPr="00650EE4">
        <w:rPr>
          <w:rFonts w:ascii="Times New Roman" w:hAnsi="Times New Roman"/>
          <w:szCs w:val="22"/>
        </w:rPr>
        <w:t xml:space="preserve">et ir renovacijos strategijos </w:t>
      </w:r>
      <w:r w:rsidR="002E34FB" w:rsidRPr="00650EE4">
        <w:rPr>
          <w:rFonts w:ascii="Times New Roman" w:hAnsi="Times New Roman"/>
          <w:szCs w:val="22"/>
        </w:rPr>
        <w:t xml:space="preserve">įgyvendinimo </w:t>
      </w:r>
      <w:r w:rsidR="00776CA7" w:rsidRPr="00650EE4">
        <w:rPr>
          <w:rFonts w:ascii="Times New Roman" w:hAnsi="Times New Roman"/>
          <w:szCs w:val="22"/>
        </w:rPr>
        <w:t>laikotarpiu</w:t>
      </w:r>
      <w:r w:rsidR="002E34FB" w:rsidRPr="00650EE4">
        <w:rPr>
          <w:rFonts w:ascii="Times New Roman" w:hAnsi="Times New Roman"/>
          <w:szCs w:val="22"/>
        </w:rPr>
        <w:t xml:space="preserve"> (2021-2050 m.)</w:t>
      </w:r>
      <w:r w:rsidR="00776CA7" w:rsidRPr="00650EE4">
        <w:rPr>
          <w:rFonts w:ascii="Times New Roman" w:hAnsi="Times New Roman"/>
          <w:szCs w:val="22"/>
        </w:rPr>
        <w:t xml:space="preserve"> papildomos</w:t>
      </w:r>
      <w:r w:rsidR="002E34FB" w:rsidRPr="00650EE4">
        <w:rPr>
          <w:rFonts w:ascii="Times New Roman" w:hAnsi="Times New Roman"/>
          <w:szCs w:val="22"/>
        </w:rPr>
        <w:t xml:space="preserve"> naudos viršija </w:t>
      </w:r>
      <w:r w:rsidR="00066535" w:rsidRPr="00650EE4">
        <w:rPr>
          <w:rFonts w:ascii="Times New Roman" w:hAnsi="Times New Roman"/>
          <w:szCs w:val="22"/>
        </w:rPr>
        <w:t>investicij</w:t>
      </w:r>
      <w:r>
        <w:rPr>
          <w:rFonts w:ascii="Times New Roman" w:hAnsi="Times New Roman"/>
          <w:szCs w:val="22"/>
        </w:rPr>
        <w:t>as, t.y. investicijos atsiperka;</w:t>
      </w:r>
    </w:p>
    <w:p w14:paraId="6E622DF1" w14:textId="7C2F5A1D" w:rsidR="00776CA7"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p</w:t>
      </w:r>
      <w:r w:rsidR="00776CA7" w:rsidRPr="00650EE4">
        <w:rPr>
          <w:rFonts w:ascii="Times New Roman" w:hAnsi="Times New Roman"/>
          <w:szCs w:val="22"/>
        </w:rPr>
        <w:t>latesnio masto naudos yra reikšmingai didesnės nei tiesioginė renovacijos nauda – sutaupyt</w:t>
      </w:r>
      <w:r w:rsidR="00066535" w:rsidRPr="00650EE4">
        <w:rPr>
          <w:rFonts w:ascii="Times New Roman" w:hAnsi="Times New Roman"/>
          <w:szCs w:val="22"/>
        </w:rPr>
        <w:t>os</w:t>
      </w:r>
      <w:r w:rsidR="00776CA7" w:rsidRPr="00650EE4">
        <w:rPr>
          <w:rFonts w:ascii="Times New Roman" w:hAnsi="Times New Roman"/>
          <w:szCs w:val="22"/>
        </w:rPr>
        <w:t xml:space="preserve"> energij</w:t>
      </w:r>
      <w:r w:rsidR="00066535" w:rsidRPr="00650EE4">
        <w:rPr>
          <w:rFonts w:ascii="Times New Roman" w:hAnsi="Times New Roman"/>
          <w:szCs w:val="22"/>
        </w:rPr>
        <w:t>os</w:t>
      </w:r>
      <w:r w:rsidR="00776CA7" w:rsidRPr="00650EE4">
        <w:rPr>
          <w:rFonts w:ascii="Times New Roman" w:hAnsi="Times New Roman"/>
          <w:szCs w:val="22"/>
        </w:rPr>
        <w:t xml:space="preserve"> ir CO</w:t>
      </w:r>
      <w:r w:rsidR="00776CA7" w:rsidRPr="00650EE4">
        <w:rPr>
          <w:rFonts w:ascii="Times New Roman" w:hAnsi="Times New Roman"/>
          <w:szCs w:val="22"/>
          <w:vertAlign w:val="subscript"/>
        </w:rPr>
        <w:t>2</w:t>
      </w:r>
      <w:r w:rsidR="00776CA7" w:rsidRPr="00650EE4">
        <w:rPr>
          <w:rFonts w:ascii="Times New Roman" w:hAnsi="Times New Roman"/>
          <w:szCs w:val="22"/>
        </w:rPr>
        <w:t xml:space="preserve"> emisij</w:t>
      </w:r>
      <w:r w:rsidR="00066535" w:rsidRPr="00650EE4">
        <w:rPr>
          <w:rFonts w:ascii="Times New Roman" w:hAnsi="Times New Roman"/>
          <w:szCs w:val="22"/>
        </w:rPr>
        <w:t>ų vertė</w:t>
      </w:r>
      <w:r w:rsidR="00C70C73" w:rsidRPr="00650EE4">
        <w:rPr>
          <w:rFonts w:ascii="Times New Roman" w:hAnsi="Times New Roman"/>
          <w:szCs w:val="22"/>
        </w:rPr>
        <w:t>, v</w:t>
      </w:r>
      <w:r>
        <w:rPr>
          <w:rFonts w:ascii="Times New Roman" w:hAnsi="Times New Roman"/>
          <w:szCs w:val="22"/>
        </w:rPr>
        <w:t>isais vertinamais laikotarpiais;</w:t>
      </w:r>
    </w:p>
    <w:p w14:paraId="7F09B0F8" w14:textId="067F3820" w:rsidR="00282BD1"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p</w:t>
      </w:r>
      <w:r w:rsidR="008F5A3B" w:rsidRPr="00650EE4">
        <w:rPr>
          <w:rFonts w:ascii="Times New Roman" w:hAnsi="Times New Roman"/>
          <w:szCs w:val="22"/>
        </w:rPr>
        <w:t xml:space="preserve">latesnio masto naudų skaičiavimai pateikia visų naudų suminį rezultatą visiems naudos gavėjams (pastato savininkui, valstybės biudžetui, kitiems piliečiams ir kt.). </w:t>
      </w:r>
      <w:r w:rsidR="00282BD1" w:rsidRPr="00650EE4">
        <w:rPr>
          <w:rFonts w:ascii="Times New Roman" w:hAnsi="Times New Roman"/>
          <w:szCs w:val="22"/>
        </w:rPr>
        <w:t xml:space="preserve">Vertinant </w:t>
      </w:r>
      <w:r w:rsidR="008D52D4" w:rsidRPr="00650EE4">
        <w:rPr>
          <w:rFonts w:ascii="Times New Roman" w:hAnsi="Times New Roman"/>
          <w:szCs w:val="22"/>
        </w:rPr>
        <w:t>naudų</w:t>
      </w:r>
      <w:r w:rsidR="008F5A3B" w:rsidRPr="00650EE4">
        <w:rPr>
          <w:rFonts w:ascii="Times New Roman" w:hAnsi="Times New Roman"/>
          <w:szCs w:val="22"/>
        </w:rPr>
        <w:t xml:space="preserve"> skaičiavimo</w:t>
      </w:r>
      <w:r w:rsidR="008D52D4" w:rsidRPr="00650EE4">
        <w:rPr>
          <w:rFonts w:ascii="Times New Roman" w:hAnsi="Times New Roman"/>
          <w:szCs w:val="22"/>
        </w:rPr>
        <w:t xml:space="preserve"> rezultatus </w:t>
      </w:r>
      <w:r w:rsidR="008F5A3B" w:rsidRPr="00650EE4">
        <w:rPr>
          <w:rFonts w:ascii="Times New Roman" w:hAnsi="Times New Roman"/>
          <w:szCs w:val="22"/>
        </w:rPr>
        <w:t>iš atskiro</w:t>
      </w:r>
      <w:r w:rsidR="008D52D4" w:rsidRPr="00650EE4">
        <w:rPr>
          <w:rFonts w:ascii="Times New Roman" w:hAnsi="Times New Roman"/>
          <w:szCs w:val="22"/>
        </w:rPr>
        <w:t xml:space="preserve"> naudos gavėjo perspektyv</w:t>
      </w:r>
      <w:r>
        <w:rPr>
          <w:rFonts w:ascii="Times New Roman" w:hAnsi="Times New Roman"/>
          <w:szCs w:val="22"/>
        </w:rPr>
        <w:t>os, jos gali skirtis;</w:t>
      </w:r>
    </w:p>
    <w:p w14:paraId="4B62895A" w14:textId="59EDB62E" w:rsidR="006321DC" w:rsidRPr="00650EE4" w:rsidRDefault="00D23408" w:rsidP="003B3326">
      <w:pPr>
        <w:pStyle w:val="Pagrindinispaprastastekstas"/>
        <w:numPr>
          <w:ilvl w:val="0"/>
          <w:numId w:val="10"/>
        </w:numPr>
        <w:spacing w:after="60"/>
        <w:ind w:left="714" w:hanging="357"/>
        <w:rPr>
          <w:rFonts w:ascii="Times New Roman" w:hAnsi="Times New Roman"/>
          <w:szCs w:val="22"/>
        </w:rPr>
      </w:pPr>
      <w:r>
        <w:rPr>
          <w:rFonts w:ascii="Times New Roman" w:hAnsi="Times New Roman"/>
          <w:szCs w:val="22"/>
        </w:rPr>
        <w:t>v</w:t>
      </w:r>
      <w:r w:rsidR="006321DC" w:rsidRPr="00650EE4">
        <w:rPr>
          <w:rFonts w:ascii="Times New Roman" w:hAnsi="Times New Roman"/>
          <w:szCs w:val="22"/>
        </w:rPr>
        <w:t>ertinant renovacijos investicijas nėra atsižvelgiama į faktą, kad dalį investicijų pastatuose atlikti būtina norint jį toliau naudoti</w:t>
      </w:r>
      <w:r w:rsidR="00835DE7" w:rsidRPr="00650EE4">
        <w:rPr>
          <w:rFonts w:ascii="Times New Roman" w:hAnsi="Times New Roman"/>
          <w:szCs w:val="22"/>
        </w:rPr>
        <w:t xml:space="preserve"> (net ir neatliekant renovacijos)</w:t>
      </w:r>
      <w:r w:rsidR="006321DC" w:rsidRPr="00650EE4">
        <w:rPr>
          <w:rFonts w:ascii="Times New Roman" w:hAnsi="Times New Roman"/>
          <w:szCs w:val="22"/>
        </w:rPr>
        <w:t>. Tikėtina, kad atlikus tokį vertinimą, renovacijos investicijos būtų mažesnės.</w:t>
      </w:r>
    </w:p>
    <w:p w14:paraId="08223E7E" w14:textId="77777777" w:rsidR="00232EC4" w:rsidRPr="00650EE4" w:rsidRDefault="00232EC4" w:rsidP="000011E5">
      <w:pPr>
        <w:pStyle w:val="Pagrindinispaprastastekstas"/>
        <w:rPr>
          <w:rFonts w:ascii="Times New Roman" w:hAnsi="Times New Roman"/>
          <w:szCs w:val="22"/>
        </w:rPr>
      </w:pPr>
    </w:p>
    <w:p w14:paraId="4ED915FD" w14:textId="03766818" w:rsidR="00232EC4" w:rsidRPr="00650EE4" w:rsidRDefault="00232EC4" w:rsidP="000011E5">
      <w:pPr>
        <w:pStyle w:val="Pagrindinispaprastastekstas"/>
        <w:rPr>
          <w:rFonts w:ascii="Times New Roman" w:hAnsi="Times New Roman"/>
          <w:szCs w:val="22"/>
        </w:rPr>
      </w:pPr>
      <w:r w:rsidRPr="00650EE4">
        <w:rPr>
          <w:rFonts w:ascii="Times New Roman" w:hAnsi="Times New Roman"/>
          <w:szCs w:val="22"/>
        </w:rPr>
        <w:t>Toliau pateikiamas platesnio masto naudų apskaičiavimo aprašymas.</w:t>
      </w:r>
    </w:p>
    <w:p w14:paraId="1E5C2848" w14:textId="77777777" w:rsidR="00776CA7" w:rsidRPr="00650EE4" w:rsidRDefault="00776CA7" w:rsidP="000011E5">
      <w:pPr>
        <w:jc w:val="both"/>
        <w:rPr>
          <w:rFonts w:ascii="Times New Roman" w:hAnsi="Times New Roman"/>
          <w:color w:val="auto"/>
          <w:sz w:val="24"/>
          <w:szCs w:val="24"/>
        </w:rPr>
      </w:pPr>
    </w:p>
    <w:p w14:paraId="2CE5EA6A" w14:textId="40A2355F" w:rsidR="002C637B" w:rsidRPr="00650EE4" w:rsidRDefault="00FE3B6D" w:rsidP="000F7355">
      <w:pPr>
        <w:spacing w:after="120"/>
        <w:jc w:val="both"/>
        <w:rPr>
          <w:rFonts w:ascii="Times New Roman" w:hAnsi="Times New Roman"/>
          <w:b/>
          <w:bCs/>
          <w:szCs w:val="24"/>
        </w:rPr>
      </w:pPr>
      <w:r w:rsidRPr="00650EE4">
        <w:rPr>
          <w:rFonts w:ascii="Times New Roman" w:hAnsi="Times New Roman"/>
          <w:b/>
          <w:bCs/>
          <w:szCs w:val="24"/>
        </w:rPr>
        <w:t xml:space="preserve">N1. </w:t>
      </w:r>
      <w:r w:rsidR="002C637B" w:rsidRPr="00650EE4">
        <w:rPr>
          <w:rFonts w:ascii="Times New Roman" w:hAnsi="Times New Roman"/>
          <w:b/>
          <w:bCs/>
          <w:szCs w:val="24"/>
        </w:rPr>
        <w:t xml:space="preserve">Energijos </w:t>
      </w:r>
      <w:r w:rsidR="00F87AFE" w:rsidRPr="00650EE4">
        <w:rPr>
          <w:rFonts w:ascii="Times New Roman" w:hAnsi="Times New Roman"/>
          <w:b/>
          <w:bCs/>
          <w:szCs w:val="24"/>
        </w:rPr>
        <w:t xml:space="preserve">sąnaudų </w:t>
      </w:r>
      <w:r w:rsidR="00FE4802" w:rsidRPr="00650EE4">
        <w:rPr>
          <w:rFonts w:ascii="Times New Roman" w:hAnsi="Times New Roman"/>
          <w:b/>
          <w:bCs/>
          <w:szCs w:val="24"/>
        </w:rPr>
        <w:t>sumažėjimas</w:t>
      </w:r>
      <w:r w:rsidR="007A3B70" w:rsidRPr="00650EE4">
        <w:rPr>
          <w:rFonts w:ascii="Times New Roman" w:hAnsi="Times New Roman"/>
          <w:b/>
          <w:bCs/>
          <w:szCs w:val="24"/>
        </w:rPr>
        <w:t xml:space="preserve"> </w:t>
      </w:r>
    </w:p>
    <w:p w14:paraId="1F131343" w14:textId="3F0EA3FC" w:rsidR="00D535EC" w:rsidRPr="00650EE4" w:rsidRDefault="002C637B" w:rsidP="00FD38C4">
      <w:pPr>
        <w:pStyle w:val="BodyText"/>
        <w:jc w:val="both"/>
        <w:rPr>
          <w:rFonts w:ascii="Times New Roman" w:hAnsi="Times New Roman"/>
          <w:lang w:val="lt-LT"/>
        </w:rPr>
      </w:pPr>
      <w:r w:rsidRPr="00650EE4">
        <w:rPr>
          <w:rFonts w:ascii="Times New Roman" w:hAnsi="Times New Roman"/>
          <w:color w:val="auto"/>
          <w:szCs w:val="22"/>
          <w:lang w:val="lt-LT"/>
        </w:rPr>
        <w:t>Pagrindinis pastatų fondo renovacijos tikslas y</w:t>
      </w:r>
      <w:r w:rsidR="00344BEC" w:rsidRPr="00650EE4">
        <w:rPr>
          <w:rFonts w:ascii="Times New Roman" w:hAnsi="Times New Roman"/>
          <w:color w:val="auto"/>
          <w:szCs w:val="22"/>
          <w:lang w:val="lt-LT"/>
        </w:rPr>
        <w:t>ra sumažinti pastato energijos</w:t>
      </w:r>
      <w:r w:rsidRPr="00650EE4">
        <w:rPr>
          <w:rFonts w:ascii="Times New Roman" w:hAnsi="Times New Roman"/>
          <w:color w:val="auto"/>
          <w:szCs w:val="22"/>
          <w:lang w:val="lt-LT"/>
        </w:rPr>
        <w:t xml:space="preserve"> sąnaudas, </w:t>
      </w:r>
      <w:r w:rsidR="00D36589" w:rsidRPr="00650EE4">
        <w:rPr>
          <w:rFonts w:ascii="Times New Roman" w:hAnsi="Times New Roman"/>
          <w:color w:val="auto"/>
          <w:szCs w:val="22"/>
          <w:lang w:val="lt-LT"/>
        </w:rPr>
        <w:t>kurios per sumažėjusias sąskaitas,</w:t>
      </w:r>
      <w:r w:rsidRPr="00650EE4">
        <w:rPr>
          <w:rFonts w:ascii="Times New Roman" w:hAnsi="Times New Roman"/>
          <w:color w:val="auto"/>
          <w:szCs w:val="22"/>
          <w:lang w:val="lt-LT"/>
        </w:rPr>
        <w:t xml:space="preserve"> duoda tiesioginę finansinę naudą vartotojams. </w:t>
      </w:r>
    </w:p>
    <w:p w14:paraId="686FAB7F" w14:textId="77777777" w:rsidR="00D535EC" w:rsidRPr="00650EE4" w:rsidRDefault="00D535EC" w:rsidP="002C637B">
      <w:pPr>
        <w:pStyle w:val="Pagrindinispaprastastekstas"/>
        <w:rPr>
          <w:rFonts w:ascii="Times New Roman" w:hAnsi="Times New Roman"/>
          <w:szCs w:val="22"/>
        </w:rPr>
      </w:pPr>
    </w:p>
    <w:p w14:paraId="02773735" w14:textId="25897534" w:rsidR="002C637B" w:rsidRPr="00650EE4" w:rsidRDefault="002C637B" w:rsidP="002C637B">
      <w:pPr>
        <w:pStyle w:val="Pagrindinispaprastastekstas"/>
        <w:rPr>
          <w:rFonts w:ascii="Times New Roman" w:hAnsi="Times New Roman"/>
          <w:szCs w:val="22"/>
        </w:rPr>
      </w:pPr>
      <w:r w:rsidRPr="00650EE4">
        <w:rPr>
          <w:rFonts w:ascii="Times New Roman" w:hAnsi="Times New Roman"/>
          <w:szCs w:val="22"/>
        </w:rPr>
        <w:t xml:space="preserve">Įgyvendinant renovacijos programą pagal kurią būtų renovuota 60 proc. </w:t>
      </w:r>
      <w:r w:rsidR="00607EE3" w:rsidRPr="00650EE4">
        <w:rPr>
          <w:rFonts w:ascii="Times New Roman" w:hAnsi="Times New Roman"/>
          <w:szCs w:val="22"/>
        </w:rPr>
        <w:t>per IRS įgyvendinimo laikotarpį sutaupytos energijos</w:t>
      </w:r>
      <w:r w:rsidRPr="00650EE4">
        <w:rPr>
          <w:rFonts w:ascii="Times New Roman" w:hAnsi="Times New Roman"/>
          <w:szCs w:val="22"/>
        </w:rPr>
        <w:t xml:space="preserve"> finansinė vertė siek</w:t>
      </w:r>
      <w:r w:rsidR="00607EE3" w:rsidRPr="00650EE4">
        <w:rPr>
          <w:rFonts w:ascii="Times New Roman" w:hAnsi="Times New Roman"/>
          <w:szCs w:val="22"/>
        </w:rPr>
        <w:t>tų</w:t>
      </w:r>
      <w:r w:rsidRPr="00650EE4">
        <w:rPr>
          <w:rFonts w:ascii="Times New Roman" w:hAnsi="Times New Roman"/>
          <w:szCs w:val="22"/>
        </w:rPr>
        <w:t xml:space="preserve"> </w:t>
      </w:r>
      <w:r w:rsidR="00175A5A" w:rsidRPr="00650EE4">
        <w:rPr>
          <w:rFonts w:ascii="Times New Roman" w:hAnsi="Times New Roman"/>
          <w:szCs w:val="22"/>
        </w:rPr>
        <w:t>1</w:t>
      </w:r>
      <w:r w:rsidR="00175A5A">
        <w:rPr>
          <w:rFonts w:ascii="Times New Roman" w:hAnsi="Times New Roman"/>
          <w:szCs w:val="22"/>
        </w:rPr>
        <w:t>5</w:t>
      </w:r>
      <w:r w:rsidR="00175A5A" w:rsidRPr="00650EE4">
        <w:rPr>
          <w:rFonts w:ascii="Times New Roman" w:hAnsi="Times New Roman"/>
          <w:szCs w:val="22"/>
        </w:rPr>
        <w:t>,</w:t>
      </w:r>
      <w:r w:rsidR="00175A5A">
        <w:rPr>
          <w:rFonts w:ascii="Times New Roman" w:hAnsi="Times New Roman"/>
          <w:szCs w:val="22"/>
        </w:rPr>
        <w:t>4</w:t>
      </w:r>
      <w:r w:rsidRPr="00650EE4">
        <w:rPr>
          <w:rFonts w:ascii="Times New Roman" w:hAnsi="Times New Roman"/>
          <w:szCs w:val="22"/>
        </w:rPr>
        <w:t xml:space="preserve"> mlrd. Eurų.</w:t>
      </w:r>
    </w:p>
    <w:p w14:paraId="7DDB2AC5" w14:textId="77777777" w:rsidR="00A34224" w:rsidRPr="00650EE4" w:rsidRDefault="00A34224" w:rsidP="000F7355">
      <w:pPr>
        <w:spacing w:after="120"/>
        <w:jc w:val="both"/>
        <w:rPr>
          <w:rFonts w:ascii="Times New Roman" w:hAnsi="Times New Roman"/>
          <w:color w:val="auto"/>
          <w:szCs w:val="22"/>
        </w:rPr>
      </w:pPr>
    </w:p>
    <w:p w14:paraId="0F5413AC" w14:textId="4BE5825F" w:rsidR="00664F63" w:rsidRPr="00650EE4" w:rsidRDefault="00664F63" w:rsidP="000F7355">
      <w:pPr>
        <w:spacing w:after="120"/>
        <w:jc w:val="both"/>
        <w:rPr>
          <w:rFonts w:ascii="Times New Roman" w:hAnsi="Times New Roman"/>
          <w:b/>
          <w:bCs/>
          <w:szCs w:val="24"/>
        </w:rPr>
      </w:pPr>
      <w:r w:rsidRPr="00650EE4">
        <w:rPr>
          <w:rFonts w:ascii="Times New Roman" w:hAnsi="Times New Roman"/>
          <w:b/>
          <w:bCs/>
          <w:szCs w:val="24"/>
        </w:rPr>
        <w:t>N2. Sumažinti CO</w:t>
      </w:r>
      <w:r w:rsidRPr="00650EE4">
        <w:rPr>
          <w:rFonts w:ascii="Times New Roman" w:hAnsi="Times New Roman"/>
          <w:b/>
          <w:bCs/>
          <w:szCs w:val="24"/>
          <w:vertAlign w:val="subscript"/>
        </w:rPr>
        <w:t>2</w:t>
      </w:r>
      <w:r w:rsidRPr="00650EE4">
        <w:rPr>
          <w:rFonts w:ascii="Times New Roman" w:hAnsi="Times New Roman"/>
          <w:b/>
          <w:bCs/>
          <w:szCs w:val="24"/>
        </w:rPr>
        <w:t xml:space="preserve"> išmetimai</w:t>
      </w:r>
    </w:p>
    <w:p w14:paraId="3A26ADE6" w14:textId="7CE9DD0C" w:rsidR="000910B9" w:rsidRPr="00650EE4" w:rsidRDefault="000910B9" w:rsidP="0039417B">
      <w:pPr>
        <w:pStyle w:val="BodyText"/>
        <w:jc w:val="both"/>
        <w:rPr>
          <w:rFonts w:ascii="Times New Roman" w:hAnsi="Times New Roman"/>
          <w:szCs w:val="22"/>
          <w:lang w:val="lt-LT"/>
        </w:rPr>
      </w:pPr>
      <w:r w:rsidRPr="00650EE4">
        <w:rPr>
          <w:rFonts w:ascii="Times New Roman" w:hAnsi="Times New Roman"/>
          <w:szCs w:val="22"/>
          <w:lang w:val="lt-LT"/>
        </w:rPr>
        <w:t>ŠESD neigiamą poveikį aplinkai sukelia per šiltnamio efektą, augantį vandenynų rūgštingumą ir atitinkamai susijusius kitus aplinkos pokyčius keičiančius ekologinę pusiausvyrą.</w:t>
      </w:r>
      <w:r w:rsidR="0039417B" w:rsidRPr="00650EE4">
        <w:rPr>
          <w:rFonts w:ascii="Times New Roman" w:hAnsi="Times New Roman"/>
          <w:szCs w:val="22"/>
          <w:lang w:val="lt-LT"/>
        </w:rPr>
        <w:t xml:space="preserve"> </w:t>
      </w:r>
    </w:p>
    <w:p w14:paraId="78EA1137" w14:textId="77777777" w:rsidR="000910B9" w:rsidRPr="00650EE4" w:rsidRDefault="000910B9" w:rsidP="0019694C">
      <w:pPr>
        <w:pStyle w:val="Pagrindinispaprastastekstas"/>
        <w:rPr>
          <w:rFonts w:ascii="Times New Roman" w:hAnsi="Times New Roman"/>
          <w:szCs w:val="22"/>
        </w:rPr>
      </w:pPr>
    </w:p>
    <w:p w14:paraId="70F4980C" w14:textId="77777777" w:rsidR="00175A5A" w:rsidRDefault="004108BA" w:rsidP="00175A5A">
      <w:pPr>
        <w:jc w:val="both"/>
        <w:rPr>
          <w:rFonts w:ascii="Times New Roman" w:hAnsi="Times New Roman"/>
          <w:color w:val="auto"/>
          <w:szCs w:val="22"/>
        </w:rPr>
      </w:pPr>
      <w:r w:rsidRPr="00650EE4">
        <w:rPr>
          <w:rFonts w:ascii="Times New Roman" w:hAnsi="Times New Roman"/>
          <w:color w:val="auto"/>
          <w:szCs w:val="22"/>
        </w:rPr>
        <w:t>Visas pastatų fondas</w:t>
      </w:r>
      <w:r w:rsidR="00175A5A">
        <w:rPr>
          <w:rFonts w:ascii="Times New Roman" w:hAnsi="Times New Roman"/>
          <w:color w:val="auto"/>
          <w:szCs w:val="22"/>
        </w:rPr>
        <w:t xml:space="preserve"> per metus</w:t>
      </w:r>
      <w:r w:rsidRPr="00650EE4">
        <w:rPr>
          <w:rFonts w:ascii="Times New Roman" w:hAnsi="Times New Roman"/>
          <w:color w:val="auto"/>
          <w:szCs w:val="22"/>
        </w:rPr>
        <w:t xml:space="preserve"> sunaudoja 40,8 </w:t>
      </w:r>
      <w:proofErr w:type="spellStart"/>
      <w:r w:rsidRPr="00650EE4">
        <w:rPr>
          <w:rFonts w:ascii="Times New Roman" w:hAnsi="Times New Roman"/>
          <w:color w:val="auto"/>
          <w:szCs w:val="22"/>
        </w:rPr>
        <w:t>TWh</w:t>
      </w:r>
      <w:proofErr w:type="spellEnd"/>
      <w:r w:rsidRPr="00650EE4">
        <w:rPr>
          <w:rFonts w:ascii="Times New Roman" w:hAnsi="Times New Roman"/>
          <w:color w:val="auto"/>
          <w:szCs w:val="22"/>
        </w:rPr>
        <w:t xml:space="preserve"> energijos, kuri lemia 5,3 mln. tonų CO</w:t>
      </w:r>
      <w:r w:rsidRPr="00650EE4">
        <w:rPr>
          <w:rFonts w:ascii="Times New Roman" w:hAnsi="Times New Roman"/>
          <w:color w:val="auto"/>
          <w:szCs w:val="22"/>
          <w:vertAlign w:val="subscript"/>
        </w:rPr>
        <w:t>2</w:t>
      </w:r>
      <w:r w:rsidRPr="00650EE4">
        <w:rPr>
          <w:rFonts w:ascii="Times New Roman" w:hAnsi="Times New Roman"/>
          <w:color w:val="auto"/>
          <w:szCs w:val="22"/>
        </w:rPr>
        <w:t xml:space="preserve"> emisijas per metus. Sumažinus </w:t>
      </w:r>
      <w:r w:rsidR="009A7656" w:rsidRPr="00650EE4">
        <w:rPr>
          <w:rFonts w:ascii="Times New Roman" w:hAnsi="Times New Roman"/>
          <w:color w:val="auto"/>
          <w:szCs w:val="22"/>
        </w:rPr>
        <w:t xml:space="preserve">pirminės </w:t>
      </w:r>
      <w:r w:rsidRPr="00650EE4">
        <w:rPr>
          <w:rFonts w:ascii="Times New Roman" w:hAnsi="Times New Roman"/>
          <w:color w:val="auto"/>
          <w:szCs w:val="22"/>
        </w:rPr>
        <w:t xml:space="preserve">energijos sąnaudas </w:t>
      </w:r>
      <w:r w:rsidR="009A7656" w:rsidRPr="00650EE4">
        <w:rPr>
          <w:rFonts w:ascii="Times New Roman" w:hAnsi="Times New Roman"/>
          <w:color w:val="auto"/>
          <w:szCs w:val="22"/>
        </w:rPr>
        <w:t>~</w:t>
      </w:r>
      <w:r w:rsidR="00175A5A">
        <w:rPr>
          <w:rFonts w:ascii="Times New Roman" w:hAnsi="Times New Roman"/>
          <w:color w:val="auto"/>
          <w:szCs w:val="22"/>
        </w:rPr>
        <w:t>6</w:t>
      </w:r>
      <w:r w:rsidRPr="00650EE4">
        <w:rPr>
          <w:rFonts w:ascii="Times New Roman" w:hAnsi="Times New Roman"/>
          <w:color w:val="auto"/>
          <w:szCs w:val="22"/>
        </w:rPr>
        <w:t>0 proc. tikėtina, kad CO</w:t>
      </w:r>
      <w:r w:rsidRPr="00175A5A">
        <w:rPr>
          <w:rFonts w:ascii="Times New Roman" w:hAnsi="Times New Roman"/>
          <w:color w:val="auto"/>
          <w:szCs w:val="22"/>
          <w:vertAlign w:val="subscript"/>
        </w:rPr>
        <w:t>2</w:t>
      </w:r>
      <w:r w:rsidRPr="00650EE4">
        <w:rPr>
          <w:rFonts w:ascii="Times New Roman" w:hAnsi="Times New Roman"/>
          <w:color w:val="auto"/>
          <w:szCs w:val="22"/>
        </w:rPr>
        <w:t xml:space="preserve"> emisijos sumažėtų </w:t>
      </w:r>
      <w:r w:rsidR="00175A5A">
        <w:rPr>
          <w:rFonts w:ascii="Times New Roman" w:hAnsi="Times New Roman"/>
          <w:color w:val="auto"/>
          <w:szCs w:val="22"/>
        </w:rPr>
        <w:t>3</w:t>
      </w:r>
      <w:r w:rsidRPr="00650EE4">
        <w:rPr>
          <w:rFonts w:ascii="Times New Roman" w:hAnsi="Times New Roman"/>
          <w:color w:val="auto"/>
          <w:szCs w:val="22"/>
        </w:rPr>
        <w:t xml:space="preserve">,8 mln. tonų, arba </w:t>
      </w:r>
      <w:r w:rsidR="009A7656" w:rsidRPr="00650EE4">
        <w:rPr>
          <w:rFonts w:ascii="Times New Roman" w:hAnsi="Times New Roman"/>
          <w:color w:val="auto"/>
          <w:szCs w:val="22"/>
        </w:rPr>
        <w:t>~</w:t>
      </w:r>
      <w:r w:rsidR="00175A5A">
        <w:rPr>
          <w:rFonts w:ascii="Times New Roman" w:hAnsi="Times New Roman"/>
          <w:color w:val="auto"/>
          <w:szCs w:val="22"/>
        </w:rPr>
        <w:t>7</w:t>
      </w:r>
      <w:r w:rsidRPr="00650EE4">
        <w:rPr>
          <w:rFonts w:ascii="Times New Roman" w:hAnsi="Times New Roman"/>
          <w:color w:val="auto"/>
          <w:szCs w:val="22"/>
        </w:rPr>
        <w:t>0 proc.</w:t>
      </w:r>
      <w:r w:rsidR="00175A5A">
        <w:rPr>
          <w:rFonts w:ascii="Times New Roman" w:hAnsi="Times New Roman"/>
          <w:color w:val="auto"/>
          <w:szCs w:val="22"/>
        </w:rPr>
        <w:t xml:space="preserve"> per metus.</w:t>
      </w:r>
    </w:p>
    <w:p w14:paraId="4CB4E994" w14:textId="77777777" w:rsidR="00175A5A" w:rsidRDefault="00175A5A" w:rsidP="00175A5A">
      <w:pPr>
        <w:jc w:val="both"/>
        <w:rPr>
          <w:rFonts w:ascii="Times New Roman" w:hAnsi="Times New Roman"/>
          <w:color w:val="auto"/>
          <w:szCs w:val="22"/>
        </w:rPr>
      </w:pPr>
    </w:p>
    <w:p w14:paraId="1706525D" w14:textId="7279FB91" w:rsidR="00175A5A" w:rsidRDefault="00175A5A" w:rsidP="00175A5A">
      <w:pPr>
        <w:jc w:val="both"/>
        <w:rPr>
          <w:rFonts w:ascii="Times New Roman" w:hAnsi="Times New Roman"/>
          <w:color w:val="auto"/>
          <w:szCs w:val="22"/>
        </w:rPr>
      </w:pPr>
      <w:r>
        <w:rPr>
          <w:rFonts w:ascii="Times New Roman" w:hAnsi="Times New Roman"/>
          <w:color w:val="auto"/>
          <w:szCs w:val="22"/>
        </w:rPr>
        <w:t>Papildomai CO</w:t>
      </w:r>
      <w:r w:rsidRPr="00080C2A">
        <w:rPr>
          <w:rFonts w:ascii="Times New Roman" w:hAnsi="Times New Roman"/>
          <w:color w:val="auto"/>
          <w:szCs w:val="22"/>
          <w:vertAlign w:val="subscript"/>
        </w:rPr>
        <w:t>2</w:t>
      </w:r>
      <w:r>
        <w:rPr>
          <w:rFonts w:ascii="Times New Roman" w:hAnsi="Times New Roman"/>
          <w:color w:val="auto"/>
          <w:szCs w:val="22"/>
        </w:rPr>
        <w:t xml:space="preserve"> emisijos taptų nulinės, jeigu būtų įgyvendintos šios sąlygos:</w:t>
      </w:r>
    </w:p>
    <w:p w14:paraId="68927008" w14:textId="3789B91E" w:rsidR="00175A5A" w:rsidRPr="00C3756B" w:rsidRDefault="00175A5A" w:rsidP="00175A5A">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C3756B">
        <w:rPr>
          <w:rFonts w:ascii="Times New Roman" w:hAnsi="Times New Roman"/>
          <w:color w:val="000000" w:themeColor="text1"/>
          <w:szCs w:val="22"/>
          <w:lang w:val="lt-LT"/>
        </w:rPr>
        <w:t>lektros sektorius 100% transformu</w:t>
      </w:r>
      <w:r>
        <w:rPr>
          <w:rFonts w:ascii="Times New Roman" w:hAnsi="Times New Roman"/>
          <w:color w:val="000000" w:themeColor="text1"/>
          <w:szCs w:val="22"/>
          <w:lang w:val="lt-LT"/>
        </w:rPr>
        <w:t>otųsi</w:t>
      </w:r>
      <w:r w:rsidRPr="00C3756B">
        <w:rPr>
          <w:rFonts w:ascii="Times New Roman" w:hAnsi="Times New Roman"/>
          <w:color w:val="000000" w:themeColor="text1"/>
          <w:szCs w:val="22"/>
          <w:lang w:val="lt-LT"/>
        </w:rPr>
        <w:t xml:space="preserve"> į nulinių CO</w:t>
      </w:r>
      <w:r w:rsidRPr="00175A5A">
        <w:rPr>
          <w:rFonts w:ascii="Times New Roman" w:hAnsi="Times New Roman"/>
          <w:color w:val="000000" w:themeColor="text1"/>
          <w:szCs w:val="22"/>
          <w:vertAlign w:val="subscript"/>
          <w:lang w:val="lt-LT"/>
        </w:rPr>
        <w:t>2</w:t>
      </w:r>
      <w:r w:rsidRPr="00C3756B">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r w:rsidRPr="00C3756B">
        <w:rPr>
          <w:rFonts w:ascii="Times New Roman" w:hAnsi="Times New Roman"/>
          <w:color w:val="000000" w:themeColor="text1"/>
          <w:szCs w:val="22"/>
          <w:lang w:val="lt-LT"/>
        </w:rPr>
        <w:t xml:space="preserve"> </w:t>
      </w:r>
    </w:p>
    <w:p w14:paraId="54E0D03A" w14:textId="4149D853" w:rsidR="00175A5A" w:rsidRPr="00C3756B" w:rsidRDefault="00175A5A" w:rsidP="00175A5A">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C3756B">
        <w:rPr>
          <w:rFonts w:ascii="Times New Roman" w:hAnsi="Times New Roman"/>
          <w:color w:val="000000" w:themeColor="text1"/>
          <w:szCs w:val="22"/>
          <w:lang w:val="lt-LT"/>
        </w:rPr>
        <w:t>CŠT sektorius turi 100% transformu</w:t>
      </w:r>
      <w:r>
        <w:rPr>
          <w:rFonts w:ascii="Times New Roman" w:hAnsi="Times New Roman"/>
          <w:color w:val="000000" w:themeColor="text1"/>
          <w:szCs w:val="22"/>
          <w:lang w:val="lt-LT"/>
        </w:rPr>
        <w:t>otųsi</w:t>
      </w:r>
      <w:r w:rsidRPr="00C3756B">
        <w:rPr>
          <w:rFonts w:ascii="Times New Roman" w:hAnsi="Times New Roman"/>
          <w:color w:val="000000" w:themeColor="text1"/>
          <w:szCs w:val="22"/>
          <w:lang w:val="lt-LT"/>
        </w:rPr>
        <w:t xml:space="preserve"> į nulinių CO</w:t>
      </w:r>
      <w:r w:rsidRPr="00175A5A">
        <w:rPr>
          <w:rFonts w:ascii="Times New Roman" w:hAnsi="Times New Roman"/>
          <w:color w:val="000000" w:themeColor="text1"/>
          <w:szCs w:val="22"/>
          <w:vertAlign w:val="subscript"/>
          <w:lang w:val="lt-LT"/>
        </w:rPr>
        <w:t>2</w:t>
      </w:r>
      <w:r w:rsidRPr="00C3756B">
        <w:rPr>
          <w:rFonts w:ascii="Times New Roman" w:hAnsi="Times New Roman"/>
          <w:color w:val="000000" w:themeColor="text1"/>
          <w:szCs w:val="22"/>
          <w:lang w:val="lt-LT"/>
        </w:rPr>
        <w:t xml:space="preserve"> emisijų sektorių</w:t>
      </w:r>
      <w:r>
        <w:rPr>
          <w:rFonts w:ascii="Times New Roman" w:hAnsi="Times New Roman"/>
          <w:color w:val="000000" w:themeColor="text1"/>
          <w:szCs w:val="22"/>
          <w:lang w:val="lt-LT"/>
        </w:rPr>
        <w:t>;</w:t>
      </w:r>
      <w:r w:rsidRPr="00C3756B">
        <w:rPr>
          <w:rFonts w:ascii="Times New Roman" w:hAnsi="Times New Roman"/>
          <w:color w:val="000000" w:themeColor="text1"/>
          <w:szCs w:val="22"/>
          <w:lang w:val="lt-LT"/>
        </w:rPr>
        <w:t xml:space="preserve"> </w:t>
      </w:r>
    </w:p>
    <w:p w14:paraId="4FA11B6F" w14:textId="4566C0E8" w:rsidR="00175A5A" w:rsidRPr="0041181A" w:rsidRDefault="00175A5A" w:rsidP="00175A5A">
      <w:pPr>
        <w:pStyle w:val="ListParagraph"/>
        <w:numPr>
          <w:ilvl w:val="3"/>
          <w:numId w:val="47"/>
        </w:numPr>
        <w:spacing w:before="60" w:after="60"/>
        <w:ind w:left="453" w:hanging="357"/>
        <w:contextualSpacing w:val="0"/>
        <w:jc w:val="both"/>
        <w:rPr>
          <w:rFonts w:ascii="Times New Roman" w:hAnsi="Times New Roman"/>
          <w:color w:val="auto"/>
          <w:szCs w:val="22"/>
        </w:rPr>
      </w:pPr>
      <w:r>
        <w:rPr>
          <w:rFonts w:ascii="Times New Roman" w:hAnsi="Times New Roman"/>
          <w:color w:val="000000" w:themeColor="text1"/>
          <w:szCs w:val="22"/>
          <w:lang w:val="lt-LT"/>
        </w:rPr>
        <w:t>visi p</w:t>
      </w:r>
      <w:r w:rsidRPr="0041181A">
        <w:rPr>
          <w:rFonts w:ascii="Times New Roman" w:hAnsi="Times New Roman"/>
          <w:color w:val="000000" w:themeColor="text1"/>
          <w:szCs w:val="22"/>
          <w:lang w:val="lt-LT"/>
        </w:rPr>
        <w:t>astatų fondo pastatai, neprijungti prie CŠT, atsisakytų individualių gamybos šaltinių, naudojančių iškastinį kurą.</w:t>
      </w:r>
    </w:p>
    <w:p w14:paraId="6E52DA96" w14:textId="77777777" w:rsidR="004108BA" w:rsidRPr="00650EE4" w:rsidRDefault="004108BA" w:rsidP="0019694C">
      <w:pPr>
        <w:jc w:val="both"/>
        <w:rPr>
          <w:rFonts w:ascii="Times New Roman" w:hAnsi="Times New Roman"/>
          <w:color w:val="auto"/>
          <w:szCs w:val="22"/>
        </w:rPr>
      </w:pPr>
    </w:p>
    <w:p w14:paraId="611E30B1" w14:textId="3DB7E7E9" w:rsidR="006F76D3" w:rsidRPr="00650EE4" w:rsidRDefault="00F15A21" w:rsidP="0019694C">
      <w:pPr>
        <w:jc w:val="both"/>
        <w:rPr>
          <w:rFonts w:ascii="Times New Roman" w:hAnsi="Times New Roman"/>
          <w:color w:val="auto"/>
          <w:szCs w:val="22"/>
        </w:rPr>
      </w:pPr>
      <w:r w:rsidRPr="00650EE4">
        <w:rPr>
          <w:rFonts w:ascii="Times New Roman" w:hAnsi="Times New Roman"/>
          <w:color w:val="auto"/>
          <w:szCs w:val="22"/>
        </w:rPr>
        <w:t>Vadovaujantis</w:t>
      </w:r>
      <w:r w:rsidR="001727DF" w:rsidRPr="00650EE4">
        <w:rPr>
          <w:rFonts w:ascii="Times New Roman" w:hAnsi="Times New Roman"/>
          <w:color w:val="auto"/>
          <w:szCs w:val="22"/>
        </w:rPr>
        <w:t xml:space="preserve"> Rekomendacijomis, CO</w:t>
      </w:r>
      <w:r w:rsidR="001727DF" w:rsidRPr="00650EE4">
        <w:rPr>
          <w:rFonts w:ascii="Times New Roman" w:hAnsi="Times New Roman"/>
          <w:color w:val="auto"/>
          <w:szCs w:val="22"/>
          <w:vertAlign w:val="subscript"/>
        </w:rPr>
        <w:t>2</w:t>
      </w:r>
      <w:r w:rsidR="001727DF" w:rsidRPr="00650EE4">
        <w:rPr>
          <w:rFonts w:ascii="Times New Roman" w:hAnsi="Times New Roman"/>
          <w:color w:val="auto"/>
          <w:szCs w:val="22"/>
        </w:rPr>
        <w:t xml:space="preserve"> sutaupymų vertė įvertinta remiantis Europos komisijos skelbiamomis anglies dioksido apyvartinių taršos leidimų kainos prognoze, veiksmingos technologijos (bendri veiksmai, mažos iškastinio kuro kainos) scenarijumi, kuriuo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1727DF" w:rsidRPr="00650EE4">
        <w:rPr>
          <w:rFonts w:ascii="Times New Roman" w:hAnsi="Times New Roman"/>
          <w:color w:val="auto"/>
          <w:szCs w:val="22"/>
        </w:rPr>
        <w:t xml:space="preserve">kaina didėtų nuo 25 </w:t>
      </w:r>
      <w:proofErr w:type="spellStart"/>
      <w:r w:rsidR="003719EC" w:rsidRPr="00650EE4">
        <w:rPr>
          <w:rFonts w:ascii="Times New Roman" w:hAnsi="Times New Roman"/>
          <w:color w:val="auto"/>
          <w:szCs w:val="22"/>
        </w:rPr>
        <w:t>Eur</w:t>
      </w:r>
      <w:proofErr w:type="spellEnd"/>
      <w:r w:rsidR="004108BA" w:rsidRPr="00650EE4">
        <w:rPr>
          <w:rFonts w:ascii="Times New Roman" w:hAnsi="Times New Roman"/>
          <w:color w:val="auto"/>
          <w:szCs w:val="22"/>
        </w:rPr>
        <w:t xml:space="preserve">/t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4108BA" w:rsidRPr="00650EE4">
        <w:rPr>
          <w:rFonts w:ascii="Times New Roman" w:hAnsi="Times New Roman"/>
          <w:color w:val="auto"/>
          <w:szCs w:val="22"/>
        </w:rPr>
        <w:t>emisijų 2020 metais</w:t>
      </w:r>
      <w:r w:rsidR="001727DF" w:rsidRPr="00650EE4">
        <w:rPr>
          <w:rFonts w:ascii="Times New Roman" w:hAnsi="Times New Roman"/>
          <w:color w:val="auto"/>
          <w:szCs w:val="22"/>
        </w:rPr>
        <w:t xml:space="preserve"> iki 147 </w:t>
      </w:r>
      <w:proofErr w:type="spellStart"/>
      <w:r w:rsidR="001727DF" w:rsidRPr="00650EE4">
        <w:rPr>
          <w:rFonts w:ascii="Times New Roman" w:hAnsi="Times New Roman"/>
          <w:color w:val="auto"/>
          <w:szCs w:val="22"/>
        </w:rPr>
        <w:t>Eur</w:t>
      </w:r>
      <w:proofErr w:type="spellEnd"/>
      <w:r w:rsidR="001727DF" w:rsidRPr="00650EE4">
        <w:rPr>
          <w:rFonts w:ascii="Times New Roman" w:hAnsi="Times New Roman"/>
          <w:color w:val="auto"/>
          <w:szCs w:val="22"/>
        </w:rPr>
        <w:t xml:space="preserve">/t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001727DF" w:rsidRPr="00650EE4">
        <w:rPr>
          <w:rFonts w:ascii="Times New Roman" w:hAnsi="Times New Roman"/>
          <w:color w:val="auto"/>
          <w:szCs w:val="22"/>
        </w:rPr>
        <w:t>emisijų</w:t>
      </w:r>
      <w:r w:rsidR="004108BA" w:rsidRPr="00650EE4">
        <w:rPr>
          <w:rFonts w:ascii="Times New Roman" w:hAnsi="Times New Roman"/>
          <w:color w:val="auto"/>
          <w:szCs w:val="22"/>
        </w:rPr>
        <w:t xml:space="preserve"> 2050 met</w:t>
      </w:r>
      <w:r w:rsidR="001727DF" w:rsidRPr="00650EE4">
        <w:rPr>
          <w:rFonts w:ascii="Times New Roman" w:hAnsi="Times New Roman"/>
          <w:color w:val="auto"/>
          <w:szCs w:val="22"/>
        </w:rPr>
        <w:t>ais</w:t>
      </w:r>
      <w:r w:rsidR="004108BA" w:rsidRPr="00650EE4">
        <w:rPr>
          <w:rFonts w:ascii="Times New Roman" w:hAnsi="Times New Roman"/>
          <w:color w:val="auto"/>
          <w:szCs w:val="22"/>
        </w:rPr>
        <w:t>.</w:t>
      </w:r>
    </w:p>
    <w:p w14:paraId="2C8CD230" w14:textId="40A74332" w:rsidR="006F76D3" w:rsidRPr="00650EE4" w:rsidRDefault="006F76D3" w:rsidP="0019694C">
      <w:pPr>
        <w:jc w:val="both"/>
        <w:rPr>
          <w:rFonts w:ascii="Times New Roman" w:hAnsi="Times New Roman"/>
          <w:color w:val="auto"/>
          <w:szCs w:val="22"/>
        </w:rPr>
      </w:pPr>
    </w:p>
    <w:p w14:paraId="6BC9B6CB" w14:textId="254D27CD" w:rsidR="00AB4B09" w:rsidRPr="00650EE4" w:rsidRDefault="00AB4B09" w:rsidP="0019694C">
      <w:pPr>
        <w:jc w:val="both"/>
        <w:rPr>
          <w:rFonts w:ascii="Times New Roman" w:hAnsi="Times New Roman"/>
          <w:color w:val="auto"/>
          <w:szCs w:val="22"/>
        </w:rPr>
      </w:pPr>
      <w:r w:rsidRPr="00650EE4">
        <w:rPr>
          <w:rFonts w:ascii="Times New Roman" w:hAnsi="Times New Roman"/>
          <w:szCs w:val="22"/>
        </w:rPr>
        <w:t xml:space="preserve">Rezultate apskaičiuota, kad per IRS įgyvendinimo laikotarpį dėl sumažėjusių </w:t>
      </w:r>
      <w:r w:rsidR="004F6C95" w:rsidRPr="00650EE4">
        <w:rPr>
          <w:rFonts w:ascii="Times New Roman" w:hAnsi="Times New Roman"/>
          <w:color w:val="auto"/>
          <w:szCs w:val="22"/>
        </w:rPr>
        <w:t>CO</w:t>
      </w:r>
      <w:r w:rsidR="004F6C95" w:rsidRPr="00650EE4">
        <w:rPr>
          <w:rFonts w:ascii="Times New Roman" w:hAnsi="Times New Roman"/>
          <w:color w:val="auto"/>
          <w:szCs w:val="22"/>
          <w:vertAlign w:val="subscript"/>
        </w:rPr>
        <w:t xml:space="preserve">2 </w:t>
      </w:r>
      <w:r w:rsidRPr="00650EE4">
        <w:rPr>
          <w:rFonts w:ascii="Times New Roman" w:hAnsi="Times New Roman"/>
          <w:szCs w:val="22"/>
        </w:rPr>
        <w:t xml:space="preserve">emisijų, būtų patiriama bent </w:t>
      </w:r>
      <w:r w:rsidR="00175A5A">
        <w:rPr>
          <w:rFonts w:ascii="Times New Roman" w:hAnsi="Times New Roman"/>
          <w:szCs w:val="22"/>
        </w:rPr>
        <w:t>4,5</w:t>
      </w:r>
      <w:r w:rsidRPr="00650EE4">
        <w:rPr>
          <w:rFonts w:ascii="Times New Roman" w:hAnsi="Times New Roman"/>
          <w:szCs w:val="22"/>
        </w:rPr>
        <w:t xml:space="preserve"> mlrd. </w:t>
      </w:r>
      <w:proofErr w:type="spellStart"/>
      <w:r w:rsidRPr="00650EE4">
        <w:rPr>
          <w:rFonts w:ascii="Times New Roman" w:hAnsi="Times New Roman"/>
          <w:szCs w:val="22"/>
        </w:rPr>
        <w:t>Eur</w:t>
      </w:r>
      <w:proofErr w:type="spellEnd"/>
      <w:r w:rsidRPr="00650EE4">
        <w:rPr>
          <w:rFonts w:ascii="Times New Roman" w:hAnsi="Times New Roman"/>
          <w:szCs w:val="22"/>
        </w:rPr>
        <w:t xml:space="preserve"> nauda</w:t>
      </w:r>
      <w:r w:rsidR="00235869">
        <w:rPr>
          <w:rFonts w:ascii="Times New Roman" w:hAnsi="Times New Roman"/>
          <w:szCs w:val="22"/>
        </w:rPr>
        <w:t>.</w:t>
      </w:r>
    </w:p>
    <w:p w14:paraId="4C635803" w14:textId="1A345B69" w:rsidR="001E3A37" w:rsidRPr="00650EE4" w:rsidRDefault="001E3A37" w:rsidP="000F7355">
      <w:pPr>
        <w:spacing w:after="120"/>
        <w:rPr>
          <w:rFonts w:ascii="Times New Roman" w:hAnsi="Times New Roman"/>
          <w:color w:val="auto"/>
          <w:szCs w:val="22"/>
        </w:rPr>
      </w:pPr>
    </w:p>
    <w:p w14:paraId="4DD878F0" w14:textId="4DD27F50" w:rsidR="001E3A37" w:rsidRPr="00650EE4" w:rsidRDefault="00644AC2" w:rsidP="000F7355">
      <w:pPr>
        <w:spacing w:after="120"/>
        <w:jc w:val="both"/>
        <w:rPr>
          <w:rFonts w:ascii="Times New Roman" w:hAnsi="Times New Roman"/>
          <w:b/>
          <w:bCs/>
          <w:szCs w:val="24"/>
        </w:rPr>
      </w:pPr>
      <w:r w:rsidRPr="00650EE4">
        <w:rPr>
          <w:rFonts w:ascii="Times New Roman" w:hAnsi="Times New Roman"/>
          <w:b/>
          <w:bCs/>
          <w:szCs w:val="24"/>
        </w:rPr>
        <w:t>N</w:t>
      </w:r>
      <w:r w:rsidR="000F7355" w:rsidRPr="00650EE4">
        <w:rPr>
          <w:rFonts w:ascii="Times New Roman" w:hAnsi="Times New Roman"/>
          <w:b/>
          <w:bCs/>
          <w:szCs w:val="24"/>
        </w:rPr>
        <w:t>3</w:t>
      </w:r>
      <w:r w:rsidR="001E3A37" w:rsidRPr="00650EE4">
        <w:rPr>
          <w:rFonts w:ascii="Times New Roman" w:hAnsi="Times New Roman"/>
          <w:b/>
          <w:bCs/>
          <w:szCs w:val="24"/>
        </w:rPr>
        <w:t>. BVP padidėjimas</w:t>
      </w:r>
    </w:p>
    <w:p w14:paraId="4EC52DEE" w14:textId="77777777" w:rsidR="00DD52F8" w:rsidRPr="00650EE4" w:rsidRDefault="00DD52F8" w:rsidP="00DD52F8">
      <w:pPr>
        <w:spacing w:after="120"/>
        <w:jc w:val="both"/>
        <w:rPr>
          <w:rFonts w:ascii="Times New Roman" w:hAnsi="Times New Roman"/>
          <w:color w:val="auto"/>
          <w:szCs w:val="22"/>
        </w:rPr>
      </w:pPr>
      <w:r w:rsidRPr="00650EE4">
        <w:rPr>
          <w:rFonts w:ascii="Times New Roman" w:hAnsi="Times New Roman"/>
          <w:color w:val="auto"/>
          <w:szCs w:val="22"/>
        </w:rPr>
        <w:t xml:space="preserve">Nacionalinio pastatų fondo renovacija turi daugialypį poveikį šalies ekonomikai: </w:t>
      </w:r>
    </w:p>
    <w:p w14:paraId="7D7FEBD5" w14:textId="0A5D8BB2"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lastRenderedPageBreak/>
        <w:t>d</w:t>
      </w:r>
      <w:r w:rsidR="00DD52F8" w:rsidRPr="00650EE4">
        <w:rPr>
          <w:rFonts w:ascii="Times New Roman" w:hAnsi="Times New Roman"/>
          <w:color w:val="auto"/>
          <w:szCs w:val="22"/>
          <w:lang w:val="lt-LT"/>
        </w:rPr>
        <w:t>ėl investicijų į pastatų renovaciją, išauga kiekis įsigyjamų medžiagų, reikalingų renovacijai. Poveikis ekonomikai priklauso nuo pasirinkto renovacijos priemonių rinkinio, priemonių sudėtingumo, automatizacijos galimybių ir v</w:t>
      </w:r>
      <w:r>
        <w:rPr>
          <w:rFonts w:ascii="Times New Roman" w:hAnsi="Times New Roman"/>
          <w:color w:val="auto"/>
          <w:szCs w:val="22"/>
          <w:lang w:val="lt-LT"/>
        </w:rPr>
        <w:t>ietinės produkcijos prieinamumo;</w:t>
      </w:r>
    </w:p>
    <w:p w14:paraId="2F874B8E" w14:textId="77AAE760"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t>r</w:t>
      </w:r>
      <w:r w:rsidR="00DD52F8" w:rsidRPr="00650EE4">
        <w:rPr>
          <w:rFonts w:ascii="Times New Roman" w:hAnsi="Times New Roman"/>
          <w:color w:val="auto"/>
          <w:szCs w:val="22"/>
          <w:lang w:val="lt-LT"/>
        </w:rPr>
        <w:t>enovacija tiesiogiai ir netiesiogiai didina vietinių gyventojų užimtumą. Vertinama, kad 1 mln. Eurų investicija per metus sukuria nuo 19 iki 37 darbo vietų</w:t>
      </w:r>
      <w:r w:rsidR="000B4447" w:rsidRPr="00650EE4">
        <w:rPr>
          <w:rStyle w:val="FootnoteReference"/>
          <w:rFonts w:ascii="Times New Roman" w:hAnsi="Times New Roman"/>
          <w:color w:val="auto"/>
          <w:szCs w:val="22"/>
          <w:lang w:val="lt-LT"/>
        </w:rPr>
        <w:footnoteReference w:id="46"/>
      </w:r>
      <w:r w:rsidR="00DD52F8" w:rsidRPr="00650EE4">
        <w:rPr>
          <w:rFonts w:ascii="Times New Roman" w:hAnsi="Times New Roman"/>
          <w:color w:val="auto"/>
          <w:szCs w:val="22"/>
          <w:lang w:val="lt-LT"/>
        </w:rPr>
        <w:t>. Darbo vietų kiekis priklauso nuo pasirinkto renovacijos priemonių rinkinio, priemonių sudėtingu</w:t>
      </w:r>
      <w:r>
        <w:rPr>
          <w:rFonts w:ascii="Times New Roman" w:hAnsi="Times New Roman"/>
          <w:color w:val="auto"/>
          <w:szCs w:val="22"/>
          <w:lang w:val="lt-LT"/>
        </w:rPr>
        <w:t>mo ir automatizacijos galimybių;</w:t>
      </w:r>
    </w:p>
    <w:p w14:paraId="746A661E" w14:textId="7F52684D" w:rsidR="00DD52F8" w:rsidRPr="00650EE4" w:rsidRDefault="00395B24" w:rsidP="00BD4925">
      <w:pPr>
        <w:pStyle w:val="ListParagraph"/>
        <w:numPr>
          <w:ilvl w:val="0"/>
          <w:numId w:val="26"/>
        </w:numPr>
        <w:jc w:val="both"/>
        <w:rPr>
          <w:rFonts w:ascii="Times New Roman" w:hAnsi="Times New Roman"/>
          <w:color w:val="auto"/>
          <w:szCs w:val="22"/>
          <w:lang w:val="lt-LT"/>
        </w:rPr>
      </w:pPr>
      <w:r>
        <w:rPr>
          <w:rFonts w:ascii="Times New Roman" w:hAnsi="Times New Roman"/>
          <w:color w:val="auto"/>
          <w:szCs w:val="22"/>
          <w:lang w:val="lt-LT"/>
        </w:rPr>
        <w:t>r</w:t>
      </w:r>
      <w:r w:rsidR="00C143BB" w:rsidRPr="00650EE4">
        <w:rPr>
          <w:rFonts w:ascii="Times New Roman" w:hAnsi="Times New Roman"/>
          <w:color w:val="auto"/>
          <w:szCs w:val="22"/>
          <w:lang w:val="lt-LT"/>
        </w:rPr>
        <w:t xml:space="preserve">enovacija </w:t>
      </w:r>
      <w:r w:rsidR="00DD52F8" w:rsidRPr="00650EE4">
        <w:rPr>
          <w:rFonts w:ascii="Times New Roman" w:hAnsi="Times New Roman"/>
          <w:color w:val="auto"/>
          <w:szCs w:val="22"/>
          <w:lang w:val="lt-LT"/>
        </w:rPr>
        <w:t>mažina energetinių išteklių importą, t.y. prekybos deficitą. Dujos išlieka svarbus energijos šaltinis pastatų ūkių šildymui. O naftos kilmės skystas kuras išlieka svarbus medienos kilmės kuro surinkimui ir logistikoje. Atitinkamai, didinamas pastatų energinis efektyvumas mažina užsienio produkcijos importą, prekybos deficitą ir prisideda prie vietinės ekonomikos augimo bei didesnio energetinio saugumo, ypač šalčių metu, kai dėl išaugusio šilumos poveikio įjungiami rezerviniai CŠT šilumos gamybos pajėgumai.</w:t>
      </w:r>
    </w:p>
    <w:p w14:paraId="30DC7D71" w14:textId="77777777" w:rsidR="00DD52F8" w:rsidRPr="00650EE4" w:rsidRDefault="00DD52F8" w:rsidP="00DD52F8">
      <w:pPr>
        <w:jc w:val="both"/>
        <w:rPr>
          <w:rFonts w:ascii="Times New Roman" w:hAnsi="Times New Roman"/>
          <w:color w:val="auto"/>
          <w:szCs w:val="22"/>
        </w:rPr>
      </w:pPr>
    </w:p>
    <w:p w14:paraId="15C52B4D" w14:textId="257F2453" w:rsidR="00DD52F8" w:rsidRPr="00650EE4" w:rsidRDefault="00DD52F8" w:rsidP="00DD52F8">
      <w:pPr>
        <w:pStyle w:val="Pagrindinispaprastastekstas"/>
        <w:rPr>
          <w:rFonts w:ascii="Times New Roman" w:hAnsi="Times New Roman"/>
          <w:szCs w:val="22"/>
        </w:rPr>
      </w:pPr>
      <w:r w:rsidRPr="00650EE4">
        <w:rPr>
          <w:rFonts w:ascii="Times New Roman" w:hAnsi="Times New Roman"/>
          <w:szCs w:val="22"/>
        </w:rPr>
        <w:t xml:space="preserve">Remiantis </w:t>
      </w:r>
      <w:r w:rsidR="00235869">
        <w:rPr>
          <w:rFonts w:ascii="Times New Roman" w:hAnsi="Times New Roman"/>
          <w:szCs w:val="22"/>
        </w:rPr>
        <w:t>„</w:t>
      </w:r>
      <w:proofErr w:type="spellStart"/>
      <w:r w:rsidRPr="00650EE4">
        <w:rPr>
          <w:rFonts w:ascii="Times New Roman" w:hAnsi="Times New Roman"/>
          <w:szCs w:val="22"/>
        </w:rPr>
        <w:t>Copenhagen</w:t>
      </w:r>
      <w:proofErr w:type="spellEnd"/>
      <w:r w:rsidRPr="00650EE4">
        <w:rPr>
          <w:rFonts w:ascii="Times New Roman" w:hAnsi="Times New Roman"/>
          <w:szCs w:val="22"/>
        </w:rPr>
        <w:t xml:space="preserve"> </w:t>
      </w:r>
      <w:proofErr w:type="spellStart"/>
      <w:r w:rsidRPr="00650EE4">
        <w:rPr>
          <w:rFonts w:ascii="Times New Roman" w:hAnsi="Times New Roman"/>
          <w:szCs w:val="22"/>
        </w:rPr>
        <w:t>Economics</w:t>
      </w:r>
      <w:proofErr w:type="spellEnd"/>
      <w:r w:rsidR="00235869">
        <w:rPr>
          <w:rFonts w:ascii="Times New Roman" w:hAnsi="Times New Roman"/>
          <w:szCs w:val="22"/>
        </w:rPr>
        <w:t>“</w:t>
      </w:r>
      <w:r w:rsidRPr="00650EE4">
        <w:rPr>
          <w:rFonts w:ascii="Times New Roman" w:hAnsi="Times New Roman"/>
          <w:szCs w:val="22"/>
        </w:rPr>
        <w:t xml:space="preserve"> atlikta studija</w:t>
      </w:r>
      <w:r w:rsidRPr="00650EE4">
        <w:rPr>
          <w:rStyle w:val="FootnoteReference"/>
          <w:rFonts w:ascii="Times New Roman" w:hAnsi="Times New Roman"/>
          <w:szCs w:val="22"/>
        </w:rPr>
        <w:footnoteReference w:id="47"/>
      </w:r>
      <w:r w:rsidR="007274E6" w:rsidRPr="00650EE4">
        <w:rPr>
          <w:rFonts w:ascii="Times New Roman" w:hAnsi="Times New Roman"/>
          <w:szCs w:val="22"/>
        </w:rPr>
        <w:t>,</w:t>
      </w:r>
      <w:r w:rsidRPr="00650EE4">
        <w:rPr>
          <w:rFonts w:ascii="Times New Roman" w:hAnsi="Times New Roman"/>
          <w:szCs w:val="22"/>
        </w:rPr>
        <w:t xml:space="preserve"> </w:t>
      </w:r>
      <w:r w:rsidR="007274E6" w:rsidRPr="00650EE4">
        <w:rPr>
          <w:rFonts w:ascii="Times New Roman" w:hAnsi="Times New Roman"/>
          <w:szCs w:val="22"/>
        </w:rPr>
        <w:t xml:space="preserve">vidutiniškai, ES šalyse, </w:t>
      </w:r>
      <w:r w:rsidRPr="00650EE4">
        <w:rPr>
          <w:rFonts w:ascii="Times New Roman" w:hAnsi="Times New Roman"/>
          <w:szCs w:val="22"/>
        </w:rPr>
        <w:t>1 mlrd. Eurų investicijos</w:t>
      </w:r>
      <w:r w:rsidR="007274E6" w:rsidRPr="00650EE4">
        <w:rPr>
          <w:rFonts w:ascii="Times New Roman" w:hAnsi="Times New Roman"/>
          <w:szCs w:val="22"/>
        </w:rPr>
        <w:t xml:space="preserve"> į renovaciją, šalies BVP</w:t>
      </w:r>
      <w:r w:rsidRPr="00650EE4">
        <w:rPr>
          <w:rFonts w:ascii="Times New Roman" w:hAnsi="Times New Roman"/>
          <w:szCs w:val="22"/>
        </w:rPr>
        <w:t xml:space="preserve"> </w:t>
      </w:r>
      <w:r w:rsidR="007274E6" w:rsidRPr="00650EE4">
        <w:rPr>
          <w:rFonts w:ascii="Times New Roman" w:hAnsi="Times New Roman"/>
          <w:szCs w:val="22"/>
        </w:rPr>
        <w:t>padidina 0,88-1,06</w:t>
      </w:r>
      <w:r w:rsidRPr="00650EE4">
        <w:rPr>
          <w:rFonts w:ascii="Times New Roman" w:hAnsi="Times New Roman"/>
          <w:szCs w:val="22"/>
        </w:rPr>
        <w:t xml:space="preserve"> mlrd</w:t>
      </w:r>
      <w:r w:rsidR="007274E6" w:rsidRPr="00650EE4">
        <w:rPr>
          <w:rFonts w:ascii="Times New Roman" w:hAnsi="Times New Roman"/>
          <w:szCs w:val="22"/>
        </w:rPr>
        <w:t xml:space="preserve">. Eurų. Specifiškai Lietuvos rinkai toks vertinimas nėra atliktas. </w:t>
      </w:r>
      <w:r w:rsidRPr="00650EE4">
        <w:rPr>
          <w:rFonts w:ascii="Times New Roman" w:hAnsi="Times New Roman"/>
          <w:szCs w:val="22"/>
        </w:rPr>
        <w:t>Remiantis konservatyvumo principu,</w:t>
      </w:r>
      <w:r w:rsidR="008D75B0" w:rsidRPr="00650EE4">
        <w:rPr>
          <w:rFonts w:ascii="Times New Roman" w:hAnsi="Times New Roman"/>
          <w:szCs w:val="22"/>
        </w:rPr>
        <w:t xml:space="preserve"> vertinama, kad 1 </w:t>
      </w:r>
      <w:proofErr w:type="spellStart"/>
      <w:r w:rsidR="008D75B0" w:rsidRPr="00650EE4">
        <w:rPr>
          <w:rFonts w:ascii="Times New Roman" w:hAnsi="Times New Roman"/>
          <w:szCs w:val="22"/>
        </w:rPr>
        <w:t>Eur</w:t>
      </w:r>
      <w:proofErr w:type="spellEnd"/>
      <w:r w:rsidR="008D75B0" w:rsidRPr="00650EE4">
        <w:rPr>
          <w:rFonts w:ascii="Times New Roman" w:hAnsi="Times New Roman"/>
          <w:szCs w:val="22"/>
        </w:rPr>
        <w:t xml:space="preserve"> investicija į renovaciją, šalies BVP padidins 0,5 </w:t>
      </w:r>
      <w:proofErr w:type="spellStart"/>
      <w:r w:rsidR="008D75B0" w:rsidRPr="00650EE4">
        <w:rPr>
          <w:rFonts w:ascii="Times New Roman" w:hAnsi="Times New Roman"/>
          <w:szCs w:val="22"/>
        </w:rPr>
        <w:t>Eur</w:t>
      </w:r>
      <w:proofErr w:type="spellEnd"/>
      <w:r w:rsidR="008D75B0" w:rsidRPr="00650EE4">
        <w:rPr>
          <w:rFonts w:ascii="Times New Roman" w:hAnsi="Times New Roman"/>
          <w:szCs w:val="22"/>
        </w:rPr>
        <w:t>.</w:t>
      </w:r>
    </w:p>
    <w:p w14:paraId="481AD4E1" w14:textId="77777777" w:rsidR="00DD52F8" w:rsidRPr="00650EE4" w:rsidRDefault="00DD52F8" w:rsidP="00DD52F8">
      <w:pPr>
        <w:jc w:val="both"/>
        <w:rPr>
          <w:rFonts w:ascii="Times New Roman" w:hAnsi="Times New Roman"/>
          <w:color w:val="auto"/>
          <w:szCs w:val="22"/>
        </w:rPr>
      </w:pPr>
    </w:p>
    <w:p w14:paraId="67768056" w14:textId="267AB941" w:rsidR="00051C38" w:rsidRPr="00650EE4" w:rsidRDefault="00051C38" w:rsidP="008D75B0">
      <w:pPr>
        <w:spacing w:before="120" w:after="120"/>
        <w:jc w:val="both"/>
        <w:rPr>
          <w:rFonts w:ascii="Times New Roman" w:hAnsi="Times New Roman"/>
          <w:b/>
          <w:bCs/>
          <w:szCs w:val="24"/>
        </w:rPr>
      </w:pPr>
      <w:bookmarkStart w:id="190" w:name="_Ref43212086"/>
      <w:r w:rsidRPr="00650EE4">
        <w:rPr>
          <w:rFonts w:ascii="Times New Roman" w:hAnsi="Times New Roman"/>
          <w:b/>
          <w:bCs/>
          <w:szCs w:val="24"/>
        </w:rPr>
        <w:t>N</w:t>
      </w:r>
      <w:r w:rsidR="000F7355" w:rsidRPr="00650EE4">
        <w:rPr>
          <w:rFonts w:ascii="Times New Roman" w:hAnsi="Times New Roman"/>
          <w:b/>
          <w:bCs/>
          <w:szCs w:val="24"/>
        </w:rPr>
        <w:t>4</w:t>
      </w:r>
      <w:r w:rsidRPr="00650EE4">
        <w:rPr>
          <w:rFonts w:ascii="Times New Roman" w:hAnsi="Times New Roman"/>
          <w:b/>
          <w:bCs/>
          <w:szCs w:val="24"/>
        </w:rPr>
        <w:t>. Geresnė gyventojų sveikata ir darbingumas</w:t>
      </w:r>
      <w:bookmarkEnd w:id="190"/>
    </w:p>
    <w:p w14:paraId="16B446EE" w14:textId="6967D1DA"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Geresnė šilumos izoliacija, efektyvesnės šildymo ir vėsinimo sistemos, geresnis patalpų apšvietimas ir geresnė </w:t>
      </w:r>
      <w:r w:rsidR="00294279" w:rsidRPr="00650EE4">
        <w:rPr>
          <w:rFonts w:ascii="Times New Roman" w:hAnsi="Times New Roman"/>
          <w:szCs w:val="22"/>
        </w:rPr>
        <w:t xml:space="preserve">vėdinimo sistema </w:t>
      </w:r>
      <w:r w:rsidRPr="00650EE4">
        <w:rPr>
          <w:rFonts w:ascii="Times New Roman" w:hAnsi="Times New Roman"/>
          <w:szCs w:val="22"/>
        </w:rPr>
        <w:t xml:space="preserve">teigiamai veikia sveikatą ir produktyvumą. Renovacija pašalina tokias problemas kaip nepakankama vidaus patalpų temperatūra, drėgmė, nepakankama oro kaita ir/ar nepakankamas apšvietimas. </w:t>
      </w:r>
    </w:p>
    <w:p w14:paraId="1D11CD37" w14:textId="77777777" w:rsidR="005E7B75" w:rsidRPr="00650EE4" w:rsidRDefault="005E7B75" w:rsidP="005E7B75">
      <w:pPr>
        <w:pStyle w:val="Pagrindinispaprastastekstas"/>
        <w:rPr>
          <w:rFonts w:ascii="Times New Roman" w:hAnsi="Times New Roman"/>
          <w:szCs w:val="22"/>
        </w:rPr>
      </w:pPr>
    </w:p>
    <w:p w14:paraId="4EFA65A9" w14:textId="25D3EAB3"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BPIE atliktoje studijoje</w:t>
      </w:r>
      <w:r w:rsidRPr="00650EE4">
        <w:rPr>
          <w:rStyle w:val="FootnoteReference"/>
          <w:rFonts w:ascii="Times New Roman" w:hAnsi="Times New Roman"/>
          <w:szCs w:val="22"/>
        </w:rPr>
        <w:footnoteReference w:id="48"/>
      </w:r>
      <w:r w:rsidRPr="00650EE4">
        <w:rPr>
          <w:rFonts w:ascii="Times New Roman" w:hAnsi="Times New Roman"/>
          <w:szCs w:val="22"/>
        </w:rPr>
        <w:t xml:space="preserve"> „Kaip integruoti patalpų aplinkos kokybę į nacionalines ilgalaikes renovacijos strategijas“ teigiama, kad daugybė mokslinių tyrimų rodo, kad patalpų aplinkos kokybė daro tiesioginį poveikį sveikatai, komfortui, gerovei ir produktyvumui. Tyrimai parodė, kad kvėpavimo takų ir kraujotakos </w:t>
      </w:r>
      <w:proofErr w:type="spellStart"/>
      <w:r w:rsidRPr="00650EE4">
        <w:rPr>
          <w:rFonts w:ascii="Times New Roman" w:hAnsi="Times New Roman"/>
          <w:szCs w:val="22"/>
        </w:rPr>
        <w:t>hospitalizacijų</w:t>
      </w:r>
      <w:proofErr w:type="spellEnd"/>
      <w:r w:rsidRPr="00650EE4">
        <w:rPr>
          <w:rFonts w:ascii="Times New Roman" w:hAnsi="Times New Roman"/>
          <w:szCs w:val="22"/>
        </w:rPr>
        <w:t xml:space="preserve"> skaičius sumažėjo apšiltinant namus, pagrinde dėl tinkamos vidaus temperatūros užtikrinimo. Šalti namai taip pat dažnai yra ir drėgni, dėl to gali augti pelėsiai, sukeliantys kvėpavimo takų ligas. Geresnis patalpų apšvietimas ir vėdinimas pagerina biurų </w:t>
      </w:r>
      <w:r w:rsidR="00294279" w:rsidRPr="00650EE4">
        <w:rPr>
          <w:rFonts w:ascii="Times New Roman" w:hAnsi="Times New Roman"/>
          <w:szCs w:val="22"/>
        </w:rPr>
        <w:t xml:space="preserve">ir mokslo </w:t>
      </w:r>
      <w:r w:rsidRPr="00650EE4">
        <w:rPr>
          <w:rFonts w:ascii="Times New Roman" w:hAnsi="Times New Roman"/>
          <w:szCs w:val="22"/>
        </w:rPr>
        <w:t>pastatų vidaus klimatą, o tai greičiausiai padidins produktyvumą</w:t>
      </w:r>
      <w:r w:rsidR="00294279" w:rsidRPr="00650EE4">
        <w:rPr>
          <w:rFonts w:ascii="Times New Roman" w:hAnsi="Times New Roman"/>
          <w:szCs w:val="22"/>
        </w:rPr>
        <w:t>, pagerinant</w:t>
      </w:r>
      <w:r w:rsidRPr="00650EE4">
        <w:rPr>
          <w:rFonts w:ascii="Times New Roman" w:hAnsi="Times New Roman"/>
          <w:szCs w:val="22"/>
        </w:rPr>
        <w:t xml:space="preserve"> moksleivių ir studentų </w:t>
      </w:r>
      <w:r w:rsidR="00294279" w:rsidRPr="00650EE4">
        <w:rPr>
          <w:rFonts w:ascii="Times New Roman" w:hAnsi="Times New Roman"/>
          <w:szCs w:val="22"/>
        </w:rPr>
        <w:t xml:space="preserve">darbo bei </w:t>
      </w:r>
      <w:r w:rsidRPr="00650EE4">
        <w:rPr>
          <w:rFonts w:ascii="Times New Roman" w:hAnsi="Times New Roman"/>
          <w:szCs w:val="22"/>
        </w:rPr>
        <w:t>mokymosi galimybes ir jų produktyvumą.</w:t>
      </w:r>
    </w:p>
    <w:p w14:paraId="771AE473" w14:textId="77777777" w:rsidR="005E7B75" w:rsidRPr="00650EE4" w:rsidRDefault="005E7B75" w:rsidP="005E7B75">
      <w:pPr>
        <w:pStyle w:val="Pagrindinispaprastastekstas"/>
        <w:rPr>
          <w:rFonts w:ascii="Times New Roman" w:hAnsi="Times New Roman"/>
          <w:szCs w:val="22"/>
        </w:rPr>
      </w:pPr>
    </w:p>
    <w:p w14:paraId="34875379" w14:textId="07FFE2C9" w:rsidR="005E7B75" w:rsidRPr="00650EE4" w:rsidRDefault="005E7B75" w:rsidP="005E7B75">
      <w:pPr>
        <w:pStyle w:val="Pagrindinispaprastastekstas"/>
        <w:spacing w:after="120"/>
        <w:rPr>
          <w:rFonts w:ascii="Times New Roman" w:hAnsi="Times New Roman"/>
          <w:szCs w:val="22"/>
        </w:rPr>
      </w:pPr>
      <w:r w:rsidRPr="00650EE4">
        <w:rPr>
          <w:rFonts w:ascii="Times New Roman" w:hAnsi="Times New Roman"/>
          <w:szCs w:val="22"/>
        </w:rPr>
        <w:t xml:space="preserve">Dauguma energijos vartojimo efektyvumo didinimo priemonių </w:t>
      </w:r>
      <w:r w:rsidR="00294279" w:rsidRPr="00650EE4">
        <w:rPr>
          <w:rFonts w:ascii="Times New Roman" w:hAnsi="Times New Roman"/>
          <w:szCs w:val="22"/>
        </w:rPr>
        <w:t>užtikrina reikiamą</w:t>
      </w:r>
      <w:r w:rsidRPr="00650EE4">
        <w:rPr>
          <w:rFonts w:ascii="Times New Roman" w:hAnsi="Times New Roman"/>
          <w:szCs w:val="22"/>
        </w:rPr>
        <w:t xml:space="preserve"> patalpų temperatūrą</w:t>
      </w:r>
      <w:r w:rsidR="00294279" w:rsidRPr="00650EE4">
        <w:rPr>
          <w:rFonts w:ascii="Times New Roman" w:hAnsi="Times New Roman"/>
          <w:szCs w:val="22"/>
        </w:rPr>
        <w:t xml:space="preserve"> pagal higienos normas</w:t>
      </w:r>
      <w:r w:rsidRPr="00650EE4">
        <w:rPr>
          <w:rFonts w:ascii="Times New Roman" w:hAnsi="Times New Roman"/>
          <w:szCs w:val="22"/>
        </w:rPr>
        <w:t>, o pasirinkus renovacijos priemones, kurios taip pat pagerina patalpų klimatą, naudos sveikatai galima gauti dėl:</w:t>
      </w:r>
    </w:p>
    <w:p w14:paraId="469A1F33"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mažesnio sergamumo;</w:t>
      </w:r>
    </w:p>
    <w:p w14:paraId="21ABC3FE"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mažesnio mirštamumo;</w:t>
      </w:r>
    </w:p>
    <w:p w14:paraId="558AA04B"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didesnio darbuotojų produktyvumo;</w:t>
      </w:r>
    </w:p>
    <w:p w14:paraId="42343FDA" w14:textId="77777777" w:rsidR="005E7B75" w:rsidRPr="00650EE4" w:rsidRDefault="005E7B75" w:rsidP="003E08E8">
      <w:pPr>
        <w:pStyle w:val="BodyText"/>
        <w:numPr>
          <w:ilvl w:val="0"/>
          <w:numId w:val="14"/>
        </w:numPr>
        <w:rPr>
          <w:rFonts w:ascii="Times New Roman" w:hAnsi="Times New Roman"/>
          <w:color w:val="auto"/>
          <w:szCs w:val="22"/>
          <w:lang w:val="lt-LT"/>
        </w:rPr>
      </w:pPr>
      <w:r w:rsidRPr="00650EE4">
        <w:rPr>
          <w:rFonts w:ascii="Times New Roman" w:hAnsi="Times New Roman"/>
          <w:color w:val="auto"/>
          <w:szCs w:val="22"/>
          <w:lang w:val="lt-LT"/>
        </w:rPr>
        <w:t>bendros gyvenimo kokybės pagerėjimo.</w:t>
      </w:r>
    </w:p>
    <w:p w14:paraId="69826988" w14:textId="77777777" w:rsidR="005E7B75" w:rsidRPr="00650EE4" w:rsidRDefault="005E7B75" w:rsidP="005E7B75">
      <w:pPr>
        <w:pStyle w:val="BodyText"/>
        <w:rPr>
          <w:rFonts w:ascii="Times New Roman" w:hAnsi="Times New Roman"/>
          <w:color w:val="auto"/>
          <w:szCs w:val="22"/>
          <w:lang w:val="lt-LT"/>
        </w:rPr>
      </w:pPr>
    </w:p>
    <w:p w14:paraId="4B17705B" w14:textId="53489A94" w:rsidR="005E7B75" w:rsidRPr="00650EE4" w:rsidRDefault="005E7B75" w:rsidP="005E7B75">
      <w:pPr>
        <w:pStyle w:val="BodyText"/>
        <w:spacing w:after="120"/>
        <w:rPr>
          <w:rFonts w:ascii="Times New Roman" w:hAnsi="Times New Roman"/>
          <w:color w:val="auto"/>
          <w:szCs w:val="22"/>
          <w:lang w:val="lt-LT"/>
        </w:rPr>
      </w:pPr>
      <w:r w:rsidRPr="00650EE4">
        <w:rPr>
          <w:rFonts w:ascii="Times New Roman" w:hAnsi="Times New Roman"/>
          <w:color w:val="auto"/>
          <w:szCs w:val="22"/>
          <w:lang w:val="lt-LT"/>
        </w:rPr>
        <w:t xml:space="preserve">Dėl geresnės gyventojų sveikatos taip pat gerėja </w:t>
      </w:r>
      <w:r w:rsidR="00235869">
        <w:rPr>
          <w:rFonts w:ascii="Times New Roman" w:hAnsi="Times New Roman"/>
          <w:color w:val="auto"/>
          <w:szCs w:val="22"/>
          <w:lang w:val="lt-LT"/>
        </w:rPr>
        <w:t>v</w:t>
      </w:r>
      <w:r w:rsidRPr="00650EE4">
        <w:rPr>
          <w:rFonts w:ascii="Times New Roman" w:hAnsi="Times New Roman"/>
          <w:color w:val="auto"/>
          <w:szCs w:val="22"/>
          <w:lang w:val="lt-LT"/>
        </w:rPr>
        <w:t>alstybės biudžeto balansas:</w:t>
      </w:r>
    </w:p>
    <w:p w14:paraId="5D3E26C1" w14:textId="235EFDCD" w:rsidR="005E7B75" w:rsidRPr="00650EE4" w:rsidRDefault="00235869" w:rsidP="003E08E8">
      <w:pPr>
        <w:pStyle w:val="BodyText"/>
        <w:numPr>
          <w:ilvl w:val="0"/>
          <w:numId w:val="14"/>
        </w:numPr>
        <w:rPr>
          <w:rFonts w:ascii="Times New Roman" w:hAnsi="Times New Roman"/>
          <w:color w:val="auto"/>
          <w:szCs w:val="22"/>
          <w:lang w:val="lt-LT"/>
        </w:rPr>
      </w:pPr>
      <w:r>
        <w:rPr>
          <w:rFonts w:ascii="Times New Roman" w:hAnsi="Times New Roman"/>
          <w:color w:val="auto"/>
          <w:szCs w:val="22"/>
          <w:lang w:val="lt-LT"/>
        </w:rPr>
        <w:t>v</w:t>
      </w:r>
      <w:r w:rsidR="005E7B75" w:rsidRPr="00650EE4">
        <w:rPr>
          <w:rFonts w:ascii="Times New Roman" w:hAnsi="Times New Roman"/>
          <w:color w:val="auto"/>
          <w:szCs w:val="22"/>
          <w:lang w:val="lt-LT"/>
        </w:rPr>
        <w:t>alstybės biudžeto išlaidos sumažės dėl mažesnių sveikatos priežiūros išlaidų</w:t>
      </w:r>
      <w:r>
        <w:rPr>
          <w:rFonts w:ascii="Times New Roman" w:hAnsi="Times New Roman"/>
          <w:color w:val="auto"/>
          <w:szCs w:val="22"/>
          <w:lang w:val="lt-LT"/>
        </w:rPr>
        <w:t>;</w:t>
      </w:r>
    </w:p>
    <w:p w14:paraId="34618FD5" w14:textId="0E3B79BE" w:rsidR="005E7B75" w:rsidRPr="00650EE4" w:rsidRDefault="00235869" w:rsidP="003E08E8">
      <w:pPr>
        <w:pStyle w:val="BodyText"/>
        <w:numPr>
          <w:ilvl w:val="0"/>
          <w:numId w:val="14"/>
        </w:numPr>
        <w:rPr>
          <w:rFonts w:ascii="Times New Roman" w:hAnsi="Times New Roman"/>
          <w:color w:val="auto"/>
          <w:szCs w:val="22"/>
          <w:lang w:val="lt-LT"/>
        </w:rPr>
      </w:pPr>
      <w:r>
        <w:rPr>
          <w:rFonts w:ascii="Times New Roman" w:hAnsi="Times New Roman"/>
          <w:color w:val="auto"/>
          <w:szCs w:val="22"/>
          <w:lang w:val="lt-LT"/>
        </w:rPr>
        <w:t>v</w:t>
      </w:r>
      <w:r w:rsidR="005E7B75" w:rsidRPr="00650EE4">
        <w:rPr>
          <w:rFonts w:ascii="Times New Roman" w:hAnsi="Times New Roman"/>
          <w:color w:val="auto"/>
          <w:szCs w:val="22"/>
          <w:lang w:val="lt-LT"/>
        </w:rPr>
        <w:t>alstybės biudžetas gali būti papildytas, nes darbuotojai mažiau sirgs ir daugiau dienų bus darbingi (mažesnės išlaidos kompensuojant prarastas pajamas ir didesnės įplaukos nuo darbo užmokesčio)</w:t>
      </w:r>
      <w:r>
        <w:rPr>
          <w:rFonts w:ascii="Times New Roman" w:hAnsi="Times New Roman"/>
          <w:color w:val="auto"/>
          <w:szCs w:val="22"/>
          <w:lang w:val="lt-LT"/>
        </w:rPr>
        <w:t>.</w:t>
      </w:r>
    </w:p>
    <w:p w14:paraId="1DD7B06E" w14:textId="77777777" w:rsidR="005E7B75" w:rsidRPr="00650EE4" w:rsidRDefault="005E7B75" w:rsidP="005E7B75">
      <w:pPr>
        <w:pStyle w:val="Pagrindinispaprastastekstas"/>
        <w:rPr>
          <w:rFonts w:ascii="Times New Roman" w:hAnsi="Times New Roman"/>
          <w:szCs w:val="22"/>
        </w:rPr>
      </w:pPr>
    </w:p>
    <w:p w14:paraId="76981B76" w14:textId="1ABA2074"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Projektai, kuriais siekiama pagerinti pastatų energetines charakteristikas, paprastai apima fasadų ir stogų </w:t>
      </w:r>
      <w:r w:rsidR="009501DA" w:rsidRPr="00650EE4">
        <w:rPr>
          <w:rFonts w:ascii="Times New Roman" w:hAnsi="Times New Roman"/>
          <w:szCs w:val="22"/>
        </w:rPr>
        <w:t>apšiltinimo</w:t>
      </w:r>
      <w:r w:rsidRPr="00650EE4">
        <w:rPr>
          <w:rFonts w:ascii="Times New Roman" w:hAnsi="Times New Roman"/>
          <w:szCs w:val="22"/>
        </w:rPr>
        <w:t xml:space="preserve"> darbus, langų pakeitimą ir šildymo sistemų </w:t>
      </w:r>
      <w:r w:rsidR="009501DA" w:rsidRPr="00650EE4">
        <w:rPr>
          <w:rFonts w:ascii="Times New Roman" w:hAnsi="Times New Roman"/>
          <w:szCs w:val="22"/>
        </w:rPr>
        <w:t>atnaujinimą</w:t>
      </w:r>
      <w:r w:rsidRPr="00650EE4">
        <w:rPr>
          <w:rFonts w:ascii="Times New Roman" w:hAnsi="Times New Roman"/>
          <w:szCs w:val="22"/>
        </w:rPr>
        <w:t xml:space="preserve">. Jie gali sukelti dvejopą poveikį: pirma, vidaus temperatūros padidėjimą ir dėl to atsiradusį komforto padidėjimą ir, antra, energijos suvartojimo sąnaudų sumažėjimą. Lietuvoje įprastinė temperatūra nerenovuotuose pastatuose šaltuoju metų laiku yra 18°C, kuri yra Lietuvos teisės aktų ir Pasaulio sveikatos organizacijos rekomenduotina minimali temperatūra, tačiau prastu </w:t>
      </w:r>
      <w:r w:rsidRPr="00650EE4">
        <w:rPr>
          <w:rFonts w:ascii="Times New Roman" w:hAnsi="Times New Roman"/>
          <w:szCs w:val="22"/>
        </w:rPr>
        <w:lastRenderedPageBreak/>
        <w:t xml:space="preserve">energetiniu efektyvumu pasižyminčiuose pastatuose ne visada gali pavykti užtikrinti tokią temperatūrą. Prastų energetinių charakteristikų patalpose aukštesnės temperatūros dažnai vengiama siekiant mažesnių sąskaitų už energiją. </w:t>
      </w:r>
    </w:p>
    <w:p w14:paraId="44628437" w14:textId="77777777" w:rsidR="005E7B75" w:rsidRPr="00650EE4" w:rsidRDefault="005E7B75" w:rsidP="005E7B75">
      <w:pPr>
        <w:pStyle w:val="Pagrindinispaprastastekstas"/>
        <w:rPr>
          <w:rFonts w:ascii="Times New Roman" w:hAnsi="Times New Roman"/>
          <w:szCs w:val="22"/>
        </w:rPr>
      </w:pPr>
    </w:p>
    <w:p w14:paraId="1276FFAF" w14:textId="7D3DA9B6"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Šiame kontekste renovacija, priklausomai nuo konkrečių intervencijų, gali sąlygoti ne tik energijos suvartojimo sąnaudų sumažėjimą, bet ir temperatūros patalpose, o kartu ir komforto, padidėjimą. Lietuvoje renovuotuose pastatuose paprastai palaikoma 20-22°C vidutinė oro temperatūra, jei pastatų gyventojams ar naudotojams nėra galimybės individualiai reguliuoti kiekvieno buto / patalpos temperatūros, ir 18–25°C, jei naudotojai gali laisvai reguliuoti patalpų temperatūrą</w:t>
      </w:r>
      <w:r w:rsidR="009F679E" w:rsidRPr="00650EE4">
        <w:rPr>
          <w:rFonts w:ascii="Times New Roman" w:hAnsi="Times New Roman"/>
          <w:szCs w:val="22"/>
        </w:rPr>
        <w:t>, atsižvelgiant į</w:t>
      </w:r>
      <w:r w:rsidRPr="00650EE4">
        <w:rPr>
          <w:rFonts w:ascii="Times New Roman" w:hAnsi="Times New Roman"/>
          <w:szCs w:val="22"/>
        </w:rPr>
        <w:t xml:space="preserve"> savo </w:t>
      </w:r>
      <w:r w:rsidR="009F679E" w:rsidRPr="00650EE4">
        <w:rPr>
          <w:rFonts w:ascii="Times New Roman" w:hAnsi="Times New Roman"/>
          <w:szCs w:val="22"/>
        </w:rPr>
        <w:t>norus, išorės lauko</w:t>
      </w:r>
      <w:r w:rsidRPr="00650EE4">
        <w:rPr>
          <w:rFonts w:ascii="Times New Roman" w:hAnsi="Times New Roman"/>
          <w:szCs w:val="22"/>
        </w:rPr>
        <w:t xml:space="preserve"> temperatūr</w:t>
      </w:r>
      <w:r w:rsidR="009F679E" w:rsidRPr="00650EE4">
        <w:rPr>
          <w:rFonts w:ascii="Times New Roman" w:hAnsi="Times New Roman"/>
          <w:szCs w:val="22"/>
        </w:rPr>
        <w:t>ą</w:t>
      </w:r>
      <w:r w:rsidRPr="00650EE4">
        <w:rPr>
          <w:rFonts w:ascii="Times New Roman" w:hAnsi="Times New Roman"/>
          <w:szCs w:val="22"/>
        </w:rPr>
        <w:t xml:space="preserve"> ir ekonom</w:t>
      </w:r>
      <w:r w:rsidR="009F679E" w:rsidRPr="00650EE4">
        <w:rPr>
          <w:rFonts w:ascii="Times New Roman" w:hAnsi="Times New Roman"/>
          <w:szCs w:val="22"/>
        </w:rPr>
        <w:t>es galimybes</w:t>
      </w:r>
      <w:r w:rsidRPr="00650EE4">
        <w:rPr>
          <w:rFonts w:ascii="Times New Roman" w:hAnsi="Times New Roman"/>
          <w:szCs w:val="22"/>
        </w:rPr>
        <w:t xml:space="preserve">. </w:t>
      </w:r>
    </w:p>
    <w:p w14:paraId="7A3B9DE9" w14:textId="77777777" w:rsidR="005E7B75" w:rsidRPr="00650EE4" w:rsidRDefault="005E7B75" w:rsidP="005E7B75">
      <w:pPr>
        <w:pStyle w:val="Pagrindinispaprastastekstas"/>
        <w:rPr>
          <w:rFonts w:ascii="Times New Roman" w:hAnsi="Times New Roman"/>
          <w:szCs w:val="22"/>
        </w:rPr>
      </w:pPr>
    </w:p>
    <w:p w14:paraId="5C25DC78" w14:textId="29F285F9"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 xml:space="preserve">Siekiant įvertinti renovacijos naudą dėl teigiamo poveikio sveikatai ir darbingumui, buvo remtasi </w:t>
      </w:r>
      <w:r w:rsidR="00235869">
        <w:rPr>
          <w:rFonts w:ascii="Times New Roman" w:hAnsi="Times New Roman"/>
          <w:szCs w:val="22"/>
        </w:rPr>
        <w:t>„</w:t>
      </w:r>
      <w:proofErr w:type="spellStart"/>
      <w:r w:rsidRPr="00650EE4">
        <w:rPr>
          <w:rFonts w:ascii="Times New Roman" w:hAnsi="Times New Roman"/>
          <w:szCs w:val="22"/>
        </w:rPr>
        <w:t>Copenhagen</w:t>
      </w:r>
      <w:proofErr w:type="spellEnd"/>
      <w:r w:rsidRPr="00650EE4">
        <w:rPr>
          <w:rFonts w:ascii="Times New Roman" w:hAnsi="Times New Roman"/>
          <w:szCs w:val="22"/>
        </w:rPr>
        <w:t xml:space="preserve"> </w:t>
      </w:r>
      <w:proofErr w:type="spellStart"/>
      <w:r w:rsidRPr="00650EE4">
        <w:rPr>
          <w:rFonts w:ascii="Times New Roman" w:hAnsi="Times New Roman"/>
          <w:szCs w:val="22"/>
        </w:rPr>
        <w:t>Economics</w:t>
      </w:r>
      <w:proofErr w:type="spellEnd"/>
      <w:r w:rsidR="00235869">
        <w:rPr>
          <w:rFonts w:ascii="Times New Roman" w:hAnsi="Times New Roman"/>
          <w:szCs w:val="22"/>
        </w:rPr>
        <w:t>“</w:t>
      </w:r>
      <w:r w:rsidRPr="00650EE4">
        <w:rPr>
          <w:rFonts w:ascii="Times New Roman" w:hAnsi="Times New Roman"/>
          <w:szCs w:val="22"/>
        </w:rPr>
        <w:t xml:space="preserve"> atlikta studija</w:t>
      </w:r>
      <w:r w:rsidRPr="00650EE4">
        <w:rPr>
          <w:rStyle w:val="FootnoteReference"/>
          <w:rFonts w:ascii="Times New Roman" w:hAnsi="Times New Roman"/>
          <w:szCs w:val="22"/>
        </w:rPr>
        <w:footnoteReference w:id="49"/>
      </w:r>
      <w:r w:rsidRPr="00650EE4">
        <w:rPr>
          <w:rFonts w:ascii="Times New Roman" w:hAnsi="Times New Roman"/>
          <w:szCs w:val="22"/>
        </w:rPr>
        <w:t xml:space="preserve"> „Daugialypiai investavimo į energiją taupančius pastatus atnaujinimo privalumai“. Šioje studijoje buvo įvertinta, kad vidutinė nauda sveikatai ir darbingumui siekia nuo 1,05 mlrd. Eurų iki 2,2 mlrd. Eurų per metus kiekvienam investuotam 1 mlrd. Eurų. Atsižvelgiant į mažesnes gyventojų pajamas Lietuvoje ir vadovaujantis konservatyvumo principu, daroma prielaida, kad šie koeficientai Lietuvoje bus 5 kartus mažesni ir sieks nuo 0,21 iki 0,44 mlrd. Eurų vienam milijardui eurų investicijų. Naudų vertinimui naudojamas šių reikšmių vidurkis – 0,325 </w:t>
      </w:r>
      <w:proofErr w:type="spellStart"/>
      <w:r w:rsidRPr="00650EE4">
        <w:rPr>
          <w:rFonts w:ascii="Times New Roman" w:hAnsi="Times New Roman"/>
          <w:szCs w:val="22"/>
        </w:rPr>
        <w:t>Eur</w:t>
      </w:r>
      <w:proofErr w:type="spellEnd"/>
      <w:r w:rsidRPr="00650EE4">
        <w:rPr>
          <w:rFonts w:ascii="Times New Roman" w:hAnsi="Times New Roman"/>
          <w:szCs w:val="22"/>
        </w:rPr>
        <w:t xml:space="preserve"> nauda vienam investuotam eurui.</w:t>
      </w:r>
    </w:p>
    <w:p w14:paraId="3387C5EE" w14:textId="77777777" w:rsidR="005E7B75" w:rsidRPr="00650EE4" w:rsidRDefault="005E7B75" w:rsidP="005E7B75">
      <w:pPr>
        <w:pStyle w:val="Pagrindinispaprastastekstas"/>
        <w:rPr>
          <w:rFonts w:ascii="Times New Roman" w:hAnsi="Times New Roman"/>
          <w:szCs w:val="22"/>
        </w:rPr>
      </w:pPr>
    </w:p>
    <w:p w14:paraId="7AC1093C" w14:textId="1A1CE791" w:rsidR="005E7B75" w:rsidRPr="00650EE4" w:rsidRDefault="005E7B75" w:rsidP="005E7B75">
      <w:pPr>
        <w:pStyle w:val="Pagrindinispaprastastekstas"/>
        <w:rPr>
          <w:rFonts w:ascii="Times New Roman" w:hAnsi="Times New Roman"/>
          <w:szCs w:val="22"/>
        </w:rPr>
      </w:pPr>
      <w:r w:rsidRPr="00650EE4">
        <w:rPr>
          <w:rFonts w:ascii="Times New Roman" w:hAnsi="Times New Roman"/>
          <w:szCs w:val="22"/>
        </w:rPr>
        <w:t>Atsižvelgiant į planuojamas IRS įgyvendinimo</w:t>
      </w:r>
      <w:r w:rsidR="008D75B0" w:rsidRPr="00650EE4">
        <w:rPr>
          <w:rFonts w:ascii="Times New Roman" w:hAnsi="Times New Roman"/>
          <w:szCs w:val="22"/>
        </w:rPr>
        <w:t xml:space="preserve"> investicijas</w:t>
      </w:r>
      <w:r w:rsidRPr="00650EE4">
        <w:rPr>
          <w:rFonts w:ascii="Times New Roman" w:hAnsi="Times New Roman"/>
          <w:szCs w:val="22"/>
        </w:rPr>
        <w:t xml:space="preserve">, vertinama, kad socialinė nauda dėl geresnės gyventojų </w:t>
      </w:r>
      <w:r w:rsidR="008D75B0" w:rsidRPr="00650EE4">
        <w:rPr>
          <w:rFonts w:ascii="Times New Roman" w:hAnsi="Times New Roman"/>
          <w:szCs w:val="22"/>
        </w:rPr>
        <w:t>sveikatos ir darbingumo sieks 1</w:t>
      </w:r>
      <w:r w:rsidR="00175A5A">
        <w:rPr>
          <w:rFonts w:ascii="Times New Roman" w:hAnsi="Times New Roman"/>
          <w:szCs w:val="22"/>
        </w:rPr>
        <w:t>9</w:t>
      </w:r>
      <w:r w:rsidR="008D75B0" w:rsidRPr="00650EE4">
        <w:rPr>
          <w:rFonts w:ascii="Times New Roman" w:hAnsi="Times New Roman"/>
          <w:szCs w:val="22"/>
        </w:rPr>
        <w:t>,</w:t>
      </w:r>
      <w:r w:rsidR="00175A5A">
        <w:rPr>
          <w:rFonts w:ascii="Times New Roman" w:hAnsi="Times New Roman"/>
          <w:szCs w:val="22"/>
        </w:rPr>
        <w:t>5</w:t>
      </w:r>
      <w:r w:rsidRPr="00650EE4">
        <w:rPr>
          <w:rFonts w:ascii="Times New Roman" w:hAnsi="Times New Roman"/>
          <w:szCs w:val="22"/>
        </w:rPr>
        <w:t xml:space="preserve"> mlrd. </w:t>
      </w:r>
      <w:proofErr w:type="spellStart"/>
      <w:r w:rsidRPr="00650EE4">
        <w:rPr>
          <w:rFonts w:ascii="Times New Roman" w:hAnsi="Times New Roman"/>
          <w:szCs w:val="22"/>
        </w:rPr>
        <w:t>Eur</w:t>
      </w:r>
      <w:proofErr w:type="spellEnd"/>
      <w:r w:rsidR="008D75B0" w:rsidRPr="00650EE4">
        <w:rPr>
          <w:rFonts w:ascii="Times New Roman" w:hAnsi="Times New Roman"/>
          <w:szCs w:val="22"/>
        </w:rPr>
        <w:t>, per 2021-2050 m. laikotarpį.</w:t>
      </w:r>
    </w:p>
    <w:p w14:paraId="1584C3C6" w14:textId="5E72C0DD" w:rsidR="006A2623" w:rsidRPr="00650EE4" w:rsidRDefault="006A2623" w:rsidP="000F7355">
      <w:pPr>
        <w:spacing w:after="120"/>
        <w:rPr>
          <w:rFonts w:ascii="Times New Roman" w:hAnsi="Times New Roman"/>
          <w:color w:val="auto"/>
          <w:szCs w:val="22"/>
        </w:rPr>
      </w:pPr>
    </w:p>
    <w:p w14:paraId="730871E8" w14:textId="2FF81D34" w:rsidR="006A2623" w:rsidRPr="00650EE4" w:rsidRDefault="000F7355" w:rsidP="000F7355">
      <w:pPr>
        <w:spacing w:after="120"/>
        <w:jc w:val="both"/>
        <w:rPr>
          <w:rFonts w:ascii="Times New Roman" w:hAnsi="Times New Roman"/>
          <w:b/>
          <w:bCs/>
          <w:szCs w:val="24"/>
        </w:rPr>
      </w:pPr>
      <w:r w:rsidRPr="00650EE4">
        <w:rPr>
          <w:rFonts w:ascii="Times New Roman" w:hAnsi="Times New Roman"/>
          <w:b/>
          <w:bCs/>
          <w:szCs w:val="24"/>
        </w:rPr>
        <w:t>N5</w:t>
      </w:r>
      <w:r w:rsidR="006A2623" w:rsidRPr="00650EE4">
        <w:rPr>
          <w:rFonts w:ascii="Times New Roman" w:hAnsi="Times New Roman"/>
          <w:b/>
          <w:bCs/>
          <w:szCs w:val="24"/>
        </w:rPr>
        <w:t>. Gyvenamojo NT vertės augimas</w:t>
      </w:r>
    </w:p>
    <w:p w14:paraId="5E90F396" w14:textId="1B8CF60C" w:rsidR="00F36EC7" w:rsidRPr="00650EE4" w:rsidRDefault="00F36EC7" w:rsidP="00F36EC7">
      <w:pPr>
        <w:pStyle w:val="Pagrindinispaprastastekstas"/>
        <w:rPr>
          <w:rFonts w:ascii="Times New Roman" w:hAnsi="Times New Roman"/>
          <w:szCs w:val="22"/>
        </w:rPr>
      </w:pPr>
      <w:r w:rsidRPr="00650EE4">
        <w:rPr>
          <w:rFonts w:ascii="Times New Roman" w:hAnsi="Times New Roman"/>
          <w:szCs w:val="22"/>
        </w:rPr>
        <w:t xml:space="preserve">Remiantis </w:t>
      </w:r>
      <w:proofErr w:type="spellStart"/>
      <w:r w:rsidRPr="00650EE4">
        <w:rPr>
          <w:rFonts w:ascii="Times New Roman" w:hAnsi="Times New Roman"/>
          <w:szCs w:val="22"/>
        </w:rPr>
        <w:t>Ober-haus</w:t>
      </w:r>
      <w:proofErr w:type="spellEnd"/>
      <w:r w:rsidRPr="00650EE4">
        <w:rPr>
          <w:rFonts w:ascii="Times New Roman" w:hAnsi="Times New Roman"/>
          <w:szCs w:val="22"/>
        </w:rPr>
        <w:t xml:space="preserve"> nekilnojamojo turto kainų statistika</w:t>
      </w:r>
      <w:r w:rsidRPr="00650EE4">
        <w:rPr>
          <w:rStyle w:val="FootnoteReference"/>
          <w:rFonts w:ascii="Times New Roman" w:hAnsi="Times New Roman"/>
          <w:szCs w:val="22"/>
        </w:rPr>
        <w:footnoteReference w:id="50"/>
      </w:r>
      <w:r w:rsidRPr="00650EE4">
        <w:rPr>
          <w:rFonts w:ascii="Times New Roman" w:hAnsi="Times New Roman"/>
          <w:szCs w:val="22"/>
        </w:rPr>
        <w:t xml:space="preserve">, gyventojai yra linkę mokėti nuo 10 proc. iki 33 proc. brangiau už </w:t>
      </w:r>
      <w:r w:rsidR="008D75B0" w:rsidRPr="00650EE4">
        <w:rPr>
          <w:rFonts w:ascii="Times New Roman" w:hAnsi="Times New Roman"/>
          <w:szCs w:val="22"/>
        </w:rPr>
        <w:t>butą renovuotame name</w:t>
      </w:r>
      <w:r w:rsidRPr="00650EE4">
        <w:rPr>
          <w:rFonts w:ascii="Times New Roman" w:hAnsi="Times New Roman"/>
          <w:szCs w:val="22"/>
        </w:rPr>
        <w:t>. Apibendrinant BETA atliekamų gyventojų nuomonės tyrimų</w:t>
      </w:r>
      <w:r w:rsidRPr="00650EE4">
        <w:rPr>
          <w:rStyle w:val="FootnoteReference"/>
          <w:rFonts w:ascii="Times New Roman" w:hAnsi="Times New Roman"/>
          <w:szCs w:val="22"/>
        </w:rPr>
        <w:footnoteReference w:id="51"/>
      </w:r>
      <w:r w:rsidRPr="00650EE4">
        <w:rPr>
          <w:rFonts w:ascii="Times New Roman" w:hAnsi="Times New Roman"/>
          <w:szCs w:val="22"/>
        </w:rPr>
        <w:t xml:space="preserve"> rezultatus galima teigti, kad be tokių priežasčių kaip mažesnės šildymo sąnaudos ir estetiškai geresnis vaizdas, už renovuotą gyvenamąjį NT </w:t>
      </w:r>
      <w:r w:rsidR="00F50547" w:rsidRPr="00650EE4">
        <w:rPr>
          <w:rFonts w:ascii="Times New Roman" w:hAnsi="Times New Roman"/>
          <w:szCs w:val="22"/>
        </w:rPr>
        <w:t xml:space="preserve">pirkėjai yra pasiruošę mokėti brangiau, nes </w:t>
      </w:r>
      <w:r w:rsidRPr="00650EE4">
        <w:rPr>
          <w:rFonts w:ascii="Times New Roman" w:hAnsi="Times New Roman"/>
          <w:szCs w:val="22"/>
        </w:rPr>
        <w:t>mano, kad nerenovuotam</w:t>
      </w:r>
      <w:r w:rsidR="00F50547" w:rsidRPr="00650EE4">
        <w:rPr>
          <w:rFonts w:ascii="Times New Roman" w:hAnsi="Times New Roman"/>
          <w:szCs w:val="22"/>
        </w:rPr>
        <w:t>e name</w:t>
      </w:r>
      <w:r w:rsidRPr="00650EE4">
        <w:rPr>
          <w:rFonts w:ascii="Times New Roman" w:hAnsi="Times New Roman"/>
          <w:szCs w:val="22"/>
        </w:rPr>
        <w:t xml:space="preserve"> </w:t>
      </w:r>
      <w:r w:rsidR="00F50547" w:rsidRPr="00650EE4">
        <w:rPr>
          <w:rFonts w:ascii="Times New Roman" w:hAnsi="Times New Roman"/>
          <w:szCs w:val="22"/>
        </w:rPr>
        <w:t>yra rizika</w:t>
      </w:r>
      <w:r w:rsidR="007436B7" w:rsidRPr="00650EE4">
        <w:rPr>
          <w:rFonts w:ascii="Times New Roman" w:hAnsi="Times New Roman"/>
          <w:szCs w:val="22"/>
        </w:rPr>
        <w:t xml:space="preserve"> nesusitarti ir neįgyv</w:t>
      </w:r>
      <w:r w:rsidR="00F50547" w:rsidRPr="00650EE4">
        <w:rPr>
          <w:rFonts w:ascii="Times New Roman" w:hAnsi="Times New Roman"/>
          <w:szCs w:val="22"/>
        </w:rPr>
        <w:t>endinti renovacijos projekto</w:t>
      </w:r>
      <w:r w:rsidR="007436B7" w:rsidRPr="00650EE4">
        <w:rPr>
          <w:rFonts w:ascii="Times New Roman" w:hAnsi="Times New Roman"/>
          <w:szCs w:val="22"/>
        </w:rPr>
        <w:t xml:space="preserve">, taip pat yra </w:t>
      </w:r>
      <w:r w:rsidR="00C367FD" w:rsidRPr="00650EE4">
        <w:rPr>
          <w:rFonts w:ascii="Times New Roman" w:hAnsi="Times New Roman"/>
          <w:szCs w:val="22"/>
        </w:rPr>
        <w:t>pasiryžimas</w:t>
      </w:r>
      <w:r w:rsidRPr="00650EE4">
        <w:rPr>
          <w:rFonts w:ascii="Times New Roman" w:hAnsi="Times New Roman"/>
          <w:szCs w:val="22"/>
        </w:rPr>
        <w:t xml:space="preserve"> sumokėti papildomai už tai, kad nereikėtų gyventi renovuojamame objekte renovacijo</w:t>
      </w:r>
      <w:r w:rsidR="007436B7" w:rsidRPr="00650EE4">
        <w:rPr>
          <w:rFonts w:ascii="Times New Roman" w:hAnsi="Times New Roman"/>
          <w:szCs w:val="22"/>
        </w:rPr>
        <w:t xml:space="preserve">s metu, už </w:t>
      </w:r>
      <w:r w:rsidRPr="00650EE4">
        <w:rPr>
          <w:rFonts w:ascii="Times New Roman" w:hAnsi="Times New Roman"/>
          <w:szCs w:val="22"/>
        </w:rPr>
        <w:t>renovuoto objekto konstrukcijų numatytą ilgesnį tarnavimo laiką bei didesnį komfortą.</w:t>
      </w:r>
    </w:p>
    <w:p w14:paraId="79DD976F" w14:textId="77777777" w:rsidR="00F36EC7" w:rsidRPr="00650EE4" w:rsidRDefault="00F36EC7" w:rsidP="00F36EC7">
      <w:pPr>
        <w:jc w:val="both"/>
        <w:rPr>
          <w:rFonts w:ascii="Times New Roman" w:hAnsi="Times New Roman"/>
          <w:color w:val="auto"/>
          <w:szCs w:val="22"/>
        </w:rPr>
      </w:pPr>
    </w:p>
    <w:p w14:paraId="45076447" w14:textId="77777777" w:rsidR="00F36EC7" w:rsidRPr="00650EE4" w:rsidRDefault="00F36EC7" w:rsidP="00F36EC7">
      <w:pPr>
        <w:spacing w:after="120"/>
        <w:jc w:val="both"/>
        <w:rPr>
          <w:rFonts w:ascii="Times New Roman" w:hAnsi="Times New Roman"/>
          <w:color w:val="auto"/>
          <w:szCs w:val="22"/>
        </w:rPr>
      </w:pPr>
      <w:r w:rsidRPr="00650EE4">
        <w:rPr>
          <w:rFonts w:ascii="Times New Roman" w:hAnsi="Times New Roman"/>
          <w:color w:val="auto"/>
          <w:szCs w:val="22"/>
        </w:rPr>
        <w:t>Gyvenamojo nekilnojamo turto NT vertės augimo įtaka apskaičiuota žemiau nurodyta tvarka:</w:t>
      </w:r>
    </w:p>
    <w:p w14:paraId="479EC173" w14:textId="7F5F89CC" w:rsidR="00F36EC7" w:rsidRPr="00650EE4" w:rsidRDefault="00395B24" w:rsidP="00BD4925">
      <w:pPr>
        <w:pStyle w:val="ListParagraph"/>
        <w:numPr>
          <w:ilvl w:val="0"/>
          <w:numId w:val="44"/>
        </w:numPr>
        <w:spacing w:after="120"/>
        <w:jc w:val="both"/>
        <w:rPr>
          <w:rFonts w:ascii="Times New Roman" w:hAnsi="Times New Roman"/>
          <w:szCs w:val="22"/>
          <w:lang w:val="lt-LT"/>
        </w:rPr>
      </w:pPr>
      <w:r>
        <w:rPr>
          <w:rFonts w:ascii="Times New Roman" w:hAnsi="Times New Roman"/>
          <w:color w:val="auto"/>
          <w:szCs w:val="22"/>
          <w:lang w:val="lt-LT"/>
        </w:rPr>
        <w:t>į</w:t>
      </w:r>
      <w:r w:rsidR="00F36EC7" w:rsidRPr="00650EE4">
        <w:rPr>
          <w:rFonts w:ascii="Times New Roman" w:hAnsi="Times New Roman"/>
          <w:color w:val="auto"/>
          <w:szCs w:val="22"/>
          <w:lang w:val="lt-LT"/>
        </w:rPr>
        <w:t>vertintas IRS įgyvendinimo laikotarpiu renovuojamų gyvenamosios paskirties pastatų plotas (m</w:t>
      </w:r>
      <w:r w:rsidR="00F36EC7" w:rsidRPr="00650EE4">
        <w:rPr>
          <w:rFonts w:ascii="Times New Roman" w:hAnsi="Times New Roman"/>
          <w:color w:val="auto"/>
          <w:szCs w:val="22"/>
          <w:vertAlign w:val="superscript"/>
          <w:lang w:val="lt-LT"/>
        </w:rPr>
        <w:t>2</w:t>
      </w:r>
      <w:r w:rsidR="00F36EC7" w:rsidRPr="00650EE4">
        <w:rPr>
          <w:rFonts w:ascii="Times New Roman" w:hAnsi="Times New Roman"/>
          <w:color w:val="auto"/>
          <w:szCs w:val="22"/>
          <w:lang w:val="lt-LT"/>
        </w:rPr>
        <w:t xml:space="preserve">) 5 didžiausiuose Lietuvos miestuose: </w:t>
      </w:r>
      <w:r w:rsidR="00F36EC7" w:rsidRPr="00650EE4">
        <w:rPr>
          <w:rFonts w:ascii="Times New Roman" w:hAnsi="Times New Roman"/>
          <w:szCs w:val="22"/>
          <w:lang w:val="lt-LT"/>
        </w:rPr>
        <w:t>Vilniuje, Kaune, Klaipėda, Šiauliuose ir Panevėžyje (33,1 mln. m</w:t>
      </w:r>
      <w:r w:rsidR="00F36EC7" w:rsidRPr="00650EE4">
        <w:rPr>
          <w:rFonts w:ascii="Times New Roman" w:hAnsi="Times New Roman"/>
          <w:szCs w:val="22"/>
          <w:vertAlign w:val="superscript"/>
          <w:lang w:val="lt-LT"/>
        </w:rPr>
        <w:t>2</w:t>
      </w:r>
      <w:r w:rsidR="00F36EC7" w:rsidRPr="00650EE4">
        <w:rPr>
          <w:rFonts w:ascii="Times New Roman" w:hAnsi="Times New Roman"/>
          <w:szCs w:val="22"/>
          <w:lang w:val="lt-LT"/>
        </w:rPr>
        <w:t>);</w:t>
      </w:r>
    </w:p>
    <w:p w14:paraId="30702176" w14:textId="30A6E1EB" w:rsidR="00F36EC7" w:rsidRPr="00650EE4" w:rsidRDefault="00395B24" w:rsidP="00BD4925">
      <w:pPr>
        <w:pStyle w:val="ListParagraph"/>
        <w:numPr>
          <w:ilvl w:val="0"/>
          <w:numId w:val="44"/>
        </w:numPr>
        <w:jc w:val="both"/>
        <w:rPr>
          <w:rFonts w:ascii="Times New Roman" w:hAnsi="Times New Roman"/>
          <w:color w:val="auto"/>
          <w:szCs w:val="22"/>
          <w:lang w:val="lt-LT"/>
        </w:rPr>
      </w:pPr>
      <w:r>
        <w:rPr>
          <w:rFonts w:ascii="Times New Roman" w:hAnsi="Times New Roman"/>
          <w:color w:val="auto"/>
          <w:szCs w:val="22"/>
          <w:lang w:val="lt-LT"/>
        </w:rPr>
        <w:t>n</w:t>
      </w:r>
      <w:r w:rsidR="00F36EC7" w:rsidRPr="00650EE4">
        <w:rPr>
          <w:rFonts w:ascii="Times New Roman" w:hAnsi="Times New Roman"/>
          <w:color w:val="auto"/>
          <w:szCs w:val="22"/>
          <w:lang w:val="lt-LT"/>
        </w:rPr>
        <w:t>ustatyta vidutinė gyvenamojo būsto rinkos kaina kiekviename mieste (</w:t>
      </w:r>
      <w:proofErr w:type="spellStart"/>
      <w:r w:rsidR="00F36EC7" w:rsidRPr="00650EE4">
        <w:rPr>
          <w:rFonts w:ascii="Times New Roman" w:hAnsi="Times New Roman"/>
          <w:color w:val="auto"/>
          <w:szCs w:val="22"/>
          <w:lang w:val="lt-LT"/>
        </w:rPr>
        <w:t>Eur</w:t>
      </w:r>
      <w:proofErr w:type="spellEnd"/>
      <w:r w:rsidR="00F36EC7" w:rsidRPr="00650EE4">
        <w:rPr>
          <w:rFonts w:ascii="Times New Roman" w:hAnsi="Times New Roman"/>
          <w:color w:val="auto"/>
          <w:szCs w:val="22"/>
          <w:lang w:val="lt-LT"/>
        </w:rPr>
        <w:t>/m</w:t>
      </w:r>
      <w:r w:rsidR="00F36EC7" w:rsidRPr="00650EE4">
        <w:rPr>
          <w:rFonts w:ascii="Times New Roman" w:hAnsi="Times New Roman"/>
          <w:color w:val="auto"/>
          <w:szCs w:val="22"/>
          <w:vertAlign w:val="superscript"/>
          <w:lang w:val="lt-LT"/>
        </w:rPr>
        <w:t>2</w:t>
      </w:r>
      <w:r w:rsidR="00F36EC7" w:rsidRPr="00650EE4">
        <w:rPr>
          <w:rFonts w:ascii="Times New Roman" w:hAnsi="Times New Roman"/>
          <w:color w:val="auto"/>
          <w:szCs w:val="22"/>
          <w:lang w:val="lt-LT"/>
        </w:rPr>
        <w:t>);</w:t>
      </w:r>
    </w:p>
    <w:p w14:paraId="58C066AF" w14:textId="77777777" w:rsidR="00F36EC7" w:rsidRPr="00650EE4" w:rsidRDefault="00F36EC7" w:rsidP="00631BA6">
      <w:pPr>
        <w:pStyle w:val="TESlentelspavadinimas"/>
        <w:rPr>
          <w:noProof w:val="0"/>
        </w:rPr>
      </w:pPr>
    </w:p>
    <w:p w14:paraId="683037F7" w14:textId="2701C852" w:rsidR="00F36EC7" w:rsidRPr="00650EE4" w:rsidRDefault="00F36EC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91" w:name="_Toc59094246"/>
      <w:r w:rsidR="00F25C65">
        <w:t>63</w:t>
      </w:r>
      <w:r w:rsidRPr="00650EE4">
        <w:rPr>
          <w:noProof w:val="0"/>
        </w:rPr>
        <w:fldChar w:fldCharType="end"/>
      </w:r>
      <w:r w:rsidRPr="00650EE4">
        <w:rPr>
          <w:noProof w:val="0"/>
        </w:rPr>
        <w:t xml:space="preserve"> lentelė. Vidutinė gyvenamojo NT rinkos vertė didžiuosiuose Lietuvos miestuose</w:t>
      </w:r>
      <w:bookmarkEnd w:id="19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5"/>
        <w:gridCol w:w="2904"/>
        <w:gridCol w:w="3581"/>
      </w:tblGrid>
      <w:tr w:rsidR="00F36EC7" w:rsidRPr="00650EE4" w14:paraId="2A6E764E" w14:textId="77777777" w:rsidTr="004E127F">
        <w:tc>
          <w:tcPr>
            <w:tcW w:w="2689" w:type="dxa"/>
            <w:shd w:val="clear" w:color="auto" w:fill="auto"/>
            <w:noWrap/>
            <w:vAlign w:val="bottom"/>
            <w:hideMark/>
          </w:tcPr>
          <w:p w14:paraId="1CDFEA41"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Miestas</w:t>
            </w:r>
          </w:p>
        </w:tc>
        <w:tc>
          <w:tcPr>
            <w:tcW w:w="1984" w:type="dxa"/>
          </w:tcPr>
          <w:p w14:paraId="552A8C30"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2447" w:type="dxa"/>
            <w:shd w:val="clear" w:color="auto" w:fill="auto"/>
            <w:noWrap/>
            <w:vAlign w:val="bottom"/>
            <w:hideMark/>
          </w:tcPr>
          <w:p w14:paraId="5C50FFB4" w14:textId="77777777" w:rsidR="00F36EC7" w:rsidRPr="00650EE4" w:rsidRDefault="00F36EC7" w:rsidP="0092133F">
            <w:pPr>
              <w:spacing w:after="100" w:afterAutospacing="1"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Rinkos vertė</w:t>
            </w:r>
          </w:p>
        </w:tc>
      </w:tr>
      <w:tr w:rsidR="00F36EC7" w:rsidRPr="00650EE4" w14:paraId="29956950" w14:textId="77777777" w:rsidTr="004E127F">
        <w:tc>
          <w:tcPr>
            <w:tcW w:w="2689" w:type="dxa"/>
            <w:shd w:val="clear" w:color="auto" w:fill="auto"/>
            <w:noWrap/>
            <w:vAlign w:val="bottom"/>
            <w:hideMark/>
          </w:tcPr>
          <w:p w14:paraId="6ABD66F9"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Vilnius</w:t>
            </w:r>
          </w:p>
        </w:tc>
        <w:tc>
          <w:tcPr>
            <w:tcW w:w="1984" w:type="dxa"/>
          </w:tcPr>
          <w:p w14:paraId="7F245A16"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30A0F2F5"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1600</w:t>
            </w:r>
          </w:p>
        </w:tc>
      </w:tr>
      <w:tr w:rsidR="00F36EC7" w:rsidRPr="00650EE4" w14:paraId="2FC5A4B3" w14:textId="77777777" w:rsidTr="004E127F">
        <w:tc>
          <w:tcPr>
            <w:tcW w:w="2689" w:type="dxa"/>
            <w:shd w:val="clear" w:color="auto" w:fill="auto"/>
            <w:noWrap/>
            <w:vAlign w:val="bottom"/>
            <w:hideMark/>
          </w:tcPr>
          <w:p w14:paraId="63F5E067"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Kaunas</w:t>
            </w:r>
          </w:p>
        </w:tc>
        <w:tc>
          <w:tcPr>
            <w:tcW w:w="1984" w:type="dxa"/>
          </w:tcPr>
          <w:p w14:paraId="6AAEAE0D"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4A58125F"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1270</w:t>
            </w:r>
          </w:p>
        </w:tc>
      </w:tr>
      <w:tr w:rsidR="00F36EC7" w:rsidRPr="00650EE4" w14:paraId="4CE13993" w14:textId="77777777" w:rsidTr="004E127F">
        <w:tc>
          <w:tcPr>
            <w:tcW w:w="2689" w:type="dxa"/>
            <w:shd w:val="clear" w:color="auto" w:fill="auto"/>
            <w:noWrap/>
            <w:vAlign w:val="bottom"/>
            <w:hideMark/>
          </w:tcPr>
          <w:p w14:paraId="4C4C26DE"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Klaipėda</w:t>
            </w:r>
          </w:p>
        </w:tc>
        <w:tc>
          <w:tcPr>
            <w:tcW w:w="1984" w:type="dxa"/>
          </w:tcPr>
          <w:p w14:paraId="207BE333"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4BC7D91E"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1280</w:t>
            </w:r>
          </w:p>
        </w:tc>
      </w:tr>
      <w:tr w:rsidR="00F36EC7" w:rsidRPr="00650EE4" w14:paraId="62F97D2B" w14:textId="77777777" w:rsidTr="004E127F">
        <w:tc>
          <w:tcPr>
            <w:tcW w:w="2689" w:type="dxa"/>
            <w:shd w:val="clear" w:color="auto" w:fill="auto"/>
            <w:noWrap/>
            <w:vAlign w:val="bottom"/>
            <w:hideMark/>
          </w:tcPr>
          <w:p w14:paraId="776AA8E5"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Šiauliai</w:t>
            </w:r>
          </w:p>
        </w:tc>
        <w:tc>
          <w:tcPr>
            <w:tcW w:w="1984" w:type="dxa"/>
          </w:tcPr>
          <w:p w14:paraId="51DE59FE"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5A2F4867"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870</w:t>
            </w:r>
          </w:p>
        </w:tc>
      </w:tr>
      <w:tr w:rsidR="00F36EC7" w:rsidRPr="00650EE4" w14:paraId="61B11753" w14:textId="77777777" w:rsidTr="004E127F">
        <w:tc>
          <w:tcPr>
            <w:tcW w:w="2689" w:type="dxa"/>
            <w:shd w:val="clear" w:color="auto" w:fill="auto"/>
            <w:noWrap/>
            <w:vAlign w:val="bottom"/>
            <w:hideMark/>
          </w:tcPr>
          <w:p w14:paraId="1843CE17" w14:textId="77777777" w:rsidR="00F36EC7" w:rsidRPr="00650EE4" w:rsidRDefault="00F36EC7" w:rsidP="0092133F">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Panevėžys</w:t>
            </w:r>
          </w:p>
        </w:tc>
        <w:tc>
          <w:tcPr>
            <w:tcW w:w="1984" w:type="dxa"/>
          </w:tcPr>
          <w:p w14:paraId="7C45F84E" w14:textId="77777777" w:rsidR="00F36EC7" w:rsidRPr="00650EE4" w:rsidRDefault="00F36EC7" w:rsidP="004E127F">
            <w:pPr>
              <w:spacing w:line="240" w:lineRule="auto"/>
              <w:jc w:val="center"/>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Eur</w:t>
            </w:r>
            <w:proofErr w:type="spellEnd"/>
            <w:r w:rsidRPr="00650EE4">
              <w:rPr>
                <w:rFonts w:ascii="Times New Roman" w:eastAsia="Times New Roman" w:hAnsi="Times New Roman"/>
                <w:sz w:val="20"/>
                <w:szCs w:val="20"/>
                <w:lang w:eastAsia="lt-LT"/>
              </w:rPr>
              <w:t>/m</w:t>
            </w:r>
            <w:r w:rsidRPr="00650EE4">
              <w:rPr>
                <w:rFonts w:ascii="Times New Roman" w:eastAsia="Times New Roman" w:hAnsi="Times New Roman"/>
                <w:sz w:val="20"/>
                <w:szCs w:val="20"/>
                <w:vertAlign w:val="superscript"/>
                <w:lang w:eastAsia="lt-LT"/>
              </w:rPr>
              <w:t>2</w:t>
            </w:r>
          </w:p>
        </w:tc>
        <w:tc>
          <w:tcPr>
            <w:tcW w:w="2447" w:type="dxa"/>
            <w:shd w:val="clear" w:color="auto" w:fill="auto"/>
            <w:noWrap/>
            <w:vAlign w:val="bottom"/>
            <w:hideMark/>
          </w:tcPr>
          <w:p w14:paraId="2353D222" w14:textId="77777777" w:rsidR="00F36EC7" w:rsidRPr="00650EE4" w:rsidRDefault="00F36EC7" w:rsidP="004E127F">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870</w:t>
            </w:r>
          </w:p>
        </w:tc>
      </w:tr>
    </w:tbl>
    <w:p w14:paraId="61D8B519" w14:textId="77777777" w:rsidR="00F36EC7" w:rsidRPr="00650EE4" w:rsidRDefault="00F36EC7" w:rsidP="00F36EC7">
      <w:pPr>
        <w:spacing w:after="240"/>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w:t>
      </w:r>
      <w:proofErr w:type="spellStart"/>
      <w:r w:rsidRPr="00650EE4">
        <w:rPr>
          <w:rFonts w:ascii="Times New Roman" w:hAnsi="Times New Roman"/>
          <w:i/>
          <w:iCs/>
          <w:color w:val="auto"/>
          <w:sz w:val="20"/>
          <w:szCs w:val="20"/>
        </w:rPr>
        <w:t>Ober-haus</w:t>
      </w:r>
      <w:proofErr w:type="spellEnd"/>
    </w:p>
    <w:p w14:paraId="51A87A24" w14:textId="64A4DA3E" w:rsidR="00F36EC7" w:rsidRPr="00650EE4" w:rsidRDefault="00395B24" w:rsidP="00BD4925">
      <w:pPr>
        <w:pStyle w:val="Pagrindinispaprastastekstas"/>
        <w:numPr>
          <w:ilvl w:val="0"/>
          <w:numId w:val="44"/>
        </w:numPr>
        <w:rPr>
          <w:rFonts w:ascii="Times New Roman" w:hAnsi="Times New Roman"/>
          <w:szCs w:val="22"/>
        </w:rPr>
      </w:pPr>
      <w:r>
        <w:rPr>
          <w:rFonts w:ascii="Times New Roman" w:hAnsi="Times New Roman"/>
          <w:szCs w:val="22"/>
        </w:rPr>
        <w:t>n</w:t>
      </w:r>
      <w:r w:rsidR="00F36EC7" w:rsidRPr="00650EE4">
        <w:rPr>
          <w:rFonts w:ascii="Times New Roman" w:hAnsi="Times New Roman"/>
          <w:szCs w:val="22"/>
        </w:rPr>
        <w:t>ustatyta renovacijos įtaka būsto vertei. Vadovaujantis konservatyvumo principu taikoma žemutinė riba – 10 proc.</w:t>
      </w:r>
    </w:p>
    <w:p w14:paraId="47628CCC" w14:textId="77777777" w:rsidR="00F36EC7" w:rsidRPr="00650EE4" w:rsidRDefault="00F36EC7" w:rsidP="00F36EC7">
      <w:pPr>
        <w:pStyle w:val="Pagrindinispaprastastekstas"/>
        <w:rPr>
          <w:rFonts w:ascii="Times New Roman" w:hAnsi="Times New Roman"/>
          <w:szCs w:val="22"/>
        </w:rPr>
      </w:pPr>
    </w:p>
    <w:p w14:paraId="2AC04028" w14:textId="717BBEFB" w:rsidR="00F36EC7" w:rsidRPr="00650EE4" w:rsidRDefault="008F6593" w:rsidP="00F36EC7">
      <w:pPr>
        <w:pStyle w:val="Pagrindinispaprastastekstas"/>
        <w:rPr>
          <w:rFonts w:ascii="Times New Roman" w:hAnsi="Times New Roman"/>
          <w:szCs w:val="22"/>
        </w:rPr>
      </w:pPr>
      <w:r>
        <w:rPr>
          <w:rFonts w:ascii="Times New Roman" w:hAnsi="Times New Roman"/>
          <w:szCs w:val="22"/>
        </w:rPr>
        <w:t>A</w:t>
      </w:r>
      <w:r w:rsidR="00F36EC7" w:rsidRPr="00650EE4">
        <w:rPr>
          <w:rFonts w:ascii="Times New Roman" w:hAnsi="Times New Roman"/>
          <w:szCs w:val="22"/>
        </w:rPr>
        <w:t xml:space="preserve">pskaičiuota, kad per IRS įgyvendinimo laikotarpį dėl gyvenamojo NT vertės augimo būtų patiriama bent 4,529 mlrd. </w:t>
      </w:r>
      <w:proofErr w:type="spellStart"/>
      <w:r w:rsidR="00F36EC7" w:rsidRPr="00650EE4">
        <w:rPr>
          <w:rFonts w:ascii="Times New Roman" w:hAnsi="Times New Roman"/>
          <w:szCs w:val="22"/>
        </w:rPr>
        <w:t>Eur</w:t>
      </w:r>
      <w:proofErr w:type="spellEnd"/>
      <w:r w:rsidR="00F36EC7" w:rsidRPr="00650EE4">
        <w:rPr>
          <w:rFonts w:ascii="Times New Roman" w:hAnsi="Times New Roman"/>
          <w:szCs w:val="22"/>
        </w:rPr>
        <w:t xml:space="preserve"> nauda, vien tik didžiuosiuose penkiuose Lietuvos miestuose.</w:t>
      </w:r>
    </w:p>
    <w:p w14:paraId="2C6A1467" w14:textId="77777777" w:rsidR="00F36EC7" w:rsidRPr="00650EE4" w:rsidRDefault="00F36EC7" w:rsidP="00F36EC7">
      <w:pPr>
        <w:pStyle w:val="Pagrindinispaprastastekstas"/>
        <w:rPr>
          <w:rFonts w:ascii="Times New Roman" w:hAnsi="Times New Roman"/>
          <w:szCs w:val="22"/>
        </w:rPr>
      </w:pPr>
    </w:p>
    <w:p w14:paraId="439DB969" w14:textId="77777777" w:rsidR="00175A5A" w:rsidRDefault="00175A5A">
      <w:pPr>
        <w:spacing w:after="240"/>
        <w:rPr>
          <w:rFonts w:ascii="Times New Roman" w:hAnsi="Times New Roman"/>
          <w:b/>
          <w:bCs/>
          <w:szCs w:val="24"/>
        </w:rPr>
      </w:pPr>
      <w:bookmarkStart w:id="192" w:name="_Ref43203064"/>
      <w:r>
        <w:rPr>
          <w:rFonts w:ascii="Times New Roman" w:hAnsi="Times New Roman"/>
          <w:b/>
          <w:bCs/>
          <w:szCs w:val="24"/>
        </w:rPr>
        <w:br w:type="page"/>
      </w:r>
    </w:p>
    <w:p w14:paraId="2932B460" w14:textId="61EC5C4C" w:rsidR="000910B9" w:rsidRPr="00650EE4" w:rsidRDefault="000F7355" w:rsidP="000F7355">
      <w:pPr>
        <w:spacing w:after="120"/>
        <w:jc w:val="both"/>
        <w:rPr>
          <w:rFonts w:ascii="Times New Roman" w:hAnsi="Times New Roman"/>
          <w:b/>
          <w:bCs/>
          <w:szCs w:val="24"/>
        </w:rPr>
      </w:pPr>
      <w:r w:rsidRPr="00650EE4">
        <w:rPr>
          <w:rFonts w:ascii="Times New Roman" w:hAnsi="Times New Roman"/>
          <w:b/>
          <w:bCs/>
          <w:szCs w:val="24"/>
        </w:rPr>
        <w:lastRenderedPageBreak/>
        <w:t>N6</w:t>
      </w:r>
      <w:r w:rsidR="00447D62" w:rsidRPr="00650EE4">
        <w:rPr>
          <w:rFonts w:ascii="Times New Roman" w:hAnsi="Times New Roman"/>
          <w:b/>
          <w:bCs/>
          <w:szCs w:val="24"/>
        </w:rPr>
        <w:t xml:space="preserve">. </w:t>
      </w:r>
      <w:r w:rsidR="000910B9" w:rsidRPr="00650EE4">
        <w:rPr>
          <w:rFonts w:ascii="Times New Roman" w:hAnsi="Times New Roman"/>
          <w:b/>
          <w:bCs/>
          <w:szCs w:val="24"/>
        </w:rPr>
        <w:t>Pastatų fondo renovacijos įtaka taršai</w:t>
      </w:r>
      <w:bookmarkEnd w:id="192"/>
    </w:p>
    <w:p w14:paraId="7530491E" w14:textId="77777777" w:rsidR="00AD0547" w:rsidRPr="00650EE4" w:rsidRDefault="00AD0547" w:rsidP="00AD0547">
      <w:pPr>
        <w:pStyle w:val="Pagrindinispaprastastekstas"/>
        <w:rPr>
          <w:rFonts w:ascii="Times New Roman" w:hAnsi="Times New Roman"/>
          <w:szCs w:val="22"/>
        </w:rPr>
      </w:pPr>
      <w:bookmarkStart w:id="193" w:name="_Ref43203105"/>
      <w:r w:rsidRPr="00650EE4">
        <w:rPr>
          <w:rFonts w:ascii="Times New Roman" w:hAnsi="Times New Roman"/>
          <w:szCs w:val="22"/>
        </w:rPr>
        <w:t xml:space="preserve">Pastatų ūkių energetiniams poreikiams patenkinti, ne ŠESD emisijų susidaro ir kiti teršalai: anglies </w:t>
      </w:r>
      <w:proofErr w:type="spellStart"/>
      <w:r w:rsidRPr="00650EE4">
        <w:rPr>
          <w:rFonts w:ascii="Times New Roman" w:hAnsi="Times New Roman"/>
          <w:szCs w:val="22"/>
        </w:rPr>
        <w:t>monoksidas</w:t>
      </w:r>
      <w:proofErr w:type="spellEnd"/>
      <w:r w:rsidRPr="00650EE4">
        <w:rPr>
          <w:rFonts w:ascii="Times New Roman" w:hAnsi="Times New Roman"/>
          <w:szCs w:val="22"/>
        </w:rPr>
        <w:t xml:space="preserve"> (CO), azoto junginiai (</w:t>
      </w:r>
      <w:proofErr w:type="spellStart"/>
      <w:r w:rsidRPr="00650EE4">
        <w:rPr>
          <w:rFonts w:ascii="Times New Roman" w:hAnsi="Times New Roman"/>
          <w:szCs w:val="22"/>
        </w:rPr>
        <w:t>NO</w:t>
      </w:r>
      <w:r w:rsidRPr="00650EE4">
        <w:rPr>
          <w:rFonts w:ascii="Times New Roman" w:hAnsi="Times New Roman"/>
          <w:szCs w:val="22"/>
          <w:vertAlign w:val="subscript"/>
        </w:rPr>
        <w:t>x</w:t>
      </w:r>
      <w:proofErr w:type="spellEnd"/>
      <w:r w:rsidRPr="00650EE4">
        <w:rPr>
          <w:rFonts w:ascii="Times New Roman" w:hAnsi="Times New Roman"/>
          <w:szCs w:val="22"/>
        </w:rPr>
        <w:t>), sieros dioksidas (SO</w:t>
      </w:r>
      <w:r w:rsidRPr="00650EE4">
        <w:rPr>
          <w:rFonts w:ascii="Times New Roman" w:hAnsi="Times New Roman"/>
          <w:szCs w:val="22"/>
          <w:vertAlign w:val="subscript"/>
        </w:rPr>
        <w:t>2</w:t>
      </w:r>
      <w:r w:rsidRPr="00650EE4">
        <w:rPr>
          <w:rFonts w:ascii="Times New Roman" w:hAnsi="Times New Roman"/>
          <w:szCs w:val="22"/>
        </w:rPr>
        <w:t>) ir kietosios dalelės (KD). Priešingai nei ŠESD emisijų atveju, šių teršalų poveikis stipriausiai jaučiamas būtent ten, kur susidaro emisijos – miestuose, gyvenamųjų namų kvartaluose ar pramoniniuose parkuose, kur naudojama daug kieto kuro. Šie teršalai turi stiprų neigiamą poveikį aplinkai ir žmonių sveikatai – dėl pablogėjusios oro kokybės rodiklių gali padidėti sergančiųjų kvėpavimo sistemos ligomis (</w:t>
      </w:r>
      <w:proofErr w:type="spellStart"/>
      <w:r w:rsidRPr="00650EE4">
        <w:rPr>
          <w:rFonts w:ascii="Times New Roman" w:hAnsi="Times New Roman"/>
          <w:szCs w:val="22"/>
        </w:rPr>
        <w:t>tracheitu</w:t>
      </w:r>
      <w:proofErr w:type="spellEnd"/>
      <w:r w:rsidRPr="00650EE4">
        <w:rPr>
          <w:rFonts w:ascii="Times New Roman" w:hAnsi="Times New Roman"/>
          <w:szCs w:val="22"/>
        </w:rPr>
        <w:t>, bronchitu, bronchinės astma, kitomis lėtinėmis kvėpavimo sistemos ligomis ar pasireikšti jų paūmėjimai).</w:t>
      </w:r>
    </w:p>
    <w:p w14:paraId="5871E9E0" w14:textId="77777777" w:rsidR="00AD0547" w:rsidRPr="00650EE4" w:rsidRDefault="00AD0547" w:rsidP="00AD0547">
      <w:pPr>
        <w:pStyle w:val="Pagrindinispaprastastekstas"/>
        <w:rPr>
          <w:rFonts w:ascii="Times New Roman" w:hAnsi="Times New Roman"/>
          <w:szCs w:val="22"/>
        </w:rPr>
      </w:pPr>
    </w:p>
    <w:p w14:paraId="25261875" w14:textId="77777777" w:rsidR="00AD0547" w:rsidRPr="00650EE4" w:rsidRDefault="00AD0547" w:rsidP="00AD0547">
      <w:pPr>
        <w:spacing w:after="120"/>
        <w:jc w:val="both"/>
        <w:rPr>
          <w:rFonts w:ascii="Times New Roman" w:hAnsi="Times New Roman"/>
          <w:color w:val="auto"/>
          <w:szCs w:val="22"/>
        </w:rPr>
      </w:pPr>
      <w:r w:rsidRPr="00650EE4">
        <w:rPr>
          <w:rFonts w:ascii="Times New Roman" w:hAnsi="Times New Roman"/>
          <w:color w:val="auto"/>
          <w:szCs w:val="22"/>
        </w:rPr>
        <w:t>Oro taršos sumažėjimo įtaka apskaičiuota žemiau nurodyta tvarka:</w:t>
      </w:r>
    </w:p>
    <w:p w14:paraId="28B5FAFB" w14:textId="17D7518C" w:rsidR="00AD0547" w:rsidRPr="00650EE4" w:rsidRDefault="00395B24" w:rsidP="00BD4925">
      <w:pPr>
        <w:pStyle w:val="ListParagraph"/>
        <w:numPr>
          <w:ilvl w:val="0"/>
          <w:numId w:val="43"/>
        </w:numPr>
        <w:spacing w:after="60"/>
        <w:ind w:hanging="357"/>
        <w:contextualSpacing w:val="0"/>
        <w:jc w:val="both"/>
        <w:rPr>
          <w:rFonts w:ascii="Times New Roman" w:hAnsi="Times New Roman"/>
          <w:color w:val="auto"/>
          <w:szCs w:val="22"/>
          <w:lang w:val="lt-LT"/>
        </w:rPr>
      </w:pPr>
      <w:r>
        <w:rPr>
          <w:rFonts w:ascii="Times New Roman" w:hAnsi="Times New Roman"/>
          <w:color w:val="auto"/>
          <w:szCs w:val="22"/>
          <w:lang w:val="lt-LT"/>
        </w:rPr>
        <w:t>a</w:t>
      </w:r>
      <w:r w:rsidR="00AD0547" w:rsidRPr="00650EE4">
        <w:rPr>
          <w:rFonts w:ascii="Times New Roman" w:hAnsi="Times New Roman"/>
          <w:color w:val="auto"/>
          <w:szCs w:val="22"/>
          <w:lang w:val="lt-LT"/>
        </w:rPr>
        <w:t>pskaičiuotas sutaupytos pirminės energijos kiekis (</w:t>
      </w:r>
      <w:proofErr w:type="spellStart"/>
      <w:r w:rsidR="00AD0547" w:rsidRPr="00650EE4">
        <w:rPr>
          <w:rFonts w:ascii="Times New Roman" w:hAnsi="Times New Roman"/>
          <w:color w:val="auto"/>
          <w:szCs w:val="22"/>
          <w:lang w:val="lt-LT"/>
        </w:rPr>
        <w:t>GWh</w:t>
      </w:r>
      <w:proofErr w:type="spellEnd"/>
      <w:r w:rsidR="00AD0547" w:rsidRPr="00650EE4">
        <w:rPr>
          <w:rFonts w:ascii="Times New Roman" w:hAnsi="Times New Roman"/>
          <w:color w:val="auto"/>
          <w:szCs w:val="22"/>
          <w:lang w:val="lt-LT"/>
        </w:rPr>
        <w:t>) pagal 5 gamybos</w:t>
      </w:r>
      <w:r w:rsidR="008F6593">
        <w:rPr>
          <w:rFonts w:ascii="Times New Roman" w:hAnsi="Times New Roman"/>
          <w:color w:val="auto"/>
          <w:szCs w:val="22"/>
          <w:lang w:val="lt-LT"/>
        </w:rPr>
        <w:t xml:space="preserve"> </w:t>
      </w:r>
      <w:r w:rsidR="00AD0547" w:rsidRPr="00650EE4">
        <w:rPr>
          <w:rFonts w:ascii="Times New Roman" w:hAnsi="Times New Roman"/>
          <w:color w:val="auto"/>
          <w:szCs w:val="22"/>
          <w:lang w:val="lt-LT"/>
        </w:rPr>
        <w:t>/</w:t>
      </w:r>
      <w:r w:rsidR="008F6593">
        <w:rPr>
          <w:rFonts w:ascii="Times New Roman" w:hAnsi="Times New Roman"/>
          <w:color w:val="auto"/>
          <w:szCs w:val="22"/>
          <w:lang w:val="lt-LT"/>
        </w:rPr>
        <w:t xml:space="preserve"> </w:t>
      </w:r>
      <w:r w:rsidR="00AD0547" w:rsidRPr="00650EE4">
        <w:rPr>
          <w:rFonts w:ascii="Times New Roman" w:hAnsi="Times New Roman"/>
          <w:color w:val="auto"/>
          <w:szCs w:val="22"/>
          <w:lang w:val="lt-LT"/>
        </w:rPr>
        <w:t>kuro rūšis: CŠT, gamtinės dujos, biokuras, elektra, kitas kuras.</w:t>
      </w:r>
      <w:r w:rsidR="00CC50D7" w:rsidRPr="00650EE4">
        <w:rPr>
          <w:rFonts w:ascii="Times New Roman" w:hAnsi="Times New Roman"/>
          <w:color w:val="auto"/>
          <w:szCs w:val="22"/>
          <w:lang w:val="lt-LT"/>
        </w:rPr>
        <w:t xml:space="preserve"> Vertinama, kad </w:t>
      </w:r>
      <w:r w:rsidR="00AD0547" w:rsidRPr="00650EE4">
        <w:rPr>
          <w:rFonts w:ascii="Times New Roman" w:hAnsi="Times New Roman"/>
          <w:color w:val="auto"/>
          <w:szCs w:val="22"/>
          <w:lang w:val="lt-LT"/>
        </w:rPr>
        <w:t xml:space="preserve">CŠT </w:t>
      </w:r>
      <w:r w:rsidR="00CC50D7" w:rsidRPr="00650EE4">
        <w:rPr>
          <w:rFonts w:ascii="Times New Roman" w:hAnsi="Times New Roman"/>
          <w:color w:val="auto"/>
          <w:szCs w:val="22"/>
          <w:lang w:val="lt-LT"/>
        </w:rPr>
        <w:t xml:space="preserve">kuro struktūra: biokuras (80 proc.), </w:t>
      </w:r>
      <w:r w:rsidR="00AD0547" w:rsidRPr="00650EE4">
        <w:rPr>
          <w:rFonts w:ascii="Times New Roman" w:hAnsi="Times New Roman"/>
          <w:color w:val="auto"/>
          <w:szCs w:val="22"/>
          <w:lang w:val="lt-LT"/>
        </w:rPr>
        <w:t>gamtinės dujos (20 proc.).</w:t>
      </w:r>
      <w:r w:rsidR="00CC50D7" w:rsidRPr="00650EE4">
        <w:rPr>
          <w:rFonts w:ascii="Times New Roman" w:hAnsi="Times New Roman"/>
          <w:color w:val="auto"/>
          <w:szCs w:val="22"/>
          <w:lang w:val="lt-LT"/>
        </w:rPr>
        <w:t xml:space="preserve"> Kito </w:t>
      </w:r>
      <w:r w:rsidR="00AD0547" w:rsidRPr="00650EE4">
        <w:rPr>
          <w:rFonts w:ascii="Times New Roman" w:hAnsi="Times New Roman"/>
          <w:color w:val="auto"/>
          <w:szCs w:val="22"/>
          <w:lang w:val="lt-LT"/>
        </w:rPr>
        <w:t>kuro struktūr</w:t>
      </w:r>
      <w:r w:rsidR="00CC50D7" w:rsidRPr="00650EE4">
        <w:rPr>
          <w:rFonts w:ascii="Times New Roman" w:hAnsi="Times New Roman"/>
          <w:color w:val="auto"/>
          <w:szCs w:val="22"/>
          <w:lang w:val="lt-LT"/>
        </w:rPr>
        <w:t>a:</w:t>
      </w:r>
      <w:r w:rsidR="00AD0547" w:rsidRPr="00650EE4">
        <w:rPr>
          <w:rFonts w:ascii="Times New Roman" w:hAnsi="Times New Roman"/>
          <w:color w:val="auto"/>
          <w:szCs w:val="22"/>
          <w:lang w:val="lt-LT"/>
        </w:rPr>
        <w:t xml:space="preserve"> skystas kuras (50 proc.), suskystintos gamtinės dujos (</w:t>
      </w:r>
      <w:r w:rsidR="00CC50D7" w:rsidRPr="00650EE4">
        <w:rPr>
          <w:rFonts w:ascii="Times New Roman" w:hAnsi="Times New Roman"/>
          <w:color w:val="auto"/>
          <w:szCs w:val="22"/>
          <w:lang w:val="lt-LT"/>
        </w:rPr>
        <w:t xml:space="preserve">10 proc.), anglys (10 proc.), </w:t>
      </w:r>
      <w:r>
        <w:rPr>
          <w:rFonts w:ascii="Times New Roman" w:hAnsi="Times New Roman"/>
          <w:color w:val="auto"/>
          <w:szCs w:val="22"/>
          <w:lang w:val="lt-LT"/>
        </w:rPr>
        <w:t>durpės (30 proc.);</w:t>
      </w:r>
    </w:p>
    <w:p w14:paraId="686A3730" w14:textId="097D94C8" w:rsidR="00AD0547" w:rsidRPr="00650EE4" w:rsidRDefault="00395B24" w:rsidP="00BD4925">
      <w:pPr>
        <w:pStyle w:val="ListParagraph"/>
        <w:numPr>
          <w:ilvl w:val="0"/>
          <w:numId w:val="43"/>
        </w:numPr>
        <w:spacing w:after="60"/>
        <w:ind w:hanging="357"/>
        <w:contextualSpacing w:val="0"/>
        <w:jc w:val="both"/>
        <w:rPr>
          <w:rFonts w:ascii="Times New Roman" w:hAnsi="Times New Roman"/>
          <w:color w:val="auto"/>
          <w:szCs w:val="22"/>
          <w:lang w:val="lt-LT"/>
        </w:rPr>
      </w:pPr>
      <w:r>
        <w:rPr>
          <w:rFonts w:ascii="Times New Roman" w:hAnsi="Times New Roman"/>
          <w:color w:val="auto"/>
          <w:szCs w:val="22"/>
          <w:lang w:val="lt-LT"/>
        </w:rPr>
        <w:t>k</w:t>
      </w:r>
      <w:r w:rsidR="00AD0547" w:rsidRPr="00650EE4">
        <w:rPr>
          <w:rFonts w:ascii="Times New Roman" w:hAnsi="Times New Roman"/>
          <w:color w:val="auto"/>
          <w:szCs w:val="22"/>
          <w:lang w:val="lt-LT"/>
        </w:rPr>
        <w:t xml:space="preserve">iekvienai vertinamai kuro rūšiai nustatyti teršalų (CO, </w:t>
      </w:r>
      <w:proofErr w:type="spellStart"/>
      <w:r w:rsidR="00AD0547" w:rsidRPr="00650EE4">
        <w:rPr>
          <w:rFonts w:ascii="Times New Roman" w:hAnsi="Times New Roman"/>
          <w:color w:val="auto"/>
          <w:szCs w:val="22"/>
          <w:lang w:val="lt-LT"/>
        </w:rPr>
        <w:t>NO</w:t>
      </w:r>
      <w:r w:rsidR="00AD0547" w:rsidRPr="00650EE4">
        <w:rPr>
          <w:rFonts w:ascii="Times New Roman" w:hAnsi="Times New Roman"/>
          <w:color w:val="auto"/>
          <w:szCs w:val="22"/>
          <w:vertAlign w:val="subscript"/>
          <w:lang w:val="lt-LT"/>
        </w:rPr>
        <w:t>x</w:t>
      </w:r>
      <w:proofErr w:type="spellEnd"/>
      <w:r w:rsidR="00AD0547" w:rsidRPr="00650EE4">
        <w:rPr>
          <w:rFonts w:ascii="Times New Roman" w:hAnsi="Times New Roman"/>
          <w:color w:val="auto"/>
          <w:szCs w:val="22"/>
          <w:lang w:val="lt-LT"/>
        </w:rPr>
        <w:t>, SO</w:t>
      </w:r>
      <w:r w:rsidR="00AD0547" w:rsidRPr="00650EE4">
        <w:rPr>
          <w:rFonts w:ascii="Times New Roman" w:hAnsi="Times New Roman"/>
          <w:color w:val="auto"/>
          <w:szCs w:val="22"/>
          <w:vertAlign w:val="subscript"/>
          <w:lang w:val="lt-LT"/>
        </w:rPr>
        <w:t>2</w:t>
      </w:r>
      <w:r w:rsidR="00AD0547" w:rsidRPr="00650EE4">
        <w:rPr>
          <w:rFonts w:ascii="Times New Roman" w:hAnsi="Times New Roman"/>
          <w:color w:val="auto"/>
          <w:szCs w:val="22"/>
          <w:lang w:val="lt-LT"/>
        </w:rPr>
        <w:t xml:space="preserve"> ir KD) emisijos faktoriai (g/</w:t>
      </w:r>
      <w:proofErr w:type="spellStart"/>
      <w:r w:rsidR="00AD0547" w:rsidRPr="00650EE4">
        <w:rPr>
          <w:rFonts w:ascii="Times New Roman" w:hAnsi="Times New Roman"/>
          <w:color w:val="auto"/>
          <w:szCs w:val="22"/>
          <w:lang w:val="lt-LT"/>
        </w:rPr>
        <w:t>kWh</w:t>
      </w:r>
      <w:proofErr w:type="spellEnd"/>
      <w:r w:rsidR="00AD0547" w:rsidRPr="00650EE4">
        <w:rPr>
          <w:rFonts w:ascii="Times New Roman" w:hAnsi="Times New Roman"/>
          <w:color w:val="auto"/>
          <w:szCs w:val="22"/>
          <w:lang w:val="lt-LT"/>
        </w:rPr>
        <w:t xml:space="preserve">). </w:t>
      </w:r>
      <w:r w:rsidR="00AD0547" w:rsidRPr="00650EE4">
        <w:rPr>
          <w:rFonts w:ascii="Times New Roman" w:eastAsiaTheme="minorHAnsi" w:hAnsi="Times New Roman"/>
          <w:szCs w:val="22"/>
          <w:lang w:val="lt-LT"/>
        </w:rPr>
        <w:t>Vadovautasi Europos aplinkos apsaugos agentūros į atmosferą išmetamų teršalų apskaitos metodika „</w:t>
      </w:r>
      <w:r w:rsidR="00AD0547" w:rsidRPr="00650EE4">
        <w:rPr>
          <w:rFonts w:ascii="Times New Roman" w:eastAsiaTheme="minorHAnsi" w:hAnsi="Times New Roman"/>
          <w:i/>
          <w:iCs/>
          <w:szCs w:val="22"/>
          <w:lang w:val="lt-LT"/>
        </w:rPr>
        <w:t xml:space="preserve">EMEP/EEA </w:t>
      </w:r>
      <w:proofErr w:type="spellStart"/>
      <w:r w:rsidR="00AD0547" w:rsidRPr="00650EE4">
        <w:rPr>
          <w:rFonts w:ascii="Times New Roman" w:eastAsiaTheme="minorHAnsi" w:hAnsi="Times New Roman"/>
          <w:i/>
          <w:iCs/>
          <w:szCs w:val="22"/>
          <w:lang w:val="lt-LT"/>
        </w:rPr>
        <w:t>air</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pollutant</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emission</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hAnsi="Times New Roman"/>
          <w:color w:val="auto"/>
          <w:szCs w:val="22"/>
          <w:lang w:val="lt-LT"/>
        </w:rPr>
        <w:t>inventory</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guidebook</w:t>
      </w:r>
      <w:proofErr w:type="spellEnd"/>
      <w:r w:rsidR="00AD0547" w:rsidRPr="00650EE4">
        <w:rPr>
          <w:rFonts w:ascii="Times New Roman" w:eastAsiaTheme="minorHAnsi" w:hAnsi="Times New Roman"/>
          <w:i/>
          <w:iCs/>
          <w:szCs w:val="22"/>
          <w:lang w:val="lt-LT"/>
        </w:rPr>
        <w:t xml:space="preserve"> - 2016</w:t>
      </w:r>
      <w:r w:rsidR="00AD0547" w:rsidRPr="00650EE4">
        <w:rPr>
          <w:rFonts w:ascii="Times New Roman" w:eastAsiaTheme="minorHAnsi" w:hAnsi="Times New Roman"/>
          <w:szCs w:val="22"/>
          <w:lang w:val="lt-LT"/>
        </w:rPr>
        <w:t>“, 1.A.4 skyrius „</w:t>
      </w:r>
      <w:proofErr w:type="spellStart"/>
      <w:r w:rsidR="00AD0547" w:rsidRPr="00650EE4">
        <w:rPr>
          <w:rFonts w:ascii="Times New Roman" w:eastAsiaTheme="minorHAnsi" w:hAnsi="Times New Roman"/>
          <w:i/>
          <w:iCs/>
          <w:szCs w:val="22"/>
          <w:lang w:val="lt-LT"/>
        </w:rPr>
        <w:t>Small</w:t>
      </w:r>
      <w:proofErr w:type="spellEnd"/>
      <w:r w:rsidR="00AD0547" w:rsidRPr="00650EE4">
        <w:rPr>
          <w:rFonts w:ascii="Times New Roman" w:eastAsiaTheme="minorHAnsi" w:hAnsi="Times New Roman"/>
          <w:i/>
          <w:iCs/>
          <w:szCs w:val="22"/>
          <w:lang w:val="lt-LT"/>
        </w:rPr>
        <w:t xml:space="preserve"> </w:t>
      </w:r>
      <w:proofErr w:type="spellStart"/>
      <w:r w:rsidR="00AD0547" w:rsidRPr="00650EE4">
        <w:rPr>
          <w:rFonts w:ascii="Times New Roman" w:eastAsiaTheme="minorHAnsi" w:hAnsi="Times New Roman"/>
          <w:i/>
          <w:iCs/>
          <w:szCs w:val="22"/>
          <w:lang w:val="lt-LT"/>
        </w:rPr>
        <w:t>Combustion</w:t>
      </w:r>
      <w:proofErr w:type="spellEnd"/>
      <w:r w:rsidR="00AD0547" w:rsidRPr="00650EE4">
        <w:rPr>
          <w:rFonts w:ascii="Times New Roman" w:eastAsiaTheme="minorHAnsi" w:hAnsi="Times New Roman"/>
          <w:szCs w:val="22"/>
          <w:lang w:val="lt-LT"/>
        </w:rPr>
        <w:t>“</w:t>
      </w:r>
      <w:r w:rsidR="00620431">
        <w:rPr>
          <w:rFonts w:ascii="Times New Roman" w:eastAsiaTheme="minorHAnsi" w:hAnsi="Times New Roman"/>
          <w:szCs w:val="22"/>
          <w:lang w:val="lt-LT"/>
        </w:rPr>
        <w:t>,</w:t>
      </w:r>
      <w:r w:rsidR="00AD0547" w:rsidRPr="00650EE4">
        <w:rPr>
          <w:rFonts w:ascii="Times New Roman" w:eastAsiaTheme="minorHAnsi" w:hAnsi="Times New Roman"/>
          <w:szCs w:val="22"/>
          <w:lang w:val="lt-LT"/>
        </w:rPr>
        <w:t xml:space="preserve"> Metodika patvirtinta L</w:t>
      </w:r>
      <w:r w:rsidR="00620431">
        <w:rPr>
          <w:rFonts w:ascii="Times New Roman" w:eastAsiaTheme="minorHAnsi" w:hAnsi="Times New Roman"/>
          <w:szCs w:val="22"/>
          <w:lang w:val="lt-LT"/>
        </w:rPr>
        <w:t xml:space="preserve">ietuvos </w:t>
      </w:r>
      <w:r w:rsidR="00AD0547" w:rsidRPr="00650EE4">
        <w:rPr>
          <w:rFonts w:ascii="Times New Roman" w:eastAsiaTheme="minorHAnsi" w:hAnsi="Times New Roman"/>
          <w:szCs w:val="22"/>
          <w:lang w:val="lt-LT"/>
        </w:rPr>
        <w:t>R</w:t>
      </w:r>
      <w:r w:rsidR="00620431">
        <w:rPr>
          <w:rFonts w:ascii="Times New Roman" w:eastAsiaTheme="minorHAnsi" w:hAnsi="Times New Roman"/>
          <w:szCs w:val="22"/>
          <w:lang w:val="lt-LT"/>
        </w:rPr>
        <w:t>espublikos</w:t>
      </w:r>
      <w:r w:rsidR="00AD0547" w:rsidRPr="00650EE4">
        <w:rPr>
          <w:rFonts w:ascii="Times New Roman" w:eastAsiaTheme="minorHAnsi" w:hAnsi="Times New Roman"/>
          <w:szCs w:val="22"/>
          <w:lang w:val="lt-LT"/>
        </w:rPr>
        <w:t xml:space="preserve"> aplinkos ministro 2005 m. liepos 15 d. įsakymu Nr. D1–378 „</w:t>
      </w:r>
      <w:r w:rsidR="008F6593">
        <w:rPr>
          <w:rFonts w:ascii="Times New Roman" w:eastAsiaTheme="minorHAnsi" w:hAnsi="Times New Roman"/>
          <w:szCs w:val="22"/>
          <w:lang w:val="lt-LT"/>
        </w:rPr>
        <w:t xml:space="preserve">Dėl </w:t>
      </w:r>
      <w:r w:rsidR="00AD0547" w:rsidRPr="00650EE4">
        <w:rPr>
          <w:rFonts w:ascii="Times New Roman" w:eastAsiaTheme="minorHAnsi" w:hAnsi="Times New Roman"/>
          <w:szCs w:val="22"/>
          <w:lang w:val="lt-LT"/>
        </w:rPr>
        <w:t>Į atmosferą išmetamo teršalų kiekio apskaičiavimo metodikų sąraš</w:t>
      </w:r>
      <w:r w:rsidR="008F6593">
        <w:rPr>
          <w:rFonts w:ascii="Times New Roman" w:eastAsiaTheme="minorHAnsi" w:hAnsi="Times New Roman"/>
          <w:szCs w:val="22"/>
          <w:lang w:val="lt-LT"/>
        </w:rPr>
        <w:t>o patvirtinimo</w:t>
      </w:r>
      <w:r w:rsidR="00620431">
        <w:rPr>
          <w:rFonts w:ascii="Times New Roman" w:eastAsiaTheme="minorHAnsi" w:hAnsi="Times New Roman"/>
          <w:szCs w:val="22"/>
          <w:lang w:val="lt-LT"/>
        </w:rPr>
        <w:t xml:space="preserve"> ir apmokestinamųjų teršalų kiekio nustatymo asmenims, kurie netvarko privalomosios teršalų išmetimo į aplinką apskaitos</w:t>
      </w:r>
      <w:r>
        <w:rPr>
          <w:rFonts w:ascii="Times New Roman" w:eastAsiaTheme="minorHAnsi" w:hAnsi="Times New Roman"/>
          <w:szCs w:val="22"/>
          <w:lang w:val="lt-LT"/>
        </w:rPr>
        <w:t>“;</w:t>
      </w:r>
    </w:p>
    <w:p w14:paraId="4DD41BA1" w14:textId="77777777" w:rsidR="00AD0547" w:rsidRPr="00650EE4" w:rsidRDefault="00AD0547" w:rsidP="00631BA6">
      <w:pPr>
        <w:pStyle w:val="TESlentelspavadinimas"/>
        <w:rPr>
          <w:noProof w:val="0"/>
        </w:rPr>
      </w:pPr>
    </w:p>
    <w:p w14:paraId="5D34DE9B" w14:textId="176DA106" w:rsidR="00AD0547" w:rsidRPr="00650EE4" w:rsidRDefault="00AD0547"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194" w:name="_Toc59094247"/>
      <w:r w:rsidR="00F25C65">
        <w:t>64</w:t>
      </w:r>
      <w:r w:rsidRPr="00650EE4">
        <w:rPr>
          <w:noProof w:val="0"/>
        </w:rPr>
        <w:fldChar w:fldCharType="end"/>
      </w:r>
      <w:r w:rsidRPr="00650EE4">
        <w:rPr>
          <w:noProof w:val="0"/>
        </w:rPr>
        <w:t xml:space="preserve"> lentelė. Teršalų emisijos faktoriai</w:t>
      </w:r>
      <w:bookmarkEnd w:id="194"/>
    </w:p>
    <w:tbl>
      <w:tblPr>
        <w:tblStyle w:val="TableGrid"/>
        <w:tblW w:w="0" w:type="auto"/>
        <w:tblLook w:val="04A0" w:firstRow="1" w:lastRow="0" w:firstColumn="1" w:lastColumn="0" w:noHBand="0" w:noVBand="1"/>
      </w:tblPr>
      <w:tblGrid>
        <w:gridCol w:w="704"/>
        <w:gridCol w:w="2664"/>
        <w:gridCol w:w="1774"/>
        <w:gridCol w:w="1684"/>
        <w:gridCol w:w="1684"/>
        <w:gridCol w:w="1684"/>
      </w:tblGrid>
      <w:tr w:rsidR="00AD0547" w:rsidRPr="00650EE4" w14:paraId="1B0FDD5A" w14:textId="77777777" w:rsidTr="0092133F">
        <w:tc>
          <w:tcPr>
            <w:tcW w:w="704" w:type="dxa"/>
          </w:tcPr>
          <w:p w14:paraId="504CC875"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Nr.</w:t>
            </w:r>
          </w:p>
        </w:tc>
        <w:tc>
          <w:tcPr>
            <w:tcW w:w="2664" w:type="dxa"/>
          </w:tcPr>
          <w:p w14:paraId="2CB31CC7"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Gamybos šaltinis</w:t>
            </w:r>
          </w:p>
        </w:tc>
        <w:tc>
          <w:tcPr>
            <w:tcW w:w="1774" w:type="dxa"/>
          </w:tcPr>
          <w:p w14:paraId="6E63C3D3"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Mato vnt.</w:t>
            </w:r>
          </w:p>
        </w:tc>
        <w:tc>
          <w:tcPr>
            <w:tcW w:w="1684" w:type="dxa"/>
          </w:tcPr>
          <w:p w14:paraId="045C6513" w14:textId="77777777" w:rsidR="00AD0547" w:rsidRPr="00650EE4" w:rsidRDefault="00AD0547" w:rsidP="0092133F">
            <w:pPr>
              <w:jc w:val="both"/>
              <w:rPr>
                <w:rFonts w:ascii="Times New Roman" w:hAnsi="Times New Roman"/>
                <w:b/>
                <w:bCs/>
                <w:color w:val="auto"/>
                <w:sz w:val="20"/>
                <w:szCs w:val="20"/>
              </w:rPr>
            </w:pPr>
            <w:proofErr w:type="spellStart"/>
            <w:r w:rsidRPr="00650EE4">
              <w:rPr>
                <w:rFonts w:ascii="Times New Roman" w:hAnsi="Times New Roman"/>
                <w:b/>
                <w:bCs/>
                <w:color w:val="auto"/>
                <w:sz w:val="20"/>
                <w:szCs w:val="20"/>
              </w:rPr>
              <w:t>NO</w:t>
            </w:r>
            <w:r w:rsidRPr="00650EE4">
              <w:rPr>
                <w:rFonts w:ascii="Times New Roman" w:hAnsi="Times New Roman"/>
                <w:b/>
                <w:bCs/>
                <w:color w:val="auto"/>
                <w:sz w:val="20"/>
                <w:szCs w:val="20"/>
                <w:vertAlign w:val="subscript"/>
              </w:rPr>
              <w:t>x</w:t>
            </w:r>
            <w:proofErr w:type="spellEnd"/>
          </w:p>
        </w:tc>
        <w:tc>
          <w:tcPr>
            <w:tcW w:w="1684" w:type="dxa"/>
          </w:tcPr>
          <w:p w14:paraId="679E4146"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SO</w:t>
            </w:r>
            <w:r w:rsidRPr="00650EE4">
              <w:rPr>
                <w:rFonts w:ascii="Times New Roman" w:hAnsi="Times New Roman"/>
                <w:b/>
                <w:bCs/>
                <w:color w:val="auto"/>
                <w:sz w:val="20"/>
                <w:szCs w:val="20"/>
                <w:vertAlign w:val="subscript"/>
              </w:rPr>
              <w:t>2</w:t>
            </w:r>
          </w:p>
        </w:tc>
        <w:tc>
          <w:tcPr>
            <w:tcW w:w="1684" w:type="dxa"/>
          </w:tcPr>
          <w:p w14:paraId="3D3AFD30" w14:textId="77777777" w:rsidR="00AD0547" w:rsidRPr="00650EE4" w:rsidRDefault="00AD0547" w:rsidP="0092133F">
            <w:pPr>
              <w:jc w:val="both"/>
              <w:rPr>
                <w:rFonts w:ascii="Times New Roman" w:hAnsi="Times New Roman"/>
                <w:b/>
                <w:bCs/>
                <w:color w:val="auto"/>
                <w:sz w:val="20"/>
                <w:szCs w:val="20"/>
              </w:rPr>
            </w:pPr>
            <w:r w:rsidRPr="00650EE4">
              <w:rPr>
                <w:rFonts w:ascii="Times New Roman" w:hAnsi="Times New Roman"/>
                <w:b/>
                <w:bCs/>
                <w:color w:val="auto"/>
                <w:sz w:val="20"/>
                <w:szCs w:val="20"/>
              </w:rPr>
              <w:t>KD</w:t>
            </w:r>
          </w:p>
        </w:tc>
      </w:tr>
      <w:tr w:rsidR="00AD0547" w:rsidRPr="00650EE4" w14:paraId="48646DC3" w14:textId="77777777" w:rsidTr="0092133F">
        <w:tc>
          <w:tcPr>
            <w:tcW w:w="704" w:type="dxa"/>
          </w:tcPr>
          <w:p w14:paraId="4AAB810A"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w:t>
            </w:r>
          </w:p>
        </w:tc>
        <w:tc>
          <w:tcPr>
            <w:tcW w:w="2664" w:type="dxa"/>
          </w:tcPr>
          <w:p w14:paraId="30823114"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CŠT</w:t>
            </w:r>
          </w:p>
        </w:tc>
        <w:tc>
          <w:tcPr>
            <w:tcW w:w="1774" w:type="dxa"/>
          </w:tcPr>
          <w:p w14:paraId="0DA19AF2"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0BC1DE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46,1</w:t>
            </w:r>
          </w:p>
        </w:tc>
        <w:tc>
          <w:tcPr>
            <w:tcW w:w="1684" w:type="dxa"/>
          </w:tcPr>
          <w:p w14:paraId="278B455E"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5,5</w:t>
            </w:r>
          </w:p>
        </w:tc>
        <w:tc>
          <w:tcPr>
            <w:tcW w:w="1684" w:type="dxa"/>
          </w:tcPr>
          <w:p w14:paraId="24F0E3E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87,6</w:t>
            </w:r>
          </w:p>
        </w:tc>
      </w:tr>
      <w:tr w:rsidR="00AD0547" w:rsidRPr="00650EE4" w14:paraId="109A91FC" w14:textId="77777777" w:rsidTr="0092133F">
        <w:tc>
          <w:tcPr>
            <w:tcW w:w="704" w:type="dxa"/>
          </w:tcPr>
          <w:p w14:paraId="4FD39EF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2.</w:t>
            </w:r>
          </w:p>
        </w:tc>
        <w:tc>
          <w:tcPr>
            <w:tcW w:w="2664" w:type="dxa"/>
          </w:tcPr>
          <w:p w14:paraId="048559DF"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Gamtinės dujos</w:t>
            </w:r>
          </w:p>
        </w:tc>
        <w:tc>
          <w:tcPr>
            <w:tcW w:w="1774" w:type="dxa"/>
          </w:tcPr>
          <w:p w14:paraId="0AD57D1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3B2C4387"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0,142</w:t>
            </w:r>
          </w:p>
        </w:tc>
        <w:tc>
          <w:tcPr>
            <w:tcW w:w="1684" w:type="dxa"/>
          </w:tcPr>
          <w:p w14:paraId="2C277506"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0,001</w:t>
            </w:r>
          </w:p>
        </w:tc>
        <w:tc>
          <w:tcPr>
            <w:tcW w:w="1684" w:type="dxa"/>
          </w:tcPr>
          <w:p w14:paraId="00C13F0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w:t>
            </w:r>
          </w:p>
        </w:tc>
      </w:tr>
      <w:tr w:rsidR="00AD0547" w:rsidRPr="00650EE4" w14:paraId="420F79F0" w14:textId="77777777" w:rsidTr="0092133F">
        <w:tc>
          <w:tcPr>
            <w:tcW w:w="704" w:type="dxa"/>
          </w:tcPr>
          <w:p w14:paraId="14DF1F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3.</w:t>
            </w:r>
          </w:p>
        </w:tc>
        <w:tc>
          <w:tcPr>
            <w:tcW w:w="2664" w:type="dxa"/>
          </w:tcPr>
          <w:p w14:paraId="4ED1FEB9"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Biokuras</w:t>
            </w:r>
          </w:p>
        </w:tc>
        <w:tc>
          <w:tcPr>
            <w:tcW w:w="1774" w:type="dxa"/>
          </w:tcPr>
          <w:p w14:paraId="6925EBF7"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6EDA4256"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0,156</w:t>
            </w:r>
          </w:p>
        </w:tc>
        <w:tc>
          <w:tcPr>
            <w:tcW w:w="1684" w:type="dxa"/>
          </w:tcPr>
          <w:p w14:paraId="462FD4C1"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0,04</w:t>
            </w:r>
          </w:p>
        </w:tc>
        <w:tc>
          <w:tcPr>
            <w:tcW w:w="1684" w:type="dxa"/>
          </w:tcPr>
          <w:p w14:paraId="3401BF2A"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1,04</w:t>
            </w:r>
          </w:p>
        </w:tc>
      </w:tr>
      <w:tr w:rsidR="00AD0547" w:rsidRPr="00650EE4" w14:paraId="332363FE" w14:textId="77777777" w:rsidTr="0092133F">
        <w:tc>
          <w:tcPr>
            <w:tcW w:w="704" w:type="dxa"/>
          </w:tcPr>
          <w:p w14:paraId="66C5B132"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4.</w:t>
            </w:r>
          </w:p>
        </w:tc>
        <w:tc>
          <w:tcPr>
            <w:tcW w:w="2664" w:type="dxa"/>
          </w:tcPr>
          <w:p w14:paraId="492BB02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Elektra</w:t>
            </w:r>
          </w:p>
        </w:tc>
        <w:tc>
          <w:tcPr>
            <w:tcW w:w="1774" w:type="dxa"/>
          </w:tcPr>
          <w:p w14:paraId="2C1235C4"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51A5795E"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1,82</w:t>
            </w:r>
          </w:p>
        </w:tc>
        <w:tc>
          <w:tcPr>
            <w:tcW w:w="1684" w:type="dxa"/>
          </w:tcPr>
          <w:p w14:paraId="542DEAD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1,67</w:t>
            </w:r>
          </w:p>
        </w:tc>
        <w:tc>
          <w:tcPr>
            <w:tcW w:w="1684" w:type="dxa"/>
          </w:tcPr>
          <w:p w14:paraId="0096C58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w:t>
            </w:r>
          </w:p>
        </w:tc>
      </w:tr>
      <w:tr w:rsidR="00AD0547" w:rsidRPr="00650EE4" w14:paraId="52570A7C" w14:textId="77777777" w:rsidTr="0092133F">
        <w:tc>
          <w:tcPr>
            <w:tcW w:w="704" w:type="dxa"/>
          </w:tcPr>
          <w:p w14:paraId="6FBFCC5B"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5.</w:t>
            </w:r>
          </w:p>
        </w:tc>
        <w:tc>
          <w:tcPr>
            <w:tcW w:w="2664" w:type="dxa"/>
          </w:tcPr>
          <w:p w14:paraId="2C0FB689"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Kitas kuras</w:t>
            </w:r>
          </w:p>
        </w:tc>
        <w:tc>
          <w:tcPr>
            <w:tcW w:w="1774" w:type="dxa"/>
          </w:tcPr>
          <w:p w14:paraId="71DA5E3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g/</w:t>
            </w:r>
            <w:proofErr w:type="spellStart"/>
            <w:r w:rsidRPr="00650EE4">
              <w:rPr>
                <w:rFonts w:ascii="Times New Roman" w:hAnsi="Times New Roman"/>
                <w:color w:val="auto"/>
                <w:sz w:val="20"/>
                <w:szCs w:val="20"/>
              </w:rPr>
              <w:t>kWh</w:t>
            </w:r>
            <w:proofErr w:type="spellEnd"/>
          </w:p>
        </w:tc>
        <w:tc>
          <w:tcPr>
            <w:tcW w:w="1684" w:type="dxa"/>
          </w:tcPr>
          <w:p w14:paraId="615C4F05"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0,45</w:t>
            </w:r>
          </w:p>
        </w:tc>
        <w:tc>
          <w:tcPr>
            <w:tcW w:w="1684" w:type="dxa"/>
          </w:tcPr>
          <w:p w14:paraId="2D506F20"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1,56</w:t>
            </w:r>
          </w:p>
        </w:tc>
        <w:tc>
          <w:tcPr>
            <w:tcW w:w="1684" w:type="dxa"/>
          </w:tcPr>
          <w:p w14:paraId="01C3DF38" w14:textId="77777777" w:rsidR="00AD0547" w:rsidRPr="00650EE4" w:rsidRDefault="00AD0547" w:rsidP="0092133F">
            <w:pPr>
              <w:jc w:val="both"/>
              <w:rPr>
                <w:rFonts w:ascii="Times New Roman" w:hAnsi="Times New Roman"/>
                <w:color w:val="auto"/>
                <w:sz w:val="20"/>
                <w:szCs w:val="20"/>
              </w:rPr>
            </w:pPr>
            <w:r w:rsidRPr="00650EE4">
              <w:rPr>
                <w:rFonts w:ascii="Times New Roman" w:hAnsi="Times New Roman"/>
                <w:color w:val="auto"/>
                <w:sz w:val="20"/>
                <w:szCs w:val="20"/>
              </w:rPr>
              <w:t>0,68</w:t>
            </w:r>
          </w:p>
        </w:tc>
      </w:tr>
    </w:tbl>
    <w:p w14:paraId="703A1827" w14:textId="5625BDC3" w:rsidR="00AD0547" w:rsidRPr="00650EE4" w:rsidRDefault="00AD0547" w:rsidP="00AD0547">
      <w:pPr>
        <w:jc w:val="both"/>
        <w:rPr>
          <w:rFonts w:ascii="Times New Roman" w:hAnsi="Times New Roman"/>
          <w:i/>
          <w:iCs/>
          <w:color w:val="auto"/>
          <w:sz w:val="20"/>
          <w:szCs w:val="20"/>
        </w:rPr>
      </w:pPr>
      <w:r w:rsidRPr="00650EE4">
        <w:rPr>
          <w:rFonts w:ascii="Times New Roman" w:hAnsi="Times New Roman"/>
          <w:i/>
          <w:iCs/>
          <w:color w:val="auto"/>
          <w:sz w:val="20"/>
          <w:szCs w:val="20"/>
        </w:rPr>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hAnsi="Times New Roman"/>
          <w:i/>
          <w:iCs/>
          <w:color w:val="auto"/>
          <w:sz w:val="20"/>
          <w:szCs w:val="20"/>
        </w:rPr>
        <w:t xml:space="preserve"> </w:t>
      </w:r>
      <w:r w:rsidRPr="00650EE4">
        <w:rPr>
          <w:rFonts w:ascii="Times New Roman" w:hAnsi="Times New Roman"/>
          <w:i/>
          <w:iCs/>
          <w:color w:val="auto"/>
          <w:sz w:val="20"/>
          <w:szCs w:val="20"/>
        </w:rPr>
        <w:t>autoriai, remiantis Europos aplinkos apsaugos agentūros į atmosferą išmetamų teršalų apskaitos metodika</w:t>
      </w:r>
    </w:p>
    <w:p w14:paraId="7FBD9097" w14:textId="77777777" w:rsidR="00AD0547" w:rsidRPr="00650EE4" w:rsidRDefault="00AD0547" w:rsidP="00AD0547">
      <w:pPr>
        <w:jc w:val="both"/>
        <w:rPr>
          <w:rFonts w:ascii="Times New Roman" w:hAnsi="Times New Roman"/>
          <w:i/>
          <w:iCs/>
          <w:color w:val="auto"/>
          <w:sz w:val="20"/>
          <w:szCs w:val="20"/>
        </w:rPr>
      </w:pPr>
    </w:p>
    <w:p w14:paraId="2660FDF3" w14:textId="661CCCD5"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eastAsiaTheme="minorHAnsi" w:hAnsi="Times New Roman"/>
          <w:szCs w:val="22"/>
          <w:lang w:val="lt-LT"/>
        </w:rPr>
        <w:t>a</w:t>
      </w:r>
      <w:r w:rsidR="00AD0547" w:rsidRPr="00650EE4">
        <w:rPr>
          <w:rFonts w:ascii="Times New Roman" w:eastAsiaTheme="minorHAnsi" w:hAnsi="Times New Roman"/>
          <w:szCs w:val="22"/>
          <w:lang w:val="lt-LT"/>
        </w:rPr>
        <w:t>pskaičiuotas per laikotarpį išmetamų teršalų kiekis (t);</w:t>
      </w:r>
    </w:p>
    <w:p w14:paraId="71FB07F3" w14:textId="7CB45817"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n</w:t>
      </w:r>
      <w:r w:rsidR="00AD0547" w:rsidRPr="00650EE4">
        <w:rPr>
          <w:rFonts w:ascii="Times New Roman" w:hAnsi="Times New Roman"/>
          <w:color w:val="auto"/>
          <w:szCs w:val="22"/>
          <w:lang w:val="lt-LT"/>
        </w:rPr>
        <w:t>ustatytos kiekvieno vertinamo teršalo taršos sąnaudos (</w:t>
      </w:r>
      <w:proofErr w:type="spellStart"/>
      <w:r w:rsidR="00AD0547" w:rsidRPr="00650EE4">
        <w:rPr>
          <w:rFonts w:ascii="Times New Roman" w:hAnsi="Times New Roman"/>
          <w:color w:val="auto"/>
          <w:szCs w:val="22"/>
          <w:lang w:val="lt-LT"/>
        </w:rPr>
        <w:t>Eur</w:t>
      </w:r>
      <w:proofErr w:type="spellEnd"/>
      <w:r w:rsidR="00AD0547" w:rsidRPr="00650EE4">
        <w:rPr>
          <w:rFonts w:ascii="Times New Roman" w:hAnsi="Times New Roman"/>
          <w:color w:val="auto"/>
          <w:szCs w:val="22"/>
          <w:lang w:val="lt-LT"/>
        </w:rPr>
        <w:t>/t)</w:t>
      </w:r>
      <w:r>
        <w:rPr>
          <w:rFonts w:ascii="Times New Roman" w:hAnsi="Times New Roman"/>
          <w:color w:val="auto"/>
          <w:szCs w:val="22"/>
          <w:lang w:val="lt-LT"/>
        </w:rPr>
        <w:t>;</w:t>
      </w:r>
    </w:p>
    <w:p w14:paraId="466CE9B7" w14:textId="16C12B53" w:rsidR="00AD0547"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a</w:t>
      </w:r>
      <w:r w:rsidR="00AD0547" w:rsidRPr="00650EE4">
        <w:rPr>
          <w:rFonts w:ascii="Times New Roman" w:hAnsi="Times New Roman"/>
          <w:color w:val="auto"/>
          <w:szCs w:val="22"/>
          <w:lang w:val="lt-LT"/>
        </w:rPr>
        <w:t>pskaičiuota per vertinimo laikotarpį išvengtos taršos nauda (</w:t>
      </w:r>
      <w:proofErr w:type="spellStart"/>
      <w:r w:rsidR="00AD0547" w:rsidRPr="00650EE4">
        <w:rPr>
          <w:rFonts w:ascii="Times New Roman" w:hAnsi="Times New Roman"/>
          <w:color w:val="auto"/>
          <w:szCs w:val="22"/>
          <w:lang w:val="lt-LT"/>
        </w:rPr>
        <w:t>Eur</w:t>
      </w:r>
      <w:proofErr w:type="spellEnd"/>
      <w:r w:rsidR="00AD0547" w:rsidRPr="00650EE4">
        <w:rPr>
          <w:rFonts w:ascii="Times New Roman" w:hAnsi="Times New Roman"/>
          <w:color w:val="auto"/>
          <w:szCs w:val="22"/>
          <w:lang w:val="lt-LT"/>
        </w:rPr>
        <w:t>).</w:t>
      </w:r>
    </w:p>
    <w:p w14:paraId="5B4EF5CF" w14:textId="77777777" w:rsidR="00AD0547" w:rsidRPr="00650EE4" w:rsidRDefault="00AD0547" w:rsidP="00AD0547">
      <w:pPr>
        <w:pStyle w:val="Pagrindinispaprastastekstas"/>
        <w:rPr>
          <w:rFonts w:ascii="Times New Roman" w:hAnsi="Times New Roman"/>
          <w:szCs w:val="22"/>
        </w:rPr>
      </w:pPr>
    </w:p>
    <w:p w14:paraId="7F38E85A" w14:textId="3F1B99E1" w:rsidR="00AD0547" w:rsidRPr="00650EE4" w:rsidRDefault="008F6593" w:rsidP="00AD0547">
      <w:pPr>
        <w:rPr>
          <w:rFonts w:ascii="Times New Roman" w:hAnsi="Times New Roman"/>
          <w:color w:val="auto"/>
          <w:szCs w:val="22"/>
        </w:rPr>
      </w:pPr>
      <w:r>
        <w:rPr>
          <w:rFonts w:ascii="Times New Roman" w:hAnsi="Times New Roman"/>
          <w:color w:val="auto"/>
          <w:szCs w:val="22"/>
        </w:rPr>
        <w:t>A</w:t>
      </w:r>
      <w:r w:rsidR="00AD0547" w:rsidRPr="00650EE4">
        <w:rPr>
          <w:rFonts w:ascii="Times New Roman" w:hAnsi="Times New Roman"/>
          <w:color w:val="auto"/>
          <w:szCs w:val="22"/>
        </w:rPr>
        <w:t>pskaičiuota, kad per IRS įgyvendinimo laikotarpį bus išvengta 1,201 ml</w:t>
      </w:r>
      <w:r w:rsidR="00175A5A">
        <w:rPr>
          <w:rFonts w:ascii="Times New Roman" w:hAnsi="Times New Roman"/>
          <w:color w:val="auto"/>
          <w:szCs w:val="22"/>
        </w:rPr>
        <w:t>rd</w:t>
      </w:r>
      <w:r w:rsidR="00AD0547" w:rsidRPr="00650EE4">
        <w:rPr>
          <w:rFonts w:ascii="Times New Roman" w:hAnsi="Times New Roman"/>
          <w:color w:val="auto"/>
          <w:szCs w:val="22"/>
        </w:rPr>
        <w:t xml:space="preserve">. </w:t>
      </w:r>
      <w:proofErr w:type="spellStart"/>
      <w:r w:rsidR="00AD0547" w:rsidRPr="00650EE4">
        <w:rPr>
          <w:rFonts w:ascii="Times New Roman" w:hAnsi="Times New Roman"/>
          <w:color w:val="auto"/>
          <w:szCs w:val="22"/>
        </w:rPr>
        <w:t>Eur</w:t>
      </w:r>
      <w:proofErr w:type="spellEnd"/>
      <w:r w:rsidR="00AD0547" w:rsidRPr="00650EE4">
        <w:rPr>
          <w:rFonts w:ascii="Times New Roman" w:hAnsi="Times New Roman"/>
          <w:color w:val="auto"/>
          <w:szCs w:val="22"/>
        </w:rPr>
        <w:t xml:space="preserve"> oro taršos.</w:t>
      </w:r>
    </w:p>
    <w:p w14:paraId="4536C2F3" w14:textId="77777777" w:rsidR="00AD0547" w:rsidRPr="00650EE4" w:rsidRDefault="00AD0547" w:rsidP="00381F11">
      <w:pPr>
        <w:spacing w:after="120"/>
        <w:jc w:val="both"/>
        <w:rPr>
          <w:rFonts w:ascii="Times New Roman" w:hAnsi="Times New Roman"/>
          <w:color w:val="auto"/>
          <w:szCs w:val="22"/>
        </w:rPr>
      </w:pPr>
    </w:p>
    <w:p w14:paraId="57CF43AF" w14:textId="175245EC" w:rsidR="00445AFB" w:rsidRPr="00650EE4" w:rsidRDefault="00381F11" w:rsidP="00381F11">
      <w:pPr>
        <w:spacing w:after="120"/>
        <w:jc w:val="both"/>
        <w:rPr>
          <w:rFonts w:ascii="Times New Roman" w:hAnsi="Times New Roman"/>
          <w:b/>
          <w:bCs/>
          <w:szCs w:val="24"/>
        </w:rPr>
      </w:pPr>
      <w:r w:rsidRPr="00650EE4">
        <w:rPr>
          <w:rFonts w:ascii="Times New Roman" w:hAnsi="Times New Roman"/>
          <w:b/>
          <w:bCs/>
          <w:szCs w:val="24"/>
        </w:rPr>
        <w:t>N7</w:t>
      </w:r>
      <w:r w:rsidR="00445AFB" w:rsidRPr="00650EE4">
        <w:rPr>
          <w:rFonts w:ascii="Times New Roman" w:hAnsi="Times New Roman"/>
          <w:b/>
          <w:bCs/>
          <w:szCs w:val="24"/>
        </w:rPr>
        <w:t>.</w:t>
      </w:r>
      <w:r w:rsidRPr="00650EE4">
        <w:rPr>
          <w:rFonts w:ascii="Times New Roman" w:hAnsi="Times New Roman"/>
          <w:b/>
          <w:bCs/>
          <w:szCs w:val="24"/>
        </w:rPr>
        <w:t xml:space="preserve"> </w:t>
      </w:r>
      <w:r w:rsidR="00445AFB" w:rsidRPr="00650EE4">
        <w:rPr>
          <w:rFonts w:ascii="Times New Roman" w:hAnsi="Times New Roman"/>
          <w:b/>
          <w:bCs/>
          <w:szCs w:val="24"/>
        </w:rPr>
        <w:t xml:space="preserve">Mažesnės kompensacijos </w:t>
      </w:r>
      <w:r w:rsidR="008316EA" w:rsidRPr="00650EE4">
        <w:rPr>
          <w:rFonts w:ascii="Times New Roman" w:hAnsi="Times New Roman"/>
          <w:b/>
          <w:bCs/>
          <w:szCs w:val="24"/>
        </w:rPr>
        <w:t>pažeidžiamų</w:t>
      </w:r>
      <w:r w:rsidR="00445AFB" w:rsidRPr="00650EE4">
        <w:rPr>
          <w:rFonts w:ascii="Times New Roman" w:hAnsi="Times New Roman"/>
          <w:b/>
          <w:bCs/>
          <w:szCs w:val="24"/>
        </w:rPr>
        <w:t xml:space="preserve"> gyventojų būsto šildymo sąnaudoms kompensuoti</w:t>
      </w:r>
      <w:bookmarkEnd w:id="193"/>
    </w:p>
    <w:p w14:paraId="505DD787" w14:textId="4015E7AF" w:rsidR="009D6DB7" w:rsidRPr="00650EE4" w:rsidRDefault="006B04B6" w:rsidP="006B04B6">
      <w:pPr>
        <w:pStyle w:val="BodyText"/>
        <w:jc w:val="both"/>
        <w:rPr>
          <w:rFonts w:ascii="Times New Roman" w:hAnsi="Times New Roman"/>
          <w:color w:val="auto"/>
          <w:szCs w:val="22"/>
          <w:lang w:val="lt-LT"/>
        </w:rPr>
      </w:pPr>
      <w:r w:rsidRPr="00650EE4">
        <w:rPr>
          <w:rFonts w:ascii="Times New Roman" w:hAnsi="Times New Roman"/>
          <w:color w:val="auto"/>
          <w:szCs w:val="22"/>
          <w:lang w:val="lt-LT"/>
        </w:rPr>
        <w:t xml:space="preserve">Šiuo metu Lietuvoje </w:t>
      </w:r>
      <w:r w:rsidR="006D08AE" w:rsidRPr="00650EE4">
        <w:rPr>
          <w:rFonts w:ascii="Times New Roman" w:hAnsi="Times New Roman"/>
          <w:color w:val="auto"/>
          <w:szCs w:val="22"/>
          <w:lang w:val="lt-LT"/>
        </w:rPr>
        <w:t>nepasiturintiems gyventojams kompensuojamos būsto šildymo, geriamojo ir karšto vandens išlaidos</w:t>
      </w:r>
      <w:r w:rsidRPr="00650EE4">
        <w:rPr>
          <w:rFonts w:ascii="Times New Roman" w:hAnsi="Times New Roman"/>
          <w:color w:val="auto"/>
          <w:szCs w:val="22"/>
          <w:lang w:val="lt-LT"/>
        </w:rPr>
        <w:t xml:space="preserve">. </w:t>
      </w:r>
      <w:r w:rsidR="006178D0" w:rsidRPr="00650EE4">
        <w:rPr>
          <w:rFonts w:ascii="Times New Roman" w:hAnsi="Times New Roman"/>
          <w:color w:val="auto"/>
          <w:szCs w:val="22"/>
          <w:lang w:val="lt-LT"/>
        </w:rPr>
        <w:t xml:space="preserve">Nepasiturintiems gyventojams kompensuojama būsto šildymo išlaidų dalis, viršijanti 10 procentų skirtumo tarp šeimos (asmens) pajamų ir valstybės remiamų pajamų (VRP) šeimai (asmeniui) dydžio. Šiuo metu VRP yra 122 </w:t>
      </w:r>
      <w:proofErr w:type="spellStart"/>
      <w:r w:rsidR="006178D0" w:rsidRPr="00650EE4">
        <w:rPr>
          <w:rFonts w:ascii="Times New Roman" w:hAnsi="Times New Roman"/>
          <w:color w:val="auto"/>
          <w:szCs w:val="22"/>
          <w:lang w:val="lt-LT"/>
        </w:rPr>
        <w:t>Eur</w:t>
      </w:r>
      <w:proofErr w:type="spellEnd"/>
      <w:r w:rsidR="006178D0" w:rsidRPr="00650EE4">
        <w:rPr>
          <w:rFonts w:ascii="Times New Roman" w:hAnsi="Times New Roman"/>
          <w:color w:val="auto"/>
          <w:szCs w:val="22"/>
          <w:lang w:val="lt-LT"/>
        </w:rPr>
        <w:t>.</w:t>
      </w:r>
      <w:r w:rsidRPr="00650EE4">
        <w:rPr>
          <w:rFonts w:ascii="Times New Roman" w:hAnsi="Times New Roman"/>
          <w:color w:val="auto"/>
          <w:szCs w:val="22"/>
          <w:lang w:val="lt-LT"/>
        </w:rPr>
        <w:t xml:space="preserve"> Pavyzdžiui, jei namų ūkio pajamos sudaro 800 eurų, o šildymo sąskaita siekia 1</w:t>
      </w:r>
      <w:r w:rsidR="006178D0" w:rsidRPr="00650EE4">
        <w:rPr>
          <w:rFonts w:ascii="Times New Roman" w:hAnsi="Times New Roman"/>
          <w:color w:val="auto"/>
          <w:szCs w:val="22"/>
          <w:lang w:val="lt-LT"/>
        </w:rPr>
        <w:t>0</w:t>
      </w:r>
      <w:r w:rsidRPr="00650EE4">
        <w:rPr>
          <w:rFonts w:ascii="Times New Roman" w:hAnsi="Times New Roman"/>
          <w:color w:val="auto"/>
          <w:szCs w:val="22"/>
          <w:lang w:val="lt-LT"/>
        </w:rPr>
        <w:t xml:space="preserve">0 eurų, tokiu atveju kompensuojama </w:t>
      </w:r>
      <w:r w:rsidR="006178D0" w:rsidRPr="00650EE4">
        <w:rPr>
          <w:rFonts w:ascii="Times New Roman" w:hAnsi="Times New Roman"/>
          <w:color w:val="auto"/>
          <w:szCs w:val="22"/>
          <w:lang w:val="lt-LT"/>
        </w:rPr>
        <w:t>apie 70</w:t>
      </w:r>
      <w:r w:rsidRPr="00650EE4">
        <w:rPr>
          <w:rFonts w:ascii="Times New Roman" w:hAnsi="Times New Roman"/>
          <w:color w:val="auto"/>
          <w:szCs w:val="22"/>
          <w:lang w:val="lt-LT"/>
        </w:rPr>
        <w:t xml:space="preserve"> eurų šildymo sąskaitos</w:t>
      </w:r>
      <w:r w:rsidR="006178D0" w:rsidRPr="00650EE4">
        <w:rPr>
          <w:rFonts w:ascii="Times New Roman" w:hAnsi="Times New Roman"/>
          <w:color w:val="auto"/>
          <w:szCs w:val="22"/>
          <w:lang w:val="lt-LT"/>
        </w:rPr>
        <w:t xml:space="preserve">, </w:t>
      </w:r>
      <w:r w:rsidRPr="00650EE4">
        <w:rPr>
          <w:rFonts w:ascii="Times New Roman" w:hAnsi="Times New Roman"/>
          <w:color w:val="auto"/>
          <w:szCs w:val="22"/>
          <w:lang w:val="lt-LT"/>
        </w:rPr>
        <w:t xml:space="preserve">t.y. vartotojo išlaidos šildymui negali viršyti </w:t>
      </w:r>
      <w:r w:rsidR="006178D0" w:rsidRPr="00650EE4">
        <w:rPr>
          <w:rFonts w:ascii="Times New Roman" w:hAnsi="Times New Roman"/>
          <w:color w:val="auto"/>
          <w:szCs w:val="22"/>
          <w:lang w:val="lt-LT"/>
        </w:rPr>
        <w:t>31,2</w:t>
      </w:r>
      <w:r w:rsidRPr="00650EE4">
        <w:rPr>
          <w:rFonts w:ascii="Times New Roman" w:hAnsi="Times New Roman"/>
          <w:color w:val="auto"/>
          <w:szCs w:val="22"/>
          <w:lang w:val="lt-LT"/>
        </w:rPr>
        <w:t xml:space="preserve"> </w:t>
      </w:r>
      <w:proofErr w:type="spellStart"/>
      <w:r w:rsidRPr="00650EE4">
        <w:rPr>
          <w:rFonts w:ascii="Times New Roman" w:hAnsi="Times New Roman"/>
          <w:color w:val="auto"/>
          <w:szCs w:val="22"/>
          <w:lang w:val="lt-LT"/>
        </w:rPr>
        <w:t>Eur</w:t>
      </w:r>
      <w:proofErr w:type="spellEnd"/>
      <w:r w:rsidR="006178D0" w:rsidRPr="00650EE4">
        <w:rPr>
          <w:rStyle w:val="FootnoteReference"/>
          <w:rFonts w:ascii="Times New Roman" w:hAnsi="Times New Roman"/>
          <w:color w:val="auto"/>
          <w:szCs w:val="22"/>
          <w:lang w:val="lt-LT"/>
        </w:rPr>
        <w:footnoteReference w:id="52"/>
      </w:r>
      <w:r w:rsidRPr="00650EE4">
        <w:rPr>
          <w:rFonts w:ascii="Times New Roman" w:hAnsi="Times New Roman"/>
          <w:color w:val="auto"/>
          <w:szCs w:val="22"/>
          <w:lang w:val="lt-LT"/>
        </w:rPr>
        <w:t xml:space="preserve">. </w:t>
      </w:r>
    </w:p>
    <w:p w14:paraId="2AECB342" w14:textId="77777777" w:rsidR="009D6DB7" w:rsidRPr="00650EE4" w:rsidRDefault="009D6DB7" w:rsidP="006B04B6">
      <w:pPr>
        <w:pStyle w:val="BodyText"/>
        <w:jc w:val="both"/>
        <w:rPr>
          <w:rFonts w:ascii="Times New Roman" w:hAnsi="Times New Roman"/>
          <w:color w:val="auto"/>
          <w:szCs w:val="22"/>
          <w:lang w:val="lt-LT"/>
        </w:rPr>
      </w:pPr>
    </w:p>
    <w:p w14:paraId="7D87AD2F" w14:textId="5B01F38A" w:rsidR="006B04B6" w:rsidRPr="00650EE4" w:rsidRDefault="006B04B6" w:rsidP="006B04B6">
      <w:pPr>
        <w:pStyle w:val="BodyText"/>
        <w:jc w:val="both"/>
        <w:rPr>
          <w:rFonts w:ascii="Times New Roman" w:hAnsi="Times New Roman"/>
          <w:color w:val="auto"/>
          <w:szCs w:val="22"/>
          <w:lang w:val="lt-LT"/>
        </w:rPr>
      </w:pPr>
      <w:r w:rsidRPr="00650EE4">
        <w:rPr>
          <w:rFonts w:ascii="Times New Roman" w:hAnsi="Times New Roman"/>
          <w:color w:val="auto"/>
          <w:szCs w:val="22"/>
          <w:lang w:val="lt-LT"/>
        </w:rPr>
        <w:t>Paveiksle žemiau pateikiama šildymo kompensacijų išmokų biudžeto statistika 2012-2018 metais</w:t>
      </w:r>
      <w:r w:rsidR="009D6DB7" w:rsidRPr="00650EE4">
        <w:rPr>
          <w:rFonts w:ascii="Times New Roman" w:hAnsi="Times New Roman"/>
          <w:color w:val="auto"/>
          <w:szCs w:val="22"/>
          <w:lang w:val="lt-LT"/>
        </w:rPr>
        <w:t>.</w:t>
      </w:r>
      <w:r w:rsidR="00175A5A">
        <w:rPr>
          <w:rFonts w:ascii="Times New Roman" w:hAnsi="Times New Roman"/>
          <w:color w:val="auto"/>
          <w:szCs w:val="22"/>
          <w:lang w:val="lt-LT"/>
        </w:rPr>
        <w:t xml:space="preserve"> </w:t>
      </w:r>
      <w:r w:rsidR="00175A5A" w:rsidRPr="00650EE4">
        <w:rPr>
          <w:rFonts w:ascii="Times New Roman" w:hAnsi="Times New Roman"/>
          <w:color w:val="auto"/>
          <w:szCs w:val="22"/>
          <w:lang w:val="lt-LT"/>
        </w:rPr>
        <w:t>Kompensacijų poreikiui įtaką daro trys pagrindiniai veiksniai suvartojamos šilumos kiekis, šilumos kainos ir namų ūkių pajamos. Didžiausias renovacijos poveikis – sumažėjęs šiluminės energijos poreikis.</w:t>
      </w:r>
    </w:p>
    <w:p w14:paraId="5F9234D8" w14:textId="77777777" w:rsidR="00562523" w:rsidRPr="00650EE4" w:rsidRDefault="00562523" w:rsidP="006B04B6">
      <w:pPr>
        <w:pStyle w:val="BodyText"/>
        <w:jc w:val="both"/>
        <w:rPr>
          <w:rFonts w:ascii="Times New Roman" w:hAnsi="Times New Roman"/>
          <w:color w:val="auto"/>
          <w:szCs w:val="22"/>
          <w:lang w:val="lt-LT"/>
        </w:rPr>
      </w:pPr>
    </w:p>
    <w:p w14:paraId="1765B096" w14:textId="77777777" w:rsidR="00175A5A" w:rsidRDefault="00175A5A" w:rsidP="00631BA6">
      <w:pPr>
        <w:pStyle w:val="TESlentelspavadinimas"/>
        <w:rPr>
          <w:noProof w:val="0"/>
        </w:rPr>
      </w:pPr>
    </w:p>
    <w:p w14:paraId="3334253D" w14:textId="77777777" w:rsidR="00175A5A" w:rsidRDefault="00175A5A" w:rsidP="00631BA6">
      <w:pPr>
        <w:pStyle w:val="TESlentelspavadinimas"/>
        <w:rPr>
          <w:noProof w:val="0"/>
        </w:rPr>
      </w:pPr>
    </w:p>
    <w:p w14:paraId="72855838" w14:textId="77777777" w:rsidR="00175A5A" w:rsidRDefault="00175A5A" w:rsidP="00631BA6">
      <w:pPr>
        <w:pStyle w:val="TESlentelspavadinimas"/>
        <w:rPr>
          <w:noProof w:val="0"/>
        </w:rPr>
      </w:pPr>
    </w:p>
    <w:p w14:paraId="00964BFE" w14:textId="77777777" w:rsidR="00175A5A" w:rsidRDefault="00175A5A" w:rsidP="00631BA6">
      <w:pPr>
        <w:pStyle w:val="TESlentelspavadinimas"/>
        <w:rPr>
          <w:noProof w:val="0"/>
        </w:rPr>
      </w:pPr>
    </w:p>
    <w:p w14:paraId="20EDF51D" w14:textId="77777777" w:rsidR="00175A5A" w:rsidRDefault="00175A5A" w:rsidP="00631BA6">
      <w:pPr>
        <w:pStyle w:val="TESlentelspavadinimas"/>
        <w:rPr>
          <w:noProof w:val="0"/>
        </w:rPr>
      </w:pPr>
    </w:p>
    <w:p w14:paraId="03B01492" w14:textId="06E2E960" w:rsidR="00727994" w:rsidRPr="00650EE4" w:rsidRDefault="00727994"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95" w:name="_Toc59094276"/>
      <w:r w:rsidR="00F25C65">
        <w:t>27</w:t>
      </w:r>
      <w:r w:rsidRPr="00650EE4">
        <w:rPr>
          <w:noProof w:val="0"/>
        </w:rPr>
        <w:fldChar w:fldCharType="end"/>
      </w:r>
      <w:r w:rsidRPr="00650EE4">
        <w:rPr>
          <w:noProof w:val="0"/>
        </w:rPr>
        <w:t xml:space="preserve"> paveikslas. Būsto kompensavimo išmokos ir gavėjų skaičiaus lygis 2012-2018 m. Lietuvoje</w:t>
      </w:r>
      <w:bookmarkEnd w:id="195"/>
    </w:p>
    <w:p w14:paraId="3C098AF1" w14:textId="059BD92A" w:rsidR="006B04B6" w:rsidRPr="00650EE4" w:rsidRDefault="00175A5A" w:rsidP="006B04B6">
      <w:pPr>
        <w:rPr>
          <w:rFonts w:ascii="Times New Roman" w:hAnsi="Times New Roman"/>
          <w:color w:val="auto"/>
          <w:szCs w:val="22"/>
        </w:rPr>
      </w:pPr>
      <w:r w:rsidRPr="00650EE4">
        <w:rPr>
          <w:rFonts w:ascii="Times New Roman" w:hAnsi="Times New Roman"/>
          <w:noProof/>
          <w:color w:val="auto"/>
          <w:szCs w:val="22"/>
          <w:lang w:eastAsia="lt-LT"/>
        </w:rPr>
        <w:drawing>
          <wp:inline distT="0" distB="0" distL="0" distR="0" wp14:anchorId="46E6D143" wp14:editId="55256A23">
            <wp:extent cx="6479540" cy="2235300"/>
            <wp:effectExtent l="0" t="0" r="16510" b="12700"/>
            <wp:docPr id="65" name="Chart 6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CE92C4B-861B-49DF-B67F-6D0EBC082E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5241172" w14:textId="77777777" w:rsidR="006B04B6" w:rsidRPr="00650EE4" w:rsidRDefault="006B04B6" w:rsidP="006B04B6">
      <w:pPr>
        <w:spacing w:before="60" w:line="240" w:lineRule="auto"/>
        <w:rPr>
          <w:rFonts w:ascii="Times New Roman" w:eastAsia="Times New Roman" w:hAnsi="Times New Roman"/>
          <w:i/>
          <w:color w:val="auto"/>
          <w:sz w:val="20"/>
          <w:szCs w:val="20"/>
        </w:rPr>
      </w:pPr>
      <w:r w:rsidRPr="00650EE4">
        <w:rPr>
          <w:rFonts w:ascii="Times New Roman" w:eastAsia="Times New Roman" w:hAnsi="Times New Roman"/>
          <w:i/>
          <w:color w:val="auto"/>
          <w:sz w:val="20"/>
          <w:szCs w:val="20"/>
        </w:rPr>
        <w:t>Šaltinis: Lietuvos Respublikos socialinės apsaugos ir darbo ministerija</w:t>
      </w:r>
    </w:p>
    <w:p w14:paraId="738AA50F" w14:textId="77777777" w:rsidR="006B04B6" w:rsidRPr="00650EE4" w:rsidRDefault="006B04B6" w:rsidP="006B04B6">
      <w:pPr>
        <w:jc w:val="both"/>
        <w:rPr>
          <w:rFonts w:ascii="Times New Roman" w:hAnsi="Times New Roman"/>
          <w:color w:val="auto"/>
          <w:szCs w:val="22"/>
        </w:rPr>
      </w:pPr>
    </w:p>
    <w:p w14:paraId="28EB183A" w14:textId="77777777" w:rsidR="006B04B6" w:rsidRPr="00650EE4" w:rsidRDefault="006B04B6" w:rsidP="006B04B6">
      <w:pPr>
        <w:jc w:val="both"/>
        <w:rPr>
          <w:rFonts w:ascii="Times New Roman" w:hAnsi="Times New Roman"/>
          <w:color w:val="auto"/>
          <w:szCs w:val="22"/>
        </w:rPr>
      </w:pPr>
      <w:r w:rsidRPr="00650EE4">
        <w:rPr>
          <w:rFonts w:ascii="Times New Roman" w:hAnsi="Times New Roman"/>
          <w:color w:val="auto"/>
          <w:szCs w:val="22"/>
        </w:rPr>
        <w:t>Atitinkamai kompensacijų už šildymą mažėjimas apskaičiuotas žemiau nurodyta tvarka:</w:t>
      </w:r>
    </w:p>
    <w:p w14:paraId="5E0D3293" w14:textId="3E248930"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n</w:t>
      </w:r>
      <w:r w:rsidR="006B04B6" w:rsidRPr="00650EE4">
        <w:rPr>
          <w:rFonts w:ascii="Times New Roman" w:hAnsi="Times New Roman"/>
          <w:color w:val="auto"/>
          <w:szCs w:val="22"/>
          <w:lang w:val="lt-LT"/>
        </w:rPr>
        <w:t xml:space="preserve">ustatytas metinis kompensacijų poreikis – 21,6 mln. </w:t>
      </w:r>
      <w:proofErr w:type="spellStart"/>
      <w:r w:rsidR="006B04B6" w:rsidRPr="00650EE4">
        <w:rPr>
          <w:rFonts w:ascii="Times New Roman" w:hAnsi="Times New Roman"/>
          <w:color w:val="auto"/>
          <w:szCs w:val="22"/>
          <w:lang w:val="lt-LT"/>
        </w:rPr>
        <w:t>Eur</w:t>
      </w:r>
      <w:proofErr w:type="spellEnd"/>
      <w:r w:rsidR="006B04B6" w:rsidRPr="00650EE4">
        <w:rPr>
          <w:rFonts w:ascii="Times New Roman" w:hAnsi="Times New Roman"/>
          <w:color w:val="auto"/>
          <w:szCs w:val="22"/>
          <w:lang w:val="lt-LT"/>
        </w:rPr>
        <w:t>;</w:t>
      </w:r>
    </w:p>
    <w:p w14:paraId="3B5A1283" w14:textId="15DA1D99"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k</w:t>
      </w:r>
      <w:r w:rsidR="006B04B6" w:rsidRPr="00650EE4">
        <w:rPr>
          <w:rFonts w:ascii="Times New Roman" w:hAnsi="Times New Roman"/>
          <w:color w:val="auto"/>
          <w:szCs w:val="22"/>
          <w:lang w:val="lt-LT"/>
        </w:rPr>
        <w:t>adangi iki 2050 m. bus renovuojami visi C arba žemesnės energinio naudingumo klasės pastatai ir laikantis konservatyvumo principo, vertinama kad iki 2050 m. dings poreikis 80 proc. kompensacijų, t.y. vidutiniškai kasmet nebereikės mo</w:t>
      </w:r>
      <w:r>
        <w:rPr>
          <w:rFonts w:ascii="Times New Roman" w:hAnsi="Times New Roman"/>
          <w:color w:val="auto"/>
          <w:szCs w:val="22"/>
          <w:lang w:val="lt-LT"/>
        </w:rPr>
        <w:t xml:space="preserve">kėti 0,58 mln. </w:t>
      </w:r>
      <w:proofErr w:type="spellStart"/>
      <w:r>
        <w:rPr>
          <w:rFonts w:ascii="Times New Roman" w:hAnsi="Times New Roman"/>
          <w:color w:val="auto"/>
          <w:szCs w:val="22"/>
          <w:lang w:val="lt-LT"/>
        </w:rPr>
        <w:t>Eur</w:t>
      </w:r>
      <w:proofErr w:type="spellEnd"/>
      <w:r>
        <w:rPr>
          <w:rFonts w:ascii="Times New Roman" w:hAnsi="Times New Roman"/>
          <w:color w:val="auto"/>
          <w:szCs w:val="22"/>
          <w:lang w:val="lt-LT"/>
        </w:rPr>
        <w:t xml:space="preserve"> kompensacijų;</w:t>
      </w:r>
    </w:p>
    <w:p w14:paraId="0984EEA8" w14:textId="165C12EC" w:rsidR="006B04B6" w:rsidRPr="00650EE4" w:rsidRDefault="00395B24" w:rsidP="00BD4925">
      <w:pPr>
        <w:pStyle w:val="ListParagraph"/>
        <w:numPr>
          <w:ilvl w:val="0"/>
          <w:numId w:val="43"/>
        </w:numPr>
        <w:jc w:val="both"/>
        <w:rPr>
          <w:rFonts w:ascii="Times New Roman" w:hAnsi="Times New Roman"/>
          <w:color w:val="auto"/>
          <w:szCs w:val="22"/>
          <w:lang w:val="lt-LT"/>
        </w:rPr>
      </w:pPr>
      <w:r>
        <w:rPr>
          <w:rFonts w:ascii="Times New Roman" w:hAnsi="Times New Roman"/>
          <w:color w:val="auto"/>
          <w:szCs w:val="22"/>
          <w:lang w:val="lt-LT"/>
        </w:rPr>
        <w:t>a</w:t>
      </w:r>
      <w:r w:rsidR="006B04B6" w:rsidRPr="00650EE4">
        <w:rPr>
          <w:rFonts w:ascii="Times New Roman" w:hAnsi="Times New Roman"/>
          <w:color w:val="auto"/>
          <w:szCs w:val="22"/>
          <w:lang w:val="lt-LT"/>
        </w:rPr>
        <w:t xml:space="preserve">titinkamai per IRS įgyvendinimo laikotarpį bus sutaupyta 267,8 mln. </w:t>
      </w:r>
      <w:proofErr w:type="spellStart"/>
      <w:r w:rsidR="006B04B6" w:rsidRPr="00650EE4">
        <w:rPr>
          <w:rFonts w:ascii="Times New Roman" w:hAnsi="Times New Roman"/>
          <w:color w:val="auto"/>
          <w:szCs w:val="22"/>
          <w:lang w:val="lt-LT"/>
        </w:rPr>
        <w:t>Eur</w:t>
      </w:r>
      <w:proofErr w:type="spellEnd"/>
      <w:r w:rsidR="006B04B6" w:rsidRPr="00650EE4">
        <w:rPr>
          <w:rFonts w:ascii="Times New Roman" w:hAnsi="Times New Roman"/>
          <w:color w:val="auto"/>
          <w:szCs w:val="22"/>
          <w:lang w:val="lt-LT"/>
        </w:rPr>
        <w:t xml:space="preserve"> kompensacijoms už šildymą.</w:t>
      </w:r>
    </w:p>
    <w:p w14:paraId="142228E6" w14:textId="77777777" w:rsidR="006B04B6" w:rsidRPr="00650EE4" w:rsidRDefault="006B04B6" w:rsidP="000910B9">
      <w:pPr>
        <w:rPr>
          <w:rFonts w:ascii="Times New Roman" w:hAnsi="Times New Roman"/>
          <w:color w:val="auto"/>
          <w:szCs w:val="22"/>
        </w:rPr>
      </w:pPr>
    </w:p>
    <w:p w14:paraId="1E611794" w14:textId="6BB29CB6" w:rsidR="000910B9" w:rsidRPr="00650EE4" w:rsidRDefault="00E723D0" w:rsidP="006A5A8F">
      <w:pPr>
        <w:pStyle w:val="Antrastes31"/>
        <w:numPr>
          <w:ilvl w:val="2"/>
          <w:numId w:val="4"/>
        </w:numPr>
        <w:spacing w:before="120"/>
        <w:ind w:left="720" w:hanging="720"/>
        <w:rPr>
          <w:rFonts w:ascii="Times New Roman" w:hAnsi="Times New Roman"/>
          <w:color w:val="000000" w:themeColor="text1"/>
          <w:sz w:val="24"/>
          <w:szCs w:val="24"/>
          <w:lang w:val="lt-LT"/>
        </w:rPr>
      </w:pPr>
      <w:bookmarkStart w:id="196" w:name="_Toc59107568"/>
      <w:r>
        <w:rPr>
          <w:rFonts w:ascii="Times New Roman" w:hAnsi="Times New Roman"/>
          <w:color w:val="000000" w:themeColor="text1"/>
          <w:sz w:val="24"/>
          <w:szCs w:val="24"/>
          <w:lang w:val="lt-LT"/>
        </w:rPr>
        <w:t>Papildomos</w:t>
      </w:r>
      <w:r w:rsidR="005D7DFB" w:rsidRPr="00650EE4">
        <w:rPr>
          <w:rFonts w:ascii="Times New Roman" w:hAnsi="Times New Roman"/>
          <w:color w:val="000000" w:themeColor="text1"/>
          <w:sz w:val="24"/>
          <w:szCs w:val="24"/>
          <w:lang w:val="lt-LT"/>
        </w:rPr>
        <w:t xml:space="preserve"> naudos</w:t>
      </w:r>
      <w:bookmarkEnd w:id="196"/>
    </w:p>
    <w:p w14:paraId="609B132E" w14:textId="7DB10466" w:rsidR="00CE7DD6" w:rsidRPr="00650EE4" w:rsidRDefault="00CE7DD6" w:rsidP="00EE4D5D">
      <w:pPr>
        <w:spacing w:after="120"/>
        <w:jc w:val="both"/>
        <w:rPr>
          <w:rFonts w:ascii="Times New Roman" w:eastAsia="Times New Roman" w:hAnsi="Times New Roman"/>
          <w:color w:val="auto"/>
          <w:szCs w:val="22"/>
        </w:rPr>
      </w:pPr>
      <w:r w:rsidRPr="00650EE4">
        <w:rPr>
          <w:rFonts w:ascii="Times New Roman" w:eastAsia="Times New Roman" w:hAnsi="Times New Roman"/>
          <w:color w:val="auto"/>
          <w:szCs w:val="22"/>
        </w:rPr>
        <w:t xml:space="preserve">Papildomai prie aukščiau aprašytų apskaičiuotų naudų egzistuoja kitos, neapskaičiuojamos, naudos, kurias sudėtinga įvertinti dėl jų pobūdžio ar duomenų trūkumo. Toliau pateikiama </w:t>
      </w:r>
      <w:r w:rsidR="00AE772E" w:rsidRPr="00650EE4">
        <w:rPr>
          <w:rFonts w:ascii="Times New Roman" w:eastAsia="Times New Roman" w:hAnsi="Times New Roman"/>
          <w:color w:val="auto"/>
          <w:szCs w:val="22"/>
        </w:rPr>
        <w:t xml:space="preserve">šių </w:t>
      </w:r>
      <w:r w:rsidRPr="00650EE4">
        <w:rPr>
          <w:rFonts w:ascii="Times New Roman" w:eastAsia="Times New Roman" w:hAnsi="Times New Roman"/>
          <w:color w:val="auto"/>
          <w:szCs w:val="22"/>
        </w:rPr>
        <w:t>reikšmingiausių platesnio masto naudų apžvalga</w:t>
      </w:r>
      <w:r w:rsidR="00EE4D5D" w:rsidRPr="00650EE4">
        <w:rPr>
          <w:rFonts w:ascii="Times New Roman" w:eastAsia="Times New Roman" w:hAnsi="Times New Roman"/>
          <w:color w:val="auto"/>
          <w:szCs w:val="22"/>
        </w:rPr>
        <w:t>:</w:t>
      </w:r>
    </w:p>
    <w:p w14:paraId="383BA999" w14:textId="3DFC9984"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energetinė nepriklausomybė</w:t>
      </w:r>
      <w:r w:rsidR="00CB3822" w:rsidRPr="00650EE4">
        <w:rPr>
          <w:rFonts w:ascii="Times New Roman" w:hAnsi="Times New Roman"/>
          <w:color w:val="auto"/>
          <w:szCs w:val="22"/>
          <w:lang w:val="lt-LT"/>
        </w:rPr>
        <w:t>;</w:t>
      </w:r>
    </w:p>
    <w:p w14:paraId="63E61CE9" w14:textId="1E9A2A22"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esamų gamybos pajėgumų panaudojimas</w:t>
      </w:r>
      <w:r w:rsidR="00CB3822" w:rsidRPr="00650EE4">
        <w:rPr>
          <w:rFonts w:ascii="Times New Roman" w:hAnsi="Times New Roman"/>
          <w:color w:val="auto"/>
          <w:szCs w:val="22"/>
          <w:lang w:val="lt-LT"/>
        </w:rPr>
        <w:t>;</w:t>
      </w:r>
    </w:p>
    <w:p w14:paraId="0DEFF7AE" w14:textId="1B4F1147"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pastatų tarnavimo laikotarpio padidėjimas</w:t>
      </w:r>
      <w:r w:rsidR="00CB3822" w:rsidRPr="00650EE4">
        <w:rPr>
          <w:rFonts w:ascii="Times New Roman" w:hAnsi="Times New Roman"/>
          <w:color w:val="auto"/>
          <w:szCs w:val="22"/>
          <w:lang w:val="lt-LT"/>
        </w:rPr>
        <w:t>;</w:t>
      </w:r>
    </w:p>
    <w:p w14:paraId="49FD8A4E" w14:textId="435689BD"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subsidijų poreikio mažėjimas susijusiuose sektoriuose</w:t>
      </w:r>
      <w:r w:rsidR="00CB3822" w:rsidRPr="00650EE4">
        <w:rPr>
          <w:rFonts w:ascii="Times New Roman" w:hAnsi="Times New Roman"/>
          <w:color w:val="auto"/>
          <w:szCs w:val="22"/>
          <w:lang w:val="lt-LT"/>
        </w:rPr>
        <w:t>;</w:t>
      </w:r>
    </w:p>
    <w:p w14:paraId="1EAF9FBD" w14:textId="69EEF34C" w:rsidR="00CE7DD6" w:rsidRPr="00650EE4" w:rsidRDefault="00CE7DD6" w:rsidP="00BD4925">
      <w:pPr>
        <w:pStyle w:val="ListParagraph"/>
        <w:numPr>
          <w:ilvl w:val="0"/>
          <w:numId w:val="42"/>
        </w:numPr>
        <w:jc w:val="both"/>
        <w:rPr>
          <w:rFonts w:ascii="Times New Roman" w:hAnsi="Times New Roman"/>
          <w:color w:val="auto"/>
          <w:szCs w:val="22"/>
          <w:lang w:val="lt-LT"/>
        </w:rPr>
      </w:pPr>
      <w:r w:rsidRPr="00650EE4">
        <w:rPr>
          <w:rFonts w:ascii="Times New Roman" w:hAnsi="Times New Roman"/>
          <w:color w:val="auto"/>
          <w:szCs w:val="22"/>
          <w:lang w:val="lt-LT"/>
        </w:rPr>
        <w:t>statybos ir statybinių medžiagų gamintojų sektoriaus stiprėjimas</w:t>
      </w:r>
      <w:r w:rsidR="00CB3822" w:rsidRPr="00650EE4">
        <w:rPr>
          <w:rFonts w:ascii="Times New Roman" w:hAnsi="Times New Roman"/>
          <w:color w:val="auto"/>
          <w:szCs w:val="22"/>
          <w:lang w:val="lt-LT"/>
        </w:rPr>
        <w:t>.</w:t>
      </w:r>
    </w:p>
    <w:p w14:paraId="528FE17D" w14:textId="77777777" w:rsidR="00CE7DD6" w:rsidRPr="00650EE4" w:rsidRDefault="00CE7DD6" w:rsidP="00CE7DD6">
      <w:pPr>
        <w:jc w:val="both"/>
        <w:rPr>
          <w:rFonts w:ascii="Times New Roman" w:hAnsi="Times New Roman"/>
          <w:color w:val="auto"/>
          <w:szCs w:val="22"/>
        </w:rPr>
      </w:pPr>
    </w:p>
    <w:p w14:paraId="74CA4B5A" w14:textId="6869574F"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Energetinė nepr</w:t>
      </w:r>
      <w:r w:rsidR="00D32AC8" w:rsidRPr="00650EE4">
        <w:rPr>
          <w:rFonts w:ascii="Times New Roman" w:hAnsi="Times New Roman"/>
          <w:b/>
          <w:bCs/>
          <w:color w:val="auto"/>
          <w:szCs w:val="22"/>
        </w:rPr>
        <w:t>i</w:t>
      </w:r>
      <w:r w:rsidRPr="00650EE4">
        <w:rPr>
          <w:rFonts w:ascii="Times New Roman" w:hAnsi="Times New Roman"/>
          <w:b/>
          <w:bCs/>
          <w:color w:val="auto"/>
          <w:szCs w:val="22"/>
        </w:rPr>
        <w:t>klausomybė</w:t>
      </w:r>
    </w:p>
    <w:p w14:paraId="0FB9BED3" w14:textId="1B8E113F"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Energetiškai efektyvūs pastatai </w:t>
      </w:r>
      <w:r w:rsidR="009C6CAC" w:rsidRPr="00650EE4">
        <w:rPr>
          <w:rFonts w:ascii="Times New Roman" w:hAnsi="Times New Roman"/>
          <w:color w:val="auto"/>
          <w:szCs w:val="22"/>
        </w:rPr>
        <w:t>reikšmingai</w:t>
      </w:r>
      <w:r w:rsidRPr="00650EE4">
        <w:rPr>
          <w:rFonts w:ascii="Times New Roman" w:hAnsi="Times New Roman"/>
          <w:color w:val="auto"/>
          <w:szCs w:val="22"/>
        </w:rPr>
        <w:t xml:space="preserve"> sumažina energijos poreikį, ypa</w:t>
      </w:r>
      <w:r w:rsidR="00AE1217" w:rsidRPr="00650EE4">
        <w:rPr>
          <w:rFonts w:ascii="Times New Roman" w:hAnsi="Times New Roman"/>
          <w:color w:val="auto"/>
          <w:szCs w:val="22"/>
        </w:rPr>
        <w:t>tingai</w:t>
      </w:r>
      <w:r w:rsidRPr="00650EE4">
        <w:rPr>
          <w:rFonts w:ascii="Times New Roman" w:hAnsi="Times New Roman"/>
          <w:color w:val="auto"/>
          <w:szCs w:val="22"/>
        </w:rPr>
        <w:t xml:space="preserve"> ekstremalių šalčių metu, kai priklausomybė nuo importuojamų energetinių išteklių</w:t>
      </w:r>
      <w:r w:rsidR="004A1300" w:rsidRPr="00650EE4">
        <w:rPr>
          <w:rFonts w:ascii="Times New Roman" w:hAnsi="Times New Roman"/>
          <w:color w:val="auto"/>
          <w:szCs w:val="22"/>
        </w:rPr>
        <w:t xml:space="preserve"> (Lietuvoje – </w:t>
      </w:r>
      <w:r w:rsidR="00A81B2E" w:rsidRPr="00650EE4">
        <w:rPr>
          <w:rFonts w:ascii="Times New Roman" w:hAnsi="Times New Roman"/>
          <w:color w:val="auto"/>
          <w:szCs w:val="22"/>
        </w:rPr>
        <w:t xml:space="preserve">gamtinių </w:t>
      </w:r>
      <w:r w:rsidR="004A1300" w:rsidRPr="00650EE4">
        <w:rPr>
          <w:rFonts w:ascii="Times New Roman" w:hAnsi="Times New Roman"/>
          <w:color w:val="auto"/>
          <w:szCs w:val="22"/>
        </w:rPr>
        <w:t>dujų)</w:t>
      </w:r>
      <w:r w:rsidRPr="00650EE4">
        <w:rPr>
          <w:rFonts w:ascii="Times New Roman" w:hAnsi="Times New Roman"/>
          <w:color w:val="auto"/>
          <w:szCs w:val="22"/>
        </w:rPr>
        <w:t xml:space="preserve"> yra didžiausia, o visuomenė </w:t>
      </w:r>
      <w:proofErr w:type="spellStart"/>
      <w:r w:rsidRPr="00650EE4">
        <w:rPr>
          <w:rFonts w:ascii="Times New Roman" w:hAnsi="Times New Roman"/>
          <w:color w:val="auto"/>
          <w:szCs w:val="22"/>
        </w:rPr>
        <w:t>pažeidžiamiausia</w:t>
      </w:r>
      <w:proofErr w:type="spellEnd"/>
      <w:r w:rsidRPr="00650EE4">
        <w:rPr>
          <w:rFonts w:ascii="Times New Roman" w:hAnsi="Times New Roman"/>
          <w:color w:val="auto"/>
          <w:szCs w:val="22"/>
        </w:rPr>
        <w:t xml:space="preserve">. </w:t>
      </w:r>
      <w:r w:rsidR="00AE1217" w:rsidRPr="00650EE4">
        <w:rPr>
          <w:rFonts w:ascii="Times New Roman" w:hAnsi="Times New Roman"/>
          <w:color w:val="auto"/>
          <w:szCs w:val="22"/>
        </w:rPr>
        <w:t>Papildomai</w:t>
      </w:r>
      <w:r w:rsidRPr="00650EE4">
        <w:rPr>
          <w:rFonts w:ascii="Times New Roman" w:hAnsi="Times New Roman"/>
          <w:color w:val="auto"/>
          <w:szCs w:val="22"/>
        </w:rPr>
        <w:t xml:space="preserve"> mažesnis importuojamų išteklių poreikis </w:t>
      </w:r>
      <w:r w:rsidR="00AE1217" w:rsidRPr="00650EE4">
        <w:rPr>
          <w:rFonts w:ascii="Times New Roman" w:hAnsi="Times New Roman"/>
          <w:color w:val="auto"/>
          <w:szCs w:val="22"/>
        </w:rPr>
        <w:t>yra vienas</w:t>
      </w:r>
      <w:r w:rsidRPr="00650EE4">
        <w:rPr>
          <w:rFonts w:ascii="Times New Roman" w:hAnsi="Times New Roman"/>
          <w:color w:val="auto"/>
          <w:szCs w:val="22"/>
        </w:rPr>
        <w:t xml:space="preserve"> faktorių prisidedančių prie spartesnio ekonomikos augimo</w:t>
      </w:r>
      <w:r w:rsidR="00AE1217" w:rsidRPr="00650EE4">
        <w:rPr>
          <w:rFonts w:ascii="Times New Roman" w:hAnsi="Times New Roman"/>
          <w:color w:val="auto"/>
          <w:szCs w:val="22"/>
        </w:rPr>
        <w:t>.</w:t>
      </w:r>
    </w:p>
    <w:p w14:paraId="63DA5355" w14:textId="77777777" w:rsidR="00CE7DD6" w:rsidRPr="00650EE4" w:rsidRDefault="00CE7DD6" w:rsidP="00CE7DD6">
      <w:pPr>
        <w:jc w:val="both"/>
        <w:rPr>
          <w:rFonts w:ascii="Times New Roman" w:hAnsi="Times New Roman"/>
          <w:color w:val="auto"/>
          <w:szCs w:val="22"/>
        </w:rPr>
      </w:pPr>
    </w:p>
    <w:p w14:paraId="49BBC3F0" w14:textId="225C994E"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Didesnė energetinė nepriklausomybė taip pat reiškia didesnį atsparumą išoriniams energetinių išteklių kainų ar pasiūlos </w:t>
      </w:r>
      <w:r w:rsidR="00770E5F" w:rsidRPr="00650EE4">
        <w:rPr>
          <w:rFonts w:ascii="Times New Roman" w:hAnsi="Times New Roman"/>
          <w:color w:val="auto"/>
          <w:szCs w:val="22"/>
        </w:rPr>
        <w:t>svyravimams</w:t>
      </w:r>
      <w:r w:rsidRPr="00650EE4">
        <w:rPr>
          <w:rFonts w:ascii="Times New Roman" w:hAnsi="Times New Roman"/>
          <w:color w:val="auto"/>
          <w:szCs w:val="22"/>
        </w:rPr>
        <w:t>, kuriuos lemia ekonominiai ar politiniai pasaulio įvykiai. Tokiu atveju ne tik užtikrinamas šalies ekonomikos stabilumas, bet ir šalies verslo ir visuomenės stiprumas nepaisant pasaulinių įvykių bei iškyla šalies konkurencinis pranašumas esant pokyčiams energijos išteklių rinkoje.</w:t>
      </w:r>
    </w:p>
    <w:p w14:paraId="4358A2C8" w14:textId="77777777" w:rsidR="00CE7DD6" w:rsidRPr="00650EE4" w:rsidRDefault="00CE7DD6" w:rsidP="00CE7DD6">
      <w:pPr>
        <w:jc w:val="both"/>
        <w:rPr>
          <w:rFonts w:ascii="Times New Roman" w:hAnsi="Times New Roman"/>
          <w:color w:val="auto"/>
          <w:szCs w:val="22"/>
        </w:rPr>
      </w:pPr>
    </w:p>
    <w:p w14:paraId="3A69AF45" w14:textId="14B79E02"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Mažesnės investicijos į gamybos pajėgumus</w:t>
      </w:r>
    </w:p>
    <w:p w14:paraId="0C2404D7" w14:textId="464655E8" w:rsidR="00C57AC0"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Energetiškai efektyviems pastatams reikia mažiau </w:t>
      </w:r>
      <w:r w:rsidR="005236C1" w:rsidRPr="00650EE4">
        <w:rPr>
          <w:rFonts w:ascii="Times New Roman" w:hAnsi="Times New Roman"/>
          <w:color w:val="auto"/>
          <w:szCs w:val="22"/>
        </w:rPr>
        <w:t xml:space="preserve">šiluminės </w:t>
      </w:r>
      <w:r w:rsidRPr="00650EE4">
        <w:rPr>
          <w:rFonts w:ascii="Times New Roman" w:hAnsi="Times New Roman"/>
          <w:color w:val="auto"/>
          <w:szCs w:val="22"/>
        </w:rPr>
        <w:t>energijos</w:t>
      </w:r>
      <w:r w:rsidR="005236C1" w:rsidRPr="00650EE4">
        <w:rPr>
          <w:rFonts w:ascii="Times New Roman" w:hAnsi="Times New Roman"/>
          <w:color w:val="auto"/>
          <w:szCs w:val="22"/>
        </w:rPr>
        <w:t xml:space="preserve"> pastatui šildyti</w:t>
      </w:r>
      <w:r w:rsidR="00914A61" w:rsidRPr="00650EE4">
        <w:rPr>
          <w:rFonts w:ascii="Times New Roman" w:hAnsi="Times New Roman"/>
          <w:color w:val="auto"/>
          <w:szCs w:val="22"/>
        </w:rPr>
        <w:t>. T</w:t>
      </w:r>
      <w:r w:rsidRPr="00650EE4">
        <w:rPr>
          <w:rFonts w:ascii="Times New Roman" w:hAnsi="Times New Roman"/>
          <w:color w:val="auto"/>
          <w:szCs w:val="22"/>
        </w:rPr>
        <w:t xml:space="preserve">ai reiškia, kad </w:t>
      </w:r>
      <w:r w:rsidR="00914A61" w:rsidRPr="00650EE4">
        <w:rPr>
          <w:rFonts w:ascii="Times New Roman" w:hAnsi="Times New Roman"/>
          <w:color w:val="auto"/>
          <w:szCs w:val="22"/>
        </w:rPr>
        <w:t xml:space="preserve">miestuose </w:t>
      </w:r>
      <w:r w:rsidRPr="00650EE4">
        <w:rPr>
          <w:rFonts w:ascii="Times New Roman" w:hAnsi="Times New Roman"/>
          <w:color w:val="auto"/>
          <w:szCs w:val="22"/>
        </w:rPr>
        <w:t xml:space="preserve">net ir didėjant pastatų statymo tankumui, dėl efektyvesnio vartojimo nėra poreikio didinti energetinių išteklių </w:t>
      </w:r>
      <w:r w:rsidR="00914A61" w:rsidRPr="00650EE4">
        <w:rPr>
          <w:rFonts w:ascii="Times New Roman" w:hAnsi="Times New Roman"/>
          <w:color w:val="auto"/>
          <w:szCs w:val="22"/>
        </w:rPr>
        <w:t>(</w:t>
      </w:r>
      <w:r w:rsidR="00171034" w:rsidRPr="00650EE4">
        <w:rPr>
          <w:rFonts w:ascii="Times New Roman" w:hAnsi="Times New Roman"/>
          <w:color w:val="auto"/>
          <w:szCs w:val="22"/>
        </w:rPr>
        <w:t xml:space="preserve">gamtinių </w:t>
      </w:r>
      <w:r w:rsidR="00914A61" w:rsidRPr="00650EE4">
        <w:rPr>
          <w:rFonts w:ascii="Times New Roman" w:hAnsi="Times New Roman"/>
          <w:color w:val="auto"/>
          <w:szCs w:val="22"/>
        </w:rPr>
        <w:t>dujų, CŠT ar elektros)</w:t>
      </w:r>
      <w:r w:rsidR="00C57AC0" w:rsidRPr="00650EE4">
        <w:rPr>
          <w:rFonts w:ascii="Times New Roman" w:hAnsi="Times New Roman"/>
          <w:color w:val="auto"/>
          <w:szCs w:val="22"/>
        </w:rPr>
        <w:t xml:space="preserve"> </w:t>
      </w:r>
      <w:r w:rsidR="00914A61" w:rsidRPr="00650EE4">
        <w:rPr>
          <w:rFonts w:ascii="Times New Roman" w:hAnsi="Times New Roman"/>
          <w:color w:val="auto"/>
          <w:szCs w:val="22"/>
        </w:rPr>
        <w:t>gamybos ir tiekimo</w:t>
      </w:r>
      <w:r w:rsidRPr="00650EE4">
        <w:rPr>
          <w:rFonts w:ascii="Times New Roman" w:hAnsi="Times New Roman"/>
          <w:color w:val="auto"/>
          <w:szCs w:val="22"/>
        </w:rPr>
        <w:t xml:space="preserve"> pajėgumų. </w:t>
      </w:r>
    </w:p>
    <w:p w14:paraId="1AE8AB44" w14:textId="4FBE5C51" w:rsidR="00C57AC0" w:rsidRPr="00650EE4" w:rsidRDefault="00C57AC0" w:rsidP="00CE7DD6">
      <w:pPr>
        <w:jc w:val="both"/>
        <w:rPr>
          <w:rFonts w:ascii="Times New Roman" w:hAnsi="Times New Roman"/>
          <w:color w:val="auto"/>
          <w:szCs w:val="22"/>
        </w:rPr>
      </w:pPr>
    </w:p>
    <w:p w14:paraId="0375B107" w14:textId="6A3EF955" w:rsidR="00CE7DD6" w:rsidRPr="00650EE4" w:rsidRDefault="00C57AC0" w:rsidP="00CE7DD6">
      <w:pPr>
        <w:jc w:val="both"/>
        <w:rPr>
          <w:rFonts w:ascii="Times New Roman" w:hAnsi="Times New Roman"/>
          <w:color w:val="auto"/>
          <w:szCs w:val="22"/>
        </w:rPr>
      </w:pPr>
      <w:r w:rsidRPr="00650EE4">
        <w:rPr>
          <w:rFonts w:ascii="Times New Roman" w:hAnsi="Times New Roman"/>
          <w:color w:val="auto"/>
          <w:szCs w:val="22"/>
        </w:rPr>
        <w:t>Papildomos naudos gali būti pasiektos įgyvendinant pa</w:t>
      </w:r>
      <w:r w:rsidR="00172FE8" w:rsidRPr="00650EE4">
        <w:rPr>
          <w:rFonts w:ascii="Times New Roman" w:hAnsi="Times New Roman"/>
          <w:color w:val="auto"/>
          <w:szCs w:val="22"/>
        </w:rPr>
        <w:t>s</w:t>
      </w:r>
      <w:r w:rsidRPr="00650EE4">
        <w:rPr>
          <w:rFonts w:ascii="Times New Roman" w:hAnsi="Times New Roman"/>
          <w:color w:val="auto"/>
          <w:szCs w:val="22"/>
        </w:rPr>
        <w:t xml:space="preserve">tatų renovaciją kvartalais ir kartu atnaujinant energijos tiekimo infrastruktūrą. Pvz., </w:t>
      </w:r>
      <w:r w:rsidR="00CE7DD6" w:rsidRPr="00650EE4">
        <w:rPr>
          <w:rFonts w:ascii="Times New Roman" w:hAnsi="Times New Roman"/>
          <w:color w:val="auto"/>
          <w:szCs w:val="22"/>
        </w:rPr>
        <w:t>atnaujinant šilumos paskirstym</w:t>
      </w:r>
      <w:r w:rsidR="00172FE8" w:rsidRPr="00650EE4">
        <w:rPr>
          <w:rFonts w:ascii="Times New Roman" w:hAnsi="Times New Roman"/>
          <w:color w:val="auto"/>
          <w:szCs w:val="22"/>
        </w:rPr>
        <w:t>ą</w:t>
      </w:r>
      <w:r w:rsidR="00CE7DD6" w:rsidRPr="00650EE4">
        <w:rPr>
          <w:rFonts w:ascii="Times New Roman" w:hAnsi="Times New Roman"/>
          <w:color w:val="auto"/>
          <w:szCs w:val="22"/>
        </w:rPr>
        <w:t xml:space="preserve"> CŠT kvartale</w:t>
      </w:r>
      <w:r w:rsidR="00172FE8" w:rsidRPr="00650EE4">
        <w:rPr>
          <w:rFonts w:ascii="Times New Roman" w:hAnsi="Times New Roman"/>
          <w:color w:val="auto"/>
          <w:szCs w:val="22"/>
        </w:rPr>
        <w:t>.</w:t>
      </w:r>
    </w:p>
    <w:p w14:paraId="55150D8B" w14:textId="77777777" w:rsidR="00CE7DD6" w:rsidRPr="00650EE4" w:rsidRDefault="00CE7DD6" w:rsidP="00CE7DD6">
      <w:pPr>
        <w:jc w:val="both"/>
        <w:rPr>
          <w:rFonts w:ascii="Times New Roman" w:hAnsi="Times New Roman"/>
          <w:color w:val="auto"/>
          <w:szCs w:val="22"/>
        </w:rPr>
      </w:pPr>
    </w:p>
    <w:p w14:paraId="23B56996" w14:textId="77777777"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lastRenderedPageBreak/>
        <w:t>Pastatų tarnavimo laikotarpio padidėjimas</w:t>
      </w:r>
    </w:p>
    <w:p w14:paraId="01A05C0A" w14:textId="05DE1C85"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Renovacija ne tik sumažina pastatų energetines sąnaudas, bet ir apsaugo pastato konstrukcijas nuo atmosferos poveikio</w:t>
      </w:r>
      <w:r w:rsidR="000D259B" w:rsidRPr="00650EE4">
        <w:rPr>
          <w:rFonts w:ascii="Times New Roman" w:hAnsi="Times New Roman"/>
          <w:color w:val="auto"/>
          <w:szCs w:val="22"/>
        </w:rPr>
        <w:t xml:space="preserve">, </w:t>
      </w:r>
      <w:r w:rsidRPr="00650EE4">
        <w:rPr>
          <w:rFonts w:ascii="Times New Roman" w:hAnsi="Times New Roman"/>
          <w:color w:val="auto"/>
          <w:szCs w:val="22"/>
        </w:rPr>
        <w:t xml:space="preserve">taip prailginant jų tarnavimo trukmę. Taip pat renovacijos metu dažnai keičiamas stogas, langai, elektros instaliacija, vamzdynai ir šilumos punktas. Visos šios pastatų inžinerinės sistemos dažnu atveju būna </w:t>
      </w:r>
      <w:r w:rsidR="000D259B" w:rsidRPr="00650EE4">
        <w:rPr>
          <w:rFonts w:ascii="Times New Roman" w:hAnsi="Times New Roman"/>
          <w:color w:val="auto"/>
          <w:szCs w:val="22"/>
        </w:rPr>
        <w:t>susidėvėjusios</w:t>
      </w:r>
      <w:r w:rsidRPr="00650EE4">
        <w:rPr>
          <w:rFonts w:ascii="Times New Roman" w:hAnsi="Times New Roman"/>
          <w:color w:val="auto"/>
          <w:szCs w:val="22"/>
        </w:rPr>
        <w:t xml:space="preserve"> ir reikalauja nuolatinių išlaidų remontui, arba kelia pavojų žmonių sveikatai ir turtui (</w:t>
      </w:r>
      <w:r w:rsidR="000D259B" w:rsidRPr="00650EE4">
        <w:rPr>
          <w:rFonts w:ascii="Times New Roman" w:hAnsi="Times New Roman"/>
          <w:color w:val="auto"/>
          <w:szCs w:val="22"/>
        </w:rPr>
        <w:t xml:space="preserve">pvz., </w:t>
      </w:r>
      <w:r w:rsidRPr="00650EE4">
        <w:rPr>
          <w:rFonts w:ascii="Times New Roman" w:hAnsi="Times New Roman"/>
          <w:color w:val="auto"/>
          <w:szCs w:val="22"/>
        </w:rPr>
        <w:t>trūkus vandentiekio vamzdžiui, leidžiant stogui, esant nestabiliam elektros tiekimui ar susidėvėjusiai laidų izoliacijai nuo kurių gali kilti gaisras, trupantis fasadas ar balkonai gali sužeisti žmones ar apgadinti automobilius).</w:t>
      </w:r>
    </w:p>
    <w:p w14:paraId="7FF7961D" w14:textId="77777777" w:rsidR="00CE7DD6" w:rsidRPr="00650EE4" w:rsidRDefault="00CE7DD6" w:rsidP="00CE7DD6">
      <w:pPr>
        <w:jc w:val="both"/>
        <w:rPr>
          <w:rFonts w:ascii="Times New Roman" w:hAnsi="Times New Roman"/>
          <w:color w:val="auto"/>
          <w:szCs w:val="22"/>
        </w:rPr>
      </w:pPr>
    </w:p>
    <w:p w14:paraId="5846D65D" w14:textId="77777777" w:rsidR="00CE7DD6" w:rsidRPr="00650EE4" w:rsidRDefault="00CE7DD6" w:rsidP="00CE7DD6">
      <w:pPr>
        <w:spacing w:after="120"/>
        <w:jc w:val="both"/>
        <w:rPr>
          <w:rFonts w:ascii="Times New Roman" w:hAnsi="Times New Roman"/>
          <w:b/>
          <w:bCs/>
          <w:color w:val="auto"/>
          <w:szCs w:val="22"/>
        </w:rPr>
      </w:pPr>
      <w:r w:rsidRPr="00650EE4">
        <w:rPr>
          <w:rFonts w:ascii="Times New Roman" w:hAnsi="Times New Roman"/>
          <w:b/>
          <w:bCs/>
          <w:color w:val="auto"/>
          <w:szCs w:val="22"/>
        </w:rPr>
        <w:t xml:space="preserve">Mažesnis subsidijų poreikis </w:t>
      </w:r>
    </w:p>
    <w:p w14:paraId="309A8E85" w14:textId="311274AC"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Šiuo metu </w:t>
      </w:r>
      <w:r w:rsidR="005134BA" w:rsidRPr="00650EE4">
        <w:rPr>
          <w:rFonts w:ascii="Times New Roman" w:hAnsi="Times New Roman"/>
          <w:color w:val="auto"/>
          <w:szCs w:val="22"/>
        </w:rPr>
        <w:t xml:space="preserve">tiek Lietuvoje, tiek kitose </w:t>
      </w:r>
      <w:r w:rsidRPr="00650EE4">
        <w:rPr>
          <w:rFonts w:ascii="Times New Roman" w:hAnsi="Times New Roman"/>
          <w:color w:val="auto"/>
          <w:szCs w:val="22"/>
        </w:rPr>
        <w:t xml:space="preserve">Europos </w:t>
      </w:r>
      <w:r w:rsidR="005134BA" w:rsidRPr="00650EE4">
        <w:rPr>
          <w:rFonts w:ascii="Times New Roman" w:hAnsi="Times New Roman"/>
          <w:color w:val="auto"/>
          <w:szCs w:val="22"/>
        </w:rPr>
        <w:t xml:space="preserve">sąjungos </w:t>
      </w:r>
      <w:r w:rsidRPr="00650EE4">
        <w:rPr>
          <w:rFonts w:ascii="Times New Roman" w:hAnsi="Times New Roman"/>
          <w:color w:val="auto"/>
          <w:szCs w:val="22"/>
        </w:rPr>
        <w:t>valstybės</w:t>
      </w:r>
      <w:r w:rsidR="005134BA" w:rsidRPr="00650EE4">
        <w:rPr>
          <w:rFonts w:ascii="Times New Roman" w:hAnsi="Times New Roman"/>
          <w:color w:val="auto"/>
          <w:szCs w:val="22"/>
        </w:rPr>
        <w:t>e</w:t>
      </w:r>
      <w:r w:rsidRPr="00650EE4">
        <w:rPr>
          <w:rFonts w:ascii="Times New Roman" w:hAnsi="Times New Roman"/>
          <w:color w:val="auto"/>
          <w:szCs w:val="22"/>
        </w:rPr>
        <w:t xml:space="preserve"> subsidijuoja</w:t>
      </w:r>
      <w:r w:rsidR="005134BA" w:rsidRPr="00650EE4">
        <w:rPr>
          <w:rFonts w:ascii="Times New Roman" w:hAnsi="Times New Roman"/>
          <w:color w:val="auto"/>
          <w:szCs w:val="22"/>
        </w:rPr>
        <w:t>mas</w:t>
      </w:r>
      <w:r w:rsidRPr="00650EE4">
        <w:rPr>
          <w:rFonts w:ascii="Times New Roman" w:hAnsi="Times New Roman"/>
          <w:color w:val="auto"/>
          <w:szCs w:val="22"/>
        </w:rPr>
        <w:t xml:space="preserve"> tiek iškastinio kuro vartojim</w:t>
      </w:r>
      <w:r w:rsidR="00424A35" w:rsidRPr="00650EE4">
        <w:rPr>
          <w:rFonts w:ascii="Times New Roman" w:hAnsi="Times New Roman"/>
          <w:color w:val="auto"/>
          <w:szCs w:val="22"/>
        </w:rPr>
        <w:t>as</w:t>
      </w:r>
      <w:r w:rsidRPr="00650EE4">
        <w:rPr>
          <w:rFonts w:ascii="Times New Roman" w:hAnsi="Times New Roman"/>
          <w:color w:val="auto"/>
          <w:szCs w:val="22"/>
        </w:rPr>
        <w:t xml:space="preserve">, tiek ir </w:t>
      </w:r>
      <w:r w:rsidR="00424A35" w:rsidRPr="00650EE4">
        <w:rPr>
          <w:rFonts w:ascii="Times New Roman" w:hAnsi="Times New Roman"/>
          <w:color w:val="auto"/>
          <w:szCs w:val="22"/>
        </w:rPr>
        <w:t>AEI</w:t>
      </w:r>
      <w:r w:rsidRPr="00650EE4">
        <w:rPr>
          <w:rFonts w:ascii="Times New Roman" w:hAnsi="Times New Roman"/>
          <w:color w:val="auto"/>
          <w:szCs w:val="22"/>
        </w:rPr>
        <w:t xml:space="preserve"> technologijų diegim</w:t>
      </w:r>
      <w:r w:rsidR="00424A35" w:rsidRPr="00650EE4">
        <w:rPr>
          <w:rFonts w:ascii="Times New Roman" w:hAnsi="Times New Roman"/>
          <w:color w:val="auto"/>
          <w:szCs w:val="22"/>
        </w:rPr>
        <w:t>as</w:t>
      </w:r>
      <w:r w:rsidRPr="00650EE4">
        <w:rPr>
          <w:rFonts w:ascii="Times New Roman" w:hAnsi="Times New Roman"/>
          <w:color w:val="auto"/>
          <w:szCs w:val="22"/>
        </w:rPr>
        <w:t xml:space="preserve">. Sumažinus energijos suvartojimą efektyviai atnaujinant pastatus, gali būti sumažintos abi subsidijų rūšys. Tai turės teigiamą poveikį valstybės finansams. Šios lėšos galėtų būti </w:t>
      </w:r>
      <w:r w:rsidR="00424A35" w:rsidRPr="00650EE4">
        <w:rPr>
          <w:rFonts w:ascii="Times New Roman" w:hAnsi="Times New Roman"/>
          <w:color w:val="auto"/>
          <w:szCs w:val="22"/>
        </w:rPr>
        <w:t>nukreiptos į kitas sritis pvz.,</w:t>
      </w:r>
      <w:r w:rsidRPr="00650EE4">
        <w:rPr>
          <w:rFonts w:ascii="Times New Roman" w:hAnsi="Times New Roman"/>
          <w:color w:val="auto"/>
          <w:szCs w:val="22"/>
        </w:rPr>
        <w:t xml:space="preserve"> investicijoms į mažai anglies dioksido į aplinką išskiriančių technologijų, įskaitant energijos vartojimo efektyvumą, inovacijoms skatinti, kad ateityje būtų pasiekti griežtesni žmogaus įtakos klimato kaitai poveikio mažinimo tikslai.</w:t>
      </w:r>
    </w:p>
    <w:p w14:paraId="345A4AE6" w14:textId="77777777" w:rsidR="00CE7DD6" w:rsidRPr="00650EE4" w:rsidRDefault="00CE7DD6" w:rsidP="00CE7DD6">
      <w:pPr>
        <w:jc w:val="both"/>
        <w:rPr>
          <w:rFonts w:ascii="Times New Roman" w:hAnsi="Times New Roman"/>
          <w:color w:val="auto"/>
          <w:szCs w:val="22"/>
        </w:rPr>
      </w:pPr>
    </w:p>
    <w:p w14:paraId="06F83772" w14:textId="2D440E76" w:rsidR="00CE7DD6" w:rsidRPr="00650EE4" w:rsidRDefault="00AA522F" w:rsidP="00CE7DD6">
      <w:pPr>
        <w:spacing w:after="120"/>
        <w:jc w:val="both"/>
        <w:rPr>
          <w:rFonts w:ascii="Times New Roman" w:hAnsi="Times New Roman"/>
          <w:b/>
          <w:bCs/>
          <w:color w:val="auto"/>
          <w:szCs w:val="22"/>
        </w:rPr>
      </w:pPr>
      <w:r w:rsidRPr="00650EE4">
        <w:rPr>
          <w:rFonts w:ascii="Times New Roman" w:hAnsi="Times New Roman"/>
          <w:b/>
          <w:bCs/>
          <w:color w:val="auto"/>
          <w:szCs w:val="22"/>
        </w:rPr>
        <w:t>Kitų sektorių ir naujų ver</w:t>
      </w:r>
      <w:r w:rsidR="004B43A9" w:rsidRPr="00650EE4">
        <w:rPr>
          <w:rFonts w:ascii="Times New Roman" w:hAnsi="Times New Roman"/>
          <w:b/>
          <w:bCs/>
          <w:color w:val="auto"/>
          <w:szCs w:val="22"/>
        </w:rPr>
        <w:t>s</w:t>
      </w:r>
      <w:r w:rsidRPr="00650EE4">
        <w:rPr>
          <w:rFonts w:ascii="Times New Roman" w:hAnsi="Times New Roman"/>
          <w:b/>
          <w:bCs/>
          <w:color w:val="auto"/>
          <w:szCs w:val="22"/>
        </w:rPr>
        <w:t>lų augimas</w:t>
      </w:r>
      <w:r w:rsidR="00CE7DD6" w:rsidRPr="00650EE4">
        <w:rPr>
          <w:rFonts w:ascii="Times New Roman" w:hAnsi="Times New Roman"/>
          <w:b/>
          <w:bCs/>
          <w:color w:val="auto"/>
          <w:szCs w:val="22"/>
        </w:rPr>
        <w:t xml:space="preserve"> </w:t>
      </w:r>
    </w:p>
    <w:p w14:paraId="301039AB" w14:textId="622F87A9" w:rsidR="00AA522F" w:rsidRPr="00650EE4" w:rsidRDefault="00AA522F" w:rsidP="00CE7DD6">
      <w:pPr>
        <w:jc w:val="both"/>
        <w:rPr>
          <w:rFonts w:ascii="Times New Roman" w:hAnsi="Times New Roman"/>
          <w:color w:val="auto"/>
          <w:szCs w:val="22"/>
        </w:rPr>
      </w:pPr>
      <w:r w:rsidRPr="00650EE4">
        <w:rPr>
          <w:rFonts w:ascii="Times New Roman" w:hAnsi="Times New Roman"/>
          <w:color w:val="auto"/>
          <w:szCs w:val="22"/>
        </w:rPr>
        <w:t xml:space="preserve">Reikšmingas investicijų ir kitų išteklių poreikio padidėjimas dėl renovacijos gali tapti postūmiu kurtis arba augti kitų sektorių verslams. Tokios postūmio pavyzdys Lietuvoje – CŠT šiluminės energijos gamybos konversija iš gamtinių dujų į biokurą. </w:t>
      </w:r>
      <w:r w:rsidR="00CE7DD6" w:rsidRPr="00650EE4">
        <w:rPr>
          <w:rFonts w:ascii="Times New Roman" w:hAnsi="Times New Roman"/>
          <w:color w:val="auto"/>
          <w:szCs w:val="22"/>
        </w:rPr>
        <w:t>2007 m. pradėjus perėjimą nuo</w:t>
      </w:r>
      <w:r w:rsidR="00194832" w:rsidRPr="00650EE4">
        <w:rPr>
          <w:rFonts w:ascii="Times New Roman" w:hAnsi="Times New Roman"/>
          <w:color w:val="auto"/>
          <w:szCs w:val="22"/>
        </w:rPr>
        <w:t xml:space="preserve"> gamtinių</w:t>
      </w:r>
      <w:r w:rsidR="00CE7DD6" w:rsidRPr="00650EE4">
        <w:rPr>
          <w:rFonts w:ascii="Times New Roman" w:hAnsi="Times New Roman"/>
          <w:color w:val="auto"/>
          <w:szCs w:val="22"/>
        </w:rPr>
        <w:t xml:space="preserve"> dujų, kaip pagrindinio kuro,</w:t>
      </w:r>
      <w:r w:rsidRPr="00650EE4">
        <w:rPr>
          <w:rFonts w:ascii="Times New Roman" w:hAnsi="Times New Roman"/>
          <w:color w:val="auto"/>
          <w:szCs w:val="22"/>
        </w:rPr>
        <w:t xml:space="preserve"> </w:t>
      </w:r>
      <w:r w:rsidR="00CE7DD6" w:rsidRPr="00650EE4">
        <w:rPr>
          <w:rFonts w:ascii="Times New Roman" w:hAnsi="Times New Roman"/>
          <w:color w:val="auto"/>
          <w:szCs w:val="22"/>
        </w:rPr>
        <w:t xml:space="preserve">nebuvo stiprių įmonių užsiimančių biokuro katilų gamyba, o vietinio kuro panaudojimas CŠT siekė 16 proc. Tačiau 2019 m. pasiekus </w:t>
      </w:r>
      <w:r w:rsidR="004B43A9" w:rsidRPr="00650EE4">
        <w:rPr>
          <w:rFonts w:ascii="Times New Roman" w:hAnsi="Times New Roman"/>
          <w:color w:val="auto"/>
          <w:szCs w:val="22"/>
        </w:rPr>
        <w:t xml:space="preserve">67 proc. </w:t>
      </w:r>
      <w:r w:rsidR="00CE7DD6" w:rsidRPr="00650EE4">
        <w:rPr>
          <w:rFonts w:ascii="Times New Roman" w:hAnsi="Times New Roman"/>
          <w:color w:val="auto"/>
          <w:szCs w:val="22"/>
        </w:rPr>
        <w:t xml:space="preserve">biokuro panaudojimo CŠT  lygį, susikūrė </w:t>
      </w:r>
      <w:r w:rsidRPr="00650EE4">
        <w:rPr>
          <w:rFonts w:ascii="Times New Roman" w:hAnsi="Times New Roman"/>
          <w:color w:val="auto"/>
          <w:szCs w:val="22"/>
        </w:rPr>
        <w:t xml:space="preserve">stiprios </w:t>
      </w:r>
      <w:r w:rsidR="00CE7DD6" w:rsidRPr="00650EE4">
        <w:rPr>
          <w:rFonts w:ascii="Times New Roman" w:hAnsi="Times New Roman"/>
          <w:color w:val="auto"/>
          <w:szCs w:val="22"/>
        </w:rPr>
        <w:t xml:space="preserve">biokuro katilų gamintojų </w:t>
      </w:r>
      <w:r w:rsidRPr="00650EE4">
        <w:rPr>
          <w:rFonts w:ascii="Times New Roman" w:hAnsi="Times New Roman"/>
          <w:color w:val="auto"/>
          <w:szCs w:val="22"/>
        </w:rPr>
        <w:t>ir biokuro tiekėjų grupės</w:t>
      </w:r>
      <w:r w:rsidR="004B43A9" w:rsidRPr="00650EE4">
        <w:rPr>
          <w:rFonts w:ascii="Times New Roman" w:hAnsi="Times New Roman"/>
          <w:color w:val="auto"/>
          <w:szCs w:val="22"/>
        </w:rPr>
        <w:t>. Biokuro katilų gamintojai</w:t>
      </w:r>
      <w:r w:rsidRPr="00650EE4">
        <w:rPr>
          <w:rFonts w:ascii="Times New Roman" w:hAnsi="Times New Roman"/>
          <w:color w:val="auto"/>
          <w:szCs w:val="22"/>
        </w:rPr>
        <w:t xml:space="preserve"> </w:t>
      </w:r>
      <w:r w:rsidR="004B43A9" w:rsidRPr="00650EE4">
        <w:rPr>
          <w:rFonts w:ascii="Times New Roman" w:hAnsi="Times New Roman"/>
          <w:color w:val="auto"/>
          <w:szCs w:val="22"/>
        </w:rPr>
        <w:t>teikia</w:t>
      </w:r>
      <w:r w:rsidR="00CE7DD6" w:rsidRPr="00650EE4">
        <w:rPr>
          <w:rFonts w:ascii="Times New Roman" w:hAnsi="Times New Roman"/>
          <w:color w:val="auto"/>
          <w:szCs w:val="22"/>
        </w:rPr>
        <w:t xml:space="preserve"> sprendimus tiek CŠT, tiek individualių pastatų šildymui</w:t>
      </w:r>
      <w:r w:rsidR="004B43A9" w:rsidRPr="00650EE4">
        <w:rPr>
          <w:rFonts w:ascii="Times New Roman" w:hAnsi="Times New Roman"/>
          <w:color w:val="auto"/>
          <w:szCs w:val="22"/>
        </w:rPr>
        <w:t>. Taip pat abiejų sektorių įmonės eksportuoja savo paslaugas į užsienį.</w:t>
      </w:r>
      <w:r w:rsidR="00CE7DD6" w:rsidRPr="00650EE4">
        <w:rPr>
          <w:rFonts w:ascii="Times New Roman" w:hAnsi="Times New Roman"/>
          <w:color w:val="auto"/>
          <w:szCs w:val="22"/>
        </w:rPr>
        <w:t xml:space="preserve"> </w:t>
      </w:r>
    </w:p>
    <w:p w14:paraId="68390FF9" w14:textId="77777777" w:rsidR="00AA522F" w:rsidRPr="00650EE4" w:rsidRDefault="00AA522F" w:rsidP="00CE7DD6">
      <w:pPr>
        <w:jc w:val="both"/>
        <w:rPr>
          <w:rFonts w:ascii="Times New Roman" w:hAnsi="Times New Roman"/>
          <w:color w:val="auto"/>
          <w:szCs w:val="22"/>
        </w:rPr>
      </w:pPr>
    </w:p>
    <w:p w14:paraId="7B73B460" w14:textId="1645A3F5" w:rsidR="00CE7DD6" w:rsidRPr="00650EE4" w:rsidRDefault="00CE7DD6" w:rsidP="00CE7DD6">
      <w:pPr>
        <w:jc w:val="both"/>
        <w:rPr>
          <w:rFonts w:ascii="Times New Roman" w:hAnsi="Times New Roman"/>
          <w:color w:val="auto"/>
          <w:szCs w:val="22"/>
        </w:rPr>
      </w:pPr>
      <w:r w:rsidRPr="00650EE4">
        <w:rPr>
          <w:rFonts w:ascii="Times New Roman" w:hAnsi="Times New Roman"/>
          <w:color w:val="auto"/>
          <w:szCs w:val="22"/>
        </w:rPr>
        <w:t xml:space="preserve">Su pastatų renovacija, Lietuvoje būtų galima siekti panašaus rezultato, sukuriant stiprias įmones siūlančias sprendinius ir paslaugas renovuojant pastatus. Vienas iš šių sprendinių galėtų būti skydinė renovavimo technologija, kai pagal tikslius pastato brėžinius skydai galėtų būti pagaminti Lietuvoje, kur darbo sąnaudos mažesnės, </w:t>
      </w:r>
      <w:r w:rsidR="009A5871" w:rsidRPr="00650EE4">
        <w:rPr>
          <w:rFonts w:ascii="Times New Roman" w:hAnsi="Times New Roman"/>
          <w:color w:val="auto"/>
          <w:szCs w:val="22"/>
        </w:rPr>
        <w:t>vėliau eksportuojant į užsienį</w:t>
      </w:r>
      <w:r w:rsidRPr="00650EE4">
        <w:rPr>
          <w:rFonts w:ascii="Times New Roman" w:hAnsi="Times New Roman"/>
          <w:color w:val="auto"/>
          <w:szCs w:val="22"/>
        </w:rPr>
        <w:t>.</w:t>
      </w:r>
    </w:p>
    <w:p w14:paraId="6AB20788" w14:textId="764A8A43" w:rsidR="00CE7DD6" w:rsidRPr="00650EE4" w:rsidRDefault="00CE7DD6" w:rsidP="00355821">
      <w:pPr>
        <w:rPr>
          <w:rFonts w:ascii="Times New Roman" w:hAnsi="Times New Roman"/>
          <w:color w:val="auto"/>
          <w:szCs w:val="22"/>
        </w:rPr>
      </w:pPr>
    </w:p>
    <w:p w14:paraId="49CD1CFD" w14:textId="4D661A8B" w:rsidR="00FA6D6D" w:rsidRPr="00650EE4" w:rsidRDefault="00FA6D6D" w:rsidP="00FA6D6D">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197" w:name="_Toc59107569"/>
      <w:r w:rsidRPr="00650EE4">
        <w:rPr>
          <w:rFonts w:ascii="Times New Roman" w:hAnsi="Times New Roman"/>
          <w:color w:val="auto"/>
          <w:sz w:val="24"/>
          <w:szCs w:val="24"/>
          <w:lang w:val="lt-LT"/>
        </w:rPr>
        <w:t>Esminiai skyriaus pastebėjimai</w:t>
      </w:r>
      <w:bookmarkEnd w:id="197"/>
    </w:p>
    <w:tbl>
      <w:tblPr>
        <w:tblW w:w="10161" w:type="dxa"/>
        <w:tblBorders>
          <w:left w:val="single" w:sz="36" w:space="0" w:color="EA0D2C"/>
        </w:tblBorders>
        <w:tblLayout w:type="fixed"/>
        <w:tblLook w:val="00A0" w:firstRow="1" w:lastRow="0" w:firstColumn="1" w:lastColumn="0" w:noHBand="0" w:noVBand="0"/>
      </w:tblPr>
      <w:tblGrid>
        <w:gridCol w:w="10161"/>
      </w:tblGrid>
      <w:tr w:rsidR="00FA6D6D" w:rsidRPr="00650EE4" w14:paraId="4993E6CD" w14:textId="77777777" w:rsidTr="00BC28B7">
        <w:tc>
          <w:tcPr>
            <w:tcW w:w="10161" w:type="dxa"/>
            <w:tcBorders>
              <w:left w:val="single" w:sz="36" w:space="0" w:color="002060"/>
            </w:tcBorders>
            <w:shd w:val="clear" w:color="auto" w:fill="F0F0F0"/>
          </w:tcPr>
          <w:p w14:paraId="626F74CC" w14:textId="41561E21" w:rsidR="00A46638" w:rsidRPr="00650EE4" w:rsidRDefault="00A46638"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 xml:space="preserve">Renovacijos strategijos tikslai iki 2050 m. </w:t>
            </w:r>
            <w:r w:rsidR="004A2969" w:rsidRPr="00650EE4">
              <w:rPr>
                <w:rFonts w:ascii="Times New Roman" w:hAnsi="Times New Roman"/>
                <w:szCs w:val="24"/>
                <w:lang w:val="lt-LT"/>
              </w:rPr>
              <w:t xml:space="preserve">siekia </w:t>
            </w:r>
            <w:r w:rsidRPr="00650EE4">
              <w:rPr>
                <w:rFonts w:ascii="Times New Roman" w:hAnsi="Times New Roman"/>
                <w:szCs w:val="24"/>
                <w:lang w:val="lt-LT"/>
              </w:rPr>
              <w:t>sumažinti metinius pastatų fondo rodiklius</w:t>
            </w:r>
            <w:r w:rsidR="00010161" w:rsidRPr="00650EE4">
              <w:rPr>
                <w:rFonts w:ascii="Times New Roman" w:hAnsi="Times New Roman"/>
                <w:szCs w:val="24"/>
                <w:lang w:val="lt-LT"/>
              </w:rPr>
              <w:t xml:space="preserve"> lyginant su 2020 metais</w:t>
            </w:r>
            <w:r w:rsidRPr="00650EE4">
              <w:rPr>
                <w:rFonts w:ascii="Times New Roman" w:hAnsi="Times New Roman"/>
                <w:szCs w:val="24"/>
                <w:lang w:val="lt-LT"/>
              </w:rPr>
              <w:t xml:space="preserve">: </w:t>
            </w:r>
          </w:p>
          <w:p w14:paraId="68E0ADFE" w14:textId="4B8EECD7"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sumažinti </w:t>
            </w:r>
            <w:r w:rsidR="00A46638" w:rsidRPr="00650EE4">
              <w:rPr>
                <w:rFonts w:ascii="Times New Roman" w:hAnsi="Times New Roman"/>
                <w:szCs w:val="24"/>
                <w:lang w:val="lt-LT"/>
              </w:rPr>
              <w:t>pirminės energijos vartojimą iki 1</w:t>
            </w:r>
            <w:r>
              <w:rPr>
                <w:rFonts w:ascii="Times New Roman" w:hAnsi="Times New Roman"/>
                <w:szCs w:val="24"/>
              </w:rPr>
              <w:t>6</w:t>
            </w:r>
            <w:r w:rsidR="00A46638" w:rsidRPr="00650EE4">
              <w:rPr>
                <w:rFonts w:ascii="Times New Roman" w:hAnsi="Times New Roman"/>
                <w:szCs w:val="24"/>
                <w:lang w:val="lt-LT"/>
              </w:rPr>
              <w:t>,</w:t>
            </w:r>
            <w:r>
              <w:rPr>
                <w:rFonts w:ascii="Times New Roman" w:hAnsi="Times New Roman"/>
                <w:szCs w:val="24"/>
                <w:lang w:val="lt-LT"/>
              </w:rPr>
              <w:t>2</w:t>
            </w:r>
            <w:r w:rsidR="00A46638" w:rsidRPr="00650EE4">
              <w:rPr>
                <w:rFonts w:ascii="Times New Roman" w:hAnsi="Times New Roman"/>
                <w:szCs w:val="24"/>
                <w:lang w:val="lt-LT"/>
              </w:rPr>
              <w:t xml:space="preserve"> </w:t>
            </w:r>
            <w:proofErr w:type="spellStart"/>
            <w:r w:rsidR="00A46638" w:rsidRPr="00650EE4">
              <w:rPr>
                <w:rFonts w:ascii="Times New Roman" w:hAnsi="Times New Roman"/>
                <w:szCs w:val="24"/>
                <w:lang w:val="lt-LT"/>
              </w:rPr>
              <w:t>TWh</w:t>
            </w:r>
            <w:proofErr w:type="spellEnd"/>
            <w:r w:rsidR="00A46638" w:rsidRPr="00650EE4">
              <w:rPr>
                <w:rFonts w:ascii="Times New Roman" w:hAnsi="Times New Roman"/>
                <w:szCs w:val="24"/>
                <w:lang w:val="lt-LT"/>
              </w:rPr>
              <w:t xml:space="preserve"> (</w:t>
            </w:r>
            <w:r w:rsidR="00694760" w:rsidRPr="00650EE4">
              <w:rPr>
                <w:rFonts w:ascii="Times New Roman" w:hAnsi="Times New Roman"/>
                <w:szCs w:val="24"/>
                <w:lang w:val="lt-LT"/>
              </w:rPr>
              <w:t>~</w:t>
            </w:r>
            <w:r>
              <w:rPr>
                <w:rFonts w:ascii="Times New Roman" w:hAnsi="Times New Roman"/>
                <w:szCs w:val="24"/>
                <w:lang w:val="lt-LT"/>
              </w:rPr>
              <w:t>6</w:t>
            </w:r>
            <w:r w:rsidR="00A46638" w:rsidRPr="00650EE4">
              <w:rPr>
                <w:rFonts w:ascii="Times New Roman" w:hAnsi="Times New Roman"/>
                <w:szCs w:val="24"/>
                <w:lang w:val="lt-LT"/>
              </w:rPr>
              <w:t>0 proc.);</w:t>
            </w:r>
          </w:p>
          <w:p w14:paraId="0E7FDB18" w14:textId="15AF186B"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atsisakyti </w:t>
            </w:r>
            <w:r w:rsidR="00A46638" w:rsidRPr="00650EE4">
              <w:rPr>
                <w:rFonts w:ascii="Times New Roman" w:hAnsi="Times New Roman"/>
                <w:szCs w:val="24"/>
                <w:lang w:val="lt-LT"/>
              </w:rPr>
              <w:t>pirminės energijos iš iškastinio kuro;</w:t>
            </w:r>
          </w:p>
          <w:p w14:paraId="5A04D7D2" w14:textId="6218793A" w:rsidR="00A46638" w:rsidRPr="00650EE4" w:rsidRDefault="00175A5A" w:rsidP="00BD4925">
            <w:pPr>
              <w:pStyle w:val="ListParagraph"/>
              <w:numPr>
                <w:ilvl w:val="1"/>
                <w:numId w:val="27"/>
              </w:numPr>
              <w:spacing w:before="120" w:after="120" w:line="240" w:lineRule="auto"/>
              <w:ind w:left="985"/>
              <w:contextualSpacing w:val="0"/>
              <w:jc w:val="both"/>
              <w:rPr>
                <w:rFonts w:ascii="Times New Roman" w:hAnsi="Times New Roman"/>
                <w:szCs w:val="24"/>
                <w:lang w:val="lt-LT"/>
              </w:rPr>
            </w:pPr>
            <w:r>
              <w:rPr>
                <w:rFonts w:ascii="Times New Roman" w:hAnsi="Times New Roman"/>
                <w:szCs w:val="24"/>
                <w:lang w:val="lt-LT"/>
              </w:rPr>
              <w:t xml:space="preserve">pasiekti nulines </w:t>
            </w:r>
            <w:r w:rsidRPr="00650EE4">
              <w:rPr>
                <w:rFonts w:ascii="Times New Roman" w:hAnsi="Times New Roman"/>
                <w:szCs w:val="24"/>
                <w:lang w:val="lt-LT"/>
              </w:rPr>
              <w:t>CO</w:t>
            </w:r>
            <w:r w:rsidRPr="00650EE4">
              <w:rPr>
                <w:rFonts w:ascii="Times New Roman" w:hAnsi="Times New Roman"/>
                <w:szCs w:val="24"/>
                <w:vertAlign w:val="subscript"/>
                <w:lang w:val="lt-LT"/>
              </w:rPr>
              <w:t>2</w:t>
            </w:r>
            <w:r w:rsidRPr="00650EE4">
              <w:rPr>
                <w:rFonts w:ascii="Times New Roman" w:hAnsi="Times New Roman"/>
                <w:szCs w:val="24"/>
                <w:lang w:val="lt-LT"/>
              </w:rPr>
              <w:t xml:space="preserve"> emisij</w:t>
            </w:r>
            <w:r>
              <w:rPr>
                <w:rFonts w:ascii="Times New Roman" w:hAnsi="Times New Roman"/>
                <w:szCs w:val="24"/>
                <w:lang w:val="lt-LT"/>
              </w:rPr>
              <w:t>as</w:t>
            </w:r>
            <w:r w:rsidR="00A46638" w:rsidRPr="00650EE4">
              <w:rPr>
                <w:rFonts w:ascii="Times New Roman" w:hAnsi="Times New Roman"/>
                <w:szCs w:val="24"/>
                <w:lang w:val="lt-LT"/>
              </w:rPr>
              <w:t>.</w:t>
            </w:r>
          </w:p>
          <w:p w14:paraId="4BD36A4B" w14:textId="05CDD3FF" w:rsidR="00BE692B" w:rsidRPr="00650EE4" w:rsidRDefault="00BE692B"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Pasiekus šiuos rodiklius</w:t>
            </w:r>
            <w:r w:rsidR="00812095" w:rsidRPr="00650EE4">
              <w:rPr>
                <w:rFonts w:ascii="Times New Roman" w:hAnsi="Times New Roman"/>
                <w:szCs w:val="24"/>
                <w:lang w:val="lt-LT"/>
              </w:rPr>
              <w:t xml:space="preserve"> neefektyviausių (≤D klasės) pastatų pirminės energijos dalis bendrame vartojime sumažės nuo 77 iki 2</w:t>
            </w:r>
            <w:r w:rsidR="00175A5A">
              <w:rPr>
                <w:rFonts w:ascii="Times New Roman" w:hAnsi="Times New Roman"/>
                <w:szCs w:val="24"/>
                <w:lang w:val="lt-LT"/>
              </w:rPr>
              <w:t xml:space="preserve">3 </w:t>
            </w:r>
            <w:r w:rsidR="00812095" w:rsidRPr="00650EE4">
              <w:rPr>
                <w:rFonts w:ascii="Times New Roman" w:hAnsi="Times New Roman"/>
                <w:szCs w:val="24"/>
                <w:lang w:val="lt-LT"/>
              </w:rPr>
              <w:t>proc.;</w:t>
            </w:r>
          </w:p>
          <w:p w14:paraId="3D517FC3" w14:textId="7BB0B713" w:rsidR="00765CBD" w:rsidRPr="00650EE4" w:rsidRDefault="00287BDC"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Pastatų fondas, kaip energijos vartotojas yra neatskiriama energetikos sektoriaus dalis, todėl siektini rodikliai remiasi prielaida, kad bus įgyvendinta tiek Pastatų fondo (energijos vartojimo), tiek energetikos sektoriaus (energijos gamybos) transformacija</w:t>
            </w:r>
            <w:r w:rsidR="00BE576D" w:rsidRPr="00650EE4">
              <w:rPr>
                <w:rFonts w:ascii="Times New Roman" w:hAnsi="Times New Roman"/>
                <w:szCs w:val="24"/>
                <w:lang w:val="lt-LT"/>
              </w:rPr>
              <w:t>, t.y. t</w:t>
            </w:r>
            <w:r w:rsidR="00765CBD" w:rsidRPr="00650EE4">
              <w:rPr>
                <w:rFonts w:ascii="Times New Roman" w:hAnsi="Times New Roman"/>
                <w:szCs w:val="24"/>
                <w:lang w:val="lt-LT"/>
              </w:rPr>
              <w:t xml:space="preserve">iek CŠT, tiek elektros energijos gamyboje AEI sudarys bent </w:t>
            </w:r>
            <w:r w:rsidR="00175A5A">
              <w:rPr>
                <w:rFonts w:ascii="Times New Roman" w:hAnsi="Times New Roman"/>
                <w:szCs w:val="24"/>
                <w:lang w:val="lt-LT"/>
              </w:rPr>
              <w:t>10</w:t>
            </w:r>
            <w:r w:rsidR="00765CBD" w:rsidRPr="00650EE4">
              <w:rPr>
                <w:rFonts w:ascii="Times New Roman" w:hAnsi="Times New Roman"/>
                <w:szCs w:val="24"/>
                <w:lang w:val="lt-LT"/>
              </w:rPr>
              <w:t>0 proc.</w:t>
            </w:r>
          </w:p>
          <w:p w14:paraId="354DB66E" w14:textId="56A910DE" w:rsidR="00FA6D6D" w:rsidRPr="00650EE4" w:rsidRDefault="00153EDE"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Didžioji dalis pirminės energijos</w:t>
            </w:r>
            <w:r w:rsidR="00765CBD" w:rsidRPr="00650EE4">
              <w:rPr>
                <w:rFonts w:ascii="Times New Roman" w:hAnsi="Times New Roman"/>
                <w:szCs w:val="24"/>
                <w:lang w:val="lt-LT"/>
              </w:rPr>
              <w:t xml:space="preserve"> (3</w:t>
            </w:r>
            <w:r w:rsidR="00175A5A">
              <w:rPr>
                <w:rFonts w:ascii="Times New Roman" w:hAnsi="Times New Roman"/>
                <w:szCs w:val="24"/>
                <w:lang w:val="lt-LT"/>
              </w:rPr>
              <w:t>9</w:t>
            </w:r>
            <w:r w:rsidR="00765CBD" w:rsidRPr="00650EE4">
              <w:rPr>
                <w:rFonts w:ascii="Times New Roman" w:hAnsi="Times New Roman"/>
                <w:szCs w:val="24"/>
                <w:lang w:val="lt-LT"/>
              </w:rPr>
              <w:t xml:space="preserve"> proc.) ir CO</w:t>
            </w:r>
            <w:r w:rsidR="00765CBD" w:rsidRPr="00650EE4">
              <w:rPr>
                <w:rFonts w:ascii="Times New Roman" w:hAnsi="Times New Roman"/>
                <w:szCs w:val="24"/>
                <w:vertAlign w:val="subscript"/>
                <w:lang w:val="lt-LT"/>
              </w:rPr>
              <w:t>2</w:t>
            </w:r>
            <w:r w:rsidR="00765CBD" w:rsidRPr="00650EE4">
              <w:rPr>
                <w:rFonts w:ascii="Times New Roman" w:hAnsi="Times New Roman"/>
                <w:szCs w:val="24"/>
                <w:lang w:val="lt-LT"/>
              </w:rPr>
              <w:t xml:space="preserve"> emisijų (3</w:t>
            </w:r>
            <w:r w:rsidR="00175A5A">
              <w:rPr>
                <w:rFonts w:ascii="Times New Roman" w:hAnsi="Times New Roman"/>
                <w:szCs w:val="24"/>
                <w:lang w:val="lt-LT"/>
              </w:rPr>
              <w:t>0</w:t>
            </w:r>
            <w:r w:rsidR="00765CBD" w:rsidRPr="00650EE4">
              <w:rPr>
                <w:rFonts w:ascii="Times New Roman" w:hAnsi="Times New Roman"/>
                <w:szCs w:val="24"/>
                <w:lang w:val="lt-LT"/>
              </w:rPr>
              <w:t xml:space="preserve"> proc.)</w:t>
            </w:r>
            <w:r w:rsidRPr="00650EE4">
              <w:rPr>
                <w:rFonts w:ascii="Times New Roman" w:hAnsi="Times New Roman"/>
                <w:szCs w:val="24"/>
                <w:lang w:val="lt-LT"/>
              </w:rPr>
              <w:t xml:space="preserve"> sutaupymų bus pasiekta individualiuose namuose</w:t>
            </w:r>
            <w:r w:rsidR="00AC6C9F" w:rsidRPr="00650EE4">
              <w:rPr>
                <w:rFonts w:ascii="Times New Roman" w:hAnsi="Times New Roman"/>
                <w:szCs w:val="24"/>
                <w:lang w:val="lt-LT"/>
              </w:rPr>
              <w:t>, likusi dalis – daugiabučių (</w:t>
            </w:r>
            <w:r w:rsidR="00487969" w:rsidRPr="00650EE4">
              <w:rPr>
                <w:rFonts w:ascii="Times New Roman" w:hAnsi="Times New Roman"/>
                <w:szCs w:val="24"/>
                <w:lang w:val="lt-LT"/>
              </w:rPr>
              <w:t xml:space="preserve">atitinkamai </w:t>
            </w:r>
            <w:r w:rsidR="00AC6C9F" w:rsidRPr="00650EE4">
              <w:rPr>
                <w:rFonts w:ascii="Times New Roman" w:hAnsi="Times New Roman"/>
                <w:szCs w:val="24"/>
                <w:lang w:val="lt-LT"/>
              </w:rPr>
              <w:t>2</w:t>
            </w:r>
            <w:r w:rsidR="00984459">
              <w:rPr>
                <w:rFonts w:ascii="Times New Roman" w:hAnsi="Times New Roman"/>
                <w:szCs w:val="24"/>
                <w:lang w:val="lt-LT"/>
              </w:rPr>
              <w:t>5</w:t>
            </w:r>
            <w:r w:rsidR="00AC6C9F" w:rsidRPr="00650EE4">
              <w:rPr>
                <w:rFonts w:ascii="Times New Roman" w:hAnsi="Times New Roman"/>
                <w:szCs w:val="24"/>
                <w:lang w:val="lt-LT"/>
              </w:rPr>
              <w:t xml:space="preserve"> ir 2</w:t>
            </w:r>
            <w:r w:rsidR="00984459">
              <w:rPr>
                <w:rFonts w:ascii="Times New Roman" w:hAnsi="Times New Roman"/>
                <w:szCs w:val="24"/>
                <w:lang w:val="lt-LT"/>
              </w:rPr>
              <w:t>4</w:t>
            </w:r>
            <w:r w:rsidR="00AC6C9F" w:rsidRPr="00650EE4">
              <w:rPr>
                <w:rFonts w:ascii="Times New Roman" w:hAnsi="Times New Roman"/>
                <w:szCs w:val="24"/>
                <w:lang w:val="lt-LT"/>
              </w:rPr>
              <w:t xml:space="preserve"> proc.), kitos negyvenamosios (20 ir 2</w:t>
            </w:r>
            <w:r w:rsidR="00984459">
              <w:rPr>
                <w:rFonts w:ascii="Times New Roman" w:hAnsi="Times New Roman"/>
                <w:szCs w:val="24"/>
                <w:lang w:val="lt-LT"/>
              </w:rPr>
              <w:t>4</w:t>
            </w:r>
            <w:r w:rsidR="00AC6C9F" w:rsidRPr="00650EE4">
              <w:rPr>
                <w:rFonts w:ascii="Times New Roman" w:hAnsi="Times New Roman"/>
                <w:szCs w:val="24"/>
                <w:lang w:val="lt-LT"/>
              </w:rPr>
              <w:t xml:space="preserve"> proc.) bei pramonės (1</w:t>
            </w:r>
            <w:r w:rsidR="00984459">
              <w:rPr>
                <w:rFonts w:ascii="Times New Roman" w:hAnsi="Times New Roman"/>
                <w:szCs w:val="24"/>
                <w:lang w:val="lt-LT"/>
              </w:rPr>
              <w:t>6</w:t>
            </w:r>
            <w:r w:rsidR="00AC6C9F" w:rsidRPr="00650EE4">
              <w:rPr>
                <w:rFonts w:ascii="Times New Roman" w:hAnsi="Times New Roman"/>
                <w:szCs w:val="24"/>
                <w:lang w:val="lt-LT"/>
              </w:rPr>
              <w:t xml:space="preserve"> ir 2</w:t>
            </w:r>
            <w:r w:rsidR="00984459">
              <w:rPr>
                <w:rFonts w:ascii="Times New Roman" w:hAnsi="Times New Roman"/>
                <w:szCs w:val="24"/>
                <w:lang w:val="lt-LT"/>
              </w:rPr>
              <w:t>2</w:t>
            </w:r>
            <w:r w:rsidR="00AC6C9F" w:rsidRPr="00650EE4">
              <w:rPr>
                <w:rFonts w:ascii="Times New Roman" w:hAnsi="Times New Roman"/>
                <w:szCs w:val="24"/>
                <w:lang w:val="lt-LT"/>
              </w:rPr>
              <w:t xml:space="preserve"> proc.) paskirties pastatuose.</w:t>
            </w:r>
          </w:p>
          <w:p w14:paraId="4592DD1B" w14:textId="76A96E9B" w:rsidR="00623CCC" w:rsidRPr="00650EE4" w:rsidRDefault="005270FF" w:rsidP="00BD4925">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Norint pasiekti renovacijos rodiklius turės būti renovuota beveik 440 tūkst. pastatų (74 proc.)</w:t>
            </w:r>
            <w:r w:rsidR="00927035" w:rsidRPr="00650EE4">
              <w:rPr>
                <w:rFonts w:ascii="Times New Roman" w:hAnsi="Times New Roman"/>
                <w:szCs w:val="24"/>
                <w:lang w:val="lt-LT"/>
              </w:rPr>
              <w:t>.</w:t>
            </w:r>
            <w:r w:rsidRPr="00650EE4">
              <w:rPr>
                <w:rFonts w:ascii="Times New Roman" w:hAnsi="Times New Roman"/>
                <w:szCs w:val="24"/>
                <w:lang w:val="lt-LT"/>
              </w:rPr>
              <w:t xml:space="preserve"> </w:t>
            </w:r>
          </w:p>
          <w:p w14:paraId="5CDDF1D9" w14:textId="6B91A147" w:rsidR="00623CCC" w:rsidRPr="00650EE4" w:rsidRDefault="00623CCC" w:rsidP="00984459">
            <w:pPr>
              <w:pStyle w:val="ListParagraph"/>
              <w:numPr>
                <w:ilvl w:val="0"/>
                <w:numId w:val="27"/>
              </w:numPr>
              <w:spacing w:before="120" w:after="120" w:line="240" w:lineRule="auto"/>
              <w:ind w:left="556" w:hanging="425"/>
              <w:contextualSpacing w:val="0"/>
              <w:jc w:val="both"/>
              <w:rPr>
                <w:rFonts w:ascii="Times New Roman" w:hAnsi="Times New Roman"/>
                <w:szCs w:val="24"/>
                <w:lang w:val="lt-LT"/>
              </w:rPr>
            </w:pPr>
            <w:r w:rsidRPr="00650EE4">
              <w:rPr>
                <w:rFonts w:ascii="Times New Roman" w:hAnsi="Times New Roman"/>
                <w:szCs w:val="24"/>
                <w:lang w:val="lt-LT"/>
              </w:rPr>
              <w:t xml:space="preserve">Renovacijos strategijos įgyvendinimo laikotarpiu iki 2050 m. reikės investuoti </w:t>
            </w:r>
            <w:r w:rsidR="00984459">
              <w:rPr>
                <w:rFonts w:ascii="Times New Roman" w:hAnsi="Times New Roman"/>
                <w:szCs w:val="24"/>
                <w:lang w:val="lt-LT"/>
              </w:rPr>
              <w:t>60</w:t>
            </w:r>
            <w:r w:rsidRPr="00650EE4">
              <w:rPr>
                <w:rFonts w:ascii="Times New Roman" w:hAnsi="Times New Roman"/>
                <w:szCs w:val="24"/>
                <w:lang w:val="lt-LT"/>
              </w:rPr>
              <w:t xml:space="preserve"> mlrd. </w:t>
            </w:r>
            <w:proofErr w:type="spellStart"/>
            <w:r w:rsidRPr="00650EE4">
              <w:rPr>
                <w:rFonts w:ascii="Times New Roman" w:hAnsi="Times New Roman"/>
                <w:szCs w:val="24"/>
                <w:lang w:val="lt-LT"/>
              </w:rPr>
              <w:t>Eur</w:t>
            </w:r>
            <w:proofErr w:type="spellEnd"/>
            <w:r w:rsidRPr="00650EE4">
              <w:rPr>
                <w:rFonts w:ascii="Times New Roman" w:hAnsi="Times New Roman"/>
                <w:szCs w:val="24"/>
                <w:lang w:val="lt-LT"/>
              </w:rPr>
              <w:t>, tačiau tuo pačiu laikotarpiu naudos reik</w:t>
            </w:r>
            <w:r w:rsidR="0016519E" w:rsidRPr="00650EE4">
              <w:rPr>
                <w:rFonts w:ascii="Times New Roman" w:hAnsi="Times New Roman"/>
                <w:szCs w:val="24"/>
                <w:lang w:val="lt-LT"/>
              </w:rPr>
              <w:t>š</w:t>
            </w:r>
            <w:r w:rsidRPr="00650EE4">
              <w:rPr>
                <w:rFonts w:ascii="Times New Roman" w:hAnsi="Times New Roman"/>
                <w:szCs w:val="24"/>
                <w:lang w:val="lt-LT"/>
              </w:rPr>
              <w:t xml:space="preserve">mingai viršys investicijas ir sieks </w:t>
            </w:r>
            <w:r w:rsidR="00984459">
              <w:rPr>
                <w:rFonts w:ascii="Times New Roman" w:hAnsi="Times New Roman"/>
                <w:szCs w:val="24"/>
                <w:lang w:val="lt-LT"/>
              </w:rPr>
              <w:t>75</w:t>
            </w:r>
            <w:r w:rsidRPr="00650EE4">
              <w:rPr>
                <w:rFonts w:ascii="Times New Roman" w:hAnsi="Times New Roman"/>
                <w:szCs w:val="24"/>
                <w:lang w:val="lt-LT"/>
              </w:rPr>
              <w:t>,</w:t>
            </w:r>
            <w:r w:rsidR="00984459">
              <w:rPr>
                <w:rFonts w:ascii="Times New Roman" w:hAnsi="Times New Roman"/>
                <w:szCs w:val="24"/>
                <w:lang w:val="lt-LT"/>
              </w:rPr>
              <w:t>3</w:t>
            </w:r>
            <w:r w:rsidRPr="00650EE4">
              <w:rPr>
                <w:rFonts w:ascii="Times New Roman" w:hAnsi="Times New Roman"/>
                <w:szCs w:val="24"/>
                <w:lang w:val="lt-LT"/>
              </w:rPr>
              <w:t xml:space="preserve"> mlr</w:t>
            </w:r>
            <w:r w:rsidR="0016519E" w:rsidRPr="00650EE4">
              <w:rPr>
                <w:rFonts w:ascii="Times New Roman" w:hAnsi="Times New Roman"/>
                <w:szCs w:val="24"/>
                <w:lang w:val="lt-LT"/>
              </w:rPr>
              <w:t>d</w:t>
            </w:r>
            <w:r w:rsidRPr="00650EE4">
              <w:rPr>
                <w:rFonts w:ascii="Times New Roman" w:hAnsi="Times New Roman"/>
                <w:szCs w:val="24"/>
                <w:lang w:val="lt-LT"/>
              </w:rPr>
              <w:t xml:space="preserve">. </w:t>
            </w:r>
            <w:proofErr w:type="spellStart"/>
            <w:r w:rsidRPr="00650EE4">
              <w:rPr>
                <w:rFonts w:ascii="Times New Roman" w:hAnsi="Times New Roman"/>
                <w:szCs w:val="24"/>
                <w:lang w:val="lt-LT"/>
              </w:rPr>
              <w:t>Eur</w:t>
            </w:r>
            <w:proofErr w:type="spellEnd"/>
            <w:r w:rsidRPr="00650EE4">
              <w:rPr>
                <w:rFonts w:ascii="Times New Roman" w:hAnsi="Times New Roman"/>
                <w:szCs w:val="24"/>
                <w:lang w:val="lt-LT"/>
              </w:rPr>
              <w:t>.</w:t>
            </w:r>
          </w:p>
        </w:tc>
      </w:tr>
    </w:tbl>
    <w:p w14:paraId="4815CAF7" w14:textId="2445CF4F" w:rsidR="00FA6D6D" w:rsidRPr="00650EE4" w:rsidRDefault="00FA6D6D">
      <w:pPr>
        <w:spacing w:after="240"/>
        <w:rPr>
          <w:rFonts w:ascii="Times New Roman" w:hAnsi="Times New Roman"/>
          <w:color w:val="002060"/>
          <w:szCs w:val="28"/>
        </w:rPr>
      </w:pPr>
      <w:r w:rsidRPr="00650EE4">
        <w:rPr>
          <w:rFonts w:ascii="Times New Roman" w:hAnsi="Times New Roman"/>
          <w:color w:val="002060"/>
          <w:szCs w:val="28"/>
        </w:rPr>
        <w:br w:type="page"/>
      </w:r>
    </w:p>
    <w:p w14:paraId="18D48F1B" w14:textId="06DED8EF" w:rsidR="0034475F" w:rsidRPr="00650EE4" w:rsidRDefault="001D07DB" w:rsidP="006F1CDA">
      <w:pPr>
        <w:pStyle w:val="Nenumeruojamosantrastes"/>
        <w:pageBreakBefore w:val="0"/>
        <w:numPr>
          <w:ilvl w:val="0"/>
          <w:numId w:val="4"/>
        </w:numPr>
        <w:pBdr>
          <w:bottom w:val="single" w:sz="4" w:space="1" w:color="auto"/>
        </w:pBdr>
        <w:spacing w:before="0"/>
        <w:ind w:left="357" w:hanging="357"/>
        <w:outlineLvl w:val="0"/>
        <w:rPr>
          <w:rFonts w:ascii="Times New Roman" w:hAnsi="Times New Roman"/>
          <w:color w:val="002060"/>
          <w:szCs w:val="28"/>
        </w:rPr>
      </w:pPr>
      <w:bookmarkStart w:id="198" w:name="_Toc59107570"/>
      <w:r w:rsidRPr="00650EE4">
        <w:rPr>
          <w:rFonts w:ascii="Times New Roman" w:hAnsi="Times New Roman"/>
          <w:color w:val="002060"/>
          <w:szCs w:val="28"/>
        </w:rPr>
        <w:lastRenderedPageBreak/>
        <w:t>RENOVACIJOS STRATEGIJOS VEIKSMŲ GAIRĖS</w:t>
      </w:r>
      <w:bookmarkEnd w:id="198"/>
      <w:r w:rsidR="005B5436" w:rsidRPr="00650EE4">
        <w:rPr>
          <w:rFonts w:ascii="Times New Roman" w:hAnsi="Times New Roman"/>
          <w:color w:val="002060"/>
          <w:szCs w:val="28"/>
        </w:rPr>
        <w:t xml:space="preserve"> </w:t>
      </w:r>
    </w:p>
    <w:p w14:paraId="1A213D7C" w14:textId="3EB9A567" w:rsidR="00D67906" w:rsidRPr="00650EE4" w:rsidRDefault="001D07DB" w:rsidP="003853BB">
      <w:pPr>
        <w:spacing w:line="240" w:lineRule="auto"/>
        <w:jc w:val="both"/>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730B286C" wp14:editId="00A732C4">
                <wp:extent cx="6479540" cy="1428750"/>
                <wp:effectExtent l="0" t="0" r="0" b="0"/>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428750"/>
                        </a:xfrm>
                        <a:prstGeom prst="rect">
                          <a:avLst/>
                        </a:prstGeom>
                        <a:solidFill>
                          <a:schemeClr val="bg1">
                            <a:lumMod val="85000"/>
                          </a:schemeClr>
                        </a:solidFill>
                        <a:ln>
                          <a:noFill/>
                        </a:ln>
                      </wps:spPr>
                      <wps:txbx>
                        <w:txbxContent>
                          <w:p w14:paraId="29FC40F1" w14:textId="77777777" w:rsidR="003E0C4E" w:rsidRPr="00862E2C" w:rsidRDefault="003E0C4E" w:rsidP="001D07DB">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4D542E79" w14:textId="77777777" w:rsidR="003E0C4E" w:rsidRPr="00445553" w:rsidRDefault="003E0C4E" w:rsidP="001D07DB">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25" o:spid="_x0000_s1038" type="#_x0000_t202" style="width:510.2pt;height:1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" fillcolor="#d8d8d8 [2732]" stroked="f">
                <v:textbox>
                  <w:txbxContent>
                    <w:p w14:paraId="29FC40F1" w14:textId="77777777" w:rsidR="003E0C4E" w:rsidRPr="00862E2C" w:rsidRDefault="003E0C4E" w:rsidP="001D07DB">
                      <w:pPr>
                        <w:pStyle w:val="Text"/>
                        <w:spacing w:after="120" w:line="240" w:lineRule="auto"/>
                        <w:ind w:left="0" w:right="0"/>
                        <w:rPr>
                          <w:rFonts w:ascii="Times New Roman" w:hAnsi="Times New Roman" w:cs="Times New Roman"/>
                          <w:bCs/>
                          <w:color w:val="000000" w:themeColor="text1"/>
                          <w:sz w:val="22"/>
                        </w:rPr>
                      </w:pPr>
                      <w:r>
                        <w:rPr>
                          <w:rFonts w:ascii="Times New Roman" w:hAnsi="Times New Roman" w:cs="Times New Roman"/>
                          <w:bCs/>
                          <w:color w:val="000000" w:themeColor="text1"/>
                          <w:sz w:val="22"/>
                        </w:rPr>
                        <w:t xml:space="preserve">PEND 2a straipsnio 2 dalyje </w:t>
                      </w:r>
                      <w:r w:rsidRPr="00445553">
                        <w:rPr>
                          <w:rFonts w:ascii="Times New Roman" w:hAnsi="Times New Roman" w:cs="Times New Roman"/>
                          <w:bCs/>
                          <w:color w:val="000000" w:themeColor="text1"/>
                          <w:sz w:val="22"/>
                        </w:rPr>
                        <w:t xml:space="preserve">numatyta, </w:t>
                      </w:r>
                      <w:r>
                        <w:rPr>
                          <w:rFonts w:ascii="Times New Roman" w:hAnsi="Times New Roman" w:cs="Times New Roman"/>
                          <w:bCs/>
                          <w:color w:val="000000" w:themeColor="text1"/>
                          <w:sz w:val="22"/>
                        </w:rPr>
                        <w:t>kad „</w:t>
                      </w:r>
                      <w:r w:rsidRPr="00862E2C">
                        <w:rPr>
                          <w:rFonts w:ascii="Times New Roman" w:hAnsi="Times New Roman" w:cs="Times New Roman"/>
                          <w:bCs/>
                          <w:color w:val="000000" w:themeColor="text1"/>
                          <w:sz w:val="22"/>
                        </w:rPr>
                        <w:t>Kiekviena valstybė narė savo ilgalaikėje renovacijos strategijoje išdėsto veiksmų gaires, kuriose numatomos priemonės ir vidaus mastu nustatyti išmatuojami pažangos rodikliai, atsižvelgiant į ilgalaikį 2050 m. tikslą Sąjungoje išmetamą šiltnamio efektą sukeliančių dujų kiekį sumažinti 80–95 %, palyginti su 1990 m., siekiant užtikrinti, kad nacionaliniame pastatų ūkyje energija būtų vartojama ypač efektyviai ir kad jis būtų nepriklausomas nuo iškastinio kuro, bei siekiant sudaryti palankesnes sąlygas ekonomiškai efektyviam esamų pastatų pertvarkymui į beveik nulinės energijos pastatus. Veiksmų gairėse taip pat numatomi orientaciniai 2030 m., 2040 m. ir 2050 m. tarpiniai tikslai ir nurodoma, kaip jie padeda pasiekti Sąjungos energijos vartojimo efektyvumo tikslus pagal Direktyvą 2012/27/ES.</w:t>
                      </w:r>
                      <w:r>
                        <w:rPr>
                          <w:rFonts w:ascii="Times New Roman" w:hAnsi="Times New Roman" w:cs="Times New Roman"/>
                          <w:bCs/>
                          <w:color w:val="000000" w:themeColor="text1"/>
                          <w:sz w:val="22"/>
                        </w:rPr>
                        <w:t>“</w:t>
                      </w:r>
                    </w:p>
                    <w:p w14:paraId="4D542E79" w14:textId="77777777" w:rsidR="003E0C4E" w:rsidRPr="00445553" w:rsidRDefault="003E0C4E" w:rsidP="001D07DB">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104966F9" w14:textId="77777777" w:rsidR="00F0478A" w:rsidRPr="00650EE4" w:rsidRDefault="00F0478A" w:rsidP="001666B0">
      <w:pPr>
        <w:spacing w:line="240" w:lineRule="auto"/>
        <w:jc w:val="both"/>
        <w:rPr>
          <w:rFonts w:ascii="Times New Roman" w:hAnsi="Times New Roman"/>
          <w:color w:val="000000" w:themeColor="text1"/>
          <w:szCs w:val="22"/>
        </w:rPr>
      </w:pPr>
    </w:p>
    <w:p w14:paraId="2E34F5DC" w14:textId="62A60515" w:rsidR="001D07DB" w:rsidRPr="00650EE4" w:rsidRDefault="001D07DB" w:rsidP="00DD1817">
      <w:pPr>
        <w:spacing w:after="120"/>
        <w:jc w:val="both"/>
        <w:rPr>
          <w:rFonts w:ascii="Times New Roman" w:hAnsi="Times New Roman"/>
          <w:color w:val="000000" w:themeColor="text1"/>
          <w:szCs w:val="22"/>
        </w:rPr>
      </w:pPr>
      <w:r w:rsidRPr="00650EE4">
        <w:rPr>
          <w:rFonts w:ascii="Times New Roman" w:hAnsi="Times New Roman"/>
          <w:noProof/>
          <w:color w:val="000000" w:themeColor="text1"/>
          <w:sz w:val="24"/>
          <w:szCs w:val="24"/>
          <w:lang w:eastAsia="lt-LT"/>
        </w:rPr>
        <mc:AlternateContent>
          <mc:Choice Requires="wps">
            <w:drawing>
              <wp:inline distT="0" distB="0" distL="0" distR="0" wp14:anchorId="161DDEDB" wp14:editId="12FB4470">
                <wp:extent cx="6469811" cy="2303252"/>
                <wp:effectExtent l="0" t="0" r="7620" b="1905"/>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11" cy="2303252"/>
                        </a:xfrm>
                        <a:prstGeom prst="rect">
                          <a:avLst/>
                        </a:prstGeom>
                        <a:solidFill>
                          <a:schemeClr val="bg1">
                            <a:lumMod val="85000"/>
                          </a:schemeClr>
                        </a:solidFill>
                        <a:ln>
                          <a:noFill/>
                        </a:ln>
                      </wps:spPr>
                      <wps:txbx>
                        <w:txbxContent>
                          <w:p w14:paraId="54D68636"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bCs/>
                                <w:color w:val="000000" w:themeColor="text1"/>
                                <w:sz w:val="21"/>
                              </w:rPr>
                              <w:t>PEND 2a straipsnio 3 dalyje numatyta „</w:t>
                            </w:r>
                            <w:r w:rsidRPr="0088207D">
                              <w:rPr>
                                <w:rFonts w:ascii="Times New Roman" w:hAnsi="Times New Roman"/>
                                <w:sz w:val="21"/>
                              </w:rPr>
                              <w:t xml:space="preserve">kad būtų remiamas investicijų į renovavimą, būtiną 1 dalyje nurodytiems tikslams pasiekti, mobilizavimas, valstybės narės sudaro palankesnes sąlygas naudotis tinkamais mechanizmais siekiant: </w:t>
                            </w:r>
                          </w:p>
                          <w:p w14:paraId="44E7AC45"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a) jungti projektus, be kita ko, naudojant investavimo platformas arba grupes ir mažųjų ir vidutinių įmonių konsorciumus, kad būtų suteikta prieiga investuotojams ir suteikta galimybė pasiūlyti kompleksinius sprendimus galimiems klientams; </w:t>
                            </w:r>
                          </w:p>
                          <w:p w14:paraId="06C8A711"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b) mažinti numanomą energijos vartojimo efektyvumo operacijų riziką investuotojams ir privačiajam sektoriui; </w:t>
                            </w:r>
                          </w:p>
                          <w:p w14:paraId="5ABDDC0A"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c) naudoti viešąjį finansavimą papildomoms privačiojo sektoriaus investicijoms pritraukti arba konkretiems rinkos nepakankamumo atvejams šalinti; </w:t>
                            </w:r>
                          </w:p>
                          <w:p w14:paraId="40AF538F"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d) nukreipti investicijas į efektyviai energiją vartojantį viešųjų pastatų ūkį, vadovaujantis Eurostato gairėmis, ir </w:t>
                            </w:r>
                          </w:p>
                          <w:p w14:paraId="21256C51" w14:textId="77777777" w:rsidR="003E0C4E" w:rsidRPr="0088207D" w:rsidRDefault="003E0C4E" w:rsidP="001D07DB">
                            <w:pPr>
                              <w:pStyle w:val="Text"/>
                              <w:spacing w:after="0" w:line="240" w:lineRule="auto"/>
                              <w:ind w:left="0" w:right="0"/>
                              <w:rPr>
                                <w:rFonts w:ascii="Times New Roman" w:hAnsi="Times New Roman" w:cs="Times New Roman"/>
                                <w:bCs/>
                                <w:color w:val="000000" w:themeColor="text1"/>
                                <w:sz w:val="21"/>
                                <w:szCs w:val="21"/>
                              </w:rPr>
                            </w:pPr>
                            <w:r w:rsidRPr="0088207D">
                              <w:rPr>
                                <w:rFonts w:ascii="Times New Roman" w:hAnsi="Times New Roman"/>
                                <w:sz w:val="21"/>
                                <w:szCs w:val="21"/>
                              </w:rPr>
                              <w:t>e) taikyti prieinamas ir skaidrias patariamąsias priemones, kaip antai, vieno langelio sistemas vartotojams ir konsultavimo energetikos klausimais paslaugas, susijusias su atitinkamomis energijos vartojimo efektyvumui didinti skirtomis renovacijomis ir finansavimo priemonėmis.</w:t>
                            </w:r>
                            <w:r w:rsidRPr="0088207D">
                              <w:rPr>
                                <w:rFonts w:ascii="Times New Roman" w:hAnsi="Times New Roman" w:cs="Times New Roman"/>
                                <w:bCs/>
                                <w:color w:val="000000" w:themeColor="text1"/>
                                <w:sz w:val="21"/>
                                <w:szCs w:val="21"/>
                              </w:rPr>
                              <w:t>“</w:t>
                            </w:r>
                          </w:p>
                          <w:p w14:paraId="33B93153" w14:textId="77777777" w:rsidR="003E0C4E" w:rsidRPr="00445553" w:rsidRDefault="003E0C4E" w:rsidP="001D07DB">
                            <w:pPr>
                              <w:pStyle w:val="Text"/>
                              <w:spacing w:after="120" w:line="240" w:lineRule="auto"/>
                              <w:ind w:left="0" w:right="0"/>
                              <w:rPr>
                                <w:rFonts w:ascii="Times New Roman" w:hAnsi="Times New Roman" w:cs="Times New Roman"/>
                                <w:bCs/>
                                <w:i/>
                                <w:iCs/>
                                <w:color w:val="000000" w:themeColor="text1"/>
                                <w:sz w:val="22"/>
                              </w:rPr>
                            </w:pPr>
                          </w:p>
                        </w:txbxContent>
                      </wps:txbx>
                      <wps:bodyPr rot="0" vert="horz" wrap="square" lIns="91440" tIns="45720" rIns="91440" bIns="45720" anchor="t" anchorCtr="0" upright="1">
                        <a:noAutofit/>
                      </wps:bodyPr>
                    </wps:wsp>
                  </a:graphicData>
                </a:graphic>
              </wp:inline>
            </w:drawing>
          </mc:Choice>
          <mc:Fallback>
            <w:pict>
              <v:shape id="Text Box 52" o:spid="_x0000_s1039" type="#_x0000_t202" style="width:509.45pt;height:18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" fillcolor="#d8d8d8 [2732]" stroked="f">
                <v:textbox>
                  <w:txbxContent>
                    <w:p w14:paraId="54D68636"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bCs/>
                          <w:color w:val="000000" w:themeColor="text1"/>
                          <w:sz w:val="21"/>
                        </w:rPr>
                        <w:t>PEND 2a straipsnio 3 dalyje numatyta „</w:t>
                      </w:r>
                      <w:r w:rsidRPr="0088207D">
                        <w:rPr>
                          <w:rFonts w:ascii="Times New Roman" w:hAnsi="Times New Roman"/>
                          <w:sz w:val="21"/>
                        </w:rPr>
                        <w:t xml:space="preserve">kad būtų remiamas investicijų į renovavimą, būtiną 1 dalyje nurodytiems tikslams pasiekti, mobilizavimas, valstybės narės sudaro palankesnes sąlygas naudotis tinkamais mechanizmais siekiant: </w:t>
                      </w:r>
                    </w:p>
                    <w:p w14:paraId="44E7AC45"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a) jungti projektus, be kita ko, naudojant investavimo platformas arba grupes ir mažųjų ir vidutinių įmonių konsorciumus, kad būtų suteikta prieiga investuotojams ir suteikta galimybė pasiūlyti kompleksinius sprendimus galimiems klientams; </w:t>
                      </w:r>
                    </w:p>
                    <w:p w14:paraId="06C8A711"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b) mažinti numanomą energijos vartojimo efektyvumo operacijų riziką investuotojams ir privačiajam sektoriui; </w:t>
                      </w:r>
                    </w:p>
                    <w:p w14:paraId="5ABDDC0A"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c) naudoti viešąjį finansavimą papildomoms privačiojo sektoriaus investicijoms pritraukti arba konkretiems rinkos nepakankamumo atvejams šalinti; </w:t>
                      </w:r>
                    </w:p>
                    <w:p w14:paraId="40AF538F" w14:textId="77777777" w:rsidR="003E0C4E" w:rsidRPr="0088207D" w:rsidRDefault="003E0C4E" w:rsidP="001D07DB">
                      <w:pPr>
                        <w:spacing w:after="60" w:line="240" w:lineRule="auto"/>
                        <w:rPr>
                          <w:rFonts w:ascii="Times New Roman" w:hAnsi="Times New Roman"/>
                          <w:sz w:val="21"/>
                        </w:rPr>
                      </w:pPr>
                      <w:r w:rsidRPr="0088207D">
                        <w:rPr>
                          <w:rFonts w:ascii="Times New Roman" w:hAnsi="Times New Roman"/>
                          <w:sz w:val="21"/>
                        </w:rPr>
                        <w:t xml:space="preserve">d) nukreipti investicijas į efektyviai energiją vartojantį viešųjų pastatų ūkį, vadovaujantis Eurostato gairėmis, ir </w:t>
                      </w:r>
                    </w:p>
                    <w:p w14:paraId="21256C51" w14:textId="77777777" w:rsidR="003E0C4E" w:rsidRPr="0088207D" w:rsidRDefault="003E0C4E" w:rsidP="001D07DB">
                      <w:pPr>
                        <w:pStyle w:val="Text"/>
                        <w:spacing w:after="0" w:line="240" w:lineRule="auto"/>
                        <w:ind w:left="0" w:right="0"/>
                        <w:rPr>
                          <w:rFonts w:ascii="Times New Roman" w:hAnsi="Times New Roman" w:cs="Times New Roman"/>
                          <w:bCs/>
                          <w:color w:val="000000" w:themeColor="text1"/>
                          <w:sz w:val="21"/>
                          <w:szCs w:val="21"/>
                        </w:rPr>
                      </w:pPr>
                      <w:r w:rsidRPr="0088207D">
                        <w:rPr>
                          <w:rFonts w:ascii="Times New Roman" w:hAnsi="Times New Roman"/>
                          <w:sz w:val="21"/>
                          <w:szCs w:val="21"/>
                        </w:rPr>
                        <w:t>e) taikyti prieinamas ir skaidrias patariamąsias priemones, kaip antai, vieno langelio sistemas vartotojams ir konsultavimo energetikos klausimais paslaugas, susijusias su atitinkamomis energijos vartojimo efektyvumui didinti skirtomis renovacijomis ir finansavimo priemonėmis.</w:t>
                      </w:r>
                      <w:r w:rsidRPr="0088207D">
                        <w:rPr>
                          <w:rFonts w:ascii="Times New Roman" w:hAnsi="Times New Roman" w:cs="Times New Roman"/>
                          <w:bCs/>
                          <w:color w:val="000000" w:themeColor="text1"/>
                          <w:sz w:val="21"/>
                          <w:szCs w:val="21"/>
                        </w:rPr>
                        <w:t>“</w:t>
                      </w:r>
                    </w:p>
                    <w:p w14:paraId="33B93153" w14:textId="77777777" w:rsidR="003E0C4E" w:rsidRPr="00445553" w:rsidRDefault="003E0C4E" w:rsidP="001D07DB">
                      <w:pPr>
                        <w:pStyle w:val="Text"/>
                        <w:spacing w:after="120" w:line="240" w:lineRule="auto"/>
                        <w:ind w:left="0" w:right="0"/>
                        <w:rPr>
                          <w:rFonts w:ascii="Times New Roman" w:hAnsi="Times New Roman" w:cs="Times New Roman"/>
                          <w:bCs/>
                          <w:i/>
                          <w:iCs/>
                          <w:color w:val="000000" w:themeColor="text1"/>
                          <w:sz w:val="22"/>
                        </w:rPr>
                      </w:pPr>
                    </w:p>
                  </w:txbxContent>
                </v:textbox>
                <w10:anchorlock/>
              </v:shape>
            </w:pict>
          </mc:Fallback>
        </mc:AlternateContent>
      </w:r>
    </w:p>
    <w:p w14:paraId="4C7D3E19" w14:textId="77777777" w:rsidR="001D07DB" w:rsidRPr="00650EE4" w:rsidRDefault="001D07DB" w:rsidP="00DD1817">
      <w:pPr>
        <w:spacing w:after="120"/>
        <w:jc w:val="both"/>
        <w:rPr>
          <w:rFonts w:ascii="Times New Roman" w:hAnsi="Times New Roman"/>
          <w:color w:val="000000" w:themeColor="text1"/>
          <w:szCs w:val="22"/>
        </w:rPr>
      </w:pPr>
    </w:p>
    <w:p w14:paraId="084F0741" w14:textId="77777777" w:rsidR="00DD1817" w:rsidRPr="00650EE4" w:rsidRDefault="00DD1817" w:rsidP="00DD1817">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Ilgalaikės pastatų renovacijos vizija yra transformuoti esamą pastatų fondą taip, kad 2050 metais jis būtų:</w:t>
      </w:r>
    </w:p>
    <w:p w14:paraId="5AD5F4AB" w14:textId="506C19AE" w:rsidR="00DD1817" w:rsidRPr="00650EE4" w:rsidRDefault="005F7759" w:rsidP="00BD4925">
      <w:pPr>
        <w:pStyle w:val="ListParagraph"/>
        <w:numPr>
          <w:ilvl w:val="0"/>
          <w:numId w:val="32"/>
        </w:numPr>
        <w:spacing w:after="60"/>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00DD1817" w:rsidRPr="00650EE4">
        <w:rPr>
          <w:rFonts w:ascii="Times New Roman" w:hAnsi="Times New Roman"/>
          <w:color w:val="000000" w:themeColor="text1"/>
          <w:szCs w:val="22"/>
          <w:lang w:val="lt-LT"/>
        </w:rPr>
        <w:t xml:space="preserve">fektyviai vartojantis energiją (su sąlygomis pertvarkymui į </w:t>
      </w:r>
      <w:r w:rsidR="00DD1817" w:rsidRPr="00650EE4">
        <w:rPr>
          <w:rFonts w:ascii="Times New Roman" w:hAnsi="Times New Roman"/>
          <w:bCs/>
          <w:color w:val="000000" w:themeColor="text1"/>
          <w:szCs w:val="22"/>
          <w:lang w:val="lt-LT"/>
        </w:rPr>
        <w:t>bev</w:t>
      </w:r>
      <w:r>
        <w:rPr>
          <w:rFonts w:ascii="Times New Roman" w:hAnsi="Times New Roman"/>
          <w:bCs/>
          <w:color w:val="000000" w:themeColor="text1"/>
          <w:szCs w:val="22"/>
          <w:lang w:val="lt-LT"/>
        </w:rPr>
        <w:t>eik nulinės energijos pastatus);</w:t>
      </w:r>
    </w:p>
    <w:p w14:paraId="5D183CD4" w14:textId="7E7105B6" w:rsidR="00DD1817" w:rsidRPr="00650EE4" w:rsidRDefault="005F7759" w:rsidP="00BD4925">
      <w:pPr>
        <w:pStyle w:val="ListParagraph"/>
        <w:numPr>
          <w:ilvl w:val="0"/>
          <w:numId w:val="32"/>
        </w:numPr>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DD1817" w:rsidRPr="00650EE4">
        <w:rPr>
          <w:rFonts w:ascii="Times New Roman" w:hAnsi="Times New Roman"/>
          <w:color w:val="000000" w:themeColor="text1"/>
          <w:szCs w:val="22"/>
          <w:lang w:val="lt-LT"/>
        </w:rPr>
        <w:t xml:space="preserve">epriklausomas nuo iškastinio kuro. </w:t>
      </w:r>
    </w:p>
    <w:p w14:paraId="05E282C3" w14:textId="77777777" w:rsidR="00DD1817" w:rsidRPr="00650EE4" w:rsidRDefault="00DD1817" w:rsidP="00DD1817">
      <w:pPr>
        <w:jc w:val="both"/>
        <w:rPr>
          <w:rFonts w:ascii="Times New Roman" w:hAnsi="Times New Roman"/>
          <w:color w:val="000000" w:themeColor="text1"/>
          <w:szCs w:val="22"/>
        </w:rPr>
      </w:pPr>
    </w:p>
    <w:p w14:paraId="7BC434DF" w14:textId="547441AC" w:rsidR="001D07DB" w:rsidRPr="00650EE4" w:rsidRDefault="00741600" w:rsidP="00027296">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Informacija apie </w:t>
      </w:r>
      <w:r w:rsidR="00027296" w:rsidRPr="00650EE4">
        <w:rPr>
          <w:rFonts w:ascii="Times New Roman" w:hAnsi="Times New Roman"/>
          <w:color w:val="000000" w:themeColor="text1"/>
          <w:szCs w:val="22"/>
        </w:rPr>
        <w:t>pasta</w:t>
      </w:r>
      <w:r w:rsidR="00825C96" w:rsidRPr="00650EE4">
        <w:rPr>
          <w:rFonts w:ascii="Times New Roman" w:hAnsi="Times New Roman"/>
          <w:color w:val="000000" w:themeColor="text1"/>
          <w:szCs w:val="22"/>
        </w:rPr>
        <w:t xml:space="preserve">tų fondo </w:t>
      </w:r>
      <w:r w:rsidRPr="00650EE4">
        <w:rPr>
          <w:rFonts w:ascii="Times New Roman" w:hAnsi="Times New Roman"/>
          <w:color w:val="000000" w:themeColor="text1"/>
          <w:szCs w:val="22"/>
        </w:rPr>
        <w:t xml:space="preserve">transformacijos tikslus, rodiklius ir siektinas naudas pateikiama </w:t>
      </w:r>
      <w:r w:rsidR="00E76D60">
        <w:rPr>
          <w:rFonts w:ascii="Times New Roman" w:hAnsi="Times New Roman"/>
          <w:color w:val="000000" w:themeColor="text1"/>
          <w:szCs w:val="22"/>
          <w:lang w:val="en-GB"/>
        </w:rPr>
        <w:t>5</w:t>
      </w:r>
      <w:r w:rsidRPr="00650EE4">
        <w:rPr>
          <w:rFonts w:ascii="Times New Roman" w:hAnsi="Times New Roman"/>
          <w:color w:val="000000" w:themeColor="text1"/>
          <w:szCs w:val="22"/>
        </w:rPr>
        <w:t xml:space="preserve"> skyriuje.</w:t>
      </w:r>
      <w:r w:rsidR="00825C96" w:rsidRPr="00650EE4">
        <w:rPr>
          <w:rFonts w:ascii="Times New Roman" w:hAnsi="Times New Roman"/>
          <w:color w:val="000000" w:themeColor="text1"/>
          <w:szCs w:val="22"/>
        </w:rPr>
        <w:t xml:space="preserve"> Konkrečios</w:t>
      </w:r>
      <w:r w:rsidR="00793199" w:rsidRPr="00650EE4">
        <w:rPr>
          <w:rFonts w:ascii="Times New Roman" w:hAnsi="Times New Roman"/>
          <w:color w:val="000000" w:themeColor="text1"/>
          <w:szCs w:val="22"/>
        </w:rPr>
        <w:t xml:space="preserve"> transformacijos įgyvendinimo priemonės, jų įgyvendinimui reik</w:t>
      </w:r>
      <w:r w:rsidR="00825C96" w:rsidRPr="00650EE4">
        <w:rPr>
          <w:rFonts w:ascii="Times New Roman" w:hAnsi="Times New Roman"/>
          <w:color w:val="000000" w:themeColor="text1"/>
          <w:szCs w:val="22"/>
        </w:rPr>
        <w:t>a</w:t>
      </w:r>
      <w:r w:rsidR="00793199" w:rsidRPr="00650EE4">
        <w:rPr>
          <w:rFonts w:ascii="Times New Roman" w:hAnsi="Times New Roman"/>
          <w:color w:val="000000" w:themeColor="text1"/>
          <w:szCs w:val="22"/>
        </w:rPr>
        <w:t xml:space="preserve">lingi resursai </w:t>
      </w:r>
      <w:r w:rsidR="00825C96" w:rsidRPr="00650EE4">
        <w:rPr>
          <w:rFonts w:ascii="Times New Roman" w:hAnsi="Times New Roman"/>
          <w:color w:val="000000" w:themeColor="text1"/>
          <w:szCs w:val="22"/>
        </w:rPr>
        <w:t xml:space="preserve">ir finansavimo mechanizmai bus nurodyti IRS </w:t>
      </w:r>
      <w:r w:rsidR="00027296" w:rsidRPr="00650EE4">
        <w:rPr>
          <w:rFonts w:ascii="Times New Roman" w:hAnsi="Times New Roman"/>
          <w:color w:val="000000" w:themeColor="text1"/>
          <w:szCs w:val="22"/>
        </w:rPr>
        <w:t>įgyvendinimo plane 2021</w:t>
      </w:r>
      <w:r w:rsidR="00825C96" w:rsidRPr="00650EE4">
        <w:rPr>
          <w:rFonts w:ascii="Times New Roman" w:hAnsi="Times New Roman"/>
          <w:color w:val="000000" w:themeColor="text1"/>
          <w:szCs w:val="22"/>
        </w:rPr>
        <w:t xml:space="preserve">-2030. </w:t>
      </w:r>
    </w:p>
    <w:p w14:paraId="32504236" w14:textId="77777777" w:rsidR="001D07DB" w:rsidRPr="00650EE4" w:rsidRDefault="001D07DB" w:rsidP="00027296">
      <w:pPr>
        <w:jc w:val="both"/>
        <w:rPr>
          <w:rFonts w:ascii="Times New Roman" w:hAnsi="Times New Roman"/>
          <w:color w:val="000000" w:themeColor="text1"/>
          <w:szCs w:val="22"/>
        </w:rPr>
      </w:pPr>
    </w:p>
    <w:p w14:paraId="031D70D5" w14:textId="312D4F84" w:rsidR="00741600" w:rsidRPr="00650EE4" w:rsidRDefault="00741600" w:rsidP="00027296">
      <w:pPr>
        <w:jc w:val="both"/>
        <w:rPr>
          <w:rFonts w:ascii="Times New Roman" w:hAnsi="Times New Roman"/>
          <w:color w:val="000000" w:themeColor="text1"/>
          <w:szCs w:val="22"/>
        </w:rPr>
      </w:pPr>
      <w:r w:rsidRPr="00650EE4">
        <w:rPr>
          <w:rFonts w:ascii="Times New Roman" w:hAnsi="Times New Roman"/>
          <w:color w:val="000000" w:themeColor="text1"/>
          <w:szCs w:val="22"/>
        </w:rPr>
        <w:t>Šiame skyriuje pateikiama informacija apie</w:t>
      </w:r>
      <w:r w:rsidR="00825C96" w:rsidRPr="00650EE4">
        <w:rPr>
          <w:rFonts w:ascii="Times New Roman" w:hAnsi="Times New Roman"/>
          <w:color w:val="000000" w:themeColor="text1"/>
          <w:szCs w:val="22"/>
        </w:rPr>
        <w:t xml:space="preserve"> principinį renovacijos strategijos įgyvendinimo modelį</w:t>
      </w:r>
      <w:r w:rsidR="00027296" w:rsidRPr="00650EE4">
        <w:rPr>
          <w:rFonts w:ascii="Times New Roman" w:hAnsi="Times New Roman"/>
          <w:color w:val="000000" w:themeColor="text1"/>
          <w:szCs w:val="22"/>
        </w:rPr>
        <w:t xml:space="preserve">, kuriuo remiantis būtų rengiamas  IRS įgyvendinimo planas 2021-2030. </w:t>
      </w:r>
    </w:p>
    <w:p w14:paraId="1BE8BBC2" w14:textId="77777777" w:rsidR="00027296" w:rsidRPr="00650EE4" w:rsidRDefault="00027296" w:rsidP="00027296">
      <w:pPr>
        <w:jc w:val="both"/>
        <w:rPr>
          <w:rFonts w:ascii="Times New Roman" w:hAnsi="Times New Roman"/>
          <w:color w:val="000000" w:themeColor="text1"/>
          <w:szCs w:val="22"/>
        </w:rPr>
      </w:pPr>
    </w:p>
    <w:p w14:paraId="4016BA4D" w14:textId="1922CEF6" w:rsidR="00027296" w:rsidRPr="00650EE4" w:rsidRDefault="00485DFC" w:rsidP="00485DFC">
      <w:pPr>
        <w:spacing w:after="120"/>
        <w:jc w:val="both"/>
        <w:rPr>
          <w:rFonts w:ascii="Times New Roman" w:hAnsi="Times New Roman"/>
          <w:color w:val="000000" w:themeColor="text1"/>
          <w:szCs w:val="22"/>
        </w:rPr>
      </w:pPr>
      <w:r w:rsidRPr="00650EE4">
        <w:rPr>
          <w:rFonts w:ascii="Times New Roman" w:hAnsi="Times New Roman"/>
          <w:color w:val="000000" w:themeColor="text1"/>
          <w:szCs w:val="22"/>
        </w:rPr>
        <w:t xml:space="preserve">Kuriant </w:t>
      </w:r>
      <w:r w:rsidR="00741600" w:rsidRPr="00650EE4">
        <w:rPr>
          <w:rFonts w:ascii="Times New Roman" w:hAnsi="Times New Roman"/>
          <w:color w:val="000000" w:themeColor="text1"/>
          <w:szCs w:val="22"/>
        </w:rPr>
        <w:t xml:space="preserve">principinį </w:t>
      </w:r>
      <w:r w:rsidR="00027296" w:rsidRPr="00650EE4">
        <w:rPr>
          <w:rFonts w:ascii="Times New Roman" w:hAnsi="Times New Roman"/>
          <w:color w:val="000000" w:themeColor="text1"/>
          <w:szCs w:val="22"/>
        </w:rPr>
        <w:t xml:space="preserve">renovacijos strategijos įgyvendinimo </w:t>
      </w:r>
      <w:r w:rsidRPr="00650EE4">
        <w:rPr>
          <w:rFonts w:ascii="Times New Roman" w:hAnsi="Times New Roman"/>
          <w:color w:val="000000" w:themeColor="text1"/>
          <w:szCs w:val="22"/>
        </w:rPr>
        <w:t xml:space="preserve">modelį </w:t>
      </w:r>
      <w:r w:rsidR="00027296" w:rsidRPr="00650EE4">
        <w:rPr>
          <w:rFonts w:ascii="Times New Roman" w:hAnsi="Times New Roman"/>
          <w:color w:val="000000" w:themeColor="text1"/>
          <w:szCs w:val="22"/>
        </w:rPr>
        <w:t xml:space="preserve">siekta: </w:t>
      </w:r>
    </w:p>
    <w:p w14:paraId="62921B69" w14:textId="7E6C2C49" w:rsidR="00916640"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i</w:t>
      </w:r>
      <w:r w:rsidR="00916640" w:rsidRPr="00650EE4">
        <w:rPr>
          <w:rFonts w:ascii="Times New Roman" w:hAnsi="Times New Roman"/>
          <w:color w:val="000000" w:themeColor="text1"/>
          <w:szCs w:val="22"/>
          <w:lang w:val="lt-LT"/>
        </w:rPr>
        <w:t xml:space="preserve">dentifikuoti  kritinius </w:t>
      </w:r>
      <w:r w:rsidR="006D180C" w:rsidRPr="00650EE4">
        <w:rPr>
          <w:rFonts w:ascii="Times New Roman" w:hAnsi="Times New Roman"/>
          <w:color w:val="000000" w:themeColor="text1"/>
          <w:szCs w:val="22"/>
          <w:lang w:val="lt-LT"/>
        </w:rPr>
        <w:t xml:space="preserve">strategijos įgyvendinimo </w:t>
      </w:r>
      <w:r w:rsidR="00916640" w:rsidRPr="00650EE4">
        <w:rPr>
          <w:rFonts w:ascii="Times New Roman" w:hAnsi="Times New Roman"/>
          <w:color w:val="000000" w:themeColor="text1"/>
          <w:szCs w:val="22"/>
          <w:lang w:val="lt-LT"/>
        </w:rPr>
        <w:t xml:space="preserve">veiksnius (sėkmės faktorius), būtinus nustatytų renovacijos barjerų (žr. </w:t>
      </w:r>
      <w:r w:rsidR="00E76D60">
        <w:rPr>
          <w:rFonts w:ascii="Times New Roman" w:hAnsi="Times New Roman"/>
          <w:color w:val="000000" w:themeColor="text1"/>
          <w:szCs w:val="22"/>
          <w:lang w:val="lt-LT"/>
        </w:rPr>
        <w:t>4</w:t>
      </w:r>
      <w:r w:rsidR="00916640" w:rsidRPr="00650EE4">
        <w:rPr>
          <w:rFonts w:ascii="Times New Roman" w:hAnsi="Times New Roman"/>
          <w:color w:val="000000" w:themeColor="text1"/>
          <w:szCs w:val="22"/>
          <w:lang w:val="lt-LT"/>
        </w:rPr>
        <w:t xml:space="preserve"> skyrių) panaikinimui ar sumažinimui iki priimtino lygio, tam, kad keliami tikslai būtų pasiekti;</w:t>
      </w:r>
    </w:p>
    <w:p w14:paraId="07A114F3" w14:textId="11569511" w:rsidR="00DD1817" w:rsidRPr="00650EE4" w:rsidRDefault="005F7759" w:rsidP="008F114A">
      <w:pPr>
        <w:pStyle w:val="ListParagraph"/>
        <w:numPr>
          <w:ilvl w:val="0"/>
          <w:numId w:val="33"/>
        </w:numPr>
        <w:spacing w:after="24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00916640" w:rsidRPr="00650EE4">
        <w:rPr>
          <w:rFonts w:ascii="Times New Roman" w:hAnsi="Times New Roman"/>
          <w:color w:val="000000" w:themeColor="text1"/>
          <w:szCs w:val="22"/>
          <w:lang w:val="lt-LT"/>
        </w:rPr>
        <w:t xml:space="preserve">gyvendinimo eigą ir priemones formuoti taip, kad </w:t>
      </w:r>
      <w:r w:rsidR="00DD1817" w:rsidRPr="00650EE4">
        <w:rPr>
          <w:rFonts w:ascii="Times New Roman" w:hAnsi="Times New Roman"/>
          <w:color w:val="000000" w:themeColor="text1"/>
          <w:szCs w:val="22"/>
          <w:lang w:val="lt-LT"/>
        </w:rPr>
        <w:t>pastatų fondo transformacija būtų tvari, kompleksiška ir atspindinti esmines Europos žaliojo kurso nuostatas</w:t>
      </w:r>
      <w:r w:rsidR="008F114A">
        <w:rPr>
          <w:rFonts w:ascii="Times New Roman" w:hAnsi="Times New Roman"/>
          <w:color w:val="000000" w:themeColor="text1"/>
          <w:szCs w:val="22"/>
          <w:lang w:val="lt-LT"/>
        </w:rPr>
        <w:t>,</w:t>
      </w:r>
      <w:r w:rsidR="00DD1817" w:rsidRPr="00650EE4">
        <w:rPr>
          <w:rFonts w:ascii="Times New Roman" w:hAnsi="Times New Roman"/>
          <w:color w:val="000000" w:themeColor="text1"/>
          <w:szCs w:val="22"/>
          <w:lang w:val="lt-LT"/>
        </w:rPr>
        <w:t xml:space="preserve"> </w:t>
      </w:r>
      <w:r w:rsidR="008F114A" w:rsidRPr="008F114A">
        <w:rPr>
          <w:rFonts w:ascii="Times New Roman" w:hAnsi="Times New Roman"/>
          <w:color w:val="000000" w:themeColor="text1"/>
          <w:szCs w:val="22"/>
          <w:lang w:val="lt-LT"/>
        </w:rPr>
        <w:t>orientuotas tiek į konkrečius pastatų fondo transformacijos tikslus (žr. paveikslą žemiau), tiek į kitas, Europos žaliajame kurse akcentuojamas, platesnio masto naudas (pvz. užtikrinant pastatų fondo transformacijos darną su biologinės įvairovės apsaugos tikslais).</w:t>
      </w:r>
    </w:p>
    <w:p w14:paraId="0BBF6A61" w14:textId="77777777" w:rsidR="001D07DB" w:rsidRPr="00650EE4" w:rsidRDefault="001D07DB">
      <w:pPr>
        <w:spacing w:after="240"/>
        <w:rPr>
          <w:rFonts w:ascii="Times New Roman" w:eastAsiaTheme="minorHAnsi" w:hAnsi="Times New Roman"/>
          <w:bCs/>
          <w:i/>
          <w:color w:val="000000" w:themeColor="text1"/>
          <w:sz w:val="20"/>
          <w:szCs w:val="20"/>
        </w:rPr>
      </w:pPr>
      <w:r w:rsidRPr="00650EE4">
        <w:br w:type="page"/>
      </w:r>
    </w:p>
    <w:p w14:paraId="49AD5A8F" w14:textId="4C08E17E" w:rsidR="00DD1817" w:rsidRPr="00650EE4" w:rsidRDefault="00DD1817" w:rsidP="00631BA6">
      <w:pPr>
        <w:pStyle w:val="TESlentelspavadinimas"/>
        <w:rPr>
          <w:noProof w:val="0"/>
        </w:rPr>
      </w:pPr>
      <w:r w:rsidRPr="00650EE4">
        <w:rPr>
          <w:noProof w:val="0"/>
        </w:rPr>
        <w:lastRenderedPageBreak/>
        <w:fldChar w:fldCharType="begin"/>
      </w:r>
      <w:r w:rsidRPr="00650EE4">
        <w:rPr>
          <w:noProof w:val="0"/>
        </w:rPr>
        <w:instrText xml:space="preserve"> SEQ paveikslas \* ARABIC </w:instrText>
      </w:r>
      <w:r w:rsidRPr="00650EE4">
        <w:rPr>
          <w:noProof w:val="0"/>
        </w:rPr>
        <w:fldChar w:fldCharType="separate"/>
      </w:r>
      <w:bookmarkStart w:id="199" w:name="_Toc59094277"/>
      <w:r w:rsidR="00F25C65">
        <w:t>28</w:t>
      </w:r>
      <w:r w:rsidRPr="00650EE4">
        <w:rPr>
          <w:noProof w:val="0"/>
        </w:rPr>
        <w:fldChar w:fldCharType="end"/>
      </w:r>
      <w:r w:rsidRPr="00650EE4">
        <w:rPr>
          <w:noProof w:val="0"/>
        </w:rPr>
        <w:t xml:space="preserve"> paveikslas. Siektinas pastatų fondo transformacijos rezultatas</w:t>
      </w:r>
      <w:bookmarkEnd w:id="199"/>
      <w:r w:rsidRPr="00650EE4">
        <w:rPr>
          <w:noProof w:val="0"/>
        </w:rPr>
        <w:t xml:space="preserve"> </w:t>
      </w:r>
    </w:p>
    <w:p w14:paraId="1A780734" w14:textId="77777777" w:rsidR="00DD1817" w:rsidRPr="00650EE4" w:rsidRDefault="00DD1817" w:rsidP="00DD1817">
      <w:pPr>
        <w:spacing w:line="240" w:lineRule="auto"/>
        <w:rPr>
          <w:rFonts w:ascii="Times New Roman" w:hAnsi="Times New Roman"/>
          <w:lang w:eastAsia="lt-LT"/>
        </w:rPr>
      </w:pPr>
      <w:r w:rsidRPr="00650EE4">
        <w:rPr>
          <w:rFonts w:ascii="Times New Roman" w:hAnsi="Times New Roman"/>
          <w:noProof/>
          <w:lang w:eastAsia="lt-LT"/>
        </w:rPr>
        <w:drawing>
          <wp:inline distT="0" distB="0" distL="0" distR="0" wp14:anchorId="2AAB5544" wp14:editId="6BB83D71">
            <wp:extent cx="3533775" cy="3272657"/>
            <wp:effectExtent l="19050" t="19050" r="9525" b="23495"/>
            <wp:docPr id="54"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BDFFC69-879B-44E3-8D2B-E7D2DA1D521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BDFFC69-879B-44E3-8D2B-E7D2DA1D521F}"/>
                        </a:ext>
                      </a:extLst>
                    </pic:cNvPr>
                    <pic:cNvPicPr>
                      <a:picLocks noChangeAspect="1"/>
                    </pic:cNvPicPr>
                  </pic:nvPicPr>
                  <pic:blipFill>
                    <a:blip r:embed="rId62"/>
                    <a:stretch>
                      <a:fillRect/>
                    </a:stretch>
                  </pic:blipFill>
                  <pic:spPr>
                    <a:xfrm>
                      <a:off x="0" y="0"/>
                      <a:ext cx="3583103" cy="3318340"/>
                    </a:xfrm>
                    <a:prstGeom prst="rect">
                      <a:avLst/>
                    </a:prstGeom>
                    <a:ln>
                      <a:solidFill>
                        <a:schemeClr val="bg1">
                          <a:lumMod val="65000"/>
                        </a:schemeClr>
                      </a:solidFill>
                    </a:ln>
                  </pic:spPr>
                </pic:pic>
              </a:graphicData>
            </a:graphic>
          </wp:inline>
        </w:drawing>
      </w:r>
    </w:p>
    <w:p w14:paraId="09B914E9" w14:textId="1B2FF965" w:rsidR="00DD1817" w:rsidRPr="00650EE4" w:rsidRDefault="00DD1817" w:rsidP="00DD1817">
      <w:pPr>
        <w:spacing w:line="240" w:lineRule="auto"/>
        <w:rPr>
          <w:rFonts w:ascii="Times New Roman" w:hAnsi="Times New Roman"/>
          <w:i/>
          <w:iCs/>
          <w:color w:val="000000" w:themeColor="text1"/>
          <w:sz w:val="20"/>
          <w:szCs w:val="20"/>
        </w:rPr>
      </w:pPr>
      <w:r w:rsidRPr="00650EE4">
        <w:rPr>
          <w:rFonts w:ascii="Times New Roman" w:hAnsi="Times New Roman"/>
          <w:i/>
          <w:iCs/>
          <w:sz w:val="20"/>
          <w:szCs w:val="20"/>
        </w:rPr>
        <w:t xml:space="preserve">Šaltinis: </w:t>
      </w:r>
      <w:r w:rsidR="00E76D60" w:rsidRPr="00650EE4">
        <w:rPr>
          <w:rFonts w:ascii="Times New Roman" w:hAnsi="Times New Roman"/>
          <w:i/>
          <w:iCs/>
          <w:color w:val="000000" w:themeColor="text1"/>
          <w:sz w:val="20"/>
          <w:szCs w:val="20"/>
        </w:rPr>
        <w:t>Iniciatyvos „Renovacijos banga“ veiksmų planas</w:t>
      </w:r>
      <w:r w:rsidRPr="00650EE4">
        <w:rPr>
          <w:rStyle w:val="FootnoteReference"/>
          <w:rFonts w:ascii="Times New Roman" w:hAnsi="Times New Roman"/>
          <w:i/>
          <w:iCs/>
          <w:color w:val="000000" w:themeColor="text1"/>
          <w:sz w:val="20"/>
          <w:szCs w:val="20"/>
        </w:rPr>
        <w:footnoteReference w:id="53"/>
      </w:r>
    </w:p>
    <w:p w14:paraId="5124FECD" w14:textId="77777777" w:rsidR="001D07DB" w:rsidRPr="00650EE4" w:rsidRDefault="001D07DB" w:rsidP="00DD1817">
      <w:pPr>
        <w:spacing w:line="240" w:lineRule="auto"/>
        <w:jc w:val="both"/>
        <w:rPr>
          <w:rFonts w:ascii="Times New Roman" w:hAnsi="Times New Roman"/>
          <w:color w:val="000000" w:themeColor="text1"/>
          <w:szCs w:val="24"/>
        </w:rPr>
      </w:pPr>
    </w:p>
    <w:p w14:paraId="3B491725" w14:textId="51E20ADD" w:rsidR="006D180C" w:rsidRPr="00650EE4" w:rsidRDefault="006D180C" w:rsidP="00DD1817">
      <w:pPr>
        <w:spacing w:line="240" w:lineRule="auto"/>
        <w:jc w:val="both"/>
        <w:rPr>
          <w:rFonts w:ascii="Times New Roman" w:hAnsi="Times New Roman"/>
          <w:color w:val="000000" w:themeColor="text1"/>
          <w:szCs w:val="24"/>
        </w:rPr>
      </w:pPr>
      <w:r w:rsidRPr="00650EE4">
        <w:rPr>
          <w:rFonts w:ascii="Times New Roman" w:hAnsi="Times New Roman"/>
          <w:color w:val="000000" w:themeColor="text1"/>
          <w:szCs w:val="24"/>
        </w:rPr>
        <w:t>Atliktos renovacijos barjerų analizės rezultata</w:t>
      </w:r>
      <w:r w:rsidR="009F6208" w:rsidRPr="00650EE4">
        <w:rPr>
          <w:rFonts w:ascii="Times New Roman" w:hAnsi="Times New Roman"/>
          <w:color w:val="000000" w:themeColor="text1"/>
          <w:szCs w:val="24"/>
        </w:rPr>
        <w:t>i</w:t>
      </w:r>
      <w:r w:rsidRPr="00650EE4">
        <w:rPr>
          <w:rFonts w:ascii="Times New Roman" w:hAnsi="Times New Roman"/>
          <w:color w:val="000000" w:themeColor="text1"/>
          <w:szCs w:val="24"/>
        </w:rPr>
        <w:t xml:space="preserve"> patvirtino daugybės atliktų studijų ir tyrimų išvadą, kad renovacijos procesas yra ypatingai fragmentuotas ir dėl to sunkiai transformuojamas. Renovacijos proceso fragmentacija pasireiškia tuo, kad procese dalyvauja da</w:t>
      </w:r>
      <w:r w:rsidR="005F7759">
        <w:rPr>
          <w:rFonts w:ascii="Times New Roman" w:hAnsi="Times New Roman"/>
          <w:color w:val="000000" w:themeColor="text1"/>
          <w:szCs w:val="24"/>
        </w:rPr>
        <w:t>ug skirtingų šalių su skirtinga</w:t>
      </w:r>
      <w:r w:rsidRPr="00650EE4">
        <w:rPr>
          <w:rFonts w:ascii="Times New Roman" w:hAnsi="Times New Roman"/>
          <w:color w:val="000000" w:themeColor="text1"/>
          <w:szCs w:val="24"/>
        </w:rPr>
        <w:t>is interesais ir, atitinkamai, skirtingais barjerais trukdančiais priimti sprendimus, būtinus sparčiam ir efektyviam renovacijos įgyvendinimui.</w:t>
      </w:r>
    </w:p>
    <w:p w14:paraId="714173CA" w14:textId="77777777" w:rsidR="00485DFC" w:rsidRPr="00650EE4" w:rsidRDefault="00485DFC" w:rsidP="00485DFC">
      <w:pPr>
        <w:spacing w:line="240" w:lineRule="auto"/>
        <w:jc w:val="both"/>
        <w:rPr>
          <w:rFonts w:ascii="Times New Roman" w:hAnsi="Times New Roman"/>
          <w:color w:val="000000" w:themeColor="text1"/>
          <w:szCs w:val="24"/>
        </w:rPr>
      </w:pPr>
    </w:p>
    <w:p w14:paraId="7703FD86" w14:textId="2C880B12" w:rsidR="00485DFC" w:rsidRPr="00650EE4" w:rsidRDefault="00485DFC" w:rsidP="00485DFC">
      <w:pPr>
        <w:spacing w:line="240" w:lineRule="auto"/>
        <w:rPr>
          <w:rFonts w:ascii="Times New Roman" w:hAnsi="Times New Roman"/>
          <w:color w:val="000000" w:themeColor="text1"/>
          <w:szCs w:val="22"/>
        </w:rPr>
      </w:pPr>
      <w:r w:rsidRPr="00650EE4">
        <w:rPr>
          <w:rFonts w:ascii="Times New Roman" w:hAnsi="Times New Roman"/>
          <w:color w:val="000000" w:themeColor="text1"/>
          <w:szCs w:val="22"/>
        </w:rPr>
        <w:t>Iniciatyvos „Renovacijos banga“</w:t>
      </w:r>
      <w:r w:rsidRPr="00650EE4">
        <w:rPr>
          <w:rStyle w:val="FootnoteReference"/>
          <w:rFonts w:ascii="Times New Roman" w:hAnsi="Times New Roman"/>
          <w:i/>
          <w:iCs/>
          <w:color w:val="000000" w:themeColor="text1"/>
          <w:sz w:val="20"/>
          <w:szCs w:val="20"/>
        </w:rPr>
        <w:t xml:space="preserve"> </w:t>
      </w:r>
      <w:r w:rsidRPr="00650EE4">
        <w:rPr>
          <w:rFonts w:ascii="Times New Roman" w:hAnsi="Times New Roman"/>
          <w:color w:val="000000" w:themeColor="text1"/>
          <w:szCs w:val="22"/>
        </w:rPr>
        <w:t>veiksmų planas išskiria šias pagrindines renovacijos suinteresuotas šalis ir proceso dalyvių grupes bei siektinas jų atsakomybes renovacijos procese:</w:t>
      </w:r>
    </w:p>
    <w:p w14:paraId="6F21E24E" w14:textId="77777777" w:rsidR="00485DFC" w:rsidRPr="00650EE4" w:rsidRDefault="00485DFC" w:rsidP="00485DFC">
      <w:pPr>
        <w:spacing w:line="240" w:lineRule="auto"/>
        <w:rPr>
          <w:rFonts w:ascii="Times New Roman" w:hAnsi="Times New Roman"/>
          <w:color w:val="000000" w:themeColor="text1"/>
          <w:szCs w:val="22"/>
        </w:rPr>
      </w:pPr>
    </w:p>
    <w:p w14:paraId="01F3C872" w14:textId="77777777" w:rsidR="00485DFC" w:rsidRPr="00650EE4" w:rsidRDefault="00485DFC"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00" w:name="_Toc49918659"/>
      <w:bookmarkStart w:id="201" w:name="_Toc59094248"/>
      <w:r w:rsidR="00F25C65">
        <w:t>65</w:t>
      </w:r>
      <w:r w:rsidRPr="00650EE4">
        <w:rPr>
          <w:noProof w:val="0"/>
        </w:rPr>
        <w:fldChar w:fldCharType="end"/>
      </w:r>
      <w:r w:rsidRPr="00650EE4">
        <w:rPr>
          <w:noProof w:val="0"/>
        </w:rPr>
        <w:t xml:space="preserve"> lentelė. Renovacijos proceso šalys ir atsakomybės</w:t>
      </w:r>
      <w:bookmarkEnd w:id="200"/>
      <w:bookmarkEnd w:id="201"/>
      <w:r w:rsidRPr="00650EE4">
        <w:rPr>
          <w:noProof w:val="0"/>
        </w:rPr>
        <w:t xml:space="preserve"> </w:t>
      </w:r>
    </w:p>
    <w:tbl>
      <w:tblPr>
        <w:tblStyle w:val="TableGrid"/>
        <w:tblW w:w="10201" w:type="dxa"/>
        <w:tblLook w:val="04A0" w:firstRow="1" w:lastRow="0" w:firstColumn="1" w:lastColumn="0" w:noHBand="0" w:noVBand="1"/>
      </w:tblPr>
      <w:tblGrid>
        <w:gridCol w:w="2547"/>
        <w:gridCol w:w="7654"/>
      </w:tblGrid>
      <w:tr w:rsidR="00485DFC" w:rsidRPr="00650EE4" w14:paraId="4FD7BB81" w14:textId="77777777" w:rsidTr="00562E41">
        <w:tc>
          <w:tcPr>
            <w:tcW w:w="2547" w:type="dxa"/>
          </w:tcPr>
          <w:p w14:paraId="005D6581" w14:textId="77777777" w:rsidR="00485DFC" w:rsidRPr="00650EE4" w:rsidRDefault="00485DFC" w:rsidP="00562E41">
            <w:pPr>
              <w:rPr>
                <w:rFonts w:ascii="Times New Roman" w:hAnsi="Times New Roman"/>
                <w:b/>
                <w:color w:val="auto"/>
                <w:sz w:val="20"/>
                <w:szCs w:val="20"/>
              </w:rPr>
            </w:pPr>
            <w:r w:rsidRPr="00650EE4">
              <w:rPr>
                <w:rFonts w:ascii="Times New Roman" w:hAnsi="Times New Roman"/>
                <w:b/>
                <w:color w:val="auto"/>
                <w:sz w:val="20"/>
                <w:szCs w:val="20"/>
              </w:rPr>
              <w:t>Šalis</w:t>
            </w:r>
          </w:p>
        </w:tc>
        <w:tc>
          <w:tcPr>
            <w:tcW w:w="7654" w:type="dxa"/>
          </w:tcPr>
          <w:p w14:paraId="1A0BC02A" w14:textId="77777777" w:rsidR="00485DFC" w:rsidRPr="00650EE4" w:rsidRDefault="00485DFC" w:rsidP="00562E41">
            <w:pPr>
              <w:rPr>
                <w:rFonts w:ascii="Times New Roman" w:hAnsi="Times New Roman"/>
                <w:b/>
                <w:color w:val="auto"/>
                <w:sz w:val="20"/>
                <w:szCs w:val="20"/>
              </w:rPr>
            </w:pPr>
            <w:r w:rsidRPr="00650EE4">
              <w:rPr>
                <w:rFonts w:ascii="Times New Roman" w:hAnsi="Times New Roman"/>
                <w:b/>
                <w:color w:val="auto"/>
                <w:sz w:val="20"/>
                <w:szCs w:val="20"/>
              </w:rPr>
              <w:t>Atsakomybė siekiant proveržio renovacijoje</w:t>
            </w:r>
          </w:p>
        </w:tc>
      </w:tr>
      <w:tr w:rsidR="00485DFC" w:rsidRPr="00650EE4" w14:paraId="7160197F" w14:textId="77777777" w:rsidTr="00562E41">
        <w:tc>
          <w:tcPr>
            <w:tcW w:w="2547" w:type="dxa"/>
          </w:tcPr>
          <w:p w14:paraId="224132E9" w14:textId="77777777" w:rsidR="00485DFC" w:rsidRPr="00650EE4" w:rsidRDefault="00485DFC" w:rsidP="00562E41">
            <w:pPr>
              <w:pStyle w:val="BodyText"/>
              <w:spacing w:after="60"/>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Ministerijos, Vyriausybės lygmuo</w:t>
            </w:r>
          </w:p>
          <w:p w14:paraId="3A4ACF77" w14:textId="77777777" w:rsidR="00485DFC" w:rsidRPr="00650EE4" w:rsidRDefault="00485DFC" w:rsidP="00562E41">
            <w:pPr>
              <w:rPr>
                <w:rFonts w:ascii="Times New Roman" w:hAnsi="Times New Roman"/>
                <w:color w:val="auto"/>
                <w:sz w:val="20"/>
                <w:szCs w:val="20"/>
              </w:rPr>
            </w:pPr>
          </w:p>
        </w:tc>
        <w:tc>
          <w:tcPr>
            <w:tcW w:w="7654" w:type="dxa"/>
          </w:tcPr>
          <w:p w14:paraId="6305D242"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Tvirtina ilgalaikę renovacijos strategiją, griežtina minimalius energinio naudingumo reikalavimus, nustato reikalavimus rekonstruojamiems pastatams, renovuoja valstybei priklausančius pastatus, vykdo integruotą planavimą ir nacionalinę komunikaciją  </w:t>
            </w:r>
          </w:p>
        </w:tc>
      </w:tr>
      <w:tr w:rsidR="00485DFC" w:rsidRPr="00650EE4" w14:paraId="46532631" w14:textId="77777777" w:rsidTr="00562E41">
        <w:tc>
          <w:tcPr>
            <w:tcW w:w="2547" w:type="dxa"/>
          </w:tcPr>
          <w:p w14:paraId="0EBF1014"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Vietos savivaldos lygmuo</w:t>
            </w:r>
          </w:p>
          <w:p w14:paraId="52D89B51" w14:textId="77777777" w:rsidR="00485DFC" w:rsidRPr="00650EE4" w:rsidRDefault="00485DFC" w:rsidP="00562E41">
            <w:pPr>
              <w:rPr>
                <w:rFonts w:ascii="Times New Roman" w:hAnsi="Times New Roman"/>
                <w:color w:val="auto"/>
                <w:sz w:val="20"/>
                <w:szCs w:val="20"/>
              </w:rPr>
            </w:pPr>
          </w:p>
        </w:tc>
        <w:tc>
          <w:tcPr>
            <w:tcW w:w="7654" w:type="dxa"/>
          </w:tcPr>
          <w:p w14:paraId="5ACB5A46"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Užtikrina, kad renovacija vykdoma ne pavieniams pastatams, bet didesnėmis grupėmis kartu su inžinerinių tinklų rekonstrukcija, vykdo savivaldybės pastatų renovaciją, įkuria „vieno langelio“ konsultacinius centrus, kuriuose teikia informaciją apie visas įmanomas renovacijos galimybes, renka duomenis apie pastatų fondą ir jo charakteristikas</w:t>
            </w:r>
          </w:p>
        </w:tc>
      </w:tr>
      <w:tr w:rsidR="00485DFC" w:rsidRPr="00650EE4" w14:paraId="34813F55" w14:textId="77777777" w:rsidTr="00562E41">
        <w:tc>
          <w:tcPr>
            <w:tcW w:w="2547" w:type="dxa"/>
          </w:tcPr>
          <w:p w14:paraId="7EECFBD1" w14:textId="77777777" w:rsidR="00485DFC" w:rsidRPr="00650EE4" w:rsidRDefault="00485DFC" w:rsidP="00562E41">
            <w:pPr>
              <w:pStyle w:val="BodyText"/>
              <w:spacing w:after="60"/>
              <w:jc w:val="both"/>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Finansų sektorius</w:t>
            </w:r>
          </w:p>
          <w:p w14:paraId="64856ED8" w14:textId="77777777" w:rsidR="00485DFC" w:rsidRPr="00650EE4" w:rsidRDefault="00485DFC" w:rsidP="00562E41">
            <w:pPr>
              <w:rPr>
                <w:rFonts w:ascii="Times New Roman" w:hAnsi="Times New Roman"/>
                <w:color w:val="auto"/>
                <w:sz w:val="20"/>
                <w:szCs w:val="20"/>
              </w:rPr>
            </w:pPr>
          </w:p>
        </w:tc>
        <w:tc>
          <w:tcPr>
            <w:tcW w:w="7654" w:type="dxa"/>
          </w:tcPr>
          <w:p w14:paraId="6DFA404A"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Užtikrina energinio efektyvumo kompetencijų vystymą, vertina ir apjungia technines ir finansines </w:t>
            </w:r>
            <w:proofErr w:type="spellStart"/>
            <w:r w:rsidRPr="00650EE4">
              <w:rPr>
                <w:rFonts w:ascii="Times New Roman" w:hAnsi="Times New Roman"/>
                <w:color w:val="auto"/>
                <w:sz w:val="20"/>
                <w:szCs w:val="20"/>
              </w:rPr>
              <w:t>rizikas</w:t>
            </w:r>
            <w:proofErr w:type="spellEnd"/>
            <w:r w:rsidRPr="00650EE4">
              <w:rPr>
                <w:rFonts w:ascii="Times New Roman" w:hAnsi="Times New Roman"/>
                <w:color w:val="auto"/>
                <w:sz w:val="20"/>
                <w:szCs w:val="20"/>
              </w:rPr>
              <w:t>, prie finansinio vertinimo įtraukia aplinkosauginius, socialinius ir valdymo kriterijus, kuria ir siūlo standartinius finansinius produktus renovacijai</w:t>
            </w:r>
          </w:p>
        </w:tc>
      </w:tr>
      <w:tr w:rsidR="00485DFC" w:rsidRPr="00650EE4" w14:paraId="7EECA288" w14:textId="77777777" w:rsidTr="00562E41">
        <w:tc>
          <w:tcPr>
            <w:tcW w:w="2547" w:type="dxa"/>
          </w:tcPr>
          <w:p w14:paraId="5D6781CF" w14:textId="77777777" w:rsidR="00485DFC" w:rsidRPr="00650EE4" w:rsidRDefault="00485DFC" w:rsidP="00562E41">
            <w:pPr>
              <w:pStyle w:val="BodyText"/>
              <w:spacing w:after="120"/>
              <w:ind w:right="-108"/>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 xml:space="preserve">Projektuotojai </w:t>
            </w:r>
          </w:p>
        </w:tc>
        <w:tc>
          <w:tcPr>
            <w:tcW w:w="7654" w:type="dxa"/>
          </w:tcPr>
          <w:p w14:paraId="66EBCB8C"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Projektuoja naujus produktus, skirtus specifiškai renovacijai, panaudodami visas įmanomas naujiems pastatams skirtas priemones ir technologijas</w:t>
            </w:r>
          </w:p>
        </w:tc>
      </w:tr>
      <w:tr w:rsidR="00485DFC" w:rsidRPr="00650EE4" w14:paraId="51BEFE3E" w14:textId="77777777" w:rsidTr="00562E41">
        <w:tc>
          <w:tcPr>
            <w:tcW w:w="2547" w:type="dxa"/>
          </w:tcPr>
          <w:p w14:paraId="57243217" w14:textId="77777777" w:rsidR="00485DFC" w:rsidRPr="00650EE4" w:rsidRDefault="00485DFC" w:rsidP="00562E41">
            <w:pPr>
              <w:pStyle w:val="BodyText"/>
              <w:spacing w:after="120"/>
              <w:ind w:right="-108"/>
              <w:rPr>
                <w:rFonts w:ascii="Times New Roman" w:hAnsi="Times New Roman"/>
                <w:color w:val="000000" w:themeColor="text1"/>
                <w:sz w:val="20"/>
                <w:szCs w:val="20"/>
                <w:lang w:val="lt-LT"/>
              </w:rPr>
            </w:pPr>
            <w:r w:rsidRPr="00650EE4">
              <w:rPr>
                <w:rFonts w:ascii="Times New Roman" w:hAnsi="Times New Roman"/>
                <w:color w:val="000000" w:themeColor="text1"/>
                <w:sz w:val="20"/>
                <w:szCs w:val="20"/>
                <w:lang w:val="lt-LT"/>
              </w:rPr>
              <w:t xml:space="preserve">NT </w:t>
            </w:r>
            <w:proofErr w:type="spellStart"/>
            <w:r w:rsidRPr="00650EE4">
              <w:rPr>
                <w:rFonts w:ascii="Times New Roman" w:hAnsi="Times New Roman"/>
                <w:color w:val="000000" w:themeColor="text1"/>
                <w:sz w:val="20"/>
                <w:szCs w:val="20"/>
                <w:lang w:val="lt-LT"/>
              </w:rPr>
              <w:t>vystytojai</w:t>
            </w:r>
            <w:proofErr w:type="spellEnd"/>
          </w:p>
        </w:tc>
        <w:tc>
          <w:tcPr>
            <w:tcW w:w="7654" w:type="dxa"/>
          </w:tcPr>
          <w:p w14:paraId="22A291C5" w14:textId="050C194D"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 xml:space="preserve">Užtikrina statybos procesą be nereikalingo resursų eikvojimo, investuoja į inovacijas, įsitraukia į </w:t>
            </w:r>
            <w:r w:rsidR="00DF32CA">
              <w:rPr>
                <w:rFonts w:ascii="Times New Roman" w:hAnsi="Times New Roman"/>
                <w:color w:val="auto"/>
                <w:sz w:val="20"/>
                <w:szCs w:val="20"/>
              </w:rPr>
              <w:t>„</w:t>
            </w:r>
            <w:proofErr w:type="spellStart"/>
            <w:r w:rsidRPr="00650EE4">
              <w:rPr>
                <w:rFonts w:ascii="Times New Roman" w:hAnsi="Times New Roman"/>
                <w:color w:val="auto"/>
                <w:sz w:val="20"/>
                <w:szCs w:val="20"/>
              </w:rPr>
              <w:t>pre-fabrikuotų</w:t>
            </w:r>
            <w:r w:rsidR="00DF32CA">
              <w:rPr>
                <w:rFonts w:ascii="Times New Roman" w:hAnsi="Times New Roman"/>
                <w:color w:val="auto"/>
                <w:sz w:val="20"/>
                <w:szCs w:val="20"/>
              </w:rPr>
              <w:t>“</w:t>
            </w:r>
            <w:proofErr w:type="spellEnd"/>
            <w:r w:rsidRPr="00650EE4">
              <w:rPr>
                <w:rFonts w:ascii="Times New Roman" w:hAnsi="Times New Roman"/>
                <w:color w:val="auto"/>
                <w:sz w:val="20"/>
                <w:szCs w:val="20"/>
              </w:rPr>
              <w:t xml:space="preserve"> renovacijos produktų kūrimą, gamybą ir panaudojimą</w:t>
            </w:r>
          </w:p>
        </w:tc>
      </w:tr>
      <w:tr w:rsidR="00485DFC" w:rsidRPr="00650EE4" w14:paraId="5AFA834F" w14:textId="77777777" w:rsidTr="00562E41">
        <w:tc>
          <w:tcPr>
            <w:tcW w:w="2547" w:type="dxa"/>
          </w:tcPr>
          <w:p w14:paraId="272C7BE6"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Energijos tiekėjai</w:t>
            </w:r>
          </w:p>
        </w:tc>
        <w:tc>
          <w:tcPr>
            <w:tcW w:w="7654" w:type="dxa"/>
          </w:tcPr>
          <w:p w14:paraId="7099E531" w14:textId="560B540D" w:rsidR="00485DFC" w:rsidRPr="00650EE4" w:rsidRDefault="00485DFC" w:rsidP="009F6208">
            <w:pPr>
              <w:spacing w:after="60"/>
              <w:rPr>
                <w:rFonts w:ascii="Times New Roman" w:hAnsi="Times New Roman"/>
                <w:color w:val="auto"/>
                <w:sz w:val="20"/>
                <w:szCs w:val="20"/>
              </w:rPr>
            </w:pPr>
            <w:r w:rsidRPr="00650EE4">
              <w:rPr>
                <w:rFonts w:ascii="Times New Roman" w:hAnsi="Times New Roman"/>
                <w:color w:val="auto"/>
                <w:sz w:val="20"/>
                <w:szCs w:val="20"/>
              </w:rPr>
              <w:t>Teikia skaidrią informaciją apie energijos vartojimą tiek vartotojams (renovacijos sprendimams priimti), tiek savivaldybėms ir analitikams, peržiūri savo verslo modelį siekdami tapti ne energijo</w:t>
            </w:r>
            <w:r w:rsidR="009F6208" w:rsidRPr="00650EE4">
              <w:rPr>
                <w:rFonts w:ascii="Times New Roman" w:hAnsi="Times New Roman"/>
                <w:color w:val="auto"/>
                <w:sz w:val="20"/>
                <w:szCs w:val="20"/>
              </w:rPr>
              <w:t>s vieneto (</w:t>
            </w:r>
            <w:proofErr w:type="spellStart"/>
            <w:r w:rsidR="009F6208" w:rsidRPr="00650EE4">
              <w:rPr>
                <w:rFonts w:ascii="Times New Roman" w:hAnsi="Times New Roman"/>
                <w:color w:val="auto"/>
                <w:sz w:val="20"/>
                <w:szCs w:val="20"/>
              </w:rPr>
              <w:t>kWh</w:t>
            </w:r>
            <w:proofErr w:type="spellEnd"/>
            <w:r w:rsidR="009F6208" w:rsidRPr="00650EE4">
              <w:rPr>
                <w:rFonts w:ascii="Times New Roman" w:hAnsi="Times New Roman"/>
                <w:color w:val="auto"/>
                <w:sz w:val="20"/>
                <w:szCs w:val="20"/>
              </w:rPr>
              <w:t>), bet paslaugos tiekėjais</w:t>
            </w:r>
          </w:p>
        </w:tc>
      </w:tr>
      <w:tr w:rsidR="00485DFC" w:rsidRPr="00650EE4" w14:paraId="438C4B1A" w14:textId="77777777" w:rsidTr="00562E41">
        <w:tc>
          <w:tcPr>
            <w:tcW w:w="2547" w:type="dxa"/>
          </w:tcPr>
          <w:p w14:paraId="578C46F0" w14:textId="77777777" w:rsidR="00485DFC" w:rsidRPr="00650EE4" w:rsidRDefault="00485DFC" w:rsidP="00562E41">
            <w:pPr>
              <w:rPr>
                <w:rFonts w:ascii="Times New Roman" w:hAnsi="Times New Roman"/>
                <w:color w:val="auto"/>
                <w:sz w:val="20"/>
                <w:szCs w:val="20"/>
              </w:rPr>
            </w:pPr>
            <w:r w:rsidRPr="00650EE4">
              <w:rPr>
                <w:rFonts w:ascii="Times New Roman" w:hAnsi="Times New Roman"/>
                <w:color w:val="auto"/>
                <w:sz w:val="20"/>
                <w:szCs w:val="20"/>
              </w:rPr>
              <w:t>Pastatų savininkai</w:t>
            </w:r>
          </w:p>
        </w:tc>
        <w:tc>
          <w:tcPr>
            <w:tcW w:w="7654" w:type="dxa"/>
          </w:tcPr>
          <w:p w14:paraId="3B8A4BD7" w14:textId="77777777" w:rsidR="00485DFC" w:rsidRPr="00650EE4" w:rsidRDefault="00485DFC" w:rsidP="00562E41">
            <w:pPr>
              <w:spacing w:after="60"/>
              <w:rPr>
                <w:rFonts w:ascii="Times New Roman" w:hAnsi="Times New Roman"/>
                <w:color w:val="auto"/>
                <w:sz w:val="20"/>
                <w:szCs w:val="20"/>
              </w:rPr>
            </w:pPr>
            <w:r w:rsidRPr="00650EE4">
              <w:rPr>
                <w:rFonts w:ascii="Times New Roman" w:hAnsi="Times New Roman"/>
                <w:color w:val="auto"/>
                <w:sz w:val="20"/>
                <w:szCs w:val="20"/>
              </w:rPr>
              <w:t>Vadovaudamiesi prieinama informacija ir reikalavimais, priima sprendimus dėl renovacijos įgyvendinimo fakto, laiko ir apimčių.</w:t>
            </w:r>
          </w:p>
        </w:tc>
      </w:tr>
    </w:tbl>
    <w:p w14:paraId="7829EFAC" w14:textId="7E172C80" w:rsidR="00485DFC" w:rsidRPr="00650EE4" w:rsidRDefault="00485DFC" w:rsidP="00485DFC">
      <w:pPr>
        <w:spacing w:line="240" w:lineRule="auto"/>
        <w:rPr>
          <w:rFonts w:ascii="Times New Roman" w:hAnsi="Times New Roman"/>
          <w:i/>
          <w:iCs/>
          <w:color w:val="000000" w:themeColor="text1"/>
          <w:sz w:val="20"/>
          <w:szCs w:val="20"/>
        </w:rPr>
      </w:pPr>
      <w:r w:rsidRPr="00650EE4">
        <w:rPr>
          <w:rFonts w:ascii="Times New Roman" w:hAnsi="Times New Roman"/>
          <w:i/>
          <w:iCs/>
          <w:color w:val="000000" w:themeColor="text1"/>
          <w:sz w:val="20"/>
          <w:szCs w:val="20"/>
        </w:rPr>
        <w:t>Šaltinis: Iniciatyvos „Re</w:t>
      </w:r>
      <w:r w:rsidR="00DF32CA">
        <w:rPr>
          <w:rFonts w:ascii="Times New Roman" w:hAnsi="Times New Roman"/>
          <w:i/>
          <w:iCs/>
          <w:color w:val="000000" w:themeColor="text1"/>
          <w:sz w:val="20"/>
          <w:szCs w:val="20"/>
        </w:rPr>
        <w:t>novacijos banga“ veiksmų planas</w:t>
      </w:r>
    </w:p>
    <w:p w14:paraId="315ECC3C" w14:textId="77777777" w:rsidR="002B53AC" w:rsidRDefault="002B53AC" w:rsidP="00485DFC">
      <w:pPr>
        <w:spacing w:after="120" w:line="240" w:lineRule="auto"/>
        <w:jc w:val="both"/>
        <w:rPr>
          <w:rFonts w:ascii="Times New Roman" w:hAnsi="Times New Roman"/>
          <w:color w:val="000000" w:themeColor="text1"/>
          <w:szCs w:val="22"/>
        </w:rPr>
      </w:pPr>
    </w:p>
    <w:p w14:paraId="54A3E03C" w14:textId="4C315332" w:rsidR="002B53AC" w:rsidRDefault="002B53AC" w:rsidP="002B53A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lastRenderedPageBreak/>
        <w:t>Be aukščiau lentelėje paminėtų šalių, Lietuvoje renovacijos proceso šalimi taip pat gali būti būsto valdytojai ir būsto valdytojus vienijančios organizacijos, kaip šalys galinčios bendradarbiauti tarp gyventojų ir kitų institucijų, skleisti informaciją apie renovacijos naudą gyventojams.</w:t>
      </w:r>
      <w:r w:rsidRPr="00650EE4">
        <w:rPr>
          <w:rFonts w:ascii="Times New Roman" w:hAnsi="Times New Roman"/>
          <w:color w:val="000000" w:themeColor="text1"/>
          <w:szCs w:val="22"/>
        </w:rPr>
        <w:t xml:space="preserve"> </w:t>
      </w:r>
    </w:p>
    <w:p w14:paraId="555D7096" w14:textId="1164AE53" w:rsidR="00485DFC" w:rsidRPr="00650EE4" w:rsidRDefault="00DF32CA" w:rsidP="00485DF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V</w:t>
      </w:r>
      <w:r w:rsidR="00485DFC" w:rsidRPr="00650EE4">
        <w:rPr>
          <w:rFonts w:ascii="Times New Roman" w:hAnsi="Times New Roman"/>
          <w:color w:val="000000" w:themeColor="text1"/>
          <w:szCs w:val="22"/>
        </w:rPr>
        <w:t xml:space="preserve">isos lentelėje aukščiau paminėtos šalys dalyvaujančios renovacijos procese yra svarbios ir atliekančios tam tikrą vaidmenį skirtinguose renovacijos etapuose, svarbiausia šalis, be kurios sprendimo renovacija negali įvykti – pastato savininkas. </w:t>
      </w:r>
    </w:p>
    <w:p w14:paraId="4751841A" w14:textId="5E805C2D" w:rsidR="00485DFC" w:rsidRPr="00650EE4" w:rsidRDefault="00485DFC" w:rsidP="00485DFC">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Tam, kad </w:t>
      </w:r>
      <w:r w:rsidR="00DF32CA">
        <w:rPr>
          <w:rFonts w:ascii="Times New Roman" w:hAnsi="Times New Roman"/>
          <w:color w:val="000000" w:themeColor="text1"/>
          <w:szCs w:val="22"/>
        </w:rPr>
        <w:t>5</w:t>
      </w:r>
      <w:r w:rsidR="00DF32CA" w:rsidRPr="00650EE4">
        <w:rPr>
          <w:rFonts w:ascii="Times New Roman" w:hAnsi="Times New Roman"/>
          <w:color w:val="000000" w:themeColor="text1"/>
          <w:szCs w:val="22"/>
        </w:rPr>
        <w:t xml:space="preserve"> </w:t>
      </w:r>
      <w:r w:rsidR="006D180C" w:rsidRPr="00650EE4">
        <w:rPr>
          <w:rFonts w:ascii="Times New Roman" w:hAnsi="Times New Roman"/>
          <w:color w:val="000000" w:themeColor="text1"/>
          <w:szCs w:val="22"/>
        </w:rPr>
        <w:t xml:space="preserve">skyriuje nustatyti </w:t>
      </w:r>
      <w:r w:rsidRPr="00650EE4">
        <w:rPr>
          <w:rFonts w:ascii="Times New Roman" w:hAnsi="Times New Roman"/>
          <w:color w:val="000000" w:themeColor="text1"/>
          <w:szCs w:val="22"/>
        </w:rPr>
        <w:t xml:space="preserve">renovacijos rodikliai būtų pasiekti, renovacijoje turi dalyvauti ~80 proc. </w:t>
      </w:r>
      <w:r w:rsidR="006D180C" w:rsidRPr="00650EE4">
        <w:rPr>
          <w:rFonts w:ascii="Times New Roman" w:hAnsi="Times New Roman"/>
          <w:color w:val="000000" w:themeColor="text1"/>
          <w:szCs w:val="22"/>
        </w:rPr>
        <w:t xml:space="preserve">dabartinio </w:t>
      </w:r>
      <w:r w:rsidRPr="00650EE4">
        <w:rPr>
          <w:rFonts w:ascii="Times New Roman" w:hAnsi="Times New Roman"/>
          <w:color w:val="000000" w:themeColor="text1"/>
          <w:szCs w:val="22"/>
        </w:rPr>
        <w:t>pastatų fondo vienetų.</w:t>
      </w:r>
      <w:r w:rsidR="006D180C"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Lietuvoje tik 2 proc. pastatų fondo vienetų nuosavybės yra vieša (valstybės arba savivaldybės nuosavybė). Likusi nuosavybė yra privati (t.y. fizinių arba juridinių asmenų) ir nuosavybės prasme nėra reikšmingai koncentruota – 2/3 pastatų pagal plotą yra daugiabučiai ir individualūs namai, didžiąja dalimi priklausantys fiziniams asmenims. </w:t>
      </w:r>
    </w:p>
    <w:p w14:paraId="1D45BE14" w14:textId="508A6AB7" w:rsidR="00485DFC" w:rsidRPr="00650EE4" w:rsidRDefault="00DF32CA" w:rsidP="00485DFC">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S</w:t>
      </w:r>
      <w:r w:rsidR="00485DFC" w:rsidRPr="00650EE4">
        <w:rPr>
          <w:rFonts w:ascii="Times New Roman" w:hAnsi="Times New Roman"/>
          <w:color w:val="000000" w:themeColor="text1"/>
          <w:szCs w:val="22"/>
        </w:rPr>
        <w:t xml:space="preserve">iekiant proveržio, renovacijos nauda reikia įtikinti absoliučią daugumą pastatų savininkų. </w:t>
      </w:r>
      <w:r>
        <w:rPr>
          <w:rFonts w:ascii="Times New Roman" w:hAnsi="Times New Roman"/>
          <w:color w:val="000000" w:themeColor="text1"/>
          <w:szCs w:val="22"/>
        </w:rPr>
        <w:t>T</w:t>
      </w:r>
      <w:r w:rsidR="00485DFC" w:rsidRPr="00650EE4">
        <w:rPr>
          <w:rFonts w:ascii="Times New Roman" w:hAnsi="Times New Roman"/>
          <w:color w:val="000000" w:themeColor="text1"/>
          <w:szCs w:val="22"/>
        </w:rPr>
        <w:t xml:space="preserve">okiam rezultatui pasiekti būtina, kad IRS įgyvendinimo modelis būtų orientuotas į pastato savininką, jo lūkesčius, bei esminių barjerų, trukdančių jo apsisprendimui dalyvauti renovacijoje, panaikinimą. </w:t>
      </w:r>
    </w:p>
    <w:p w14:paraId="3D714D35" w14:textId="5627D850" w:rsidR="006D180C" w:rsidRPr="00650EE4" w:rsidRDefault="006D180C" w:rsidP="006D180C">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IRS įgyvendinimo modelio orientacija į pastato savininką yra kritinis strategijos įgyvendinimo veiksnys, kuriuo remiantis formuojamas strategijos įgyvendinimo modelis.</w:t>
      </w:r>
    </w:p>
    <w:p w14:paraId="057583D4" w14:textId="77777777" w:rsidR="00DD1817" w:rsidRPr="00650EE4" w:rsidRDefault="00DD1817" w:rsidP="001666B0">
      <w:pPr>
        <w:spacing w:line="240" w:lineRule="auto"/>
        <w:jc w:val="both"/>
        <w:rPr>
          <w:rFonts w:ascii="Times New Roman" w:hAnsi="Times New Roman"/>
          <w:color w:val="000000" w:themeColor="text1"/>
          <w:szCs w:val="22"/>
        </w:rPr>
      </w:pPr>
    </w:p>
    <w:p w14:paraId="5625381B" w14:textId="479F4053" w:rsidR="00686D06" w:rsidRPr="00650EE4" w:rsidRDefault="003853BB" w:rsidP="009F6208">
      <w:pPr>
        <w:pStyle w:val="Antrastes2"/>
        <w:numPr>
          <w:ilvl w:val="1"/>
          <w:numId w:val="4"/>
        </w:numPr>
        <w:pBdr>
          <w:bottom w:val="single" w:sz="4" w:space="1" w:color="auto"/>
        </w:pBdr>
        <w:spacing w:before="120"/>
        <w:ind w:left="576" w:hanging="576"/>
        <w:jc w:val="both"/>
        <w:rPr>
          <w:rFonts w:ascii="Times New Roman" w:hAnsi="Times New Roman"/>
          <w:color w:val="auto"/>
          <w:sz w:val="24"/>
          <w:szCs w:val="24"/>
          <w:lang w:val="lt-LT"/>
        </w:rPr>
      </w:pPr>
      <w:bookmarkStart w:id="202" w:name="_Toc59107571"/>
      <w:r w:rsidRPr="00650EE4">
        <w:rPr>
          <w:rFonts w:ascii="Times New Roman" w:hAnsi="Times New Roman"/>
          <w:color w:val="auto"/>
          <w:sz w:val="24"/>
          <w:szCs w:val="24"/>
          <w:lang w:val="lt-LT"/>
        </w:rPr>
        <w:t>S</w:t>
      </w:r>
      <w:r w:rsidR="008C3EDB" w:rsidRPr="00650EE4">
        <w:rPr>
          <w:rFonts w:ascii="Times New Roman" w:hAnsi="Times New Roman"/>
          <w:color w:val="auto"/>
          <w:sz w:val="24"/>
          <w:szCs w:val="24"/>
          <w:lang w:val="lt-LT"/>
        </w:rPr>
        <w:t>trategijos</w:t>
      </w:r>
      <w:r w:rsidR="00686D06" w:rsidRPr="00650EE4">
        <w:rPr>
          <w:rFonts w:ascii="Times New Roman" w:hAnsi="Times New Roman"/>
          <w:color w:val="auto"/>
          <w:sz w:val="24"/>
          <w:szCs w:val="24"/>
          <w:lang w:val="lt-LT"/>
        </w:rPr>
        <w:t xml:space="preserve"> įgyvendinimo modelis</w:t>
      </w:r>
      <w:bookmarkEnd w:id="202"/>
    </w:p>
    <w:p w14:paraId="1BB7342A" w14:textId="0F90D86D" w:rsidR="00416BB4" w:rsidRPr="00650EE4" w:rsidRDefault="00416BB4" w:rsidP="00416BB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Siekiant efektyviai įgyvendinti į pastato savininką orientuotą strategijos įgyvendinimo modelį svarbu gebėti įvertinti renovaciją iš savininko perspektyvos.  </w:t>
      </w:r>
    </w:p>
    <w:p w14:paraId="258E846C" w14:textId="77777777" w:rsidR="00416BB4" w:rsidRPr="00650EE4" w:rsidRDefault="00416BB4" w:rsidP="00416BB4">
      <w:pPr>
        <w:spacing w:line="240" w:lineRule="auto"/>
        <w:jc w:val="both"/>
        <w:rPr>
          <w:rFonts w:ascii="Times New Roman" w:hAnsi="Times New Roman"/>
          <w:color w:val="000000" w:themeColor="text1"/>
          <w:szCs w:val="22"/>
        </w:rPr>
      </w:pPr>
    </w:p>
    <w:p w14:paraId="0B965CF7" w14:textId="4C0DBE3E" w:rsidR="004C28AF" w:rsidRPr="00650EE4" w:rsidRDefault="009A07E1" w:rsidP="00416BB4">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Skirti</w:t>
      </w:r>
      <w:r w:rsidR="00AB060C" w:rsidRPr="00650EE4">
        <w:rPr>
          <w:rFonts w:ascii="Times New Roman" w:hAnsi="Times New Roman"/>
          <w:color w:val="000000" w:themeColor="text1"/>
          <w:szCs w:val="22"/>
        </w:rPr>
        <w:t xml:space="preserve">ngos studijos ir tyrimai pateikia skirtingus </w:t>
      </w:r>
      <w:r w:rsidRPr="00650EE4">
        <w:rPr>
          <w:rFonts w:ascii="Times New Roman" w:hAnsi="Times New Roman"/>
          <w:color w:val="000000" w:themeColor="text1"/>
          <w:szCs w:val="22"/>
        </w:rPr>
        <w:t>pastatų s</w:t>
      </w:r>
      <w:r w:rsidR="00B140EB" w:rsidRPr="00650EE4">
        <w:rPr>
          <w:rFonts w:ascii="Times New Roman" w:hAnsi="Times New Roman"/>
          <w:color w:val="000000" w:themeColor="text1"/>
          <w:szCs w:val="22"/>
        </w:rPr>
        <w:t>avininkų lūkesčius ir</w:t>
      </w:r>
      <w:r w:rsidRPr="00650EE4">
        <w:rPr>
          <w:rFonts w:ascii="Times New Roman" w:hAnsi="Times New Roman"/>
          <w:color w:val="000000" w:themeColor="text1"/>
          <w:szCs w:val="22"/>
        </w:rPr>
        <w:t xml:space="preserve"> </w:t>
      </w:r>
      <w:r w:rsidR="00346C61" w:rsidRPr="00650EE4">
        <w:rPr>
          <w:rFonts w:ascii="Times New Roman" w:hAnsi="Times New Roman"/>
          <w:color w:val="000000" w:themeColor="text1"/>
          <w:szCs w:val="22"/>
        </w:rPr>
        <w:t xml:space="preserve">tipinius </w:t>
      </w:r>
      <w:r w:rsidRPr="00650EE4">
        <w:rPr>
          <w:rFonts w:ascii="Times New Roman" w:hAnsi="Times New Roman"/>
          <w:color w:val="000000" w:themeColor="text1"/>
          <w:szCs w:val="22"/>
        </w:rPr>
        <w:t xml:space="preserve">barjerus, kurie trukdo </w:t>
      </w:r>
      <w:r w:rsidR="00B140EB" w:rsidRPr="00650EE4">
        <w:rPr>
          <w:rFonts w:ascii="Times New Roman" w:hAnsi="Times New Roman"/>
          <w:color w:val="000000" w:themeColor="text1"/>
          <w:szCs w:val="22"/>
        </w:rPr>
        <w:t>savininkų</w:t>
      </w:r>
      <w:r w:rsidR="00346C61" w:rsidRPr="00650EE4">
        <w:rPr>
          <w:rFonts w:ascii="Times New Roman" w:hAnsi="Times New Roman"/>
          <w:color w:val="000000" w:themeColor="text1"/>
          <w:szCs w:val="22"/>
        </w:rPr>
        <w:t xml:space="preserve"> apsisprendimui dalyvauti renovacijoje</w:t>
      </w:r>
      <w:r w:rsidR="00526F99" w:rsidRPr="00650EE4">
        <w:rPr>
          <w:rFonts w:ascii="Times New Roman" w:hAnsi="Times New Roman"/>
          <w:color w:val="000000" w:themeColor="text1"/>
          <w:szCs w:val="22"/>
        </w:rPr>
        <w:t>. Tačiau</w:t>
      </w:r>
      <w:r w:rsidR="00B140EB" w:rsidRPr="00650EE4">
        <w:rPr>
          <w:rFonts w:ascii="Times New Roman" w:hAnsi="Times New Roman"/>
          <w:color w:val="000000" w:themeColor="text1"/>
          <w:szCs w:val="22"/>
        </w:rPr>
        <w:t>, apibendrinant</w:t>
      </w:r>
      <w:r w:rsidR="00EA2BFB" w:rsidRPr="00650EE4">
        <w:rPr>
          <w:rFonts w:ascii="Times New Roman" w:hAnsi="Times New Roman"/>
          <w:color w:val="000000" w:themeColor="text1"/>
          <w:szCs w:val="22"/>
        </w:rPr>
        <w:t xml:space="preserve"> </w:t>
      </w:r>
      <w:r w:rsidR="00526F99" w:rsidRPr="00650EE4">
        <w:rPr>
          <w:rFonts w:ascii="Times New Roman" w:hAnsi="Times New Roman"/>
          <w:color w:val="000000" w:themeColor="text1"/>
          <w:szCs w:val="22"/>
        </w:rPr>
        <w:t xml:space="preserve">galima teigti, </w:t>
      </w:r>
      <w:r w:rsidR="00EA2BFB" w:rsidRPr="00650EE4">
        <w:rPr>
          <w:rFonts w:ascii="Times New Roman" w:hAnsi="Times New Roman"/>
          <w:color w:val="000000" w:themeColor="text1"/>
          <w:szCs w:val="22"/>
        </w:rPr>
        <w:t xml:space="preserve">jog tam </w:t>
      </w:r>
      <w:r w:rsidR="00526F99" w:rsidRPr="00650EE4">
        <w:rPr>
          <w:rFonts w:ascii="Times New Roman" w:hAnsi="Times New Roman"/>
          <w:color w:val="000000" w:themeColor="text1"/>
          <w:szCs w:val="22"/>
        </w:rPr>
        <w:t>kad pastato savininkas dalyvau</w:t>
      </w:r>
      <w:r w:rsidR="00EA2BFB" w:rsidRPr="00650EE4">
        <w:rPr>
          <w:rFonts w:ascii="Times New Roman" w:hAnsi="Times New Roman"/>
          <w:color w:val="000000" w:themeColor="text1"/>
          <w:szCs w:val="22"/>
        </w:rPr>
        <w:t>tų</w:t>
      </w:r>
      <w:r w:rsidR="00526F99" w:rsidRPr="00650EE4">
        <w:rPr>
          <w:rFonts w:ascii="Times New Roman" w:hAnsi="Times New Roman"/>
          <w:color w:val="000000" w:themeColor="text1"/>
          <w:szCs w:val="22"/>
        </w:rPr>
        <w:t xml:space="preserve"> renovacijoje, jis turi tikėti renovacijos nauda t.y. tikėti, kad renovacijos naudos bus didesnės nei jo investicija.</w:t>
      </w:r>
      <w:r w:rsidR="00D4112C" w:rsidRPr="00650EE4">
        <w:rPr>
          <w:rFonts w:ascii="Times New Roman" w:hAnsi="Times New Roman"/>
          <w:color w:val="000000" w:themeColor="text1"/>
          <w:szCs w:val="22"/>
        </w:rPr>
        <w:t xml:space="preserve"> </w:t>
      </w:r>
    </w:p>
    <w:p w14:paraId="5100C4E6" w14:textId="77777777" w:rsidR="00416BB4" w:rsidRPr="00650EE4" w:rsidRDefault="00416BB4" w:rsidP="00416BB4">
      <w:pPr>
        <w:spacing w:line="240" w:lineRule="auto"/>
        <w:jc w:val="both"/>
        <w:rPr>
          <w:rFonts w:ascii="Times New Roman" w:hAnsi="Times New Roman"/>
          <w:color w:val="000000" w:themeColor="text1"/>
          <w:szCs w:val="22"/>
        </w:rPr>
      </w:pPr>
    </w:p>
    <w:p w14:paraId="1D333E95" w14:textId="689F4567" w:rsidR="009C5216" w:rsidRPr="00650EE4" w:rsidRDefault="00B81A0C" w:rsidP="000D66AF">
      <w:pPr>
        <w:spacing w:after="120" w:line="240" w:lineRule="auto"/>
        <w:jc w:val="both"/>
        <w:rPr>
          <w:rFonts w:ascii="Times New Roman" w:hAnsi="Times New Roman"/>
          <w:color w:val="000000" w:themeColor="text1"/>
          <w:szCs w:val="22"/>
        </w:rPr>
      </w:pPr>
      <w:r>
        <w:rPr>
          <w:rFonts w:ascii="Times New Roman" w:hAnsi="Times New Roman"/>
          <w:color w:val="000000" w:themeColor="text1"/>
          <w:szCs w:val="22"/>
        </w:rPr>
        <w:t>T</w:t>
      </w:r>
      <w:r w:rsidR="0064779E" w:rsidRPr="00650EE4">
        <w:rPr>
          <w:rFonts w:ascii="Times New Roman" w:hAnsi="Times New Roman"/>
          <w:color w:val="000000" w:themeColor="text1"/>
          <w:szCs w:val="22"/>
        </w:rPr>
        <w:t xml:space="preserve">am, </w:t>
      </w:r>
      <w:r w:rsidR="00526F99" w:rsidRPr="00650EE4">
        <w:rPr>
          <w:rFonts w:ascii="Times New Roman" w:hAnsi="Times New Roman"/>
          <w:color w:val="000000" w:themeColor="text1"/>
          <w:szCs w:val="22"/>
        </w:rPr>
        <w:t xml:space="preserve">kad pastato savininkas tikėtų renovacijos </w:t>
      </w:r>
      <w:r w:rsidR="00176991" w:rsidRPr="00650EE4">
        <w:rPr>
          <w:rFonts w:ascii="Times New Roman" w:hAnsi="Times New Roman"/>
          <w:color w:val="000000" w:themeColor="text1"/>
          <w:szCs w:val="22"/>
        </w:rPr>
        <w:t>nauda</w:t>
      </w:r>
      <w:r w:rsidR="002D6096" w:rsidRPr="00650EE4">
        <w:rPr>
          <w:rFonts w:ascii="Times New Roman" w:hAnsi="Times New Roman"/>
          <w:color w:val="000000" w:themeColor="text1"/>
          <w:szCs w:val="22"/>
        </w:rPr>
        <w:t>:</w:t>
      </w:r>
      <w:r w:rsidR="0064779E" w:rsidRPr="00650EE4">
        <w:rPr>
          <w:rFonts w:ascii="Times New Roman" w:hAnsi="Times New Roman"/>
          <w:color w:val="000000" w:themeColor="text1"/>
          <w:szCs w:val="22"/>
        </w:rPr>
        <w:t xml:space="preserve"> </w:t>
      </w:r>
    </w:p>
    <w:p w14:paraId="0ED983FF" w14:textId="2DA843E3" w:rsidR="009C5216"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n</w:t>
      </w:r>
      <w:r w:rsidR="00F8621E" w:rsidRPr="00650EE4">
        <w:rPr>
          <w:rFonts w:ascii="Times New Roman" w:hAnsi="Times New Roman"/>
          <w:color w:val="000000" w:themeColor="text1"/>
          <w:szCs w:val="22"/>
          <w:lang w:val="lt-LT"/>
        </w:rPr>
        <w:t xml:space="preserve">auda savininkui turi objektyviai </w:t>
      </w:r>
      <w:r w:rsidR="008B46BE" w:rsidRPr="00650EE4">
        <w:rPr>
          <w:rFonts w:ascii="Times New Roman" w:hAnsi="Times New Roman"/>
          <w:color w:val="000000" w:themeColor="text1"/>
          <w:szCs w:val="22"/>
          <w:lang w:val="lt-LT"/>
        </w:rPr>
        <w:t>egzistuoti</w:t>
      </w:r>
      <w:r>
        <w:rPr>
          <w:rFonts w:ascii="Times New Roman" w:hAnsi="Times New Roman"/>
          <w:color w:val="000000" w:themeColor="text1"/>
          <w:szCs w:val="22"/>
          <w:lang w:val="lt-LT"/>
        </w:rPr>
        <w:t>;</w:t>
      </w:r>
    </w:p>
    <w:p w14:paraId="7208AC3B" w14:textId="31C03EF4" w:rsidR="009C5216"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C77A73" w:rsidRPr="00650EE4">
        <w:rPr>
          <w:rFonts w:ascii="Times New Roman" w:hAnsi="Times New Roman"/>
          <w:color w:val="000000" w:themeColor="text1"/>
          <w:szCs w:val="22"/>
          <w:lang w:val="lt-LT"/>
        </w:rPr>
        <w:t xml:space="preserve">avininkas turi būti apie </w:t>
      </w:r>
      <w:r w:rsidR="002D6096" w:rsidRPr="00650EE4">
        <w:rPr>
          <w:rFonts w:ascii="Times New Roman" w:hAnsi="Times New Roman"/>
          <w:color w:val="000000" w:themeColor="text1"/>
          <w:szCs w:val="22"/>
          <w:lang w:val="lt-LT"/>
        </w:rPr>
        <w:t xml:space="preserve">naudas </w:t>
      </w:r>
      <w:r w:rsidR="00C77A73" w:rsidRPr="00650EE4">
        <w:rPr>
          <w:rFonts w:ascii="Times New Roman" w:hAnsi="Times New Roman"/>
          <w:color w:val="000000" w:themeColor="text1"/>
          <w:szCs w:val="22"/>
          <w:lang w:val="lt-LT"/>
        </w:rPr>
        <w:t>informuot</w:t>
      </w:r>
      <w:r w:rsidR="002D6096" w:rsidRPr="00650EE4">
        <w:rPr>
          <w:rFonts w:ascii="Times New Roman" w:hAnsi="Times New Roman"/>
          <w:color w:val="000000" w:themeColor="text1"/>
          <w:szCs w:val="22"/>
          <w:lang w:val="lt-LT"/>
        </w:rPr>
        <w:t>a</w:t>
      </w:r>
      <w:r w:rsidR="00817E4D" w:rsidRPr="00650EE4">
        <w:rPr>
          <w:rFonts w:ascii="Times New Roman" w:hAnsi="Times New Roman"/>
          <w:color w:val="000000" w:themeColor="text1"/>
          <w:szCs w:val="22"/>
          <w:lang w:val="lt-LT"/>
        </w:rPr>
        <w:t>s</w:t>
      </w:r>
      <w:r w:rsidR="002D6096" w:rsidRPr="00650EE4">
        <w:rPr>
          <w:rFonts w:ascii="Times New Roman" w:hAnsi="Times New Roman"/>
          <w:color w:val="000000" w:themeColor="text1"/>
          <w:szCs w:val="22"/>
          <w:lang w:val="lt-LT"/>
        </w:rPr>
        <w:t xml:space="preserve"> – svarbu įvertinti</w:t>
      </w:r>
      <w:r w:rsidR="00E74B31" w:rsidRPr="00650EE4">
        <w:rPr>
          <w:rFonts w:ascii="Times New Roman" w:hAnsi="Times New Roman"/>
          <w:color w:val="000000" w:themeColor="text1"/>
          <w:szCs w:val="22"/>
          <w:lang w:val="lt-LT"/>
        </w:rPr>
        <w:t xml:space="preserve">, kad </w:t>
      </w:r>
      <w:r w:rsidR="00C77A73" w:rsidRPr="00650EE4">
        <w:rPr>
          <w:rFonts w:ascii="Times New Roman" w:hAnsi="Times New Roman"/>
          <w:color w:val="000000" w:themeColor="text1"/>
          <w:szCs w:val="22"/>
          <w:lang w:val="lt-LT"/>
        </w:rPr>
        <w:t>s</w:t>
      </w:r>
      <w:r w:rsidR="00475D42" w:rsidRPr="00650EE4">
        <w:rPr>
          <w:rFonts w:ascii="Times New Roman" w:hAnsi="Times New Roman"/>
          <w:color w:val="000000" w:themeColor="text1"/>
          <w:szCs w:val="22"/>
          <w:lang w:val="lt-LT"/>
        </w:rPr>
        <w:t xml:space="preserve">avininko investicija yra finansinė, </w:t>
      </w:r>
      <w:r w:rsidR="00E74B31" w:rsidRPr="00650EE4">
        <w:rPr>
          <w:rFonts w:ascii="Times New Roman" w:hAnsi="Times New Roman"/>
          <w:color w:val="000000" w:themeColor="text1"/>
          <w:szCs w:val="22"/>
          <w:lang w:val="lt-LT"/>
        </w:rPr>
        <w:t>o</w:t>
      </w:r>
      <w:r w:rsidR="00475D42" w:rsidRPr="00650EE4">
        <w:rPr>
          <w:rFonts w:ascii="Times New Roman" w:hAnsi="Times New Roman"/>
          <w:color w:val="000000" w:themeColor="text1"/>
          <w:szCs w:val="22"/>
          <w:lang w:val="lt-LT"/>
        </w:rPr>
        <w:t xml:space="preserve"> r</w:t>
      </w:r>
      <w:r w:rsidR="000D66AF" w:rsidRPr="00650EE4">
        <w:rPr>
          <w:rFonts w:ascii="Times New Roman" w:hAnsi="Times New Roman"/>
          <w:color w:val="000000" w:themeColor="text1"/>
          <w:szCs w:val="22"/>
          <w:lang w:val="lt-LT"/>
        </w:rPr>
        <w:t>enovacijos teikiamos naudo</w:t>
      </w:r>
      <w:r w:rsidR="00817E4D" w:rsidRPr="00650EE4">
        <w:rPr>
          <w:rFonts w:ascii="Times New Roman" w:hAnsi="Times New Roman"/>
          <w:color w:val="000000" w:themeColor="text1"/>
          <w:szCs w:val="22"/>
          <w:lang w:val="lt-LT"/>
        </w:rPr>
        <w:t>s</w:t>
      </w:r>
      <w:r w:rsidR="00475D42" w:rsidRPr="00650EE4">
        <w:rPr>
          <w:rFonts w:ascii="Times New Roman" w:hAnsi="Times New Roman"/>
          <w:color w:val="000000" w:themeColor="text1"/>
          <w:szCs w:val="22"/>
          <w:lang w:val="lt-LT"/>
        </w:rPr>
        <w:t xml:space="preserve"> daugialypės (ne tik energijos sutaupym</w:t>
      </w:r>
      <w:r w:rsidR="00786B52" w:rsidRPr="00650EE4">
        <w:rPr>
          <w:rFonts w:ascii="Times New Roman" w:hAnsi="Times New Roman"/>
          <w:color w:val="000000" w:themeColor="text1"/>
          <w:szCs w:val="22"/>
          <w:lang w:val="lt-LT"/>
        </w:rPr>
        <w:t>a</w:t>
      </w:r>
      <w:r w:rsidR="00475D42" w:rsidRPr="00650EE4">
        <w:rPr>
          <w:rFonts w:ascii="Times New Roman" w:hAnsi="Times New Roman"/>
          <w:color w:val="000000" w:themeColor="text1"/>
          <w:szCs w:val="22"/>
          <w:lang w:val="lt-LT"/>
        </w:rPr>
        <w:t>s</w:t>
      </w:r>
      <w:r w:rsidR="00786B52" w:rsidRPr="00650EE4">
        <w:rPr>
          <w:rFonts w:ascii="Times New Roman" w:hAnsi="Times New Roman"/>
          <w:color w:val="000000" w:themeColor="text1"/>
          <w:szCs w:val="22"/>
          <w:lang w:val="lt-LT"/>
        </w:rPr>
        <w:t xml:space="preserve"> ir sumažėjusios išlaidos</w:t>
      </w:r>
      <w:r w:rsidR="00475D42" w:rsidRPr="00650EE4">
        <w:rPr>
          <w:rFonts w:ascii="Times New Roman" w:hAnsi="Times New Roman"/>
          <w:color w:val="000000" w:themeColor="text1"/>
          <w:szCs w:val="22"/>
          <w:lang w:val="lt-LT"/>
        </w:rPr>
        <w:t>, bet ir būsto vertės padidėjim</w:t>
      </w:r>
      <w:r w:rsidR="00786B52" w:rsidRPr="00650EE4">
        <w:rPr>
          <w:rFonts w:ascii="Times New Roman" w:hAnsi="Times New Roman"/>
          <w:color w:val="000000" w:themeColor="text1"/>
          <w:szCs w:val="22"/>
          <w:lang w:val="lt-LT"/>
        </w:rPr>
        <w:t>as</w:t>
      </w:r>
      <w:r w:rsidR="00475D42" w:rsidRPr="00650EE4">
        <w:rPr>
          <w:rFonts w:ascii="Times New Roman" w:hAnsi="Times New Roman"/>
          <w:color w:val="000000" w:themeColor="text1"/>
          <w:szCs w:val="22"/>
          <w:lang w:val="lt-LT"/>
        </w:rPr>
        <w:t>, geresn</w:t>
      </w:r>
      <w:r w:rsidR="00786B52" w:rsidRPr="00650EE4">
        <w:rPr>
          <w:rFonts w:ascii="Times New Roman" w:hAnsi="Times New Roman"/>
          <w:color w:val="000000" w:themeColor="text1"/>
          <w:szCs w:val="22"/>
          <w:lang w:val="lt-LT"/>
        </w:rPr>
        <w:t>ė</w:t>
      </w:r>
      <w:r w:rsidR="00E74B31" w:rsidRPr="00650EE4">
        <w:rPr>
          <w:rFonts w:ascii="Times New Roman" w:hAnsi="Times New Roman"/>
          <w:color w:val="000000" w:themeColor="text1"/>
          <w:szCs w:val="22"/>
          <w:lang w:val="lt-LT"/>
        </w:rPr>
        <w:t xml:space="preserve"> socialinė aplinka </w:t>
      </w:r>
      <w:r w:rsidR="00475D42" w:rsidRPr="00650EE4">
        <w:rPr>
          <w:rFonts w:ascii="Times New Roman" w:hAnsi="Times New Roman"/>
          <w:color w:val="000000" w:themeColor="text1"/>
          <w:szCs w:val="22"/>
          <w:lang w:val="lt-LT"/>
        </w:rPr>
        <w:t>ir pan.</w:t>
      </w:r>
      <w:r w:rsidR="00E74B31" w:rsidRPr="00650EE4">
        <w:rPr>
          <w:rFonts w:ascii="Times New Roman" w:hAnsi="Times New Roman"/>
          <w:color w:val="000000" w:themeColor="text1"/>
          <w:szCs w:val="22"/>
          <w:lang w:val="lt-LT"/>
        </w:rPr>
        <w:t xml:space="preserve">), </w:t>
      </w:r>
      <w:r w:rsidR="002D6096" w:rsidRPr="00650EE4">
        <w:rPr>
          <w:rFonts w:ascii="Times New Roman" w:hAnsi="Times New Roman"/>
          <w:color w:val="000000" w:themeColor="text1"/>
          <w:szCs w:val="22"/>
          <w:lang w:val="lt-LT"/>
        </w:rPr>
        <w:t xml:space="preserve">todėl </w:t>
      </w:r>
      <w:r w:rsidR="00E74B31" w:rsidRPr="00650EE4">
        <w:rPr>
          <w:rFonts w:ascii="Times New Roman" w:hAnsi="Times New Roman"/>
          <w:color w:val="000000" w:themeColor="text1"/>
          <w:szCs w:val="22"/>
          <w:lang w:val="lt-LT"/>
        </w:rPr>
        <w:t xml:space="preserve">savininkas </w:t>
      </w:r>
      <w:r w:rsidR="002D6096" w:rsidRPr="00650EE4">
        <w:rPr>
          <w:rFonts w:ascii="Times New Roman" w:hAnsi="Times New Roman"/>
          <w:color w:val="000000" w:themeColor="text1"/>
          <w:szCs w:val="22"/>
          <w:lang w:val="lt-LT"/>
        </w:rPr>
        <w:t>turi būti</w:t>
      </w:r>
      <w:r w:rsidR="000D66AF" w:rsidRPr="00650EE4">
        <w:rPr>
          <w:rFonts w:ascii="Times New Roman" w:hAnsi="Times New Roman"/>
          <w:color w:val="000000" w:themeColor="text1"/>
          <w:szCs w:val="22"/>
          <w:lang w:val="lt-LT"/>
        </w:rPr>
        <w:t xml:space="preserve"> informuotas </w:t>
      </w:r>
      <w:r w:rsidR="009C5216" w:rsidRPr="00650EE4">
        <w:rPr>
          <w:rFonts w:ascii="Times New Roman" w:hAnsi="Times New Roman"/>
          <w:color w:val="000000" w:themeColor="text1"/>
          <w:szCs w:val="22"/>
          <w:lang w:val="lt-LT"/>
        </w:rPr>
        <w:t xml:space="preserve">apie </w:t>
      </w:r>
      <w:r w:rsidR="00475D42" w:rsidRPr="00650EE4">
        <w:rPr>
          <w:rFonts w:ascii="Times New Roman" w:hAnsi="Times New Roman"/>
          <w:color w:val="000000" w:themeColor="text1"/>
          <w:szCs w:val="22"/>
          <w:lang w:val="lt-LT"/>
        </w:rPr>
        <w:t>visą renovacijos galimybių ir naudų spektrą.</w:t>
      </w:r>
      <w:r w:rsidR="00B1268A" w:rsidRPr="00650EE4">
        <w:rPr>
          <w:rFonts w:ascii="Times New Roman" w:hAnsi="Times New Roman"/>
          <w:color w:val="000000" w:themeColor="text1"/>
          <w:szCs w:val="22"/>
          <w:lang w:val="lt-LT"/>
        </w:rPr>
        <w:t xml:space="preserve"> </w:t>
      </w:r>
      <w:r w:rsidR="00E74B31" w:rsidRPr="00650EE4">
        <w:rPr>
          <w:rFonts w:ascii="Times New Roman" w:hAnsi="Times New Roman"/>
          <w:color w:val="000000" w:themeColor="text1"/>
          <w:szCs w:val="22"/>
          <w:lang w:val="lt-LT"/>
        </w:rPr>
        <w:t xml:space="preserve">Taip pat, kritiškai svarbu komunikuoti, kad ilgalaikėje perspektyvoje, </w:t>
      </w:r>
      <w:proofErr w:type="spellStart"/>
      <w:r w:rsidR="00E74B31" w:rsidRPr="00650EE4">
        <w:rPr>
          <w:rFonts w:ascii="Times New Roman" w:hAnsi="Times New Roman"/>
          <w:color w:val="000000" w:themeColor="text1"/>
          <w:szCs w:val="22"/>
          <w:lang w:val="lt-LT"/>
        </w:rPr>
        <w:t>inžineriškai</w:t>
      </w:r>
      <w:proofErr w:type="spellEnd"/>
      <w:r w:rsidR="00E74B31" w:rsidRPr="00650EE4">
        <w:rPr>
          <w:rFonts w:ascii="Times New Roman" w:hAnsi="Times New Roman"/>
          <w:color w:val="000000" w:themeColor="text1"/>
          <w:szCs w:val="22"/>
          <w:lang w:val="lt-LT"/>
        </w:rPr>
        <w:t xml:space="preserve"> nusidėvėjusiems, energetiškai neefektyviems pastatams nėra pasitrinkimo dalyvauti ar nedalyvauti renovacijoje. </w:t>
      </w:r>
      <w:r w:rsidR="005A2942" w:rsidRPr="00650EE4">
        <w:rPr>
          <w:rFonts w:ascii="Times New Roman" w:hAnsi="Times New Roman"/>
          <w:color w:val="000000" w:themeColor="text1"/>
          <w:szCs w:val="22"/>
          <w:lang w:val="lt-LT"/>
        </w:rPr>
        <w:t>Vienintelis savininko pasirinkimas - ar renovaciją vykdyti pasinaudojant valstybės parama</w:t>
      </w:r>
      <w:r w:rsidR="00B81A0C">
        <w:rPr>
          <w:rFonts w:ascii="Times New Roman" w:hAnsi="Times New Roman"/>
          <w:color w:val="000000" w:themeColor="text1"/>
          <w:szCs w:val="22"/>
          <w:lang w:val="lt-LT"/>
        </w:rPr>
        <w:t xml:space="preserve"> ar ne</w:t>
      </w:r>
      <w:r>
        <w:rPr>
          <w:rFonts w:ascii="Times New Roman" w:hAnsi="Times New Roman"/>
          <w:color w:val="000000" w:themeColor="text1"/>
          <w:szCs w:val="22"/>
          <w:lang w:val="lt-LT"/>
        </w:rPr>
        <w:t>;</w:t>
      </w:r>
      <w:r w:rsidR="005A2942" w:rsidRPr="00650EE4">
        <w:rPr>
          <w:rFonts w:ascii="Times New Roman" w:hAnsi="Times New Roman"/>
          <w:color w:val="000000" w:themeColor="text1"/>
          <w:szCs w:val="22"/>
          <w:lang w:val="lt-LT"/>
        </w:rPr>
        <w:t xml:space="preserve"> </w:t>
      </w:r>
    </w:p>
    <w:p w14:paraId="5ABDA6C1" w14:textId="39C60784" w:rsidR="000D66AF" w:rsidRPr="00650EE4" w:rsidRDefault="005F7759" w:rsidP="00BD4925">
      <w:pPr>
        <w:pStyle w:val="ListParagraph"/>
        <w:numPr>
          <w:ilvl w:val="0"/>
          <w:numId w:val="33"/>
        </w:numPr>
        <w:spacing w:after="120"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2D6096" w:rsidRPr="00650EE4">
        <w:rPr>
          <w:rFonts w:ascii="Times New Roman" w:hAnsi="Times New Roman"/>
          <w:color w:val="000000" w:themeColor="text1"/>
          <w:szCs w:val="22"/>
          <w:lang w:val="lt-LT"/>
        </w:rPr>
        <w:t>uri egzistuoti patrauklūs finansavimo sprendimai - n</w:t>
      </w:r>
      <w:r w:rsidR="004C28EE" w:rsidRPr="00650EE4">
        <w:rPr>
          <w:rFonts w:ascii="Times New Roman" w:hAnsi="Times New Roman"/>
          <w:color w:val="000000" w:themeColor="text1"/>
          <w:szCs w:val="22"/>
          <w:lang w:val="lt-LT"/>
        </w:rPr>
        <w:t xml:space="preserve">et ir </w:t>
      </w:r>
      <w:r w:rsidR="00623426" w:rsidRPr="00650EE4">
        <w:rPr>
          <w:rFonts w:ascii="Times New Roman" w:hAnsi="Times New Roman"/>
          <w:color w:val="000000" w:themeColor="text1"/>
          <w:szCs w:val="22"/>
          <w:lang w:val="lt-LT"/>
        </w:rPr>
        <w:t>tikint</w:t>
      </w:r>
      <w:r w:rsidR="00C77A73" w:rsidRPr="00650EE4">
        <w:rPr>
          <w:rFonts w:ascii="Times New Roman" w:hAnsi="Times New Roman"/>
          <w:color w:val="000000" w:themeColor="text1"/>
          <w:szCs w:val="22"/>
          <w:lang w:val="lt-LT"/>
        </w:rPr>
        <w:t>is</w:t>
      </w:r>
      <w:r w:rsidR="004C28EE" w:rsidRPr="00650EE4">
        <w:rPr>
          <w:rFonts w:ascii="Times New Roman" w:hAnsi="Times New Roman"/>
          <w:color w:val="000000" w:themeColor="text1"/>
          <w:szCs w:val="22"/>
          <w:lang w:val="lt-LT"/>
        </w:rPr>
        <w:t xml:space="preserve"> renovacijos nauda</w:t>
      </w:r>
      <w:r w:rsidR="00C77A73" w:rsidRPr="00650EE4">
        <w:rPr>
          <w:rFonts w:ascii="Times New Roman" w:hAnsi="Times New Roman"/>
          <w:color w:val="000000" w:themeColor="text1"/>
          <w:szCs w:val="22"/>
          <w:lang w:val="lt-LT"/>
        </w:rPr>
        <w:t xml:space="preserve"> </w:t>
      </w:r>
      <w:r w:rsidR="004C28EE" w:rsidRPr="00650EE4">
        <w:rPr>
          <w:rFonts w:ascii="Times New Roman" w:hAnsi="Times New Roman"/>
          <w:color w:val="000000" w:themeColor="text1"/>
          <w:szCs w:val="22"/>
          <w:lang w:val="lt-LT"/>
        </w:rPr>
        <w:t>pastato savininkas nedalyvaus renovacijoje</w:t>
      </w:r>
      <w:r w:rsidR="00623426" w:rsidRPr="00650EE4">
        <w:rPr>
          <w:rFonts w:ascii="Times New Roman" w:hAnsi="Times New Roman"/>
          <w:color w:val="000000" w:themeColor="text1"/>
          <w:szCs w:val="22"/>
          <w:lang w:val="lt-LT"/>
        </w:rPr>
        <w:t>,</w:t>
      </w:r>
      <w:r w:rsidR="004C28EE" w:rsidRPr="00650EE4">
        <w:rPr>
          <w:rFonts w:ascii="Times New Roman" w:hAnsi="Times New Roman"/>
          <w:color w:val="000000" w:themeColor="text1"/>
          <w:szCs w:val="22"/>
          <w:lang w:val="lt-LT"/>
        </w:rPr>
        <w:t xml:space="preserve"> jei neturės </w:t>
      </w:r>
      <w:r w:rsidR="00531460" w:rsidRPr="00650EE4">
        <w:rPr>
          <w:rFonts w:ascii="Times New Roman" w:hAnsi="Times New Roman"/>
          <w:color w:val="000000" w:themeColor="text1"/>
          <w:szCs w:val="22"/>
          <w:lang w:val="lt-LT"/>
        </w:rPr>
        <w:t>tam fi</w:t>
      </w:r>
      <w:r>
        <w:rPr>
          <w:rFonts w:ascii="Times New Roman" w:hAnsi="Times New Roman"/>
          <w:color w:val="000000" w:themeColor="text1"/>
          <w:szCs w:val="22"/>
          <w:lang w:val="lt-LT"/>
        </w:rPr>
        <w:t>nansinių galimybių;</w:t>
      </w:r>
    </w:p>
    <w:p w14:paraId="2285E49B" w14:textId="172A9291" w:rsidR="009C5216" w:rsidRPr="00650EE4" w:rsidRDefault="005F7759" w:rsidP="00BD4925">
      <w:pPr>
        <w:pStyle w:val="ListParagraph"/>
        <w:numPr>
          <w:ilvl w:val="0"/>
          <w:numId w:val="33"/>
        </w:numPr>
        <w:spacing w:line="240" w:lineRule="auto"/>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2D6096" w:rsidRPr="00650EE4">
        <w:rPr>
          <w:rFonts w:ascii="Times New Roman" w:hAnsi="Times New Roman"/>
          <w:color w:val="000000" w:themeColor="text1"/>
          <w:szCs w:val="22"/>
          <w:lang w:val="lt-LT"/>
        </w:rPr>
        <w:t>uri būti pakankamas užtikrinimas, kad renovacijos naudos bus realizuotos – net ir tikintis</w:t>
      </w:r>
      <w:r w:rsidR="00531460" w:rsidRPr="00650EE4">
        <w:rPr>
          <w:rFonts w:ascii="Times New Roman" w:hAnsi="Times New Roman"/>
          <w:color w:val="000000" w:themeColor="text1"/>
          <w:szCs w:val="22"/>
          <w:lang w:val="lt-LT"/>
        </w:rPr>
        <w:t xml:space="preserve"> renovacijos nauda</w:t>
      </w:r>
      <w:r w:rsidR="002D6096" w:rsidRPr="00650EE4">
        <w:rPr>
          <w:rFonts w:ascii="Times New Roman" w:hAnsi="Times New Roman"/>
          <w:color w:val="000000" w:themeColor="text1"/>
          <w:szCs w:val="22"/>
          <w:lang w:val="lt-LT"/>
        </w:rPr>
        <w:t xml:space="preserve"> ir turintis </w:t>
      </w:r>
      <w:r w:rsidR="00342E55" w:rsidRPr="00650EE4">
        <w:rPr>
          <w:rFonts w:ascii="Times New Roman" w:hAnsi="Times New Roman"/>
          <w:color w:val="000000" w:themeColor="text1"/>
          <w:szCs w:val="22"/>
          <w:lang w:val="lt-LT"/>
        </w:rPr>
        <w:t>patrauklias finansavimo galimybes</w:t>
      </w:r>
      <w:r w:rsidR="004371CC" w:rsidRPr="00650EE4">
        <w:rPr>
          <w:rFonts w:ascii="Times New Roman" w:hAnsi="Times New Roman"/>
          <w:color w:val="000000" w:themeColor="text1"/>
          <w:szCs w:val="22"/>
          <w:lang w:val="lt-LT"/>
        </w:rPr>
        <w:t xml:space="preserve"> pastato savininkas</w:t>
      </w:r>
      <w:r w:rsidR="00817E4D" w:rsidRPr="00650EE4">
        <w:rPr>
          <w:rFonts w:ascii="Times New Roman" w:hAnsi="Times New Roman"/>
          <w:color w:val="000000" w:themeColor="text1"/>
          <w:szCs w:val="22"/>
          <w:lang w:val="lt-LT"/>
        </w:rPr>
        <w:t xml:space="preserve"> tikėtina nedalyvaus</w:t>
      </w:r>
      <w:r w:rsidR="00342E55" w:rsidRPr="00650EE4">
        <w:rPr>
          <w:rFonts w:ascii="Times New Roman" w:hAnsi="Times New Roman"/>
          <w:color w:val="000000" w:themeColor="text1"/>
          <w:szCs w:val="22"/>
          <w:lang w:val="lt-LT"/>
        </w:rPr>
        <w:t xml:space="preserve"> renovacijoje</w:t>
      </w:r>
      <w:r w:rsidR="006D3D87" w:rsidRPr="00650EE4">
        <w:rPr>
          <w:rFonts w:ascii="Times New Roman" w:hAnsi="Times New Roman"/>
          <w:color w:val="000000" w:themeColor="text1"/>
          <w:szCs w:val="22"/>
          <w:lang w:val="lt-LT"/>
        </w:rPr>
        <w:t>,</w:t>
      </w:r>
      <w:r w:rsidR="00470DFE" w:rsidRPr="00650EE4">
        <w:rPr>
          <w:rFonts w:ascii="Times New Roman" w:hAnsi="Times New Roman"/>
          <w:color w:val="000000" w:themeColor="text1"/>
          <w:szCs w:val="22"/>
          <w:lang w:val="lt-LT"/>
        </w:rPr>
        <w:t xml:space="preserve"> jei </w:t>
      </w:r>
      <w:r w:rsidR="002D6096" w:rsidRPr="00650EE4">
        <w:rPr>
          <w:rFonts w:ascii="Times New Roman" w:hAnsi="Times New Roman"/>
          <w:color w:val="000000" w:themeColor="text1"/>
          <w:szCs w:val="22"/>
          <w:lang w:val="lt-LT"/>
        </w:rPr>
        <w:t>netikės, kad planuojamas rezultatas bus pasiektas.</w:t>
      </w:r>
    </w:p>
    <w:p w14:paraId="65C0EA79" w14:textId="77777777" w:rsidR="000C360F" w:rsidRPr="00650EE4" w:rsidRDefault="000C360F" w:rsidP="000C360F">
      <w:pPr>
        <w:spacing w:line="240" w:lineRule="auto"/>
        <w:jc w:val="both"/>
        <w:rPr>
          <w:rFonts w:ascii="Times New Roman" w:hAnsi="Times New Roman"/>
          <w:color w:val="000000" w:themeColor="text1"/>
          <w:szCs w:val="22"/>
        </w:rPr>
      </w:pPr>
    </w:p>
    <w:p w14:paraId="2B2BA619" w14:textId="20D42E2F" w:rsidR="000F1FD1" w:rsidRPr="00650EE4" w:rsidRDefault="009A5F77" w:rsidP="00A66BCF">
      <w:pPr>
        <w:spacing w:after="120"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Principinės priemonės, kuriomis </w:t>
      </w:r>
      <w:r w:rsidR="006C30A0" w:rsidRPr="00650EE4">
        <w:rPr>
          <w:rFonts w:ascii="Times New Roman" w:hAnsi="Times New Roman"/>
          <w:color w:val="000000" w:themeColor="text1"/>
          <w:szCs w:val="22"/>
        </w:rPr>
        <w:t>turėtų būti</w:t>
      </w:r>
      <w:r w:rsidRPr="00650EE4">
        <w:rPr>
          <w:rFonts w:ascii="Times New Roman" w:hAnsi="Times New Roman"/>
          <w:color w:val="000000" w:themeColor="text1"/>
          <w:szCs w:val="22"/>
        </w:rPr>
        <w:t xml:space="preserve"> siekiama proveržio </w:t>
      </w:r>
      <w:r w:rsidR="00C67880" w:rsidRPr="00650EE4">
        <w:rPr>
          <w:rFonts w:ascii="Times New Roman" w:hAnsi="Times New Roman"/>
          <w:color w:val="000000" w:themeColor="text1"/>
          <w:szCs w:val="22"/>
        </w:rPr>
        <w:t>renovacijoje</w:t>
      </w:r>
      <w:r w:rsidR="005F7759">
        <w:rPr>
          <w:rFonts w:ascii="Times New Roman" w:hAnsi="Times New Roman"/>
          <w:color w:val="000000" w:themeColor="text1"/>
          <w:szCs w:val="22"/>
        </w:rPr>
        <w:t xml:space="preserve"> pateikiamos žemiau.</w:t>
      </w:r>
    </w:p>
    <w:p w14:paraId="580ED31C" w14:textId="44F1A310" w:rsidR="00C34A7A" w:rsidRPr="00650EE4" w:rsidRDefault="00C34A7A"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Integruotas planavimas</w:t>
      </w:r>
      <w:r w:rsidR="00817E4D" w:rsidRPr="00650EE4">
        <w:rPr>
          <w:rFonts w:ascii="Times New Roman" w:hAnsi="Times New Roman"/>
          <w:b/>
          <w:color w:val="000000" w:themeColor="text1"/>
          <w:szCs w:val="22"/>
          <w:lang w:val="lt-LT"/>
        </w:rPr>
        <w:t xml:space="preserve"> ir </w:t>
      </w:r>
      <w:proofErr w:type="spellStart"/>
      <w:r w:rsidR="00817E4D" w:rsidRPr="00650EE4">
        <w:rPr>
          <w:rFonts w:ascii="Times New Roman" w:hAnsi="Times New Roman"/>
          <w:b/>
          <w:color w:val="000000" w:themeColor="text1"/>
          <w:szCs w:val="22"/>
          <w:lang w:val="lt-LT"/>
        </w:rPr>
        <w:t>stebėsena</w:t>
      </w:r>
      <w:proofErr w:type="spellEnd"/>
      <w:r w:rsidRPr="00650EE4">
        <w:rPr>
          <w:rFonts w:ascii="Times New Roman" w:hAnsi="Times New Roman"/>
          <w:color w:val="000000" w:themeColor="text1"/>
          <w:szCs w:val="22"/>
          <w:lang w:val="lt-LT"/>
        </w:rPr>
        <w:t xml:space="preserve"> – tam, kad būtų maksimizuotos renovacijos naudos, suderintos paramos priemonės ir užtikrintas sklandus procesas svarbu planuoti ir suderinti tiek paties renovacijos proceso dalis, tiek jo ryšius su kitomis sritimis (pvz., energetika, teritorijų planavimu).</w:t>
      </w:r>
    </w:p>
    <w:p w14:paraId="4BC5AEF7" w14:textId="72591066" w:rsidR="00C34A7A" w:rsidRPr="00650EE4" w:rsidRDefault="00817E4D"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Kompleksinis</w:t>
      </w:r>
      <w:r w:rsidR="00C34A7A" w:rsidRPr="00650EE4">
        <w:rPr>
          <w:rFonts w:ascii="Times New Roman" w:hAnsi="Times New Roman"/>
          <w:b/>
          <w:color w:val="000000" w:themeColor="text1"/>
          <w:szCs w:val="22"/>
          <w:lang w:val="lt-LT"/>
        </w:rPr>
        <w:t xml:space="preserve"> paramos priemonių paketas</w:t>
      </w:r>
      <w:r w:rsidR="00C34A7A" w:rsidRPr="00650EE4">
        <w:rPr>
          <w:rFonts w:ascii="Times New Roman" w:hAnsi="Times New Roman"/>
          <w:color w:val="000000" w:themeColor="text1"/>
          <w:szCs w:val="22"/>
          <w:lang w:val="lt-LT"/>
        </w:rPr>
        <w:t xml:space="preserve"> – tam, kad savininkai patikėtų renovacijos nauda ir dalyvautų renovacijoje pakankamais tempais, turime taikyti kompleksines motyvacijos priemones (tiek skatinimą, tiek nuobaudas), orientuotas į naudų maksimizavimą.</w:t>
      </w:r>
    </w:p>
    <w:p w14:paraId="79D612BE" w14:textId="77777777" w:rsidR="00C34A7A" w:rsidRPr="00650EE4" w:rsidRDefault="00C34A7A" w:rsidP="00BD4925">
      <w:pPr>
        <w:pStyle w:val="ListParagraph"/>
        <w:numPr>
          <w:ilvl w:val="0"/>
          <w:numId w:val="41"/>
        </w:numPr>
        <w:spacing w:after="120"/>
        <w:contextualSpacing w:val="0"/>
        <w:jc w:val="both"/>
        <w:rPr>
          <w:rFonts w:ascii="Times New Roman" w:hAnsi="Times New Roman"/>
          <w:bCs/>
          <w:color w:val="000000" w:themeColor="text1"/>
          <w:szCs w:val="22"/>
          <w:lang w:val="lt-LT"/>
        </w:rPr>
      </w:pPr>
      <w:r w:rsidRPr="00650EE4">
        <w:rPr>
          <w:rFonts w:ascii="Times New Roman" w:hAnsi="Times New Roman"/>
          <w:b/>
          <w:color w:val="000000" w:themeColor="text1"/>
          <w:szCs w:val="22"/>
          <w:lang w:val="lt-LT"/>
        </w:rPr>
        <w:lastRenderedPageBreak/>
        <w:t xml:space="preserve">Pakankamas finansavimas – </w:t>
      </w:r>
      <w:r w:rsidRPr="00650EE4">
        <w:rPr>
          <w:rFonts w:ascii="Times New Roman" w:hAnsi="Times New Roman"/>
          <w:bCs/>
          <w:color w:val="000000" w:themeColor="text1"/>
          <w:szCs w:val="22"/>
          <w:lang w:val="lt-LT"/>
        </w:rPr>
        <w:t xml:space="preserve">tam, kad savininkai norėtų ir galėtų įdėti savo indėlį į renovacijos investicijas, reikalingas pakankamas finansavimas. </w:t>
      </w:r>
    </w:p>
    <w:p w14:paraId="424427C9" w14:textId="73678587" w:rsidR="00C34A7A" w:rsidRPr="00650EE4" w:rsidRDefault="00817E4D"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Efektyvi</w:t>
      </w:r>
      <w:r w:rsidR="00C34A7A" w:rsidRPr="00650EE4">
        <w:rPr>
          <w:rFonts w:ascii="Times New Roman" w:hAnsi="Times New Roman"/>
          <w:b/>
          <w:color w:val="000000" w:themeColor="text1"/>
          <w:szCs w:val="22"/>
          <w:lang w:val="lt-LT"/>
        </w:rPr>
        <w:t xml:space="preserve"> komunikacija </w:t>
      </w:r>
      <w:r w:rsidR="00C34A7A" w:rsidRPr="00650EE4">
        <w:rPr>
          <w:rFonts w:ascii="Times New Roman" w:hAnsi="Times New Roman"/>
          <w:color w:val="000000" w:themeColor="text1"/>
          <w:szCs w:val="22"/>
          <w:lang w:val="lt-LT"/>
        </w:rPr>
        <w:t>– tam, kad pastatų savininkai, kaip naudos gavėjai, ir kitos susijusios šalys būtų informuoti apie šias priemones, turi būti vykdoma aiški, sklandi, koordinuota ir savalaikė komunikacija.</w:t>
      </w:r>
    </w:p>
    <w:p w14:paraId="17AF2498" w14:textId="197E5038" w:rsidR="00226D29" w:rsidRPr="00650EE4" w:rsidRDefault="00226D29" w:rsidP="00BD4925">
      <w:pPr>
        <w:pStyle w:val="ListParagraph"/>
        <w:numPr>
          <w:ilvl w:val="0"/>
          <w:numId w:val="41"/>
        </w:numPr>
        <w:spacing w:after="120"/>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 xml:space="preserve">Patikima įgyvendinimo sistema </w:t>
      </w:r>
      <w:r w:rsidRPr="00650EE4">
        <w:rPr>
          <w:rFonts w:ascii="Times New Roman" w:hAnsi="Times New Roman"/>
          <w:color w:val="000000" w:themeColor="text1"/>
          <w:szCs w:val="22"/>
          <w:lang w:val="lt-LT"/>
        </w:rPr>
        <w:t xml:space="preserve">– tam, kad būtų užtikrintas sklandus procesas ir atsižvelgta į pastatų savininkų poreikius, reikia priartėti prie pastatų savininkų: tiek fiziškai, tiek atliepiant jų poreikius. </w:t>
      </w:r>
    </w:p>
    <w:p w14:paraId="2E150FC8" w14:textId="77777777" w:rsidR="006C467B" w:rsidRPr="00650EE4" w:rsidRDefault="006C467B" w:rsidP="00416BB4">
      <w:pPr>
        <w:jc w:val="both"/>
        <w:rPr>
          <w:rFonts w:ascii="Times New Roman" w:hAnsi="Times New Roman"/>
          <w:color w:val="auto"/>
          <w:szCs w:val="22"/>
        </w:rPr>
      </w:pPr>
    </w:p>
    <w:p w14:paraId="42CB75C2" w14:textId="0C3CA90F" w:rsidR="00416BB4" w:rsidRPr="00650EE4" w:rsidRDefault="00B81A0C" w:rsidP="00416BB4">
      <w:pPr>
        <w:jc w:val="both"/>
        <w:rPr>
          <w:rFonts w:ascii="Times New Roman" w:hAnsi="Times New Roman"/>
          <w:color w:val="auto"/>
          <w:szCs w:val="22"/>
        </w:rPr>
      </w:pPr>
      <w:r>
        <w:rPr>
          <w:rFonts w:ascii="Times New Roman" w:hAnsi="Times New Roman"/>
          <w:color w:val="auto"/>
          <w:szCs w:val="22"/>
        </w:rPr>
        <w:t>P</w:t>
      </w:r>
      <w:r w:rsidR="00416BB4" w:rsidRPr="00650EE4">
        <w:rPr>
          <w:rFonts w:ascii="Times New Roman" w:hAnsi="Times New Roman"/>
          <w:color w:val="auto"/>
          <w:szCs w:val="22"/>
        </w:rPr>
        <w:t>aveiksle</w:t>
      </w:r>
      <w:r>
        <w:rPr>
          <w:rFonts w:ascii="Times New Roman" w:hAnsi="Times New Roman"/>
          <w:color w:val="auto"/>
          <w:szCs w:val="22"/>
        </w:rPr>
        <w:t xml:space="preserve"> žemiau</w:t>
      </w:r>
      <w:r w:rsidR="00E723D0">
        <w:rPr>
          <w:rFonts w:ascii="Times New Roman" w:hAnsi="Times New Roman"/>
          <w:color w:val="auto"/>
          <w:szCs w:val="22"/>
        </w:rPr>
        <w:t xml:space="preserve"> </w:t>
      </w:r>
      <w:r w:rsidR="00416BB4" w:rsidRPr="00650EE4">
        <w:rPr>
          <w:rFonts w:ascii="Times New Roman" w:hAnsi="Times New Roman"/>
          <w:color w:val="auto"/>
          <w:szCs w:val="22"/>
        </w:rPr>
        <w:t xml:space="preserve">pateikiama </w:t>
      </w:r>
      <w:r w:rsidR="00416BB4" w:rsidRPr="00650EE4">
        <w:rPr>
          <w:rFonts w:ascii="Times New Roman" w:hAnsi="Times New Roman"/>
          <w:color w:val="000000" w:themeColor="text1"/>
          <w:szCs w:val="22"/>
        </w:rPr>
        <w:t>į pastato savininką orientuoto renovacijos s</w:t>
      </w:r>
      <w:r w:rsidR="00687CA9">
        <w:rPr>
          <w:rFonts w:ascii="Times New Roman" w:hAnsi="Times New Roman"/>
          <w:color w:val="000000" w:themeColor="text1"/>
          <w:szCs w:val="22"/>
        </w:rPr>
        <w:t>trategijos įgyvendinimo modelio</w:t>
      </w:r>
      <w:r w:rsidR="00416BB4" w:rsidRPr="00650EE4">
        <w:rPr>
          <w:rFonts w:ascii="Times New Roman" w:hAnsi="Times New Roman"/>
          <w:color w:val="000000" w:themeColor="text1"/>
          <w:szCs w:val="22"/>
        </w:rPr>
        <w:t xml:space="preserve"> schema.</w:t>
      </w:r>
    </w:p>
    <w:p w14:paraId="12717B1B" w14:textId="77777777" w:rsidR="00416BB4" w:rsidRPr="00650EE4" w:rsidRDefault="00416BB4" w:rsidP="00283744">
      <w:pPr>
        <w:rPr>
          <w:rFonts w:ascii="Times New Roman" w:hAnsi="Times New Roman"/>
          <w:color w:val="auto"/>
          <w:szCs w:val="22"/>
        </w:rPr>
      </w:pPr>
    </w:p>
    <w:p w14:paraId="570CABB0" w14:textId="68908C3C" w:rsidR="00817E4D" w:rsidRPr="00650EE4" w:rsidRDefault="00817E4D" w:rsidP="00631BA6">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03" w:name="_Toc59094278"/>
      <w:r w:rsidR="00F25C65">
        <w:t>29</w:t>
      </w:r>
      <w:r w:rsidRPr="00650EE4">
        <w:rPr>
          <w:noProof w:val="0"/>
        </w:rPr>
        <w:fldChar w:fldCharType="end"/>
      </w:r>
      <w:r w:rsidRPr="00650EE4">
        <w:rPr>
          <w:noProof w:val="0"/>
        </w:rPr>
        <w:t xml:space="preserve"> paveikslas. Renovacijos įgyvendinimo modelis</w:t>
      </w:r>
      <w:bookmarkEnd w:id="203"/>
      <w:r w:rsidRPr="00650EE4">
        <w:rPr>
          <w:noProof w:val="0"/>
        </w:rPr>
        <w:t xml:space="preserve"> </w:t>
      </w:r>
    </w:p>
    <w:p w14:paraId="1C236A76" w14:textId="2755DBE4" w:rsidR="00817E4D" w:rsidRPr="00650EE4" w:rsidRDefault="00604318" w:rsidP="00631BA6">
      <w:pPr>
        <w:pStyle w:val="TESlentelspavadinimas"/>
        <w:rPr>
          <w:noProof w:val="0"/>
        </w:rPr>
      </w:pPr>
      <w:r w:rsidRPr="00650EE4">
        <w:rPr>
          <w:lang w:eastAsia="lt-LT"/>
        </w:rPr>
        <w:drawing>
          <wp:inline distT="0" distB="0" distL="0" distR="0" wp14:anchorId="23E190AC" wp14:editId="1F77DDF8">
            <wp:extent cx="6390005" cy="3150456"/>
            <wp:effectExtent l="19050" t="19050" r="10795" b="120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1448" cy="3175819"/>
                    </a:xfrm>
                    <a:prstGeom prst="rect">
                      <a:avLst/>
                    </a:prstGeom>
                    <a:noFill/>
                    <a:ln>
                      <a:solidFill>
                        <a:schemeClr val="tx1"/>
                      </a:solidFill>
                    </a:ln>
                  </pic:spPr>
                </pic:pic>
              </a:graphicData>
            </a:graphic>
          </wp:inline>
        </w:drawing>
      </w:r>
    </w:p>
    <w:p w14:paraId="15B7FD72" w14:textId="3E9E6D58" w:rsidR="00817E4D" w:rsidRPr="00650EE4" w:rsidRDefault="00817E4D" w:rsidP="00631BA6">
      <w:pPr>
        <w:pStyle w:val="TESlentelspavadinimas"/>
        <w:rPr>
          <w:noProof w:val="0"/>
        </w:rPr>
      </w:pPr>
      <w:r w:rsidRPr="00650EE4">
        <w:rPr>
          <w:noProof w:val="0"/>
        </w:rPr>
        <w:t xml:space="preserve">Šaltinis: Studijos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31223296" w14:textId="77777777" w:rsidR="000C360F" w:rsidRPr="00650EE4" w:rsidRDefault="000C360F" w:rsidP="00631BA6">
      <w:pPr>
        <w:pStyle w:val="TESlentelspavadinimas"/>
        <w:rPr>
          <w:noProof w:val="0"/>
        </w:rPr>
      </w:pPr>
    </w:p>
    <w:p w14:paraId="73362A34" w14:textId="7FFE0C57" w:rsidR="000C360F" w:rsidRPr="00E723D0" w:rsidRDefault="00E723D0" w:rsidP="00E723D0">
      <w:pPr>
        <w:spacing w:after="240"/>
        <w:rPr>
          <w:rFonts w:ascii="Times New Roman" w:eastAsiaTheme="minorHAnsi" w:hAnsi="Times New Roman"/>
          <w:bCs/>
          <w:i/>
          <w:color w:val="000000" w:themeColor="text1"/>
          <w:sz w:val="20"/>
          <w:szCs w:val="20"/>
        </w:rPr>
      </w:pPr>
      <w:r>
        <w:br w:type="page"/>
      </w:r>
    </w:p>
    <w:p w14:paraId="7A2E7176" w14:textId="41B17911" w:rsidR="005536B8" w:rsidRPr="00650EE4" w:rsidRDefault="00DD1817" w:rsidP="00D1278A">
      <w:pPr>
        <w:pStyle w:val="Antrastes2"/>
        <w:numPr>
          <w:ilvl w:val="1"/>
          <w:numId w:val="4"/>
        </w:numPr>
        <w:pBdr>
          <w:bottom w:val="single" w:sz="4" w:space="1" w:color="auto"/>
        </w:pBdr>
        <w:spacing w:before="240"/>
        <w:ind w:left="576" w:hanging="576"/>
        <w:jc w:val="both"/>
        <w:rPr>
          <w:rFonts w:ascii="Times New Roman" w:hAnsi="Times New Roman"/>
          <w:color w:val="auto"/>
          <w:sz w:val="24"/>
          <w:szCs w:val="24"/>
          <w:lang w:val="lt-LT"/>
        </w:rPr>
      </w:pPr>
      <w:bookmarkStart w:id="204" w:name="_Toc59107572"/>
      <w:r w:rsidRPr="00650EE4">
        <w:rPr>
          <w:rFonts w:ascii="Times New Roman" w:hAnsi="Times New Roman"/>
          <w:color w:val="auto"/>
          <w:sz w:val="24"/>
          <w:szCs w:val="24"/>
          <w:lang w:val="lt-LT"/>
        </w:rPr>
        <w:lastRenderedPageBreak/>
        <w:t>Strategijos į</w:t>
      </w:r>
      <w:r w:rsidR="005536B8" w:rsidRPr="00650EE4">
        <w:rPr>
          <w:rFonts w:ascii="Times New Roman" w:hAnsi="Times New Roman"/>
          <w:color w:val="auto"/>
          <w:sz w:val="24"/>
          <w:szCs w:val="24"/>
          <w:lang w:val="lt-LT"/>
        </w:rPr>
        <w:t>gyvendinimo</w:t>
      </w:r>
      <w:r w:rsidR="006719BF" w:rsidRPr="00650EE4">
        <w:rPr>
          <w:rFonts w:ascii="Times New Roman" w:hAnsi="Times New Roman"/>
          <w:color w:val="auto"/>
          <w:sz w:val="24"/>
          <w:szCs w:val="24"/>
          <w:lang w:val="lt-LT"/>
        </w:rPr>
        <w:t xml:space="preserve"> </w:t>
      </w:r>
      <w:r w:rsidR="00342238" w:rsidRPr="00650EE4">
        <w:rPr>
          <w:rFonts w:ascii="Times New Roman" w:hAnsi="Times New Roman"/>
          <w:color w:val="auto"/>
          <w:sz w:val="24"/>
          <w:szCs w:val="24"/>
          <w:lang w:val="lt-LT"/>
        </w:rPr>
        <w:t>priemo</w:t>
      </w:r>
      <w:r w:rsidR="00864305" w:rsidRPr="00650EE4">
        <w:rPr>
          <w:rFonts w:ascii="Times New Roman" w:hAnsi="Times New Roman"/>
          <w:color w:val="auto"/>
          <w:sz w:val="24"/>
          <w:szCs w:val="24"/>
          <w:lang w:val="lt-LT"/>
        </w:rPr>
        <w:t>n</w:t>
      </w:r>
      <w:r w:rsidR="002B66F2" w:rsidRPr="00650EE4">
        <w:rPr>
          <w:rFonts w:ascii="Times New Roman" w:hAnsi="Times New Roman"/>
          <w:color w:val="auto"/>
          <w:sz w:val="24"/>
          <w:szCs w:val="24"/>
          <w:lang w:val="lt-LT"/>
        </w:rPr>
        <w:t>ės</w:t>
      </w:r>
      <w:bookmarkEnd w:id="204"/>
    </w:p>
    <w:p w14:paraId="2CC93BB1" w14:textId="77777777" w:rsidR="00AE1646" w:rsidRPr="00650EE4" w:rsidRDefault="00AE1646" w:rsidP="00AE1646">
      <w:pPr>
        <w:jc w:val="both"/>
        <w:rPr>
          <w:rFonts w:ascii="Times New Roman" w:hAnsi="Times New Roman"/>
          <w:color w:val="000000" w:themeColor="text1"/>
          <w:szCs w:val="22"/>
        </w:rPr>
      </w:pPr>
      <w:r w:rsidRPr="00650EE4">
        <w:rPr>
          <w:rFonts w:ascii="Times New Roman" w:hAnsi="Times New Roman"/>
          <w:color w:val="000000" w:themeColor="text1"/>
          <w:szCs w:val="22"/>
        </w:rPr>
        <w:t>Lentelėje žemiau pateikiamas planuojamų principinių renovacijos strategijos įgyvendinimui reikalingų priemonių ir veiksmų sąrašas.</w:t>
      </w:r>
    </w:p>
    <w:p w14:paraId="3F03BA4F" w14:textId="77777777" w:rsidR="00AE1646" w:rsidRPr="00650EE4" w:rsidRDefault="00AE1646" w:rsidP="00AE1646">
      <w:pPr>
        <w:jc w:val="both"/>
        <w:rPr>
          <w:rFonts w:ascii="Times New Roman" w:hAnsi="Times New Roman"/>
          <w:color w:val="000000" w:themeColor="text1"/>
          <w:szCs w:val="22"/>
        </w:rPr>
      </w:pPr>
    </w:p>
    <w:p w14:paraId="0D0F4DB5" w14:textId="7331116F" w:rsidR="00AE1646" w:rsidRPr="00650EE4" w:rsidRDefault="00AE1646" w:rsidP="00631BA6">
      <w:pPr>
        <w:pStyle w:val="TESlentelspavadinimas"/>
        <w:rPr>
          <w:noProof w:val="0"/>
        </w:rPr>
      </w:pPr>
      <w:r w:rsidRPr="00650EE4">
        <w:rPr>
          <w:noProof w:val="0"/>
        </w:rPr>
        <w:fldChar w:fldCharType="begin"/>
      </w:r>
      <w:r w:rsidRPr="00650EE4">
        <w:rPr>
          <w:noProof w:val="0"/>
        </w:rPr>
        <w:instrText xml:space="preserve"> SEQ lentelė \* ARABIC </w:instrText>
      </w:r>
      <w:r w:rsidRPr="00650EE4">
        <w:rPr>
          <w:noProof w:val="0"/>
        </w:rPr>
        <w:fldChar w:fldCharType="separate"/>
      </w:r>
      <w:bookmarkStart w:id="205" w:name="_Toc59094249"/>
      <w:r w:rsidR="00F25C65">
        <w:t>66</w:t>
      </w:r>
      <w:r w:rsidRPr="00650EE4">
        <w:rPr>
          <w:noProof w:val="0"/>
        </w:rPr>
        <w:fldChar w:fldCharType="end"/>
      </w:r>
      <w:r w:rsidRPr="00650EE4">
        <w:rPr>
          <w:noProof w:val="0"/>
        </w:rPr>
        <w:t xml:space="preserve"> lentelė. Renovacijos strategijos įgyvendinimo priemonių ir veiksmų sąrašas</w:t>
      </w:r>
      <w:bookmarkEnd w:id="205"/>
      <w:r w:rsidRPr="00650EE4">
        <w:rPr>
          <w:noProof w:val="0"/>
        </w:rPr>
        <w:t xml:space="preserve"> </w:t>
      </w:r>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4"/>
        <w:gridCol w:w="8692"/>
      </w:tblGrid>
      <w:tr w:rsidR="00B66665" w:rsidRPr="00650EE4" w14:paraId="0AB5E311" w14:textId="77777777" w:rsidTr="00910123">
        <w:trPr>
          <w:trHeight w:val="298"/>
          <w:tblHeader/>
        </w:trPr>
        <w:tc>
          <w:tcPr>
            <w:tcW w:w="1696" w:type="dxa"/>
            <w:shd w:val="clear" w:color="auto" w:fill="auto"/>
            <w:vAlign w:val="center"/>
            <w:hideMark/>
          </w:tcPr>
          <w:p w14:paraId="2F63131E" w14:textId="77777777" w:rsidR="00B66665" w:rsidRPr="00650EE4" w:rsidRDefault="00B66665" w:rsidP="00910123">
            <w:pPr>
              <w:spacing w:line="240" w:lineRule="auto"/>
              <w:rPr>
                <w:rFonts w:ascii="Times New Roman" w:eastAsia="Times New Roman" w:hAnsi="Times New Roman"/>
                <w:b/>
                <w:bCs/>
                <w:sz w:val="20"/>
                <w:szCs w:val="20"/>
                <w:lang w:eastAsia="lt-LT"/>
              </w:rPr>
            </w:pPr>
            <w:bookmarkStart w:id="206" w:name="_Hlk55483534"/>
            <w:r w:rsidRPr="00650EE4">
              <w:rPr>
                <w:rFonts w:ascii="Times New Roman" w:eastAsia="Times New Roman" w:hAnsi="Times New Roman"/>
                <w:b/>
                <w:bCs/>
                <w:sz w:val="20"/>
                <w:szCs w:val="20"/>
                <w:lang w:eastAsia="lt-LT"/>
              </w:rPr>
              <w:t>Priemonė</w:t>
            </w:r>
          </w:p>
        </w:tc>
        <w:tc>
          <w:tcPr>
            <w:tcW w:w="8504" w:type="dxa"/>
            <w:shd w:val="clear" w:color="auto" w:fill="auto"/>
            <w:vAlign w:val="center"/>
            <w:hideMark/>
          </w:tcPr>
          <w:p w14:paraId="06E14237" w14:textId="77777777" w:rsidR="00B66665" w:rsidRPr="00650EE4" w:rsidRDefault="00B66665" w:rsidP="00910123">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Veiksmai </w:t>
            </w:r>
          </w:p>
        </w:tc>
      </w:tr>
      <w:tr w:rsidR="00B66665" w:rsidRPr="00650EE4" w14:paraId="4B5A42C3" w14:textId="77777777" w:rsidTr="00910123">
        <w:tc>
          <w:tcPr>
            <w:tcW w:w="1696" w:type="dxa"/>
            <w:vMerge w:val="restart"/>
            <w:shd w:val="clear" w:color="auto" w:fill="auto"/>
            <w:vAlign w:val="center"/>
          </w:tcPr>
          <w:p w14:paraId="7ED4C7A8" w14:textId="77777777" w:rsidR="00B66665" w:rsidRPr="00650EE4" w:rsidRDefault="00B66665" w:rsidP="00910123">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 xml:space="preserve">P1. Integruotas planavimas ir </w:t>
            </w:r>
            <w:proofErr w:type="spellStart"/>
            <w:r w:rsidRPr="00650EE4">
              <w:rPr>
                <w:rFonts w:ascii="Times New Roman" w:eastAsia="Times New Roman" w:hAnsi="Times New Roman"/>
                <w:b/>
                <w:sz w:val="20"/>
                <w:szCs w:val="20"/>
                <w:lang w:eastAsia="lt-LT"/>
              </w:rPr>
              <w:t>stebėsena</w:t>
            </w:r>
            <w:proofErr w:type="spellEnd"/>
          </w:p>
        </w:tc>
        <w:tc>
          <w:tcPr>
            <w:tcW w:w="8504" w:type="dxa"/>
            <w:shd w:val="clear" w:color="auto" w:fill="auto"/>
          </w:tcPr>
          <w:p w14:paraId="43FC78FC"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P1. </w:t>
            </w:r>
            <w:bookmarkStart w:id="207" w:name="_Hlk51673749"/>
            <w:r w:rsidRPr="00650EE4">
              <w:rPr>
                <w:rFonts w:ascii="Times New Roman" w:eastAsia="Times New Roman" w:hAnsi="Times New Roman"/>
                <w:b/>
                <w:bCs/>
                <w:sz w:val="20"/>
                <w:szCs w:val="20"/>
                <w:lang w:eastAsia="lt-LT"/>
              </w:rPr>
              <w:t xml:space="preserve">Koordinuotas </w:t>
            </w:r>
            <w:proofErr w:type="spellStart"/>
            <w:r w:rsidRPr="00650EE4">
              <w:rPr>
                <w:rFonts w:ascii="Times New Roman" w:eastAsia="Times New Roman" w:hAnsi="Times New Roman"/>
                <w:b/>
                <w:bCs/>
                <w:sz w:val="20"/>
                <w:szCs w:val="20"/>
                <w:lang w:eastAsia="lt-LT"/>
              </w:rPr>
              <w:t>tarpinstitucinis</w:t>
            </w:r>
            <w:proofErr w:type="spellEnd"/>
            <w:r w:rsidRPr="00650EE4">
              <w:rPr>
                <w:rFonts w:ascii="Times New Roman" w:eastAsia="Times New Roman" w:hAnsi="Times New Roman"/>
                <w:b/>
                <w:bCs/>
                <w:sz w:val="20"/>
                <w:szCs w:val="20"/>
                <w:lang w:eastAsia="lt-LT"/>
              </w:rPr>
              <w:t xml:space="preserve"> planavimas</w:t>
            </w:r>
            <w:bookmarkEnd w:id="207"/>
          </w:p>
          <w:p w14:paraId="47BA2640" w14:textId="77777777" w:rsidR="00B66665" w:rsidRPr="00650EE4" w:rsidRDefault="00B66665" w:rsidP="00910123">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Koordinuotas visų energinio efektyvumo ir AEI priemonių planavimas tarp skirtingų institucijų</w:t>
            </w:r>
          </w:p>
        </w:tc>
      </w:tr>
      <w:tr w:rsidR="00B66665" w:rsidRPr="00650EE4" w14:paraId="4F8D4A8E" w14:textId="77777777" w:rsidTr="00910123">
        <w:tc>
          <w:tcPr>
            <w:tcW w:w="1696" w:type="dxa"/>
            <w:vMerge/>
            <w:shd w:val="clear" w:color="auto" w:fill="auto"/>
            <w:vAlign w:val="center"/>
          </w:tcPr>
          <w:p w14:paraId="60C000B0" w14:textId="77777777" w:rsidR="00B66665" w:rsidRPr="00650EE4" w:rsidRDefault="00B66665" w:rsidP="00910123">
            <w:pPr>
              <w:spacing w:line="240" w:lineRule="auto"/>
              <w:rPr>
                <w:rFonts w:ascii="Times New Roman" w:eastAsia="Times New Roman" w:hAnsi="Times New Roman"/>
                <w:sz w:val="20"/>
                <w:szCs w:val="20"/>
                <w:lang w:eastAsia="lt-LT"/>
              </w:rPr>
            </w:pPr>
          </w:p>
        </w:tc>
        <w:tc>
          <w:tcPr>
            <w:tcW w:w="8504" w:type="dxa"/>
            <w:shd w:val="clear" w:color="auto" w:fill="auto"/>
          </w:tcPr>
          <w:p w14:paraId="40E75593"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P2. Pastatų fondo inventorizacija ir duomenų susisteminimas</w:t>
            </w:r>
          </w:p>
          <w:p w14:paraId="05CAC8FD"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Bendros duomenų bazės sukūrimas, informacijos surinkimo ir atnaujinimo proceso patvirtinimas</w:t>
            </w:r>
          </w:p>
        </w:tc>
      </w:tr>
      <w:tr w:rsidR="00B66665" w:rsidRPr="00650EE4" w14:paraId="58CED5FB" w14:textId="77777777" w:rsidTr="00910123">
        <w:tc>
          <w:tcPr>
            <w:tcW w:w="1696" w:type="dxa"/>
            <w:vMerge/>
            <w:shd w:val="clear" w:color="auto" w:fill="auto"/>
            <w:vAlign w:val="center"/>
          </w:tcPr>
          <w:p w14:paraId="7A720FB6" w14:textId="77777777" w:rsidR="00B66665" w:rsidRPr="00650EE4" w:rsidRDefault="00B66665" w:rsidP="00910123">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04D1A910"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P3. </w:t>
            </w:r>
            <w:bookmarkStart w:id="208" w:name="_Hlk51673762"/>
            <w:r w:rsidRPr="00650EE4">
              <w:rPr>
                <w:rFonts w:ascii="Times New Roman" w:eastAsia="Times New Roman" w:hAnsi="Times New Roman"/>
                <w:b/>
                <w:bCs/>
                <w:sz w:val="20"/>
                <w:szCs w:val="20"/>
                <w:lang w:eastAsia="lt-LT"/>
              </w:rPr>
              <w:t>Renovacijos tikslų integracija į teisės aktų sistemą</w:t>
            </w:r>
            <w:bookmarkEnd w:id="208"/>
          </w:p>
          <w:p w14:paraId="7A4F8C85" w14:textId="77777777" w:rsidR="00B66665" w:rsidRPr="00650EE4" w:rsidRDefault="00B66665" w:rsidP="00910123">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IRS suderinimas su kitomis strategijomis, NECP ir kitais teisės aktais</w:t>
            </w:r>
          </w:p>
        </w:tc>
      </w:tr>
      <w:tr w:rsidR="00B66665" w:rsidRPr="00650EE4" w14:paraId="55E3DFBC" w14:textId="77777777" w:rsidTr="00910123">
        <w:tc>
          <w:tcPr>
            <w:tcW w:w="1696" w:type="dxa"/>
            <w:vMerge/>
            <w:shd w:val="clear" w:color="auto" w:fill="auto"/>
            <w:vAlign w:val="center"/>
          </w:tcPr>
          <w:p w14:paraId="11F3EE34" w14:textId="77777777" w:rsidR="00B66665" w:rsidRPr="00650EE4" w:rsidRDefault="00B66665" w:rsidP="00910123">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56060992"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P4. </w:t>
            </w:r>
            <w:bookmarkStart w:id="209" w:name="_Hlk51673773"/>
            <w:r w:rsidRPr="00650EE4">
              <w:rPr>
                <w:rFonts w:ascii="Times New Roman" w:eastAsia="Times New Roman" w:hAnsi="Times New Roman"/>
                <w:b/>
                <w:bCs/>
                <w:sz w:val="20"/>
                <w:szCs w:val="20"/>
                <w:lang w:eastAsia="lt-LT"/>
              </w:rPr>
              <w:t xml:space="preserve">Svarbesnis savivaldos </w:t>
            </w:r>
            <w:bookmarkEnd w:id="209"/>
            <w:r w:rsidRPr="00650EE4">
              <w:rPr>
                <w:rFonts w:ascii="Times New Roman" w:eastAsia="Times New Roman" w:hAnsi="Times New Roman"/>
                <w:b/>
                <w:bCs/>
                <w:sz w:val="20"/>
                <w:szCs w:val="20"/>
                <w:lang w:eastAsia="lt-LT"/>
              </w:rPr>
              <w:t>lygmens vaidmuo</w:t>
            </w:r>
          </w:p>
          <w:p w14:paraId="40AA0739"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 xml:space="preserve">IRS rodiklių integracija į savivaldos lygmenį, </w:t>
            </w:r>
            <w:r w:rsidRPr="002A2408">
              <w:rPr>
                <w:rFonts w:ascii="Times New Roman" w:eastAsia="Times New Roman" w:hAnsi="Times New Roman"/>
                <w:sz w:val="20"/>
                <w:szCs w:val="20"/>
                <w:lang w:eastAsia="lt-LT"/>
              </w:rPr>
              <w:t>savivaldybių vaidmens įteisinimas</w:t>
            </w:r>
          </w:p>
        </w:tc>
      </w:tr>
      <w:tr w:rsidR="00B66665" w:rsidRPr="00650EE4" w14:paraId="55BAB123" w14:textId="77777777" w:rsidTr="00910123">
        <w:tc>
          <w:tcPr>
            <w:tcW w:w="1696" w:type="dxa"/>
            <w:vMerge/>
            <w:shd w:val="clear" w:color="auto" w:fill="auto"/>
            <w:vAlign w:val="center"/>
          </w:tcPr>
          <w:p w14:paraId="220B1AD2" w14:textId="77777777" w:rsidR="00B66665" w:rsidRPr="00650EE4" w:rsidRDefault="00B66665" w:rsidP="00910123">
            <w:pPr>
              <w:spacing w:line="240" w:lineRule="auto"/>
              <w:rPr>
                <w:rFonts w:ascii="Times New Roman" w:eastAsia="Times New Roman" w:hAnsi="Times New Roman"/>
                <w:sz w:val="20"/>
                <w:szCs w:val="20"/>
                <w:lang w:eastAsia="lt-LT"/>
              </w:rPr>
            </w:pPr>
          </w:p>
        </w:tc>
        <w:tc>
          <w:tcPr>
            <w:tcW w:w="8504" w:type="dxa"/>
            <w:shd w:val="clear" w:color="auto" w:fill="auto"/>
            <w:vAlign w:val="center"/>
          </w:tcPr>
          <w:p w14:paraId="1F10B6DE"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P5. </w:t>
            </w:r>
            <w:proofErr w:type="spellStart"/>
            <w:r w:rsidRPr="00650EE4">
              <w:rPr>
                <w:rFonts w:ascii="Times New Roman" w:eastAsia="Times New Roman" w:hAnsi="Times New Roman"/>
                <w:b/>
                <w:bCs/>
                <w:sz w:val="20"/>
                <w:szCs w:val="20"/>
                <w:lang w:eastAsia="lt-LT"/>
              </w:rPr>
              <w:t>Stebėsenos</w:t>
            </w:r>
            <w:proofErr w:type="spellEnd"/>
            <w:r w:rsidRPr="00650EE4">
              <w:rPr>
                <w:rFonts w:ascii="Times New Roman" w:eastAsia="Times New Roman" w:hAnsi="Times New Roman"/>
                <w:b/>
                <w:bCs/>
                <w:sz w:val="20"/>
                <w:szCs w:val="20"/>
                <w:lang w:eastAsia="lt-LT"/>
              </w:rPr>
              <w:t xml:space="preserve"> (monitoringo) sistemos</w:t>
            </w:r>
          </w:p>
          <w:p w14:paraId="5F442E8D" w14:textId="77777777" w:rsidR="00B66665" w:rsidRPr="00650EE4" w:rsidRDefault="00B66665" w:rsidP="00910123">
            <w:pPr>
              <w:spacing w:after="60" w:line="240" w:lineRule="auto"/>
              <w:rPr>
                <w:rFonts w:ascii="Times New Roman" w:eastAsia="Times New Roman" w:hAnsi="Times New Roman"/>
                <w:sz w:val="20"/>
                <w:szCs w:val="20"/>
                <w:lang w:eastAsia="lt-LT"/>
              </w:rPr>
            </w:pPr>
            <w:proofErr w:type="spellStart"/>
            <w:r w:rsidRPr="00650EE4">
              <w:rPr>
                <w:rFonts w:ascii="Times New Roman" w:eastAsia="Times New Roman" w:hAnsi="Times New Roman"/>
                <w:sz w:val="20"/>
                <w:szCs w:val="20"/>
                <w:lang w:eastAsia="lt-LT"/>
              </w:rPr>
              <w:t>Stebėsenos</w:t>
            </w:r>
            <w:proofErr w:type="spellEnd"/>
            <w:r w:rsidRPr="00650EE4">
              <w:rPr>
                <w:rFonts w:ascii="Times New Roman" w:eastAsia="Times New Roman" w:hAnsi="Times New Roman"/>
                <w:sz w:val="20"/>
                <w:szCs w:val="20"/>
                <w:lang w:eastAsia="lt-LT"/>
              </w:rPr>
              <w:t xml:space="preserve"> sistemos sukūrimas</w:t>
            </w:r>
          </w:p>
        </w:tc>
      </w:tr>
      <w:tr w:rsidR="00B66665" w:rsidRPr="00650EE4" w14:paraId="6B9D2421" w14:textId="77777777" w:rsidTr="00910123">
        <w:tc>
          <w:tcPr>
            <w:tcW w:w="1696" w:type="dxa"/>
            <w:vMerge w:val="restart"/>
            <w:shd w:val="clear" w:color="auto" w:fill="auto"/>
            <w:vAlign w:val="center"/>
          </w:tcPr>
          <w:p w14:paraId="762A645A" w14:textId="77777777" w:rsidR="00B66665" w:rsidRPr="00650EE4" w:rsidRDefault="00B66665" w:rsidP="00910123">
            <w:pPr>
              <w:spacing w:line="240" w:lineRule="auto"/>
              <w:ind w:right="-108"/>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 xml:space="preserve">P2. </w:t>
            </w:r>
            <w:bookmarkStart w:id="210" w:name="_Hlk51673809"/>
            <w:r w:rsidRPr="00650EE4">
              <w:rPr>
                <w:rFonts w:ascii="Times New Roman" w:eastAsia="Times New Roman" w:hAnsi="Times New Roman"/>
                <w:b/>
                <w:sz w:val="20"/>
                <w:szCs w:val="20"/>
                <w:lang w:eastAsia="lt-LT"/>
              </w:rPr>
              <w:t xml:space="preserve">Kompleksinis paramos priemonių paketas </w:t>
            </w:r>
            <w:bookmarkEnd w:id="210"/>
          </w:p>
        </w:tc>
        <w:tc>
          <w:tcPr>
            <w:tcW w:w="8504" w:type="dxa"/>
            <w:shd w:val="clear" w:color="auto" w:fill="auto"/>
            <w:vAlign w:val="center"/>
          </w:tcPr>
          <w:p w14:paraId="5358CC53"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xml:space="preserve">P6. Pilna energijos kaina </w:t>
            </w:r>
          </w:p>
          <w:p w14:paraId="10A3811E"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Energijos kainų subsidijavimo mažinimas</w:t>
            </w:r>
          </w:p>
        </w:tc>
      </w:tr>
      <w:tr w:rsidR="00B66665" w:rsidRPr="00650EE4" w14:paraId="630CEF2C" w14:textId="77777777" w:rsidTr="00910123">
        <w:tc>
          <w:tcPr>
            <w:tcW w:w="1696" w:type="dxa"/>
            <w:vMerge/>
            <w:shd w:val="clear" w:color="auto" w:fill="auto"/>
            <w:vAlign w:val="center"/>
          </w:tcPr>
          <w:p w14:paraId="067FE3BA"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3501309"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P7. Taršos mokesčiai</w:t>
            </w:r>
          </w:p>
          <w:p w14:paraId="61F73083"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Taršos (CO</w:t>
            </w:r>
            <w:r w:rsidRPr="00650EE4">
              <w:rPr>
                <w:rFonts w:ascii="Times New Roman" w:eastAsia="Times New Roman" w:hAnsi="Times New Roman"/>
                <w:sz w:val="20"/>
                <w:szCs w:val="20"/>
                <w:vertAlign w:val="subscript"/>
                <w:lang w:eastAsia="lt-LT"/>
              </w:rPr>
              <w:t>2</w:t>
            </w:r>
            <w:r w:rsidRPr="00650EE4">
              <w:rPr>
                <w:rFonts w:ascii="Times New Roman" w:eastAsia="Times New Roman" w:hAnsi="Times New Roman"/>
                <w:sz w:val="20"/>
                <w:szCs w:val="20"/>
                <w:lang w:eastAsia="lt-LT"/>
              </w:rPr>
              <w:t xml:space="preserve"> emisijų)  ir (arba) didesnio energijos vartojimo apmokestinimas</w:t>
            </w:r>
          </w:p>
        </w:tc>
      </w:tr>
      <w:tr w:rsidR="00B66665" w:rsidRPr="00650EE4" w14:paraId="70C3ECE1" w14:textId="77777777" w:rsidTr="00910123">
        <w:tc>
          <w:tcPr>
            <w:tcW w:w="1696" w:type="dxa"/>
            <w:vMerge/>
            <w:shd w:val="clear" w:color="auto" w:fill="auto"/>
            <w:vAlign w:val="center"/>
          </w:tcPr>
          <w:p w14:paraId="0240662C"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B9C4AC5"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P8. Esminės renovacijos skatinimas</w:t>
            </w:r>
          </w:p>
          <w:p w14:paraId="35ED6EE4"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Finansinis skatinimas, priklausomas nuo energijos sutaupymų (didesni sutaupymai = didesnė parama)</w:t>
            </w:r>
          </w:p>
        </w:tc>
      </w:tr>
      <w:tr w:rsidR="00B66665" w:rsidRPr="00650EE4" w14:paraId="7973F568" w14:textId="77777777" w:rsidTr="00910123">
        <w:tc>
          <w:tcPr>
            <w:tcW w:w="1696" w:type="dxa"/>
            <w:vMerge/>
            <w:shd w:val="clear" w:color="auto" w:fill="auto"/>
            <w:vAlign w:val="center"/>
          </w:tcPr>
          <w:p w14:paraId="27635B97"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29BD8041"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P9. Racionalios renovacijos skatinimas</w:t>
            </w:r>
          </w:p>
          <w:p w14:paraId="65EE13A1"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Pr>
                <w:rFonts w:ascii="Times New Roman" w:eastAsia="Times New Roman" w:hAnsi="Times New Roman"/>
                <w:sz w:val="20"/>
                <w:szCs w:val="20"/>
                <w:lang w:eastAsia="lt-LT"/>
              </w:rPr>
              <w:t xml:space="preserve">Racionali </w:t>
            </w:r>
            <w:r w:rsidRPr="00650EE4">
              <w:rPr>
                <w:rFonts w:ascii="Times New Roman" w:eastAsia="Times New Roman" w:hAnsi="Times New Roman"/>
                <w:sz w:val="20"/>
                <w:szCs w:val="20"/>
                <w:lang w:eastAsia="lt-LT"/>
              </w:rPr>
              <w:t xml:space="preserve">AEI </w:t>
            </w:r>
            <w:r>
              <w:rPr>
                <w:rFonts w:ascii="Times New Roman" w:eastAsia="Times New Roman" w:hAnsi="Times New Roman"/>
                <w:sz w:val="20"/>
                <w:szCs w:val="20"/>
                <w:lang w:eastAsia="lt-LT"/>
              </w:rPr>
              <w:t xml:space="preserve">ir </w:t>
            </w:r>
            <w:r w:rsidRPr="00650EE4">
              <w:rPr>
                <w:rFonts w:ascii="Times New Roman" w:eastAsia="Times New Roman" w:hAnsi="Times New Roman"/>
                <w:sz w:val="20"/>
                <w:szCs w:val="20"/>
                <w:lang w:eastAsia="lt-LT"/>
              </w:rPr>
              <w:t>EE priemonių įgyvendinimo</w:t>
            </w:r>
            <w:r>
              <w:rPr>
                <w:rFonts w:ascii="Times New Roman" w:eastAsia="Times New Roman" w:hAnsi="Times New Roman"/>
                <w:sz w:val="20"/>
                <w:szCs w:val="20"/>
                <w:lang w:eastAsia="lt-LT"/>
              </w:rPr>
              <w:t xml:space="preserve"> seka</w:t>
            </w:r>
          </w:p>
        </w:tc>
      </w:tr>
      <w:tr w:rsidR="00B66665" w:rsidRPr="00650EE4" w14:paraId="0C7C671E" w14:textId="77777777" w:rsidTr="00910123">
        <w:tc>
          <w:tcPr>
            <w:tcW w:w="1696" w:type="dxa"/>
            <w:vMerge/>
            <w:shd w:val="clear" w:color="auto" w:fill="auto"/>
            <w:vAlign w:val="center"/>
          </w:tcPr>
          <w:p w14:paraId="709A8287"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28E5686" w14:textId="77777777" w:rsidR="00B66665" w:rsidRDefault="00B66665" w:rsidP="00910123">
            <w:pPr>
              <w:spacing w:after="60" w:line="240" w:lineRule="auto"/>
              <w:rPr>
                <w:rFonts w:ascii="Times New Roman" w:eastAsia="Times New Roman" w:hAnsi="Times New Roman"/>
                <w:b/>
                <w:bCs/>
                <w:sz w:val="20"/>
                <w:szCs w:val="20"/>
                <w:lang w:eastAsia="lt-LT"/>
              </w:rPr>
            </w:pPr>
            <w:r>
              <w:rPr>
                <w:rFonts w:ascii="Times New Roman" w:eastAsia="Times New Roman" w:hAnsi="Times New Roman"/>
                <w:b/>
                <w:bCs/>
                <w:sz w:val="20"/>
                <w:szCs w:val="20"/>
                <w:lang w:eastAsia="lt-LT"/>
              </w:rPr>
              <w:t>P10. Nulinių CO</w:t>
            </w:r>
            <w:r w:rsidRPr="009E590B">
              <w:rPr>
                <w:rFonts w:ascii="Times New Roman" w:eastAsia="Times New Roman" w:hAnsi="Times New Roman"/>
                <w:b/>
                <w:bCs/>
                <w:sz w:val="20"/>
                <w:szCs w:val="20"/>
                <w:vertAlign w:val="subscript"/>
                <w:lang w:eastAsia="lt-LT"/>
              </w:rPr>
              <w:t>2</w:t>
            </w:r>
            <w:r>
              <w:rPr>
                <w:rFonts w:ascii="Times New Roman" w:eastAsia="Times New Roman" w:hAnsi="Times New Roman"/>
                <w:b/>
                <w:bCs/>
                <w:sz w:val="20"/>
                <w:szCs w:val="20"/>
                <w:lang w:eastAsia="lt-LT"/>
              </w:rPr>
              <w:t xml:space="preserve"> emisijų siekis</w:t>
            </w:r>
          </w:p>
          <w:p w14:paraId="599A38A8" w14:textId="77777777" w:rsidR="00B66665" w:rsidRPr="003E03FA" w:rsidRDefault="00B66665" w:rsidP="00910123">
            <w:pPr>
              <w:spacing w:after="60" w:line="240" w:lineRule="auto"/>
              <w:rPr>
                <w:rFonts w:ascii="Times New Roman" w:eastAsia="Times New Roman" w:hAnsi="Times New Roman"/>
                <w:bCs/>
                <w:sz w:val="20"/>
                <w:szCs w:val="20"/>
                <w:lang w:eastAsia="lt-LT"/>
              </w:rPr>
            </w:pPr>
            <w:r>
              <w:rPr>
                <w:rFonts w:ascii="Times New Roman" w:eastAsia="Times New Roman" w:hAnsi="Times New Roman"/>
                <w:sz w:val="20"/>
                <w:szCs w:val="20"/>
                <w:lang w:eastAsia="lt-LT"/>
              </w:rPr>
              <w:t>K</w:t>
            </w:r>
            <w:r w:rsidRPr="003E03FA">
              <w:rPr>
                <w:rFonts w:ascii="Times New Roman" w:eastAsia="Times New Roman" w:hAnsi="Times New Roman"/>
                <w:sz w:val="20"/>
                <w:szCs w:val="20"/>
                <w:lang w:eastAsia="lt-LT"/>
              </w:rPr>
              <w:t xml:space="preserve">oordinuotos </w:t>
            </w:r>
            <w:proofErr w:type="spellStart"/>
            <w:r w:rsidRPr="003E03FA">
              <w:rPr>
                <w:rFonts w:ascii="Times New Roman" w:eastAsia="Times New Roman" w:hAnsi="Times New Roman"/>
                <w:sz w:val="20"/>
                <w:szCs w:val="20"/>
                <w:lang w:eastAsia="lt-LT"/>
              </w:rPr>
              <w:t>tarpinstitucinės</w:t>
            </w:r>
            <w:proofErr w:type="spellEnd"/>
            <w:r w:rsidRPr="003E03FA">
              <w:rPr>
                <w:rFonts w:ascii="Times New Roman" w:eastAsia="Times New Roman" w:hAnsi="Times New Roman"/>
                <w:sz w:val="20"/>
                <w:szCs w:val="20"/>
                <w:lang w:eastAsia="lt-LT"/>
              </w:rPr>
              <w:t xml:space="preserve"> pastangos</w:t>
            </w:r>
            <w:r>
              <w:rPr>
                <w:rFonts w:ascii="Times New Roman" w:eastAsia="Times New Roman" w:hAnsi="Times New Roman"/>
                <w:sz w:val="20"/>
                <w:szCs w:val="20"/>
                <w:lang w:eastAsia="lt-LT"/>
              </w:rPr>
              <w:t xml:space="preserve">, </w:t>
            </w:r>
            <w:r w:rsidRPr="003E03FA">
              <w:rPr>
                <w:rFonts w:ascii="Times New Roman" w:eastAsia="Times New Roman" w:hAnsi="Times New Roman"/>
                <w:sz w:val="20"/>
                <w:szCs w:val="20"/>
                <w:lang w:eastAsia="lt-LT"/>
              </w:rPr>
              <w:t>aiškiai į tikslą nukreipta</w:t>
            </w:r>
            <w:r>
              <w:rPr>
                <w:rFonts w:ascii="Times New Roman" w:eastAsia="Times New Roman" w:hAnsi="Times New Roman"/>
                <w:sz w:val="20"/>
                <w:szCs w:val="20"/>
                <w:lang w:eastAsia="lt-LT"/>
              </w:rPr>
              <w:t xml:space="preserve"> ir</w:t>
            </w:r>
            <w:r w:rsidRPr="003E03FA">
              <w:rPr>
                <w:rFonts w:ascii="Times New Roman" w:eastAsia="Times New Roman" w:hAnsi="Times New Roman"/>
                <w:sz w:val="20"/>
                <w:szCs w:val="20"/>
                <w:lang w:eastAsia="lt-LT"/>
              </w:rPr>
              <w:t xml:space="preserve"> subalansuota paskatų bei nuobaudų sistema</w:t>
            </w:r>
            <w:r>
              <w:rPr>
                <w:rFonts w:ascii="Times New Roman" w:eastAsia="Times New Roman" w:hAnsi="Times New Roman"/>
                <w:sz w:val="20"/>
                <w:szCs w:val="20"/>
                <w:lang w:eastAsia="lt-LT"/>
              </w:rPr>
              <w:t xml:space="preserve"> ir</w:t>
            </w:r>
            <w:r w:rsidRPr="003E03FA">
              <w:rPr>
                <w:rFonts w:ascii="Times New Roman" w:eastAsia="Times New Roman" w:hAnsi="Times New Roman"/>
                <w:sz w:val="20"/>
                <w:szCs w:val="20"/>
                <w:lang w:eastAsia="lt-LT"/>
              </w:rPr>
              <w:t xml:space="preserve"> </w:t>
            </w:r>
            <w:proofErr w:type="spellStart"/>
            <w:r w:rsidRPr="003E03FA">
              <w:rPr>
                <w:rFonts w:ascii="Times New Roman" w:eastAsia="Times New Roman" w:hAnsi="Times New Roman"/>
                <w:sz w:val="20"/>
                <w:szCs w:val="20"/>
                <w:lang w:eastAsia="lt-LT"/>
              </w:rPr>
              <w:t>platenio</w:t>
            </w:r>
            <w:proofErr w:type="spellEnd"/>
            <w:r w:rsidRPr="003E03FA">
              <w:rPr>
                <w:rFonts w:ascii="Times New Roman" w:eastAsia="Times New Roman" w:hAnsi="Times New Roman"/>
                <w:sz w:val="20"/>
                <w:szCs w:val="20"/>
                <w:lang w:eastAsia="lt-LT"/>
              </w:rPr>
              <w:t xml:space="preserve"> masto išorinių veiksnių </w:t>
            </w:r>
            <w:proofErr w:type="spellStart"/>
            <w:r w:rsidRPr="003E03FA">
              <w:rPr>
                <w:rFonts w:ascii="Times New Roman" w:eastAsia="Times New Roman" w:hAnsi="Times New Roman"/>
                <w:sz w:val="20"/>
                <w:szCs w:val="20"/>
                <w:lang w:eastAsia="lt-LT"/>
              </w:rPr>
              <w:t>stebėsena</w:t>
            </w:r>
            <w:proofErr w:type="spellEnd"/>
          </w:p>
        </w:tc>
      </w:tr>
      <w:tr w:rsidR="00B66665" w:rsidRPr="00650EE4" w14:paraId="68860658" w14:textId="77777777" w:rsidTr="00910123">
        <w:tc>
          <w:tcPr>
            <w:tcW w:w="1696" w:type="dxa"/>
            <w:vMerge/>
            <w:shd w:val="clear" w:color="auto" w:fill="auto"/>
            <w:vAlign w:val="center"/>
          </w:tcPr>
          <w:p w14:paraId="1B8C9476"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7B282CEF"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w:t>
            </w:r>
            <w:r>
              <w:rPr>
                <w:rFonts w:ascii="Times New Roman" w:eastAsia="Times New Roman" w:hAnsi="Times New Roman"/>
                <w:b/>
                <w:bCs/>
                <w:sz w:val="20"/>
                <w:szCs w:val="20"/>
                <w:lang w:eastAsia="lt-LT"/>
              </w:rPr>
              <w:t>11</w:t>
            </w:r>
            <w:r w:rsidRPr="00650EE4">
              <w:rPr>
                <w:rFonts w:ascii="Times New Roman" w:eastAsia="Times New Roman" w:hAnsi="Times New Roman"/>
                <w:b/>
                <w:bCs/>
                <w:sz w:val="20"/>
                <w:szCs w:val="20"/>
                <w:lang w:eastAsia="lt-LT"/>
              </w:rPr>
              <w:t xml:space="preserve">. </w:t>
            </w:r>
            <w:proofErr w:type="spellStart"/>
            <w:r w:rsidRPr="00650EE4">
              <w:rPr>
                <w:rFonts w:ascii="Times New Roman" w:eastAsia="Times New Roman" w:hAnsi="Times New Roman"/>
                <w:b/>
                <w:bCs/>
                <w:sz w:val="20"/>
                <w:szCs w:val="20"/>
                <w:lang w:eastAsia="lt-LT"/>
              </w:rPr>
              <w:t>Kvartalinės</w:t>
            </w:r>
            <w:proofErr w:type="spellEnd"/>
            <w:r w:rsidRPr="00650EE4">
              <w:rPr>
                <w:rFonts w:ascii="Times New Roman" w:eastAsia="Times New Roman" w:hAnsi="Times New Roman"/>
                <w:b/>
                <w:bCs/>
                <w:sz w:val="20"/>
                <w:szCs w:val="20"/>
                <w:lang w:eastAsia="lt-LT"/>
              </w:rPr>
              <w:t xml:space="preserve"> renovacijos skatinimas</w:t>
            </w:r>
          </w:p>
          <w:p w14:paraId="4F50C442"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 xml:space="preserve">Pastatų grupavimas/agregavimas, derinant su infrastruktūros ir </w:t>
            </w:r>
            <w:proofErr w:type="spellStart"/>
            <w:r w:rsidRPr="00650EE4">
              <w:rPr>
                <w:rFonts w:ascii="Times New Roman" w:eastAsia="Times New Roman" w:hAnsi="Times New Roman"/>
                <w:sz w:val="20"/>
                <w:szCs w:val="20"/>
                <w:lang w:eastAsia="lt-LT"/>
              </w:rPr>
              <w:t>gerbūvio</w:t>
            </w:r>
            <w:proofErr w:type="spellEnd"/>
            <w:r w:rsidRPr="00650EE4">
              <w:rPr>
                <w:rFonts w:ascii="Times New Roman" w:eastAsia="Times New Roman" w:hAnsi="Times New Roman"/>
                <w:sz w:val="20"/>
                <w:szCs w:val="20"/>
                <w:lang w:eastAsia="lt-LT"/>
              </w:rPr>
              <w:t xml:space="preserve"> atnaujinimu</w:t>
            </w:r>
          </w:p>
        </w:tc>
      </w:tr>
      <w:tr w:rsidR="00B66665" w:rsidRPr="00650EE4" w14:paraId="2CC3344E" w14:textId="77777777" w:rsidTr="00910123">
        <w:tc>
          <w:tcPr>
            <w:tcW w:w="1696" w:type="dxa"/>
            <w:vMerge/>
            <w:shd w:val="clear" w:color="auto" w:fill="auto"/>
            <w:vAlign w:val="center"/>
          </w:tcPr>
          <w:p w14:paraId="78AE4D29"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51D30D03"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2</w:t>
            </w:r>
            <w:r w:rsidRPr="00650EE4">
              <w:rPr>
                <w:rFonts w:ascii="Times New Roman" w:eastAsia="Times New Roman" w:hAnsi="Times New Roman"/>
                <w:b/>
                <w:bCs/>
                <w:sz w:val="20"/>
                <w:szCs w:val="20"/>
                <w:lang w:eastAsia="lt-LT"/>
              </w:rPr>
              <w:t>. Dalinės renovacijos skatinimas</w:t>
            </w:r>
          </w:p>
          <w:p w14:paraId="28A71451"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Atskirų faktiškai atliktų renovacijos priemonių finansavimas individualių namų savininkams</w:t>
            </w:r>
          </w:p>
        </w:tc>
      </w:tr>
      <w:tr w:rsidR="00B66665" w:rsidRPr="00650EE4" w14:paraId="6ACD6860" w14:textId="77777777" w:rsidTr="00910123">
        <w:tc>
          <w:tcPr>
            <w:tcW w:w="1696" w:type="dxa"/>
            <w:vMerge/>
            <w:shd w:val="clear" w:color="auto" w:fill="auto"/>
            <w:vAlign w:val="center"/>
          </w:tcPr>
          <w:p w14:paraId="57BA55BF"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2278702F"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3</w:t>
            </w:r>
            <w:r w:rsidRPr="00650EE4">
              <w:rPr>
                <w:rFonts w:ascii="Times New Roman" w:eastAsia="Times New Roman" w:hAnsi="Times New Roman"/>
                <w:b/>
                <w:bCs/>
                <w:sz w:val="20"/>
                <w:szCs w:val="20"/>
                <w:lang w:eastAsia="lt-LT"/>
              </w:rPr>
              <w:t>. Renovacijos projektų agregavimas</w:t>
            </w:r>
          </w:p>
          <w:p w14:paraId="01746EDB" w14:textId="77777777" w:rsidR="00B66665" w:rsidRPr="00650EE4" w:rsidRDefault="00B66665" w:rsidP="00910123">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Projektų apjungimas siekiant masto ekonomijos įgyvendinime ir finansavime</w:t>
            </w:r>
          </w:p>
        </w:tc>
      </w:tr>
      <w:tr w:rsidR="00B66665" w:rsidRPr="00650EE4" w14:paraId="31DA2E70" w14:textId="77777777" w:rsidTr="00910123">
        <w:tc>
          <w:tcPr>
            <w:tcW w:w="1696" w:type="dxa"/>
            <w:vMerge/>
            <w:shd w:val="clear" w:color="auto" w:fill="auto"/>
            <w:vAlign w:val="center"/>
          </w:tcPr>
          <w:p w14:paraId="652A1A25"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1B39D8A2"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4</w:t>
            </w:r>
            <w:r w:rsidRPr="00650EE4">
              <w:rPr>
                <w:rFonts w:ascii="Times New Roman" w:eastAsia="Times New Roman" w:hAnsi="Times New Roman"/>
                <w:b/>
                <w:bCs/>
                <w:sz w:val="20"/>
                <w:szCs w:val="20"/>
                <w:lang w:eastAsia="lt-LT"/>
              </w:rPr>
              <w:t>. Tvarumo ir inovacijų užtikrinimas</w:t>
            </w:r>
          </w:p>
          <w:p w14:paraId="15387481" w14:textId="77777777" w:rsidR="00B66665" w:rsidRPr="00650EE4" w:rsidRDefault="00B66665" w:rsidP="00910123">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Tvarumo ir inovacijų skatinimas bei įtraukimas į renovacijos įgyvendinimą</w:t>
            </w:r>
          </w:p>
        </w:tc>
      </w:tr>
      <w:tr w:rsidR="00B66665" w:rsidRPr="00650EE4" w14:paraId="3341110F" w14:textId="77777777" w:rsidTr="00910123">
        <w:tc>
          <w:tcPr>
            <w:tcW w:w="1696" w:type="dxa"/>
            <w:vMerge/>
            <w:shd w:val="clear" w:color="auto" w:fill="auto"/>
            <w:vAlign w:val="center"/>
          </w:tcPr>
          <w:p w14:paraId="1A3453A9"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647A2D1E"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5</w:t>
            </w:r>
            <w:r w:rsidRPr="00650EE4">
              <w:rPr>
                <w:rFonts w:ascii="Times New Roman" w:eastAsia="Times New Roman" w:hAnsi="Times New Roman"/>
                <w:b/>
                <w:bCs/>
                <w:sz w:val="20"/>
                <w:szCs w:val="20"/>
                <w:lang w:eastAsia="lt-LT"/>
              </w:rPr>
              <w:t>. Minimalių reikalavimų valdymas</w:t>
            </w:r>
          </w:p>
          <w:p w14:paraId="3E21D6FA"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ENK reikalavimai, privalomi techniniai sprendiniai ir pan.</w:t>
            </w:r>
          </w:p>
        </w:tc>
      </w:tr>
      <w:tr w:rsidR="00B66665" w:rsidRPr="00650EE4" w14:paraId="7B12317A" w14:textId="77777777" w:rsidTr="00910123">
        <w:tc>
          <w:tcPr>
            <w:tcW w:w="1696" w:type="dxa"/>
            <w:shd w:val="clear" w:color="auto" w:fill="auto"/>
            <w:vAlign w:val="center"/>
          </w:tcPr>
          <w:p w14:paraId="623836ED" w14:textId="77777777" w:rsidR="00B66665" w:rsidRPr="00650EE4" w:rsidRDefault="00B66665" w:rsidP="00910123">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P3. Pakankamas finansavimas</w:t>
            </w:r>
          </w:p>
        </w:tc>
        <w:tc>
          <w:tcPr>
            <w:tcW w:w="8504" w:type="dxa"/>
            <w:shd w:val="clear" w:color="auto" w:fill="auto"/>
            <w:vAlign w:val="center"/>
          </w:tcPr>
          <w:p w14:paraId="21A01112"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6</w:t>
            </w:r>
            <w:r w:rsidRPr="00650EE4">
              <w:rPr>
                <w:rFonts w:ascii="Times New Roman" w:eastAsia="Times New Roman" w:hAnsi="Times New Roman"/>
                <w:b/>
                <w:bCs/>
                <w:sz w:val="20"/>
                <w:szCs w:val="20"/>
                <w:lang w:eastAsia="lt-LT"/>
              </w:rPr>
              <w:t>. Finansavimo užtikrinimas</w:t>
            </w:r>
          </w:p>
          <w:p w14:paraId="14BB9364"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Pakankamo finansavimo užtikrinimas</w:t>
            </w:r>
          </w:p>
        </w:tc>
      </w:tr>
      <w:tr w:rsidR="00B66665" w:rsidRPr="00650EE4" w14:paraId="29B14E3E" w14:textId="77777777" w:rsidTr="00910123">
        <w:tc>
          <w:tcPr>
            <w:tcW w:w="1696" w:type="dxa"/>
            <w:vMerge w:val="restart"/>
            <w:shd w:val="clear" w:color="auto" w:fill="auto"/>
            <w:vAlign w:val="center"/>
          </w:tcPr>
          <w:p w14:paraId="04010079" w14:textId="77777777" w:rsidR="00B66665" w:rsidRPr="00650EE4" w:rsidRDefault="00B66665" w:rsidP="00910123">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P4. Efektyvi komunikacija</w:t>
            </w:r>
          </w:p>
        </w:tc>
        <w:tc>
          <w:tcPr>
            <w:tcW w:w="8504" w:type="dxa"/>
            <w:shd w:val="clear" w:color="auto" w:fill="auto"/>
            <w:vAlign w:val="center"/>
          </w:tcPr>
          <w:p w14:paraId="357BCBB1"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7</w:t>
            </w:r>
            <w:r w:rsidRPr="00650EE4">
              <w:rPr>
                <w:rFonts w:ascii="Times New Roman" w:eastAsia="Times New Roman" w:hAnsi="Times New Roman"/>
                <w:b/>
                <w:bCs/>
                <w:sz w:val="20"/>
                <w:szCs w:val="20"/>
                <w:lang w:eastAsia="lt-LT"/>
              </w:rPr>
              <w:t>. Komunikacija apie renovacijos neišvengiamumą</w:t>
            </w:r>
          </w:p>
          <w:p w14:paraId="694225CE"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Strateginė komunikacija apie renovacijos tikslus ir įsipareigojimus</w:t>
            </w:r>
          </w:p>
        </w:tc>
      </w:tr>
      <w:tr w:rsidR="00B66665" w:rsidRPr="00650EE4" w14:paraId="58767C01" w14:textId="77777777" w:rsidTr="00910123">
        <w:tc>
          <w:tcPr>
            <w:tcW w:w="1696" w:type="dxa"/>
            <w:vMerge/>
            <w:shd w:val="clear" w:color="auto" w:fill="auto"/>
            <w:vAlign w:val="center"/>
          </w:tcPr>
          <w:p w14:paraId="12136469"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vAlign w:val="center"/>
          </w:tcPr>
          <w:p w14:paraId="0CFFD95A"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8</w:t>
            </w:r>
            <w:r w:rsidRPr="00650EE4">
              <w:rPr>
                <w:rFonts w:ascii="Times New Roman" w:eastAsia="Times New Roman" w:hAnsi="Times New Roman"/>
                <w:b/>
                <w:bCs/>
                <w:sz w:val="20"/>
                <w:szCs w:val="20"/>
                <w:lang w:eastAsia="lt-LT"/>
              </w:rPr>
              <w:t>. Komunikacija apie renovacijos naudą ir priemones</w:t>
            </w:r>
          </w:p>
          <w:p w14:paraId="4E4216EE"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Komunikacija apie renovacijos teikiamas naudas, galimybes ir paramos priemones</w:t>
            </w:r>
          </w:p>
        </w:tc>
      </w:tr>
      <w:tr w:rsidR="00B66665" w:rsidRPr="00650EE4" w14:paraId="02DAFF92" w14:textId="77777777" w:rsidTr="00910123">
        <w:tc>
          <w:tcPr>
            <w:tcW w:w="1696" w:type="dxa"/>
            <w:vMerge w:val="restart"/>
            <w:shd w:val="clear" w:color="auto" w:fill="auto"/>
            <w:vAlign w:val="center"/>
          </w:tcPr>
          <w:p w14:paraId="54802082" w14:textId="77777777" w:rsidR="00B66665" w:rsidRPr="00650EE4" w:rsidRDefault="00B66665" w:rsidP="00910123">
            <w:pPr>
              <w:spacing w:line="240" w:lineRule="auto"/>
              <w:rPr>
                <w:rFonts w:ascii="Times New Roman" w:eastAsia="Times New Roman" w:hAnsi="Times New Roman"/>
                <w:b/>
                <w:sz w:val="20"/>
                <w:szCs w:val="20"/>
                <w:lang w:eastAsia="lt-LT"/>
              </w:rPr>
            </w:pPr>
            <w:r w:rsidRPr="00650EE4">
              <w:rPr>
                <w:rFonts w:ascii="Times New Roman" w:eastAsia="Times New Roman" w:hAnsi="Times New Roman"/>
                <w:b/>
                <w:sz w:val="20"/>
                <w:szCs w:val="20"/>
                <w:lang w:eastAsia="lt-LT"/>
              </w:rPr>
              <w:t>P5. Patikima įgyvendinimo sistema</w:t>
            </w:r>
          </w:p>
        </w:tc>
        <w:tc>
          <w:tcPr>
            <w:tcW w:w="8504" w:type="dxa"/>
            <w:shd w:val="clear" w:color="auto" w:fill="auto"/>
          </w:tcPr>
          <w:p w14:paraId="526BF584"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P1</w:t>
            </w:r>
            <w:r>
              <w:rPr>
                <w:rFonts w:ascii="Times New Roman" w:eastAsia="Times New Roman" w:hAnsi="Times New Roman"/>
                <w:b/>
                <w:bCs/>
                <w:sz w:val="20"/>
                <w:szCs w:val="20"/>
                <w:lang w:eastAsia="lt-LT"/>
              </w:rPr>
              <w:t>9</w:t>
            </w:r>
            <w:r w:rsidRPr="00650EE4">
              <w:rPr>
                <w:rFonts w:ascii="Times New Roman" w:eastAsia="Times New Roman" w:hAnsi="Times New Roman"/>
                <w:b/>
                <w:bCs/>
                <w:sz w:val="20"/>
                <w:szCs w:val="20"/>
                <w:lang w:eastAsia="lt-LT"/>
              </w:rPr>
              <w:t>. Vieno langelio principo įgyvendinimas</w:t>
            </w:r>
          </w:p>
          <w:p w14:paraId="12B69E13" w14:textId="77777777" w:rsidR="00B66665" w:rsidRPr="00650EE4" w:rsidRDefault="00B66665" w:rsidP="00910123">
            <w:pPr>
              <w:spacing w:after="60"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 xml:space="preserve">Vartotojų aptarnavimo centrų sukūrimas </w:t>
            </w:r>
          </w:p>
        </w:tc>
      </w:tr>
      <w:tr w:rsidR="00B66665" w:rsidRPr="00650EE4" w14:paraId="333FC021" w14:textId="77777777" w:rsidTr="00910123">
        <w:tc>
          <w:tcPr>
            <w:tcW w:w="1696" w:type="dxa"/>
            <w:vMerge/>
            <w:shd w:val="clear" w:color="auto" w:fill="auto"/>
            <w:vAlign w:val="center"/>
          </w:tcPr>
          <w:p w14:paraId="268B2E27"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tcPr>
          <w:p w14:paraId="447644CB" w14:textId="77777777" w:rsidR="00B66665" w:rsidRPr="00650EE4" w:rsidRDefault="00B66665" w:rsidP="00910123">
            <w:pPr>
              <w:spacing w:after="60" w:line="240" w:lineRule="auto"/>
              <w:rPr>
                <w:rFonts w:ascii="Times New Roman" w:eastAsia="Times New Roman" w:hAnsi="Times New Roman"/>
                <w:sz w:val="20"/>
                <w:szCs w:val="20"/>
                <w:lang w:eastAsia="lt-LT"/>
              </w:rPr>
            </w:pPr>
            <w:r>
              <w:rPr>
                <w:rFonts w:ascii="Times New Roman" w:eastAsia="Times New Roman" w:hAnsi="Times New Roman"/>
                <w:b/>
                <w:bCs/>
                <w:sz w:val="20"/>
                <w:szCs w:val="20"/>
                <w:lang w:eastAsia="lt-LT"/>
              </w:rPr>
              <w:t>P20</w:t>
            </w:r>
            <w:r w:rsidRPr="00650EE4">
              <w:rPr>
                <w:rFonts w:ascii="Times New Roman" w:eastAsia="Times New Roman" w:hAnsi="Times New Roman"/>
                <w:b/>
                <w:bCs/>
                <w:sz w:val="20"/>
                <w:szCs w:val="20"/>
                <w:lang w:eastAsia="lt-LT"/>
              </w:rPr>
              <w:t>. Kompetencijų centro įkūrimas</w:t>
            </w:r>
            <w:r w:rsidRPr="00650EE4">
              <w:rPr>
                <w:rFonts w:ascii="Times New Roman" w:eastAsia="Times New Roman" w:hAnsi="Times New Roman"/>
                <w:sz w:val="20"/>
                <w:szCs w:val="20"/>
                <w:lang w:eastAsia="lt-LT"/>
              </w:rPr>
              <w:t xml:space="preserve"> </w:t>
            </w:r>
          </w:p>
          <w:p w14:paraId="0839FA30"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t>Gerosios praktikos ir standartizuotų dokumentų/ procesų parengimas</w:t>
            </w:r>
          </w:p>
        </w:tc>
      </w:tr>
      <w:tr w:rsidR="00B66665" w:rsidRPr="00650EE4" w14:paraId="0B784420" w14:textId="77777777" w:rsidTr="00910123">
        <w:tc>
          <w:tcPr>
            <w:tcW w:w="1696" w:type="dxa"/>
            <w:vMerge/>
            <w:shd w:val="clear" w:color="auto" w:fill="auto"/>
            <w:vAlign w:val="center"/>
          </w:tcPr>
          <w:p w14:paraId="2FBA90C6" w14:textId="77777777" w:rsidR="00B66665" w:rsidRPr="00650EE4" w:rsidRDefault="00B66665" w:rsidP="00910123">
            <w:pPr>
              <w:spacing w:line="240" w:lineRule="auto"/>
              <w:rPr>
                <w:rFonts w:ascii="Times New Roman" w:eastAsia="Times New Roman" w:hAnsi="Times New Roman"/>
                <w:b/>
                <w:sz w:val="20"/>
                <w:szCs w:val="20"/>
                <w:lang w:eastAsia="lt-LT"/>
              </w:rPr>
            </w:pPr>
          </w:p>
        </w:tc>
        <w:tc>
          <w:tcPr>
            <w:tcW w:w="8504" w:type="dxa"/>
            <w:shd w:val="clear" w:color="auto" w:fill="auto"/>
          </w:tcPr>
          <w:p w14:paraId="2350CD27"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w:t>
            </w:r>
            <w:r>
              <w:rPr>
                <w:rFonts w:ascii="Times New Roman" w:eastAsia="Times New Roman" w:hAnsi="Times New Roman"/>
                <w:b/>
                <w:bCs/>
                <w:sz w:val="20"/>
                <w:szCs w:val="20"/>
                <w:lang w:eastAsia="lt-LT"/>
              </w:rPr>
              <w:t>21</w:t>
            </w:r>
            <w:r w:rsidRPr="00650EE4">
              <w:rPr>
                <w:rFonts w:ascii="Times New Roman" w:eastAsia="Times New Roman" w:hAnsi="Times New Roman"/>
                <w:b/>
                <w:bCs/>
                <w:sz w:val="20"/>
                <w:szCs w:val="20"/>
                <w:lang w:eastAsia="lt-LT"/>
              </w:rPr>
              <w:t>. Techninės priežiūros užtikrinimas</w:t>
            </w:r>
          </w:p>
          <w:p w14:paraId="6DDB271C" w14:textId="77777777" w:rsidR="00B66665" w:rsidRPr="00650EE4" w:rsidRDefault="00B66665" w:rsidP="00910123">
            <w:pPr>
              <w:spacing w:after="60" w:line="240" w:lineRule="auto"/>
              <w:rPr>
                <w:rFonts w:ascii="Times New Roman" w:eastAsia="Times New Roman" w:hAnsi="Times New Roman"/>
                <w:b/>
                <w:bCs/>
                <w:sz w:val="20"/>
                <w:szCs w:val="20"/>
                <w:lang w:eastAsia="lt-LT"/>
              </w:rPr>
            </w:pPr>
            <w:r w:rsidRPr="00650EE4">
              <w:rPr>
                <w:rFonts w:ascii="Times New Roman" w:eastAsia="Times New Roman" w:hAnsi="Times New Roman"/>
                <w:sz w:val="20"/>
                <w:szCs w:val="20"/>
                <w:lang w:eastAsia="lt-LT"/>
              </w:rPr>
              <w:lastRenderedPageBreak/>
              <w:t>Techninės priežiūros reikalavimų patvirtinimas ir jų laikymosi užtikrinimas</w:t>
            </w:r>
          </w:p>
        </w:tc>
      </w:tr>
    </w:tbl>
    <w:bookmarkEnd w:id="206"/>
    <w:p w14:paraId="49D3B378" w14:textId="44B13DE3" w:rsidR="00AE1646" w:rsidRPr="00650EE4" w:rsidRDefault="00AE1646" w:rsidP="00AE1646">
      <w:pPr>
        <w:spacing w:line="240" w:lineRule="auto"/>
        <w:rPr>
          <w:rFonts w:ascii="Times New Roman" w:hAnsi="Times New Roman"/>
          <w:i/>
          <w:iCs/>
          <w:color w:val="000000" w:themeColor="text1"/>
          <w:sz w:val="20"/>
          <w:szCs w:val="20"/>
        </w:rPr>
      </w:pPr>
      <w:r w:rsidRPr="00650EE4">
        <w:rPr>
          <w:rFonts w:ascii="Times New Roman" w:hAnsi="Times New Roman"/>
          <w:i/>
          <w:iCs/>
          <w:color w:val="000000" w:themeColor="text1"/>
          <w:sz w:val="20"/>
          <w:szCs w:val="20"/>
        </w:rPr>
        <w:lastRenderedPageBreak/>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hAnsi="Times New Roman"/>
          <w:i/>
          <w:iCs/>
          <w:color w:val="000000" w:themeColor="text1"/>
          <w:sz w:val="20"/>
          <w:szCs w:val="20"/>
        </w:rPr>
        <w:t xml:space="preserve"> </w:t>
      </w:r>
      <w:r w:rsidRPr="00650EE4">
        <w:rPr>
          <w:rFonts w:ascii="Times New Roman" w:hAnsi="Times New Roman"/>
          <w:i/>
          <w:iCs/>
          <w:color w:val="000000" w:themeColor="text1"/>
          <w:sz w:val="20"/>
          <w:szCs w:val="20"/>
        </w:rPr>
        <w:t>autoriai</w:t>
      </w:r>
    </w:p>
    <w:p w14:paraId="5998CD99" w14:textId="77777777" w:rsidR="00AE1646" w:rsidRPr="00650EE4" w:rsidRDefault="00AE1646" w:rsidP="00AE1646">
      <w:pPr>
        <w:rPr>
          <w:rFonts w:ascii="Times New Roman" w:hAnsi="Times New Roman"/>
          <w:color w:val="000000" w:themeColor="text1"/>
          <w:szCs w:val="22"/>
        </w:rPr>
      </w:pPr>
    </w:p>
    <w:p w14:paraId="1992AA88" w14:textId="12611BEE" w:rsidR="00D542AA" w:rsidRPr="00650EE4" w:rsidRDefault="00AE1646" w:rsidP="002C1626">
      <w:pPr>
        <w:rPr>
          <w:rFonts w:ascii="Times New Roman" w:hAnsi="Times New Roman"/>
          <w:color w:val="auto"/>
          <w:sz w:val="24"/>
          <w:szCs w:val="24"/>
        </w:rPr>
      </w:pPr>
      <w:r w:rsidRPr="00650EE4">
        <w:rPr>
          <w:rFonts w:ascii="Times New Roman" w:hAnsi="Times New Roman"/>
          <w:color w:val="000000" w:themeColor="text1"/>
          <w:szCs w:val="22"/>
        </w:rPr>
        <w:t>Toliau pateikiamas siūlomų renovacijos strategijos įgyvendinimo priemonių ir veiksmų, kuriais bus grindžiamas IRS strategijos įgyvendinimas, aprašymas.</w:t>
      </w:r>
    </w:p>
    <w:p w14:paraId="3279333B" w14:textId="77777777" w:rsidR="00D542AA" w:rsidRPr="00650EE4" w:rsidRDefault="00D542AA" w:rsidP="00AB1AD9">
      <w:pPr>
        <w:spacing w:after="120"/>
        <w:rPr>
          <w:rFonts w:ascii="Times New Roman" w:hAnsi="Times New Roman"/>
          <w:color w:val="auto"/>
          <w:sz w:val="24"/>
          <w:szCs w:val="24"/>
        </w:rPr>
      </w:pPr>
    </w:p>
    <w:p w14:paraId="37CD2520" w14:textId="45B72D1D" w:rsidR="00D95926" w:rsidRPr="00650EE4" w:rsidRDefault="0052739D" w:rsidP="006A60B7">
      <w:pPr>
        <w:pStyle w:val="Antrastes31"/>
        <w:numPr>
          <w:ilvl w:val="2"/>
          <w:numId w:val="4"/>
        </w:numPr>
        <w:spacing w:before="0"/>
        <w:ind w:left="720" w:hanging="720"/>
        <w:rPr>
          <w:rFonts w:ascii="Times New Roman" w:hAnsi="Times New Roman"/>
          <w:color w:val="auto"/>
          <w:sz w:val="24"/>
          <w:szCs w:val="24"/>
          <w:lang w:val="lt-LT"/>
        </w:rPr>
      </w:pPr>
      <w:bookmarkStart w:id="211" w:name="_Toc59107573"/>
      <w:r w:rsidRPr="00650EE4">
        <w:rPr>
          <w:rFonts w:ascii="Times New Roman" w:hAnsi="Times New Roman"/>
          <w:color w:val="auto"/>
          <w:sz w:val="24"/>
          <w:szCs w:val="24"/>
          <w:lang w:val="lt-LT"/>
        </w:rPr>
        <w:t>Integruotas planavimas</w:t>
      </w:r>
      <w:bookmarkEnd w:id="211"/>
    </w:p>
    <w:p w14:paraId="6D3D1FFE" w14:textId="179B4EFE" w:rsidR="00D31E1C" w:rsidRPr="00650EE4" w:rsidRDefault="00B81A0C" w:rsidP="00125EA0">
      <w:pPr>
        <w:spacing w:after="120"/>
        <w:jc w:val="both"/>
        <w:rPr>
          <w:rFonts w:ascii="Times New Roman" w:hAnsi="Times New Roman"/>
          <w:szCs w:val="22"/>
        </w:rPr>
      </w:pPr>
      <w:r>
        <w:rPr>
          <w:rFonts w:ascii="Times New Roman" w:hAnsi="Times New Roman"/>
          <w:szCs w:val="22"/>
        </w:rPr>
        <w:t>T</w:t>
      </w:r>
      <w:r w:rsidR="00D31E1C" w:rsidRPr="00650EE4">
        <w:rPr>
          <w:rFonts w:ascii="Times New Roman" w:hAnsi="Times New Roman"/>
          <w:szCs w:val="22"/>
        </w:rPr>
        <w:t>am, kad įgyvendinti IRS suplanuotą pastatų</w:t>
      </w:r>
      <w:r w:rsidR="00441344" w:rsidRPr="00650EE4">
        <w:rPr>
          <w:rFonts w:ascii="Times New Roman" w:hAnsi="Times New Roman"/>
          <w:szCs w:val="22"/>
        </w:rPr>
        <w:t xml:space="preserve"> fon</w:t>
      </w:r>
      <w:r w:rsidR="00D31E1C" w:rsidRPr="00650EE4">
        <w:rPr>
          <w:rFonts w:ascii="Times New Roman" w:hAnsi="Times New Roman"/>
          <w:szCs w:val="22"/>
        </w:rPr>
        <w:t xml:space="preserve">do transformaciją būtina </w:t>
      </w:r>
      <w:r w:rsidR="00441344" w:rsidRPr="00650EE4">
        <w:rPr>
          <w:rFonts w:ascii="Times New Roman" w:hAnsi="Times New Roman"/>
          <w:szCs w:val="22"/>
        </w:rPr>
        <w:t>atlikti</w:t>
      </w:r>
      <w:r w:rsidR="00D31E1C" w:rsidRPr="00650EE4">
        <w:rPr>
          <w:rFonts w:ascii="Times New Roman" w:hAnsi="Times New Roman"/>
          <w:szCs w:val="22"/>
        </w:rPr>
        <w:t xml:space="preserve"> baz</w:t>
      </w:r>
      <w:r w:rsidR="00441344" w:rsidRPr="00650EE4">
        <w:rPr>
          <w:rFonts w:ascii="Times New Roman" w:hAnsi="Times New Roman"/>
          <w:szCs w:val="22"/>
        </w:rPr>
        <w:t>inius, vadybinius planavimo etapo sprendimus</w:t>
      </w:r>
      <w:r w:rsidR="00D31E1C" w:rsidRPr="00650EE4">
        <w:rPr>
          <w:rFonts w:ascii="Times New Roman" w:hAnsi="Times New Roman"/>
          <w:szCs w:val="22"/>
        </w:rPr>
        <w:t>:</w:t>
      </w:r>
    </w:p>
    <w:p w14:paraId="4DD825F1" w14:textId="1826E358" w:rsidR="00D31E1C" w:rsidRPr="00650EE4" w:rsidRDefault="00342BA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Pr>
          <w:rFonts w:ascii="Times New Roman" w:hAnsi="Times New Roman"/>
          <w:szCs w:val="22"/>
          <w:lang w:val="lt-LT"/>
        </w:rPr>
        <w:t>i</w:t>
      </w:r>
      <w:r w:rsidR="009019E3" w:rsidRPr="00650EE4">
        <w:rPr>
          <w:rFonts w:ascii="Times New Roman" w:hAnsi="Times New Roman"/>
          <w:szCs w:val="22"/>
          <w:lang w:val="lt-LT"/>
        </w:rPr>
        <w:t>ntegruoti IRS tikslus ir rodiklius į teisės aktų sistemą</w:t>
      </w:r>
      <w:r>
        <w:rPr>
          <w:rFonts w:ascii="Times New Roman" w:hAnsi="Times New Roman"/>
          <w:szCs w:val="22"/>
          <w:lang w:val="lt-LT"/>
        </w:rPr>
        <w:t>;</w:t>
      </w:r>
    </w:p>
    <w:p w14:paraId="7D23B212" w14:textId="72959629" w:rsidR="000E354F" w:rsidRPr="00650EE4" w:rsidRDefault="00342BA4" w:rsidP="00BD4925">
      <w:pPr>
        <w:pStyle w:val="ListParagraph"/>
        <w:numPr>
          <w:ilvl w:val="0"/>
          <w:numId w:val="45"/>
        </w:numPr>
        <w:spacing w:after="60" w:line="240" w:lineRule="auto"/>
        <w:ind w:left="714" w:hanging="357"/>
        <w:contextualSpacing w:val="0"/>
        <w:jc w:val="both"/>
        <w:rPr>
          <w:rFonts w:ascii="Times New Roman" w:hAnsi="Times New Roman"/>
          <w:szCs w:val="22"/>
          <w:lang w:val="lt-LT"/>
        </w:rPr>
      </w:pPr>
      <w:r>
        <w:rPr>
          <w:rFonts w:ascii="Times New Roman" w:hAnsi="Times New Roman"/>
          <w:szCs w:val="22"/>
          <w:lang w:val="lt-LT"/>
        </w:rPr>
        <w:t>s</w:t>
      </w:r>
      <w:r w:rsidR="000E354F" w:rsidRPr="00650EE4">
        <w:rPr>
          <w:rFonts w:ascii="Times New Roman" w:hAnsi="Times New Roman"/>
          <w:szCs w:val="22"/>
          <w:lang w:val="lt-LT"/>
        </w:rPr>
        <w:t xml:space="preserve">uformuoti </w:t>
      </w:r>
      <w:proofErr w:type="spellStart"/>
      <w:r w:rsidR="000E354F" w:rsidRPr="00650EE4">
        <w:rPr>
          <w:rFonts w:ascii="Times New Roman" w:hAnsi="Times New Roman"/>
          <w:szCs w:val="22"/>
          <w:lang w:val="lt-LT"/>
        </w:rPr>
        <w:t>tarpinstitucinį</w:t>
      </w:r>
      <w:proofErr w:type="spellEnd"/>
      <w:r w:rsidR="000E354F" w:rsidRPr="00650EE4">
        <w:rPr>
          <w:rFonts w:ascii="Times New Roman" w:hAnsi="Times New Roman"/>
          <w:szCs w:val="22"/>
          <w:lang w:val="lt-LT"/>
        </w:rPr>
        <w:t xml:space="preserve"> </w:t>
      </w:r>
      <w:r w:rsidR="00D94E4B" w:rsidRPr="00650EE4">
        <w:rPr>
          <w:rFonts w:ascii="Times New Roman" w:hAnsi="Times New Roman"/>
          <w:szCs w:val="22"/>
          <w:lang w:val="lt-LT"/>
        </w:rPr>
        <w:t>organizacinį struktūrinį vienetą, kuris atliktų IRS projekto valdytojo  funkcijas</w:t>
      </w:r>
      <w:r w:rsidR="002238FC" w:rsidRPr="00650EE4">
        <w:rPr>
          <w:rFonts w:ascii="Times New Roman" w:hAnsi="Times New Roman"/>
          <w:szCs w:val="22"/>
          <w:lang w:val="lt-LT"/>
        </w:rPr>
        <w:t>,</w:t>
      </w:r>
      <w:r w:rsidR="000E354F" w:rsidRPr="00650EE4">
        <w:rPr>
          <w:rFonts w:ascii="Times New Roman" w:hAnsi="Times New Roman"/>
          <w:szCs w:val="22"/>
          <w:lang w:val="lt-LT"/>
        </w:rPr>
        <w:t xml:space="preserve"> </w:t>
      </w:r>
      <w:r w:rsidR="00D94E4B" w:rsidRPr="00650EE4">
        <w:rPr>
          <w:rFonts w:ascii="Times New Roman" w:hAnsi="Times New Roman"/>
          <w:szCs w:val="22"/>
          <w:lang w:val="lt-LT"/>
        </w:rPr>
        <w:t>t.y. būtų atsakingas</w:t>
      </w:r>
      <w:r w:rsidR="000E354F" w:rsidRPr="00650EE4">
        <w:rPr>
          <w:rFonts w:ascii="Times New Roman" w:hAnsi="Times New Roman"/>
          <w:szCs w:val="22"/>
          <w:lang w:val="lt-LT"/>
        </w:rPr>
        <w:t xml:space="preserve"> už IRS įgyvendinimo plana</w:t>
      </w:r>
      <w:r>
        <w:rPr>
          <w:rFonts w:ascii="Times New Roman" w:hAnsi="Times New Roman"/>
          <w:szCs w:val="22"/>
          <w:lang w:val="lt-LT"/>
        </w:rPr>
        <w:t xml:space="preserve">vimą, koordinavimą ir </w:t>
      </w:r>
      <w:proofErr w:type="spellStart"/>
      <w:r>
        <w:rPr>
          <w:rFonts w:ascii="Times New Roman" w:hAnsi="Times New Roman"/>
          <w:szCs w:val="22"/>
          <w:lang w:val="lt-LT"/>
        </w:rPr>
        <w:t>stebėseną</w:t>
      </w:r>
      <w:proofErr w:type="spellEnd"/>
      <w:r>
        <w:rPr>
          <w:rFonts w:ascii="Times New Roman" w:hAnsi="Times New Roman"/>
          <w:szCs w:val="22"/>
          <w:lang w:val="lt-LT"/>
        </w:rPr>
        <w:t>;</w:t>
      </w:r>
    </w:p>
    <w:p w14:paraId="3B9129A6" w14:textId="19070B6B" w:rsidR="004706A3" w:rsidRPr="00650EE4" w:rsidRDefault="00342BA4"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p</w:t>
      </w:r>
      <w:r w:rsidR="004706A3" w:rsidRPr="00650EE4">
        <w:rPr>
          <w:rFonts w:ascii="Times New Roman" w:hAnsi="Times New Roman"/>
          <w:szCs w:val="22"/>
          <w:lang w:val="lt-LT"/>
        </w:rPr>
        <w:t>a</w:t>
      </w:r>
      <w:r>
        <w:rPr>
          <w:rFonts w:ascii="Times New Roman" w:hAnsi="Times New Roman"/>
          <w:szCs w:val="22"/>
          <w:lang w:val="lt-LT"/>
        </w:rPr>
        <w:t>rengti paramos priemonių paketą;</w:t>
      </w:r>
      <w:r w:rsidR="00D94E4B" w:rsidRPr="00650EE4">
        <w:rPr>
          <w:rFonts w:ascii="Times New Roman" w:hAnsi="Times New Roman"/>
          <w:szCs w:val="22"/>
          <w:lang w:val="lt-LT"/>
        </w:rPr>
        <w:t xml:space="preserve"> </w:t>
      </w:r>
    </w:p>
    <w:p w14:paraId="707B7D60" w14:textId="130436EC" w:rsidR="00EF67D4" w:rsidRPr="00650EE4" w:rsidRDefault="00342BA4" w:rsidP="00BD4925">
      <w:pPr>
        <w:pStyle w:val="ListParagraph"/>
        <w:numPr>
          <w:ilvl w:val="0"/>
          <w:numId w:val="45"/>
        </w:numPr>
        <w:spacing w:after="120" w:line="240" w:lineRule="auto"/>
        <w:ind w:left="714" w:hanging="357"/>
        <w:contextualSpacing w:val="0"/>
        <w:jc w:val="both"/>
        <w:rPr>
          <w:rFonts w:ascii="Times New Roman" w:hAnsi="Times New Roman"/>
          <w:szCs w:val="22"/>
          <w:lang w:val="lt-LT"/>
        </w:rPr>
      </w:pPr>
      <w:r>
        <w:rPr>
          <w:rFonts w:ascii="Times New Roman" w:hAnsi="Times New Roman"/>
          <w:szCs w:val="22"/>
          <w:lang w:val="lt-LT"/>
        </w:rPr>
        <w:t>d</w:t>
      </w:r>
      <w:r w:rsidR="00787819" w:rsidRPr="00650EE4">
        <w:rPr>
          <w:rFonts w:ascii="Times New Roman" w:hAnsi="Times New Roman"/>
          <w:szCs w:val="22"/>
          <w:lang w:val="lt-LT"/>
        </w:rPr>
        <w:t>etalizuoti</w:t>
      </w:r>
      <w:r w:rsidR="004706A3" w:rsidRPr="00650EE4">
        <w:rPr>
          <w:rFonts w:ascii="Times New Roman" w:hAnsi="Times New Roman"/>
          <w:szCs w:val="22"/>
          <w:lang w:val="lt-LT"/>
        </w:rPr>
        <w:t xml:space="preserve"> IRS tikslus i</w:t>
      </w:r>
      <w:r w:rsidR="00787819" w:rsidRPr="00650EE4">
        <w:rPr>
          <w:rFonts w:ascii="Times New Roman" w:hAnsi="Times New Roman"/>
          <w:szCs w:val="22"/>
          <w:lang w:val="lt-LT"/>
        </w:rPr>
        <w:t>r rodiklius savivaldos lygmeniu ir deleguoti</w:t>
      </w:r>
      <w:r w:rsidR="004706A3" w:rsidRPr="00650EE4">
        <w:rPr>
          <w:rFonts w:ascii="Times New Roman" w:hAnsi="Times New Roman"/>
          <w:szCs w:val="22"/>
          <w:lang w:val="lt-LT"/>
        </w:rPr>
        <w:t xml:space="preserve"> </w:t>
      </w:r>
      <w:r w:rsidR="00787819" w:rsidRPr="00650EE4">
        <w:rPr>
          <w:rFonts w:ascii="Times New Roman" w:hAnsi="Times New Roman"/>
          <w:szCs w:val="22"/>
          <w:lang w:val="lt-LT"/>
        </w:rPr>
        <w:t xml:space="preserve">savivaldybėms </w:t>
      </w:r>
      <w:r w:rsidR="004706A3" w:rsidRPr="00650EE4">
        <w:rPr>
          <w:rFonts w:ascii="Times New Roman" w:hAnsi="Times New Roman"/>
          <w:szCs w:val="22"/>
          <w:lang w:val="lt-LT"/>
        </w:rPr>
        <w:t xml:space="preserve">atsakomybę už </w:t>
      </w:r>
      <w:r w:rsidR="00787819" w:rsidRPr="00650EE4">
        <w:rPr>
          <w:rFonts w:ascii="Times New Roman" w:hAnsi="Times New Roman"/>
          <w:szCs w:val="22"/>
          <w:lang w:val="lt-LT"/>
        </w:rPr>
        <w:t xml:space="preserve">jų </w:t>
      </w:r>
      <w:r w:rsidR="004706A3" w:rsidRPr="00650EE4">
        <w:rPr>
          <w:rFonts w:ascii="Times New Roman" w:hAnsi="Times New Roman"/>
          <w:szCs w:val="22"/>
          <w:lang w:val="lt-LT"/>
        </w:rPr>
        <w:t>įgyvendinimą</w:t>
      </w:r>
      <w:r w:rsidR="00787819" w:rsidRPr="00650EE4">
        <w:rPr>
          <w:rFonts w:ascii="Times New Roman" w:hAnsi="Times New Roman"/>
          <w:szCs w:val="22"/>
          <w:lang w:val="lt-LT"/>
        </w:rPr>
        <w:t>, užtikrinant reikiamą finansavimą</w:t>
      </w:r>
      <w:r>
        <w:rPr>
          <w:rFonts w:ascii="Times New Roman" w:hAnsi="Times New Roman"/>
          <w:szCs w:val="22"/>
          <w:lang w:val="lt-LT"/>
        </w:rPr>
        <w:t>;</w:t>
      </w:r>
    </w:p>
    <w:p w14:paraId="47A8ADB7" w14:textId="7448A4C0" w:rsidR="00977E19" w:rsidRPr="00650EE4" w:rsidRDefault="00342BA4" w:rsidP="00BD4925">
      <w:pPr>
        <w:pStyle w:val="ListParagraph"/>
        <w:numPr>
          <w:ilvl w:val="0"/>
          <w:numId w:val="45"/>
        </w:numPr>
        <w:contextualSpacing w:val="0"/>
        <w:jc w:val="both"/>
        <w:rPr>
          <w:rFonts w:ascii="Times New Roman" w:hAnsi="Times New Roman"/>
          <w:szCs w:val="22"/>
          <w:lang w:val="lt-LT"/>
        </w:rPr>
      </w:pPr>
      <w:r>
        <w:rPr>
          <w:rFonts w:ascii="Times New Roman" w:hAnsi="Times New Roman"/>
          <w:szCs w:val="22"/>
          <w:lang w:val="lt-LT"/>
        </w:rPr>
        <w:t>į</w:t>
      </w:r>
      <w:r w:rsidR="004706A3" w:rsidRPr="00650EE4">
        <w:rPr>
          <w:rFonts w:ascii="Times New Roman" w:hAnsi="Times New Roman"/>
          <w:szCs w:val="22"/>
          <w:lang w:val="lt-LT"/>
        </w:rPr>
        <w:t>diegti monitoringo</w:t>
      </w:r>
      <w:r w:rsidR="007C1221" w:rsidRPr="00650EE4">
        <w:rPr>
          <w:rFonts w:ascii="Times New Roman" w:hAnsi="Times New Roman"/>
          <w:szCs w:val="22"/>
          <w:lang w:val="lt-LT"/>
        </w:rPr>
        <w:t xml:space="preserve"> sistemą ir u</w:t>
      </w:r>
      <w:r w:rsidR="00977E19" w:rsidRPr="00650EE4">
        <w:rPr>
          <w:rFonts w:ascii="Times New Roman" w:hAnsi="Times New Roman"/>
          <w:szCs w:val="22"/>
          <w:lang w:val="lt-LT"/>
        </w:rPr>
        <w:t xml:space="preserve">žtikrinti periodinį </w:t>
      </w:r>
      <w:r w:rsidR="00787819" w:rsidRPr="00650EE4">
        <w:rPr>
          <w:rFonts w:ascii="Times New Roman" w:hAnsi="Times New Roman"/>
          <w:szCs w:val="22"/>
          <w:lang w:val="lt-LT"/>
        </w:rPr>
        <w:t xml:space="preserve">siektinų rodiklių atnaujinimą atsižvelgiant į įgyvendinimo </w:t>
      </w:r>
      <w:r w:rsidR="008B46BE" w:rsidRPr="00650EE4">
        <w:rPr>
          <w:rFonts w:ascii="Times New Roman" w:hAnsi="Times New Roman"/>
          <w:szCs w:val="22"/>
          <w:lang w:val="lt-LT"/>
        </w:rPr>
        <w:t>progresą</w:t>
      </w:r>
      <w:r w:rsidR="00787819" w:rsidRPr="00650EE4">
        <w:rPr>
          <w:rFonts w:ascii="Times New Roman" w:hAnsi="Times New Roman"/>
          <w:szCs w:val="22"/>
          <w:lang w:val="lt-LT"/>
        </w:rPr>
        <w:t>.</w:t>
      </w:r>
    </w:p>
    <w:p w14:paraId="087464CE" w14:textId="77777777" w:rsidR="00E723D0" w:rsidRDefault="00E723D0" w:rsidP="00BC7B57">
      <w:pPr>
        <w:spacing w:after="120"/>
        <w:jc w:val="both"/>
        <w:rPr>
          <w:rFonts w:ascii="Times New Roman" w:hAnsi="Times New Roman"/>
          <w:b/>
          <w:bCs/>
          <w:szCs w:val="24"/>
        </w:rPr>
      </w:pPr>
    </w:p>
    <w:p w14:paraId="0B165F21" w14:textId="0B69EB3C" w:rsidR="00CC6880" w:rsidRPr="00650EE4" w:rsidRDefault="00CC6880" w:rsidP="00BC7B57">
      <w:pPr>
        <w:spacing w:after="120"/>
        <w:jc w:val="both"/>
        <w:rPr>
          <w:rFonts w:ascii="Times New Roman" w:hAnsi="Times New Roman"/>
          <w:b/>
          <w:bCs/>
          <w:szCs w:val="24"/>
        </w:rPr>
      </w:pPr>
      <w:r w:rsidRPr="00650EE4">
        <w:rPr>
          <w:rFonts w:ascii="Times New Roman" w:hAnsi="Times New Roman"/>
          <w:b/>
          <w:bCs/>
          <w:szCs w:val="24"/>
        </w:rPr>
        <w:t xml:space="preserve">P1. Koordinuotas </w:t>
      </w:r>
      <w:proofErr w:type="spellStart"/>
      <w:r w:rsidRPr="00650EE4">
        <w:rPr>
          <w:rFonts w:ascii="Times New Roman" w:hAnsi="Times New Roman"/>
          <w:b/>
          <w:bCs/>
          <w:szCs w:val="24"/>
        </w:rPr>
        <w:t>tarpinstitucinis</w:t>
      </w:r>
      <w:proofErr w:type="spellEnd"/>
      <w:r w:rsidRPr="00650EE4">
        <w:rPr>
          <w:rFonts w:ascii="Times New Roman" w:hAnsi="Times New Roman"/>
          <w:b/>
          <w:bCs/>
          <w:szCs w:val="24"/>
        </w:rPr>
        <w:t xml:space="preserve"> planavimas</w:t>
      </w:r>
    </w:p>
    <w:p w14:paraId="744C3AD2" w14:textId="7BFB81DA" w:rsidR="00CC6880" w:rsidRPr="00650EE4" w:rsidRDefault="00CC6880" w:rsidP="006A7879">
      <w:pPr>
        <w:pStyle w:val="BodyText"/>
        <w:jc w:val="both"/>
        <w:rPr>
          <w:rFonts w:ascii="Times New Roman" w:hAnsi="Times New Roman"/>
          <w:color w:val="000000" w:themeColor="text1"/>
          <w:szCs w:val="22"/>
          <w:lang w:val="lt-LT"/>
        </w:rPr>
      </w:pPr>
      <w:r w:rsidRPr="00650EE4">
        <w:rPr>
          <w:rFonts w:ascii="Times New Roman" w:hAnsi="Times New Roman"/>
          <w:szCs w:val="22"/>
          <w:lang w:val="lt-LT"/>
        </w:rPr>
        <w:t>Pastatų renovacijoje dalyvauja skirtingos suinteresuotos šalys, renovacija daro tiesioginę įtaką susijusiems sektoriams (pvz., energetikos infrastruktūros planavimui, urbanistiniam planavimui, regionų plėtros planavimui, socialinės gerovės užtikrinimui ir pan.), o IRS numatyti tikslai ir siektini rodikliai tiesiogiai priklauso nuo energetikos sektoriaus raidos scenarijų. Be to, š</w:t>
      </w:r>
      <w:r w:rsidRPr="00650EE4">
        <w:rPr>
          <w:rFonts w:ascii="Times New Roman" w:hAnsi="Times New Roman"/>
          <w:color w:val="000000" w:themeColor="text1"/>
          <w:szCs w:val="22"/>
          <w:lang w:val="lt-LT"/>
        </w:rPr>
        <w:t xml:space="preserve">iuo metu, su pastatų renovacija susijusios paramos priemonės yra planuojamos ir administruojamos skirtingų institucijų, skiriasi priemonių finansavimo šaltiniai (fondai). Atitinkamai, skiriasi priemonių atrankos ir finansavimo sąlygos, įgyvendinimo laikotarpiai, kas apsunkina tokių priemonių kompleksinio taikymo galimybes (pvz., remiant AEI priemonių diegimą nėra vertinamas pastatų energetinis efektyvumas arba vykdant </w:t>
      </w:r>
      <w:proofErr w:type="spellStart"/>
      <w:r w:rsidRPr="00650EE4">
        <w:rPr>
          <w:rFonts w:ascii="Times New Roman" w:hAnsi="Times New Roman"/>
          <w:color w:val="000000" w:themeColor="text1"/>
          <w:szCs w:val="22"/>
          <w:lang w:val="lt-LT"/>
        </w:rPr>
        <w:t>kvartalinę</w:t>
      </w:r>
      <w:proofErr w:type="spellEnd"/>
      <w:r w:rsidRPr="00650EE4">
        <w:rPr>
          <w:rFonts w:ascii="Times New Roman" w:hAnsi="Times New Roman"/>
          <w:color w:val="000000" w:themeColor="text1"/>
          <w:szCs w:val="22"/>
          <w:lang w:val="lt-LT"/>
        </w:rPr>
        <w:t xml:space="preserve"> renovaciją finansavimas pakankamas tik daliai veiklų). </w:t>
      </w:r>
    </w:p>
    <w:p w14:paraId="7AB17B82" w14:textId="77777777" w:rsidR="006A7879" w:rsidRPr="00650EE4" w:rsidRDefault="006A7879" w:rsidP="006A7879">
      <w:pPr>
        <w:pStyle w:val="BodyText"/>
        <w:jc w:val="both"/>
        <w:rPr>
          <w:rFonts w:ascii="Times New Roman" w:hAnsi="Times New Roman"/>
          <w:color w:val="000000" w:themeColor="text1"/>
          <w:szCs w:val="22"/>
          <w:lang w:val="lt-LT"/>
        </w:rPr>
      </w:pPr>
    </w:p>
    <w:p w14:paraId="2B796F38" w14:textId="652A8759" w:rsidR="00CC6880" w:rsidRPr="00650EE4" w:rsidRDefault="00426C06" w:rsidP="006A7879">
      <w:pPr>
        <w:jc w:val="both"/>
        <w:rPr>
          <w:rFonts w:ascii="Times New Roman" w:hAnsi="Times New Roman"/>
          <w:color w:val="000000" w:themeColor="text1"/>
          <w:szCs w:val="22"/>
        </w:rPr>
      </w:pPr>
      <w:r>
        <w:rPr>
          <w:rFonts w:ascii="Times New Roman" w:hAnsi="Times New Roman"/>
          <w:szCs w:val="22"/>
        </w:rPr>
        <w:t>S</w:t>
      </w:r>
      <w:r w:rsidR="00CC6880" w:rsidRPr="00650EE4">
        <w:rPr>
          <w:rFonts w:ascii="Times New Roman" w:hAnsi="Times New Roman"/>
          <w:szCs w:val="22"/>
        </w:rPr>
        <w:t xml:space="preserve">iekiant koordinuoto ir sistemingo </w:t>
      </w:r>
      <w:r w:rsidR="00CC6880" w:rsidRPr="00650EE4">
        <w:rPr>
          <w:rFonts w:ascii="Times New Roman" w:hAnsi="Times New Roman"/>
          <w:color w:val="000000" w:themeColor="text1"/>
          <w:szCs w:val="22"/>
        </w:rPr>
        <w:t xml:space="preserve">planavimo bei veiksmų įgyvendinimo, būtų tikslinga suformuoti už ilgalaikės renovacijos strategijos įgyvendinimą atsakingą </w:t>
      </w:r>
      <w:r w:rsidR="00CC6880" w:rsidRPr="00650EE4">
        <w:rPr>
          <w:rFonts w:ascii="Times New Roman" w:hAnsi="Times New Roman"/>
          <w:szCs w:val="22"/>
        </w:rPr>
        <w:t>organizacinį struktūrinį vienetą</w:t>
      </w:r>
      <w:r w:rsidR="00CC6880" w:rsidRPr="00650EE4">
        <w:rPr>
          <w:rFonts w:ascii="Times New Roman" w:hAnsi="Times New Roman"/>
          <w:color w:val="000000" w:themeColor="text1"/>
          <w:szCs w:val="22"/>
        </w:rPr>
        <w:t xml:space="preserve"> (pvz. </w:t>
      </w:r>
      <w:proofErr w:type="spellStart"/>
      <w:r w:rsidR="00CC6880" w:rsidRPr="00650EE4">
        <w:rPr>
          <w:rFonts w:ascii="Times New Roman" w:hAnsi="Times New Roman"/>
          <w:color w:val="000000" w:themeColor="text1"/>
          <w:szCs w:val="22"/>
        </w:rPr>
        <w:t>tarpinstitucinę</w:t>
      </w:r>
      <w:proofErr w:type="spellEnd"/>
      <w:r w:rsidR="00CC6880" w:rsidRPr="00650EE4">
        <w:rPr>
          <w:rFonts w:ascii="Times New Roman" w:hAnsi="Times New Roman"/>
          <w:color w:val="000000" w:themeColor="text1"/>
          <w:szCs w:val="22"/>
        </w:rPr>
        <w:t xml:space="preserve"> darbo grupę (komitetą)), kurio nariai atstovautų visas pagrindines suinteresuotas šalis. Darbo grupė atliktų </w:t>
      </w:r>
      <w:r w:rsidR="00CC6880" w:rsidRPr="00650EE4">
        <w:rPr>
          <w:rFonts w:ascii="Times New Roman" w:hAnsi="Times New Roman"/>
          <w:szCs w:val="22"/>
        </w:rPr>
        <w:t>IRS projekto valdytojo</w:t>
      </w:r>
      <w:r w:rsidR="00CC6880" w:rsidRPr="00650EE4">
        <w:rPr>
          <w:rFonts w:ascii="Times New Roman" w:hAnsi="Times New Roman"/>
          <w:color w:val="000000" w:themeColor="text1"/>
          <w:szCs w:val="22"/>
        </w:rPr>
        <w:t xml:space="preserve"> funkcijas t.y., nustatytų įgaliojimų ribose, būtų atsakinga už IRS tikslų nustatymą, peržiūrą ir atnaujinimą, IRS suderinamumą su kitomis energinio efektyvumo ir AEI skatinimo politikos priemonėmis bei energetikos sektoriaus planavimu, pvz., planuojant </w:t>
      </w:r>
      <w:proofErr w:type="spellStart"/>
      <w:r w:rsidR="00CC6880" w:rsidRPr="00650EE4">
        <w:rPr>
          <w:rFonts w:ascii="Times New Roman" w:hAnsi="Times New Roman"/>
          <w:color w:val="000000" w:themeColor="text1"/>
          <w:szCs w:val="22"/>
        </w:rPr>
        <w:t>kvartalinę</w:t>
      </w:r>
      <w:proofErr w:type="spellEnd"/>
      <w:r w:rsidR="00CC6880" w:rsidRPr="00650EE4">
        <w:rPr>
          <w:rFonts w:ascii="Times New Roman" w:hAnsi="Times New Roman"/>
          <w:color w:val="000000" w:themeColor="text1"/>
          <w:szCs w:val="22"/>
        </w:rPr>
        <w:t xml:space="preserve"> renovaciją, kur renovacijos paramos priemonės papildomai turėtų būti suderintos ir su teritorijų tvarkymo ir plėtros priemonėmis.</w:t>
      </w:r>
    </w:p>
    <w:p w14:paraId="6CAC8498" w14:textId="77777777" w:rsidR="00CC6880" w:rsidRPr="00650EE4" w:rsidRDefault="00CC6880" w:rsidP="006A7879">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6880" w:rsidRPr="00650EE4" w14:paraId="7AA6E731" w14:textId="77777777" w:rsidTr="00492041">
        <w:trPr>
          <w:trHeight w:val="45"/>
        </w:trPr>
        <w:tc>
          <w:tcPr>
            <w:tcW w:w="3114" w:type="dxa"/>
          </w:tcPr>
          <w:p w14:paraId="31679F79"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Sprendžiama problema (barjerai)</w:t>
            </w:r>
          </w:p>
        </w:tc>
        <w:tc>
          <w:tcPr>
            <w:tcW w:w="7089" w:type="dxa"/>
          </w:tcPr>
          <w:p w14:paraId="66647599"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B1.  Nepakankamas </w:t>
            </w:r>
            <w:proofErr w:type="spellStart"/>
            <w:r w:rsidRPr="00650EE4">
              <w:rPr>
                <w:rFonts w:ascii="Times New Roman" w:hAnsi="Times New Roman"/>
                <w:szCs w:val="22"/>
                <w:lang w:eastAsia="lt-LT"/>
              </w:rPr>
              <w:t>tarpinstitucinis</w:t>
            </w:r>
            <w:proofErr w:type="spellEnd"/>
            <w:r w:rsidRPr="00650EE4">
              <w:rPr>
                <w:rFonts w:ascii="Times New Roman" w:hAnsi="Times New Roman"/>
                <w:szCs w:val="22"/>
                <w:lang w:eastAsia="lt-LT"/>
              </w:rPr>
              <w:t xml:space="preserve"> veiksmų koordinavimas </w:t>
            </w:r>
          </w:p>
          <w:p w14:paraId="6F5DC04B" w14:textId="2C66924D" w:rsidR="003407D7" w:rsidRPr="00650EE4" w:rsidRDefault="003407D7" w:rsidP="00492041">
            <w:pPr>
              <w:spacing w:after="60"/>
              <w:rPr>
                <w:rFonts w:ascii="Times New Roman" w:hAnsi="Times New Roman"/>
                <w:szCs w:val="22"/>
                <w:lang w:eastAsia="lt-LT"/>
              </w:rPr>
            </w:pPr>
            <w:r w:rsidRPr="00650EE4">
              <w:rPr>
                <w:rFonts w:ascii="Times New Roman" w:hAnsi="Times New Roman"/>
                <w:szCs w:val="22"/>
                <w:lang w:eastAsia="lt-LT"/>
              </w:rPr>
              <w:t>B19. Darbo jėgos statybų sektoriuje apribojimai</w:t>
            </w:r>
          </w:p>
        </w:tc>
      </w:tr>
      <w:tr w:rsidR="00CC6880" w:rsidRPr="00650EE4" w14:paraId="0441AE5B" w14:textId="77777777" w:rsidTr="00492041">
        <w:trPr>
          <w:trHeight w:val="45"/>
        </w:trPr>
        <w:tc>
          <w:tcPr>
            <w:tcW w:w="3114" w:type="dxa"/>
          </w:tcPr>
          <w:p w14:paraId="70003D02"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4315975" w14:textId="77777777" w:rsidR="00CC6880" w:rsidRPr="00650EE4" w:rsidRDefault="00CC6880" w:rsidP="00492041">
            <w:pPr>
              <w:spacing w:after="60"/>
              <w:rPr>
                <w:rFonts w:ascii="Times New Roman" w:hAnsi="Times New Roman"/>
                <w:szCs w:val="22"/>
                <w:lang w:eastAsia="lt-LT"/>
              </w:rPr>
            </w:pPr>
            <w:proofErr w:type="spellStart"/>
            <w:r w:rsidRPr="00650EE4">
              <w:rPr>
                <w:rFonts w:ascii="Times New Roman" w:hAnsi="Times New Roman"/>
                <w:szCs w:val="22"/>
                <w:lang w:eastAsia="lt-LT"/>
              </w:rPr>
              <w:t>Tarpinstitucinės</w:t>
            </w:r>
            <w:proofErr w:type="spellEnd"/>
            <w:r w:rsidRPr="00650EE4">
              <w:rPr>
                <w:rFonts w:ascii="Times New Roman" w:hAnsi="Times New Roman"/>
                <w:szCs w:val="22"/>
                <w:lang w:eastAsia="lt-LT"/>
              </w:rPr>
              <w:t xml:space="preserve"> IRS darbo grupės sudarymas</w:t>
            </w:r>
          </w:p>
        </w:tc>
      </w:tr>
      <w:tr w:rsidR="00CC6880" w:rsidRPr="00650EE4" w14:paraId="7474F7FC" w14:textId="77777777" w:rsidTr="00492041">
        <w:trPr>
          <w:trHeight w:val="102"/>
        </w:trPr>
        <w:tc>
          <w:tcPr>
            <w:tcW w:w="3114" w:type="dxa"/>
          </w:tcPr>
          <w:p w14:paraId="66CA8C28"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36FD618"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6880" w:rsidRPr="00650EE4" w14:paraId="2A363D2D" w14:textId="77777777" w:rsidTr="00492041">
        <w:trPr>
          <w:trHeight w:val="64"/>
        </w:trPr>
        <w:tc>
          <w:tcPr>
            <w:tcW w:w="3114" w:type="dxa"/>
          </w:tcPr>
          <w:p w14:paraId="465A7143"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6B7F4C7"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2934901A" w14:textId="77777777" w:rsidR="00CC6880" w:rsidRPr="00650EE4" w:rsidRDefault="00CC6880" w:rsidP="00337280">
      <w:pPr>
        <w:pStyle w:val="BodyText"/>
        <w:spacing w:after="120"/>
        <w:rPr>
          <w:rFonts w:ascii="Times New Roman" w:hAnsi="Times New Roman"/>
          <w:lang w:val="lt-LT"/>
        </w:rPr>
      </w:pPr>
    </w:p>
    <w:p w14:paraId="6955D009" w14:textId="797218F6" w:rsidR="00B062FD" w:rsidRPr="00650EE4" w:rsidRDefault="00B062FD" w:rsidP="00BC7B57">
      <w:pPr>
        <w:spacing w:after="120"/>
        <w:jc w:val="both"/>
        <w:rPr>
          <w:rFonts w:ascii="Times New Roman" w:hAnsi="Times New Roman"/>
          <w:b/>
          <w:bCs/>
          <w:szCs w:val="24"/>
        </w:rPr>
      </w:pPr>
      <w:r w:rsidRPr="00650EE4">
        <w:rPr>
          <w:rFonts w:ascii="Times New Roman" w:hAnsi="Times New Roman"/>
          <w:b/>
          <w:bCs/>
          <w:szCs w:val="24"/>
        </w:rPr>
        <w:t>P</w:t>
      </w:r>
      <w:r w:rsidR="00CE404E" w:rsidRPr="00650EE4">
        <w:rPr>
          <w:rFonts w:ascii="Times New Roman" w:hAnsi="Times New Roman"/>
          <w:b/>
          <w:bCs/>
          <w:szCs w:val="24"/>
        </w:rPr>
        <w:t>2</w:t>
      </w:r>
      <w:r w:rsidRPr="00650EE4">
        <w:rPr>
          <w:rFonts w:ascii="Times New Roman" w:hAnsi="Times New Roman"/>
          <w:b/>
          <w:bCs/>
          <w:szCs w:val="24"/>
        </w:rPr>
        <w:t>. Pastatų fondo inventorizacija ir duomenų bazės sukūrimas</w:t>
      </w:r>
    </w:p>
    <w:p w14:paraId="1C1ACA61" w14:textId="317D48C2" w:rsidR="00B062FD" w:rsidRPr="00650EE4" w:rsidRDefault="00B062FD" w:rsidP="00EC14A0">
      <w:pPr>
        <w:jc w:val="both"/>
        <w:rPr>
          <w:rFonts w:ascii="Times New Roman" w:hAnsi="Times New Roman"/>
          <w:szCs w:val="22"/>
        </w:rPr>
      </w:pPr>
      <w:r w:rsidRPr="00650EE4">
        <w:rPr>
          <w:rFonts w:ascii="Times New Roman" w:hAnsi="Times New Roman"/>
          <w:szCs w:val="22"/>
        </w:rPr>
        <w:t xml:space="preserve">Šiuo metu nėra vientiso duomenų šaltinio, kuriame būtų kaupiama informacija apie pastatų charakteristikas, techninę būklę, energijos suvartojimą </w:t>
      </w:r>
      <w:r w:rsidR="001829DA" w:rsidRPr="00650EE4">
        <w:rPr>
          <w:rFonts w:ascii="Times New Roman" w:hAnsi="Times New Roman"/>
          <w:szCs w:val="22"/>
        </w:rPr>
        <w:t xml:space="preserve">ir pan. Duomenų nepakankamumas </w:t>
      </w:r>
      <w:r w:rsidRPr="00650EE4">
        <w:rPr>
          <w:rFonts w:ascii="Times New Roman" w:hAnsi="Times New Roman"/>
          <w:szCs w:val="22"/>
        </w:rPr>
        <w:t xml:space="preserve">apsunkina IRS tikslų nustatymą ir jų įgyvendinimo </w:t>
      </w:r>
      <w:proofErr w:type="spellStart"/>
      <w:r w:rsidRPr="00650EE4">
        <w:rPr>
          <w:rFonts w:ascii="Times New Roman" w:hAnsi="Times New Roman"/>
          <w:szCs w:val="22"/>
        </w:rPr>
        <w:t>stebėseną</w:t>
      </w:r>
      <w:proofErr w:type="spellEnd"/>
      <w:r w:rsidR="00426C06">
        <w:rPr>
          <w:rFonts w:ascii="Times New Roman" w:hAnsi="Times New Roman"/>
          <w:szCs w:val="22"/>
        </w:rPr>
        <w:t>.</w:t>
      </w:r>
      <w:r w:rsidRPr="00650EE4">
        <w:rPr>
          <w:rFonts w:ascii="Times New Roman" w:hAnsi="Times New Roman"/>
          <w:szCs w:val="22"/>
        </w:rPr>
        <w:t xml:space="preserve"> </w:t>
      </w:r>
    </w:p>
    <w:p w14:paraId="3DED3896" w14:textId="77777777" w:rsidR="009B54EF" w:rsidRPr="00650EE4" w:rsidRDefault="00EA5B50" w:rsidP="00562E41">
      <w:pPr>
        <w:spacing w:before="120"/>
        <w:jc w:val="both"/>
        <w:rPr>
          <w:rFonts w:ascii="Times New Roman" w:hAnsi="Times New Roman"/>
          <w:szCs w:val="22"/>
        </w:rPr>
      </w:pPr>
      <w:r w:rsidRPr="00650EE4">
        <w:rPr>
          <w:rFonts w:ascii="Times New Roman" w:hAnsi="Times New Roman"/>
          <w:szCs w:val="22"/>
        </w:rPr>
        <w:t>R</w:t>
      </w:r>
      <w:r w:rsidR="00B062FD" w:rsidRPr="00650EE4">
        <w:rPr>
          <w:rFonts w:ascii="Times New Roman" w:hAnsi="Times New Roman"/>
          <w:szCs w:val="22"/>
        </w:rPr>
        <w:t xml:space="preserve">eikalavimą turėti tinkamus duomenis taip pat nustato ir Pakeitimo direktyva, kurios konstatuojamojoje dalyje teigiama, kad „reikalingi aukštos kokybės duomenys apie pastatų ūkį – dalis jų galėtų būti gaunami iš duomenų </w:t>
      </w:r>
      <w:r w:rsidR="00B062FD" w:rsidRPr="00650EE4">
        <w:rPr>
          <w:rFonts w:ascii="Times New Roman" w:hAnsi="Times New Roman"/>
          <w:szCs w:val="22"/>
        </w:rPr>
        <w:lastRenderedPageBreak/>
        <w:t xml:space="preserve">bazių, kurias energinio naudingumo sertifikavimo reikmėms šiuo metu kuria ir tvarko beveik visos valstybės narės“. </w:t>
      </w:r>
    </w:p>
    <w:p w14:paraId="654B381D" w14:textId="14AB1728" w:rsidR="00B062FD" w:rsidRPr="00650EE4" w:rsidRDefault="00977B82" w:rsidP="00562E41">
      <w:pPr>
        <w:spacing w:before="120"/>
        <w:jc w:val="both"/>
        <w:rPr>
          <w:rFonts w:ascii="Times New Roman" w:hAnsi="Times New Roman"/>
          <w:szCs w:val="22"/>
        </w:rPr>
      </w:pPr>
      <w:r w:rsidRPr="00650EE4">
        <w:rPr>
          <w:rFonts w:ascii="Times New Roman" w:hAnsi="Times New Roman"/>
          <w:color w:val="000000" w:themeColor="text1"/>
          <w:szCs w:val="22"/>
        </w:rPr>
        <w:t>Duomenų sukūrimas ir surinkimas turėtų būti vykdomas kompleksinėmis priemonėmis</w:t>
      </w:r>
      <w:r w:rsidR="00CE17DF"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numatant prievol</w:t>
      </w:r>
      <w:r w:rsidR="00CE17DF" w:rsidRPr="00650EE4">
        <w:rPr>
          <w:rFonts w:ascii="Times New Roman" w:hAnsi="Times New Roman"/>
          <w:color w:val="000000" w:themeColor="text1"/>
          <w:szCs w:val="22"/>
        </w:rPr>
        <w:t>ę</w:t>
      </w:r>
      <w:r w:rsidRPr="00650EE4">
        <w:rPr>
          <w:rFonts w:ascii="Times New Roman" w:hAnsi="Times New Roman"/>
          <w:color w:val="000000" w:themeColor="text1"/>
          <w:szCs w:val="22"/>
        </w:rPr>
        <w:t xml:space="preserve"> atlikti energijos vartojimo auditus</w:t>
      </w:r>
      <w:r w:rsidR="00CE17DF" w:rsidRPr="00650EE4">
        <w:rPr>
          <w:rFonts w:ascii="Times New Roman" w:hAnsi="Times New Roman"/>
          <w:color w:val="000000" w:themeColor="text1"/>
          <w:szCs w:val="22"/>
        </w:rPr>
        <w:t xml:space="preserve"> prieš ir po pastato renovacijos</w:t>
      </w:r>
      <w:r w:rsidRPr="00650EE4">
        <w:rPr>
          <w:rFonts w:ascii="Times New Roman" w:hAnsi="Times New Roman"/>
          <w:color w:val="000000" w:themeColor="text1"/>
          <w:szCs w:val="22"/>
        </w:rPr>
        <w:t>, sukuriant metodiką skaičiuotino energijos vartojimo pastatuose konversijai</w:t>
      </w:r>
      <w:r w:rsidR="00426C06">
        <w:rPr>
          <w:rFonts w:ascii="Times New Roman" w:hAnsi="Times New Roman"/>
          <w:color w:val="000000" w:themeColor="text1"/>
          <w:szCs w:val="22"/>
        </w:rPr>
        <w:t xml:space="preserve"> </w:t>
      </w:r>
      <w:r w:rsidRPr="00650EE4">
        <w:rPr>
          <w:rFonts w:ascii="Times New Roman" w:hAnsi="Times New Roman"/>
          <w:color w:val="000000" w:themeColor="text1"/>
          <w:szCs w:val="22"/>
        </w:rPr>
        <w:t>/</w:t>
      </w:r>
      <w:r w:rsidR="00426C06">
        <w:rPr>
          <w:rFonts w:ascii="Times New Roman" w:hAnsi="Times New Roman"/>
          <w:color w:val="000000" w:themeColor="text1"/>
          <w:szCs w:val="22"/>
        </w:rPr>
        <w:t xml:space="preserve"> </w:t>
      </w:r>
      <w:r w:rsidRPr="00650EE4">
        <w:rPr>
          <w:rFonts w:ascii="Times New Roman" w:hAnsi="Times New Roman"/>
          <w:color w:val="000000" w:themeColor="text1"/>
          <w:szCs w:val="22"/>
        </w:rPr>
        <w:t xml:space="preserve">sulyginimui su atitinkamo laikotarpio faktiniais pirminės energijos duomenimis, įdiegiant </w:t>
      </w:r>
      <w:r w:rsidR="000F2CB4" w:rsidRPr="00650EE4">
        <w:rPr>
          <w:rFonts w:ascii="Times New Roman" w:hAnsi="Times New Roman"/>
          <w:color w:val="000000" w:themeColor="text1"/>
          <w:szCs w:val="22"/>
        </w:rPr>
        <w:t xml:space="preserve">pastatų pasų sistemą, parengiant pastatų fondo žemėlapius ir pan. </w:t>
      </w:r>
      <w:r w:rsidR="00B062FD" w:rsidRPr="00650EE4">
        <w:rPr>
          <w:rFonts w:ascii="Times New Roman" w:hAnsi="Times New Roman"/>
          <w:szCs w:val="22"/>
        </w:rPr>
        <w:t>(žr. geros praktikos pavyzdį žemiau).</w:t>
      </w:r>
      <w:r w:rsidR="00CE17DF" w:rsidRPr="00650EE4">
        <w:rPr>
          <w:rFonts w:ascii="Times New Roman" w:hAnsi="Times New Roman"/>
          <w:szCs w:val="22"/>
        </w:rPr>
        <w:t xml:space="preserve"> Siekiant užtikrinti tokios duomenų bazės ilgalaikį </w:t>
      </w:r>
      <w:r w:rsidR="00DE6E8F" w:rsidRPr="00650EE4">
        <w:rPr>
          <w:rFonts w:ascii="Times New Roman" w:hAnsi="Times New Roman"/>
          <w:szCs w:val="22"/>
        </w:rPr>
        <w:t>veikimą</w:t>
      </w:r>
      <w:r w:rsidR="00CE17DF" w:rsidRPr="00650EE4">
        <w:rPr>
          <w:rFonts w:ascii="Times New Roman" w:hAnsi="Times New Roman"/>
          <w:szCs w:val="22"/>
        </w:rPr>
        <w:t xml:space="preserve"> reikalinga sukurti aiškius duomenų standartizacijos, rinkimo, apdorojimo, naudojimo procesus, paskirti konkretų</w:t>
      </w:r>
      <w:r w:rsidR="00DE6E8F" w:rsidRPr="00650EE4">
        <w:rPr>
          <w:rFonts w:ascii="Times New Roman" w:hAnsi="Times New Roman"/>
          <w:szCs w:val="22"/>
        </w:rPr>
        <w:t xml:space="preserve"> ilgalaikį</w:t>
      </w:r>
      <w:r w:rsidR="00CE17DF" w:rsidRPr="00650EE4">
        <w:rPr>
          <w:rFonts w:ascii="Times New Roman" w:hAnsi="Times New Roman"/>
          <w:szCs w:val="22"/>
        </w:rPr>
        <w:t xml:space="preserve"> tokios duomenų bazės administratorių</w:t>
      </w:r>
      <w:r w:rsidR="00DE6E8F" w:rsidRPr="00650EE4">
        <w:rPr>
          <w:rFonts w:ascii="Times New Roman" w:hAnsi="Times New Roman"/>
          <w:szCs w:val="22"/>
        </w:rPr>
        <w:t xml:space="preserve"> ir finansavimo šaltinį, suteikti administratoriui reikalingas duomenų prieigos teises (pvz. įgaliojimus rinkti tam tikrus duomenis iš energijos tiekėjų). </w:t>
      </w:r>
    </w:p>
    <w:p w14:paraId="15E913A5" w14:textId="744BF7B1" w:rsidR="002D0232" w:rsidRPr="00650EE4" w:rsidRDefault="002D0232">
      <w:pPr>
        <w:spacing w:after="240"/>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32396B7D" w14:textId="77777777" w:rsidTr="00910123">
        <w:trPr>
          <w:trHeight w:val="236"/>
        </w:trPr>
        <w:tc>
          <w:tcPr>
            <w:tcW w:w="3114" w:type="dxa"/>
          </w:tcPr>
          <w:p w14:paraId="2549B0AD"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170B93FF"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B2. Nepatikima (asimetrinė) informacija</w:t>
            </w:r>
          </w:p>
        </w:tc>
      </w:tr>
      <w:tr w:rsidR="00B66665" w:rsidRPr="00650EE4" w14:paraId="587FC08A" w14:textId="77777777" w:rsidTr="00910123">
        <w:trPr>
          <w:trHeight w:val="340"/>
        </w:trPr>
        <w:tc>
          <w:tcPr>
            <w:tcW w:w="3114" w:type="dxa"/>
          </w:tcPr>
          <w:p w14:paraId="5FDD69AF"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4C2C3F28"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Su pagrindiniais duomenų šaltiniais integruotos IRS duomenų bazės suformavimas, duomenų apie energijos vartojimą sukūrimas</w:t>
            </w:r>
          </w:p>
        </w:tc>
      </w:tr>
      <w:tr w:rsidR="00B66665" w:rsidRPr="00650EE4" w14:paraId="21ECBA73" w14:textId="77777777" w:rsidTr="00910123">
        <w:trPr>
          <w:trHeight w:val="192"/>
        </w:trPr>
        <w:tc>
          <w:tcPr>
            <w:tcW w:w="3114" w:type="dxa"/>
          </w:tcPr>
          <w:p w14:paraId="380A5443"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F4F57EA"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3FC2B912" w14:textId="77777777" w:rsidTr="00910123">
        <w:trPr>
          <w:trHeight w:val="168"/>
        </w:trPr>
        <w:tc>
          <w:tcPr>
            <w:tcW w:w="3114" w:type="dxa"/>
          </w:tcPr>
          <w:p w14:paraId="11B98CCC"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65B185F"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Trumpas-vidutinis laikotarpis</w:t>
            </w:r>
          </w:p>
        </w:tc>
      </w:tr>
      <w:tr w:rsidR="00B66665" w:rsidRPr="00650EE4" w14:paraId="1D360F62" w14:textId="77777777" w:rsidTr="00910123">
        <w:trPr>
          <w:trHeight w:val="130"/>
        </w:trPr>
        <w:tc>
          <w:tcPr>
            <w:tcW w:w="3114" w:type="dxa"/>
          </w:tcPr>
          <w:p w14:paraId="2C42C919"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Geros praktikos pavyzdžiai</w:t>
            </w:r>
          </w:p>
        </w:tc>
        <w:tc>
          <w:tcPr>
            <w:tcW w:w="7089" w:type="dxa"/>
          </w:tcPr>
          <w:p w14:paraId="19298A98" w14:textId="77777777" w:rsidR="00B66665" w:rsidRPr="00650EE4" w:rsidRDefault="00166683" w:rsidP="00910123">
            <w:pPr>
              <w:spacing w:after="60"/>
              <w:rPr>
                <w:rStyle w:val="Hyperlink"/>
                <w:color w:val="0070C0"/>
              </w:rPr>
            </w:pPr>
            <w:hyperlink r:id="rId63" w:history="1">
              <w:r w:rsidR="00B66665" w:rsidRPr="00650EE4">
                <w:rPr>
                  <w:rStyle w:val="Hyperlink"/>
                  <w:rFonts w:ascii="Times New Roman" w:hAnsi="Times New Roman"/>
                  <w:color w:val="0070C0"/>
                  <w:szCs w:val="22"/>
                  <w:lang w:eastAsia="lt-LT"/>
                </w:rPr>
                <w:t xml:space="preserve">Vilniaus miesto </w:t>
              </w:r>
              <w:proofErr w:type="spellStart"/>
              <w:r w:rsidR="00B66665" w:rsidRPr="00650EE4">
                <w:rPr>
                  <w:rStyle w:val="Hyperlink"/>
                  <w:rFonts w:ascii="Times New Roman" w:hAnsi="Times New Roman"/>
                  <w:color w:val="0070C0"/>
                  <w:szCs w:val="22"/>
                  <w:lang w:eastAsia="lt-LT"/>
                </w:rPr>
                <w:t>kvartalinės</w:t>
              </w:r>
              <w:proofErr w:type="spellEnd"/>
              <w:r w:rsidR="00B66665" w:rsidRPr="00650EE4">
                <w:rPr>
                  <w:rStyle w:val="Hyperlink"/>
                  <w:rFonts w:ascii="Times New Roman" w:hAnsi="Times New Roman"/>
                  <w:color w:val="0070C0"/>
                  <w:szCs w:val="22"/>
                  <w:lang w:eastAsia="lt-LT"/>
                </w:rPr>
                <w:t xml:space="preserve"> renovacijos pastatų žemėlapis</w:t>
              </w:r>
            </w:hyperlink>
            <w:r w:rsidR="00B66665" w:rsidRPr="00650EE4">
              <w:rPr>
                <w:rStyle w:val="Hyperlink"/>
                <w:color w:val="0070C0"/>
              </w:rPr>
              <w:t xml:space="preserve">  </w:t>
            </w:r>
          </w:p>
          <w:p w14:paraId="69B699C5" w14:textId="77777777" w:rsidR="00B66665" w:rsidRPr="00650EE4" w:rsidRDefault="00166683" w:rsidP="00910123">
            <w:pPr>
              <w:spacing w:after="60"/>
              <w:rPr>
                <w:rFonts w:ascii="Times New Roman" w:hAnsi="Times New Roman"/>
                <w:szCs w:val="22"/>
                <w:lang w:eastAsia="lt-LT"/>
              </w:rPr>
            </w:pPr>
            <w:hyperlink r:id="rId64" w:history="1">
              <w:r w:rsidR="00B66665" w:rsidRPr="00650EE4">
                <w:rPr>
                  <w:rStyle w:val="Hyperlink"/>
                  <w:rFonts w:ascii="Times New Roman" w:hAnsi="Times New Roman"/>
                  <w:color w:val="0070C0"/>
                  <w:szCs w:val="22"/>
                  <w:lang w:eastAsia="lt-LT"/>
                </w:rPr>
                <w:t>Pastatų fondo analizės įrankiai (</w:t>
              </w:r>
              <w:proofErr w:type="spellStart"/>
              <w:r w:rsidR="00B66665" w:rsidRPr="00650EE4">
                <w:rPr>
                  <w:rStyle w:val="Hyperlink"/>
                  <w:rFonts w:ascii="Times New Roman" w:hAnsi="Times New Roman"/>
                  <w:color w:val="0070C0"/>
                  <w:szCs w:val="22"/>
                  <w:lang w:eastAsia="lt-LT"/>
                </w:rPr>
                <w:t>EmBuild</w:t>
              </w:r>
              <w:proofErr w:type="spellEnd"/>
              <w:r w:rsidR="00B66665" w:rsidRPr="00650EE4">
                <w:rPr>
                  <w:rStyle w:val="Hyperlink"/>
                  <w:rFonts w:ascii="Times New Roman" w:hAnsi="Times New Roman"/>
                  <w:color w:val="0070C0"/>
                  <w:szCs w:val="22"/>
                  <w:lang w:eastAsia="lt-LT"/>
                </w:rPr>
                <w:t>)</w:t>
              </w:r>
            </w:hyperlink>
          </w:p>
        </w:tc>
      </w:tr>
    </w:tbl>
    <w:p w14:paraId="040A92C8" w14:textId="77777777" w:rsidR="00B062FD" w:rsidRPr="00650EE4" w:rsidRDefault="00B062FD" w:rsidP="00B062FD">
      <w:pPr>
        <w:spacing w:after="120"/>
        <w:rPr>
          <w:rFonts w:ascii="Times New Roman" w:hAnsi="Times New Roman"/>
          <w:color w:val="000000" w:themeColor="text1"/>
          <w:szCs w:val="22"/>
        </w:rPr>
      </w:pPr>
    </w:p>
    <w:p w14:paraId="0C30BBE3" w14:textId="0D0F862B" w:rsidR="00CC6880" w:rsidRPr="00650EE4" w:rsidRDefault="00CC6880" w:rsidP="00BC7B57">
      <w:pPr>
        <w:spacing w:after="120"/>
        <w:jc w:val="both"/>
        <w:rPr>
          <w:rFonts w:ascii="Times New Roman" w:hAnsi="Times New Roman"/>
          <w:b/>
          <w:bCs/>
          <w:szCs w:val="24"/>
        </w:rPr>
      </w:pPr>
      <w:r w:rsidRPr="00650EE4">
        <w:rPr>
          <w:rFonts w:ascii="Times New Roman" w:hAnsi="Times New Roman"/>
          <w:b/>
          <w:bCs/>
          <w:szCs w:val="24"/>
        </w:rPr>
        <w:t>P</w:t>
      </w:r>
      <w:r w:rsidR="00031A33" w:rsidRPr="00650EE4">
        <w:rPr>
          <w:rFonts w:ascii="Times New Roman" w:hAnsi="Times New Roman"/>
          <w:b/>
          <w:bCs/>
          <w:szCs w:val="24"/>
        </w:rPr>
        <w:t>3</w:t>
      </w:r>
      <w:r w:rsidRPr="00650EE4">
        <w:rPr>
          <w:rFonts w:ascii="Times New Roman" w:hAnsi="Times New Roman"/>
          <w:b/>
          <w:bCs/>
          <w:szCs w:val="24"/>
        </w:rPr>
        <w:t>. IRS tikslų integracija į teisės aktų sistemą</w:t>
      </w:r>
    </w:p>
    <w:p w14:paraId="67B739B5" w14:textId="7B2DC285" w:rsidR="005069B2" w:rsidRPr="00650EE4" w:rsidRDefault="005069B2" w:rsidP="005069B2">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nustatyti tikslai ir siektini rodikliai turi būti tinkamai integruoti tiek į nacionalinio lygmens strateginius dokumentus (vertikali integracija aukštyn) tiek į institucijų atsakingų už IRS įgyvendinimą (vertikali integracija žemyn) ir susijusių sektorių (horizontali integracija) strateginius ir operatyvinius dokumentus. </w:t>
      </w:r>
    </w:p>
    <w:p w14:paraId="258C6C7E" w14:textId="77777777" w:rsidR="005069B2" w:rsidRPr="00650EE4" w:rsidRDefault="005069B2" w:rsidP="005069B2">
      <w:pPr>
        <w:spacing w:line="240" w:lineRule="auto"/>
        <w:jc w:val="both"/>
        <w:rPr>
          <w:rFonts w:ascii="Times New Roman" w:hAnsi="Times New Roman"/>
          <w:color w:val="000000" w:themeColor="text1"/>
          <w:szCs w:val="22"/>
        </w:rPr>
      </w:pPr>
    </w:p>
    <w:p w14:paraId="7487D50E" w14:textId="4F5B9D46" w:rsidR="00C352AB" w:rsidRPr="00650EE4" w:rsidRDefault="005069B2" w:rsidP="009F3915">
      <w:pPr>
        <w:pStyle w:val="BodyText"/>
        <w:jc w:val="both"/>
        <w:rPr>
          <w:rFonts w:ascii="Times New Roman" w:hAnsi="Times New Roman"/>
          <w:szCs w:val="22"/>
          <w:lang w:val="lt-LT"/>
        </w:rPr>
      </w:pPr>
      <w:r w:rsidRPr="00650EE4">
        <w:rPr>
          <w:rFonts w:ascii="Times New Roman" w:hAnsi="Times New Roman"/>
          <w:szCs w:val="22"/>
          <w:lang w:val="lt-LT"/>
        </w:rPr>
        <w:t>Du svarbiausi valstybinės reikšmės strateginiai dokumentai: NECP ir Nacionalinė pažangos programa. Remiantis ES direktyvomis, i</w:t>
      </w:r>
      <w:r w:rsidR="00CC6880" w:rsidRPr="00650EE4">
        <w:rPr>
          <w:rFonts w:ascii="Times New Roman" w:hAnsi="Times New Roman"/>
          <w:szCs w:val="22"/>
          <w:lang w:val="lt-LT"/>
        </w:rPr>
        <w:t>lgalaikė renovacijos strategija yra NECP dalis</w:t>
      </w:r>
      <w:r w:rsidRPr="00650EE4">
        <w:rPr>
          <w:rFonts w:ascii="Times New Roman" w:hAnsi="Times New Roman"/>
          <w:szCs w:val="22"/>
          <w:lang w:val="lt-LT"/>
        </w:rPr>
        <w:t>. NECP savo ruožtu yra pagrindinis dokumentas, deklaruojantis Lietuvos tikslus energinio efektyvumo ir AEI srityse. K</w:t>
      </w:r>
      <w:r w:rsidR="00CC6880" w:rsidRPr="00650EE4">
        <w:rPr>
          <w:rFonts w:ascii="Times New Roman" w:hAnsi="Times New Roman"/>
          <w:szCs w:val="22"/>
          <w:lang w:val="lt-LT"/>
        </w:rPr>
        <w:t>adangi NECP patvirtintas anksčiau</w:t>
      </w:r>
      <w:r w:rsidRPr="00650EE4">
        <w:rPr>
          <w:rFonts w:ascii="Times New Roman" w:hAnsi="Times New Roman"/>
          <w:szCs w:val="22"/>
          <w:lang w:val="lt-LT"/>
        </w:rPr>
        <w:t xml:space="preserve"> ir jo planuojamas laikotarpis yra trumpesnis (iki 2030 m.)</w:t>
      </w:r>
      <w:r w:rsidR="00CC6880" w:rsidRPr="00650EE4">
        <w:rPr>
          <w:rFonts w:ascii="Times New Roman" w:hAnsi="Times New Roman"/>
          <w:szCs w:val="22"/>
          <w:lang w:val="lt-LT"/>
        </w:rPr>
        <w:t xml:space="preserve">, jame neatsispindi ambicingesni IRS tikslai. </w:t>
      </w:r>
      <w:r w:rsidRPr="00650EE4">
        <w:rPr>
          <w:rFonts w:ascii="Times New Roman" w:hAnsi="Times New Roman"/>
          <w:szCs w:val="22"/>
          <w:lang w:val="lt-LT"/>
        </w:rPr>
        <w:t>Nacionalin</w:t>
      </w:r>
      <w:r w:rsidR="00DA440D" w:rsidRPr="00650EE4">
        <w:rPr>
          <w:rFonts w:ascii="Times New Roman" w:hAnsi="Times New Roman"/>
          <w:szCs w:val="22"/>
          <w:lang w:val="lt-LT"/>
        </w:rPr>
        <w:t>is</w:t>
      </w:r>
      <w:r w:rsidRPr="00650EE4">
        <w:rPr>
          <w:rFonts w:ascii="Times New Roman" w:hAnsi="Times New Roman"/>
          <w:szCs w:val="22"/>
          <w:lang w:val="lt-LT"/>
        </w:rPr>
        <w:t xml:space="preserve"> pažangos </w:t>
      </w:r>
      <w:r w:rsidR="00DA440D" w:rsidRPr="00650EE4">
        <w:rPr>
          <w:rFonts w:ascii="Times New Roman" w:hAnsi="Times New Roman"/>
          <w:szCs w:val="22"/>
          <w:lang w:val="lt-LT"/>
        </w:rPr>
        <w:t>planas</w:t>
      </w:r>
      <w:r w:rsidRPr="00650EE4">
        <w:rPr>
          <w:rFonts w:ascii="Times New Roman" w:hAnsi="Times New Roman"/>
          <w:szCs w:val="22"/>
          <w:lang w:val="lt-LT"/>
        </w:rPr>
        <w:t xml:space="preserve"> – pagrindinis valstybinis strateginis dokumentas</w:t>
      </w:r>
      <w:r w:rsidR="00DA440D" w:rsidRPr="00650EE4">
        <w:rPr>
          <w:rFonts w:ascii="Times New Roman" w:hAnsi="Times New Roman"/>
          <w:szCs w:val="22"/>
          <w:lang w:val="lt-LT"/>
        </w:rPr>
        <w:t>, integruojantis skirtingų sričių tikslus ir siektinus rodiklius.</w:t>
      </w:r>
    </w:p>
    <w:p w14:paraId="4CCA67B1" w14:textId="77777777" w:rsidR="00CC6880" w:rsidRPr="00650EE4" w:rsidRDefault="00CC6880" w:rsidP="009E5804">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6880" w:rsidRPr="00650EE4" w14:paraId="55EC5760" w14:textId="77777777" w:rsidTr="00492041">
        <w:trPr>
          <w:trHeight w:val="108"/>
        </w:trPr>
        <w:tc>
          <w:tcPr>
            <w:tcW w:w="3114" w:type="dxa"/>
          </w:tcPr>
          <w:p w14:paraId="0BF8D290"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33C9350" w14:textId="0CF23810"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B1.  Nepakankamas </w:t>
            </w:r>
            <w:proofErr w:type="spellStart"/>
            <w:r w:rsidRPr="00650EE4">
              <w:rPr>
                <w:rFonts w:ascii="Times New Roman" w:hAnsi="Times New Roman"/>
                <w:szCs w:val="22"/>
                <w:lang w:eastAsia="lt-LT"/>
              </w:rPr>
              <w:t>tarpinstitucinis</w:t>
            </w:r>
            <w:proofErr w:type="spellEnd"/>
            <w:r w:rsidRPr="00650EE4">
              <w:rPr>
                <w:rFonts w:ascii="Times New Roman" w:hAnsi="Times New Roman"/>
                <w:szCs w:val="22"/>
                <w:lang w:eastAsia="lt-LT"/>
              </w:rPr>
              <w:t xml:space="preserve"> veiksmų koordinavimas</w:t>
            </w:r>
          </w:p>
        </w:tc>
      </w:tr>
      <w:tr w:rsidR="00CC6880" w:rsidRPr="00650EE4" w14:paraId="4EE66E0D" w14:textId="77777777" w:rsidTr="00492041">
        <w:trPr>
          <w:trHeight w:val="71"/>
        </w:trPr>
        <w:tc>
          <w:tcPr>
            <w:tcW w:w="3114" w:type="dxa"/>
          </w:tcPr>
          <w:p w14:paraId="66E0EC9E"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DE25512"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 xml:space="preserve">Susijusių teisės aktų atnaujinimas </w:t>
            </w:r>
          </w:p>
        </w:tc>
      </w:tr>
      <w:tr w:rsidR="00CC6880" w:rsidRPr="00650EE4" w14:paraId="36C2F878" w14:textId="77777777" w:rsidTr="00492041">
        <w:trPr>
          <w:trHeight w:val="61"/>
        </w:trPr>
        <w:tc>
          <w:tcPr>
            <w:tcW w:w="3114" w:type="dxa"/>
          </w:tcPr>
          <w:p w14:paraId="7918D2BE"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859C40D"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6880" w:rsidRPr="00650EE4" w14:paraId="12EAE898" w14:textId="77777777" w:rsidTr="00492041">
        <w:trPr>
          <w:trHeight w:val="61"/>
        </w:trPr>
        <w:tc>
          <w:tcPr>
            <w:tcW w:w="3114" w:type="dxa"/>
          </w:tcPr>
          <w:p w14:paraId="70C2F3F3" w14:textId="77777777" w:rsidR="00CC6880" w:rsidRPr="00650EE4" w:rsidRDefault="00CC688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215A1C0" w14:textId="77777777" w:rsidR="00CC6880" w:rsidRPr="00650EE4" w:rsidRDefault="00CC6880" w:rsidP="00492041">
            <w:pPr>
              <w:spacing w:after="60"/>
              <w:rPr>
                <w:rFonts w:ascii="Times New Roman" w:hAnsi="Times New Roman"/>
                <w:szCs w:val="22"/>
                <w:lang w:eastAsia="lt-LT"/>
              </w:rPr>
            </w:pPr>
            <w:r w:rsidRPr="00650EE4">
              <w:rPr>
                <w:rFonts w:ascii="Times New Roman" w:hAnsi="Times New Roman"/>
                <w:szCs w:val="22"/>
                <w:lang w:eastAsia="lt-LT"/>
              </w:rPr>
              <w:t>Trumpas laikotarpis</w:t>
            </w:r>
          </w:p>
        </w:tc>
      </w:tr>
    </w:tbl>
    <w:p w14:paraId="58E9B848" w14:textId="77777777" w:rsidR="00CC6880" w:rsidRPr="00650EE4" w:rsidRDefault="00CC6880" w:rsidP="00CC6880">
      <w:pPr>
        <w:spacing w:after="120"/>
        <w:rPr>
          <w:rFonts w:ascii="Times New Roman" w:hAnsi="Times New Roman"/>
          <w:color w:val="000000" w:themeColor="text1"/>
          <w:szCs w:val="22"/>
        </w:rPr>
      </w:pPr>
    </w:p>
    <w:p w14:paraId="451ED39F" w14:textId="5B414E3D" w:rsidR="00125EA0" w:rsidRPr="00650EE4" w:rsidRDefault="00125EA0" w:rsidP="00BC7B57">
      <w:pPr>
        <w:spacing w:after="120"/>
        <w:jc w:val="both"/>
        <w:rPr>
          <w:rFonts w:ascii="Times New Roman" w:hAnsi="Times New Roman"/>
          <w:b/>
          <w:bCs/>
          <w:szCs w:val="24"/>
        </w:rPr>
      </w:pPr>
      <w:r w:rsidRPr="00650EE4">
        <w:rPr>
          <w:rFonts w:ascii="Times New Roman" w:hAnsi="Times New Roman"/>
          <w:b/>
          <w:bCs/>
          <w:szCs w:val="24"/>
        </w:rPr>
        <w:t xml:space="preserve">P4. </w:t>
      </w:r>
      <w:r w:rsidR="00E81B83" w:rsidRPr="00650EE4">
        <w:rPr>
          <w:rFonts w:ascii="Times New Roman" w:hAnsi="Times New Roman"/>
          <w:b/>
          <w:bCs/>
          <w:szCs w:val="24"/>
        </w:rPr>
        <w:t>Svarbesnis</w:t>
      </w:r>
      <w:r w:rsidR="00BC7B57" w:rsidRPr="00650EE4">
        <w:rPr>
          <w:rFonts w:ascii="Times New Roman" w:hAnsi="Times New Roman"/>
          <w:b/>
          <w:bCs/>
          <w:szCs w:val="24"/>
        </w:rPr>
        <w:t xml:space="preserve"> savivaldos lygmens vaidmuo</w:t>
      </w:r>
    </w:p>
    <w:p w14:paraId="215533A6" w14:textId="2E5CF898" w:rsidR="00BC7B57" w:rsidRPr="00650EE4" w:rsidRDefault="00BC7B57" w:rsidP="00BC7B57">
      <w:pPr>
        <w:spacing w:before="60" w:after="120"/>
        <w:jc w:val="both"/>
        <w:rPr>
          <w:rFonts w:ascii="Times New Roman" w:hAnsi="Times New Roman"/>
          <w:szCs w:val="22"/>
        </w:rPr>
      </w:pPr>
      <w:r w:rsidRPr="00650EE4">
        <w:rPr>
          <w:rFonts w:ascii="Times New Roman" w:hAnsi="Times New Roman"/>
          <w:color w:val="000000" w:themeColor="text1"/>
          <w:szCs w:val="22"/>
        </w:rPr>
        <w:t xml:space="preserve">Skirtingi pastatų fondo segmentai turi skirtingus poreikius, reikalaujančius skirtingų renovacijos priemonių padedančių tą naudą realizuoti. </w:t>
      </w:r>
      <w:r w:rsidR="00426C06">
        <w:rPr>
          <w:rFonts w:ascii="Times New Roman" w:hAnsi="Times New Roman"/>
          <w:szCs w:val="22"/>
        </w:rPr>
        <w:t>T</w:t>
      </w:r>
      <w:r w:rsidRPr="00650EE4">
        <w:rPr>
          <w:rFonts w:ascii="Times New Roman" w:hAnsi="Times New Roman"/>
          <w:szCs w:val="22"/>
        </w:rPr>
        <w:t xml:space="preserve">am, kad tie poreikiai būtų </w:t>
      </w:r>
      <w:proofErr w:type="spellStart"/>
      <w:r w:rsidRPr="00650EE4">
        <w:rPr>
          <w:rFonts w:ascii="Times New Roman" w:hAnsi="Times New Roman"/>
          <w:szCs w:val="22"/>
        </w:rPr>
        <w:t>sistemiškai</w:t>
      </w:r>
      <w:proofErr w:type="spellEnd"/>
      <w:r w:rsidRPr="00650EE4">
        <w:rPr>
          <w:rFonts w:ascii="Times New Roman" w:hAnsi="Times New Roman"/>
          <w:szCs w:val="22"/>
        </w:rPr>
        <w:t xml:space="preserve"> išgirsti ir įgyvendinti, reikalingas aktyvesnis savivaldos lygmens įsitraukimas (t.y. arčiausiai vartotojo esantis, geriausiai vartotoją pažįstantis valdymo lygmuo). Be to, </w:t>
      </w:r>
      <w:r w:rsidRPr="00650EE4">
        <w:rPr>
          <w:rFonts w:ascii="Times New Roman" w:hAnsi="Times New Roman"/>
          <w:color w:val="000000" w:themeColor="text1"/>
          <w:szCs w:val="22"/>
        </w:rPr>
        <w:t xml:space="preserve">daugiabučių renovacijos programos patirtis </w:t>
      </w:r>
      <w:r w:rsidRPr="00650EE4">
        <w:rPr>
          <w:rFonts w:ascii="Times New Roman" w:hAnsi="Times New Roman"/>
          <w:szCs w:val="22"/>
        </w:rPr>
        <w:t>iliustruoja, kad būtent savivaldos gebėjimai ir motyvacija yra kritiniai renovacijos sėkmės faktoriai arba atvirkščiai - barjerai.</w:t>
      </w:r>
    </w:p>
    <w:p w14:paraId="35163662" w14:textId="28757717" w:rsidR="007F53A0" w:rsidRPr="00650EE4" w:rsidRDefault="007F53A0" w:rsidP="007F53A0">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Tam, kad įgalinti aktyvesnį savivaldos įsitraukimą, reikalingas savivaldos vaidmens ir atsakomybių modelio formalizavimas, pasirenkant įpareigojimo (pvz., numatant naujus įpareigojimus L</w:t>
      </w:r>
      <w:r w:rsidR="00426C06">
        <w:rPr>
          <w:rFonts w:ascii="Times New Roman" w:hAnsi="Times New Roman"/>
          <w:color w:val="000000" w:themeColor="text1"/>
          <w:szCs w:val="22"/>
        </w:rPr>
        <w:t xml:space="preserve">ietuvos </w:t>
      </w:r>
      <w:r w:rsidRPr="00650EE4">
        <w:rPr>
          <w:rFonts w:ascii="Times New Roman" w:hAnsi="Times New Roman"/>
          <w:color w:val="000000" w:themeColor="text1"/>
          <w:szCs w:val="22"/>
        </w:rPr>
        <w:t>R</w:t>
      </w:r>
      <w:r w:rsidR="00426C06">
        <w:rPr>
          <w:rFonts w:ascii="Times New Roman" w:hAnsi="Times New Roman"/>
          <w:color w:val="000000" w:themeColor="text1"/>
          <w:szCs w:val="22"/>
        </w:rPr>
        <w:t>espublikos</w:t>
      </w:r>
      <w:r w:rsidRPr="00650EE4">
        <w:rPr>
          <w:rFonts w:ascii="Times New Roman" w:hAnsi="Times New Roman"/>
          <w:color w:val="000000" w:themeColor="text1"/>
          <w:szCs w:val="22"/>
        </w:rPr>
        <w:t xml:space="preserve"> savivaldos įstatyme) arba susitarimo formatą (pvz., pasirašant susitarimus su kiekviena savivaldybe), bei nustatant su IRS vykdymu susijusius įpareigojimus pvz. surinkti duomenis apie savivaldybių pastatų fondą (žr. P2  priemonę), parengti savivaldybių IRS įgyvendinimo planus, įgyvendinti vieno langelio principą (žr. P18 priemonę) ir kt. </w:t>
      </w:r>
      <w:r w:rsidR="00747A06" w:rsidRPr="00650EE4">
        <w:rPr>
          <w:rFonts w:ascii="Times New Roman" w:hAnsi="Times New Roman"/>
          <w:color w:val="000000" w:themeColor="text1"/>
          <w:szCs w:val="22"/>
        </w:rPr>
        <w:t>Kartu su atsakomybėmis turėtų būti numatomas ir modelio finansavimo mechanizmas.</w:t>
      </w:r>
    </w:p>
    <w:p w14:paraId="58D0FB47" w14:textId="0FFC7AE5" w:rsidR="00E37ED8" w:rsidRPr="00650EE4" w:rsidRDefault="00E37ED8" w:rsidP="00E37ED8">
      <w:pPr>
        <w:pStyle w:val="BodyText"/>
        <w:jc w:val="both"/>
        <w:rPr>
          <w:rFonts w:ascii="Times New Roman" w:hAnsi="Times New Roman"/>
          <w:szCs w:val="22"/>
          <w:lang w:val="lt-LT"/>
        </w:rPr>
      </w:pPr>
      <w:r w:rsidRPr="00650EE4">
        <w:rPr>
          <w:rFonts w:ascii="Times New Roman" w:hAnsi="Times New Roman"/>
          <w:color w:val="000000" w:themeColor="text1"/>
          <w:szCs w:val="22"/>
          <w:lang w:val="lt-LT"/>
        </w:rPr>
        <w:lastRenderedPageBreak/>
        <w:t>Kaip pavyzdinis mechanizavimas galėtų būti naudojamas AEI tikslų nustatymo modelis</w:t>
      </w:r>
      <w:r w:rsidRPr="00650EE4">
        <w:rPr>
          <w:rFonts w:ascii="Times New Roman" w:hAnsi="Times New Roman"/>
          <w:color w:val="000000" w:themeColor="text1"/>
          <w:vertAlign w:val="superscript"/>
          <w:lang w:val="lt-LT"/>
        </w:rPr>
        <w:footnoteReference w:id="54"/>
      </w:r>
      <w:r w:rsidRPr="00650EE4">
        <w:rPr>
          <w:rFonts w:ascii="Times New Roman" w:hAnsi="Times New Roman"/>
          <w:color w:val="000000" w:themeColor="text1"/>
          <w:szCs w:val="22"/>
          <w:lang w:val="lt-LT"/>
        </w:rPr>
        <w:t>: L</w:t>
      </w:r>
      <w:r w:rsidR="00426C06">
        <w:rPr>
          <w:rFonts w:ascii="Times New Roman" w:hAnsi="Times New Roman"/>
          <w:color w:val="000000" w:themeColor="text1"/>
          <w:szCs w:val="22"/>
          <w:lang w:val="lt-LT"/>
        </w:rPr>
        <w:t xml:space="preserve">ietuvos </w:t>
      </w:r>
      <w:r w:rsidRPr="00650EE4">
        <w:rPr>
          <w:rFonts w:ascii="Times New Roman" w:hAnsi="Times New Roman"/>
          <w:color w:val="000000" w:themeColor="text1"/>
          <w:szCs w:val="22"/>
          <w:lang w:val="lt-LT"/>
        </w:rPr>
        <w:t>R</w:t>
      </w:r>
      <w:r w:rsidR="00426C06">
        <w:rPr>
          <w:rFonts w:ascii="Times New Roman" w:hAnsi="Times New Roman"/>
          <w:color w:val="000000" w:themeColor="text1"/>
          <w:szCs w:val="22"/>
          <w:lang w:val="lt-LT"/>
        </w:rPr>
        <w:t>espublikos</w:t>
      </w:r>
      <w:r w:rsidRPr="00650EE4">
        <w:rPr>
          <w:rFonts w:ascii="Times New Roman" w:hAnsi="Times New Roman"/>
          <w:color w:val="000000" w:themeColor="text1"/>
          <w:szCs w:val="22"/>
          <w:lang w:val="lt-LT"/>
        </w:rPr>
        <w:t xml:space="preserve"> atsinaujinančių išteklių energetikos įstatyme numatyta, kad L</w:t>
      </w:r>
      <w:r w:rsidR="00426C06">
        <w:rPr>
          <w:rFonts w:ascii="Times New Roman" w:hAnsi="Times New Roman"/>
          <w:color w:val="000000" w:themeColor="text1"/>
          <w:szCs w:val="22"/>
          <w:lang w:val="lt-LT"/>
        </w:rPr>
        <w:t xml:space="preserve">ietuvos </w:t>
      </w:r>
      <w:r w:rsidRPr="00650EE4">
        <w:rPr>
          <w:rFonts w:ascii="Times New Roman" w:hAnsi="Times New Roman"/>
          <w:color w:val="000000" w:themeColor="text1"/>
          <w:szCs w:val="22"/>
          <w:lang w:val="lt-LT"/>
        </w:rPr>
        <w:t>R</w:t>
      </w:r>
      <w:r w:rsidR="00426C06">
        <w:rPr>
          <w:rFonts w:ascii="Times New Roman" w:hAnsi="Times New Roman"/>
          <w:color w:val="000000" w:themeColor="text1"/>
          <w:szCs w:val="22"/>
          <w:lang w:val="lt-LT"/>
        </w:rPr>
        <w:t xml:space="preserve">espublikos </w:t>
      </w:r>
      <w:r w:rsidRPr="00650EE4">
        <w:rPr>
          <w:rFonts w:ascii="Times New Roman" w:hAnsi="Times New Roman"/>
          <w:color w:val="000000" w:themeColor="text1"/>
          <w:szCs w:val="22"/>
          <w:lang w:val="lt-LT"/>
        </w:rPr>
        <w:t>V</w:t>
      </w:r>
      <w:r w:rsidR="00426C06">
        <w:rPr>
          <w:rFonts w:ascii="Times New Roman" w:hAnsi="Times New Roman"/>
          <w:color w:val="000000" w:themeColor="text1"/>
          <w:szCs w:val="22"/>
          <w:lang w:val="lt-LT"/>
        </w:rPr>
        <w:t>yriausybė</w:t>
      </w:r>
      <w:r w:rsidRPr="00650EE4">
        <w:rPr>
          <w:rFonts w:ascii="Times New Roman" w:hAnsi="Times New Roman"/>
          <w:color w:val="000000" w:themeColor="text1"/>
          <w:szCs w:val="22"/>
          <w:lang w:val="lt-LT"/>
        </w:rPr>
        <w:t xml:space="preserve"> nustato savivaldybėms minimalius privalomus pasiekti atsinaujinančių išteklių energijos naudojimo planinius rodiklius ir derina savivaldybių AEI naudojimo plėtros veiksmų planų projektus. Atitinkamai turėtų būti suderinti ir</w:t>
      </w:r>
      <w:r w:rsidR="00426C06">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w:t>
      </w:r>
      <w:r w:rsidR="00426C06">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arba integruoti savivaldybių žemesnio lygio planavimo dokumentai: savivaldybių AEI</w:t>
      </w:r>
      <w:r w:rsidRPr="00650EE4">
        <w:rPr>
          <w:rFonts w:ascii="Times New Roman" w:hAnsi="Times New Roman"/>
          <w:szCs w:val="22"/>
          <w:lang w:val="lt-LT"/>
        </w:rPr>
        <w:t xml:space="preserve"> naudojimo plėtros veiksmų planai, savivaldybių šilumos ūkio specialieji planai ir kt.</w:t>
      </w:r>
    </w:p>
    <w:p w14:paraId="017DFFF0" w14:textId="77777777" w:rsidR="005E67FE" w:rsidRPr="00650EE4" w:rsidRDefault="005E67FE" w:rsidP="005E67FE">
      <w:pPr>
        <w:pStyle w:val="BodyText"/>
        <w:rPr>
          <w:rFonts w:ascii="Times New Roman" w:hAnsi="Times New Roman"/>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125EA0" w:rsidRPr="00650EE4" w14:paraId="2A3EFC72" w14:textId="77777777" w:rsidTr="006A60B7">
        <w:trPr>
          <w:trHeight w:val="61"/>
        </w:trPr>
        <w:tc>
          <w:tcPr>
            <w:tcW w:w="3114" w:type="dxa"/>
          </w:tcPr>
          <w:p w14:paraId="6A280A14"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EB38638" w14:textId="77777777" w:rsidR="00860E93" w:rsidRPr="00650EE4" w:rsidRDefault="00860E93" w:rsidP="00860E93">
            <w:pPr>
              <w:spacing w:after="60"/>
              <w:rPr>
                <w:rFonts w:ascii="Times New Roman" w:hAnsi="Times New Roman"/>
                <w:szCs w:val="22"/>
                <w:lang w:eastAsia="lt-LT"/>
              </w:rPr>
            </w:pPr>
            <w:r w:rsidRPr="00650EE4">
              <w:rPr>
                <w:rFonts w:ascii="Times New Roman" w:hAnsi="Times New Roman"/>
                <w:szCs w:val="22"/>
                <w:lang w:eastAsia="lt-LT"/>
              </w:rPr>
              <w:t>B2. Nepatikima (asimetrinė) informacija</w:t>
            </w:r>
          </w:p>
          <w:p w14:paraId="1D178466" w14:textId="627498C9" w:rsidR="00125EA0" w:rsidRPr="00650EE4" w:rsidRDefault="00860E93" w:rsidP="00E81B83">
            <w:pPr>
              <w:spacing w:after="60"/>
              <w:rPr>
                <w:rFonts w:ascii="Times New Roman" w:hAnsi="Times New Roman"/>
                <w:szCs w:val="22"/>
                <w:lang w:eastAsia="lt-LT"/>
              </w:rPr>
            </w:pPr>
            <w:r w:rsidRPr="00650EE4">
              <w:rPr>
                <w:rFonts w:ascii="Times New Roman" w:hAnsi="Times New Roman"/>
                <w:szCs w:val="22"/>
                <w:lang w:eastAsia="lt-LT"/>
              </w:rPr>
              <w:t>B3. Nepakankamas savivaldos įtraukimas</w:t>
            </w:r>
          </w:p>
        </w:tc>
      </w:tr>
      <w:tr w:rsidR="00125EA0" w:rsidRPr="00650EE4" w14:paraId="01CFFE80" w14:textId="77777777" w:rsidTr="006A60B7">
        <w:trPr>
          <w:trHeight w:val="146"/>
        </w:trPr>
        <w:tc>
          <w:tcPr>
            <w:tcW w:w="3114" w:type="dxa"/>
          </w:tcPr>
          <w:p w14:paraId="4D676E84"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4079446" w14:textId="661AF19D" w:rsidR="00125EA0" w:rsidRPr="00650EE4" w:rsidRDefault="00125EA0" w:rsidP="00E81B83">
            <w:pPr>
              <w:spacing w:after="60"/>
              <w:rPr>
                <w:rFonts w:ascii="Times New Roman" w:hAnsi="Times New Roman"/>
                <w:szCs w:val="22"/>
                <w:lang w:eastAsia="lt-LT"/>
              </w:rPr>
            </w:pPr>
            <w:r w:rsidRPr="00650EE4">
              <w:rPr>
                <w:rFonts w:ascii="Times New Roman" w:hAnsi="Times New Roman"/>
                <w:szCs w:val="22"/>
                <w:lang w:eastAsia="lt-LT"/>
              </w:rPr>
              <w:t xml:space="preserve">IRS tikslų </w:t>
            </w:r>
            <w:r w:rsidR="00E81B83" w:rsidRPr="00650EE4">
              <w:rPr>
                <w:rFonts w:ascii="Times New Roman" w:hAnsi="Times New Roman"/>
                <w:szCs w:val="22"/>
                <w:lang w:eastAsia="lt-LT"/>
              </w:rPr>
              <w:t>integravimas į savivaldos planavimo dokumentus</w:t>
            </w:r>
          </w:p>
        </w:tc>
      </w:tr>
      <w:tr w:rsidR="00125EA0" w:rsidRPr="00650EE4" w14:paraId="37F27517" w14:textId="77777777" w:rsidTr="006A60B7">
        <w:trPr>
          <w:trHeight w:val="61"/>
        </w:trPr>
        <w:tc>
          <w:tcPr>
            <w:tcW w:w="3114" w:type="dxa"/>
          </w:tcPr>
          <w:p w14:paraId="23632967"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E38110A" w14:textId="77777777" w:rsidR="00125EA0" w:rsidRPr="00650EE4" w:rsidRDefault="00125EA0"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125EA0" w:rsidRPr="00650EE4" w14:paraId="6B8AB4FF" w14:textId="77777777" w:rsidTr="006A60B7">
        <w:trPr>
          <w:trHeight w:val="71"/>
        </w:trPr>
        <w:tc>
          <w:tcPr>
            <w:tcW w:w="3114" w:type="dxa"/>
          </w:tcPr>
          <w:p w14:paraId="6B82BFA1" w14:textId="77777777" w:rsidR="00125EA0" w:rsidRPr="00650EE4" w:rsidRDefault="00125EA0"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11FE803F" w14:textId="77777777" w:rsidR="00125EA0" w:rsidRPr="00650EE4" w:rsidRDefault="00125EA0"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64034DAD" w14:textId="77777777" w:rsidR="00426C06" w:rsidRDefault="00426C06" w:rsidP="00083A7E">
      <w:pPr>
        <w:spacing w:after="120"/>
        <w:jc w:val="both"/>
        <w:rPr>
          <w:rFonts w:ascii="Times New Roman" w:hAnsi="Times New Roman"/>
          <w:b/>
          <w:bCs/>
          <w:szCs w:val="24"/>
        </w:rPr>
      </w:pPr>
    </w:p>
    <w:p w14:paraId="1CB87411" w14:textId="4095CD06" w:rsidR="006B7871" w:rsidRPr="00650EE4" w:rsidRDefault="006B7871" w:rsidP="00083A7E">
      <w:pPr>
        <w:spacing w:after="120"/>
        <w:jc w:val="both"/>
        <w:rPr>
          <w:rFonts w:ascii="Times New Roman" w:hAnsi="Times New Roman"/>
          <w:b/>
          <w:bCs/>
          <w:szCs w:val="24"/>
        </w:rPr>
      </w:pPr>
      <w:r w:rsidRPr="00650EE4">
        <w:rPr>
          <w:rFonts w:ascii="Times New Roman" w:hAnsi="Times New Roman"/>
          <w:b/>
          <w:bCs/>
          <w:szCs w:val="24"/>
        </w:rPr>
        <w:t>P</w:t>
      </w:r>
      <w:r w:rsidR="00F55910" w:rsidRPr="00650EE4">
        <w:rPr>
          <w:rFonts w:ascii="Times New Roman" w:hAnsi="Times New Roman"/>
          <w:b/>
          <w:bCs/>
          <w:szCs w:val="24"/>
        </w:rPr>
        <w:t>5</w:t>
      </w:r>
      <w:r w:rsidRPr="00650EE4">
        <w:rPr>
          <w:rFonts w:ascii="Times New Roman" w:hAnsi="Times New Roman"/>
          <w:b/>
          <w:bCs/>
          <w:szCs w:val="24"/>
        </w:rPr>
        <w:t xml:space="preserve">. </w:t>
      </w:r>
      <w:proofErr w:type="spellStart"/>
      <w:r w:rsidRPr="00650EE4">
        <w:rPr>
          <w:rFonts w:ascii="Times New Roman" w:hAnsi="Times New Roman"/>
          <w:b/>
          <w:bCs/>
          <w:szCs w:val="24"/>
        </w:rPr>
        <w:t>Stebėsenos</w:t>
      </w:r>
      <w:proofErr w:type="spellEnd"/>
      <w:r w:rsidRPr="00650EE4">
        <w:rPr>
          <w:rFonts w:ascii="Times New Roman" w:hAnsi="Times New Roman"/>
          <w:b/>
          <w:bCs/>
          <w:szCs w:val="24"/>
        </w:rPr>
        <w:t xml:space="preserve"> (monitoringo) sistem</w:t>
      </w:r>
      <w:r w:rsidR="00ED4A0D" w:rsidRPr="00650EE4">
        <w:rPr>
          <w:rFonts w:ascii="Times New Roman" w:hAnsi="Times New Roman"/>
          <w:b/>
          <w:bCs/>
          <w:szCs w:val="24"/>
        </w:rPr>
        <w:t>a</w:t>
      </w:r>
    </w:p>
    <w:p w14:paraId="615453FC" w14:textId="546CE683" w:rsidR="006B7871" w:rsidRPr="00650EE4" w:rsidRDefault="00205C40" w:rsidP="00C93E1F">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yra ilgalaikio planavimo dokumentas, kuris </w:t>
      </w:r>
      <w:r w:rsidR="004F21B8" w:rsidRPr="00650EE4">
        <w:rPr>
          <w:rFonts w:ascii="Times New Roman" w:hAnsi="Times New Roman"/>
          <w:color w:val="000000" w:themeColor="text1"/>
          <w:szCs w:val="22"/>
        </w:rPr>
        <w:t>bus periodiškai atnaujinimas,</w:t>
      </w:r>
      <w:r w:rsidRPr="00650EE4">
        <w:rPr>
          <w:rFonts w:ascii="Times New Roman" w:hAnsi="Times New Roman"/>
          <w:color w:val="000000" w:themeColor="text1"/>
          <w:szCs w:val="22"/>
        </w:rPr>
        <w:t xml:space="preserve"> atsižvelgiant į pasiektus rezultatus</w:t>
      </w:r>
      <w:r w:rsidR="00D77B8B" w:rsidRPr="00650EE4">
        <w:rPr>
          <w:rFonts w:ascii="Times New Roman" w:hAnsi="Times New Roman"/>
          <w:color w:val="000000" w:themeColor="text1"/>
          <w:szCs w:val="22"/>
        </w:rPr>
        <w:t>, išmoktas pamokas, naujas</w:t>
      </w:r>
      <w:r w:rsidR="004F21B8" w:rsidRPr="00650EE4">
        <w:rPr>
          <w:rFonts w:ascii="Times New Roman" w:hAnsi="Times New Roman"/>
          <w:color w:val="000000" w:themeColor="text1"/>
          <w:szCs w:val="22"/>
        </w:rPr>
        <w:t xml:space="preserve"> statybų</w:t>
      </w:r>
      <w:r w:rsidR="00D77B8B" w:rsidRPr="00650EE4">
        <w:rPr>
          <w:rFonts w:ascii="Times New Roman" w:hAnsi="Times New Roman"/>
          <w:color w:val="000000" w:themeColor="text1"/>
          <w:szCs w:val="22"/>
        </w:rPr>
        <w:t xml:space="preserve"> technologijas ir sprendimus, ES masto iniciatyvas, kintančią šalies ekonominę, socialinę ir pan. situaciją ir kitus </w:t>
      </w:r>
      <w:r w:rsidR="004F21B8" w:rsidRPr="00650EE4">
        <w:rPr>
          <w:rFonts w:ascii="Times New Roman" w:hAnsi="Times New Roman"/>
          <w:color w:val="000000" w:themeColor="text1"/>
          <w:szCs w:val="22"/>
        </w:rPr>
        <w:t xml:space="preserve">vidinės ar išorinės aplinkos </w:t>
      </w:r>
      <w:r w:rsidR="00D77B8B" w:rsidRPr="00650EE4">
        <w:rPr>
          <w:rFonts w:ascii="Times New Roman" w:hAnsi="Times New Roman"/>
          <w:color w:val="000000" w:themeColor="text1"/>
          <w:szCs w:val="22"/>
        </w:rPr>
        <w:t xml:space="preserve">veiksnius. </w:t>
      </w:r>
      <w:r w:rsidR="004F21B8" w:rsidRPr="00650EE4">
        <w:rPr>
          <w:rFonts w:ascii="Times New Roman" w:hAnsi="Times New Roman"/>
          <w:color w:val="000000" w:themeColor="text1"/>
          <w:szCs w:val="22"/>
        </w:rPr>
        <w:t>Taip pat bus reikalingi duomenys IRS pažangos ataskaitoms. Atitinkamai,</w:t>
      </w:r>
      <w:r w:rsidR="007A52B6">
        <w:rPr>
          <w:rFonts w:ascii="Times New Roman" w:hAnsi="Times New Roman"/>
          <w:color w:val="000000" w:themeColor="text1"/>
          <w:szCs w:val="22"/>
        </w:rPr>
        <w:t xml:space="preserve"> be p</w:t>
      </w:r>
      <w:r w:rsidR="00EE0461" w:rsidRPr="00650EE4">
        <w:rPr>
          <w:rFonts w:ascii="Times New Roman" w:hAnsi="Times New Roman"/>
          <w:color w:val="000000" w:themeColor="text1"/>
          <w:szCs w:val="22"/>
        </w:rPr>
        <w:t xml:space="preserve">astatų fondo inventorizacijos ir duomenų bazės sukūrimo (P2 priemonė) atsiranda poreikis ir </w:t>
      </w:r>
      <w:r w:rsidR="004F21B8" w:rsidRPr="00650EE4">
        <w:rPr>
          <w:rFonts w:ascii="Times New Roman" w:hAnsi="Times New Roman"/>
          <w:color w:val="000000" w:themeColor="text1"/>
          <w:szCs w:val="22"/>
        </w:rPr>
        <w:t xml:space="preserve">tuos duomenis pritaikyti IRS </w:t>
      </w:r>
      <w:proofErr w:type="spellStart"/>
      <w:r w:rsidR="00B8506E" w:rsidRPr="00650EE4">
        <w:rPr>
          <w:rFonts w:ascii="Times New Roman" w:hAnsi="Times New Roman"/>
          <w:color w:val="000000" w:themeColor="text1"/>
          <w:szCs w:val="22"/>
        </w:rPr>
        <w:t>stebėsenai</w:t>
      </w:r>
      <w:proofErr w:type="spellEnd"/>
      <w:r w:rsidR="004F21B8" w:rsidRPr="00650EE4">
        <w:rPr>
          <w:rFonts w:ascii="Times New Roman" w:hAnsi="Times New Roman"/>
          <w:color w:val="000000" w:themeColor="text1"/>
          <w:szCs w:val="22"/>
        </w:rPr>
        <w:t xml:space="preserve"> (tiek metodiškai, tiek sukuriant tam reikalingus įrankius). </w:t>
      </w:r>
    </w:p>
    <w:p w14:paraId="162D8A5D" w14:textId="77777777" w:rsidR="006B7871" w:rsidRPr="00650EE4" w:rsidRDefault="006B7871" w:rsidP="00C93E1F">
      <w:pPr>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860E93" w:rsidRPr="00650EE4" w14:paraId="4BBC59ED" w14:textId="77777777" w:rsidTr="00492041">
        <w:trPr>
          <w:trHeight w:val="61"/>
        </w:trPr>
        <w:tc>
          <w:tcPr>
            <w:tcW w:w="3114" w:type="dxa"/>
          </w:tcPr>
          <w:p w14:paraId="054D302D"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7D3DED0F" w14:textId="125B5378"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B3. Nepakankamas savivaldos įtraukimas</w:t>
            </w:r>
          </w:p>
        </w:tc>
      </w:tr>
      <w:tr w:rsidR="00860E93" w:rsidRPr="00650EE4" w14:paraId="13D3C250" w14:textId="77777777" w:rsidTr="00492041">
        <w:trPr>
          <w:trHeight w:val="146"/>
        </w:trPr>
        <w:tc>
          <w:tcPr>
            <w:tcW w:w="3114" w:type="dxa"/>
          </w:tcPr>
          <w:p w14:paraId="13D2AE25"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46F7B24" w14:textId="232B46D1" w:rsidR="00860E93" w:rsidRPr="00650EE4" w:rsidRDefault="004F21B8" w:rsidP="004F21B8">
            <w:pPr>
              <w:spacing w:after="60"/>
              <w:rPr>
                <w:rFonts w:ascii="Times New Roman" w:hAnsi="Times New Roman"/>
                <w:szCs w:val="22"/>
                <w:lang w:eastAsia="lt-LT"/>
              </w:rPr>
            </w:pPr>
            <w:r w:rsidRPr="00650EE4">
              <w:rPr>
                <w:rFonts w:ascii="Times New Roman" w:hAnsi="Times New Roman"/>
                <w:szCs w:val="22"/>
                <w:lang w:eastAsia="lt-LT"/>
              </w:rPr>
              <w:t xml:space="preserve">IRS įgyvendinimo </w:t>
            </w:r>
            <w:proofErr w:type="spellStart"/>
            <w:r w:rsidRPr="00650EE4">
              <w:rPr>
                <w:rFonts w:ascii="Times New Roman" w:hAnsi="Times New Roman"/>
                <w:szCs w:val="22"/>
                <w:lang w:eastAsia="lt-LT"/>
              </w:rPr>
              <w:t>stebėsenos</w:t>
            </w:r>
            <w:proofErr w:type="spellEnd"/>
            <w:r w:rsidRPr="00650EE4">
              <w:rPr>
                <w:rFonts w:ascii="Times New Roman" w:hAnsi="Times New Roman"/>
                <w:szCs w:val="22"/>
                <w:lang w:eastAsia="lt-LT"/>
              </w:rPr>
              <w:t xml:space="preserve"> sistemos (metodikos ir </w:t>
            </w:r>
            <w:r w:rsidR="00B8506E" w:rsidRPr="00650EE4">
              <w:rPr>
                <w:rFonts w:ascii="Times New Roman" w:hAnsi="Times New Roman"/>
                <w:szCs w:val="22"/>
                <w:lang w:eastAsia="lt-LT"/>
              </w:rPr>
              <w:t>įrankių</w:t>
            </w:r>
            <w:r w:rsidRPr="00650EE4">
              <w:rPr>
                <w:rFonts w:ascii="Times New Roman" w:hAnsi="Times New Roman"/>
                <w:szCs w:val="22"/>
                <w:lang w:eastAsia="lt-LT"/>
              </w:rPr>
              <w:t>) sukūrimas</w:t>
            </w:r>
          </w:p>
        </w:tc>
      </w:tr>
      <w:tr w:rsidR="00860E93" w:rsidRPr="00650EE4" w14:paraId="6863232E" w14:textId="77777777" w:rsidTr="00492041">
        <w:trPr>
          <w:trHeight w:val="61"/>
        </w:trPr>
        <w:tc>
          <w:tcPr>
            <w:tcW w:w="3114" w:type="dxa"/>
          </w:tcPr>
          <w:p w14:paraId="3DD22D50"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3211D05" w14:textId="77777777"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860E93" w:rsidRPr="00650EE4" w14:paraId="5ABE5A4D" w14:textId="77777777" w:rsidTr="00492041">
        <w:trPr>
          <w:trHeight w:val="71"/>
        </w:trPr>
        <w:tc>
          <w:tcPr>
            <w:tcW w:w="3114" w:type="dxa"/>
          </w:tcPr>
          <w:p w14:paraId="3E4977CC" w14:textId="77777777" w:rsidR="00860E93" w:rsidRPr="00650EE4" w:rsidRDefault="00860E93"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85B004" w14:textId="77777777" w:rsidR="00860E93" w:rsidRPr="00650EE4" w:rsidRDefault="00860E93" w:rsidP="00492041">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515C69D1" w14:textId="620CA3EC" w:rsidR="006B7871" w:rsidRPr="00650EE4" w:rsidRDefault="006B7871" w:rsidP="00615AB3">
      <w:pPr>
        <w:rPr>
          <w:rFonts w:ascii="Times New Roman" w:hAnsi="Times New Roman"/>
          <w:color w:val="000000" w:themeColor="text1"/>
          <w:szCs w:val="22"/>
        </w:rPr>
      </w:pPr>
    </w:p>
    <w:p w14:paraId="1BD7368C" w14:textId="77777777" w:rsidR="007532F6" w:rsidRPr="00650EE4" w:rsidRDefault="007532F6" w:rsidP="00615AB3">
      <w:pPr>
        <w:rPr>
          <w:rFonts w:ascii="Times New Roman" w:hAnsi="Times New Roman"/>
          <w:color w:val="000000" w:themeColor="text1"/>
          <w:szCs w:val="22"/>
        </w:rPr>
      </w:pPr>
    </w:p>
    <w:p w14:paraId="5D473488" w14:textId="5C18C0E5" w:rsidR="0019233C" w:rsidRPr="00650EE4" w:rsidRDefault="008800F5" w:rsidP="00B82773">
      <w:pPr>
        <w:pStyle w:val="Antrastes31"/>
        <w:numPr>
          <w:ilvl w:val="2"/>
          <w:numId w:val="4"/>
        </w:numPr>
        <w:spacing w:before="0"/>
        <w:ind w:left="720" w:hanging="720"/>
        <w:rPr>
          <w:rFonts w:ascii="Times New Roman" w:hAnsi="Times New Roman"/>
          <w:color w:val="auto"/>
          <w:sz w:val="24"/>
          <w:szCs w:val="24"/>
          <w:lang w:val="lt-LT"/>
        </w:rPr>
      </w:pPr>
      <w:bookmarkStart w:id="212" w:name="_Toc59107574"/>
      <w:r w:rsidRPr="00650EE4">
        <w:rPr>
          <w:rFonts w:ascii="Times New Roman" w:hAnsi="Times New Roman"/>
          <w:color w:val="auto"/>
          <w:sz w:val="24"/>
          <w:szCs w:val="24"/>
          <w:lang w:val="lt-LT"/>
        </w:rPr>
        <w:t>Kompleksinis</w:t>
      </w:r>
      <w:r w:rsidR="00CE1D32" w:rsidRPr="00650EE4">
        <w:rPr>
          <w:rFonts w:ascii="Times New Roman" w:hAnsi="Times New Roman"/>
          <w:color w:val="auto"/>
          <w:sz w:val="24"/>
          <w:szCs w:val="24"/>
          <w:lang w:val="lt-LT"/>
        </w:rPr>
        <w:t xml:space="preserve"> priemonių paketas</w:t>
      </w:r>
      <w:bookmarkEnd w:id="212"/>
    </w:p>
    <w:p w14:paraId="6EAF39FE" w14:textId="4AC8ED5B" w:rsidR="00D542AA" w:rsidRPr="00650EE4" w:rsidRDefault="0097720C" w:rsidP="0097720C">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Tinkamai atlikus planavimo etapą, turi būti suformuotas IRS tikslus atitinkantis ir į vartotoją orientuotas paramos priemonių paketas, maksimizuojantis renovacijos naudas. </w:t>
      </w:r>
      <w:r w:rsidR="006B7C8D" w:rsidRPr="00650EE4">
        <w:rPr>
          <w:rFonts w:ascii="Times New Roman" w:hAnsi="Times New Roman"/>
          <w:color w:val="000000" w:themeColor="text1"/>
          <w:szCs w:val="22"/>
        </w:rPr>
        <w:t>Siekiant optimalaus energetinio efektyvumo pastatuose, t.y. maksimizuoti renovacijos naudas, turėtų būti kompleksiškai sprendžiami du uždaviniai. Pirma turi būti užtikrinamas renovacijos gylis, t.y. kadangi renovacij</w:t>
      </w:r>
      <w:r w:rsidR="00EA2BFB" w:rsidRPr="00650EE4">
        <w:rPr>
          <w:rFonts w:ascii="Times New Roman" w:hAnsi="Times New Roman"/>
          <w:color w:val="000000" w:themeColor="text1"/>
          <w:szCs w:val="22"/>
        </w:rPr>
        <w:t>a</w:t>
      </w:r>
      <w:r w:rsidR="006B7C8D" w:rsidRPr="00650EE4">
        <w:rPr>
          <w:rFonts w:ascii="Times New Roman" w:hAnsi="Times New Roman"/>
          <w:color w:val="000000" w:themeColor="text1"/>
          <w:szCs w:val="22"/>
        </w:rPr>
        <w:t xml:space="preserve"> – ilgalaikis procesas, turėtų būti siekiama, kad pasirinkus atlikti renovaciją, ja būtų pasiekti kiek įmanoma didesni energijos sutaupymai. Antra, užtikrinus renovacijos gylį turėtų būti didinami renovacijos tempai (apimtis) – renovuojamų pastatų skaičius.</w:t>
      </w:r>
      <w:r w:rsidR="00AE07A9" w:rsidRPr="00650EE4">
        <w:rPr>
          <w:rFonts w:ascii="Times New Roman" w:hAnsi="Times New Roman"/>
          <w:color w:val="000000" w:themeColor="text1"/>
          <w:szCs w:val="22"/>
        </w:rPr>
        <w:t xml:space="preserve"> </w:t>
      </w:r>
    </w:p>
    <w:p w14:paraId="32367264" w14:textId="77777777" w:rsidR="006B7C8D" w:rsidRPr="00650EE4" w:rsidRDefault="006B7C8D" w:rsidP="006B7C8D">
      <w:pPr>
        <w:pStyle w:val="Pagrindinispaprastastekstas"/>
        <w:rPr>
          <w:rFonts w:ascii="Times New Roman" w:hAnsi="Times New Roman"/>
          <w:szCs w:val="22"/>
        </w:rPr>
      </w:pPr>
    </w:p>
    <w:p w14:paraId="61319FE6" w14:textId="50BC0440" w:rsidR="006B7C8D" w:rsidRPr="00650EE4" w:rsidRDefault="006B7C8D" w:rsidP="00083A7E">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6</w:t>
      </w:r>
      <w:r w:rsidRPr="00650EE4">
        <w:rPr>
          <w:rFonts w:ascii="Times New Roman" w:hAnsi="Times New Roman"/>
          <w:b/>
          <w:bCs/>
          <w:szCs w:val="24"/>
        </w:rPr>
        <w:t>. Pilna energijos kaina</w:t>
      </w:r>
    </w:p>
    <w:p w14:paraId="7EE3DB7A" w14:textId="3E233DC4" w:rsidR="00776B22" w:rsidRPr="00650EE4" w:rsidRDefault="00776B22" w:rsidP="003C4808">
      <w:pPr>
        <w:jc w:val="both"/>
        <w:rPr>
          <w:rFonts w:ascii="Times New Roman" w:hAnsi="Times New Roman"/>
          <w:szCs w:val="22"/>
        </w:rPr>
      </w:pPr>
      <w:r w:rsidRPr="00650EE4">
        <w:rPr>
          <w:rFonts w:ascii="Times New Roman" w:hAnsi="Times New Roman"/>
          <w:szCs w:val="22"/>
        </w:rPr>
        <w:t xml:space="preserve">Pastatų savininkų motyvacija tiesiogiai siejasi su finansiniu renovacijos atsipirkimu, kuriam didžiausią įtaką daro trys faktoriai: energijos kaina, renovacijos investicijų kaina ir paskolos renovacijai </w:t>
      </w:r>
      <w:r w:rsidR="00083A7E" w:rsidRPr="00650EE4">
        <w:rPr>
          <w:rFonts w:ascii="Times New Roman" w:hAnsi="Times New Roman"/>
          <w:szCs w:val="22"/>
        </w:rPr>
        <w:t xml:space="preserve">aptarnavimo </w:t>
      </w:r>
      <w:r w:rsidRPr="00650EE4">
        <w:rPr>
          <w:rFonts w:ascii="Times New Roman" w:hAnsi="Times New Roman"/>
          <w:szCs w:val="22"/>
        </w:rPr>
        <w:t xml:space="preserve">kaina (palūkanos). </w:t>
      </w:r>
    </w:p>
    <w:p w14:paraId="0B0F7348" w14:textId="77777777" w:rsidR="003C4808" w:rsidRPr="00650EE4" w:rsidRDefault="003C4808" w:rsidP="003C4808">
      <w:pPr>
        <w:jc w:val="both"/>
        <w:rPr>
          <w:rFonts w:ascii="Times New Roman" w:hAnsi="Times New Roman"/>
          <w:szCs w:val="22"/>
        </w:rPr>
      </w:pPr>
    </w:p>
    <w:p w14:paraId="0667C0F9" w14:textId="3FB9A8F3" w:rsidR="00776B22" w:rsidRPr="00650EE4" w:rsidRDefault="00776B22" w:rsidP="00776B22">
      <w:pPr>
        <w:spacing w:after="120"/>
        <w:jc w:val="both"/>
        <w:rPr>
          <w:rFonts w:ascii="Times New Roman" w:hAnsi="Times New Roman"/>
          <w:szCs w:val="22"/>
        </w:rPr>
      </w:pPr>
      <w:r w:rsidRPr="00650EE4">
        <w:rPr>
          <w:rFonts w:ascii="Times New Roman" w:hAnsi="Times New Roman"/>
          <w:szCs w:val="22"/>
        </w:rPr>
        <w:t xml:space="preserve">Energijos kaina yra vienas reikšmingiausių kriterijų, tačiau šiuo metu Lietuvoje ji neatspindi pilnų kaštų ir yra tiesiogiai </w:t>
      </w:r>
      <w:r w:rsidR="00E00C6E">
        <w:rPr>
          <w:rFonts w:ascii="Times New Roman" w:hAnsi="Times New Roman"/>
          <w:szCs w:val="22"/>
        </w:rPr>
        <w:t>ir</w:t>
      </w:r>
      <w:r w:rsidR="00E00C6E" w:rsidRPr="00650EE4">
        <w:rPr>
          <w:rFonts w:ascii="Times New Roman" w:hAnsi="Times New Roman"/>
          <w:szCs w:val="22"/>
        </w:rPr>
        <w:t xml:space="preserve"> </w:t>
      </w:r>
      <w:r w:rsidRPr="00650EE4">
        <w:rPr>
          <w:rFonts w:ascii="Times New Roman" w:hAnsi="Times New Roman"/>
          <w:szCs w:val="22"/>
        </w:rPr>
        <w:t xml:space="preserve">netiesiogiai subsidijuojama: </w:t>
      </w:r>
    </w:p>
    <w:p w14:paraId="5562C86D" w14:textId="3A9DF0D5"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š</w:t>
      </w:r>
      <w:r w:rsidR="00776B22" w:rsidRPr="00650EE4">
        <w:rPr>
          <w:rFonts w:ascii="Times New Roman" w:hAnsi="Times New Roman"/>
          <w:color w:val="000000" w:themeColor="text1"/>
          <w:szCs w:val="22"/>
          <w:lang w:val="lt-LT"/>
        </w:rPr>
        <w:t>ilumos energija</w:t>
      </w:r>
      <w:r>
        <w:rPr>
          <w:rFonts w:ascii="Times New Roman" w:hAnsi="Times New Roman"/>
          <w:color w:val="000000" w:themeColor="text1"/>
          <w:szCs w:val="22"/>
          <w:lang w:val="lt-LT"/>
        </w:rPr>
        <w:t>i taikoma PVM mokesčio lengvata;</w:t>
      </w:r>
    </w:p>
    <w:p w14:paraId="49AFF1BC" w14:textId="778F5E06"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d</w:t>
      </w:r>
      <w:r w:rsidR="00776B22" w:rsidRPr="00650EE4">
        <w:rPr>
          <w:rFonts w:ascii="Times New Roman" w:hAnsi="Times New Roman"/>
          <w:color w:val="000000" w:themeColor="text1"/>
          <w:szCs w:val="22"/>
          <w:lang w:val="lt-LT"/>
        </w:rPr>
        <w:t xml:space="preserve">ujoms taikomas </w:t>
      </w:r>
      <w:r w:rsidR="00083A7E" w:rsidRPr="00650EE4">
        <w:rPr>
          <w:rFonts w:ascii="Times New Roman" w:hAnsi="Times New Roman"/>
          <w:color w:val="000000" w:themeColor="text1"/>
          <w:szCs w:val="22"/>
          <w:lang w:val="lt-LT"/>
        </w:rPr>
        <w:t>vienas mažiausių ES dujų akcizų</w:t>
      </w:r>
      <w:r>
        <w:rPr>
          <w:rFonts w:ascii="Times New Roman" w:hAnsi="Times New Roman"/>
          <w:color w:val="000000" w:themeColor="text1"/>
          <w:szCs w:val="22"/>
          <w:lang w:val="lt-LT"/>
        </w:rPr>
        <w:t>;</w:t>
      </w:r>
    </w:p>
    <w:p w14:paraId="7DD9A7F6" w14:textId="48884496" w:rsidR="00776B22" w:rsidRPr="00650EE4" w:rsidRDefault="00342BA4" w:rsidP="00BD4925">
      <w:pPr>
        <w:pStyle w:val="ListParagraph"/>
        <w:numPr>
          <w:ilvl w:val="3"/>
          <w:numId w:val="47"/>
        </w:numPr>
        <w:spacing w:before="60" w:after="60"/>
        <w:ind w:left="457"/>
        <w:jc w:val="both"/>
        <w:rPr>
          <w:rFonts w:ascii="Times New Roman" w:hAnsi="Times New Roman"/>
          <w:color w:val="000000" w:themeColor="text1"/>
          <w:szCs w:val="22"/>
          <w:lang w:val="lt-LT"/>
        </w:rPr>
      </w:pPr>
      <w:proofErr w:type="spellStart"/>
      <w:r>
        <w:rPr>
          <w:rFonts w:ascii="Times New Roman" w:hAnsi="Times New Roman"/>
          <w:color w:val="000000" w:themeColor="text1"/>
          <w:szCs w:val="22"/>
          <w:lang w:val="lt-LT"/>
        </w:rPr>
        <w:t>d</w:t>
      </w:r>
      <w:r w:rsidR="00776B22" w:rsidRPr="00650EE4">
        <w:rPr>
          <w:rFonts w:ascii="Times New Roman" w:hAnsi="Times New Roman"/>
          <w:color w:val="000000" w:themeColor="text1"/>
          <w:szCs w:val="22"/>
          <w:lang w:val="lt-LT"/>
        </w:rPr>
        <w:t>yzelinui</w:t>
      </w:r>
      <w:proofErr w:type="spellEnd"/>
      <w:r w:rsidR="00776B22" w:rsidRPr="00650EE4">
        <w:rPr>
          <w:rFonts w:ascii="Times New Roman" w:hAnsi="Times New Roman"/>
          <w:color w:val="000000" w:themeColor="text1"/>
          <w:szCs w:val="22"/>
          <w:lang w:val="lt-LT"/>
        </w:rPr>
        <w:t xml:space="preserve"> šildym</w:t>
      </w:r>
      <w:r>
        <w:rPr>
          <w:rFonts w:ascii="Times New Roman" w:hAnsi="Times New Roman"/>
          <w:color w:val="000000" w:themeColor="text1"/>
          <w:szCs w:val="22"/>
          <w:lang w:val="lt-LT"/>
        </w:rPr>
        <w:t>ui taikomas lengvatinis akcizas;</w:t>
      </w:r>
    </w:p>
    <w:p w14:paraId="220D9370" w14:textId="7D900272" w:rsidR="00776B22" w:rsidRPr="00650EE4" w:rsidRDefault="00342BA4" w:rsidP="00BD4925">
      <w:pPr>
        <w:pStyle w:val="ListParagraph"/>
        <w:numPr>
          <w:ilvl w:val="3"/>
          <w:numId w:val="47"/>
        </w:numPr>
        <w:spacing w:before="60" w:after="120"/>
        <w:ind w:left="457"/>
        <w:jc w:val="both"/>
        <w:rPr>
          <w:rFonts w:ascii="Times New Roman" w:hAnsi="Times New Roman"/>
          <w:color w:val="000000" w:themeColor="text1"/>
          <w:szCs w:val="22"/>
          <w:lang w:val="lt-LT"/>
        </w:rPr>
      </w:pPr>
      <w:r>
        <w:rPr>
          <w:rFonts w:ascii="Times New Roman" w:hAnsi="Times New Roman"/>
          <w:color w:val="000000" w:themeColor="text1"/>
          <w:szCs w:val="22"/>
          <w:lang w:val="lt-LT"/>
        </w:rPr>
        <w:t>i</w:t>
      </w:r>
      <w:r w:rsidR="00776B22" w:rsidRPr="00650EE4">
        <w:rPr>
          <w:rFonts w:ascii="Times New Roman" w:hAnsi="Times New Roman"/>
          <w:color w:val="000000" w:themeColor="text1"/>
          <w:szCs w:val="22"/>
          <w:lang w:val="lt-LT"/>
        </w:rPr>
        <w:t xml:space="preserve">š ES </w:t>
      </w:r>
      <w:r w:rsidR="00083A7E" w:rsidRPr="00650EE4">
        <w:rPr>
          <w:rFonts w:ascii="Times New Roman" w:hAnsi="Times New Roman"/>
          <w:color w:val="000000" w:themeColor="text1"/>
          <w:szCs w:val="22"/>
          <w:lang w:val="lt-LT"/>
        </w:rPr>
        <w:t>struktūrinių fondų atnaujintos</w:t>
      </w:r>
      <w:r w:rsidR="00776B22" w:rsidRPr="00650EE4">
        <w:rPr>
          <w:rFonts w:ascii="Times New Roman" w:hAnsi="Times New Roman"/>
          <w:color w:val="000000" w:themeColor="text1"/>
          <w:szCs w:val="22"/>
          <w:lang w:val="lt-LT"/>
        </w:rPr>
        <w:t xml:space="preserve"> energetikos infrastruktūros </w:t>
      </w:r>
      <w:r w:rsidR="00083A7E" w:rsidRPr="00650EE4">
        <w:rPr>
          <w:rFonts w:ascii="Times New Roman" w:hAnsi="Times New Roman"/>
          <w:color w:val="000000" w:themeColor="text1"/>
          <w:szCs w:val="22"/>
          <w:lang w:val="lt-LT"/>
        </w:rPr>
        <w:t>kaštai neįtraukiami</w:t>
      </w:r>
      <w:r w:rsidR="00776B22" w:rsidRPr="00650EE4">
        <w:rPr>
          <w:rFonts w:ascii="Times New Roman" w:hAnsi="Times New Roman"/>
          <w:color w:val="000000" w:themeColor="text1"/>
          <w:szCs w:val="22"/>
          <w:lang w:val="lt-LT"/>
        </w:rPr>
        <w:t xml:space="preserve"> į tarifus vartotojams.</w:t>
      </w:r>
    </w:p>
    <w:p w14:paraId="57FBF499" w14:textId="3C54FE29" w:rsidR="00776B22" w:rsidRPr="00650EE4" w:rsidRDefault="00083A7E" w:rsidP="00083A7E">
      <w:pPr>
        <w:jc w:val="both"/>
      </w:pPr>
      <w:r w:rsidRPr="00650EE4">
        <w:rPr>
          <w:rFonts w:ascii="Times New Roman" w:hAnsi="Times New Roman"/>
          <w:szCs w:val="22"/>
        </w:rPr>
        <w:t>Sumažintas energijos subsidijavimo lygis gerintų renovacijos projektų atsipirkimo rodiklius, didintų pastatų savininkų motyvaciją dalyvauti renovacijoje ir, tikėtina, reikšmingai sumažintų</w:t>
      </w:r>
      <w:r w:rsidR="00776B22" w:rsidRPr="00650EE4">
        <w:rPr>
          <w:rFonts w:ascii="Times New Roman" w:hAnsi="Times New Roman"/>
          <w:szCs w:val="22"/>
        </w:rPr>
        <w:t xml:space="preserve"> poreikį renovacijos priemonių subsidijavimui. Tai ypatingai aktualu </w:t>
      </w:r>
      <w:r w:rsidRPr="00650EE4">
        <w:rPr>
          <w:rFonts w:ascii="Times New Roman" w:hAnsi="Times New Roman"/>
          <w:szCs w:val="22"/>
        </w:rPr>
        <w:t xml:space="preserve">prognozuojant nuoseklų </w:t>
      </w:r>
      <w:r w:rsidR="00776B22" w:rsidRPr="00650EE4">
        <w:rPr>
          <w:rFonts w:ascii="Times New Roman" w:hAnsi="Times New Roman"/>
          <w:szCs w:val="22"/>
        </w:rPr>
        <w:t>renov</w:t>
      </w:r>
      <w:r w:rsidRPr="00650EE4">
        <w:rPr>
          <w:rFonts w:ascii="Times New Roman" w:hAnsi="Times New Roman"/>
          <w:szCs w:val="22"/>
        </w:rPr>
        <w:t>acijos darbų ir medžiagų kainų lygio kilimą</w:t>
      </w:r>
      <w:r w:rsidR="00776B22" w:rsidRPr="00650EE4">
        <w:rPr>
          <w:rFonts w:ascii="Times New Roman" w:hAnsi="Times New Roman"/>
          <w:szCs w:val="22"/>
        </w:rPr>
        <w:t>.</w:t>
      </w:r>
      <w:r w:rsidRPr="00650EE4">
        <w:rPr>
          <w:rFonts w:ascii="Times New Roman" w:hAnsi="Times New Roman"/>
          <w:szCs w:val="22"/>
        </w:rPr>
        <w:t xml:space="preserve"> </w:t>
      </w:r>
    </w:p>
    <w:p w14:paraId="6CD6064C" w14:textId="2404EE79" w:rsidR="00776B22" w:rsidRPr="00650EE4" w:rsidRDefault="00776B22" w:rsidP="00C02FB6">
      <w:pPr>
        <w:jc w:val="both"/>
        <w:rPr>
          <w:rFonts w:ascii="Times New Roman" w:hAnsi="Times New Roman"/>
          <w:szCs w:val="22"/>
        </w:rPr>
      </w:pPr>
    </w:p>
    <w:p w14:paraId="67138A41" w14:textId="216A3EBC" w:rsidR="00C02FB6" w:rsidRDefault="00C02FB6" w:rsidP="00E723D0">
      <w:pPr>
        <w:jc w:val="both"/>
        <w:rPr>
          <w:rFonts w:ascii="Times New Roman" w:hAnsi="Times New Roman"/>
          <w:szCs w:val="22"/>
        </w:rPr>
      </w:pPr>
      <w:r w:rsidRPr="00650EE4">
        <w:rPr>
          <w:rFonts w:ascii="Times New Roman" w:hAnsi="Times New Roman"/>
          <w:szCs w:val="22"/>
        </w:rPr>
        <w:lastRenderedPageBreak/>
        <w:t>Svarbu pažymėti, kad tokių priemonių įgyvendinimas didina išlaidas šildymui, kas savo ruožtu gali didinti energetinį skurdą, socialinę atskirtį bei socialinės paramos n</w:t>
      </w:r>
      <w:r w:rsidR="00C367FD">
        <w:rPr>
          <w:rFonts w:ascii="Times New Roman" w:hAnsi="Times New Roman"/>
          <w:szCs w:val="22"/>
        </w:rPr>
        <w:t>e</w:t>
      </w:r>
      <w:r w:rsidRPr="00650EE4">
        <w:rPr>
          <w:rFonts w:ascii="Times New Roman" w:hAnsi="Times New Roman"/>
          <w:szCs w:val="22"/>
        </w:rPr>
        <w:t>p</w:t>
      </w:r>
      <w:r w:rsidR="00C367FD">
        <w:rPr>
          <w:rFonts w:ascii="Times New Roman" w:hAnsi="Times New Roman"/>
          <w:szCs w:val="22"/>
        </w:rPr>
        <w:t>a</w:t>
      </w:r>
      <w:r w:rsidRPr="00650EE4">
        <w:rPr>
          <w:rFonts w:ascii="Times New Roman" w:hAnsi="Times New Roman"/>
          <w:szCs w:val="22"/>
        </w:rPr>
        <w:t>siturintiems gyventojams poreikį. Todėl iš anksto turi būti atliekamas priemonės tiesioginio ir netie</w:t>
      </w:r>
      <w:r w:rsidR="002C503C" w:rsidRPr="00650EE4">
        <w:rPr>
          <w:rFonts w:ascii="Times New Roman" w:hAnsi="Times New Roman"/>
          <w:szCs w:val="22"/>
        </w:rPr>
        <w:t>si</w:t>
      </w:r>
      <w:r w:rsidRPr="00650EE4">
        <w:rPr>
          <w:rFonts w:ascii="Times New Roman" w:hAnsi="Times New Roman"/>
          <w:szCs w:val="22"/>
        </w:rPr>
        <w:t>ogin</w:t>
      </w:r>
      <w:r w:rsidR="002C503C" w:rsidRPr="00650EE4">
        <w:rPr>
          <w:rFonts w:ascii="Times New Roman" w:hAnsi="Times New Roman"/>
          <w:szCs w:val="22"/>
        </w:rPr>
        <w:t>io</w:t>
      </w:r>
      <w:r w:rsidRPr="00650EE4">
        <w:rPr>
          <w:rFonts w:ascii="Times New Roman" w:hAnsi="Times New Roman"/>
          <w:szCs w:val="22"/>
        </w:rPr>
        <w:t xml:space="preserve"> poveikio vertinimas.</w:t>
      </w:r>
      <w:r w:rsidR="00E00C6E">
        <w:rPr>
          <w:rFonts w:ascii="Times New Roman" w:hAnsi="Times New Roman"/>
          <w:szCs w:val="22"/>
        </w:rPr>
        <w:t xml:space="preserve"> </w:t>
      </w:r>
      <w:r w:rsidR="00E00C6E" w:rsidRPr="00650EE4">
        <w:rPr>
          <w:rFonts w:ascii="Times New Roman" w:hAnsi="Times New Roman"/>
          <w:szCs w:val="22"/>
        </w:rPr>
        <w:t>Energijos nepritekliaus klausimas galėtų būti sprendžiamas per specifiškai į tikslinį segmentą orientuotus sprendimus (tikslinę paramą).</w:t>
      </w:r>
    </w:p>
    <w:p w14:paraId="18BACAAD" w14:textId="77777777" w:rsidR="00342BA4" w:rsidRPr="00E723D0" w:rsidRDefault="00342BA4" w:rsidP="00E723D0">
      <w:pPr>
        <w:jc w:val="both"/>
        <w:rPr>
          <w:rFonts w:ascii="Times New Roman" w:hAnsi="Times New Roman"/>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74B9C7D5" w14:textId="77777777" w:rsidTr="006A60B7">
        <w:trPr>
          <w:trHeight w:val="187"/>
        </w:trPr>
        <w:tc>
          <w:tcPr>
            <w:tcW w:w="3114" w:type="dxa"/>
          </w:tcPr>
          <w:p w14:paraId="7C2F880E"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46837C1E"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B4. Nepatrauklus projektų atsiperkamumo laikotarpis</w:t>
            </w:r>
          </w:p>
          <w:p w14:paraId="78C9E742" w14:textId="79BA609E"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B5. Nepilna energijos kaina</w:t>
            </w:r>
          </w:p>
        </w:tc>
      </w:tr>
      <w:tr w:rsidR="006B7C8D" w:rsidRPr="00650EE4" w14:paraId="5DA6CD63" w14:textId="77777777" w:rsidTr="006A60B7">
        <w:trPr>
          <w:trHeight w:val="148"/>
        </w:trPr>
        <w:tc>
          <w:tcPr>
            <w:tcW w:w="3114" w:type="dxa"/>
          </w:tcPr>
          <w:p w14:paraId="1634362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6C0D84A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Pilnų kaštų įtraukimas į energijos kainą</w:t>
            </w:r>
          </w:p>
        </w:tc>
      </w:tr>
      <w:tr w:rsidR="006B7C8D" w:rsidRPr="00650EE4" w14:paraId="06492EE1" w14:textId="77777777" w:rsidTr="006A60B7">
        <w:trPr>
          <w:trHeight w:val="125"/>
        </w:trPr>
        <w:tc>
          <w:tcPr>
            <w:tcW w:w="3114" w:type="dxa"/>
          </w:tcPr>
          <w:p w14:paraId="63223D2F"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3921555"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309E1A45" w14:textId="77777777" w:rsidTr="006A60B7">
        <w:trPr>
          <w:trHeight w:val="87"/>
        </w:trPr>
        <w:tc>
          <w:tcPr>
            <w:tcW w:w="3114" w:type="dxa"/>
          </w:tcPr>
          <w:p w14:paraId="40982EC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947553F" w14:textId="791EA063" w:rsidR="006B7C8D" w:rsidRPr="00650EE4" w:rsidRDefault="002C7B1E" w:rsidP="002C7B1E">
            <w:pPr>
              <w:spacing w:after="60"/>
              <w:rPr>
                <w:rFonts w:ascii="Times New Roman" w:hAnsi="Times New Roman"/>
                <w:szCs w:val="22"/>
                <w:lang w:eastAsia="lt-LT"/>
              </w:rPr>
            </w:pPr>
            <w:r w:rsidRPr="00650EE4">
              <w:rPr>
                <w:rFonts w:ascii="Times New Roman" w:hAnsi="Times New Roman"/>
                <w:szCs w:val="22"/>
                <w:lang w:eastAsia="lt-LT"/>
              </w:rPr>
              <w:t>Vidutinis-ilgas</w:t>
            </w:r>
            <w:r w:rsidR="006B7C8D" w:rsidRPr="00650EE4">
              <w:rPr>
                <w:rFonts w:ascii="Times New Roman" w:hAnsi="Times New Roman"/>
                <w:szCs w:val="22"/>
                <w:lang w:eastAsia="lt-LT"/>
              </w:rPr>
              <w:t xml:space="preserve"> laikotarpis</w:t>
            </w:r>
          </w:p>
        </w:tc>
      </w:tr>
    </w:tbl>
    <w:p w14:paraId="646DCA57" w14:textId="77777777" w:rsidR="00024F67" w:rsidRDefault="00024F67" w:rsidP="00FD1D6D">
      <w:pPr>
        <w:spacing w:after="120"/>
        <w:jc w:val="both"/>
        <w:rPr>
          <w:rFonts w:ascii="Times New Roman" w:hAnsi="Times New Roman"/>
          <w:b/>
          <w:bCs/>
          <w:szCs w:val="24"/>
        </w:rPr>
      </w:pPr>
    </w:p>
    <w:p w14:paraId="2BFCD364" w14:textId="5F73B94D" w:rsidR="006B7C8D" w:rsidRPr="00650EE4" w:rsidRDefault="006B7C8D" w:rsidP="00FD1D6D">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7</w:t>
      </w:r>
      <w:r w:rsidRPr="00650EE4">
        <w:rPr>
          <w:rFonts w:ascii="Times New Roman" w:hAnsi="Times New Roman"/>
          <w:b/>
          <w:bCs/>
          <w:szCs w:val="24"/>
        </w:rPr>
        <w:t>. Taršos mokesčiai</w:t>
      </w:r>
    </w:p>
    <w:p w14:paraId="279B710D" w14:textId="01E58C72" w:rsidR="00272910"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 xml:space="preserve">Papildoma priemonė didinanti renovacijos finansinį atsipirkimą – energetiškai neefektyvaus ir (arba) taršaus energijos vartojimo apmokestinimas, pvz., nustatant papildomą mokestį, jei energijos sunaudojimas pastato viename kvadratiniame metre viršija tam tikrą kilovatvalandžių skaičių (pvz., 150) ir (arba) CO2 emisijų skaičių. Tokiu būdu būtų atsižvelgiama ne tik į energinį efektyvumą, bet ir kuro šaltinį (siekiant </w:t>
      </w:r>
      <w:r w:rsidR="00B66665">
        <w:rPr>
          <w:rFonts w:ascii="Times New Roman" w:hAnsi="Times New Roman"/>
          <w:szCs w:val="22"/>
          <w:lang w:val="lt-LT"/>
        </w:rPr>
        <w:t>atsisakyti</w:t>
      </w:r>
      <w:r w:rsidRPr="00650EE4">
        <w:rPr>
          <w:rFonts w:ascii="Times New Roman" w:hAnsi="Times New Roman"/>
          <w:szCs w:val="22"/>
          <w:lang w:val="lt-LT"/>
        </w:rPr>
        <w:t xml:space="preserve"> iškastinio kuro naudojim</w:t>
      </w:r>
      <w:r w:rsidR="00B66665">
        <w:rPr>
          <w:rFonts w:ascii="Times New Roman" w:hAnsi="Times New Roman"/>
          <w:szCs w:val="22"/>
          <w:lang w:val="lt-LT"/>
        </w:rPr>
        <w:t>o</w:t>
      </w:r>
      <w:r w:rsidRPr="00650EE4">
        <w:rPr>
          <w:rFonts w:ascii="Times New Roman" w:hAnsi="Times New Roman"/>
          <w:szCs w:val="22"/>
          <w:lang w:val="lt-LT"/>
        </w:rPr>
        <w:t xml:space="preserve">). Kitos šio mokesčio įgyvendinimo alternatyvos galėtų apimti nekilnojamojo turto mokesčio diferencijavimą pagal energijos vartojimo ir (arba) CO2 emisijų rodiklius, papildomą </w:t>
      </w:r>
      <w:r w:rsidR="0067096F" w:rsidRPr="00650EE4">
        <w:rPr>
          <w:rFonts w:ascii="Times New Roman" w:hAnsi="Times New Roman"/>
          <w:szCs w:val="22"/>
          <w:lang w:val="lt-LT"/>
        </w:rPr>
        <w:t xml:space="preserve">mokestį netvarkomiems pastatams, </w:t>
      </w:r>
    </w:p>
    <w:p w14:paraId="114CD31F" w14:textId="77777777" w:rsidR="00272910" w:rsidRPr="00650EE4" w:rsidRDefault="00272910" w:rsidP="00272910">
      <w:pPr>
        <w:pStyle w:val="BodyText"/>
        <w:jc w:val="both"/>
        <w:rPr>
          <w:rFonts w:ascii="Times New Roman" w:hAnsi="Times New Roman"/>
          <w:szCs w:val="22"/>
          <w:lang w:val="lt-LT"/>
        </w:rPr>
      </w:pPr>
    </w:p>
    <w:p w14:paraId="4B4C061B" w14:textId="77777777" w:rsidR="00272910"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Šis mokestis taip pat galėtų reikšmingai sumažinti poreikį renovacijos priemonių subsidijavimui. Atsiradus poreikiui, socialiai pažeidžiami gyventojai turėtų būti remiami per finansines išmokas. Taip pat toks mokestis galėtų būti renkamas ne į valstybės biudžetą, bet virtualiai kaupiamas to paties pastato savininkams ir vėliau panaudojamas renovacijos priemonės įgyvendinti.</w:t>
      </w:r>
    </w:p>
    <w:p w14:paraId="3E931C57" w14:textId="77777777" w:rsidR="00272910" w:rsidRPr="00650EE4" w:rsidRDefault="00272910" w:rsidP="00272910">
      <w:pPr>
        <w:pStyle w:val="BodyText"/>
        <w:jc w:val="both"/>
        <w:rPr>
          <w:rFonts w:ascii="Times New Roman" w:hAnsi="Times New Roman"/>
          <w:szCs w:val="22"/>
          <w:lang w:val="lt-LT"/>
        </w:rPr>
      </w:pPr>
    </w:p>
    <w:p w14:paraId="7598A027" w14:textId="62C32581" w:rsidR="00A55CFB" w:rsidRPr="00650EE4" w:rsidRDefault="00272910" w:rsidP="00272910">
      <w:pPr>
        <w:pStyle w:val="BodyText"/>
        <w:jc w:val="both"/>
        <w:rPr>
          <w:rFonts w:ascii="Times New Roman" w:hAnsi="Times New Roman"/>
          <w:szCs w:val="22"/>
          <w:lang w:val="lt-LT"/>
        </w:rPr>
      </w:pPr>
      <w:r w:rsidRPr="00650EE4">
        <w:rPr>
          <w:rFonts w:ascii="Times New Roman" w:hAnsi="Times New Roman"/>
          <w:szCs w:val="22"/>
          <w:lang w:val="lt-LT"/>
        </w:rPr>
        <w:t>Svarbu paminėti, kad tokių mokesčių įgyvendinimui būtina sąlyga – patikimi duomenys apie visų pastatų faktinį energijos vartojimą ir ener</w:t>
      </w:r>
      <w:r w:rsidR="007A52B6">
        <w:rPr>
          <w:rFonts w:ascii="Times New Roman" w:hAnsi="Times New Roman"/>
          <w:szCs w:val="22"/>
          <w:lang w:val="lt-LT"/>
        </w:rPr>
        <w:t>gijos gamybos šaltinį (žr. P2. p</w:t>
      </w:r>
      <w:r w:rsidRPr="00650EE4">
        <w:rPr>
          <w:rFonts w:ascii="Times New Roman" w:hAnsi="Times New Roman"/>
          <w:szCs w:val="22"/>
          <w:lang w:val="lt-LT"/>
        </w:rPr>
        <w:t>astatų fondo inventorizacija ir duomenų bazės sukūrimas).</w:t>
      </w:r>
    </w:p>
    <w:p w14:paraId="270543FE" w14:textId="77777777" w:rsidR="002C503C" w:rsidRPr="00650EE4" w:rsidRDefault="002C503C" w:rsidP="00272910">
      <w:pPr>
        <w:pStyle w:val="BodyText"/>
        <w:jc w:val="both"/>
        <w:rPr>
          <w:rFonts w:ascii="Times New Roman" w:hAnsi="Times New Roman"/>
          <w:szCs w:val="22"/>
          <w:lang w:val="lt-LT"/>
        </w:rPr>
      </w:pPr>
    </w:p>
    <w:p w14:paraId="18FBFA56" w14:textId="00F9EA96" w:rsidR="002C503C" w:rsidRDefault="002C503C" w:rsidP="002C503C">
      <w:pPr>
        <w:jc w:val="both"/>
        <w:rPr>
          <w:rFonts w:ascii="Times New Roman" w:hAnsi="Times New Roman"/>
          <w:szCs w:val="22"/>
        </w:rPr>
      </w:pPr>
      <w:r w:rsidRPr="00650EE4">
        <w:rPr>
          <w:rFonts w:ascii="Times New Roman" w:hAnsi="Times New Roman"/>
          <w:szCs w:val="22"/>
        </w:rPr>
        <w:t>Taip pat svarbu pažymėti, kad tokių priemonių įgyvendinimas didina pastatų savininkų išlaidas, kas savo ruožtu gali didinti energetinį skurdą, socialinę atskirtį bei socialinės paramos n</w:t>
      </w:r>
      <w:r w:rsidR="00C367FD">
        <w:rPr>
          <w:rFonts w:ascii="Times New Roman" w:hAnsi="Times New Roman"/>
          <w:szCs w:val="22"/>
        </w:rPr>
        <w:t>e</w:t>
      </w:r>
      <w:r w:rsidRPr="00650EE4">
        <w:rPr>
          <w:rFonts w:ascii="Times New Roman" w:hAnsi="Times New Roman"/>
          <w:szCs w:val="22"/>
        </w:rPr>
        <w:t>p</w:t>
      </w:r>
      <w:r w:rsidR="00C367FD">
        <w:rPr>
          <w:rFonts w:ascii="Times New Roman" w:hAnsi="Times New Roman"/>
          <w:szCs w:val="22"/>
        </w:rPr>
        <w:t>a</w:t>
      </w:r>
      <w:r w:rsidRPr="00650EE4">
        <w:rPr>
          <w:rFonts w:ascii="Times New Roman" w:hAnsi="Times New Roman"/>
          <w:szCs w:val="22"/>
        </w:rPr>
        <w:t>siturintiems gyventojams poreikį. Todėl iš anksto turi būti atliekamas priemonės tiesioginio ir netiesioginio poveikio vertinimas.</w:t>
      </w:r>
    </w:p>
    <w:p w14:paraId="358DDED7" w14:textId="77777777" w:rsidR="00E00C6E" w:rsidRDefault="00E00C6E" w:rsidP="00E00C6E">
      <w:pPr>
        <w:pStyle w:val="BodyText"/>
        <w:jc w:val="both"/>
        <w:rPr>
          <w:rFonts w:ascii="Times New Roman" w:hAnsi="Times New Roman"/>
          <w:color w:val="000000" w:themeColor="text1"/>
          <w:szCs w:val="22"/>
          <w:lang w:val="lt-LT"/>
        </w:rPr>
      </w:pPr>
    </w:p>
    <w:p w14:paraId="3BA7F5CF" w14:textId="77777777" w:rsidR="00E00C6E" w:rsidRPr="00650EE4" w:rsidRDefault="00E00C6E" w:rsidP="00E00C6E">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Taršos mokesčio poveikio stiprinimui</w:t>
      </w:r>
      <w:r w:rsidRPr="00650EE4">
        <w:rPr>
          <w:rFonts w:ascii="Times New Roman" w:hAnsi="Times New Roman"/>
          <w:color w:val="000000" w:themeColor="text1"/>
          <w:szCs w:val="22"/>
          <w:lang w:val="lt-LT"/>
        </w:rPr>
        <w:t xml:space="preserve"> galėtų būti įgyvendintas reikalavimas viešai skelbti pastatų energinio naudingumo </w:t>
      </w:r>
      <w:r>
        <w:rPr>
          <w:rFonts w:ascii="Times New Roman" w:hAnsi="Times New Roman"/>
          <w:color w:val="000000" w:themeColor="text1"/>
          <w:szCs w:val="22"/>
          <w:lang w:val="lt-LT"/>
        </w:rPr>
        <w:t xml:space="preserve">ir tikėtino taršos mokesčio </w:t>
      </w:r>
      <w:r w:rsidRPr="00650EE4">
        <w:rPr>
          <w:rFonts w:ascii="Times New Roman" w:hAnsi="Times New Roman"/>
          <w:color w:val="000000" w:themeColor="text1"/>
          <w:szCs w:val="22"/>
          <w:lang w:val="lt-LT"/>
        </w:rPr>
        <w:t>duomenis turto nuomos ar pardavimo skelbimuose (</w:t>
      </w:r>
      <w:r>
        <w:rPr>
          <w:rFonts w:ascii="Times New Roman" w:hAnsi="Times New Roman"/>
          <w:color w:val="000000" w:themeColor="text1"/>
          <w:szCs w:val="22"/>
          <w:lang w:val="lt-LT"/>
        </w:rPr>
        <w:t xml:space="preserve">praktika realizuota automobilių rinkoje, skelbiant parduodamų automobilių taršos mokesčio dydžius). </w:t>
      </w:r>
    </w:p>
    <w:p w14:paraId="1787888A" w14:textId="77777777" w:rsidR="005415FA" w:rsidRPr="00650EE4" w:rsidRDefault="005415FA" w:rsidP="00E07F8C">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3B11E418" w14:textId="77777777" w:rsidTr="006A60B7">
        <w:trPr>
          <w:trHeight w:val="463"/>
        </w:trPr>
        <w:tc>
          <w:tcPr>
            <w:tcW w:w="3114" w:type="dxa"/>
          </w:tcPr>
          <w:p w14:paraId="7C23C694"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3860D83"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B4. Nepatrauklus projektų atsiperkamumo laikotarpis</w:t>
            </w:r>
          </w:p>
          <w:p w14:paraId="2FBE8570" w14:textId="50081049"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B5. Nepilna energijos kaina</w:t>
            </w:r>
          </w:p>
        </w:tc>
      </w:tr>
      <w:tr w:rsidR="006B7C8D" w:rsidRPr="00650EE4" w14:paraId="68A4EB77" w14:textId="77777777" w:rsidTr="006A60B7">
        <w:trPr>
          <w:trHeight w:val="55"/>
        </w:trPr>
        <w:tc>
          <w:tcPr>
            <w:tcW w:w="3114" w:type="dxa"/>
          </w:tcPr>
          <w:p w14:paraId="38682E5B"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0FC7376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Taršos mokesčiai</w:t>
            </w:r>
          </w:p>
        </w:tc>
      </w:tr>
      <w:tr w:rsidR="006B7C8D" w:rsidRPr="00650EE4" w14:paraId="14E1E09D" w14:textId="77777777" w:rsidTr="006A60B7">
        <w:trPr>
          <w:trHeight w:val="55"/>
        </w:trPr>
        <w:tc>
          <w:tcPr>
            <w:tcW w:w="3114" w:type="dxa"/>
          </w:tcPr>
          <w:p w14:paraId="19EA22E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4649B642"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7EA8DBA8" w14:textId="77777777" w:rsidTr="006A60B7">
        <w:trPr>
          <w:trHeight w:val="80"/>
        </w:trPr>
        <w:tc>
          <w:tcPr>
            <w:tcW w:w="3114" w:type="dxa"/>
          </w:tcPr>
          <w:p w14:paraId="3872AA5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1FCE9FA" w14:textId="43C57105" w:rsidR="006B7C8D" w:rsidRPr="00650EE4" w:rsidRDefault="002C7B1E" w:rsidP="006A60B7">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bl>
    <w:p w14:paraId="2EFFB2F2" w14:textId="77777777" w:rsidR="006B7C8D" w:rsidRPr="00650EE4" w:rsidRDefault="006B7C8D" w:rsidP="002C7B1E">
      <w:pPr>
        <w:spacing w:after="120"/>
        <w:rPr>
          <w:rFonts w:ascii="Times New Roman" w:hAnsi="Times New Roman"/>
          <w:color w:val="000000" w:themeColor="text1"/>
          <w:szCs w:val="22"/>
          <w:highlight w:val="lightGray"/>
        </w:rPr>
      </w:pPr>
    </w:p>
    <w:p w14:paraId="2280AB95" w14:textId="082CB54D" w:rsidR="006B7C8D" w:rsidRPr="00650EE4" w:rsidRDefault="006B7C8D" w:rsidP="00103CEF">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8</w:t>
      </w:r>
      <w:r w:rsidRPr="00650EE4">
        <w:rPr>
          <w:rFonts w:ascii="Times New Roman" w:hAnsi="Times New Roman"/>
          <w:b/>
          <w:bCs/>
          <w:szCs w:val="24"/>
        </w:rPr>
        <w:t xml:space="preserve">. Esminės </w:t>
      </w:r>
      <w:r w:rsidR="00103CEF" w:rsidRPr="00650EE4">
        <w:rPr>
          <w:rFonts w:ascii="Times New Roman" w:hAnsi="Times New Roman"/>
          <w:b/>
          <w:bCs/>
          <w:szCs w:val="24"/>
        </w:rPr>
        <w:t xml:space="preserve">„gilios“ </w:t>
      </w:r>
      <w:r w:rsidRPr="00650EE4">
        <w:rPr>
          <w:rFonts w:ascii="Times New Roman" w:hAnsi="Times New Roman"/>
          <w:b/>
          <w:bCs/>
          <w:szCs w:val="24"/>
        </w:rPr>
        <w:t>renovacijos skatinimas</w:t>
      </w:r>
    </w:p>
    <w:p w14:paraId="377307A9" w14:textId="3CFFF66F" w:rsidR="007F439B" w:rsidRPr="00650EE4" w:rsidRDefault="00103CEF" w:rsidP="007F439B">
      <w:pPr>
        <w:spacing w:before="60" w:after="60"/>
        <w:jc w:val="both"/>
        <w:rPr>
          <w:rFonts w:ascii="Times New Roman" w:hAnsi="Times New Roman"/>
          <w:color w:val="000000" w:themeColor="text1"/>
          <w:szCs w:val="22"/>
        </w:rPr>
      </w:pPr>
      <w:r w:rsidRPr="00650EE4">
        <w:rPr>
          <w:rFonts w:ascii="Times New Roman" w:hAnsi="Times New Roman"/>
          <w:szCs w:val="22"/>
        </w:rPr>
        <w:t>P</w:t>
      </w:r>
      <w:r w:rsidR="007F439B" w:rsidRPr="00650EE4">
        <w:rPr>
          <w:rFonts w:ascii="Times New Roman" w:hAnsi="Times New Roman"/>
          <w:color w:val="000000" w:themeColor="text1"/>
          <w:szCs w:val="22"/>
        </w:rPr>
        <w:t xml:space="preserve">aramos priemonės turėtų būti susietos su renovavimo darbų kokybe, atsižvelgiant į tikslinį arba dėl renovacijos faktiškai pasiektą energijos sutaupymą. Paramos priemonės turėtų būti susietos su energiniu naudingumu, sertifikavimo arba kitų specifinių reikalavimų atitikties lygiu, energijos vartojimo auditu arba su pagerinimu, pasiektu atlikus renovaciją, o šis pagerinimas turėtų būti vertinamas taikant vieną ar daugiau toliau nurodytų kriterijų: </w:t>
      </w:r>
    </w:p>
    <w:p w14:paraId="52F9B1CA" w14:textId="305955D9"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renovacijai naudojamos įrangos arba medžiagų šilumines charakteristikas (kai naudojamą įrangą įrengia sertifikuotas arba kvalifikuotas montuotojas); </w:t>
      </w:r>
    </w:p>
    <w:p w14:paraId="50267297" w14:textId="7777777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energijos sąnaudų mažėjimą; </w:t>
      </w:r>
    </w:p>
    <w:p w14:paraId="6E06ED62" w14:textId="7777777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efektyvumo padidėjimą, palyginant prieš renovaciją ir po jos išduotus energinio naudingumo sertifikatus; </w:t>
      </w:r>
    </w:p>
    <w:p w14:paraId="2427B4F4" w14:textId="77777777" w:rsidR="005415FA"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energijos vartojimo audito rezultatus; </w:t>
      </w:r>
    </w:p>
    <w:p w14:paraId="43497A26" w14:textId="4719D7A7" w:rsidR="007F439B" w:rsidRPr="00650EE4" w:rsidRDefault="007F439B" w:rsidP="00BD4925">
      <w:pPr>
        <w:pStyle w:val="ListParagraph"/>
        <w:numPr>
          <w:ilvl w:val="3"/>
          <w:numId w:val="47"/>
        </w:numPr>
        <w:spacing w:before="60" w:after="60"/>
        <w:ind w:left="457"/>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kito aktualaus, skaidraus ir proporcingo metodo, kuris parodo energinio naudingumo padidėjimą, rezultatus.</w:t>
      </w:r>
    </w:p>
    <w:p w14:paraId="04B8D3CD" w14:textId="77777777" w:rsidR="00E00C6E" w:rsidRPr="00E00C6E" w:rsidRDefault="00E00C6E" w:rsidP="00E00C6E">
      <w:pPr>
        <w:jc w:val="both"/>
        <w:rPr>
          <w:rFonts w:ascii="Times New Roman" w:hAnsi="Times New Roman"/>
          <w:color w:val="000000" w:themeColor="text1"/>
          <w:szCs w:val="22"/>
        </w:rPr>
      </w:pPr>
      <w:r w:rsidRPr="00E00C6E">
        <w:rPr>
          <w:rFonts w:ascii="Times New Roman" w:hAnsi="Times New Roman"/>
          <w:color w:val="000000" w:themeColor="text1"/>
          <w:szCs w:val="22"/>
        </w:rPr>
        <w:t>Įgyvendinant Direktyvų nuostatas</w:t>
      </w:r>
      <w:r w:rsidRPr="006E71D6">
        <w:rPr>
          <w:rStyle w:val="FootnoteReference"/>
          <w:rFonts w:ascii="Times New Roman" w:hAnsi="Times New Roman"/>
          <w:color w:val="000000" w:themeColor="text1"/>
          <w:szCs w:val="22"/>
        </w:rPr>
        <w:footnoteReference w:id="55"/>
      </w:r>
      <w:r w:rsidRPr="00E00C6E">
        <w:rPr>
          <w:rFonts w:ascii="Times New Roman" w:hAnsi="Times New Roman"/>
          <w:color w:val="000000" w:themeColor="text1"/>
          <w:szCs w:val="22"/>
        </w:rPr>
        <w:t xml:space="preserve"> ir siekiant sukurti motyvacijos „giliai renovacijai“ mechanizmą, valstybės paramos apimtys galėtų būti diferencijuojamos atsižvelgiant į  siektiną (pasiektą) energijos sutaupymą.</w:t>
      </w:r>
    </w:p>
    <w:p w14:paraId="62581516" w14:textId="77777777" w:rsidR="00E00C6E" w:rsidRPr="00650EE4" w:rsidRDefault="00E00C6E" w:rsidP="006F601F">
      <w:pPr>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2473" w:rsidRPr="00650EE4" w14:paraId="75EB5E7B" w14:textId="77777777" w:rsidTr="006A60B7">
        <w:trPr>
          <w:trHeight w:val="143"/>
        </w:trPr>
        <w:tc>
          <w:tcPr>
            <w:tcW w:w="3114" w:type="dxa"/>
          </w:tcPr>
          <w:p w14:paraId="55870919" w14:textId="77777777" w:rsidR="000E2473" w:rsidRPr="00650EE4" w:rsidRDefault="000E2473" w:rsidP="005A369A">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3874DA66" w14:textId="3A8AA03D" w:rsidR="000E2473" w:rsidRPr="00650EE4" w:rsidRDefault="000E2473" w:rsidP="005A369A">
            <w:pPr>
              <w:spacing w:after="60"/>
              <w:rPr>
                <w:rFonts w:ascii="Times New Roman" w:hAnsi="Times New Roman"/>
                <w:szCs w:val="22"/>
                <w:lang w:eastAsia="lt-LT"/>
              </w:rPr>
            </w:pPr>
            <w:r w:rsidRPr="00650EE4">
              <w:rPr>
                <w:rFonts w:ascii="Times New Roman" w:hAnsi="Times New Roman"/>
                <w:szCs w:val="22"/>
                <w:lang w:eastAsia="lt-LT"/>
              </w:rPr>
              <w:t>B7. Neišnaudotas visa</w:t>
            </w:r>
            <w:r w:rsidR="00103CEF" w:rsidRPr="00650EE4">
              <w:rPr>
                <w:rFonts w:ascii="Times New Roman" w:hAnsi="Times New Roman"/>
                <w:szCs w:val="22"/>
                <w:lang w:eastAsia="lt-LT"/>
              </w:rPr>
              <w:t>s renovacijos naudų potencialas</w:t>
            </w:r>
          </w:p>
        </w:tc>
      </w:tr>
      <w:tr w:rsidR="006B7C8D" w:rsidRPr="00650EE4" w14:paraId="5905A5C4" w14:textId="77777777" w:rsidTr="006A60B7">
        <w:trPr>
          <w:trHeight w:val="47"/>
        </w:trPr>
        <w:tc>
          <w:tcPr>
            <w:tcW w:w="3114" w:type="dxa"/>
          </w:tcPr>
          <w:p w14:paraId="6194964F"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5737D5" w14:textId="77777777" w:rsidR="006B7C8D" w:rsidRPr="00650EE4" w:rsidRDefault="006B7C8D" w:rsidP="005A369A">
            <w:pPr>
              <w:spacing w:after="60"/>
              <w:rPr>
                <w:rFonts w:ascii="Times New Roman" w:hAnsi="Times New Roman"/>
                <w:szCs w:val="22"/>
                <w:lang w:eastAsia="lt-LT"/>
              </w:rPr>
            </w:pPr>
            <w:r w:rsidRPr="00650EE4">
              <w:rPr>
                <w:rFonts w:ascii="Times New Roman" w:hAnsi="Times New Roman"/>
                <w:szCs w:val="22"/>
                <w:lang w:eastAsia="lt-LT"/>
              </w:rPr>
              <w:t>Finansavimo ir jo intensyvumo susiejimas su energijos taupymo tikslais</w:t>
            </w:r>
          </w:p>
        </w:tc>
      </w:tr>
      <w:tr w:rsidR="006B7C8D" w:rsidRPr="00650EE4" w14:paraId="1363251F" w14:textId="77777777" w:rsidTr="006A60B7">
        <w:trPr>
          <w:trHeight w:val="47"/>
        </w:trPr>
        <w:tc>
          <w:tcPr>
            <w:tcW w:w="3114" w:type="dxa"/>
          </w:tcPr>
          <w:p w14:paraId="48B543AB"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6CF1CD70" w14:textId="77777777" w:rsidR="006B7C8D" w:rsidRPr="00650EE4" w:rsidRDefault="006B7C8D" w:rsidP="005A369A">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3D51C115" w14:textId="77777777" w:rsidTr="006A60B7">
        <w:trPr>
          <w:trHeight w:val="54"/>
        </w:trPr>
        <w:tc>
          <w:tcPr>
            <w:tcW w:w="3114" w:type="dxa"/>
          </w:tcPr>
          <w:p w14:paraId="5D93CB3C" w14:textId="77777777" w:rsidR="006B7C8D" w:rsidRPr="00650EE4" w:rsidRDefault="006B7C8D" w:rsidP="005A369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9E8A6C0" w14:textId="1FD00451" w:rsidR="006B7C8D" w:rsidRPr="00650EE4" w:rsidRDefault="003B0AA3" w:rsidP="003B0AA3">
            <w:pPr>
              <w:spacing w:after="60"/>
              <w:rPr>
                <w:rFonts w:ascii="Times New Roman" w:hAnsi="Times New Roman"/>
                <w:szCs w:val="22"/>
                <w:lang w:eastAsia="lt-LT"/>
              </w:rPr>
            </w:pPr>
            <w:r w:rsidRPr="00650EE4">
              <w:rPr>
                <w:rFonts w:ascii="Times New Roman" w:hAnsi="Times New Roman"/>
                <w:szCs w:val="22"/>
                <w:lang w:eastAsia="lt-LT"/>
              </w:rPr>
              <w:t>Trumpas</w:t>
            </w:r>
            <w:r w:rsidR="006B7C8D" w:rsidRPr="00650EE4">
              <w:rPr>
                <w:rFonts w:ascii="Times New Roman" w:hAnsi="Times New Roman"/>
                <w:szCs w:val="22"/>
                <w:lang w:eastAsia="lt-LT"/>
              </w:rPr>
              <w:t xml:space="preserve"> laikotarpis</w:t>
            </w:r>
          </w:p>
        </w:tc>
      </w:tr>
    </w:tbl>
    <w:p w14:paraId="66BCC2F0" w14:textId="77777777" w:rsidR="00CA5A61" w:rsidRPr="00650EE4" w:rsidRDefault="00CA5A61" w:rsidP="00CA5A61">
      <w:pPr>
        <w:jc w:val="both"/>
        <w:rPr>
          <w:rFonts w:ascii="Times New Roman" w:hAnsi="Times New Roman"/>
          <w:color w:val="000000" w:themeColor="text1"/>
          <w:szCs w:val="22"/>
        </w:rPr>
      </w:pPr>
    </w:p>
    <w:p w14:paraId="4ED7E061" w14:textId="08E57B6D"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9</w:t>
      </w:r>
      <w:r w:rsidRPr="00650EE4">
        <w:rPr>
          <w:rFonts w:ascii="Times New Roman" w:hAnsi="Times New Roman"/>
          <w:b/>
          <w:bCs/>
          <w:szCs w:val="24"/>
        </w:rPr>
        <w:t>. Racionalios renovacijos skatinimas</w:t>
      </w:r>
    </w:p>
    <w:p w14:paraId="7E9AAB6E" w14:textId="2D4DE298" w:rsidR="00E00C6E" w:rsidRPr="00E00C6E" w:rsidRDefault="00E00C6E" w:rsidP="00E00C6E">
      <w:pPr>
        <w:pStyle w:val="BodyText"/>
        <w:jc w:val="both"/>
        <w:rPr>
          <w:rFonts w:ascii="Times New Roman" w:hAnsi="Times New Roman"/>
          <w:color w:val="000000" w:themeColor="text1"/>
          <w:szCs w:val="22"/>
          <w:lang w:val="lt-LT"/>
        </w:rPr>
      </w:pPr>
      <w:r>
        <w:rPr>
          <w:rFonts w:ascii="Times New Roman" w:hAnsi="Times New Roman"/>
          <w:color w:val="000000" w:themeColor="text1"/>
          <w:szCs w:val="22"/>
          <w:lang w:val="lt-LT"/>
        </w:rPr>
        <w:t>ES direktyvų nuostatos</w:t>
      </w:r>
      <w:r w:rsidRPr="009A0B03">
        <w:rPr>
          <w:rStyle w:val="FootnoteReference"/>
          <w:rFonts w:ascii="Times New Roman" w:hAnsi="Times New Roman"/>
          <w:color w:val="000000" w:themeColor="text1"/>
          <w:szCs w:val="22"/>
          <w:lang w:val="lt-LT"/>
        </w:rPr>
        <w:footnoteReference w:id="56"/>
      </w:r>
      <w:r w:rsidRPr="00E00C6E">
        <w:rPr>
          <w:rFonts w:ascii="Times New Roman" w:hAnsi="Times New Roman"/>
          <w:color w:val="000000" w:themeColor="text1"/>
          <w:szCs w:val="22"/>
          <w:lang w:val="lt-LT"/>
        </w:rPr>
        <w:t xml:space="preserve"> numato, kad IRS turi skatinti ekonomiškai efektyvią renovaciją t.y. paramos priemonės turėtų būti formuojamos atsižvelgiant racionalų išteklių panaudojimą, siekiant IRS nustatytų tikslų. </w:t>
      </w:r>
    </w:p>
    <w:p w14:paraId="0EAF8ECE" w14:textId="77777777" w:rsidR="00E00C6E" w:rsidRPr="00E00C6E" w:rsidRDefault="00E00C6E" w:rsidP="00E00C6E">
      <w:pPr>
        <w:pStyle w:val="BodyText"/>
        <w:jc w:val="both"/>
        <w:rPr>
          <w:rFonts w:ascii="Times New Roman" w:hAnsi="Times New Roman"/>
          <w:color w:val="000000" w:themeColor="text1"/>
          <w:szCs w:val="22"/>
          <w:lang w:val="lt-LT"/>
        </w:rPr>
      </w:pPr>
    </w:p>
    <w:p w14:paraId="00063833" w14:textId="70B62251" w:rsidR="00E00C6E" w:rsidRPr="00E00C6E"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Atitinkamai, racionalios (ekonomiškai efektyvios) renovacijos siekis turėtų atsi</w:t>
      </w:r>
      <w:r>
        <w:rPr>
          <w:rFonts w:ascii="Times New Roman" w:hAnsi="Times New Roman"/>
          <w:color w:val="000000" w:themeColor="text1"/>
          <w:szCs w:val="22"/>
          <w:lang w:val="lt-LT"/>
        </w:rPr>
        <w:t>s</w:t>
      </w:r>
      <w:r w:rsidRPr="00E00C6E">
        <w:rPr>
          <w:rFonts w:ascii="Times New Roman" w:hAnsi="Times New Roman"/>
          <w:color w:val="000000" w:themeColor="text1"/>
          <w:szCs w:val="22"/>
          <w:lang w:val="lt-LT"/>
        </w:rPr>
        <w:t xml:space="preserve">pindėti ir rengiamame paramos priemonių pakete, pvz. nustatant ekonomiškai efektyvios renovacijos standartus ir pagal juos ribojant investicijų finansavimo apimtis. Tokiu būdu nebūtų ribojamas pastato savininko pasirinkimas rinktis jo norimus renovacijos techninius sprendinius (pvz., prabangų pastato fasadą), tačiau tokių investicijų finansavimo intensyvumas būtų proporcingai mažesnis, nei ekonomiškai efektyvių investicijų atveju. </w:t>
      </w:r>
    </w:p>
    <w:p w14:paraId="09A6BB52" w14:textId="77777777" w:rsidR="00E00C6E" w:rsidRPr="00E00C6E" w:rsidRDefault="00E00C6E" w:rsidP="00E00C6E">
      <w:pPr>
        <w:pStyle w:val="BodyText"/>
        <w:jc w:val="both"/>
        <w:rPr>
          <w:rFonts w:ascii="Times New Roman" w:hAnsi="Times New Roman"/>
          <w:color w:val="000000" w:themeColor="text1"/>
          <w:szCs w:val="22"/>
          <w:lang w:val="lt-LT"/>
        </w:rPr>
      </w:pPr>
    </w:p>
    <w:p w14:paraId="5C6CF482" w14:textId="4D687728" w:rsidR="00E00C6E" w:rsidRPr="00E00C6E"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Analogiškas principas būtų taikomas ir pastato savininkui (-</w:t>
      </w:r>
      <w:proofErr w:type="spellStart"/>
      <w:r w:rsidRPr="00E00C6E">
        <w:rPr>
          <w:rFonts w:ascii="Times New Roman" w:hAnsi="Times New Roman"/>
          <w:color w:val="000000" w:themeColor="text1"/>
          <w:szCs w:val="22"/>
          <w:lang w:val="lt-LT"/>
        </w:rPr>
        <w:t>ams</w:t>
      </w:r>
      <w:proofErr w:type="spellEnd"/>
      <w:r w:rsidRPr="00E00C6E">
        <w:rPr>
          <w:rFonts w:ascii="Times New Roman" w:hAnsi="Times New Roman"/>
          <w:color w:val="000000" w:themeColor="text1"/>
          <w:szCs w:val="22"/>
          <w:lang w:val="lt-LT"/>
        </w:rPr>
        <w:t>) nusprendus neefektyvų pastatą ne renovuoti, o jį griauti ir statyti naują. Esamo pastato griovimas ir naujo pastato pastatymas IRS tikslų (siektinų rodiklių) kontekste yra lygiavertė alternatyva pastato renovacija</w:t>
      </w:r>
      <w:r>
        <w:rPr>
          <w:rFonts w:ascii="Times New Roman" w:hAnsi="Times New Roman"/>
          <w:color w:val="000000" w:themeColor="text1"/>
          <w:szCs w:val="22"/>
          <w:lang w:val="lt-LT"/>
        </w:rPr>
        <w:t>i</w:t>
      </w:r>
      <w:r w:rsidRPr="00E00C6E">
        <w:rPr>
          <w:rFonts w:ascii="Times New Roman" w:hAnsi="Times New Roman"/>
          <w:color w:val="000000" w:themeColor="text1"/>
          <w:szCs w:val="22"/>
          <w:lang w:val="lt-LT"/>
        </w:rPr>
        <w:t xml:space="preserve"> iki tos pačios energinio naudingumo klasės, tik su reikšmingai didesniu investicijų poreikiu. Su pastato griovimu ir naujo pastato pastatymu susijusių esminių papildomų naudų (pvz. būsto vertės padidėjimas) gavėjas yra pastato savininkas. Atitinkamai, iš IRS įgyvendinimo perspektyvos, D energinio naudingumo klasės pastato nugriovimas ir naujo A++ energinio naudingumo klasės pastato pastatymas turėtų būti finansuojamas ta pačia suma (absoliučiais skaičiais) kaip ir to pastato renovavimas iki A++ energinio naudingumo klasės. Papildomų investicijų poreikis turėtų būti finansuojam</w:t>
      </w:r>
      <w:r>
        <w:rPr>
          <w:rFonts w:ascii="Times New Roman" w:hAnsi="Times New Roman"/>
          <w:color w:val="000000" w:themeColor="text1"/>
          <w:szCs w:val="22"/>
          <w:lang w:val="lt-LT"/>
        </w:rPr>
        <w:t>a</w:t>
      </w:r>
      <w:r w:rsidRPr="00E00C6E">
        <w:rPr>
          <w:rFonts w:ascii="Times New Roman" w:hAnsi="Times New Roman"/>
          <w:color w:val="000000" w:themeColor="text1"/>
          <w:szCs w:val="22"/>
          <w:lang w:val="lt-LT"/>
        </w:rPr>
        <w:t xml:space="preserve">s pastato savininko lėšomis ar kitais sprendimais (pvz., pastato </w:t>
      </w:r>
      <w:proofErr w:type="spellStart"/>
      <w:r w:rsidRPr="00E00C6E">
        <w:rPr>
          <w:rFonts w:ascii="Times New Roman" w:hAnsi="Times New Roman"/>
          <w:color w:val="000000" w:themeColor="text1"/>
          <w:szCs w:val="22"/>
          <w:lang w:val="lt-LT"/>
        </w:rPr>
        <w:t>aukštingumo</w:t>
      </w:r>
      <w:proofErr w:type="spellEnd"/>
      <w:r w:rsidRPr="00E00C6E">
        <w:rPr>
          <w:rFonts w:ascii="Times New Roman" w:hAnsi="Times New Roman"/>
          <w:color w:val="000000" w:themeColor="text1"/>
          <w:szCs w:val="22"/>
          <w:lang w:val="lt-LT"/>
        </w:rPr>
        <w:t xml:space="preserve"> didinimu)</w:t>
      </w:r>
      <w:r>
        <w:rPr>
          <w:rFonts w:ascii="Times New Roman" w:hAnsi="Times New Roman"/>
          <w:color w:val="000000" w:themeColor="text1"/>
          <w:szCs w:val="22"/>
          <w:lang w:val="lt-LT"/>
        </w:rPr>
        <w:t>, arba kitomis valstybinėmis fi</w:t>
      </w:r>
      <w:r w:rsidRPr="00E00C6E">
        <w:rPr>
          <w:rFonts w:ascii="Times New Roman" w:hAnsi="Times New Roman"/>
          <w:color w:val="000000" w:themeColor="text1"/>
          <w:szCs w:val="22"/>
          <w:lang w:val="lt-LT"/>
        </w:rPr>
        <w:t>n</w:t>
      </w:r>
      <w:r>
        <w:rPr>
          <w:rFonts w:ascii="Times New Roman" w:hAnsi="Times New Roman"/>
          <w:color w:val="000000" w:themeColor="text1"/>
          <w:szCs w:val="22"/>
          <w:lang w:val="lt-LT"/>
        </w:rPr>
        <w:t>an</w:t>
      </w:r>
      <w:r w:rsidRPr="00E00C6E">
        <w:rPr>
          <w:rFonts w:ascii="Times New Roman" w:hAnsi="Times New Roman"/>
          <w:color w:val="000000" w:themeColor="text1"/>
          <w:szCs w:val="22"/>
          <w:lang w:val="lt-LT"/>
        </w:rPr>
        <w:t xml:space="preserve">savimo programomis (pvz., valstybės ar savivaldos lygmeniu nusprendus investuoti į urbanistinę darną). </w:t>
      </w:r>
    </w:p>
    <w:p w14:paraId="5AECFDCE" w14:textId="77777777" w:rsidR="00E00C6E" w:rsidRPr="00E00C6E" w:rsidRDefault="00E00C6E" w:rsidP="00E00C6E">
      <w:pPr>
        <w:pStyle w:val="BodyText"/>
        <w:jc w:val="both"/>
        <w:rPr>
          <w:rFonts w:ascii="Times New Roman" w:hAnsi="Times New Roman"/>
          <w:color w:val="000000" w:themeColor="text1"/>
          <w:szCs w:val="22"/>
          <w:lang w:val="lt-LT"/>
        </w:rPr>
      </w:pPr>
    </w:p>
    <w:p w14:paraId="273CB158" w14:textId="05AFE982" w:rsidR="00B414A4" w:rsidRPr="00650EE4" w:rsidRDefault="00E00C6E" w:rsidP="00E00C6E">
      <w:pPr>
        <w:pStyle w:val="BodyText"/>
        <w:jc w:val="both"/>
        <w:rPr>
          <w:rFonts w:ascii="Times New Roman" w:hAnsi="Times New Roman"/>
          <w:color w:val="000000" w:themeColor="text1"/>
          <w:szCs w:val="22"/>
          <w:lang w:val="lt-LT"/>
        </w:rPr>
      </w:pPr>
      <w:r w:rsidRPr="00E00C6E">
        <w:rPr>
          <w:rFonts w:ascii="Times New Roman" w:hAnsi="Times New Roman"/>
          <w:color w:val="000000" w:themeColor="text1"/>
          <w:szCs w:val="22"/>
          <w:lang w:val="lt-LT"/>
        </w:rPr>
        <w:t>Taip pat, formuojant paramos priemonių paketą, svarbu įvertinti, kad racional</w:t>
      </w:r>
      <w:r>
        <w:rPr>
          <w:rFonts w:ascii="Times New Roman" w:hAnsi="Times New Roman"/>
          <w:color w:val="000000" w:themeColor="text1"/>
          <w:szCs w:val="22"/>
          <w:lang w:val="lt-LT"/>
        </w:rPr>
        <w:t>i</w:t>
      </w:r>
      <w:r w:rsidRPr="00E00C6E">
        <w:rPr>
          <w:rFonts w:ascii="Times New Roman" w:hAnsi="Times New Roman"/>
          <w:color w:val="000000" w:themeColor="text1"/>
          <w:szCs w:val="22"/>
          <w:lang w:val="lt-LT"/>
        </w:rPr>
        <w:t xml:space="preserve">os renovacijos principas reikalauja atsižvelgti ir į priemonių taikymo eiliškumą, pvz. finansuojant energijos gamybos šaltinių įsigijimą (keitimą) turėtų būti finansuojama tik ta investicijų dalis kuri būtų reikalinga energetiškai efektyviam pastatui. Neįvertinus šios aplinkybės ir </w:t>
      </w:r>
      <w:proofErr w:type="spellStart"/>
      <w:r w:rsidRPr="00E00C6E">
        <w:rPr>
          <w:rFonts w:ascii="Times New Roman" w:hAnsi="Times New Roman"/>
          <w:color w:val="000000" w:themeColor="text1"/>
          <w:szCs w:val="22"/>
          <w:lang w:val="lt-LT"/>
        </w:rPr>
        <w:t>energiškai</w:t>
      </w:r>
      <w:proofErr w:type="spellEnd"/>
      <w:r w:rsidRPr="00E00C6E">
        <w:rPr>
          <w:rFonts w:ascii="Times New Roman" w:hAnsi="Times New Roman"/>
          <w:color w:val="000000" w:themeColor="text1"/>
          <w:szCs w:val="22"/>
          <w:lang w:val="lt-LT"/>
        </w:rPr>
        <w:t xml:space="preserve"> neefektyvaus pastato renovaciją pradėjus nuo energijos gamybos šaltinio keitimo (parinkto remiantis faktiniu gamybos pajėgumų poreikiu), tikėtina, kad vėliau, </w:t>
      </w:r>
      <w:r>
        <w:rPr>
          <w:rFonts w:ascii="Times New Roman" w:hAnsi="Times New Roman"/>
          <w:color w:val="000000" w:themeColor="text1"/>
          <w:szCs w:val="22"/>
          <w:lang w:val="lt-LT"/>
        </w:rPr>
        <w:t>investavus į</w:t>
      </w:r>
      <w:r w:rsidRPr="00E00C6E">
        <w:rPr>
          <w:rFonts w:ascii="Times New Roman" w:hAnsi="Times New Roman"/>
          <w:color w:val="000000" w:themeColor="text1"/>
          <w:szCs w:val="22"/>
          <w:lang w:val="lt-LT"/>
        </w:rPr>
        <w:t xml:space="preserve"> pastato sandarum</w:t>
      </w:r>
      <w:r w:rsidR="00DE1EA7">
        <w:rPr>
          <w:rFonts w:ascii="Times New Roman" w:hAnsi="Times New Roman"/>
          <w:color w:val="000000" w:themeColor="text1"/>
          <w:szCs w:val="22"/>
          <w:lang w:val="lt-LT"/>
        </w:rPr>
        <w:t>ą</w:t>
      </w:r>
      <w:r w:rsidRPr="00E00C6E">
        <w:rPr>
          <w:rFonts w:ascii="Times New Roman" w:hAnsi="Times New Roman"/>
          <w:color w:val="000000" w:themeColor="text1"/>
          <w:szCs w:val="22"/>
          <w:lang w:val="lt-LT"/>
        </w:rPr>
        <w:t>, instaliuoti gamybiniai pajėgumai taptų pertekliniais ir neefektyviais, o atliktos investicijos į gamybos šaltinio keitimą ekonomiškai neracionaliomis.</w:t>
      </w:r>
    </w:p>
    <w:p w14:paraId="736F363B" w14:textId="77777777" w:rsidR="008D442E" w:rsidRPr="00650EE4" w:rsidRDefault="008D442E" w:rsidP="0012506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E2473" w:rsidRPr="00650EE4" w14:paraId="79FA647A" w14:textId="77777777" w:rsidTr="00103CEF">
        <w:trPr>
          <w:trHeight w:val="198"/>
        </w:trPr>
        <w:tc>
          <w:tcPr>
            <w:tcW w:w="3114" w:type="dxa"/>
          </w:tcPr>
          <w:p w14:paraId="672B103E" w14:textId="77777777" w:rsidR="000E2473" w:rsidRPr="00650EE4" w:rsidRDefault="000E2473" w:rsidP="00103CEF">
            <w:pPr>
              <w:rPr>
                <w:rFonts w:ascii="Times New Roman" w:hAnsi="Times New Roman"/>
                <w:b/>
                <w:bCs/>
                <w:szCs w:val="22"/>
              </w:rPr>
            </w:pPr>
            <w:r w:rsidRPr="00650EE4">
              <w:rPr>
                <w:rFonts w:ascii="Times New Roman" w:hAnsi="Times New Roman"/>
                <w:b/>
                <w:bCs/>
                <w:szCs w:val="22"/>
              </w:rPr>
              <w:t>Sprendžiama problema</w:t>
            </w:r>
          </w:p>
        </w:tc>
        <w:tc>
          <w:tcPr>
            <w:tcW w:w="7089" w:type="dxa"/>
          </w:tcPr>
          <w:p w14:paraId="7A1B0777" w14:textId="46E0F9DE" w:rsidR="000E2473" w:rsidRPr="00650EE4" w:rsidRDefault="000E2473" w:rsidP="00103CEF">
            <w:pPr>
              <w:spacing w:after="60"/>
              <w:rPr>
                <w:rFonts w:ascii="Times New Roman" w:hAnsi="Times New Roman"/>
                <w:szCs w:val="22"/>
                <w:lang w:eastAsia="lt-LT"/>
              </w:rPr>
            </w:pPr>
            <w:r w:rsidRPr="00650EE4">
              <w:rPr>
                <w:rFonts w:ascii="Times New Roman" w:hAnsi="Times New Roman"/>
                <w:szCs w:val="22"/>
                <w:lang w:eastAsia="lt-LT"/>
              </w:rPr>
              <w:t>B7. Neišnaudotas visa</w:t>
            </w:r>
            <w:r w:rsidR="00103CEF" w:rsidRPr="00650EE4">
              <w:rPr>
                <w:rFonts w:ascii="Times New Roman" w:hAnsi="Times New Roman"/>
                <w:szCs w:val="22"/>
                <w:lang w:eastAsia="lt-LT"/>
              </w:rPr>
              <w:t>s renovacijos naudų potencialas</w:t>
            </w:r>
          </w:p>
        </w:tc>
      </w:tr>
      <w:tr w:rsidR="006B7C8D" w:rsidRPr="00650EE4" w14:paraId="23470A7B" w14:textId="77777777" w:rsidTr="006A60B7">
        <w:trPr>
          <w:trHeight w:val="463"/>
        </w:trPr>
        <w:tc>
          <w:tcPr>
            <w:tcW w:w="3114" w:type="dxa"/>
          </w:tcPr>
          <w:p w14:paraId="15ED8D1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54A6D11"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Finansavimo ir jo intensyvumo susiejimas su renovacijos priemonių racionaliu taikymu</w:t>
            </w:r>
          </w:p>
        </w:tc>
      </w:tr>
      <w:tr w:rsidR="006B7C8D" w:rsidRPr="00650EE4" w14:paraId="56B345DA" w14:textId="77777777" w:rsidTr="006A60B7">
        <w:trPr>
          <w:trHeight w:val="94"/>
        </w:trPr>
        <w:tc>
          <w:tcPr>
            <w:tcW w:w="3114" w:type="dxa"/>
          </w:tcPr>
          <w:p w14:paraId="7769DA56"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2EA0449"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1008A7AD" w14:textId="77777777" w:rsidTr="006A60B7">
        <w:trPr>
          <w:trHeight w:val="55"/>
        </w:trPr>
        <w:tc>
          <w:tcPr>
            <w:tcW w:w="3114" w:type="dxa"/>
          </w:tcPr>
          <w:p w14:paraId="368B9429"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3BFCC2D"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Vidutinis</w:t>
            </w:r>
          </w:p>
        </w:tc>
      </w:tr>
    </w:tbl>
    <w:p w14:paraId="37155CB5" w14:textId="0B33D178" w:rsidR="002D0232" w:rsidRPr="00650EE4" w:rsidRDefault="002D0232" w:rsidP="008D442E">
      <w:pPr>
        <w:spacing w:after="120"/>
        <w:rPr>
          <w:rFonts w:ascii="Times New Roman" w:hAnsi="Times New Roman"/>
          <w:color w:val="000000" w:themeColor="text1"/>
          <w:szCs w:val="22"/>
        </w:rPr>
      </w:pPr>
    </w:p>
    <w:p w14:paraId="531EDC60" w14:textId="77777777" w:rsidR="00B66665" w:rsidRPr="00C72F91" w:rsidRDefault="00B66665" w:rsidP="00B66665">
      <w:pPr>
        <w:spacing w:after="120"/>
        <w:jc w:val="both"/>
        <w:rPr>
          <w:rFonts w:ascii="Times New Roman" w:hAnsi="Times New Roman"/>
          <w:b/>
          <w:bCs/>
          <w:szCs w:val="24"/>
        </w:rPr>
      </w:pPr>
      <w:r w:rsidRPr="00C72F91">
        <w:rPr>
          <w:rFonts w:ascii="Times New Roman" w:hAnsi="Times New Roman"/>
          <w:b/>
          <w:bCs/>
          <w:szCs w:val="24"/>
        </w:rPr>
        <w:t>P10. Nulinių CO</w:t>
      </w:r>
      <w:r w:rsidRPr="00C72F91">
        <w:rPr>
          <w:rFonts w:ascii="Times New Roman" w:hAnsi="Times New Roman"/>
          <w:b/>
          <w:bCs/>
          <w:szCs w:val="24"/>
          <w:vertAlign w:val="subscript"/>
        </w:rPr>
        <w:t>2</w:t>
      </w:r>
      <w:r w:rsidRPr="00C72F91">
        <w:rPr>
          <w:rFonts w:ascii="Times New Roman" w:hAnsi="Times New Roman"/>
          <w:b/>
          <w:bCs/>
          <w:szCs w:val="24"/>
        </w:rPr>
        <w:t xml:space="preserve"> emisijų siekis</w:t>
      </w:r>
    </w:p>
    <w:p w14:paraId="61F93CA5" w14:textId="79A67497" w:rsidR="00B66665" w:rsidRPr="006D52CB" w:rsidRDefault="00B66665" w:rsidP="00B66665">
      <w:pPr>
        <w:pStyle w:val="BodyText"/>
        <w:spacing w:after="120"/>
        <w:ind w:left="720" w:hanging="720"/>
        <w:jc w:val="both"/>
        <w:rPr>
          <w:rFonts w:ascii="Times New Roman" w:hAnsi="Times New Roman"/>
          <w:color w:val="000000" w:themeColor="text1"/>
          <w:szCs w:val="22"/>
          <w:lang w:val="lt-LT"/>
        </w:rPr>
      </w:pPr>
      <w:r w:rsidRPr="00C72F91">
        <w:rPr>
          <w:rFonts w:ascii="Times New Roman" w:hAnsi="Times New Roman"/>
          <w:color w:val="000000" w:themeColor="text1"/>
          <w:szCs w:val="22"/>
          <w:lang w:val="lt-LT"/>
        </w:rPr>
        <w:t>Tikslas iki 2050 m. pasiekti nulines 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emisijas </w:t>
      </w:r>
      <w:r>
        <w:rPr>
          <w:rFonts w:ascii="Times New Roman" w:hAnsi="Times New Roman"/>
          <w:color w:val="000000" w:themeColor="text1"/>
          <w:szCs w:val="22"/>
          <w:lang w:val="lt-LT"/>
        </w:rPr>
        <w:t>p</w:t>
      </w:r>
      <w:r w:rsidRPr="00C72F91">
        <w:rPr>
          <w:rFonts w:ascii="Times New Roman" w:hAnsi="Times New Roman"/>
          <w:color w:val="000000" w:themeColor="text1"/>
          <w:szCs w:val="22"/>
          <w:lang w:val="lt-LT"/>
        </w:rPr>
        <w:t>astatų</w:t>
      </w:r>
      <w:r w:rsidRPr="006D52CB">
        <w:rPr>
          <w:rFonts w:ascii="Times New Roman" w:hAnsi="Times New Roman"/>
          <w:color w:val="000000" w:themeColor="text1"/>
          <w:szCs w:val="22"/>
          <w:lang w:val="lt-LT"/>
        </w:rPr>
        <w:t xml:space="preserve"> fonde, reikalauja trijų esminių sąlygų išpildymo:</w:t>
      </w:r>
    </w:p>
    <w:p w14:paraId="319863C1" w14:textId="705A5B8B" w:rsidR="00B66665" w:rsidRPr="00C3756B"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Pr="00C3756B">
        <w:rPr>
          <w:rFonts w:ascii="Times New Roman" w:hAnsi="Times New Roman"/>
          <w:color w:val="000000" w:themeColor="text1"/>
          <w:szCs w:val="22"/>
          <w:lang w:val="lt-LT"/>
        </w:rPr>
        <w:t xml:space="preserve">lektros sektorius turi 100% transformuotis į nulinių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sidRPr="00C3756B">
        <w:rPr>
          <w:rFonts w:ascii="Times New Roman" w:hAnsi="Times New Roman"/>
          <w:color w:val="000000" w:themeColor="text1"/>
          <w:szCs w:val="22"/>
          <w:lang w:val="lt-LT"/>
        </w:rPr>
        <w:t>emisij</w:t>
      </w:r>
      <w:r>
        <w:rPr>
          <w:rFonts w:ascii="Times New Roman" w:hAnsi="Times New Roman"/>
          <w:color w:val="000000" w:themeColor="text1"/>
          <w:szCs w:val="22"/>
          <w:lang w:val="lt-LT"/>
        </w:rPr>
        <w:t>ų sektorių;</w:t>
      </w:r>
    </w:p>
    <w:p w14:paraId="3E37A679" w14:textId="1AE47B58" w:rsidR="00B66665" w:rsidRPr="00C3756B"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C3756B">
        <w:rPr>
          <w:rFonts w:ascii="Times New Roman" w:hAnsi="Times New Roman"/>
          <w:color w:val="000000" w:themeColor="text1"/>
          <w:szCs w:val="22"/>
          <w:lang w:val="lt-LT"/>
        </w:rPr>
        <w:t xml:space="preserve">CŠT  sektorius turi 100% transformuotis į nulinių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emisijų sektorių;</w:t>
      </w:r>
    </w:p>
    <w:p w14:paraId="77FA551B" w14:textId="77F7ABEF" w:rsidR="00B66665" w:rsidRPr="001D07EA"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dabartiniame (2020 m.) p</w:t>
      </w:r>
      <w:r w:rsidRPr="00C3756B">
        <w:rPr>
          <w:rFonts w:ascii="Times New Roman" w:hAnsi="Times New Roman"/>
          <w:color w:val="000000" w:themeColor="text1"/>
          <w:szCs w:val="22"/>
          <w:lang w:val="lt-LT"/>
        </w:rPr>
        <w:t>astatų fonde neturi likti nei vieno prie CŠT neprijungto pastato s</w:t>
      </w:r>
      <w:r>
        <w:rPr>
          <w:rFonts w:ascii="Times New Roman" w:hAnsi="Times New Roman"/>
          <w:color w:val="000000" w:themeColor="text1"/>
          <w:szCs w:val="22"/>
          <w:lang w:val="lt-LT"/>
        </w:rPr>
        <w:t>u individualiu gamybos šaltiniu,</w:t>
      </w:r>
      <w:r w:rsidRPr="001D07EA">
        <w:rPr>
          <w:rFonts w:ascii="Times New Roman" w:hAnsi="Times New Roman"/>
          <w:color w:val="000000" w:themeColor="text1"/>
          <w:szCs w:val="22"/>
          <w:lang w:val="lt-LT"/>
        </w:rPr>
        <w:t xml:space="preserve"> naudojančiu iškastinį kurą.</w:t>
      </w:r>
    </w:p>
    <w:p w14:paraId="599FF540" w14:textId="5A78D7DD" w:rsidR="00B66665" w:rsidRDefault="00B66665" w:rsidP="00B66665">
      <w:pPr>
        <w:spacing w:before="120" w:after="60"/>
        <w:jc w:val="both"/>
        <w:rPr>
          <w:rFonts w:ascii="Times New Roman" w:hAnsi="Times New Roman"/>
          <w:color w:val="000000" w:themeColor="text1"/>
          <w:szCs w:val="22"/>
        </w:rPr>
      </w:pPr>
      <w:r w:rsidRPr="006D52CB">
        <w:rPr>
          <w:rFonts w:ascii="Times New Roman" w:hAnsi="Times New Roman"/>
          <w:color w:val="000000" w:themeColor="text1"/>
          <w:szCs w:val="22"/>
        </w:rPr>
        <w:t xml:space="preserve">Akivaizdu, kad </w:t>
      </w:r>
      <w:r>
        <w:rPr>
          <w:rFonts w:ascii="Times New Roman" w:hAnsi="Times New Roman"/>
          <w:color w:val="000000" w:themeColor="text1"/>
          <w:szCs w:val="22"/>
        </w:rPr>
        <w:t xml:space="preserve">siekiant šių tikslų reikalingos ne tik </w:t>
      </w:r>
      <w:r w:rsidRPr="006D52CB">
        <w:rPr>
          <w:rFonts w:ascii="Times New Roman" w:hAnsi="Times New Roman"/>
          <w:color w:val="000000" w:themeColor="text1"/>
          <w:szCs w:val="22"/>
        </w:rPr>
        <w:t xml:space="preserve">koordinuotos </w:t>
      </w:r>
      <w:proofErr w:type="spellStart"/>
      <w:r w:rsidRPr="006D52CB">
        <w:rPr>
          <w:rFonts w:ascii="Times New Roman" w:hAnsi="Times New Roman"/>
          <w:color w:val="000000" w:themeColor="text1"/>
          <w:szCs w:val="22"/>
        </w:rPr>
        <w:t>tarpinstitucinės</w:t>
      </w:r>
      <w:proofErr w:type="spellEnd"/>
      <w:r w:rsidRPr="006D52CB">
        <w:rPr>
          <w:rFonts w:ascii="Times New Roman" w:hAnsi="Times New Roman"/>
          <w:color w:val="000000" w:themeColor="text1"/>
          <w:szCs w:val="22"/>
        </w:rPr>
        <w:t xml:space="preserve"> pastangos</w:t>
      </w:r>
      <w:r>
        <w:rPr>
          <w:rFonts w:ascii="Times New Roman" w:hAnsi="Times New Roman"/>
          <w:color w:val="000000" w:themeColor="text1"/>
          <w:szCs w:val="22"/>
        </w:rPr>
        <w:t xml:space="preserve"> ir</w:t>
      </w:r>
      <w:r w:rsidRPr="006D52CB">
        <w:rPr>
          <w:rFonts w:ascii="Times New Roman" w:hAnsi="Times New Roman"/>
          <w:color w:val="000000" w:themeColor="text1"/>
          <w:szCs w:val="22"/>
        </w:rPr>
        <w:t xml:space="preserve"> aiškiai į tikslą nukreipta</w:t>
      </w:r>
      <w:r>
        <w:rPr>
          <w:rFonts w:ascii="Times New Roman" w:hAnsi="Times New Roman"/>
          <w:color w:val="000000" w:themeColor="text1"/>
          <w:szCs w:val="22"/>
        </w:rPr>
        <w:t xml:space="preserve"> ir </w:t>
      </w:r>
      <w:r w:rsidRPr="006D52CB">
        <w:rPr>
          <w:rFonts w:ascii="Times New Roman" w:hAnsi="Times New Roman"/>
          <w:color w:val="000000" w:themeColor="text1"/>
          <w:szCs w:val="22"/>
        </w:rPr>
        <w:t>subalansuota paskatų bei nuobaudų sistema</w:t>
      </w:r>
      <w:r>
        <w:rPr>
          <w:rFonts w:ascii="Times New Roman" w:hAnsi="Times New Roman"/>
          <w:color w:val="000000" w:themeColor="text1"/>
          <w:szCs w:val="22"/>
        </w:rPr>
        <w:t xml:space="preserve"> bet ir platesnio masto išorinių veiksnių </w:t>
      </w:r>
      <w:proofErr w:type="spellStart"/>
      <w:r>
        <w:rPr>
          <w:rFonts w:ascii="Times New Roman" w:hAnsi="Times New Roman"/>
          <w:color w:val="000000" w:themeColor="text1"/>
          <w:szCs w:val="22"/>
        </w:rPr>
        <w:t>stebėsena</w:t>
      </w:r>
      <w:proofErr w:type="spellEnd"/>
      <w:r>
        <w:rPr>
          <w:rFonts w:ascii="Times New Roman" w:hAnsi="Times New Roman"/>
          <w:color w:val="000000" w:themeColor="text1"/>
          <w:szCs w:val="22"/>
        </w:rPr>
        <w:t xml:space="preserve"> pvz.:</w:t>
      </w:r>
    </w:p>
    <w:p w14:paraId="68908F9C" w14:textId="77777777" w:rsidR="00B66665" w:rsidRPr="00376FED"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sidRPr="00376FED">
        <w:rPr>
          <w:rFonts w:ascii="Times New Roman" w:hAnsi="Times New Roman"/>
          <w:color w:val="000000" w:themeColor="text1"/>
          <w:szCs w:val="22"/>
          <w:lang w:val="lt-LT"/>
        </w:rPr>
        <w:t>AEI technologijų raida</w:t>
      </w:r>
      <w:r>
        <w:rPr>
          <w:rFonts w:ascii="Times New Roman" w:hAnsi="Times New Roman"/>
          <w:color w:val="000000" w:themeColor="text1"/>
          <w:szCs w:val="22"/>
          <w:lang w:val="lt-LT"/>
        </w:rPr>
        <w:t>. Š</w:t>
      </w:r>
      <w:r w:rsidRPr="00376FED">
        <w:rPr>
          <w:rFonts w:ascii="Times New Roman" w:hAnsi="Times New Roman"/>
          <w:color w:val="000000" w:themeColor="text1"/>
          <w:szCs w:val="22"/>
          <w:lang w:val="lt-LT"/>
        </w:rPr>
        <w:t xml:space="preserve">iuo metu reikšminga dalis AEI priemonių nėra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sidRPr="00376FED">
        <w:rPr>
          <w:rFonts w:ascii="Times New Roman" w:hAnsi="Times New Roman"/>
          <w:color w:val="000000" w:themeColor="text1"/>
          <w:szCs w:val="22"/>
          <w:lang w:val="lt-LT"/>
        </w:rPr>
        <w:t>neutralios</w:t>
      </w:r>
      <w:r>
        <w:rPr>
          <w:rFonts w:ascii="Times New Roman" w:hAnsi="Times New Roman"/>
          <w:color w:val="000000" w:themeColor="text1"/>
          <w:szCs w:val="22"/>
          <w:lang w:val="lt-LT"/>
        </w:rPr>
        <w:t xml:space="preserve">, todėl net visų pastatų gamybos šaltinius pakeitus į iškastinio kuro nenaudojančius, </w:t>
      </w:r>
      <w:r w:rsidRPr="00C72F91">
        <w:rPr>
          <w:rFonts w:ascii="Times New Roman" w:hAnsi="Times New Roman"/>
          <w:color w:val="000000" w:themeColor="text1"/>
          <w:szCs w:val="22"/>
          <w:lang w:val="lt-LT"/>
        </w:rPr>
        <w:t>CO</w:t>
      </w:r>
      <w:r w:rsidRPr="001E6A74">
        <w:rPr>
          <w:rFonts w:ascii="Times New Roman" w:hAnsi="Times New Roman"/>
          <w:color w:val="000000" w:themeColor="text1"/>
          <w:szCs w:val="22"/>
          <w:vertAlign w:val="subscript"/>
          <w:lang w:val="lt-LT"/>
        </w:rPr>
        <w:t>2</w:t>
      </w:r>
      <w:r w:rsidRPr="00C72F91">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emisijos nebūtų nulinės.</w:t>
      </w:r>
    </w:p>
    <w:p w14:paraId="0CE23B14" w14:textId="77777777" w:rsidR="00B66665" w:rsidRDefault="00B66665" w:rsidP="00B66665">
      <w:pPr>
        <w:pStyle w:val="ListParagraph"/>
        <w:numPr>
          <w:ilvl w:val="3"/>
          <w:numId w:val="47"/>
        </w:numPr>
        <w:spacing w:before="60" w:after="60"/>
        <w:ind w:left="453"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Į</w:t>
      </w:r>
      <w:r w:rsidRPr="00376FED">
        <w:rPr>
          <w:rFonts w:ascii="Times New Roman" w:hAnsi="Times New Roman"/>
          <w:color w:val="000000" w:themeColor="text1"/>
          <w:szCs w:val="22"/>
          <w:lang w:val="lt-LT"/>
        </w:rPr>
        <w:t xml:space="preserve"> tvarumą nukreiptų politikos priemonių </w:t>
      </w:r>
      <w:r>
        <w:rPr>
          <w:rFonts w:ascii="Times New Roman" w:hAnsi="Times New Roman"/>
          <w:color w:val="000000" w:themeColor="text1"/>
          <w:szCs w:val="22"/>
          <w:lang w:val="lt-LT"/>
        </w:rPr>
        <w:t>raida. Pavyzdžiui,</w:t>
      </w:r>
      <w:r w:rsidRPr="00376FED">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pakitus </w:t>
      </w:r>
      <w:r w:rsidRPr="00376FED">
        <w:rPr>
          <w:rFonts w:ascii="Times New Roman" w:hAnsi="Times New Roman"/>
          <w:color w:val="000000" w:themeColor="text1"/>
          <w:szCs w:val="22"/>
          <w:lang w:val="lt-LT"/>
        </w:rPr>
        <w:t xml:space="preserve">biokuro kaip AEI gamybos šaltinio </w:t>
      </w:r>
      <w:r>
        <w:rPr>
          <w:rFonts w:ascii="Times New Roman" w:hAnsi="Times New Roman"/>
          <w:color w:val="000000" w:themeColor="text1"/>
          <w:szCs w:val="22"/>
          <w:lang w:val="lt-LT"/>
        </w:rPr>
        <w:t>statusui, reikšmingai dalis dabartinių AEI gamybos šaltinių pataptų ne AEI ir pan.</w:t>
      </w:r>
      <w:r w:rsidRPr="00376FED">
        <w:rPr>
          <w:rFonts w:ascii="Times New Roman" w:hAnsi="Times New Roman"/>
          <w:color w:val="000000" w:themeColor="text1"/>
          <w:szCs w:val="22"/>
          <w:lang w:val="lt-LT"/>
        </w:rPr>
        <w:t xml:space="preserve"> </w:t>
      </w:r>
    </w:p>
    <w:p w14:paraId="5E0114DA" w14:textId="77777777" w:rsidR="00B66665" w:rsidRPr="000A7D36" w:rsidRDefault="00B66665" w:rsidP="00B66665">
      <w:pPr>
        <w:spacing w:before="120" w:after="60"/>
        <w:ind w:left="96"/>
        <w:jc w:val="both"/>
        <w:rPr>
          <w:rFonts w:ascii="Times New Roman" w:hAnsi="Times New Roman"/>
          <w:color w:val="000000" w:themeColor="text1"/>
          <w:szCs w:val="22"/>
        </w:rPr>
      </w:pPr>
      <w:r>
        <w:rPr>
          <w:rFonts w:ascii="Times New Roman" w:hAnsi="Times New Roman"/>
          <w:color w:val="000000" w:themeColor="text1"/>
          <w:szCs w:val="22"/>
        </w:rPr>
        <w:t>Atitinkamai, siekiant nulinių CO</w:t>
      </w:r>
      <w:r w:rsidRPr="00D27CC0">
        <w:rPr>
          <w:rFonts w:ascii="Times New Roman" w:hAnsi="Times New Roman"/>
          <w:color w:val="000000" w:themeColor="text1"/>
          <w:szCs w:val="22"/>
          <w:vertAlign w:val="subscript"/>
        </w:rPr>
        <w:t>2</w:t>
      </w:r>
      <w:r>
        <w:rPr>
          <w:rFonts w:ascii="Times New Roman" w:hAnsi="Times New Roman"/>
          <w:color w:val="000000" w:themeColor="text1"/>
          <w:szCs w:val="22"/>
        </w:rPr>
        <w:t xml:space="preserve"> emisijų, svarbu periodiškai įvertinti ne tik taikomų priemonių efektyvumą, bet ir išorinės aplinkos pokyčius bei atitinkamai tikslinti IRS nuostatas. </w:t>
      </w:r>
    </w:p>
    <w:p w14:paraId="6A89DDF0" w14:textId="77777777" w:rsidR="00B66665" w:rsidRPr="00C3756B" w:rsidRDefault="00B66665" w:rsidP="00B66665">
      <w:pPr>
        <w:pStyle w:val="ListParagraph"/>
        <w:spacing w:before="60" w:after="60"/>
        <w:ind w:left="453"/>
        <w:contextualSpacing w:val="0"/>
        <w:jc w:val="both"/>
        <w:rPr>
          <w:rFonts w:ascii="Times New Roman" w:hAnsi="Times New Roman"/>
          <w:color w:val="000000" w:themeColor="text1"/>
          <w:szCs w:val="22"/>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46839959" w14:textId="77777777" w:rsidTr="00910123">
        <w:trPr>
          <w:trHeight w:val="240"/>
        </w:trPr>
        <w:tc>
          <w:tcPr>
            <w:tcW w:w="3114" w:type="dxa"/>
          </w:tcPr>
          <w:p w14:paraId="46142BDC"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0EE37170" w14:textId="77777777" w:rsidR="00B66665" w:rsidRPr="00650EE4" w:rsidRDefault="00B66665" w:rsidP="00910123">
            <w:pPr>
              <w:spacing w:after="60"/>
              <w:rPr>
                <w:rFonts w:ascii="Times New Roman" w:hAnsi="Times New Roman"/>
                <w:szCs w:val="22"/>
                <w:lang w:eastAsia="lt-LT"/>
              </w:rPr>
            </w:pPr>
            <w:r>
              <w:rPr>
                <w:rFonts w:ascii="Times New Roman" w:hAnsi="Times New Roman"/>
                <w:szCs w:val="22"/>
                <w:lang w:eastAsia="lt-LT"/>
              </w:rPr>
              <w:t>Kompleksinė vidinių ir išorinių veiksnių įtaka siekiant nulinių CO2 emisijų</w:t>
            </w:r>
          </w:p>
        </w:tc>
      </w:tr>
      <w:tr w:rsidR="00B66665" w:rsidRPr="00650EE4" w14:paraId="47E96538" w14:textId="77777777" w:rsidTr="00910123">
        <w:trPr>
          <w:trHeight w:val="55"/>
        </w:trPr>
        <w:tc>
          <w:tcPr>
            <w:tcW w:w="3114" w:type="dxa"/>
          </w:tcPr>
          <w:p w14:paraId="419EC5FF"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031E993D" w14:textId="77777777" w:rsidR="00B66665" w:rsidRPr="00650EE4" w:rsidRDefault="00B66665" w:rsidP="00910123">
            <w:pPr>
              <w:spacing w:after="60"/>
              <w:rPr>
                <w:rFonts w:ascii="Times New Roman" w:hAnsi="Times New Roman"/>
                <w:szCs w:val="22"/>
                <w:lang w:eastAsia="lt-LT"/>
              </w:rPr>
            </w:pPr>
            <w:r>
              <w:rPr>
                <w:rFonts w:ascii="Times New Roman" w:hAnsi="Times New Roman"/>
                <w:szCs w:val="22"/>
                <w:lang w:eastAsia="lt-LT"/>
              </w:rPr>
              <w:t xml:space="preserve">Periodinis taikomų priemonių efektyvumo vertinimas, išorinių veiksnių monitoringas ir </w:t>
            </w:r>
            <w:proofErr w:type="spellStart"/>
            <w:r>
              <w:rPr>
                <w:rFonts w:ascii="Times New Roman" w:hAnsi="Times New Roman"/>
                <w:szCs w:val="22"/>
                <w:lang w:eastAsia="lt-LT"/>
              </w:rPr>
              <w:t>svalaikis</w:t>
            </w:r>
            <w:proofErr w:type="spellEnd"/>
            <w:r>
              <w:rPr>
                <w:rFonts w:ascii="Times New Roman" w:hAnsi="Times New Roman"/>
                <w:szCs w:val="22"/>
                <w:lang w:eastAsia="lt-LT"/>
              </w:rPr>
              <w:t xml:space="preserve"> IRS atnaujinimas. </w:t>
            </w:r>
          </w:p>
        </w:tc>
      </w:tr>
      <w:tr w:rsidR="00B66665" w:rsidRPr="00650EE4" w14:paraId="05E42703" w14:textId="77777777" w:rsidTr="00910123">
        <w:trPr>
          <w:trHeight w:val="55"/>
        </w:trPr>
        <w:tc>
          <w:tcPr>
            <w:tcW w:w="3114" w:type="dxa"/>
          </w:tcPr>
          <w:p w14:paraId="5FDCE7B1"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8B153AF"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086E0B28" w14:textId="77777777" w:rsidTr="00910123">
        <w:trPr>
          <w:trHeight w:val="55"/>
        </w:trPr>
        <w:tc>
          <w:tcPr>
            <w:tcW w:w="3114" w:type="dxa"/>
          </w:tcPr>
          <w:p w14:paraId="1CB947AD"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AFF8A6C"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00AEC0AC" w14:textId="77777777" w:rsidR="00B66665" w:rsidRPr="00AD5D88" w:rsidRDefault="00B66665" w:rsidP="00B66665">
      <w:pPr>
        <w:pStyle w:val="BodyText"/>
        <w:jc w:val="both"/>
        <w:rPr>
          <w:rFonts w:ascii="Times New Roman" w:hAnsi="Times New Roman"/>
          <w:color w:val="000000" w:themeColor="text1"/>
          <w:szCs w:val="22"/>
          <w:lang w:val="lt-LT"/>
        </w:rPr>
      </w:pPr>
    </w:p>
    <w:p w14:paraId="499262D2" w14:textId="4BE29E02"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w:t>
      </w:r>
      <w:r w:rsidR="00CC0340" w:rsidRPr="00650EE4">
        <w:rPr>
          <w:rFonts w:ascii="Times New Roman" w:hAnsi="Times New Roman"/>
          <w:b/>
          <w:bCs/>
          <w:szCs w:val="24"/>
        </w:rPr>
        <w:t>1</w:t>
      </w:r>
      <w:r w:rsidR="00B66665">
        <w:rPr>
          <w:rFonts w:ascii="Times New Roman" w:hAnsi="Times New Roman"/>
          <w:b/>
          <w:bCs/>
          <w:szCs w:val="24"/>
        </w:rPr>
        <w:t>1</w:t>
      </w:r>
      <w:r w:rsidRPr="00650EE4">
        <w:rPr>
          <w:rFonts w:ascii="Times New Roman" w:hAnsi="Times New Roman"/>
          <w:b/>
          <w:bCs/>
          <w:szCs w:val="24"/>
        </w:rPr>
        <w:t xml:space="preserve">. </w:t>
      </w:r>
      <w:proofErr w:type="spellStart"/>
      <w:r w:rsidRPr="00650EE4">
        <w:rPr>
          <w:rFonts w:ascii="Times New Roman" w:hAnsi="Times New Roman"/>
          <w:b/>
          <w:bCs/>
          <w:szCs w:val="24"/>
        </w:rPr>
        <w:t>Kvartalinės</w:t>
      </w:r>
      <w:proofErr w:type="spellEnd"/>
      <w:r w:rsidRPr="00650EE4">
        <w:rPr>
          <w:rFonts w:ascii="Times New Roman" w:hAnsi="Times New Roman"/>
          <w:b/>
          <w:bCs/>
          <w:szCs w:val="24"/>
        </w:rPr>
        <w:t xml:space="preserve"> renovacijos įgyvendinimas</w:t>
      </w:r>
    </w:p>
    <w:p w14:paraId="4B205103" w14:textId="6F3A8F22" w:rsidR="00596B40" w:rsidRPr="00650EE4" w:rsidRDefault="00596B40" w:rsidP="00FD1D6D">
      <w:pPr>
        <w:jc w:val="both"/>
        <w:rPr>
          <w:rFonts w:ascii="Times New Roman" w:hAnsi="Times New Roman"/>
          <w:szCs w:val="22"/>
        </w:rPr>
      </w:pPr>
      <w:proofErr w:type="spellStart"/>
      <w:r w:rsidRPr="00650EE4">
        <w:rPr>
          <w:rFonts w:ascii="Times New Roman" w:hAnsi="Times New Roman"/>
          <w:szCs w:val="22"/>
        </w:rPr>
        <w:t>Kvartalinės</w:t>
      </w:r>
      <w:proofErr w:type="spellEnd"/>
      <w:r w:rsidRPr="00650EE4">
        <w:rPr>
          <w:rFonts w:ascii="Times New Roman" w:hAnsi="Times New Roman"/>
          <w:szCs w:val="22"/>
        </w:rPr>
        <w:t xml:space="preserve"> renovacijos metu atnaujinami ne tik visi gatvės ar rajono pastatai, bet ir inžinierinės sistemos, bendrosios erdvės. </w:t>
      </w:r>
      <w:proofErr w:type="spellStart"/>
      <w:r w:rsidRPr="00650EE4">
        <w:rPr>
          <w:rFonts w:ascii="Times New Roman" w:hAnsi="Times New Roman"/>
          <w:szCs w:val="22"/>
        </w:rPr>
        <w:t>Kvartalinės</w:t>
      </w:r>
      <w:proofErr w:type="spellEnd"/>
      <w:r w:rsidRPr="00650EE4">
        <w:rPr>
          <w:rFonts w:ascii="Times New Roman" w:hAnsi="Times New Roman"/>
          <w:szCs w:val="22"/>
        </w:rPr>
        <w:t xml:space="preserve"> renovacijos rezultatas – kompleksiškai atnaujintas kvartalas, taupantis energiją pastatuose ir kvartalo inžinerinėse sistemose. Papildomai prie pastatų renovacijos, atnaujinamas kvartalo apšvietimas, elektros ir vandentiekio bei kanalizacijos tinklai, CŠT tinklai, sutvarkoma </w:t>
      </w:r>
      <w:r w:rsidR="00AB630F">
        <w:rPr>
          <w:rFonts w:ascii="Times New Roman" w:hAnsi="Times New Roman"/>
          <w:szCs w:val="22"/>
        </w:rPr>
        <w:t>aplinka</w:t>
      </w:r>
      <w:r w:rsidRPr="00650EE4">
        <w:rPr>
          <w:rFonts w:ascii="Times New Roman" w:hAnsi="Times New Roman"/>
          <w:szCs w:val="22"/>
        </w:rPr>
        <w:t xml:space="preserve">. Tai </w:t>
      </w:r>
      <w:r w:rsidR="00AB630F">
        <w:rPr>
          <w:rFonts w:ascii="Times New Roman" w:hAnsi="Times New Roman"/>
          <w:szCs w:val="22"/>
        </w:rPr>
        <w:t>daro</w:t>
      </w:r>
      <w:r w:rsidR="00AB630F" w:rsidRPr="00650EE4">
        <w:rPr>
          <w:rFonts w:ascii="Times New Roman" w:hAnsi="Times New Roman"/>
          <w:szCs w:val="22"/>
        </w:rPr>
        <w:t xml:space="preserve"> </w:t>
      </w:r>
      <w:r w:rsidRPr="00650EE4">
        <w:rPr>
          <w:rFonts w:ascii="Times New Roman" w:hAnsi="Times New Roman"/>
          <w:szCs w:val="22"/>
        </w:rPr>
        <w:t>įtak</w:t>
      </w:r>
      <w:r w:rsidR="00AB630F">
        <w:rPr>
          <w:rFonts w:ascii="Times New Roman" w:hAnsi="Times New Roman"/>
          <w:szCs w:val="22"/>
        </w:rPr>
        <w:t>ą</w:t>
      </w:r>
      <w:r w:rsidRPr="00650EE4">
        <w:rPr>
          <w:rFonts w:ascii="Times New Roman" w:hAnsi="Times New Roman"/>
          <w:szCs w:val="22"/>
        </w:rPr>
        <w:t xml:space="preserve"> ne tik energetinėms sąnaudoms, bet ir kvartalo gyventojų gyvenimo kokybei. Atnaujinant visą kvartalą vienu metu galima pagerinti kvartalo funkcionalumą, pavyzdžiui, paruošti, elektros tinklų infrastruktūrą tam, kad parkavimo vietose būtų parengtos vietos ar įrengtos elektromobilių krovimo stotelės, taip paskatinant autotransporto elektrifikaciją. Taip pat kiemus pritaikyti taip, kad tilptų daugiau automobilių </w:t>
      </w:r>
      <w:r w:rsidR="00AB630F">
        <w:rPr>
          <w:rFonts w:ascii="Times New Roman" w:hAnsi="Times New Roman"/>
          <w:szCs w:val="22"/>
        </w:rPr>
        <w:t>ir</w:t>
      </w:r>
      <w:r w:rsidR="00AB630F" w:rsidRPr="00650EE4">
        <w:rPr>
          <w:rFonts w:ascii="Times New Roman" w:hAnsi="Times New Roman"/>
          <w:szCs w:val="22"/>
        </w:rPr>
        <w:t xml:space="preserve"> </w:t>
      </w:r>
      <w:r w:rsidRPr="00650EE4">
        <w:rPr>
          <w:rFonts w:ascii="Times New Roman" w:hAnsi="Times New Roman"/>
          <w:szCs w:val="22"/>
        </w:rPr>
        <w:t>žaliosios erdvės būtų labiau pritaikomos gyventojų poreikiams.</w:t>
      </w:r>
      <w:r w:rsidR="009163C8" w:rsidRPr="00650EE4">
        <w:rPr>
          <w:rFonts w:ascii="Times New Roman" w:hAnsi="Times New Roman"/>
          <w:szCs w:val="22"/>
        </w:rPr>
        <w:t xml:space="preserve"> S</w:t>
      </w:r>
      <w:r w:rsidRPr="00650EE4">
        <w:rPr>
          <w:rFonts w:ascii="Times New Roman" w:hAnsi="Times New Roman"/>
          <w:szCs w:val="22"/>
        </w:rPr>
        <w:t xml:space="preserve">varbus ir kvartalo estetinis vaizdas, kurį pasiekti įgyvendinant </w:t>
      </w:r>
      <w:proofErr w:type="spellStart"/>
      <w:r w:rsidRPr="00650EE4">
        <w:rPr>
          <w:rFonts w:ascii="Times New Roman" w:hAnsi="Times New Roman"/>
          <w:szCs w:val="22"/>
        </w:rPr>
        <w:t>kvartalinę</w:t>
      </w:r>
      <w:proofErr w:type="spellEnd"/>
      <w:r w:rsidRPr="00650EE4">
        <w:rPr>
          <w:rFonts w:ascii="Times New Roman" w:hAnsi="Times New Roman"/>
          <w:szCs w:val="22"/>
        </w:rPr>
        <w:t xml:space="preserve"> renovaciją yra lengviau, nes tiek projektavimas, tiek medžiagų užsakymas vyksta vienu metu. Pastatai gali būti dažomi viena spalva ar suderintų spalvų palete. Taip pat </w:t>
      </w:r>
      <w:r w:rsidR="00AB630F">
        <w:rPr>
          <w:rFonts w:ascii="Times New Roman" w:hAnsi="Times New Roman"/>
          <w:szCs w:val="22"/>
        </w:rPr>
        <w:t>aplinka</w:t>
      </w:r>
      <w:r w:rsidR="00AB630F" w:rsidRPr="00650EE4">
        <w:rPr>
          <w:rFonts w:ascii="Times New Roman" w:hAnsi="Times New Roman"/>
          <w:szCs w:val="22"/>
        </w:rPr>
        <w:t xml:space="preserve"> </w:t>
      </w:r>
      <w:r w:rsidRPr="00650EE4">
        <w:rPr>
          <w:rFonts w:ascii="Times New Roman" w:hAnsi="Times New Roman"/>
          <w:szCs w:val="22"/>
        </w:rPr>
        <w:t>gali būti tvarkoma vieningai, atsižvelgiant į tai, kaip gyventojams erdves</w:t>
      </w:r>
      <w:r w:rsidR="00EA2BFB" w:rsidRPr="00650EE4">
        <w:rPr>
          <w:rFonts w:ascii="Times New Roman" w:hAnsi="Times New Roman"/>
          <w:szCs w:val="22"/>
        </w:rPr>
        <w:t xml:space="preserve"> naudoti</w:t>
      </w:r>
      <w:r w:rsidRPr="00650EE4">
        <w:rPr>
          <w:rFonts w:ascii="Times New Roman" w:hAnsi="Times New Roman"/>
          <w:szCs w:val="22"/>
        </w:rPr>
        <w:t xml:space="preserve"> patogiausia. </w:t>
      </w:r>
    </w:p>
    <w:p w14:paraId="100A6581" w14:textId="77777777" w:rsidR="00125068" w:rsidRPr="00650EE4" w:rsidRDefault="00125068" w:rsidP="00125068">
      <w:pPr>
        <w:jc w:val="both"/>
        <w:rPr>
          <w:rFonts w:ascii="Times New Roman" w:hAnsi="Times New Roman"/>
          <w:szCs w:val="22"/>
        </w:rPr>
      </w:pPr>
    </w:p>
    <w:p w14:paraId="7D2881FE" w14:textId="77777777" w:rsidR="008F114A" w:rsidRDefault="00596B40" w:rsidP="00125068">
      <w:pPr>
        <w:jc w:val="both"/>
        <w:rPr>
          <w:rFonts w:ascii="Times New Roman" w:hAnsi="Times New Roman"/>
          <w:szCs w:val="22"/>
        </w:rPr>
      </w:pPr>
      <w:r w:rsidRPr="00650EE4">
        <w:rPr>
          <w:rFonts w:ascii="Times New Roman" w:hAnsi="Times New Roman"/>
          <w:szCs w:val="22"/>
        </w:rPr>
        <w:t xml:space="preserve">Išaugęs kvartalo funkcionalumas ir geresnis estetinis vaizdas didina kvartalo patrauklumą ir nekilnojamojo turto kainą. Atitinkamai, </w:t>
      </w:r>
      <w:proofErr w:type="spellStart"/>
      <w:r w:rsidRPr="00650EE4">
        <w:rPr>
          <w:rFonts w:ascii="Times New Roman" w:hAnsi="Times New Roman"/>
          <w:szCs w:val="22"/>
        </w:rPr>
        <w:t>kvartalinė</w:t>
      </w:r>
      <w:proofErr w:type="spellEnd"/>
      <w:r w:rsidRPr="00650EE4">
        <w:rPr>
          <w:rFonts w:ascii="Times New Roman" w:hAnsi="Times New Roman"/>
          <w:szCs w:val="22"/>
        </w:rPr>
        <w:t xml:space="preserve"> renovacija gali turėti didelį poveikį renovacijos paklausai iš savininkų pusės dėl išaugančios naudos: kvartalo infrastruktūros atnaujinimo, estetinio vaizdo, turto vertės augimo.</w:t>
      </w:r>
    </w:p>
    <w:p w14:paraId="7B1EFE30" w14:textId="77777777" w:rsidR="008F114A" w:rsidRDefault="008F114A" w:rsidP="00125068">
      <w:pPr>
        <w:jc w:val="both"/>
        <w:rPr>
          <w:rFonts w:ascii="Times New Roman" w:hAnsi="Times New Roman"/>
          <w:szCs w:val="22"/>
        </w:rPr>
      </w:pPr>
    </w:p>
    <w:p w14:paraId="31D0BD74" w14:textId="399FB008" w:rsidR="00596B40" w:rsidRPr="00650EE4" w:rsidRDefault="008F114A" w:rsidP="00125068">
      <w:pPr>
        <w:jc w:val="both"/>
        <w:rPr>
          <w:rFonts w:ascii="Times New Roman" w:hAnsi="Times New Roman"/>
          <w:szCs w:val="22"/>
        </w:rPr>
      </w:pPr>
      <w:r w:rsidRPr="008F114A">
        <w:rPr>
          <w:rFonts w:ascii="Times New Roman" w:hAnsi="Times New Roman"/>
          <w:szCs w:val="22"/>
        </w:rPr>
        <w:t>Taip pat, vykdant didelės apimties kompleksinį atnaujinimą efektyviau užtikrinti kitų platesnio masto transformacijos naudų realizavimą, pvz., renovac</w:t>
      </w:r>
      <w:r>
        <w:rPr>
          <w:rFonts w:ascii="Times New Roman" w:hAnsi="Times New Roman"/>
          <w:szCs w:val="22"/>
        </w:rPr>
        <w:t>i</w:t>
      </w:r>
      <w:r w:rsidRPr="008F114A">
        <w:rPr>
          <w:rFonts w:ascii="Times New Roman" w:hAnsi="Times New Roman"/>
          <w:szCs w:val="22"/>
        </w:rPr>
        <w:t>jos tvarumą (žr. P14</w:t>
      </w:r>
      <w:r>
        <w:rPr>
          <w:rFonts w:ascii="Times New Roman" w:hAnsi="Times New Roman"/>
          <w:szCs w:val="22"/>
        </w:rPr>
        <w:t>), biologinės įvairovės apsaugą</w:t>
      </w:r>
      <w:r w:rsidRPr="008F114A">
        <w:rPr>
          <w:rFonts w:ascii="Times New Roman" w:hAnsi="Times New Roman"/>
          <w:szCs w:val="22"/>
        </w:rPr>
        <w:t xml:space="preserve"> ir </w:t>
      </w:r>
      <w:proofErr w:type="spellStart"/>
      <w:r w:rsidRPr="008F114A">
        <w:rPr>
          <w:rFonts w:ascii="Times New Roman" w:hAnsi="Times New Roman"/>
          <w:szCs w:val="22"/>
        </w:rPr>
        <w:t>pan</w:t>
      </w:r>
      <w:proofErr w:type="spellEnd"/>
      <w:r>
        <w:rPr>
          <w:rStyle w:val="FootnoteReference"/>
          <w:rFonts w:ascii="Times New Roman" w:hAnsi="Times New Roman"/>
          <w:szCs w:val="22"/>
        </w:rPr>
        <w:footnoteReference w:id="57"/>
      </w:r>
      <w:r w:rsidRPr="008F114A">
        <w:rPr>
          <w:rFonts w:ascii="Times New Roman" w:hAnsi="Times New Roman"/>
          <w:szCs w:val="22"/>
        </w:rPr>
        <w:t>.</w:t>
      </w:r>
      <w:r w:rsidR="00596B40" w:rsidRPr="00650EE4">
        <w:rPr>
          <w:rFonts w:ascii="Times New Roman" w:hAnsi="Times New Roman"/>
          <w:szCs w:val="22"/>
        </w:rPr>
        <w:t xml:space="preserve"> </w:t>
      </w:r>
    </w:p>
    <w:p w14:paraId="22498193" w14:textId="77777777" w:rsidR="00125068" w:rsidRPr="00650EE4" w:rsidRDefault="00125068" w:rsidP="00125068">
      <w:pPr>
        <w:jc w:val="both"/>
        <w:rPr>
          <w:rFonts w:ascii="Times New Roman" w:hAnsi="Times New Roman"/>
          <w:szCs w:val="22"/>
        </w:rPr>
      </w:pPr>
    </w:p>
    <w:p w14:paraId="3000CB0E" w14:textId="40B93262" w:rsidR="00596B40" w:rsidRPr="00650EE4" w:rsidRDefault="009163C8" w:rsidP="00125068">
      <w:pPr>
        <w:jc w:val="both"/>
        <w:rPr>
          <w:rFonts w:ascii="Times New Roman" w:hAnsi="Times New Roman"/>
          <w:szCs w:val="22"/>
        </w:rPr>
      </w:pPr>
      <w:r w:rsidRPr="00650EE4">
        <w:rPr>
          <w:rFonts w:ascii="Times New Roman" w:hAnsi="Times New Roman"/>
          <w:szCs w:val="22"/>
        </w:rPr>
        <w:t xml:space="preserve">Be to, </w:t>
      </w:r>
      <w:proofErr w:type="spellStart"/>
      <w:r w:rsidRPr="00650EE4">
        <w:rPr>
          <w:rFonts w:ascii="Times New Roman" w:hAnsi="Times New Roman"/>
          <w:szCs w:val="22"/>
        </w:rPr>
        <w:t>kvartalinė</w:t>
      </w:r>
      <w:proofErr w:type="spellEnd"/>
      <w:r w:rsidRPr="00650EE4">
        <w:rPr>
          <w:rFonts w:ascii="Times New Roman" w:hAnsi="Times New Roman"/>
          <w:szCs w:val="22"/>
        </w:rPr>
        <w:t xml:space="preserve"> renovacija gali būti ir pasiūlą didinanti priemonė.</w:t>
      </w:r>
      <w:r w:rsidR="00596B40" w:rsidRPr="00650EE4">
        <w:rPr>
          <w:rFonts w:ascii="Times New Roman" w:hAnsi="Times New Roman"/>
          <w:szCs w:val="22"/>
        </w:rPr>
        <w:t xml:space="preserve"> Renovaciją įgyvendinant ne po vieną pastatą, o grupėmis, būtų galima pritraukti didžiąsias statybos įmones, </w:t>
      </w:r>
      <w:r w:rsidR="00AB630F">
        <w:rPr>
          <w:rFonts w:ascii="Times New Roman" w:hAnsi="Times New Roman"/>
          <w:szCs w:val="22"/>
        </w:rPr>
        <w:t>tai</w:t>
      </w:r>
      <w:r w:rsidR="00AB630F" w:rsidRPr="00650EE4">
        <w:rPr>
          <w:rFonts w:ascii="Times New Roman" w:hAnsi="Times New Roman"/>
          <w:szCs w:val="22"/>
        </w:rPr>
        <w:t xml:space="preserve"> </w:t>
      </w:r>
      <w:r w:rsidR="00596B40" w:rsidRPr="00650EE4">
        <w:rPr>
          <w:rFonts w:ascii="Times New Roman" w:hAnsi="Times New Roman"/>
          <w:szCs w:val="22"/>
        </w:rPr>
        <w:t>leistų sumažinti renovacijos kainą ir padidintų efektyvumą. Turint didelius renovacijos projektus, suplanuotus metų eigoje, kurtųsi specializuotos įmonės, kurios vykdo renovacijos darbus ir atitinkamai vystytų pajėgumus taip, kad renovacijos paslaugų pasiūla atitiktų paklausą.</w:t>
      </w:r>
    </w:p>
    <w:p w14:paraId="55709326" w14:textId="77777777" w:rsidR="00125068" w:rsidRPr="00650EE4" w:rsidRDefault="00125068" w:rsidP="0012506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DA0859" w:rsidRPr="00650EE4" w14:paraId="7670684B" w14:textId="77777777" w:rsidTr="006A60B7">
        <w:trPr>
          <w:trHeight w:val="463"/>
        </w:trPr>
        <w:tc>
          <w:tcPr>
            <w:tcW w:w="3114" w:type="dxa"/>
          </w:tcPr>
          <w:p w14:paraId="6086EF54" w14:textId="77777777" w:rsidR="00DA0859" w:rsidRPr="00650EE4" w:rsidRDefault="00DA0859" w:rsidP="00DA0859">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6434D16D" w14:textId="68CF344F" w:rsidR="00DA0859" w:rsidRDefault="00DA0859" w:rsidP="00DA0859">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789AB925" w14:textId="3005F45D" w:rsidR="00AB630F" w:rsidRPr="00650EE4" w:rsidRDefault="00AB630F" w:rsidP="00DA0859">
            <w:pPr>
              <w:spacing w:after="60"/>
              <w:rPr>
                <w:rFonts w:ascii="Times New Roman" w:hAnsi="Times New Roman"/>
                <w:szCs w:val="22"/>
                <w:lang w:eastAsia="lt-LT"/>
              </w:rPr>
            </w:pPr>
            <w:r>
              <w:rPr>
                <w:rFonts w:ascii="Times New Roman" w:hAnsi="Times New Roman"/>
                <w:szCs w:val="22"/>
                <w:lang w:eastAsia="lt-LT"/>
              </w:rPr>
              <w:t>B6. Brangstanti renovacija</w:t>
            </w:r>
          </w:p>
          <w:p w14:paraId="339857E3" w14:textId="2430AB7B" w:rsidR="00DA0859" w:rsidRPr="00650EE4" w:rsidRDefault="00DA0859" w:rsidP="00DA0859">
            <w:pPr>
              <w:spacing w:after="60"/>
              <w:rPr>
                <w:rFonts w:ascii="Times New Roman" w:hAnsi="Times New Roman"/>
                <w:szCs w:val="22"/>
                <w:lang w:eastAsia="lt-LT"/>
              </w:rPr>
            </w:pPr>
            <w:r w:rsidRPr="00650EE4">
              <w:rPr>
                <w:rFonts w:ascii="Times New Roman" w:hAnsi="Times New Roman"/>
                <w:szCs w:val="22"/>
                <w:lang w:eastAsia="lt-LT"/>
              </w:rPr>
              <w:t>B12. Finansinių institucijų nenoras skolint</w:t>
            </w:r>
            <w:r w:rsidR="009163C8" w:rsidRPr="00650EE4">
              <w:rPr>
                <w:rFonts w:ascii="Times New Roman" w:hAnsi="Times New Roman"/>
                <w:szCs w:val="22"/>
                <w:lang w:eastAsia="lt-LT"/>
              </w:rPr>
              <w:t>i (ribotos skolinimo galimybės)</w:t>
            </w:r>
          </w:p>
        </w:tc>
      </w:tr>
      <w:tr w:rsidR="006B7C8D" w:rsidRPr="00650EE4" w14:paraId="3BC64BF8" w14:textId="77777777" w:rsidTr="006A60B7">
        <w:trPr>
          <w:trHeight w:val="55"/>
        </w:trPr>
        <w:tc>
          <w:tcPr>
            <w:tcW w:w="3114" w:type="dxa"/>
          </w:tcPr>
          <w:p w14:paraId="515DF45D"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747C03" w14:textId="77777777" w:rsidR="006B7C8D" w:rsidRPr="00650EE4" w:rsidRDefault="006B7C8D" w:rsidP="006A60B7">
            <w:pPr>
              <w:spacing w:after="60"/>
              <w:rPr>
                <w:rFonts w:ascii="Times New Roman" w:hAnsi="Times New Roman"/>
                <w:szCs w:val="22"/>
                <w:lang w:eastAsia="lt-LT"/>
              </w:rPr>
            </w:pPr>
            <w:proofErr w:type="spellStart"/>
            <w:r w:rsidRPr="00650EE4">
              <w:rPr>
                <w:rFonts w:ascii="Times New Roman" w:hAnsi="Times New Roman"/>
                <w:szCs w:val="22"/>
                <w:lang w:eastAsia="lt-LT"/>
              </w:rPr>
              <w:t>Kvartalinė</w:t>
            </w:r>
            <w:proofErr w:type="spellEnd"/>
            <w:r w:rsidRPr="00650EE4">
              <w:rPr>
                <w:rFonts w:ascii="Times New Roman" w:hAnsi="Times New Roman"/>
                <w:szCs w:val="22"/>
                <w:lang w:eastAsia="lt-LT"/>
              </w:rPr>
              <w:t xml:space="preserve"> renovacija</w:t>
            </w:r>
          </w:p>
        </w:tc>
      </w:tr>
      <w:tr w:rsidR="006B7C8D" w:rsidRPr="00650EE4" w14:paraId="301EB52C" w14:textId="77777777" w:rsidTr="006A60B7">
        <w:trPr>
          <w:trHeight w:val="55"/>
        </w:trPr>
        <w:tc>
          <w:tcPr>
            <w:tcW w:w="3114" w:type="dxa"/>
          </w:tcPr>
          <w:p w14:paraId="415D2A82"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E3486A8"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59133CC4" w14:textId="77777777" w:rsidTr="006A60B7">
        <w:trPr>
          <w:trHeight w:val="55"/>
        </w:trPr>
        <w:tc>
          <w:tcPr>
            <w:tcW w:w="3114" w:type="dxa"/>
          </w:tcPr>
          <w:p w14:paraId="2519202B"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4FF3DA87"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4BAEC7B0" w14:textId="77777777" w:rsidR="009163C8" w:rsidRPr="00650EE4" w:rsidRDefault="009163C8" w:rsidP="006B7C8D">
      <w:pPr>
        <w:rPr>
          <w:rFonts w:ascii="Times New Roman" w:hAnsi="Times New Roman"/>
          <w:color w:val="000000" w:themeColor="text1"/>
          <w:szCs w:val="22"/>
        </w:rPr>
      </w:pPr>
    </w:p>
    <w:p w14:paraId="26C83715" w14:textId="79A01CB8"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B66665">
        <w:rPr>
          <w:rFonts w:ascii="Times New Roman" w:hAnsi="Times New Roman"/>
          <w:b/>
          <w:bCs/>
          <w:szCs w:val="24"/>
        </w:rPr>
        <w:t>2</w:t>
      </w:r>
      <w:r w:rsidRPr="00650EE4">
        <w:rPr>
          <w:rFonts w:ascii="Times New Roman" w:hAnsi="Times New Roman"/>
          <w:b/>
          <w:bCs/>
          <w:szCs w:val="24"/>
        </w:rPr>
        <w:t>. Dalinės renovacijos įgyvendinimas</w:t>
      </w:r>
    </w:p>
    <w:p w14:paraId="0345293B" w14:textId="1BCEC0A1" w:rsidR="00D62A63" w:rsidRDefault="00D62A63" w:rsidP="009E5C33">
      <w:pPr>
        <w:pStyle w:val="BodyText"/>
        <w:jc w:val="both"/>
        <w:rPr>
          <w:rFonts w:ascii="Times New Roman" w:hAnsi="Times New Roman"/>
          <w:szCs w:val="22"/>
          <w:lang w:val="lt-LT"/>
        </w:rPr>
      </w:pPr>
      <w:r w:rsidRPr="00650EE4">
        <w:rPr>
          <w:rFonts w:ascii="Times New Roman" w:hAnsi="Times New Roman"/>
          <w:szCs w:val="22"/>
          <w:lang w:val="lt-LT"/>
        </w:rPr>
        <w:t xml:space="preserve">Dalinė renovacija – pastato dalies </w:t>
      </w:r>
      <w:r w:rsidR="004611B0">
        <w:rPr>
          <w:rFonts w:ascii="Times New Roman" w:hAnsi="Times New Roman"/>
          <w:szCs w:val="22"/>
          <w:lang w:val="lt-LT"/>
        </w:rPr>
        <w:t xml:space="preserve">ar </w:t>
      </w:r>
      <w:r w:rsidRPr="00650EE4">
        <w:rPr>
          <w:rFonts w:ascii="Times New Roman" w:hAnsi="Times New Roman"/>
          <w:szCs w:val="22"/>
          <w:lang w:val="lt-LT"/>
        </w:rPr>
        <w:t xml:space="preserve">inžinerinių </w:t>
      </w:r>
      <w:r w:rsidR="004611B0">
        <w:rPr>
          <w:rFonts w:ascii="Times New Roman" w:hAnsi="Times New Roman"/>
          <w:szCs w:val="22"/>
          <w:lang w:val="lt-LT"/>
        </w:rPr>
        <w:t>sistemų</w:t>
      </w:r>
      <w:r w:rsidR="004611B0" w:rsidRPr="00650EE4">
        <w:rPr>
          <w:rFonts w:ascii="Times New Roman" w:hAnsi="Times New Roman"/>
          <w:szCs w:val="22"/>
          <w:lang w:val="lt-LT"/>
        </w:rPr>
        <w:t xml:space="preserve"> </w:t>
      </w:r>
      <w:r w:rsidRPr="00650EE4">
        <w:rPr>
          <w:rFonts w:ascii="Times New Roman" w:hAnsi="Times New Roman"/>
          <w:szCs w:val="22"/>
          <w:lang w:val="lt-LT"/>
        </w:rPr>
        <w:t>renovacija, kurių atsiperkamumas trumpiausias, pvz. langų keitimas, stogo apšiltinimas ir keitimas, daugiabučių galinių sienų apšiltinimas, šilumos sistemos atnaujinimas ir pan. Derinant su minimaliais pasiekiamo energinio naudingumo reikalavimais, šia priemone būtų siekiama didinti individualių namų savininkų suinteresuotumą atnaujinti savo būstus</w:t>
      </w:r>
      <w:r w:rsidR="004611B0">
        <w:rPr>
          <w:rFonts w:ascii="Times New Roman" w:hAnsi="Times New Roman"/>
          <w:szCs w:val="22"/>
          <w:lang w:val="lt-LT"/>
        </w:rPr>
        <w:t>.</w:t>
      </w:r>
    </w:p>
    <w:p w14:paraId="7E0069E5" w14:textId="77777777" w:rsidR="008F114A" w:rsidRDefault="008F114A" w:rsidP="009E5C33">
      <w:pPr>
        <w:pStyle w:val="BodyText"/>
        <w:jc w:val="both"/>
        <w:rPr>
          <w:rFonts w:ascii="Times New Roman" w:hAnsi="Times New Roman"/>
          <w:szCs w:val="22"/>
          <w:lang w:val="lt-LT"/>
        </w:rPr>
      </w:pPr>
    </w:p>
    <w:p w14:paraId="15B516B7" w14:textId="1529C1E7" w:rsidR="008F114A" w:rsidRPr="00650EE4" w:rsidRDefault="008F114A" w:rsidP="008F114A">
      <w:pPr>
        <w:pStyle w:val="BodyText"/>
        <w:jc w:val="both"/>
        <w:rPr>
          <w:rFonts w:ascii="Times New Roman" w:hAnsi="Times New Roman"/>
          <w:szCs w:val="22"/>
          <w:lang w:val="lt-LT"/>
        </w:rPr>
      </w:pPr>
      <w:r w:rsidRPr="008F114A">
        <w:rPr>
          <w:rFonts w:ascii="Times New Roman" w:hAnsi="Times New Roman"/>
          <w:szCs w:val="22"/>
          <w:lang w:val="lt-LT"/>
        </w:rPr>
        <w:t>Kituose pastatų fondo segmentuose (pvz. daugiabučių segmente) dalinė renovacija, taikoma tik tais atvejais, kai yra ekonomiškai efektyvi ir nesudaro papildomų barjerų konkretaus pastato „gilios“ renovacijos įgyvendinimui.</w:t>
      </w:r>
    </w:p>
    <w:p w14:paraId="0F0FC565" w14:textId="77777777" w:rsidR="00125068" w:rsidRPr="00650EE4" w:rsidRDefault="00125068" w:rsidP="00D62A63">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B66665" w:rsidRPr="00650EE4" w14:paraId="3EFC2535" w14:textId="77777777" w:rsidTr="00910123">
        <w:trPr>
          <w:trHeight w:val="144"/>
        </w:trPr>
        <w:tc>
          <w:tcPr>
            <w:tcW w:w="3114" w:type="dxa"/>
          </w:tcPr>
          <w:p w14:paraId="3D32980D"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8FFEF22"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6D85BEF8" w14:textId="77777777" w:rsidR="00B66665" w:rsidRPr="00650EE4" w:rsidRDefault="00B66665" w:rsidP="00910123">
            <w:pPr>
              <w:spacing w:after="60"/>
              <w:rPr>
                <w:rFonts w:ascii="Times New Roman" w:hAnsi="Times New Roman"/>
                <w:szCs w:val="22"/>
                <w:highlight w:val="yellow"/>
                <w:lang w:eastAsia="lt-LT"/>
              </w:rPr>
            </w:pPr>
            <w:r w:rsidRPr="00650EE4">
              <w:rPr>
                <w:rFonts w:ascii="Times New Roman" w:hAnsi="Times New Roman"/>
                <w:szCs w:val="22"/>
                <w:lang w:eastAsia="lt-LT"/>
              </w:rPr>
              <w:t>B20. Nepakankama viešųjų pastatų valdytojų motyvacija</w:t>
            </w:r>
          </w:p>
        </w:tc>
      </w:tr>
      <w:tr w:rsidR="00B66665" w:rsidRPr="00650EE4" w14:paraId="7BA198F6" w14:textId="77777777" w:rsidTr="00910123">
        <w:trPr>
          <w:trHeight w:val="55"/>
        </w:trPr>
        <w:tc>
          <w:tcPr>
            <w:tcW w:w="3114" w:type="dxa"/>
          </w:tcPr>
          <w:p w14:paraId="6A2C387E"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3D803C99"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 xml:space="preserve">Dalinės renovacijos įgyvendinimas </w:t>
            </w:r>
          </w:p>
        </w:tc>
      </w:tr>
      <w:tr w:rsidR="00B66665" w:rsidRPr="00650EE4" w14:paraId="0194ABB8" w14:textId="77777777" w:rsidTr="00910123">
        <w:trPr>
          <w:trHeight w:val="55"/>
        </w:trPr>
        <w:tc>
          <w:tcPr>
            <w:tcW w:w="3114" w:type="dxa"/>
          </w:tcPr>
          <w:p w14:paraId="01761E57"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B76A495"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B66665" w:rsidRPr="00650EE4" w14:paraId="60B642F0" w14:textId="77777777" w:rsidTr="00910123">
        <w:trPr>
          <w:trHeight w:val="55"/>
        </w:trPr>
        <w:tc>
          <w:tcPr>
            <w:tcW w:w="3114" w:type="dxa"/>
          </w:tcPr>
          <w:p w14:paraId="3F8C6AAD"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8E55338" w14:textId="77777777" w:rsidR="00B66665" w:rsidRPr="00650EE4" w:rsidRDefault="00B66665" w:rsidP="00910123">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B66665" w:rsidRPr="00650EE4" w14:paraId="6F4BC0DA" w14:textId="77777777" w:rsidTr="00910123">
        <w:trPr>
          <w:trHeight w:val="123"/>
        </w:trPr>
        <w:tc>
          <w:tcPr>
            <w:tcW w:w="3114" w:type="dxa"/>
          </w:tcPr>
          <w:p w14:paraId="4B32E8D9" w14:textId="77777777" w:rsidR="00B66665" w:rsidRPr="00650EE4" w:rsidRDefault="00B66665" w:rsidP="00910123">
            <w:pPr>
              <w:spacing w:after="60"/>
              <w:rPr>
                <w:rFonts w:ascii="Times New Roman" w:hAnsi="Times New Roman"/>
                <w:b/>
                <w:bCs/>
                <w:szCs w:val="22"/>
              </w:rPr>
            </w:pPr>
            <w:r w:rsidRPr="00650EE4">
              <w:rPr>
                <w:rFonts w:ascii="Times New Roman" w:hAnsi="Times New Roman"/>
                <w:b/>
                <w:bCs/>
                <w:szCs w:val="22"/>
              </w:rPr>
              <w:t>Geroji praktika</w:t>
            </w:r>
          </w:p>
        </w:tc>
        <w:tc>
          <w:tcPr>
            <w:tcW w:w="7089" w:type="dxa"/>
          </w:tcPr>
          <w:p w14:paraId="7B1BA9BD" w14:textId="77777777" w:rsidR="00B66665" w:rsidRPr="00650EE4" w:rsidRDefault="00166683" w:rsidP="00910123">
            <w:pPr>
              <w:spacing w:after="60"/>
              <w:rPr>
                <w:rFonts w:ascii="Times New Roman" w:hAnsi="Times New Roman"/>
                <w:szCs w:val="22"/>
                <w:lang w:eastAsia="lt-LT"/>
              </w:rPr>
            </w:pPr>
            <w:hyperlink r:id="rId65" w:history="1">
              <w:r w:rsidR="00B66665" w:rsidRPr="00650EE4">
                <w:rPr>
                  <w:rStyle w:val="Hyperlink"/>
                  <w:rFonts w:ascii="Times New Roman" w:hAnsi="Times New Roman"/>
                  <w:color w:val="0070C0"/>
                  <w:szCs w:val="22"/>
                  <w:lang w:eastAsia="lt-LT"/>
                </w:rPr>
                <w:t>Kompensacijos individualių namų renovacijai (APVA)</w:t>
              </w:r>
            </w:hyperlink>
            <w:r w:rsidR="00B66665" w:rsidRPr="00650EE4">
              <w:rPr>
                <w:rFonts w:ascii="Times New Roman" w:hAnsi="Times New Roman"/>
                <w:szCs w:val="22"/>
                <w:lang w:eastAsia="lt-LT"/>
              </w:rPr>
              <w:t xml:space="preserve"> </w:t>
            </w:r>
          </w:p>
        </w:tc>
      </w:tr>
    </w:tbl>
    <w:p w14:paraId="6780C98D" w14:textId="18D7073F" w:rsidR="009163C8" w:rsidRPr="00650EE4" w:rsidRDefault="009163C8" w:rsidP="006B7C8D">
      <w:pPr>
        <w:rPr>
          <w:rFonts w:ascii="Times New Roman" w:hAnsi="Times New Roman"/>
          <w:color w:val="000000" w:themeColor="text1"/>
          <w:szCs w:val="22"/>
          <w:highlight w:val="lightGray"/>
        </w:rPr>
      </w:pPr>
    </w:p>
    <w:p w14:paraId="6FA23AB9" w14:textId="4EED9538" w:rsidR="00CC0340" w:rsidRPr="00650EE4" w:rsidRDefault="00CC0340" w:rsidP="00B82773">
      <w:pPr>
        <w:spacing w:after="120"/>
        <w:jc w:val="both"/>
        <w:rPr>
          <w:rFonts w:ascii="Times New Roman" w:hAnsi="Times New Roman"/>
          <w:b/>
          <w:bCs/>
          <w:szCs w:val="24"/>
        </w:rPr>
      </w:pPr>
      <w:r w:rsidRPr="00650EE4">
        <w:rPr>
          <w:rFonts w:ascii="Times New Roman" w:hAnsi="Times New Roman"/>
          <w:b/>
          <w:bCs/>
          <w:szCs w:val="24"/>
        </w:rPr>
        <w:t>P1</w:t>
      </w:r>
      <w:r w:rsidR="00B66665">
        <w:rPr>
          <w:rFonts w:ascii="Times New Roman" w:hAnsi="Times New Roman"/>
          <w:b/>
          <w:bCs/>
          <w:szCs w:val="24"/>
        </w:rPr>
        <w:t>3</w:t>
      </w:r>
      <w:r w:rsidRPr="00650EE4">
        <w:rPr>
          <w:rFonts w:ascii="Times New Roman" w:hAnsi="Times New Roman"/>
          <w:b/>
          <w:bCs/>
          <w:szCs w:val="24"/>
        </w:rPr>
        <w:t xml:space="preserve">. </w:t>
      </w:r>
      <w:r w:rsidR="00030D17" w:rsidRPr="00650EE4">
        <w:rPr>
          <w:rFonts w:ascii="Times New Roman" w:hAnsi="Times New Roman"/>
          <w:b/>
          <w:bCs/>
          <w:szCs w:val="24"/>
        </w:rPr>
        <w:t>Renovacijos projektų agregavimas</w:t>
      </w:r>
    </w:p>
    <w:p w14:paraId="11A5B6E3" w14:textId="71F43DDB" w:rsidR="00E85EA7" w:rsidRPr="00650EE4" w:rsidRDefault="00E85EA7" w:rsidP="009E5C33">
      <w:pPr>
        <w:pStyle w:val="BodyText"/>
        <w:jc w:val="both"/>
        <w:rPr>
          <w:rFonts w:ascii="Times New Roman" w:hAnsi="Times New Roman"/>
          <w:szCs w:val="22"/>
          <w:lang w:val="lt-LT"/>
        </w:rPr>
      </w:pPr>
      <w:r w:rsidRPr="00650EE4">
        <w:rPr>
          <w:rFonts w:ascii="Times New Roman" w:hAnsi="Times New Roman"/>
          <w:szCs w:val="22"/>
          <w:lang w:val="lt-LT"/>
        </w:rPr>
        <w:t xml:space="preserve">Atskirų renovacijos projektų agregavimas (sujungimas) į vieną paketą sprendžia kelis uždavinius ir šalina renovacijos trukdžius. Pirma, projektų apjungimas susijęs su rinkos pasiūlos (statybos įmonių motyvacijos) formavimu. Didinant renovacijos paklausą (jungiant projektus) gali būti pritraukiamos didelės statybos įmonės, kurioms atskiri projektai nėra finansiškai patrauklūs. Antra, apjungus atskirus projektus (ypač toje pačioje geografinėje teritorijoje, pvz., vykdant </w:t>
      </w:r>
      <w:proofErr w:type="spellStart"/>
      <w:r w:rsidRPr="00650EE4">
        <w:rPr>
          <w:rFonts w:ascii="Times New Roman" w:hAnsi="Times New Roman"/>
          <w:szCs w:val="22"/>
          <w:lang w:val="lt-LT"/>
        </w:rPr>
        <w:t>kvartalinę</w:t>
      </w:r>
      <w:proofErr w:type="spellEnd"/>
      <w:r w:rsidRPr="00650EE4">
        <w:rPr>
          <w:rFonts w:ascii="Times New Roman" w:hAnsi="Times New Roman"/>
          <w:szCs w:val="22"/>
          <w:lang w:val="lt-LT"/>
        </w:rPr>
        <w:t xml:space="preserve"> renovaciją) išnaudojama masto ekonomija, mažinami veiklos kaštai, kas tikėtina gali mažinti </w:t>
      </w:r>
      <w:r w:rsidR="00B8506E" w:rsidRPr="00650EE4">
        <w:rPr>
          <w:rFonts w:ascii="Times New Roman" w:hAnsi="Times New Roman"/>
          <w:szCs w:val="22"/>
          <w:lang w:val="lt-LT"/>
        </w:rPr>
        <w:t>statybos</w:t>
      </w:r>
      <w:r w:rsidRPr="00650EE4">
        <w:rPr>
          <w:rFonts w:ascii="Times New Roman" w:hAnsi="Times New Roman"/>
          <w:szCs w:val="22"/>
          <w:lang w:val="lt-LT"/>
        </w:rPr>
        <w:t xml:space="preserve"> darbų kainą. Trečia, projektų apjungimas suteikia galimybes pritraukti didžiąsias finansų institucijas, galinčias pasiūlyti </w:t>
      </w:r>
      <w:r w:rsidR="00B8506E" w:rsidRPr="00650EE4">
        <w:rPr>
          <w:rFonts w:ascii="Times New Roman" w:hAnsi="Times New Roman"/>
          <w:szCs w:val="22"/>
          <w:lang w:val="lt-LT"/>
        </w:rPr>
        <w:t>geresnes</w:t>
      </w:r>
      <w:r w:rsidRPr="00650EE4">
        <w:rPr>
          <w:rFonts w:ascii="Times New Roman" w:hAnsi="Times New Roman"/>
          <w:szCs w:val="22"/>
          <w:lang w:val="lt-LT"/>
        </w:rPr>
        <w:t xml:space="preserve"> finansavimo sąlygas. </w:t>
      </w:r>
      <w:r w:rsidR="00B8506E" w:rsidRPr="00650EE4">
        <w:rPr>
          <w:rFonts w:ascii="Times New Roman" w:hAnsi="Times New Roman"/>
          <w:szCs w:val="22"/>
          <w:lang w:val="lt-LT"/>
        </w:rPr>
        <w:t>Ketvirta</w:t>
      </w:r>
      <w:r w:rsidRPr="00650EE4">
        <w:rPr>
          <w:rFonts w:ascii="Times New Roman" w:hAnsi="Times New Roman"/>
          <w:szCs w:val="22"/>
          <w:lang w:val="lt-LT"/>
        </w:rPr>
        <w:t xml:space="preserve">, projektų apjungimas gali paskatinti </w:t>
      </w:r>
      <w:proofErr w:type="spellStart"/>
      <w:r w:rsidRPr="00650EE4">
        <w:rPr>
          <w:rFonts w:ascii="Times New Roman" w:hAnsi="Times New Roman"/>
          <w:szCs w:val="22"/>
          <w:lang w:val="lt-LT"/>
        </w:rPr>
        <w:t>inovatyvių</w:t>
      </w:r>
      <w:proofErr w:type="spellEnd"/>
      <w:r w:rsidRPr="00650EE4">
        <w:rPr>
          <w:rFonts w:ascii="Times New Roman" w:hAnsi="Times New Roman"/>
          <w:szCs w:val="22"/>
          <w:lang w:val="lt-LT"/>
        </w:rPr>
        <w:t xml:space="preserve"> technologinių sprendimų paiešką.</w:t>
      </w:r>
    </w:p>
    <w:p w14:paraId="705A90AE" w14:textId="5D6D5985" w:rsidR="001E6FD4" w:rsidRPr="00650EE4" w:rsidRDefault="001E6FD4" w:rsidP="00D62A63">
      <w:pPr>
        <w:pStyle w:val="BodyText"/>
        <w:rPr>
          <w:rFonts w:ascii="Times New Roman" w:hAnsi="Times New Roman"/>
          <w:szCs w:val="22"/>
          <w:lang w:val="lt-LT"/>
        </w:rPr>
      </w:pPr>
    </w:p>
    <w:p w14:paraId="47103C53" w14:textId="65C0B0F6" w:rsidR="001E6FD4" w:rsidRPr="00650EE4" w:rsidRDefault="001E6FD4" w:rsidP="00D62A63">
      <w:pPr>
        <w:pStyle w:val="BodyText"/>
        <w:rPr>
          <w:rFonts w:ascii="Times New Roman" w:hAnsi="Times New Roman"/>
          <w:szCs w:val="22"/>
          <w:lang w:val="lt-LT"/>
        </w:rPr>
      </w:pPr>
      <w:r w:rsidRPr="00650EE4">
        <w:rPr>
          <w:rFonts w:ascii="Times New Roman" w:hAnsi="Times New Roman"/>
          <w:color w:val="000000" w:themeColor="text1"/>
          <w:szCs w:val="22"/>
          <w:lang w:val="lt-LT"/>
        </w:rPr>
        <w:t xml:space="preserve">Projektų apjungimui turėtų pasitarnauti ir </w:t>
      </w:r>
      <w:proofErr w:type="spellStart"/>
      <w:r w:rsidRPr="00650EE4">
        <w:rPr>
          <w:rFonts w:ascii="Times New Roman" w:hAnsi="Times New Roman"/>
          <w:color w:val="000000" w:themeColor="text1"/>
          <w:szCs w:val="22"/>
          <w:lang w:val="lt-LT"/>
        </w:rPr>
        <w:t>kvartalinės</w:t>
      </w:r>
      <w:proofErr w:type="spellEnd"/>
      <w:r w:rsidRPr="00650EE4">
        <w:rPr>
          <w:rFonts w:ascii="Times New Roman" w:hAnsi="Times New Roman"/>
          <w:color w:val="000000" w:themeColor="text1"/>
          <w:szCs w:val="22"/>
          <w:lang w:val="lt-LT"/>
        </w:rPr>
        <w:t xml:space="preserve"> renovacijos (P10 priemon</w:t>
      </w:r>
      <w:r w:rsidR="00F93635" w:rsidRPr="00650EE4">
        <w:rPr>
          <w:rFonts w:ascii="Times New Roman" w:hAnsi="Times New Roman"/>
          <w:color w:val="000000" w:themeColor="text1"/>
          <w:szCs w:val="22"/>
          <w:lang w:val="lt-LT"/>
        </w:rPr>
        <w:t>ė</w:t>
      </w:r>
      <w:r w:rsidRPr="00650EE4">
        <w:rPr>
          <w:rFonts w:ascii="Times New Roman" w:hAnsi="Times New Roman"/>
          <w:color w:val="000000" w:themeColor="text1"/>
          <w:szCs w:val="22"/>
          <w:lang w:val="lt-LT"/>
        </w:rPr>
        <w:t xml:space="preserve">) </w:t>
      </w:r>
      <w:r w:rsidR="009E5C33">
        <w:rPr>
          <w:rFonts w:ascii="Times New Roman" w:hAnsi="Times New Roman"/>
          <w:color w:val="000000" w:themeColor="text1"/>
          <w:szCs w:val="22"/>
          <w:lang w:val="lt-LT"/>
        </w:rPr>
        <w:t>ir</w:t>
      </w:r>
      <w:r w:rsidR="009E5C33"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vieno langelio principo įgyvendinimas (P1</w:t>
      </w:r>
      <w:r w:rsidR="00CE73EE" w:rsidRPr="00650EE4">
        <w:rPr>
          <w:rFonts w:ascii="Times New Roman" w:hAnsi="Times New Roman"/>
          <w:color w:val="000000" w:themeColor="text1"/>
          <w:szCs w:val="22"/>
          <w:lang w:val="lt-LT"/>
        </w:rPr>
        <w:t>8</w:t>
      </w:r>
      <w:r w:rsidRPr="00650EE4">
        <w:rPr>
          <w:rFonts w:ascii="Times New Roman" w:hAnsi="Times New Roman"/>
          <w:color w:val="000000" w:themeColor="text1"/>
          <w:szCs w:val="22"/>
          <w:lang w:val="lt-LT"/>
        </w:rPr>
        <w:t xml:space="preserve"> priemon</w:t>
      </w:r>
      <w:r w:rsidR="004C2AAE" w:rsidRPr="00650EE4">
        <w:rPr>
          <w:rFonts w:ascii="Times New Roman" w:hAnsi="Times New Roman"/>
          <w:color w:val="000000" w:themeColor="text1"/>
          <w:szCs w:val="22"/>
          <w:lang w:val="lt-LT"/>
        </w:rPr>
        <w:t>ė</w:t>
      </w:r>
      <w:r w:rsidRPr="00650EE4">
        <w:rPr>
          <w:rFonts w:ascii="Times New Roman" w:hAnsi="Times New Roman"/>
          <w:color w:val="000000" w:themeColor="text1"/>
          <w:szCs w:val="22"/>
          <w:lang w:val="lt-LT"/>
        </w:rPr>
        <w:t>).</w:t>
      </w:r>
    </w:p>
    <w:p w14:paraId="0950A817" w14:textId="77777777" w:rsidR="00125068" w:rsidRPr="00650EE4" w:rsidRDefault="00125068" w:rsidP="00D62A63">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C0340" w:rsidRPr="00650EE4" w14:paraId="1749E679" w14:textId="77777777" w:rsidTr="00492041">
        <w:trPr>
          <w:trHeight w:val="144"/>
        </w:trPr>
        <w:tc>
          <w:tcPr>
            <w:tcW w:w="3114" w:type="dxa"/>
          </w:tcPr>
          <w:p w14:paraId="26C55FD2"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23D81B46" w14:textId="77777777" w:rsidR="00EC398C" w:rsidRPr="00650EE4" w:rsidRDefault="00EC398C" w:rsidP="00EC398C">
            <w:pPr>
              <w:spacing w:after="60"/>
              <w:rPr>
                <w:rFonts w:ascii="Times New Roman" w:hAnsi="Times New Roman"/>
                <w:szCs w:val="22"/>
                <w:lang w:eastAsia="lt-LT"/>
              </w:rPr>
            </w:pPr>
            <w:r w:rsidRPr="00650EE4">
              <w:rPr>
                <w:rFonts w:ascii="Times New Roman" w:hAnsi="Times New Roman"/>
                <w:szCs w:val="22"/>
                <w:lang w:eastAsia="lt-LT"/>
              </w:rPr>
              <w:t>B6. Brangstanti renovacija</w:t>
            </w:r>
          </w:p>
          <w:p w14:paraId="349B169C" w14:textId="77777777" w:rsidR="00EC398C" w:rsidRPr="00650EE4" w:rsidRDefault="00EC398C" w:rsidP="00EC398C">
            <w:pPr>
              <w:spacing w:after="60"/>
              <w:rPr>
                <w:rFonts w:ascii="Times New Roman" w:hAnsi="Times New Roman"/>
                <w:szCs w:val="22"/>
                <w:lang w:eastAsia="lt-LT"/>
              </w:rPr>
            </w:pPr>
            <w:r w:rsidRPr="00650EE4">
              <w:rPr>
                <w:rFonts w:ascii="Times New Roman" w:hAnsi="Times New Roman"/>
                <w:szCs w:val="22"/>
                <w:lang w:eastAsia="lt-LT"/>
              </w:rPr>
              <w:t>B7. Neišnaudotas visas renovacijos naudų potencialas</w:t>
            </w:r>
          </w:p>
          <w:p w14:paraId="7CF9D413" w14:textId="3CBF31C5" w:rsidR="00CC0340" w:rsidRPr="00650EE4" w:rsidRDefault="00EC398C" w:rsidP="00EC398C">
            <w:pPr>
              <w:spacing w:after="60"/>
              <w:rPr>
                <w:rFonts w:ascii="Times New Roman" w:hAnsi="Times New Roman"/>
                <w:szCs w:val="22"/>
                <w:highlight w:val="yellow"/>
                <w:lang w:eastAsia="lt-LT"/>
              </w:rPr>
            </w:pPr>
            <w:r w:rsidRPr="00650EE4">
              <w:rPr>
                <w:rFonts w:ascii="Times New Roman" w:hAnsi="Times New Roman"/>
                <w:szCs w:val="22"/>
                <w:lang w:eastAsia="lt-LT"/>
              </w:rPr>
              <w:t>B12. Finansinių institucijų nenoras skolinti (ribotos skolinimo galimybės)</w:t>
            </w:r>
          </w:p>
        </w:tc>
      </w:tr>
      <w:tr w:rsidR="00CC0340" w:rsidRPr="00650EE4" w14:paraId="1CDFCE7A" w14:textId="77777777" w:rsidTr="00492041">
        <w:trPr>
          <w:trHeight w:val="55"/>
        </w:trPr>
        <w:tc>
          <w:tcPr>
            <w:tcW w:w="3114" w:type="dxa"/>
          </w:tcPr>
          <w:p w14:paraId="091B7652"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D96CA67"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 xml:space="preserve">Dalinės renovacijos įgyvendinimas </w:t>
            </w:r>
          </w:p>
        </w:tc>
      </w:tr>
      <w:tr w:rsidR="00CC0340" w:rsidRPr="00650EE4" w14:paraId="601ECD14" w14:textId="77777777" w:rsidTr="00492041">
        <w:trPr>
          <w:trHeight w:val="55"/>
        </w:trPr>
        <w:tc>
          <w:tcPr>
            <w:tcW w:w="3114" w:type="dxa"/>
          </w:tcPr>
          <w:p w14:paraId="5100D7F1"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2869062E"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CC0340" w:rsidRPr="00650EE4" w14:paraId="0A996D32" w14:textId="77777777" w:rsidTr="00492041">
        <w:trPr>
          <w:trHeight w:val="55"/>
        </w:trPr>
        <w:tc>
          <w:tcPr>
            <w:tcW w:w="3114" w:type="dxa"/>
          </w:tcPr>
          <w:p w14:paraId="18AE6537" w14:textId="77777777" w:rsidR="00CC0340" w:rsidRPr="00650EE4" w:rsidRDefault="00CC0340"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56DA680" w14:textId="77777777" w:rsidR="00CC0340" w:rsidRPr="00650EE4" w:rsidRDefault="00CC0340" w:rsidP="00492041">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1B0DD59F" w14:textId="7CC8F605" w:rsidR="00CC0340" w:rsidRPr="00650EE4" w:rsidRDefault="00CC0340" w:rsidP="00452CD0">
      <w:pPr>
        <w:spacing w:after="120"/>
        <w:rPr>
          <w:rFonts w:ascii="Times New Roman" w:hAnsi="Times New Roman"/>
          <w:color w:val="000000" w:themeColor="text1"/>
          <w:szCs w:val="22"/>
          <w:highlight w:val="lightGray"/>
        </w:rPr>
      </w:pPr>
    </w:p>
    <w:p w14:paraId="52C11B7C" w14:textId="57392A26"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4</w:t>
      </w:r>
      <w:r w:rsidRPr="00650EE4">
        <w:rPr>
          <w:rFonts w:ascii="Times New Roman" w:hAnsi="Times New Roman"/>
          <w:b/>
          <w:bCs/>
          <w:szCs w:val="24"/>
        </w:rPr>
        <w:t>. Tvarumo ir inovacijų užtikrinimas</w:t>
      </w:r>
    </w:p>
    <w:p w14:paraId="77C3D314" w14:textId="77777777" w:rsidR="007E0569" w:rsidRPr="00650EE4" w:rsidRDefault="007E0569" w:rsidP="00EC3158">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Europos žaliasis kursas numato, kad tvarumo aspektas turi būti įtrauktas į visas ES politikos sritis, įskaitant pastatų statybą ir renovaciją. Pavyzdžiui, Europos komisija yra įsipareigojusi peržiūrėti Statybos produktų reglamentą</w:t>
      </w:r>
      <w:r w:rsidRPr="00650EE4">
        <w:rPr>
          <w:rStyle w:val="FootnoteReference"/>
          <w:rFonts w:ascii="Times New Roman" w:hAnsi="Times New Roman"/>
          <w:color w:val="000000" w:themeColor="text1"/>
          <w:szCs w:val="22"/>
        </w:rPr>
        <w:footnoteReference w:id="58"/>
      </w:r>
      <w:r w:rsidRPr="00650EE4">
        <w:rPr>
          <w:rFonts w:ascii="Times New Roman" w:hAnsi="Times New Roman"/>
          <w:color w:val="000000" w:themeColor="text1"/>
          <w:szCs w:val="22"/>
        </w:rPr>
        <w:t xml:space="preserve">, kuris turėtų užtikrinti, kad naujų ir renovuotų pastatų projektavimas visuose etapuose atitiktų žiedinės ekonomikos poreikius ir paskatintų didesnį pastatų ūkio </w:t>
      </w:r>
      <w:proofErr w:type="spellStart"/>
      <w:r w:rsidRPr="00650EE4">
        <w:rPr>
          <w:rFonts w:ascii="Times New Roman" w:hAnsi="Times New Roman"/>
          <w:color w:val="000000" w:themeColor="text1"/>
          <w:szCs w:val="22"/>
        </w:rPr>
        <w:t>skaitmeninimą</w:t>
      </w:r>
      <w:proofErr w:type="spellEnd"/>
      <w:r w:rsidRPr="00650EE4">
        <w:rPr>
          <w:rFonts w:ascii="Times New Roman" w:hAnsi="Times New Roman"/>
          <w:color w:val="000000" w:themeColor="text1"/>
          <w:szCs w:val="22"/>
        </w:rPr>
        <w:t xml:space="preserve"> ir jų atsparumo klimato kaitai didinimą. Taip pat pati renovacija turi būti atliekama efektyviai naudojant energiją ir išteklius.</w:t>
      </w:r>
    </w:p>
    <w:p w14:paraId="2E8594B6" w14:textId="77777777" w:rsidR="007E0569" w:rsidRPr="00650EE4" w:rsidRDefault="007E0569" w:rsidP="007E0569">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Atitinkamai įgyvendinant renovacijos strategiją turėtų būti siekiama:</w:t>
      </w:r>
    </w:p>
    <w:p w14:paraId="55A6DA11" w14:textId="2C51AA5B" w:rsidR="007E0569" w:rsidRPr="00650EE4" w:rsidRDefault="007E0569"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numatyti minimalius reikalavimus renovacijos procesui ir naudojamoms medžiagoms</w:t>
      </w:r>
      <w:r w:rsidR="009E5C33">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p>
    <w:p w14:paraId="7D0890BE" w14:textId="77777777" w:rsidR="007E0569" w:rsidRPr="00650EE4" w:rsidRDefault="007E0569"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skatinti naujų produktų ir proceso inovacijų naudojimą, pavyzdžiui skiriant papildomą finansavimą.</w:t>
      </w:r>
    </w:p>
    <w:p w14:paraId="45920682" w14:textId="559B1027" w:rsidR="006F6B56" w:rsidRPr="00650EE4" w:rsidRDefault="006F6B56" w:rsidP="00EC3158">
      <w:pPr>
        <w:spacing w:before="120" w:after="60"/>
        <w:jc w:val="both"/>
        <w:rPr>
          <w:rFonts w:ascii="Times New Roman" w:hAnsi="Times New Roman"/>
          <w:color w:val="000000" w:themeColor="text1"/>
          <w:szCs w:val="22"/>
        </w:rPr>
      </w:pPr>
      <w:r w:rsidRPr="00650EE4">
        <w:rPr>
          <w:rFonts w:ascii="Times New Roman" w:hAnsi="Times New Roman"/>
          <w:color w:val="000000" w:themeColor="text1"/>
          <w:szCs w:val="22"/>
        </w:rPr>
        <w:lastRenderedPageBreak/>
        <w:t>Kitas svarbus renovacijos elementas – naujų inovacijų atsiradimas, ypatingai – statybos industrializacija, „statyba fabrike“. Tai – išankstinė sienų ir stogo konstrukcijų  gamyba, kuri sumažina statybos darbus pastato vietoje iki kelių dienų. Tokia gamyba taip pat padidina kokybę bei sumažina atliekų apimtis.</w:t>
      </w:r>
    </w:p>
    <w:p w14:paraId="2D0D777E" w14:textId="73A0134C" w:rsidR="006F6B56" w:rsidRPr="00650EE4" w:rsidRDefault="006F6B56" w:rsidP="006F6B56">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 xml:space="preserve">Šioje srityje svarbu pasinaudoti gerąja ES ir kitų šalių vykdomų projektų praktika. ES vysto šią sritį finansuodama pilotinius projektus, kurių pavyzdžiu galės naudotis ES šalys narės. Tokių projektų pavyzdžiai: </w:t>
      </w:r>
      <w:r w:rsidR="00C81905">
        <w:rPr>
          <w:rFonts w:ascii="Times New Roman" w:hAnsi="Times New Roman"/>
          <w:color w:val="000000" w:themeColor="text1"/>
          <w:szCs w:val="22"/>
        </w:rPr>
        <w:t>„</w:t>
      </w:r>
      <w:r w:rsidRPr="00650EE4">
        <w:rPr>
          <w:rFonts w:ascii="Times New Roman" w:hAnsi="Times New Roman"/>
          <w:color w:val="000000" w:themeColor="text1"/>
          <w:szCs w:val="22"/>
        </w:rPr>
        <w:t>DRIVE0</w:t>
      </w:r>
      <w:r w:rsidR="00C81905">
        <w:rPr>
          <w:rFonts w:ascii="Times New Roman" w:hAnsi="Times New Roman"/>
          <w:color w:val="000000" w:themeColor="text1"/>
          <w:szCs w:val="22"/>
        </w:rPr>
        <w:t>“</w:t>
      </w:r>
      <w:r w:rsidRPr="00650EE4">
        <w:rPr>
          <w:rFonts w:ascii="Times New Roman" w:hAnsi="Times New Roman"/>
          <w:color w:val="000000" w:themeColor="text1"/>
          <w:szCs w:val="22"/>
        </w:rPr>
        <w:t xml:space="preserve"> ir </w:t>
      </w:r>
      <w:r w:rsidR="00C81905">
        <w:rPr>
          <w:rFonts w:ascii="Times New Roman" w:hAnsi="Times New Roman"/>
          <w:color w:val="000000" w:themeColor="text1"/>
          <w:szCs w:val="22"/>
        </w:rPr>
        <w:t>„</w:t>
      </w:r>
      <w:r w:rsidRPr="00650EE4">
        <w:rPr>
          <w:rFonts w:ascii="Times New Roman" w:hAnsi="Times New Roman"/>
          <w:color w:val="000000" w:themeColor="text1"/>
          <w:szCs w:val="22"/>
        </w:rPr>
        <w:t>MORE-CONNECT</w:t>
      </w:r>
      <w:r w:rsidR="00C81905">
        <w:rPr>
          <w:rFonts w:ascii="Times New Roman" w:hAnsi="Times New Roman"/>
          <w:color w:val="000000" w:themeColor="text1"/>
          <w:szCs w:val="22"/>
        </w:rPr>
        <w:t>“</w:t>
      </w:r>
      <w:r w:rsidRPr="00650EE4">
        <w:rPr>
          <w:rFonts w:ascii="Times New Roman" w:hAnsi="Times New Roman"/>
          <w:color w:val="000000" w:themeColor="text1"/>
          <w:szCs w:val="22"/>
        </w:rPr>
        <w:t>, kurių metu iš anksto pagamintomis konstrukcijomis jau renovuoti daugiabučiai pastatai Estijoje ir Latvijoje.</w:t>
      </w:r>
    </w:p>
    <w:p w14:paraId="619B62EE" w14:textId="429330F6" w:rsidR="006F6B56" w:rsidRPr="00650EE4" w:rsidRDefault="006F6B56" w:rsidP="006F6B56">
      <w:pPr>
        <w:spacing w:before="60" w:after="60"/>
        <w:jc w:val="both"/>
        <w:rPr>
          <w:rFonts w:ascii="Times New Roman" w:hAnsi="Times New Roman"/>
          <w:color w:val="000000" w:themeColor="text1"/>
          <w:szCs w:val="22"/>
        </w:rPr>
      </w:pPr>
      <w:r w:rsidRPr="00650EE4">
        <w:rPr>
          <w:rFonts w:ascii="Times New Roman" w:hAnsi="Times New Roman"/>
          <w:color w:val="000000" w:themeColor="text1"/>
          <w:szCs w:val="22"/>
        </w:rPr>
        <w:t>Svarbu pastebėti, kad tvarumo ir inovacijų sprendimų įgyvendinimas nuo tikslo deklaravimo iki praktinio įgyvendinimo užtrunka ilgai, todėl svarbu reikalingus žingsnius pradėti kuo anksčiau.</w:t>
      </w:r>
    </w:p>
    <w:p w14:paraId="2C6A2AF1" w14:textId="77777777" w:rsidR="006F6B56" w:rsidRPr="00650EE4" w:rsidRDefault="006F6B56" w:rsidP="006F6B56">
      <w:pPr>
        <w:spacing w:before="60" w:after="60"/>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3A7CA651" w14:textId="77777777" w:rsidTr="00910123">
        <w:trPr>
          <w:trHeight w:val="52"/>
        </w:trPr>
        <w:tc>
          <w:tcPr>
            <w:tcW w:w="3114" w:type="dxa"/>
          </w:tcPr>
          <w:p w14:paraId="6EF1E341"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0A81545"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B6. Brangstanti renovacija</w:t>
            </w:r>
          </w:p>
          <w:p w14:paraId="5B44DE0B"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B8. Neužtikrintas transformacijos tvarumas</w:t>
            </w:r>
          </w:p>
          <w:p w14:paraId="7C072E00"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B19. Darbo jėgos statybų sektoriuje apribojimai</w:t>
            </w:r>
          </w:p>
        </w:tc>
      </w:tr>
      <w:tr w:rsidR="00CB5533" w:rsidRPr="00650EE4" w14:paraId="38E56985" w14:textId="77777777" w:rsidTr="00910123">
        <w:trPr>
          <w:trHeight w:val="142"/>
        </w:trPr>
        <w:tc>
          <w:tcPr>
            <w:tcW w:w="3114" w:type="dxa"/>
          </w:tcPr>
          <w:p w14:paraId="5B05560E"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76C32EC0"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Tvarumo aspekto įtraukimas į planuojamas priemones, inovacijų skatinimas</w:t>
            </w:r>
          </w:p>
        </w:tc>
      </w:tr>
      <w:tr w:rsidR="00CB5533" w:rsidRPr="00650EE4" w14:paraId="188C9F61" w14:textId="77777777" w:rsidTr="00910123">
        <w:trPr>
          <w:trHeight w:val="55"/>
        </w:trPr>
        <w:tc>
          <w:tcPr>
            <w:tcW w:w="3114" w:type="dxa"/>
          </w:tcPr>
          <w:p w14:paraId="540DF133"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5EB2238"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Vidutinis</w:t>
            </w:r>
          </w:p>
        </w:tc>
      </w:tr>
      <w:tr w:rsidR="00CB5533" w:rsidRPr="00650EE4" w14:paraId="072BFFFD" w14:textId="77777777" w:rsidTr="00910123">
        <w:trPr>
          <w:trHeight w:val="160"/>
        </w:trPr>
        <w:tc>
          <w:tcPr>
            <w:tcW w:w="3114" w:type="dxa"/>
          </w:tcPr>
          <w:p w14:paraId="65CB0854"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90B7248"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Vidutinis-ilgas laikotarpis</w:t>
            </w:r>
          </w:p>
        </w:tc>
      </w:tr>
      <w:tr w:rsidR="00CB5533" w:rsidRPr="00650EE4" w14:paraId="796723A9" w14:textId="77777777" w:rsidTr="00910123">
        <w:trPr>
          <w:trHeight w:val="160"/>
        </w:trPr>
        <w:tc>
          <w:tcPr>
            <w:tcW w:w="3114" w:type="dxa"/>
          </w:tcPr>
          <w:p w14:paraId="3E08397E"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Geroji praktika</w:t>
            </w:r>
          </w:p>
        </w:tc>
        <w:tc>
          <w:tcPr>
            <w:tcW w:w="7089" w:type="dxa"/>
          </w:tcPr>
          <w:p w14:paraId="5C927389" w14:textId="77777777" w:rsidR="00CB5533" w:rsidRPr="00650EE4" w:rsidRDefault="00166683" w:rsidP="00910123">
            <w:pPr>
              <w:spacing w:after="60"/>
              <w:rPr>
                <w:rFonts w:ascii="Times New Roman" w:hAnsi="Times New Roman"/>
                <w:szCs w:val="22"/>
                <w:lang w:eastAsia="lt-LT"/>
              </w:rPr>
            </w:pPr>
            <w:hyperlink r:id="rId66" w:history="1">
              <w:r w:rsidR="00CB5533" w:rsidRPr="00650EE4">
                <w:rPr>
                  <w:rStyle w:val="Hyperlink"/>
                  <w:rFonts w:ascii="Times New Roman" w:hAnsi="Times New Roman"/>
                  <w:color w:val="0070C0"/>
                  <w:szCs w:val="22"/>
                  <w:lang w:eastAsia="lt-LT"/>
                </w:rPr>
                <w:t>DRIVE0 projektas</w:t>
              </w:r>
            </w:hyperlink>
          </w:p>
        </w:tc>
      </w:tr>
    </w:tbl>
    <w:p w14:paraId="3F52F08F" w14:textId="77777777" w:rsidR="006B7C8D" w:rsidRPr="00650EE4" w:rsidRDefault="006B7C8D" w:rsidP="006B7C8D">
      <w:pPr>
        <w:rPr>
          <w:rFonts w:ascii="Times New Roman" w:hAnsi="Times New Roman"/>
          <w:color w:val="000000" w:themeColor="text1"/>
          <w:szCs w:val="22"/>
          <w:highlight w:val="lightGray"/>
        </w:rPr>
      </w:pPr>
    </w:p>
    <w:p w14:paraId="6BE37F21" w14:textId="3B0B4E93" w:rsidR="006B7C8D" w:rsidRPr="00650EE4" w:rsidRDefault="006B7C8D"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5</w:t>
      </w:r>
      <w:r w:rsidRPr="00650EE4">
        <w:rPr>
          <w:rFonts w:ascii="Times New Roman" w:hAnsi="Times New Roman"/>
          <w:b/>
          <w:bCs/>
          <w:szCs w:val="24"/>
        </w:rPr>
        <w:t>. Minimalių reikalavimų</w:t>
      </w:r>
      <w:r w:rsidR="00A95172" w:rsidRPr="00650EE4">
        <w:rPr>
          <w:rFonts w:ascii="Times New Roman" w:hAnsi="Times New Roman"/>
          <w:b/>
          <w:bCs/>
          <w:szCs w:val="24"/>
        </w:rPr>
        <w:t xml:space="preserve"> valdymas</w:t>
      </w:r>
    </w:p>
    <w:p w14:paraId="1608105F" w14:textId="38C77977" w:rsidR="00C5520D" w:rsidRPr="00650EE4" w:rsidRDefault="00654C9E" w:rsidP="0067096F">
      <w:pPr>
        <w:pStyle w:val="BodyText"/>
        <w:jc w:val="both"/>
        <w:rPr>
          <w:rFonts w:ascii="Times New Roman" w:hAnsi="Times New Roman"/>
          <w:szCs w:val="22"/>
          <w:lang w:val="lt-LT"/>
        </w:rPr>
      </w:pPr>
      <w:r w:rsidRPr="00650EE4">
        <w:rPr>
          <w:rFonts w:ascii="Times New Roman" w:hAnsi="Times New Roman"/>
          <w:szCs w:val="22"/>
          <w:lang w:val="lt-LT"/>
        </w:rPr>
        <w:t xml:space="preserve">Siekiant </w:t>
      </w:r>
      <w:r w:rsidR="00A95172" w:rsidRPr="00650EE4">
        <w:rPr>
          <w:rFonts w:ascii="Times New Roman" w:hAnsi="Times New Roman"/>
          <w:szCs w:val="22"/>
          <w:lang w:val="lt-LT"/>
        </w:rPr>
        <w:t xml:space="preserve">renovacijos naudų maksimizavimo turėtų būti nustatyti ir </w:t>
      </w:r>
      <w:proofErr w:type="spellStart"/>
      <w:r w:rsidR="00A95172" w:rsidRPr="00650EE4">
        <w:rPr>
          <w:rFonts w:ascii="Times New Roman" w:hAnsi="Times New Roman"/>
          <w:szCs w:val="22"/>
          <w:lang w:val="lt-LT"/>
        </w:rPr>
        <w:t>proaktyviai</w:t>
      </w:r>
      <w:proofErr w:type="spellEnd"/>
      <w:r w:rsidR="00A95172" w:rsidRPr="00650EE4">
        <w:rPr>
          <w:rFonts w:ascii="Times New Roman" w:hAnsi="Times New Roman"/>
          <w:szCs w:val="22"/>
          <w:lang w:val="lt-LT"/>
        </w:rPr>
        <w:t xml:space="preserve"> valdomi minimalūs reikalavimai </w:t>
      </w:r>
      <w:r w:rsidR="00C5520D" w:rsidRPr="00650EE4">
        <w:rPr>
          <w:rFonts w:ascii="Times New Roman" w:hAnsi="Times New Roman"/>
          <w:szCs w:val="22"/>
          <w:lang w:val="lt-LT"/>
        </w:rPr>
        <w:t xml:space="preserve">pastatų rekonstrukcijai kiekviename tipiniame rekonstrukcijos inicijavimo momente (žr. detaliau </w:t>
      </w:r>
      <w:r w:rsidR="00C81905">
        <w:rPr>
          <w:rFonts w:ascii="Times New Roman" w:hAnsi="Times New Roman"/>
          <w:szCs w:val="22"/>
        </w:rPr>
        <w:t>2</w:t>
      </w:r>
      <w:r w:rsidR="00C5520D" w:rsidRPr="00650EE4">
        <w:rPr>
          <w:rFonts w:ascii="Times New Roman" w:hAnsi="Times New Roman"/>
          <w:szCs w:val="22"/>
          <w:lang w:val="lt-LT"/>
        </w:rPr>
        <w:t>.9 skyrių), pvz.:</w:t>
      </w:r>
    </w:p>
    <w:p w14:paraId="3278508B" w14:textId="77777777" w:rsidR="00C5520D" w:rsidRPr="00650EE4" w:rsidRDefault="00C5520D" w:rsidP="00BD4925">
      <w:pPr>
        <w:pStyle w:val="ListParagraph"/>
        <w:numPr>
          <w:ilvl w:val="0"/>
          <w:numId w:val="51"/>
        </w:numPr>
        <w:spacing w:before="60" w:after="60"/>
        <w:ind w:left="714"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nuolat keliama minimalių energinio naudingumo reikalavimų kartelė valstybės lėšomis dalinai  finansuojamiems renovacijos projektams;</w:t>
      </w:r>
    </w:p>
    <w:p w14:paraId="4CB6AAB4" w14:textId="1749032C" w:rsidR="00C5520D" w:rsidRPr="00650EE4" w:rsidRDefault="00C5520D" w:rsidP="00BD4925">
      <w:pPr>
        <w:pStyle w:val="ListParagraph"/>
        <w:numPr>
          <w:ilvl w:val="0"/>
          <w:numId w:val="51"/>
        </w:numPr>
        <w:spacing w:before="6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nustatomas privalomų renovacijos darbų ir techninių sprendinių sąrašas siekiant valstybės finansavimo pvz.: būsto (aplinkos) pritaikymas neįgaliesiems, elektromobilių krovimo stotelių įrengimas, vėdinimo su </w:t>
      </w:r>
      <w:proofErr w:type="spellStart"/>
      <w:r w:rsidR="00024F67">
        <w:rPr>
          <w:rFonts w:ascii="Times New Roman" w:hAnsi="Times New Roman"/>
          <w:color w:val="000000" w:themeColor="text1"/>
          <w:szCs w:val="22"/>
          <w:lang w:val="lt-LT"/>
        </w:rPr>
        <w:t>šilumogrąža</w:t>
      </w:r>
      <w:proofErr w:type="spellEnd"/>
      <w:r w:rsidR="00024F67">
        <w:rPr>
          <w:rFonts w:ascii="Times New Roman" w:hAnsi="Times New Roman"/>
          <w:color w:val="000000" w:themeColor="text1"/>
          <w:szCs w:val="22"/>
          <w:lang w:val="lt-LT"/>
        </w:rPr>
        <w:t xml:space="preserve"> užtikrinimas ir </w:t>
      </w:r>
      <w:proofErr w:type="spellStart"/>
      <w:r w:rsidR="00024F67">
        <w:rPr>
          <w:rFonts w:ascii="Times New Roman" w:hAnsi="Times New Roman"/>
          <w:color w:val="000000" w:themeColor="text1"/>
          <w:szCs w:val="22"/>
          <w:lang w:val="lt-LT"/>
        </w:rPr>
        <w:t>pan</w:t>
      </w:r>
      <w:proofErr w:type="spellEnd"/>
      <w:r w:rsidR="00024F67">
        <w:rPr>
          <w:rFonts w:ascii="Times New Roman" w:hAnsi="Times New Roman"/>
          <w:color w:val="000000" w:themeColor="text1"/>
          <w:szCs w:val="22"/>
          <w:lang w:val="lt-LT"/>
        </w:rPr>
        <w:t>;</w:t>
      </w:r>
    </w:p>
    <w:p w14:paraId="705B6AEB" w14:textId="192FE4F2" w:rsidR="00C5520D" w:rsidRPr="00650EE4" w:rsidRDefault="00C5520D" w:rsidP="00BD4925">
      <w:pPr>
        <w:pStyle w:val="ListParagraph"/>
        <w:numPr>
          <w:ilvl w:val="0"/>
          <w:numId w:val="51"/>
        </w:numPr>
        <w:spacing w:before="60" w:after="60"/>
        <w:ind w:left="714" w:hanging="357"/>
        <w:contextualSpacing w:val="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nustatomi reikalavimai pasirinktiems komercinių pastatų sandorių tipams pvz. minimalūs energinio naudingumo reik</w:t>
      </w:r>
      <w:r w:rsidR="00024F67">
        <w:rPr>
          <w:rFonts w:ascii="Times New Roman" w:hAnsi="Times New Roman"/>
          <w:color w:val="000000" w:themeColor="text1"/>
          <w:szCs w:val="22"/>
          <w:lang w:val="lt-LT"/>
        </w:rPr>
        <w:t>alavimai nuomojamiems pastatams;</w:t>
      </w:r>
      <w:r w:rsidRPr="00650EE4">
        <w:rPr>
          <w:rFonts w:ascii="Times New Roman" w:hAnsi="Times New Roman"/>
          <w:color w:val="000000" w:themeColor="text1"/>
          <w:szCs w:val="22"/>
          <w:lang w:val="lt-LT"/>
        </w:rPr>
        <w:t xml:space="preserve"> </w:t>
      </w:r>
    </w:p>
    <w:p w14:paraId="1B4E4745" w14:textId="0072ADE7" w:rsidR="00C5520D" w:rsidRPr="00650EE4" w:rsidRDefault="00C5520D" w:rsidP="00BD4925">
      <w:pPr>
        <w:pStyle w:val="ListParagraph"/>
        <w:numPr>
          <w:ilvl w:val="0"/>
          <w:numId w:val="51"/>
        </w:numPr>
        <w:jc w:val="both"/>
        <w:rPr>
          <w:rFonts w:ascii="Times New Roman" w:hAnsi="Times New Roman"/>
          <w:szCs w:val="22"/>
          <w:lang w:val="lt-LT"/>
        </w:rPr>
      </w:pPr>
      <w:r w:rsidRPr="00650EE4">
        <w:rPr>
          <w:rFonts w:ascii="Times New Roman" w:hAnsi="Times New Roman"/>
          <w:color w:val="000000" w:themeColor="text1"/>
          <w:szCs w:val="22"/>
          <w:lang w:val="lt-LT"/>
        </w:rPr>
        <w:t>keliama minimalių energinio naudingumo reikalavimų kartelė pastatų rekonstrukcijos atveju ir pan.</w:t>
      </w:r>
    </w:p>
    <w:p w14:paraId="15971314" w14:textId="77777777" w:rsidR="00C5520D" w:rsidRPr="00650EE4" w:rsidRDefault="00C5520D" w:rsidP="00C5520D">
      <w:pPr>
        <w:jc w:val="both"/>
        <w:rPr>
          <w:rFonts w:ascii="Times New Roman" w:hAnsi="Times New Roman"/>
          <w:szCs w:val="22"/>
        </w:rPr>
      </w:pPr>
    </w:p>
    <w:p w14:paraId="7038B37D" w14:textId="578BA724" w:rsidR="00654C9E" w:rsidRPr="00650EE4" w:rsidRDefault="00654C9E" w:rsidP="00C5520D">
      <w:pPr>
        <w:jc w:val="both"/>
        <w:rPr>
          <w:rFonts w:ascii="Times New Roman" w:hAnsi="Times New Roman"/>
          <w:szCs w:val="22"/>
        </w:rPr>
      </w:pPr>
      <w:r w:rsidRPr="00650EE4">
        <w:rPr>
          <w:rFonts w:ascii="Times New Roman" w:hAnsi="Times New Roman"/>
          <w:szCs w:val="22"/>
        </w:rPr>
        <w:t xml:space="preserve">Svarbu </w:t>
      </w:r>
      <w:r w:rsidR="00C067C9" w:rsidRPr="00650EE4">
        <w:rPr>
          <w:rFonts w:ascii="Times New Roman" w:hAnsi="Times New Roman"/>
          <w:szCs w:val="22"/>
        </w:rPr>
        <w:t>užt</w:t>
      </w:r>
      <w:r w:rsidR="00C5520D" w:rsidRPr="00650EE4">
        <w:rPr>
          <w:rFonts w:ascii="Times New Roman" w:hAnsi="Times New Roman"/>
          <w:szCs w:val="22"/>
        </w:rPr>
        <w:t>i</w:t>
      </w:r>
      <w:r w:rsidR="00C067C9" w:rsidRPr="00650EE4">
        <w:rPr>
          <w:rFonts w:ascii="Times New Roman" w:hAnsi="Times New Roman"/>
          <w:szCs w:val="22"/>
        </w:rPr>
        <w:t>krinti</w:t>
      </w:r>
      <w:r w:rsidRPr="00650EE4">
        <w:rPr>
          <w:rFonts w:ascii="Times New Roman" w:hAnsi="Times New Roman"/>
          <w:szCs w:val="22"/>
        </w:rPr>
        <w:t xml:space="preserve">, kad </w:t>
      </w:r>
      <w:r w:rsidR="00C5520D" w:rsidRPr="00650EE4">
        <w:rPr>
          <w:rFonts w:ascii="Times New Roman" w:hAnsi="Times New Roman"/>
          <w:szCs w:val="22"/>
        </w:rPr>
        <w:t>minimalių reikalavimų valdymas būtų planingas ir prog</w:t>
      </w:r>
      <w:r w:rsidR="00AC2E87" w:rsidRPr="00650EE4">
        <w:rPr>
          <w:rFonts w:ascii="Times New Roman" w:hAnsi="Times New Roman"/>
          <w:szCs w:val="22"/>
        </w:rPr>
        <w:t>nozuo</w:t>
      </w:r>
      <w:r w:rsidR="00C5520D" w:rsidRPr="00650EE4">
        <w:rPr>
          <w:rFonts w:ascii="Times New Roman" w:hAnsi="Times New Roman"/>
          <w:szCs w:val="22"/>
        </w:rPr>
        <w:t>j</w:t>
      </w:r>
      <w:r w:rsidR="00AC2E87" w:rsidRPr="00650EE4">
        <w:rPr>
          <w:rFonts w:ascii="Times New Roman" w:hAnsi="Times New Roman"/>
          <w:szCs w:val="22"/>
        </w:rPr>
        <w:t>a</w:t>
      </w:r>
      <w:r w:rsidR="00C5520D" w:rsidRPr="00650EE4">
        <w:rPr>
          <w:rFonts w:ascii="Times New Roman" w:hAnsi="Times New Roman"/>
          <w:szCs w:val="22"/>
        </w:rPr>
        <w:t xml:space="preserve">mas t.y. </w:t>
      </w:r>
      <w:r w:rsidRPr="00650EE4">
        <w:rPr>
          <w:rFonts w:ascii="Times New Roman" w:hAnsi="Times New Roman"/>
          <w:szCs w:val="22"/>
        </w:rPr>
        <w:t xml:space="preserve">reikalavimai nustatomi ir skelbiami iš anksto, numatant pereinamąjį laikotarpį, taip sudarant sąlygas </w:t>
      </w:r>
      <w:r w:rsidR="00C5520D" w:rsidRPr="00650EE4">
        <w:rPr>
          <w:rFonts w:ascii="Times New Roman" w:hAnsi="Times New Roman"/>
          <w:szCs w:val="22"/>
        </w:rPr>
        <w:t xml:space="preserve">pastatų savininkams </w:t>
      </w:r>
      <w:r w:rsidRPr="00650EE4">
        <w:rPr>
          <w:rFonts w:ascii="Times New Roman" w:hAnsi="Times New Roman"/>
          <w:szCs w:val="22"/>
        </w:rPr>
        <w:t xml:space="preserve">prisitaikyti prie reikalavimų savanoriškai (pasinaudojant paramos priemonėmis). </w:t>
      </w:r>
    </w:p>
    <w:p w14:paraId="318A0A76" w14:textId="77777777" w:rsidR="00B212EA" w:rsidRPr="00650EE4" w:rsidRDefault="00B212EA" w:rsidP="00B212EA">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6B7C8D" w:rsidRPr="00650EE4" w14:paraId="60908970" w14:textId="77777777" w:rsidTr="006A60B7">
        <w:trPr>
          <w:trHeight w:val="463"/>
        </w:trPr>
        <w:tc>
          <w:tcPr>
            <w:tcW w:w="3114" w:type="dxa"/>
          </w:tcPr>
          <w:p w14:paraId="375BCFD8"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8416A1C" w14:textId="536784AE" w:rsidR="00DA4CD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B7. Neišnaudotas visa</w:t>
            </w:r>
            <w:r w:rsidR="00452CD0" w:rsidRPr="00650EE4">
              <w:rPr>
                <w:rFonts w:ascii="Times New Roman" w:hAnsi="Times New Roman"/>
                <w:szCs w:val="22"/>
                <w:lang w:eastAsia="lt-LT"/>
              </w:rPr>
              <w:t>s renovacijos naudų potencialas</w:t>
            </w:r>
          </w:p>
        </w:tc>
      </w:tr>
      <w:tr w:rsidR="006B7C8D" w:rsidRPr="00650EE4" w14:paraId="0F3C3D4B" w14:textId="77777777" w:rsidTr="006A60B7">
        <w:trPr>
          <w:trHeight w:val="463"/>
        </w:trPr>
        <w:tc>
          <w:tcPr>
            <w:tcW w:w="3114" w:type="dxa"/>
          </w:tcPr>
          <w:p w14:paraId="23F582A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CA208E7" w14:textId="2ACFC198" w:rsidR="006B7C8D" w:rsidRPr="00650EE4" w:rsidRDefault="006B7C8D" w:rsidP="00C067C9">
            <w:pPr>
              <w:spacing w:after="60"/>
              <w:rPr>
                <w:rFonts w:ascii="Times New Roman" w:hAnsi="Times New Roman"/>
                <w:szCs w:val="22"/>
                <w:lang w:eastAsia="lt-LT"/>
              </w:rPr>
            </w:pPr>
            <w:r w:rsidRPr="00650EE4">
              <w:rPr>
                <w:rFonts w:ascii="Times New Roman" w:hAnsi="Times New Roman"/>
                <w:szCs w:val="22"/>
                <w:lang w:eastAsia="lt-LT"/>
              </w:rPr>
              <w:t xml:space="preserve">Minimalių reikalavimų </w:t>
            </w:r>
            <w:r w:rsidR="00C067C9" w:rsidRPr="00650EE4">
              <w:rPr>
                <w:rFonts w:ascii="Times New Roman" w:hAnsi="Times New Roman"/>
                <w:szCs w:val="22"/>
                <w:lang w:eastAsia="lt-LT"/>
              </w:rPr>
              <w:t>valdymas</w:t>
            </w:r>
          </w:p>
        </w:tc>
      </w:tr>
      <w:tr w:rsidR="006B7C8D" w:rsidRPr="00650EE4" w14:paraId="64F08D1D" w14:textId="77777777" w:rsidTr="006A60B7">
        <w:trPr>
          <w:trHeight w:val="55"/>
        </w:trPr>
        <w:tc>
          <w:tcPr>
            <w:tcW w:w="3114" w:type="dxa"/>
          </w:tcPr>
          <w:p w14:paraId="150822A4"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7425B07C"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6B7C8D" w:rsidRPr="00650EE4" w14:paraId="6506BB4A" w14:textId="77777777" w:rsidTr="006A60B7">
        <w:trPr>
          <w:trHeight w:val="160"/>
        </w:trPr>
        <w:tc>
          <w:tcPr>
            <w:tcW w:w="3114" w:type="dxa"/>
          </w:tcPr>
          <w:p w14:paraId="7B628C57" w14:textId="77777777" w:rsidR="006B7C8D" w:rsidRPr="00650EE4" w:rsidRDefault="006B7C8D"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0EAEDAA6" w14:textId="77777777" w:rsidR="006B7C8D" w:rsidRPr="00650EE4" w:rsidRDefault="006B7C8D" w:rsidP="006A60B7">
            <w:pPr>
              <w:spacing w:after="60"/>
              <w:rPr>
                <w:rFonts w:ascii="Times New Roman" w:hAnsi="Times New Roman"/>
                <w:szCs w:val="22"/>
                <w:lang w:eastAsia="lt-LT"/>
              </w:rPr>
            </w:pPr>
            <w:r w:rsidRPr="00650EE4">
              <w:rPr>
                <w:rFonts w:ascii="Times New Roman" w:hAnsi="Times New Roman"/>
                <w:szCs w:val="22"/>
                <w:lang w:eastAsia="lt-LT"/>
              </w:rPr>
              <w:t>Trumpas-vidutinis laikotarpis</w:t>
            </w:r>
          </w:p>
        </w:tc>
      </w:tr>
    </w:tbl>
    <w:p w14:paraId="5F712056" w14:textId="77777777" w:rsidR="00D01D60" w:rsidRPr="00650EE4" w:rsidRDefault="00D01D60" w:rsidP="007B46E4">
      <w:pPr>
        <w:spacing w:after="120"/>
        <w:rPr>
          <w:rFonts w:ascii="Times New Roman" w:eastAsia="Times New Roman" w:hAnsi="Times New Roman"/>
          <w:b/>
          <w:bCs/>
          <w:color w:val="auto"/>
          <w:kern w:val="32"/>
          <w:sz w:val="24"/>
          <w:szCs w:val="24"/>
        </w:rPr>
      </w:pPr>
    </w:p>
    <w:p w14:paraId="3DFD959C" w14:textId="6C58AE6C" w:rsidR="0019233C" w:rsidRPr="00650EE4" w:rsidRDefault="00D01D60" w:rsidP="0019233C">
      <w:pPr>
        <w:pStyle w:val="Antrastes31"/>
        <w:numPr>
          <w:ilvl w:val="2"/>
          <w:numId w:val="4"/>
        </w:numPr>
        <w:spacing w:before="120"/>
        <w:ind w:left="720" w:hanging="720"/>
        <w:rPr>
          <w:rFonts w:ascii="Times New Roman" w:hAnsi="Times New Roman"/>
          <w:color w:val="auto"/>
          <w:sz w:val="24"/>
          <w:szCs w:val="24"/>
          <w:lang w:val="lt-LT"/>
        </w:rPr>
      </w:pPr>
      <w:bookmarkStart w:id="213" w:name="_Toc59107575"/>
      <w:r w:rsidRPr="00650EE4">
        <w:rPr>
          <w:rFonts w:ascii="Times New Roman" w:hAnsi="Times New Roman"/>
          <w:color w:val="auto"/>
          <w:sz w:val="24"/>
          <w:szCs w:val="24"/>
          <w:lang w:val="lt-LT"/>
        </w:rPr>
        <w:t>Pakankamas finansavimas</w:t>
      </w:r>
      <w:bookmarkEnd w:id="213"/>
    </w:p>
    <w:p w14:paraId="162C0BA8" w14:textId="77777777" w:rsidR="00C81905" w:rsidRPr="00C81905" w:rsidRDefault="00C81905" w:rsidP="00C81905">
      <w:pPr>
        <w:jc w:val="both"/>
        <w:rPr>
          <w:rFonts w:ascii="Times New Roman" w:hAnsi="Times New Roman"/>
          <w:szCs w:val="22"/>
        </w:rPr>
      </w:pPr>
      <w:r w:rsidRPr="00C81905">
        <w:rPr>
          <w:rFonts w:ascii="Times New Roman" w:hAnsi="Times New Roman"/>
          <w:szCs w:val="22"/>
        </w:rPr>
        <w:t xml:space="preserve">Siekiamas renovacijos proveržis pareikalaus reikšmingai didesnių investicijų. Dėl žemų energijos kainų ir, atitinkamai, ilgo investicijų atsipirkimo laikotarpio, numatoma, kad ne visos investicijos bus finansuojamos vien pastatų savininkų lėšomis t.y. renovacijai įgyvendinti bus reikalinga paskata valstybės lėšomis (subsidijomis). </w:t>
      </w:r>
    </w:p>
    <w:p w14:paraId="32C7EABF" w14:textId="77777777" w:rsidR="00C81905" w:rsidRPr="00C81905" w:rsidRDefault="00C81905" w:rsidP="00C81905">
      <w:pPr>
        <w:jc w:val="both"/>
        <w:rPr>
          <w:rFonts w:ascii="Times New Roman" w:hAnsi="Times New Roman"/>
          <w:szCs w:val="22"/>
        </w:rPr>
      </w:pPr>
    </w:p>
    <w:p w14:paraId="3A857C80" w14:textId="77777777" w:rsidR="00C81905" w:rsidRPr="00C81905" w:rsidRDefault="00C81905" w:rsidP="00C81905">
      <w:pPr>
        <w:jc w:val="both"/>
        <w:rPr>
          <w:rFonts w:ascii="Times New Roman" w:hAnsi="Times New Roman"/>
          <w:szCs w:val="22"/>
        </w:rPr>
      </w:pPr>
      <w:r w:rsidRPr="00C81905">
        <w:rPr>
          <w:rFonts w:ascii="Times New Roman" w:hAnsi="Times New Roman"/>
          <w:szCs w:val="22"/>
        </w:rPr>
        <w:t>Be to, net ir esant tinkamoms finansinėms paskatoms ir kitoms paramos priemonėms, pastatų savininkams bus reikalingos reikšmingos investicijos, kurių trūkumas gali tapti atsisakymo vykdyti renovaciją priežastimi. Atitinkamai, turi egzistuoti patrauklūs finansavimo sprendimai savininko įnašo (investicijos) finansavimui.</w:t>
      </w:r>
    </w:p>
    <w:p w14:paraId="2E060F8C" w14:textId="77777777" w:rsidR="00C81905" w:rsidRPr="00C81905" w:rsidRDefault="00C81905" w:rsidP="00C81905">
      <w:pPr>
        <w:jc w:val="both"/>
        <w:rPr>
          <w:rFonts w:ascii="Times New Roman" w:hAnsi="Times New Roman"/>
          <w:szCs w:val="22"/>
        </w:rPr>
      </w:pPr>
    </w:p>
    <w:p w14:paraId="3F323297" w14:textId="398F278E" w:rsidR="000942E4" w:rsidRDefault="00C81905" w:rsidP="00C81905">
      <w:pPr>
        <w:jc w:val="both"/>
        <w:rPr>
          <w:rFonts w:ascii="Times New Roman" w:hAnsi="Times New Roman"/>
          <w:szCs w:val="22"/>
        </w:rPr>
      </w:pPr>
      <w:r w:rsidRPr="00C81905">
        <w:rPr>
          <w:rFonts w:ascii="Times New Roman" w:hAnsi="Times New Roman"/>
          <w:szCs w:val="22"/>
        </w:rPr>
        <w:lastRenderedPageBreak/>
        <w:t>Neužtikrinus lėšų šaltinių valstybės finansuojamai daliai ir finansavimo sprendimų pastatų savininko investicijos daliai, o kitoms sąlygoms (pvz., energijos kainoms) nesikeičiant, finansavimo trūkumas gali tapti kritiniu barjeru renovacijos įgyvendinimui.</w:t>
      </w:r>
    </w:p>
    <w:p w14:paraId="43ED472E" w14:textId="77777777" w:rsidR="00C81905" w:rsidRPr="00650EE4" w:rsidRDefault="00C81905" w:rsidP="00C81905">
      <w:pPr>
        <w:jc w:val="both"/>
        <w:rPr>
          <w:rFonts w:ascii="Times New Roman" w:hAnsi="Times New Roman"/>
          <w:szCs w:val="22"/>
        </w:rPr>
      </w:pPr>
    </w:p>
    <w:p w14:paraId="03CB909E" w14:textId="0AEBB3B5" w:rsidR="000942E4" w:rsidRPr="00650EE4" w:rsidRDefault="000942E4"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6</w:t>
      </w:r>
      <w:r w:rsidRPr="00650EE4">
        <w:rPr>
          <w:rFonts w:ascii="Times New Roman" w:hAnsi="Times New Roman"/>
          <w:b/>
          <w:bCs/>
          <w:szCs w:val="24"/>
        </w:rPr>
        <w:t>. Finansavimo užtikrinimas</w:t>
      </w:r>
    </w:p>
    <w:p w14:paraId="2BDA1BAD" w14:textId="77777777" w:rsidR="00024F67" w:rsidRPr="00024F67" w:rsidRDefault="00024F67" w:rsidP="00024F67">
      <w:pPr>
        <w:spacing w:after="120"/>
        <w:jc w:val="both"/>
        <w:rPr>
          <w:rFonts w:ascii="Times New Roman" w:hAnsi="Times New Roman"/>
          <w:szCs w:val="22"/>
        </w:rPr>
      </w:pPr>
      <w:r w:rsidRPr="00024F67">
        <w:rPr>
          <w:rFonts w:ascii="Times New Roman" w:eastAsia="Times New Roman" w:hAnsi="Times New Roman"/>
          <w:szCs w:val="22"/>
          <w:lang w:eastAsia="lt-LT"/>
        </w:rPr>
        <w:t xml:space="preserve">Preliminariais skaičiavimais, siekiant nustatytų IRS tarpinių tikslų, iki 2030 m. į pastatų fondo atnaujinimą reikės investuoti vidutiniškai 1,1 mlrd. </w:t>
      </w:r>
      <w:proofErr w:type="spellStart"/>
      <w:r w:rsidRPr="00024F67">
        <w:rPr>
          <w:rFonts w:ascii="Times New Roman" w:eastAsia="Times New Roman" w:hAnsi="Times New Roman"/>
          <w:szCs w:val="22"/>
          <w:lang w:eastAsia="lt-LT"/>
        </w:rPr>
        <w:t>Eur</w:t>
      </w:r>
      <w:proofErr w:type="spellEnd"/>
      <w:r w:rsidRPr="00024F67">
        <w:rPr>
          <w:rFonts w:ascii="Times New Roman" w:eastAsia="Times New Roman" w:hAnsi="Times New Roman"/>
          <w:szCs w:val="22"/>
          <w:lang w:eastAsia="lt-LT"/>
        </w:rPr>
        <w:t xml:space="preserve"> per metus, vėlesniais laikotarpiais investicijų poreikis augs iki 3,1 mlrd. </w:t>
      </w:r>
      <w:proofErr w:type="spellStart"/>
      <w:r w:rsidRPr="00024F67">
        <w:rPr>
          <w:rFonts w:ascii="Times New Roman" w:eastAsia="Times New Roman" w:hAnsi="Times New Roman"/>
          <w:szCs w:val="22"/>
          <w:lang w:eastAsia="lt-LT"/>
        </w:rPr>
        <w:t>Eur</w:t>
      </w:r>
      <w:proofErr w:type="spellEnd"/>
      <w:r w:rsidRPr="00024F67">
        <w:rPr>
          <w:rFonts w:ascii="Times New Roman" w:eastAsia="Times New Roman" w:hAnsi="Times New Roman"/>
          <w:szCs w:val="22"/>
          <w:lang w:eastAsia="lt-LT"/>
        </w:rPr>
        <w:t xml:space="preserve"> per metus, proporcingai augant ir subsidijų bei pastatų savininkų investicijų finansavimo poreikiui. </w:t>
      </w:r>
      <w:r w:rsidRPr="00024F67">
        <w:rPr>
          <w:rFonts w:ascii="Times New Roman" w:hAnsi="Times New Roman"/>
          <w:szCs w:val="22"/>
        </w:rPr>
        <w:t xml:space="preserve">Atitinkamai, finansavimo užtikrinimas turi spręsti šiuos pagrindinius klausimus: </w:t>
      </w:r>
    </w:p>
    <w:p w14:paraId="5F3B77A9" w14:textId="3CFAD874" w:rsidR="00C81905" w:rsidRDefault="00024F67" w:rsidP="00BD4925">
      <w:pPr>
        <w:numPr>
          <w:ilvl w:val="0"/>
          <w:numId w:val="45"/>
        </w:numPr>
        <w:spacing w:after="60" w:line="240" w:lineRule="auto"/>
        <w:ind w:left="714" w:hanging="357"/>
        <w:jc w:val="both"/>
        <w:rPr>
          <w:rFonts w:ascii="Times New Roman" w:hAnsi="Times New Roman"/>
          <w:szCs w:val="22"/>
        </w:rPr>
      </w:pPr>
      <w:r>
        <w:rPr>
          <w:rFonts w:ascii="Times New Roman" w:hAnsi="Times New Roman"/>
          <w:b/>
          <w:color w:val="000000" w:themeColor="text1"/>
          <w:szCs w:val="22"/>
        </w:rPr>
        <w:t>L</w:t>
      </w:r>
      <w:r w:rsidR="00C81905" w:rsidRPr="00EF000F">
        <w:rPr>
          <w:rFonts w:ascii="Times New Roman" w:hAnsi="Times New Roman"/>
          <w:b/>
          <w:color w:val="000000" w:themeColor="text1"/>
          <w:szCs w:val="22"/>
        </w:rPr>
        <w:t>ėšų valstybės finansuojamai daliai (s</w:t>
      </w:r>
      <w:r w:rsidR="00C81905" w:rsidRPr="00EF000F">
        <w:rPr>
          <w:rFonts w:ascii="Times New Roman" w:hAnsi="Times New Roman"/>
          <w:b/>
          <w:bCs/>
          <w:szCs w:val="22"/>
        </w:rPr>
        <w:t>ubsidijoms) užtikrinimas</w:t>
      </w:r>
      <w:r w:rsidR="00C81905" w:rsidRPr="00EF000F">
        <w:rPr>
          <w:rFonts w:ascii="Times New Roman" w:hAnsi="Times New Roman"/>
          <w:b/>
          <w:szCs w:val="22"/>
        </w:rPr>
        <w:t>.</w:t>
      </w:r>
      <w:r w:rsidR="00C81905" w:rsidRPr="00D12CB4">
        <w:rPr>
          <w:rFonts w:ascii="Times New Roman" w:hAnsi="Times New Roman"/>
          <w:color w:val="000000" w:themeColor="text1"/>
          <w:szCs w:val="22"/>
        </w:rPr>
        <w:t xml:space="preserve"> </w:t>
      </w:r>
      <w:r w:rsidR="00C81905" w:rsidRPr="00650EE4">
        <w:rPr>
          <w:rFonts w:ascii="Times New Roman" w:hAnsi="Times New Roman"/>
          <w:color w:val="000000" w:themeColor="text1"/>
          <w:szCs w:val="22"/>
        </w:rPr>
        <w:t xml:space="preserve">Dabartiniai šaltiniai iki 2030 m. taps nepakankami, todėl jau dabar turi būti pradėta naujų šaltinių paieška, </w:t>
      </w:r>
      <w:r w:rsidR="00C81905" w:rsidRPr="00650EE4">
        <w:rPr>
          <w:rFonts w:ascii="Times New Roman" w:eastAsia="Times New Roman" w:hAnsi="Times New Roman"/>
          <w:szCs w:val="22"/>
          <w:lang w:eastAsia="lt-LT"/>
        </w:rPr>
        <w:t>visų pirma siekiant pasinaudoti Europos sąjungos fondais (pvz.,</w:t>
      </w:r>
      <w:r w:rsidR="00C81905">
        <w:rPr>
          <w:rFonts w:ascii="Times New Roman" w:eastAsia="Times New Roman" w:hAnsi="Times New Roman"/>
          <w:szCs w:val="22"/>
          <w:lang w:eastAsia="lt-LT"/>
        </w:rPr>
        <w:t xml:space="preserve"> </w:t>
      </w:r>
      <w:r w:rsidR="00C81905" w:rsidRPr="00650EE4">
        <w:rPr>
          <w:rFonts w:ascii="Times New Roman" w:eastAsia="Times New Roman" w:hAnsi="Times New Roman"/>
          <w:szCs w:val="22"/>
          <w:lang w:eastAsia="lt-LT"/>
        </w:rPr>
        <w:t>įtraukinat renovaciją į 2021-2027 laikotarpio programas) ir planuojamomis iniciatyvomis (pvz., Europos žaliojo kurso investicijų planu).</w:t>
      </w:r>
    </w:p>
    <w:p w14:paraId="076A7580" w14:textId="77777777" w:rsidR="00C81905" w:rsidRDefault="00C81905" w:rsidP="00BD4925">
      <w:pPr>
        <w:numPr>
          <w:ilvl w:val="0"/>
          <w:numId w:val="45"/>
        </w:numPr>
        <w:spacing w:line="240" w:lineRule="auto"/>
        <w:ind w:left="714" w:hanging="357"/>
        <w:jc w:val="both"/>
        <w:rPr>
          <w:rFonts w:ascii="Times New Roman" w:hAnsi="Times New Roman"/>
          <w:szCs w:val="22"/>
        </w:rPr>
      </w:pPr>
      <w:r>
        <w:rPr>
          <w:rFonts w:ascii="Times New Roman" w:eastAsia="Times New Roman" w:hAnsi="Times New Roman"/>
          <w:b/>
          <w:szCs w:val="22"/>
          <w:lang w:eastAsia="lt-LT"/>
        </w:rPr>
        <w:t>Pastatų savininkų</w:t>
      </w:r>
      <w:r w:rsidRPr="00852A79">
        <w:rPr>
          <w:rFonts w:ascii="Times New Roman" w:eastAsia="Times New Roman" w:hAnsi="Times New Roman"/>
          <w:b/>
          <w:szCs w:val="22"/>
          <w:lang w:eastAsia="lt-LT"/>
        </w:rPr>
        <w:t xml:space="preserve"> investicijų f</w:t>
      </w:r>
      <w:r w:rsidRPr="00852A79">
        <w:rPr>
          <w:rFonts w:ascii="Times New Roman" w:hAnsi="Times New Roman"/>
          <w:b/>
          <w:bCs/>
          <w:szCs w:val="22"/>
        </w:rPr>
        <w:t xml:space="preserve">inansavimo </w:t>
      </w:r>
      <w:r>
        <w:rPr>
          <w:rFonts w:ascii="Times New Roman" w:hAnsi="Times New Roman"/>
          <w:b/>
          <w:bCs/>
          <w:szCs w:val="22"/>
        </w:rPr>
        <w:t>sprendimų parengimas</w:t>
      </w:r>
      <w:r>
        <w:rPr>
          <w:rFonts w:ascii="Times New Roman" w:hAnsi="Times New Roman"/>
          <w:szCs w:val="22"/>
        </w:rPr>
        <w:t xml:space="preserve">. Prognozuojamas reikšmingas  savininko investicijų finansavimo poreikio augimas, tikėtina negalės būti patenkintas egzistuojančiais finansavimo sprendimais. </w:t>
      </w:r>
      <w:r>
        <w:rPr>
          <w:rFonts w:ascii="Times New Roman" w:hAnsi="Times New Roman"/>
          <w:color w:val="000000" w:themeColor="text1"/>
          <w:szCs w:val="22"/>
        </w:rPr>
        <w:t>Atitinkamai</w:t>
      </w:r>
      <w:r w:rsidRPr="00D12CB4">
        <w:rPr>
          <w:rFonts w:ascii="Times New Roman" w:hAnsi="Times New Roman"/>
          <w:color w:val="000000" w:themeColor="text1"/>
          <w:szCs w:val="22"/>
        </w:rPr>
        <w:t>, didelę svarbą finansavimo užtikrinimui įgyja gebėjimas sukurti ir pasiūlyti rinkai finansinius instrumentus, turinčius didelį sverto efektą</w:t>
      </w:r>
      <w:r w:rsidRPr="00852A79">
        <w:rPr>
          <w:rFonts w:ascii="Times New Roman" w:hAnsi="Times New Roman"/>
          <w:color w:val="000000" w:themeColor="text1"/>
          <w:szCs w:val="22"/>
          <w:vertAlign w:val="superscript"/>
        </w:rPr>
        <w:footnoteReference w:id="59"/>
      </w:r>
      <w:r w:rsidRPr="00852A79">
        <w:rPr>
          <w:rFonts w:ascii="Times New Roman" w:hAnsi="Times New Roman"/>
          <w:color w:val="000000" w:themeColor="text1"/>
          <w:szCs w:val="22"/>
          <w:vertAlign w:val="superscript"/>
        </w:rPr>
        <w:t xml:space="preserve"> </w:t>
      </w:r>
      <w:r w:rsidRPr="00D12CB4">
        <w:rPr>
          <w:rFonts w:ascii="Times New Roman" w:hAnsi="Times New Roman"/>
          <w:color w:val="000000" w:themeColor="text1"/>
          <w:szCs w:val="22"/>
        </w:rPr>
        <w:t>ir įtraukiančius privačias, pensijų fondų, tarptautinių finansinių institucijų lėšas</w:t>
      </w:r>
      <w:r>
        <w:rPr>
          <w:rFonts w:ascii="Times New Roman" w:hAnsi="Times New Roman"/>
          <w:color w:val="000000" w:themeColor="text1"/>
          <w:szCs w:val="22"/>
        </w:rPr>
        <w:t xml:space="preserve">. </w:t>
      </w:r>
    </w:p>
    <w:p w14:paraId="1A2A6095" w14:textId="77777777" w:rsidR="00C81905" w:rsidRPr="0098442F" w:rsidRDefault="00C81905" w:rsidP="00C81905">
      <w:pPr>
        <w:spacing w:line="240" w:lineRule="auto"/>
        <w:ind w:left="357"/>
        <w:jc w:val="both"/>
        <w:rPr>
          <w:rFonts w:ascii="Times New Roman" w:hAnsi="Times New Roman"/>
          <w:szCs w:val="22"/>
        </w:rPr>
      </w:pPr>
    </w:p>
    <w:p w14:paraId="66C7E6A1" w14:textId="2397F2E9" w:rsidR="00C81905" w:rsidRDefault="00C81905" w:rsidP="00C81905">
      <w:pPr>
        <w:jc w:val="both"/>
        <w:rPr>
          <w:rFonts w:ascii="Times New Roman" w:eastAsia="Times New Roman" w:hAnsi="Times New Roman"/>
          <w:szCs w:val="22"/>
          <w:lang w:eastAsia="lt-LT"/>
        </w:rPr>
      </w:pPr>
      <w:r w:rsidRPr="0096505E">
        <w:rPr>
          <w:rFonts w:ascii="Times New Roman" w:eastAsia="Times New Roman" w:hAnsi="Times New Roman"/>
          <w:szCs w:val="22"/>
          <w:lang w:eastAsia="lt-LT"/>
        </w:rPr>
        <w:t xml:space="preserve">Pažymėtina, kad šiuo metu Lietuvoje taikomas daugiabučių renovacijos finansavimo modelis (subsidijos, lengvatinės paskolos ir palūkanų fiksavimas) yra pripažintas gerąja praktika Europoje ir galėtų būti perkeliamas į kitas </w:t>
      </w:r>
      <w:r>
        <w:rPr>
          <w:rFonts w:ascii="Times New Roman" w:eastAsia="Times New Roman" w:hAnsi="Times New Roman"/>
          <w:szCs w:val="22"/>
          <w:lang w:eastAsia="lt-LT"/>
        </w:rPr>
        <w:t>p</w:t>
      </w:r>
      <w:r w:rsidRPr="0096505E">
        <w:rPr>
          <w:rFonts w:ascii="Times New Roman" w:eastAsia="Times New Roman" w:hAnsi="Times New Roman"/>
          <w:szCs w:val="22"/>
          <w:lang w:eastAsia="lt-LT"/>
        </w:rPr>
        <w:t xml:space="preserve">astatų fondo dalis. </w:t>
      </w:r>
      <w:r>
        <w:rPr>
          <w:rFonts w:ascii="Times New Roman" w:eastAsia="Times New Roman" w:hAnsi="Times New Roman"/>
          <w:szCs w:val="22"/>
          <w:lang w:eastAsia="lt-LT"/>
        </w:rPr>
        <w:t>Tačiau, vertinant finansavimo poreikio augimo apimtis, turėtų būti svarstomi ir papildomi</w:t>
      </w:r>
      <w:r w:rsidRPr="0096505E">
        <w:rPr>
          <w:rFonts w:ascii="Times New Roman" w:eastAsia="Times New Roman" w:hAnsi="Times New Roman"/>
          <w:szCs w:val="22"/>
          <w:lang w:eastAsia="lt-LT"/>
        </w:rPr>
        <w:t xml:space="preserve"> mechanizmai, pagrįsti privataus sektoriaus įsitraukimu, pvz., Energijos taupymo paslaugų teikėjo (</w:t>
      </w:r>
      <w:r>
        <w:rPr>
          <w:rFonts w:ascii="Times New Roman" w:eastAsia="Times New Roman" w:hAnsi="Times New Roman"/>
          <w:szCs w:val="22"/>
          <w:lang w:eastAsia="lt-LT"/>
        </w:rPr>
        <w:t>toliau – ESCO</w:t>
      </w:r>
      <w:r w:rsidRPr="0096505E">
        <w:rPr>
          <w:rFonts w:ascii="Times New Roman" w:eastAsia="Times New Roman" w:hAnsi="Times New Roman"/>
          <w:szCs w:val="22"/>
          <w:lang w:eastAsia="lt-LT"/>
        </w:rPr>
        <w:t>)</w:t>
      </w:r>
      <w:r>
        <w:rPr>
          <w:rFonts w:ascii="Times New Roman" w:eastAsia="Times New Roman" w:hAnsi="Times New Roman"/>
          <w:szCs w:val="22"/>
          <w:lang w:eastAsia="lt-LT"/>
        </w:rPr>
        <w:t xml:space="preserve"> </w:t>
      </w:r>
      <w:r w:rsidRPr="0096505E">
        <w:rPr>
          <w:rFonts w:ascii="Times New Roman" w:eastAsia="Times New Roman" w:hAnsi="Times New Roman"/>
          <w:szCs w:val="22"/>
          <w:lang w:eastAsia="lt-LT"/>
        </w:rPr>
        <w:t>modelis</w:t>
      </w:r>
      <w:r>
        <w:rPr>
          <w:rFonts w:ascii="Times New Roman" w:eastAsia="Times New Roman" w:hAnsi="Times New Roman"/>
          <w:szCs w:val="22"/>
          <w:lang w:eastAsia="lt-LT"/>
        </w:rPr>
        <w:t>, kurio diegimą ir</w:t>
      </w:r>
      <w:r w:rsidRPr="00642DB0">
        <w:rPr>
          <w:rFonts w:ascii="Times New Roman" w:eastAsia="Times New Roman" w:hAnsi="Times New Roman"/>
          <w:szCs w:val="22"/>
          <w:lang w:eastAsia="lt-LT"/>
        </w:rPr>
        <w:t xml:space="preserve"> vystymą skatina ir ES direktyvos</w:t>
      </w:r>
      <w:r>
        <w:rPr>
          <w:rStyle w:val="FootnoteReference"/>
          <w:rFonts w:ascii="Times New Roman" w:eastAsia="Times New Roman" w:hAnsi="Times New Roman"/>
          <w:szCs w:val="22"/>
          <w:lang w:eastAsia="lt-LT"/>
        </w:rPr>
        <w:footnoteReference w:id="60"/>
      </w:r>
      <w:r w:rsidRPr="00642DB0">
        <w:rPr>
          <w:rFonts w:ascii="Times New Roman" w:eastAsia="Times New Roman" w:hAnsi="Times New Roman"/>
          <w:szCs w:val="22"/>
          <w:lang w:eastAsia="lt-LT"/>
        </w:rPr>
        <w:t xml:space="preserve">. </w:t>
      </w:r>
    </w:p>
    <w:p w14:paraId="1DE798AA" w14:textId="77777777" w:rsidR="00C81905" w:rsidRDefault="00C81905" w:rsidP="00C81905">
      <w:pPr>
        <w:jc w:val="both"/>
        <w:rPr>
          <w:rFonts w:ascii="Times New Roman" w:eastAsia="Times New Roman" w:hAnsi="Times New Roman"/>
          <w:szCs w:val="22"/>
          <w:lang w:eastAsia="lt-LT"/>
        </w:rPr>
      </w:pPr>
    </w:p>
    <w:p w14:paraId="58D873FE" w14:textId="3E245844" w:rsidR="00C81905" w:rsidRDefault="00C81905" w:rsidP="00C81905">
      <w:pPr>
        <w:jc w:val="both"/>
        <w:rPr>
          <w:rFonts w:ascii="Times New Roman" w:hAnsi="Times New Roman"/>
          <w:szCs w:val="22"/>
        </w:rPr>
      </w:pPr>
      <w:r>
        <w:rPr>
          <w:rFonts w:ascii="Times New Roman" w:eastAsia="Times New Roman" w:hAnsi="Times New Roman"/>
          <w:szCs w:val="22"/>
          <w:lang w:eastAsia="lt-LT"/>
        </w:rPr>
        <w:t>2019 m atlikto EK Jungtinių tyrimų centro vertinimu</w:t>
      </w:r>
      <w:r w:rsidRPr="00642DB0">
        <w:rPr>
          <w:rFonts w:ascii="Times New Roman" w:eastAsia="Times New Roman" w:hAnsi="Times New Roman"/>
          <w:szCs w:val="22"/>
          <w:vertAlign w:val="superscript"/>
          <w:lang w:eastAsia="lt-LT"/>
        </w:rPr>
        <w:footnoteReference w:id="61"/>
      </w:r>
      <w:r>
        <w:rPr>
          <w:rFonts w:ascii="Times New Roman" w:eastAsia="Times New Roman" w:hAnsi="Times New Roman"/>
          <w:szCs w:val="22"/>
          <w:lang w:eastAsia="lt-LT"/>
        </w:rPr>
        <w:t xml:space="preserve">, </w:t>
      </w:r>
      <w:r w:rsidRPr="00642DB0">
        <w:rPr>
          <w:rFonts w:ascii="Times New Roman" w:eastAsia="Times New Roman" w:hAnsi="Times New Roman"/>
          <w:szCs w:val="22"/>
          <w:lang w:eastAsia="lt-LT"/>
        </w:rPr>
        <w:t xml:space="preserve">Lietuvoje ESCO rinka </w:t>
      </w:r>
      <w:r>
        <w:rPr>
          <w:rFonts w:ascii="Times New Roman" w:eastAsia="Times New Roman" w:hAnsi="Times New Roman"/>
          <w:szCs w:val="22"/>
          <w:lang w:eastAsia="lt-LT"/>
        </w:rPr>
        <w:t>yra viena prasčiausiai išsivysčiusių</w:t>
      </w:r>
      <w:r w:rsidRPr="00642DB0">
        <w:rPr>
          <w:rFonts w:ascii="Times New Roman" w:eastAsia="Times New Roman" w:hAnsi="Times New Roman"/>
          <w:szCs w:val="22"/>
          <w:lang w:eastAsia="lt-LT"/>
        </w:rPr>
        <w:t xml:space="preserve"> tarp </w:t>
      </w:r>
      <w:r>
        <w:rPr>
          <w:rFonts w:ascii="Times New Roman" w:eastAsia="Times New Roman" w:hAnsi="Times New Roman"/>
          <w:szCs w:val="22"/>
          <w:lang w:eastAsia="lt-LT"/>
        </w:rPr>
        <w:t xml:space="preserve">visų </w:t>
      </w:r>
      <w:r w:rsidRPr="00642DB0">
        <w:rPr>
          <w:rFonts w:ascii="Times New Roman" w:eastAsia="Times New Roman" w:hAnsi="Times New Roman"/>
          <w:szCs w:val="22"/>
          <w:lang w:eastAsia="lt-LT"/>
        </w:rPr>
        <w:t>ES valstybių narių</w:t>
      </w:r>
      <w:r>
        <w:rPr>
          <w:rFonts w:ascii="Times New Roman" w:eastAsia="Times New Roman" w:hAnsi="Times New Roman"/>
          <w:szCs w:val="22"/>
          <w:lang w:eastAsia="lt-LT"/>
        </w:rPr>
        <w:t xml:space="preserve">, neturinti </w:t>
      </w:r>
      <w:r w:rsidRPr="00642DB0">
        <w:rPr>
          <w:rFonts w:ascii="Times New Roman" w:hAnsi="Times New Roman"/>
          <w:szCs w:val="22"/>
        </w:rPr>
        <w:t>ne tik oficialaus ESCO įmonių sąrašo, tačiau ir aiškių bendrų kriterijų pagal kuriuos įmonės galėtų būti priskirtos ESCO</w:t>
      </w:r>
      <w:r>
        <w:rPr>
          <w:rFonts w:ascii="Times New Roman" w:hAnsi="Times New Roman"/>
          <w:szCs w:val="22"/>
        </w:rPr>
        <w:t xml:space="preserve"> tipui. Dauguma įmonių, kurias </w:t>
      </w:r>
      <w:r w:rsidRPr="00642DB0">
        <w:rPr>
          <w:rFonts w:ascii="Times New Roman" w:hAnsi="Times New Roman"/>
          <w:szCs w:val="22"/>
        </w:rPr>
        <w:t>domina energijos taupymo paslaugų teikima</w:t>
      </w:r>
      <w:r>
        <w:rPr>
          <w:rFonts w:ascii="Times New Roman" w:hAnsi="Times New Roman"/>
          <w:szCs w:val="22"/>
        </w:rPr>
        <w:t>s yra finansiškai nepajėgios, nėra ESCO projektų sėkmės istorijų“</w:t>
      </w:r>
      <w:r w:rsidRPr="00642DB0">
        <w:rPr>
          <w:rFonts w:ascii="Times New Roman" w:hAnsi="Times New Roman"/>
          <w:szCs w:val="22"/>
        </w:rPr>
        <w:t xml:space="preserve">, komerciniai bankai nėra </w:t>
      </w:r>
      <w:r>
        <w:rPr>
          <w:rFonts w:ascii="Times New Roman" w:hAnsi="Times New Roman"/>
          <w:szCs w:val="22"/>
        </w:rPr>
        <w:t>pasiruošę finansuoti projektų</w:t>
      </w:r>
      <w:r w:rsidRPr="00642DB0">
        <w:rPr>
          <w:rFonts w:ascii="Times New Roman" w:hAnsi="Times New Roman"/>
          <w:szCs w:val="22"/>
        </w:rPr>
        <w:t xml:space="preserve"> </w:t>
      </w:r>
      <w:r>
        <w:rPr>
          <w:rFonts w:ascii="Times New Roman" w:hAnsi="Times New Roman"/>
          <w:szCs w:val="22"/>
        </w:rPr>
        <w:t>esamomis sąlygomis</w:t>
      </w:r>
      <w:r w:rsidRPr="00642DB0">
        <w:rPr>
          <w:rFonts w:ascii="Times New Roman" w:hAnsi="Times New Roman"/>
          <w:szCs w:val="22"/>
        </w:rPr>
        <w:t>, nėra iki galo sutvarkyta teisinė bazė</w:t>
      </w:r>
      <w:r>
        <w:rPr>
          <w:rFonts w:ascii="Times New Roman" w:hAnsi="Times New Roman"/>
          <w:szCs w:val="22"/>
        </w:rPr>
        <w:t xml:space="preserve"> ir pan. Be to, paskutiniu laikotarpiu </w:t>
      </w:r>
      <w:r w:rsidRPr="00642DB0">
        <w:rPr>
          <w:rFonts w:ascii="Times New Roman" w:hAnsi="Times New Roman"/>
          <w:szCs w:val="22"/>
        </w:rPr>
        <w:t xml:space="preserve">mažėjančios vidutinės šilumos kainos, </w:t>
      </w:r>
      <w:r>
        <w:rPr>
          <w:rFonts w:ascii="Times New Roman" w:hAnsi="Times New Roman"/>
          <w:szCs w:val="22"/>
        </w:rPr>
        <w:t xml:space="preserve">ilgina projektų atsipirkimo laikotarpius ir finansinį gyvybingumą. </w:t>
      </w:r>
      <w:r w:rsidRPr="00642DB0">
        <w:rPr>
          <w:rFonts w:ascii="Times New Roman" w:hAnsi="Times New Roman"/>
          <w:szCs w:val="22"/>
        </w:rPr>
        <w:t xml:space="preserve"> </w:t>
      </w:r>
    </w:p>
    <w:p w14:paraId="02E6C6FF" w14:textId="77777777" w:rsidR="00C81905" w:rsidRDefault="00C81905" w:rsidP="00C81905">
      <w:pPr>
        <w:jc w:val="both"/>
        <w:rPr>
          <w:rFonts w:ascii="Times New Roman" w:hAnsi="Times New Roman"/>
          <w:szCs w:val="22"/>
        </w:rPr>
      </w:pPr>
    </w:p>
    <w:p w14:paraId="6A6CD171" w14:textId="77777777" w:rsidR="00C81905" w:rsidRPr="00510101" w:rsidRDefault="00C81905" w:rsidP="00C81905">
      <w:pPr>
        <w:jc w:val="both"/>
        <w:rPr>
          <w:rFonts w:ascii="Times New Roman" w:eastAsia="Times New Roman" w:hAnsi="Times New Roman"/>
          <w:szCs w:val="22"/>
          <w:lang w:eastAsia="lt-LT"/>
        </w:rPr>
      </w:pPr>
      <w:r>
        <w:rPr>
          <w:rFonts w:ascii="Times New Roman" w:hAnsi="Times New Roman"/>
          <w:szCs w:val="22"/>
        </w:rPr>
        <w:t xml:space="preserve">2020 m. kovo mėn. </w:t>
      </w:r>
      <w:r w:rsidRPr="00510101">
        <w:rPr>
          <w:rFonts w:ascii="Times New Roman" w:eastAsia="Times New Roman" w:hAnsi="Times New Roman"/>
          <w:szCs w:val="22"/>
          <w:lang w:eastAsia="lt-LT"/>
        </w:rPr>
        <w:t>reikšmingai pagerintos VIPA teikiamos finansavimo sąlygos</w:t>
      </w:r>
      <w:r>
        <w:rPr>
          <w:rFonts w:ascii="Times New Roman" w:eastAsia="Times New Roman" w:hAnsi="Times New Roman"/>
          <w:szCs w:val="22"/>
          <w:lang w:eastAsia="lt-LT"/>
        </w:rPr>
        <w:t xml:space="preserve"> valstybei nuosavybės teise priklausančių</w:t>
      </w:r>
      <w:r w:rsidRPr="00510101">
        <w:rPr>
          <w:rFonts w:ascii="Times New Roman" w:eastAsia="Times New Roman" w:hAnsi="Times New Roman"/>
          <w:szCs w:val="22"/>
          <w:lang w:eastAsia="lt-LT"/>
        </w:rPr>
        <w:t xml:space="preserve"> pastatų </w:t>
      </w:r>
      <w:r>
        <w:rPr>
          <w:rFonts w:ascii="Times New Roman" w:eastAsia="Times New Roman" w:hAnsi="Times New Roman"/>
          <w:szCs w:val="22"/>
          <w:lang w:eastAsia="lt-LT"/>
        </w:rPr>
        <w:t>renovacijos projektams. P</w:t>
      </w:r>
      <w:r w:rsidRPr="00510101">
        <w:rPr>
          <w:rFonts w:ascii="Times New Roman" w:eastAsia="Times New Roman" w:hAnsi="Times New Roman"/>
          <w:szCs w:val="22"/>
          <w:lang w:eastAsia="lt-LT"/>
        </w:rPr>
        <w:t>rojektams, taikantiems ETPT modelį, finansavimas skiriamas teikiant grąžinamąją subsidiją net iki 80% ir</w:t>
      </w:r>
      <w:r>
        <w:rPr>
          <w:rFonts w:ascii="Times New Roman" w:eastAsia="Times New Roman" w:hAnsi="Times New Roman"/>
          <w:szCs w:val="22"/>
          <w:lang w:eastAsia="lt-LT"/>
        </w:rPr>
        <w:t xml:space="preserve"> paskolą – iki 20% investicijų.</w:t>
      </w:r>
    </w:p>
    <w:p w14:paraId="6BABCDB8" w14:textId="77777777" w:rsidR="00C81905" w:rsidRPr="0096505E" w:rsidRDefault="00C81905" w:rsidP="00C81905">
      <w:pPr>
        <w:jc w:val="both"/>
        <w:rPr>
          <w:rFonts w:ascii="Times New Roman" w:eastAsia="Times New Roman" w:hAnsi="Times New Roman"/>
          <w:szCs w:val="22"/>
          <w:lang w:eastAsia="lt-LT"/>
        </w:rPr>
      </w:pPr>
    </w:p>
    <w:p w14:paraId="13E3EF5A" w14:textId="77777777" w:rsidR="002712E2" w:rsidRPr="002712E2" w:rsidRDefault="002712E2" w:rsidP="002712E2">
      <w:pPr>
        <w:spacing w:after="120"/>
        <w:jc w:val="both"/>
        <w:rPr>
          <w:rFonts w:ascii="Times New Roman" w:eastAsia="Times New Roman" w:hAnsi="Times New Roman"/>
          <w:szCs w:val="22"/>
          <w:lang w:eastAsia="lt-LT"/>
        </w:rPr>
      </w:pPr>
      <w:r w:rsidRPr="002712E2">
        <w:rPr>
          <w:rFonts w:ascii="Times New Roman" w:eastAsia="Times New Roman" w:hAnsi="Times New Roman"/>
          <w:szCs w:val="22"/>
          <w:lang w:eastAsia="lt-LT"/>
        </w:rPr>
        <w:t>Svarbu pažymėti, kad tiek finansavimo poreikis, tiek konkretūs finansavimo sprendimai turi būti tarpusavyje  derinami ir planuojami kartu su kitomis renovacijos priemonėmis, pvz.:</w:t>
      </w:r>
    </w:p>
    <w:p w14:paraId="4CF5B27E" w14:textId="135AFD86" w:rsidR="00C81905" w:rsidRPr="00843CA9"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sidRPr="00843CA9">
        <w:rPr>
          <w:rFonts w:ascii="Times New Roman" w:eastAsia="Times New Roman" w:hAnsi="Times New Roman"/>
          <w:szCs w:val="22"/>
          <w:lang w:val="lt-LT" w:eastAsia="lt-LT"/>
        </w:rPr>
        <w:t>pilna energijos kaina ir taršos mokesčiai trumpintų investicijų atsipirkimo laikotarpį (didintų renovacijos finansinį patrauklumą), dėl to mažėtų viešų lėšų (subsidijų) poreikis. Trumpesnis investicijų atsipirkimo laikotarpis taip pat didintų finansavimo sprendimų pasirinkimo galimybes (pvz. ESCO modelis taptų ekonomiškai gyvybingesniu)</w:t>
      </w:r>
      <w:r>
        <w:rPr>
          <w:rFonts w:ascii="Times New Roman" w:eastAsia="Times New Roman" w:hAnsi="Times New Roman"/>
          <w:szCs w:val="22"/>
          <w:lang w:val="lt-LT" w:eastAsia="lt-LT"/>
        </w:rPr>
        <w:t>;</w:t>
      </w:r>
    </w:p>
    <w:p w14:paraId="16C0D751" w14:textId="24BCC8D6" w:rsidR="00FD55F4" w:rsidRP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p</w:t>
      </w:r>
      <w:r w:rsidRPr="00843CA9">
        <w:rPr>
          <w:rFonts w:ascii="Times New Roman" w:eastAsia="Times New Roman" w:hAnsi="Times New Roman"/>
          <w:szCs w:val="22"/>
          <w:lang w:val="lt-LT" w:eastAsia="lt-LT"/>
        </w:rPr>
        <w:t>rojektų agregavimas leistų išnaudoti masto ekonomijos efektą (mažintų investicijų poreikį), dėl to mažėtų tiek viešų lėšų (subsidijų), tiek savininkų investicijų f</w:t>
      </w:r>
      <w:r w:rsidRPr="00843CA9">
        <w:rPr>
          <w:rFonts w:ascii="Times New Roman" w:hAnsi="Times New Roman"/>
          <w:bCs/>
          <w:szCs w:val="22"/>
          <w:lang w:val="lt-LT"/>
        </w:rPr>
        <w:t>inansavimo</w:t>
      </w:r>
      <w:r w:rsidRPr="00843CA9">
        <w:rPr>
          <w:rFonts w:ascii="Times New Roman" w:eastAsia="Times New Roman" w:hAnsi="Times New Roman"/>
          <w:szCs w:val="22"/>
          <w:lang w:val="lt-LT" w:eastAsia="lt-LT"/>
        </w:rPr>
        <w:t xml:space="preserve"> poreikis. </w:t>
      </w:r>
    </w:p>
    <w:p w14:paraId="0A9BBA58" w14:textId="77777777" w:rsidR="00C81905" w:rsidRPr="00650EE4" w:rsidRDefault="00C81905" w:rsidP="000A4099">
      <w:pPr>
        <w:jc w:val="both"/>
        <w:rPr>
          <w:rFonts w:ascii="Times New Roman" w:eastAsia="Times New Roman" w:hAnsi="Times New Roman"/>
          <w:szCs w:val="22"/>
          <w:lang w:eastAsia="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0942E4" w:rsidRPr="00650EE4" w14:paraId="5332A2EF" w14:textId="77777777" w:rsidTr="006A60B7">
        <w:trPr>
          <w:trHeight w:val="463"/>
        </w:trPr>
        <w:tc>
          <w:tcPr>
            <w:tcW w:w="3114" w:type="dxa"/>
          </w:tcPr>
          <w:p w14:paraId="19D1ABAB"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3557D738" w14:textId="77777777" w:rsidR="0092257F" w:rsidRPr="00650EE4" w:rsidRDefault="0092257F" w:rsidP="0092257F">
            <w:pPr>
              <w:spacing w:after="60"/>
              <w:rPr>
                <w:rFonts w:ascii="Times New Roman" w:hAnsi="Times New Roman"/>
                <w:szCs w:val="22"/>
                <w:lang w:eastAsia="lt-LT"/>
              </w:rPr>
            </w:pPr>
            <w:r w:rsidRPr="00650EE4">
              <w:rPr>
                <w:rFonts w:ascii="Times New Roman" w:hAnsi="Times New Roman"/>
                <w:szCs w:val="22"/>
                <w:lang w:eastAsia="lt-LT"/>
              </w:rPr>
              <w:t>B10. Pastatų savininkų negalėjimas skolintis (ribotos skolinimosi galimybės)</w:t>
            </w:r>
          </w:p>
          <w:p w14:paraId="217CFE40" w14:textId="075E4980" w:rsidR="000942E4" w:rsidRPr="00650EE4" w:rsidRDefault="0092257F" w:rsidP="0092257F">
            <w:pPr>
              <w:spacing w:after="60"/>
              <w:rPr>
                <w:rFonts w:ascii="Times New Roman" w:hAnsi="Times New Roman"/>
                <w:szCs w:val="22"/>
                <w:lang w:eastAsia="lt-LT"/>
              </w:rPr>
            </w:pPr>
            <w:r w:rsidRPr="00650EE4">
              <w:rPr>
                <w:rFonts w:ascii="Times New Roman" w:hAnsi="Times New Roman"/>
                <w:szCs w:val="22"/>
                <w:lang w:eastAsia="lt-LT"/>
              </w:rPr>
              <w:t>B11.</w:t>
            </w:r>
            <w:r w:rsidR="00B11251" w:rsidRPr="00650EE4">
              <w:rPr>
                <w:rFonts w:ascii="Times New Roman" w:hAnsi="Times New Roman"/>
                <w:szCs w:val="22"/>
                <w:lang w:eastAsia="lt-LT"/>
              </w:rPr>
              <w:t xml:space="preserve"> Išaugęs viešų finansų poreikis</w:t>
            </w:r>
          </w:p>
        </w:tc>
      </w:tr>
      <w:tr w:rsidR="000942E4" w:rsidRPr="00650EE4" w14:paraId="19F98082" w14:textId="77777777" w:rsidTr="006A60B7">
        <w:trPr>
          <w:trHeight w:val="55"/>
        </w:trPr>
        <w:tc>
          <w:tcPr>
            <w:tcW w:w="3114" w:type="dxa"/>
          </w:tcPr>
          <w:p w14:paraId="58A181D1"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lastRenderedPageBreak/>
              <w:t>Siūloma priemonė</w:t>
            </w:r>
          </w:p>
        </w:tc>
        <w:tc>
          <w:tcPr>
            <w:tcW w:w="7089" w:type="dxa"/>
          </w:tcPr>
          <w:p w14:paraId="46FE0458"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Finansavimo priemonių įgyvendinimas</w:t>
            </w:r>
          </w:p>
        </w:tc>
      </w:tr>
      <w:tr w:rsidR="000942E4" w:rsidRPr="00650EE4" w14:paraId="1EAEAFF2" w14:textId="77777777" w:rsidTr="006A60B7">
        <w:trPr>
          <w:trHeight w:val="55"/>
        </w:trPr>
        <w:tc>
          <w:tcPr>
            <w:tcW w:w="3114" w:type="dxa"/>
          </w:tcPr>
          <w:p w14:paraId="13C3BB38"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56F20B77"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Aukštas</w:t>
            </w:r>
          </w:p>
        </w:tc>
      </w:tr>
      <w:tr w:rsidR="000942E4" w:rsidRPr="00650EE4" w14:paraId="0ADE8706" w14:textId="77777777" w:rsidTr="006A60B7">
        <w:trPr>
          <w:trHeight w:val="55"/>
        </w:trPr>
        <w:tc>
          <w:tcPr>
            <w:tcW w:w="3114" w:type="dxa"/>
          </w:tcPr>
          <w:p w14:paraId="2EA096FB" w14:textId="77777777" w:rsidR="000942E4" w:rsidRPr="00650EE4" w:rsidRDefault="000942E4" w:rsidP="006A60B7">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61CCDA45" w14:textId="77777777" w:rsidR="000942E4" w:rsidRPr="00650EE4" w:rsidRDefault="000942E4" w:rsidP="006A60B7">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5E54561C" w14:textId="0C09FA0F" w:rsidR="008800F5" w:rsidRPr="00650EE4" w:rsidRDefault="008800F5" w:rsidP="00A86EA1">
      <w:pPr>
        <w:rPr>
          <w:rFonts w:ascii="Times New Roman" w:hAnsi="Times New Roman"/>
          <w:color w:val="000000" w:themeColor="text1"/>
          <w:szCs w:val="22"/>
          <w:highlight w:val="lightGray"/>
        </w:rPr>
      </w:pPr>
    </w:p>
    <w:p w14:paraId="162873C5" w14:textId="1B19F390" w:rsidR="00780473" w:rsidRPr="00650EE4" w:rsidRDefault="008800F5" w:rsidP="00780473">
      <w:pPr>
        <w:pStyle w:val="Antrastes31"/>
        <w:numPr>
          <w:ilvl w:val="2"/>
          <w:numId w:val="4"/>
        </w:numPr>
        <w:spacing w:before="120"/>
        <w:ind w:left="720" w:hanging="720"/>
        <w:rPr>
          <w:rFonts w:ascii="Times New Roman" w:hAnsi="Times New Roman"/>
          <w:color w:val="auto"/>
          <w:sz w:val="24"/>
          <w:szCs w:val="24"/>
          <w:lang w:val="lt-LT"/>
        </w:rPr>
      </w:pPr>
      <w:bookmarkStart w:id="214" w:name="_Toc59107576"/>
      <w:r w:rsidRPr="00650EE4">
        <w:rPr>
          <w:rFonts w:ascii="Times New Roman" w:hAnsi="Times New Roman"/>
          <w:color w:val="auto"/>
          <w:sz w:val="24"/>
          <w:szCs w:val="24"/>
          <w:lang w:val="lt-LT"/>
        </w:rPr>
        <w:t>Efektyvi k</w:t>
      </w:r>
      <w:r w:rsidR="00780473" w:rsidRPr="00650EE4">
        <w:rPr>
          <w:rFonts w:ascii="Times New Roman" w:hAnsi="Times New Roman"/>
          <w:color w:val="auto"/>
          <w:sz w:val="24"/>
          <w:szCs w:val="24"/>
          <w:lang w:val="lt-LT"/>
        </w:rPr>
        <w:t>omunikacija</w:t>
      </w:r>
      <w:bookmarkEnd w:id="214"/>
    </w:p>
    <w:p w14:paraId="73D0E805" w14:textId="77777777" w:rsidR="00C81905" w:rsidRPr="00650EE4" w:rsidRDefault="00C81905" w:rsidP="00C81905">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Komunikacija – vienas esminių renovacijos įgyvendinimo elementų. Net ir įgyvendinus aukščiau aprašytas priemones, pastatų savininkai </w:t>
      </w:r>
      <w:r>
        <w:rPr>
          <w:rFonts w:ascii="Times New Roman" w:hAnsi="Times New Roman"/>
          <w:color w:val="000000" w:themeColor="text1"/>
          <w:szCs w:val="22"/>
        </w:rPr>
        <w:t xml:space="preserve">tikėtina </w:t>
      </w:r>
      <w:r w:rsidRPr="00650EE4">
        <w:rPr>
          <w:rFonts w:ascii="Times New Roman" w:hAnsi="Times New Roman"/>
          <w:color w:val="000000" w:themeColor="text1"/>
          <w:szCs w:val="22"/>
        </w:rPr>
        <w:t xml:space="preserve">nepriims sprendimo renovuoti </w:t>
      </w:r>
      <w:r>
        <w:rPr>
          <w:rFonts w:ascii="Times New Roman" w:hAnsi="Times New Roman"/>
          <w:color w:val="000000" w:themeColor="text1"/>
          <w:szCs w:val="22"/>
        </w:rPr>
        <w:t>būstą, jei neturės informacijos apie renovacijos naudas ir</w:t>
      </w:r>
      <w:r w:rsidRPr="00650EE4">
        <w:rPr>
          <w:rFonts w:ascii="Times New Roman" w:hAnsi="Times New Roman"/>
          <w:color w:val="000000" w:themeColor="text1"/>
          <w:szCs w:val="22"/>
        </w:rPr>
        <w:t xml:space="preserve"> egzistuojančias paramos priemones. Tam, kad pastatų savininkai, kaip naudos gavėjai, būtų informuoti, turi būti vykdoma aiški, sklandi, koordinuota ir savalaikė komunikacija.</w:t>
      </w:r>
    </w:p>
    <w:p w14:paraId="306201F3" w14:textId="77777777" w:rsidR="00C81905" w:rsidRPr="00650EE4" w:rsidRDefault="00C81905" w:rsidP="00C81905">
      <w:pPr>
        <w:jc w:val="both"/>
        <w:rPr>
          <w:rFonts w:ascii="Times New Roman" w:hAnsi="Times New Roman"/>
          <w:color w:val="000000" w:themeColor="text1"/>
          <w:szCs w:val="22"/>
        </w:rPr>
      </w:pPr>
    </w:p>
    <w:p w14:paraId="3AF1A3F7" w14:textId="4E7F5004" w:rsidR="00C81905" w:rsidRDefault="00C81905" w:rsidP="00C81905">
      <w:pPr>
        <w:jc w:val="both"/>
        <w:rPr>
          <w:rFonts w:ascii="Times New Roman" w:hAnsi="Times New Roman"/>
          <w:color w:val="000000" w:themeColor="text1"/>
          <w:szCs w:val="22"/>
        </w:rPr>
      </w:pPr>
      <w:r>
        <w:rPr>
          <w:rFonts w:ascii="Times New Roman" w:hAnsi="Times New Roman"/>
          <w:color w:val="000000" w:themeColor="text1"/>
          <w:szCs w:val="22"/>
        </w:rPr>
        <w:t xml:space="preserve">Komunikacijos svarba išauga ir dėl </w:t>
      </w:r>
      <w:r w:rsidRPr="00650EE4">
        <w:rPr>
          <w:rFonts w:ascii="Times New Roman" w:hAnsi="Times New Roman"/>
          <w:color w:val="000000" w:themeColor="text1"/>
          <w:szCs w:val="22"/>
        </w:rPr>
        <w:t xml:space="preserve">IRS </w:t>
      </w:r>
      <w:r>
        <w:rPr>
          <w:rFonts w:ascii="Times New Roman" w:hAnsi="Times New Roman"/>
          <w:color w:val="000000" w:themeColor="text1"/>
          <w:szCs w:val="22"/>
        </w:rPr>
        <w:t xml:space="preserve">suplanuoto renovacijos proveržio (reikšmingo renovacijos projektų apimčių augimo) apimančio visą pastatų fondą. Rezultate, komunikacijos prasme, tikslinė auditorija išsiplečia </w:t>
      </w:r>
      <w:r w:rsidRPr="00650EE4">
        <w:rPr>
          <w:rFonts w:ascii="Times New Roman" w:hAnsi="Times New Roman"/>
          <w:color w:val="000000" w:themeColor="text1"/>
          <w:szCs w:val="22"/>
        </w:rPr>
        <w:t xml:space="preserve">nuo kelių konkrečių </w:t>
      </w:r>
      <w:r>
        <w:rPr>
          <w:rFonts w:ascii="Times New Roman" w:hAnsi="Times New Roman"/>
          <w:color w:val="000000" w:themeColor="text1"/>
          <w:szCs w:val="22"/>
        </w:rPr>
        <w:t>segmentų</w:t>
      </w:r>
      <w:r w:rsidRPr="00650EE4">
        <w:rPr>
          <w:rFonts w:ascii="Times New Roman" w:hAnsi="Times New Roman"/>
          <w:color w:val="000000" w:themeColor="text1"/>
          <w:szCs w:val="22"/>
        </w:rPr>
        <w:t xml:space="preserve"> (daugiabučių gyventojų ir viešųjų pastatų valdytojų) </w:t>
      </w:r>
      <w:r>
        <w:rPr>
          <w:rFonts w:ascii="Times New Roman" w:hAnsi="Times New Roman"/>
          <w:color w:val="000000" w:themeColor="text1"/>
          <w:szCs w:val="22"/>
        </w:rPr>
        <w:t>iki iš esmės visų būsto savininkų</w:t>
      </w:r>
      <w:r w:rsidRPr="00FD0455">
        <w:rPr>
          <w:rFonts w:ascii="Times New Roman" w:hAnsi="Times New Roman"/>
          <w:color w:val="000000" w:themeColor="text1"/>
          <w:szCs w:val="22"/>
        </w:rPr>
        <w:t xml:space="preserve"> </w:t>
      </w:r>
      <w:r>
        <w:rPr>
          <w:rFonts w:ascii="Times New Roman" w:hAnsi="Times New Roman"/>
          <w:color w:val="000000" w:themeColor="text1"/>
          <w:szCs w:val="22"/>
        </w:rPr>
        <w:t xml:space="preserve">Lietuvoje. </w:t>
      </w:r>
    </w:p>
    <w:p w14:paraId="632C08A7" w14:textId="77777777" w:rsidR="00C81905" w:rsidRDefault="00C81905" w:rsidP="00C81905">
      <w:pPr>
        <w:jc w:val="both"/>
        <w:rPr>
          <w:rFonts w:ascii="Times New Roman" w:hAnsi="Times New Roman"/>
          <w:color w:val="000000" w:themeColor="text1"/>
          <w:szCs w:val="22"/>
        </w:rPr>
      </w:pPr>
    </w:p>
    <w:p w14:paraId="2B54EB46" w14:textId="41E82BA3" w:rsidR="00C81905" w:rsidRDefault="00C81905" w:rsidP="00C81905">
      <w:pPr>
        <w:spacing w:after="120"/>
        <w:jc w:val="both"/>
        <w:rPr>
          <w:rFonts w:ascii="Times New Roman" w:hAnsi="Times New Roman"/>
          <w:color w:val="000000" w:themeColor="text1"/>
          <w:szCs w:val="22"/>
        </w:rPr>
      </w:pPr>
      <w:r>
        <w:rPr>
          <w:rFonts w:ascii="Times New Roman" w:hAnsi="Times New Roman"/>
          <w:color w:val="000000" w:themeColor="text1"/>
          <w:szCs w:val="22"/>
        </w:rPr>
        <w:t xml:space="preserve">Komunikacijos barjerų analizėje (žr. </w:t>
      </w:r>
      <w:r>
        <w:rPr>
          <w:rFonts w:ascii="Times New Roman" w:hAnsi="Times New Roman"/>
          <w:color w:val="000000" w:themeColor="text1"/>
          <w:szCs w:val="22"/>
          <w:lang w:val="en-GB"/>
        </w:rPr>
        <w:t>4</w:t>
      </w:r>
      <w:r>
        <w:rPr>
          <w:rFonts w:ascii="Times New Roman" w:hAnsi="Times New Roman"/>
          <w:color w:val="000000" w:themeColor="text1"/>
          <w:szCs w:val="22"/>
        </w:rPr>
        <w:t>.1.4 skyrių) identifikuoti du esminiai komunikacijos barjerai:</w:t>
      </w:r>
    </w:p>
    <w:p w14:paraId="60850BCD" w14:textId="24A70FF2" w:rsid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n</w:t>
      </w:r>
      <w:r w:rsidRPr="00FD0455">
        <w:rPr>
          <w:rFonts w:ascii="Times New Roman" w:eastAsia="Times New Roman" w:hAnsi="Times New Roman"/>
          <w:szCs w:val="22"/>
          <w:lang w:val="lt-LT" w:eastAsia="lt-LT"/>
        </w:rPr>
        <w:t xml:space="preserve">epakankama </w:t>
      </w:r>
      <w:r>
        <w:rPr>
          <w:rFonts w:ascii="Times New Roman" w:eastAsia="Times New Roman" w:hAnsi="Times New Roman"/>
          <w:szCs w:val="22"/>
          <w:lang w:val="lt-LT" w:eastAsia="lt-LT"/>
        </w:rPr>
        <w:t>komunikacija</w:t>
      </w:r>
      <w:r w:rsidRPr="00FD0455">
        <w:rPr>
          <w:rFonts w:ascii="Times New Roman" w:eastAsia="Times New Roman" w:hAnsi="Times New Roman"/>
          <w:szCs w:val="22"/>
          <w:lang w:val="lt-LT" w:eastAsia="lt-LT"/>
        </w:rPr>
        <w:t xml:space="preserve"> apie renovacijos neišvengiamumą</w:t>
      </w:r>
      <w:r>
        <w:rPr>
          <w:rFonts w:ascii="Times New Roman" w:eastAsia="Times New Roman" w:hAnsi="Times New Roman"/>
          <w:szCs w:val="22"/>
          <w:lang w:val="lt-LT" w:eastAsia="lt-LT"/>
        </w:rPr>
        <w:t xml:space="preserve">; </w:t>
      </w:r>
    </w:p>
    <w:p w14:paraId="3BBAFDEB" w14:textId="381B7C4C" w:rsidR="00780473" w:rsidRPr="00C81905" w:rsidRDefault="00C81905" w:rsidP="00BD4925">
      <w:pPr>
        <w:pStyle w:val="ListParagraph"/>
        <w:numPr>
          <w:ilvl w:val="0"/>
          <w:numId w:val="74"/>
        </w:numPr>
        <w:spacing w:after="60"/>
        <w:ind w:left="714" w:hanging="357"/>
        <w:contextualSpacing w:val="0"/>
        <w:jc w:val="both"/>
        <w:rPr>
          <w:rFonts w:ascii="Times New Roman" w:eastAsia="Times New Roman" w:hAnsi="Times New Roman"/>
          <w:szCs w:val="22"/>
          <w:lang w:val="lt-LT" w:eastAsia="lt-LT"/>
        </w:rPr>
      </w:pPr>
      <w:r>
        <w:rPr>
          <w:rFonts w:ascii="Times New Roman" w:eastAsia="Times New Roman" w:hAnsi="Times New Roman"/>
          <w:szCs w:val="22"/>
          <w:lang w:val="lt-LT" w:eastAsia="lt-LT"/>
        </w:rPr>
        <w:t>n</w:t>
      </w:r>
      <w:r w:rsidRPr="00C81905">
        <w:rPr>
          <w:rFonts w:ascii="Times New Roman" w:eastAsia="Times New Roman" w:hAnsi="Times New Roman"/>
          <w:szCs w:val="22"/>
          <w:lang w:val="lt-LT" w:eastAsia="lt-LT"/>
        </w:rPr>
        <w:t xml:space="preserve">epakankama </w:t>
      </w:r>
      <w:r>
        <w:rPr>
          <w:rFonts w:ascii="Times New Roman" w:eastAsia="Times New Roman" w:hAnsi="Times New Roman"/>
          <w:szCs w:val="22"/>
          <w:lang w:val="lt-LT" w:eastAsia="lt-LT"/>
        </w:rPr>
        <w:t>komunika</w:t>
      </w:r>
      <w:r w:rsidRPr="00C81905">
        <w:rPr>
          <w:rFonts w:ascii="Times New Roman" w:eastAsia="Times New Roman" w:hAnsi="Times New Roman"/>
          <w:szCs w:val="22"/>
          <w:lang w:val="lt-LT" w:eastAsia="lt-LT"/>
        </w:rPr>
        <w:t>cija apie renovacijos teikiamas naudas</w:t>
      </w:r>
      <w:r>
        <w:rPr>
          <w:rFonts w:ascii="Times New Roman" w:eastAsia="Times New Roman" w:hAnsi="Times New Roman"/>
          <w:szCs w:val="22"/>
          <w:lang w:val="lt-LT" w:eastAsia="lt-LT"/>
        </w:rPr>
        <w:t>.</w:t>
      </w:r>
    </w:p>
    <w:p w14:paraId="40C5801E" w14:textId="77777777" w:rsidR="00C81905" w:rsidRPr="00650EE4" w:rsidRDefault="00C81905" w:rsidP="00780473">
      <w:pPr>
        <w:rPr>
          <w:rFonts w:ascii="Times New Roman" w:hAnsi="Times New Roman"/>
          <w:color w:val="000000" w:themeColor="text1"/>
          <w:szCs w:val="22"/>
        </w:rPr>
      </w:pPr>
    </w:p>
    <w:p w14:paraId="0FABE8D4" w14:textId="0597354A" w:rsidR="00780473" w:rsidRPr="00650EE4" w:rsidRDefault="00780473"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7</w:t>
      </w:r>
      <w:r w:rsidRPr="00650EE4">
        <w:rPr>
          <w:rFonts w:ascii="Times New Roman" w:hAnsi="Times New Roman"/>
          <w:b/>
          <w:bCs/>
          <w:szCs w:val="24"/>
        </w:rPr>
        <w:t>. Komunikacija apie renovacijos tikslus ir neišvengiamumą</w:t>
      </w:r>
    </w:p>
    <w:p w14:paraId="66C67300" w14:textId="77777777" w:rsidR="00AC0C3F" w:rsidRPr="00650EE4" w:rsidRDefault="00AC0C3F" w:rsidP="00AC0C3F">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Ž</w:t>
      </w:r>
      <w:r w:rsidRPr="00650EE4">
        <w:rPr>
          <w:rFonts w:ascii="Times New Roman" w:hAnsi="Times New Roman"/>
          <w:color w:val="000000" w:themeColor="text1"/>
          <w:szCs w:val="22"/>
          <w:lang w:val="lt-LT"/>
        </w:rPr>
        <w:t xml:space="preserve">emo energinio </w:t>
      </w:r>
      <w:r>
        <w:rPr>
          <w:rFonts w:ascii="Times New Roman" w:hAnsi="Times New Roman"/>
          <w:color w:val="000000" w:themeColor="text1"/>
          <w:szCs w:val="22"/>
          <w:lang w:val="lt-LT"/>
        </w:rPr>
        <w:t xml:space="preserve">efektyvumo pastatų fondo daliai, </w:t>
      </w:r>
      <w:r w:rsidRPr="00650EE4">
        <w:rPr>
          <w:rFonts w:ascii="Times New Roman" w:hAnsi="Times New Roman"/>
          <w:color w:val="000000" w:themeColor="text1"/>
          <w:szCs w:val="22"/>
          <w:lang w:val="lt-LT"/>
        </w:rPr>
        <w:t>ilgalaikėje perspektyvoje</w:t>
      </w:r>
      <w:r>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 xml:space="preserve">iš esmės </w:t>
      </w:r>
      <w:r w:rsidRPr="00650EE4">
        <w:rPr>
          <w:rFonts w:ascii="Times New Roman" w:hAnsi="Times New Roman"/>
          <w:color w:val="000000" w:themeColor="text1"/>
          <w:szCs w:val="22"/>
          <w:lang w:val="lt-LT"/>
        </w:rPr>
        <w:t>nėra pasirinkimo dalyvauti renovacijoje ar ne. Esminiai neišvengiamumą sąlygojantys veiksniai:</w:t>
      </w:r>
    </w:p>
    <w:p w14:paraId="6636C09B" w14:textId="75A17F97" w:rsidR="00AC0C3F" w:rsidRPr="00650EE4" w:rsidRDefault="00024F67"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AC0C3F" w:rsidRPr="00650EE4">
        <w:rPr>
          <w:rFonts w:ascii="Times New Roman" w:hAnsi="Times New Roman"/>
          <w:color w:val="000000" w:themeColor="text1"/>
          <w:szCs w:val="22"/>
          <w:lang w:val="lt-LT"/>
        </w:rPr>
        <w:t>rasta didžiosios dalies pastatų techninė būklė (iki 2050 m. dalį pastatų bet kokiu atveju teks renovuoti, klausimas tik ar pasinaudojant val</w:t>
      </w:r>
      <w:r w:rsidR="003240E9">
        <w:rPr>
          <w:rFonts w:ascii="Times New Roman" w:hAnsi="Times New Roman"/>
          <w:color w:val="000000" w:themeColor="text1"/>
          <w:szCs w:val="22"/>
          <w:lang w:val="lt-LT"/>
        </w:rPr>
        <w:t>stybės teikiamomis priemonėmis ar ne);</w:t>
      </w:r>
    </w:p>
    <w:p w14:paraId="5D87F2F1" w14:textId="4FD6575C" w:rsidR="00AC0C3F" w:rsidRPr="00650EE4" w:rsidRDefault="00AC0C3F" w:rsidP="00BD4925">
      <w:pPr>
        <w:pStyle w:val="BodyText"/>
        <w:numPr>
          <w:ilvl w:val="0"/>
          <w:numId w:val="60"/>
        </w:numPr>
        <w:spacing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Lietuva, kaip ES šalis </w:t>
      </w:r>
      <w:r w:rsidR="003240E9">
        <w:rPr>
          <w:rFonts w:ascii="Times New Roman" w:hAnsi="Times New Roman"/>
          <w:color w:val="000000" w:themeColor="text1"/>
          <w:szCs w:val="22"/>
          <w:lang w:val="lt-LT"/>
        </w:rPr>
        <w:t>turi</w:t>
      </w:r>
      <w:r w:rsidRPr="00650EE4">
        <w:rPr>
          <w:rFonts w:ascii="Times New Roman" w:hAnsi="Times New Roman"/>
          <w:color w:val="000000" w:themeColor="text1"/>
          <w:szCs w:val="22"/>
          <w:lang w:val="lt-LT"/>
        </w:rPr>
        <w:t xml:space="preserve"> vykdyti ES strateginių dokumentų (Reglamentų, Žaliojo kurso ir pan.) nuostatas. ES įpareigoji</w:t>
      </w:r>
      <w:r w:rsidR="003240E9">
        <w:rPr>
          <w:rFonts w:ascii="Times New Roman" w:hAnsi="Times New Roman"/>
          <w:color w:val="000000" w:themeColor="text1"/>
          <w:szCs w:val="22"/>
          <w:lang w:val="lt-LT"/>
        </w:rPr>
        <w:t>mų vykdymas yra buvimo ES dalis;</w:t>
      </w:r>
      <w:r w:rsidRPr="00650EE4">
        <w:rPr>
          <w:rFonts w:ascii="Times New Roman" w:hAnsi="Times New Roman"/>
          <w:color w:val="000000" w:themeColor="text1"/>
          <w:szCs w:val="22"/>
          <w:lang w:val="lt-LT"/>
        </w:rPr>
        <w:t xml:space="preserve"> </w:t>
      </w:r>
    </w:p>
    <w:p w14:paraId="437FF253" w14:textId="421058C2" w:rsidR="00AC0C3F" w:rsidRPr="00650EE4" w:rsidRDefault="003240E9" w:rsidP="00BD4925">
      <w:pPr>
        <w:pStyle w:val="BodyText"/>
        <w:numPr>
          <w:ilvl w:val="0"/>
          <w:numId w:val="60"/>
        </w:numPr>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AC0C3F" w:rsidRPr="00650EE4">
        <w:rPr>
          <w:rFonts w:ascii="Times New Roman" w:hAnsi="Times New Roman"/>
          <w:color w:val="000000" w:themeColor="text1"/>
          <w:szCs w:val="22"/>
          <w:lang w:val="lt-LT"/>
        </w:rPr>
        <w:t xml:space="preserve">titinkamai, šalia skatinamųjų priemonių motyvuojančių dalyvauti renovacijoje neišvengiamai atsiras ir drausminančios priemonės (taršos mokesčiai, ribojimai </w:t>
      </w:r>
      <w:r>
        <w:rPr>
          <w:rFonts w:ascii="Times New Roman" w:hAnsi="Times New Roman"/>
          <w:color w:val="000000" w:themeColor="text1"/>
          <w:szCs w:val="22"/>
          <w:lang w:val="lt-LT"/>
        </w:rPr>
        <w:t>nuomoti / parduoti</w:t>
      </w:r>
      <w:r w:rsidRPr="00650EE4">
        <w:rPr>
          <w:rFonts w:ascii="Times New Roman" w:hAnsi="Times New Roman"/>
          <w:color w:val="000000" w:themeColor="text1"/>
          <w:szCs w:val="22"/>
          <w:lang w:val="lt-LT"/>
        </w:rPr>
        <w:t xml:space="preserve"> </w:t>
      </w:r>
      <w:r w:rsidR="00AC0C3F" w:rsidRPr="00650EE4">
        <w:rPr>
          <w:rFonts w:ascii="Times New Roman" w:hAnsi="Times New Roman"/>
          <w:color w:val="000000" w:themeColor="text1"/>
          <w:szCs w:val="22"/>
          <w:lang w:val="lt-LT"/>
        </w:rPr>
        <w:t xml:space="preserve">neefektyvius pastatus ir pan.) skirtos valdyti neatsakingą ir neracionalią pastatų savininkų elgseną. </w:t>
      </w:r>
    </w:p>
    <w:p w14:paraId="1E802DC6" w14:textId="77777777" w:rsidR="00AC0C3F" w:rsidRPr="00650EE4" w:rsidRDefault="00AC0C3F" w:rsidP="00AC0C3F">
      <w:pPr>
        <w:pStyle w:val="BodyText"/>
        <w:spacing w:after="120"/>
        <w:jc w:val="both"/>
        <w:rPr>
          <w:rFonts w:ascii="Times New Roman" w:hAnsi="Times New Roman"/>
          <w:color w:val="000000" w:themeColor="text1"/>
          <w:szCs w:val="22"/>
          <w:lang w:val="lt-LT"/>
        </w:rPr>
      </w:pPr>
      <w:r>
        <w:rPr>
          <w:rFonts w:ascii="Times New Roman" w:hAnsi="Times New Roman"/>
          <w:color w:val="000000" w:themeColor="text1"/>
          <w:szCs w:val="22"/>
          <w:lang w:val="lt-LT"/>
        </w:rPr>
        <w:t>K</w:t>
      </w:r>
      <w:r w:rsidRPr="00650EE4">
        <w:rPr>
          <w:rFonts w:ascii="Times New Roman" w:hAnsi="Times New Roman"/>
          <w:color w:val="000000" w:themeColor="text1"/>
          <w:szCs w:val="22"/>
          <w:lang w:val="lt-LT"/>
        </w:rPr>
        <w:t>omunikacija apie renovacijos neišvengiamumą turėtų būti orientuota į du segmentus:</w:t>
      </w:r>
    </w:p>
    <w:p w14:paraId="3668D3AE" w14:textId="48909B76" w:rsidR="00AC0C3F" w:rsidRPr="00650EE4"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AC0C3F" w:rsidRPr="00650EE4">
        <w:rPr>
          <w:rFonts w:ascii="Times New Roman" w:hAnsi="Times New Roman"/>
          <w:color w:val="000000" w:themeColor="text1"/>
          <w:szCs w:val="22"/>
          <w:lang w:val="lt-LT"/>
        </w:rPr>
        <w:t>astatų savininkus (motyvuojant juos dalyvauti)</w:t>
      </w:r>
      <w:r>
        <w:rPr>
          <w:rFonts w:ascii="Times New Roman" w:hAnsi="Times New Roman"/>
          <w:color w:val="000000" w:themeColor="text1"/>
          <w:szCs w:val="22"/>
          <w:lang w:val="lt-LT"/>
        </w:rPr>
        <w:t>;</w:t>
      </w:r>
    </w:p>
    <w:p w14:paraId="6E8D9060" w14:textId="6EA8E0FF" w:rsidR="00AC0C3F" w:rsidRPr="00650EE4"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AC0C3F" w:rsidRPr="00650EE4">
        <w:rPr>
          <w:rFonts w:ascii="Times New Roman" w:hAnsi="Times New Roman"/>
          <w:color w:val="000000" w:themeColor="text1"/>
          <w:szCs w:val="22"/>
          <w:lang w:val="lt-LT"/>
        </w:rPr>
        <w:t xml:space="preserve">tatybos, projektavimo, finansavimo ir kitų renovacijoje dalyvaujančių suinteresuotų šalių atstovus (suteikiant užtikrinimą, kad valstybės politika šiuo klausimu yra aiški, įpareigojanti ir ilgalaikė). </w:t>
      </w:r>
    </w:p>
    <w:p w14:paraId="72E7729C" w14:textId="44841F83" w:rsidR="00AD487D" w:rsidRPr="00AC0C3F" w:rsidRDefault="00AC0C3F" w:rsidP="00AC0C3F">
      <w:pPr>
        <w:pStyle w:val="BodyText"/>
        <w:spacing w:before="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Tokiu būdu būtų </w:t>
      </w:r>
      <w:r>
        <w:rPr>
          <w:rFonts w:ascii="Times New Roman" w:hAnsi="Times New Roman"/>
          <w:color w:val="000000" w:themeColor="text1"/>
          <w:szCs w:val="22"/>
          <w:lang w:val="lt-LT"/>
        </w:rPr>
        <w:t xml:space="preserve">skleidžiama žinia, </w:t>
      </w:r>
      <w:r w:rsidRPr="00650EE4">
        <w:rPr>
          <w:rFonts w:ascii="Times New Roman" w:hAnsi="Times New Roman"/>
          <w:color w:val="000000" w:themeColor="text1"/>
          <w:szCs w:val="22"/>
          <w:lang w:val="lt-LT"/>
        </w:rPr>
        <w:t xml:space="preserve">kad valstybė yra įsipareigojusi </w:t>
      </w:r>
      <w:r>
        <w:rPr>
          <w:rFonts w:ascii="Times New Roman" w:hAnsi="Times New Roman"/>
          <w:color w:val="000000" w:themeColor="text1"/>
          <w:szCs w:val="22"/>
          <w:lang w:val="lt-LT"/>
        </w:rPr>
        <w:t>siekti IRS numatytų tikslų, numato suteikti tam</w:t>
      </w:r>
      <w:r w:rsidRPr="00650EE4">
        <w:rPr>
          <w:rFonts w:ascii="Times New Roman" w:hAnsi="Times New Roman"/>
          <w:color w:val="000000" w:themeColor="text1"/>
          <w:szCs w:val="22"/>
          <w:lang w:val="lt-LT"/>
        </w:rPr>
        <w:t xml:space="preserve"> </w:t>
      </w:r>
      <w:r>
        <w:rPr>
          <w:rFonts w:ascii="Times New Roman" w:hAnsi="Times New Roman"/>
          <w:color w:val="000000" w:themeColor="text1"/>
          <w:szCs w:val="22"/>
          <w:lang w:val="lt-LT"/>
        </w:rPr>
        <w:t>reikalingą paramą, tačiau, tuo pat metu numato ir drausminančias priemones už nustatytos krypties nesilaikymą.</w:t>
      </w:r>
    </w:p>
    <w:p w14:paraId="3E9EA255" w14:textId="77777777" w:rsidR="00AC0C3F" w:rsidRPr="00650EE4" w:rsidRDefault="00AC0C3F" w:rsidP="00AD487D">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0473" w:rsidRPr="00650EE4" w14:paraId="700DA7AC" w14:textId="77777777" w:rsidTr="00492041">
        <w:trPr>
          <w:trHeight w:val="244"/>
        </w:trPr>
        <w:tc>
          <w:tcPr>
            <w:tcW w:w="3114" w:type="dxa"/>
          </w:tcPr>
          <w:p w14:paraId="0D64212E"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6A2A33AF" w14:textId="1554EEC5" w:rsidR="00780473" w:rsidRPr="00650EE4" w:rsidRDefault="00790E7D" w:rsidP="00790E7D">
            <w:pPr>
              <w:spacing w:after="60"/>
              <w:rPr>
                <w:rFonts w:ascii="Times New Roman" w:hAnsi="Times New Roman"/>
                <w:szCs w:val="22"/>
                <w:lang w:eastAsia="lt-LT"/>
              </w:rPr>
            </w:pPr>
            <w:r w:rsidRPr="00650EE4">
              <w:rPr>
                <w:rFonts w:ascii="Times New Roman" w:hAnsi="Times New Roman"/>
                <w:szCs w:val="22"/>
                <w:lang w:eastAsia="lt-LT"/>
              </w:rPr>
              <w:t xml:space="preserve">B14. Nepakankama informacija </w:t>
            </w:r>
            <w:r w:rsidR="003240E9">
              <w:rPr>
                <w:rFonts w:ascii="Times New Roman" w:hAnsi="Times New Roman"/>
                <w:szCs w:val="22"/>
                <w:lang w:eastAsia="lt-LT"/>
              </w:rPr>
              <w:t>apie renovacijos neišvengiamumą</w:t>
            </w:r>
          </w:p>
        </w:tc>
      </w:tr>
      <w:tr w:rsidR="00780473" w:rsidRPr="00650EE4" w14:paraId="2C38636F" w14:textId="77777777" w:rsidTr="00492041">
        <w:trPr>
          <w:trHeight w:val="67"/>
        </w:trPr>
        <w:tc>
          <w:tcPr>
            <w:tcW w:w="3114" w:type="dxa"/>
          </w:tcPr>
          <w:p w14:paraId="56E66F4A"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614842D2"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IRS komunikacijos strategijos parengimas</w:t>
            </w:r>
          </w:p>
        </w:tc>
      </w:tr>
      <w:tr w:rsidR="00780473" w:rsidRPr="00650EE4" w14:paraId="7BA8EF4D" w14:textId="77777777" w:rsidTr="00492041">
        <w:trPr>
          <w:trHeight w:val="45"/>
        </w:trPr>
        <w:tc>
          <w:tcPr>
            <w:tcW w:w="3114" w:type="dxa"/>
          </w:tcPr>
          <w:p w14:paraId="0A4B5772"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76653C9"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0473" w:rsidRPr="00650EE4" w14:paraId="1A8D7740" w14:textId="77777777" w:rsidTr="00492041">
        <w:trPr>
          <w:trHeight w:val="45"/>
        </w:trPr>
        <w:tc>
          <w:tcPr>
            <w:tcW w:w="3114" w:type="dxa"/>
          </w:tcPr>
          <w:p w14:paraId="1AF16066" w14:textId="77777777" w:rsidR="00780473" w:rsidRPr="00650EE4" w:rsidRDefault="00780473" w:rsidP="00492041">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90BF39C" w14:textId="77777777" w:rsidR="00780473" w:rsidRPr="00650EE4" w:rsidRDefault="00780473" w:rsidP="00492041">
            <w:pPr>
              <w:spacing w:after="60"/>
              <w:rPr>
                <w:rFonts w:ascii="Times New Roman" w:hAnsi="Times New Roman"/>
                <w:szCs w:val="22"/>
                <w:lang w:eastAsia="lt-LT"/>
              </w:rPr>
            </w:pPr>
            <w:r w:rsidRPr="00650EE4">
              <w:rPr>
                <w:rFonts w:ascii="Times New Roman" w:hAnsi="Times New Roman"/>
                <w:szCs w:val="22"/>
                <w:lang w:eastAsia="lt-LT"/>
              </w:rPr>
              <w:t>Trumpas-ilgas laikotarpis</w:t>
            </w:r>
          </w:p>
        </w:tc>
      </w:tr>
    </w:tbl>
    <w:p w14:paraId="5C106A3E" w14:textId="77777777" w:rsidR="00B82773" w:rsidRPr="00650EE4" w:rsidRDefault="00B82773" w:rsidP="00780473">
      <w:pPr>
        <w:rPr>
          <w:rFonts w:ascii="Times New Roman" w:hAnsi="Times New Roman"/>
          <w:color w:val="000000" w:themeColor="text1"/>
          <w:szCs w:val="22"/>
        </w:rPr>
      </w:pPr>
    </w:p>
    <w:p w14:paraId="4BF2C469" w14:textId="77777777" w:rsidR="00FD1D6D" w:rsidRPr="00650EE4" w:rsidRDefault="00FD1D6D" w:rsidP="00780473">
      <w:pPr>
        <w:rPr>
          <w:rFonts w:ascii="Times New Roman" w:hAnsi="Times New Roman"/>
          <w:color w:val="000000" w:themeColor="text1"/>
          <w:szCs w:val="22"/>
        </w:rPr>
      </w:pPr>
    </w:p>
    <w:p w14:paraId="539B48B5" w14:textId="0C77AFE1" w:rsidR="00780473" w:rsidRPr="00650EE4" w:rsidRDefault="00780473" w:rsidP="00B82773">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8</w:t>
      </w:r>
      <w:r w:rsidRPr="00650EE4">
        <w:rPr>
          <w:rFonts w:ascii="Times New Roman" w:hAnsi="Times New Roman"/>
          <w:b/>
          <w:bCs/>
          <w:szCs w:val="24"/>
        </w:rPr>
        <w:t>. Komunikacija apie renovacijos naudas priemones</w:t>
      </w:r>
    </w:p>
    <w:p w14:paraId="6542F972" w14:textId="77777777" w:rsidR="003240E9" w:rsidRPr="00650EE4" w:rsidRDefault="003240E9" w:rsidP="003240E9">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Savininko investicija yra finansinė, tuo tarpu renovacijos teikiamos naudos yra daugialypės (ne tik energijos </w:t>
      </w:r>
      <w:r>
        <w:rPr>
          <w:rFonts w:ascii="Times New Roman" w:hAnsi="Times New Roman"/>
          <w:color w:val="000000" w:themeColor="text1"/>
          <w:szCs w:val="22"/>
          <w:lang w:val="lt-LT"/>
        </w:rPr>
        <w:t>išlaidų sutaupymas</w:t>
      </w:r>
      <w:r w:rsidRPr="00650EE4">
        <w:rPr>
          <w:rFonts w:ascii="Times New Roman" w:hAnsi="Times New Roman"/>
          <w:color w:val="000000" w:themeColor="text1"/>
          <w:szCs w:val="22"/>
          <w:lang w:val="lt-LT"/>
        </w:rPr>
        <w:t>, bet ir būsto vertės padidėjimas, geresnė socialinė aplinka, pagerėjusi sveikata, pastato saugumas ir pan.). Atitinkamai, tam, kad pastato savininkas tikėtų renovacijos nauda, jis turi būti informuotas apie visą renovacijos galimybių ir naudų spektrą. Tai ypač aktualu tuomet, kai dėl nepilnų kaštų įtraukimo</w:t>
      </w:r>
      <w:r>
        <w:rPr>
          <w:rFonts w:ascii="Times New Roman" w:hAnsi="Times New Roman"/>
          <w:color w:val="000000" w:themeColor="text1"/>
          <w:szCs w:val="22"/>
          <w:lang w:val="lt-LT"/>
        </w:rPr>
        <w:t xml:space="preserve"> energijos kaina yra žema</w:t>
      </w:r>
      <w:r w:rsidRPr="00650EE4">
        <w:rPr>
          <w:rFonts w:ascii="Times New Roman" w:hAnsi="Times New Roman"/>
          <w:color w:val="000000" w:themeColor="text1"/>
          <w:szCs w:val="22"/>
          <w:lang w:val="lt-LT"/>
        </w:rPr>
        <w:t xml:space="preserve"> ir rezultate fi</w:t>
      </w:r>
      <w:r>
        <w:rPr>
          <w:rFonts w:ascii="Times New Roman" w:hAnsi="Times New Roman"/>
          <w:color w:val="000000" w:themeColor="text1"/>
          <w:szCs w:val="22"/>
          <w:lang w:val="lt-LT"/>
        </w:rPr>
        <w:t>nansinės renovacijos naudos nekuria</w:t>
      </w:r>
      <w:r w:rsidRPr="00650EE4">
        <w:rPr>
          <w:rFonts w:ascii="Times New Roman" w:hAnsi="Times New Roman"/>
          <w:color w:val="000000" w:themeColor="text1"/>
          <w:szCs w:val="22"/>
          <w:lang w:val="lt-LT"/>
        </w:rPr>
        <w:t xml:space="preserve"> pakankam</w:t>
      </w:r>
      <w:r>
        <w:rPr>
          <w:rFonts w:ascii="Times New Roman" w:hAnsi="Times New Roman"/>
          <w:color w:val="000000" w:themeColor="text1"/>
          <w:szCs w:val="22"/>
          <w:lang w:val="lt-LT"/>
        </w:rPr>
        <w:t xml:space="preserve">os motyvacijos </w:t>
      </w:r>
      <w:r w:rsidRPr="00650EE4">
        <w:rPr>
          <w:rFonts w:ascii="Times New Roman" w:hAnsi="Times New Roman"/>
          <w:color w:val="000000" w:themeColor="text1"/>
          <w:szCs w:val="22"/>
          <w:lang w:val="lt-LT"/>
        </w:rPr>
        <w:t xml:space="preserve">dalyvauti renovacijoje. </w:t>
      </w:r>
    </w:p>
    <w:p w14:paraId="55688093" w14:textId="77777777" w:rsidR="003240E9" w:rsidRDefault="003240E9" w:rsidP="003240E9">
      <w:pPr>
        <w:rPr>
          <w:rFonts w:ascii="Times New Roman" w:hAnsi="Times New Roman"/>
          <w:color w:val="000000" w:themeColor="text1"/>
          <w:szCs w:val="22"/>
        </w:rPr>
      </w:pPr>
    </w:p>
    <w:p w14:paraId="25197267" w14:textId="77777777" w:rsidR="003240E9" w:rsidRDefault="003240E9" w:rsidP="003240E9">
      <w:pPr>
        <w:spacing w:after="120"/>
        <w:jc w:val="both"/>
        <w:rPr>
          <w:rFonts w:ascii="Times New Roman" w:hAnsi="Times New Roman"/>
          <w:color w:val="000000" w:themeColor="text1"/>
          <w:szCs w:val="22"/>
        </w:rPr>
      </w:pPr>
      <w:r>
        <w:rPr>
          <w:rFonts w:ascii="Times New Roman" w:hAnsi="Times New Roman"/>
          <w:color w:val="000000" w:themeColor="text1"/>
          <w:szCs w:val="22"/>
        </w:rPr>
        <w:t>Mūsų vertinimu, komunikacija galėtų būti organizuojama dviem lygiais:</w:t>
      </w:r>
    </w:p>
    <w:p w14:paraId="021E4935" w14:textId="0075AC2F" w:rsidR="003240E9"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 xml:space="preserve">nacionaliniu lygmeniu ir tam skirtais komunikacijos kanalais pateikiama informacija aktuali visai tikslinei auditorijai (pvz. „sėkmės istorijos“, renovacijos naudos ir pan.); </w:t>
      </w:r>
    </w:p>
    <w:p w14:paraId="2E6943D8" w14:textId="0058154A" w:rsidR="00AD487D" w:rsidRPr="003240E9" w:rsidRDefault="003240E9" w:rsidP="00BD4925">
      <w:pPr>
        <w:pStyle w:val="BodyText"/>
        <w:numPr>
          <w:ilvl w:val="0"/>
          <w:numId w:val="60"/>
        </w:numPr>
        <w:spacing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Pr="003240E9">
        <w:rPr>
          <w:rFonts w:ascii="Times New Roman" w:hAnsi="Times New Roman"/>
          <w:color w:val="000000" w:themeColor="text1"/>
          <w:szCs w:val="22"/>
          <w:lang w:val="lt-LT"/>
        </w:rPr>
        <w:t>avivaldos lygmeniu ir tam skirtais komunika</w:t>
      </w:r>
      <w:r>
        <w:rPr>
          <w:rFonts w:ascii="Times New Roman" w:hAnsi="Times New Roman"/>
          <w:color w:val="000000" w:themeColor="text1"/>
          <w:szCs w:val="22"/>
          <w:lang w:val="lt-LT"/>
        </w:rPr>
        <w:t>cijos kanalais pateikiama infor</w:t>
      </w:r>
      <w:r w:rsidRPr="003240E9">
        <w:rPr>
          <w:rFonts w:ascii="Times New Roman" w:hAnsi="Times New Roman"/>
          <w:color w:val="000000" w:themeColor="text1"/>
          <w:szCs w:val="22"/>
          <w:lang w:val="lt-LT"/>
        </w:rPr>
        <w:t>m</w:t>
      </w:r>
      <w:r>
        <w:rPr>
          <w:rFonts w:ascii="Times New Roman" w:hAnsi="Times New Roman"/>
          <w:color w:val="000000" w:themeColor="text1"/>
          <w:szCs w:val="22"/>
          <w:lang w:val="lt-LT"/>
        </w:rPr>
        <w:t>a</w:t>
      </w:r>
      <w:r w:rsidRPr="003240E9">
        <w:rPr>
          <w:rFonts w:ascii="Times New Roman" w:hAnsi="Times New Roman"/>
          <w:color w:val="000000" w:themeColor="text1"/>
          <w:szCs w:val="22"/>
          <w:lang w:val="lt-LT"/>
        </w:rPr>
        <w:t>cija aktuali tikslinei tos savivaldybės auditorijai, atsižvelgiant į pastatų fondo specifiką, namų ūkių poreikius ir galimybes ir pan.</w:t>
      </w:r>
    </w:p>
    <w:p w14:paraId="2C1964F6" w14:textId="77777777" w:rsidR="003240E9" w:rsidRPr="00650EE4" w:rsidRDefault="003240E9" w:rsidP="00AD487D">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780473" w:rsidRPr="00650EE4" w14:paraId="7065534F" w14:textId="77777777" w:rsidTr="00492041">
        <w:trPr>
          <w:trHeight w:val="45"/>
        </w:trPr>
        <w:tc>
          <w:tcPr>
            <w:tcW w:w="3114" w:type="dxa"/>
          </w:tcPr>
          <w:p w14:paraId="22EA20BA"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2660F35F" w14:textId="3B3DA114" w:rsidR="00780473" w:rsidRPr="00650EE4" w:rsidRDefault="00D22997" w:rsidP="005A369A">
            <w:pPr>
              <w:spacing w:after="60"/>
              <w:rPr>
                <w:rFonts w:ascii="Times New Roman" w:hAnsi="Times New Roman"/>
                <w:szCs w:val="22"/>
                <w:lang w:eastAsia="lt-LT"/>
              </w:rPr>
            </w:pPr>
            <w:r w:rsidRPr="00650EE4">
              <w:rPr>
                <w:rFonts w:ascii="Times New Roman" w:hAnsi="Times New Roman"/>
                <w:szCs w:val="22"/>
                <w:lang w:eastAsia="lt-LT"/>
              </w:rPr>
              <w:t>B13. Nepakankama informacija apie renovacijos teikiamas naudas</w:t>
            </w:r>
          </w:p>
        </w:tc>
      </w:tr>
      <w:tr w:rsidR="00780473" w:rsidRPr="00650EE4" w14:paraId="28526344" w14:textId="77777777" w:rsidTr="00492041">
        <w:trPr>
          <w:trHeight w:val="92"/>
        </w:trPr>
        <w:tc>
          <w:tcPr>
            <w:tcW w:w="3114" w:type="dxa"/>
          </w:tcPr>
          <w:p w14:paraId="7A39E8B2"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1AA0DD31"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IRS komunikacijos strategijos parengimas</w:t>
            </w:r>
          </w:p>
        </w:tc>
      </w:tr>
      <w:tr w:rsidR="00780473" w:rsidRPr="00650EE4" w14:paraId="4FC4019D" w14:textId="77777777" w:rsidTr="00492041">
        <w:trPr>
          <w:trHeight w:val="54"/>
        </w:trPr>
        <w:tc>
          <w:tcPr>
            <w:tcW w:w="3114" w:type="dxa"/>
          </w:tcPr>
          <w:p w14:paraId="7BB6DF99"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1ACDDC1"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Aukštas</w:t>
            </w:r>
          </w:p>
        </w:tc>
      </w:tr>
      <w:tr w:rsidR="00780473" w:rsidRPr="00650EE4" w14:paraId="08BC6247" w14:textId="77777777" w:rsidTr="00492041">
        <w:trPr>
          <w:trHeight w:val="45"/>
        </w:trPr>
        <w:tc>
          <w:tcPr>
            <w:tcW w:w="3114" w:type="dxa"/>
          </w:tcPr>
          <w:p w14:paraId="2D7ECF55" w14:textId="77777777" w:rsidR="00780473" w:rsidRPr="00650EE4" w:rsidRDefault="00780473" w:rsidP="005A369A">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74E4CDE9" w14:textId="77777777" w:rsidR="00780473" w:rsidRPr="00650EE4" w:rsidRDefault="00780473" w:rsidP="005A369A">
            <w:pPr>
              <w:spacing w:after="60"/>
              <w:rPr>
                <w:rFonts w:ascii="Times New Roman" w:hAnsi="Times New Roman"/>
                <w:szCs w:val="22"/>
                <w:lang w:eastAsia="lt-LT"/>
              </w:rPr>
            </w:pPr>
            <w:r w:rsidRPr="00650EE4">
              <w:rPr>
                <w:rFonts w:ascii="Times New Roman" w:hAnsi="Times New Roman"/>
                <w:szCs w:val="22"/>
                <w:lang w:eastAsia="lt-LT"/>
              </w:rPr>
              <w:t>Trumpas-ilgas laikotarpis</w:t>
            </w:r>
          </w:p>
        </w:tc>
      </w:tr>
    </w:tbl>
    <w:p w14:paraId="32E0F656" w14:textId="77777777" w:rsidR="00780473" w:rsidRPr="00650EE4" w:rsidRDefault="00780473" w:rsidP="00780473">
      <w:pPr>
        <w:pStyle w:val="Pagrindinispaprastastekstas"/>
        <w:rPr>
          <w:rFonts w:ascii="Times New Roman" w:eastAsiaTheme="minorHAnsi" w:hAnsi="Times New Roman"/>
          <w:szCs w:val="22"/>
        </w:rPr>
      </w:pPr>
    </w:p>
    <w:p w14:paraId="74441729" w14:textId="49E3FA72" w:rsidR="002E6614" w:rsidRPr="00650EE4" w:rsidRDefault="0092744F" w:rsidP="002E6614">
      <w:pPr>
        <w:pStyle w:val="Antrastes31"/>
        <w:numPr>
          <w:ilvl w:val="2"/>
          <w:numId w:val="4"/>
        </w:numPr>
        <w:spacing w:before="120"/>
        <w:ind w:left="720" w:hanging="720"/>
        <w:rPr>
          <w:rFonts w:ascii="Times New Roman" w:hAnsi="Times New Roman"/>
          <w:color w:val="auto"/>
          <w:sz w:val="24"/>
          <w:szCs w:val="24"/>
          <w:lang w:val="lt-LT"/>
        </w:rPr>
      </w:pPr>
      <w:bookmarkStart w:id="215" w:name="_Toc59107577"/>
      <w:r w:rsidRPr="00650EE4">
        <w:rPr>
          <w:rFonts w:ascii="Times New Roman" w:hAnsi="Times New Roman"/>
          <w:color w:val="auto"/>
          <w:sz w:val="24"/>
          <w:szCs w:val="24"/>
          <w:lang w:val="lt-LT"/>
        </w:rPr>
        <w:t>Patikima įgyvendinimo sistema</w:t>
      </w:r>
      <w:bookmarkEnd w:id="215"/>
    </w:p>
    <w:p w14:paraId="7E399299" w14:textId="42CCD56E" w:rsidR="0092744F" w:rsidRPr="00650EE4" w:rsidRDefault="0092744F" w:rsidP="008D442E">
      <w:pPr>
        <w:jc w:val="both"/>
        <w:rPr>
          <w:rFonts w:ascii="Times New Roman" w:hAnsi="Times New Roman"/>
          <w:color w:val="000000" w:themeColor="text1"/>
          <w:szCs w:val="22"/>
          <w:highlight w:val="lightGray"/>
        </w:rPr>
      </w:pPr>
      <w:r w:rsidRPr="00650EE4">
        <w:rPr>
          <w:rFonts w:ascii="Times New Roman" w:hAnsi="Times New Roman"/>
          <w:color w:val="000000" w:themeColor="text1"/>
          <w:szCs w:val="22"/>
        </w:rPr>
        <w:t>Siekiant pritraukti pastatų savininkus, užtikrinti renovacijos tikslų pasiekimą, būtina patikima renovacijos įgyvendinimo sistema, užtikrinanti sklandų procesą. Net ir tikėdamas renovacijos nauda ir turėdamas patrauklias finansavimo galimybes, pastato savininkas gali nedalyvauti renovacijoje, jei matys administracinius barjerus planavimo ir (arba) įgyvendinimo etape, pvz., procesas reikalaus reikšmingų laiko investicijų arba kompetencijų, kurių jis neturi, nebus tikėjimo egzistuojančia sistema ir jos rezultatu. Tam, kad būtų užtikrintas sklandus procesas ir atsižvelgta į pastatų savininkų poreikius, reikia priartėti prie pastatų savininkų: tiek fiziškai, tiek atliepiant jų poreikius.</w:t>
      </w:r>
    </w:p>
    <w:p w14:paraId="01B9FA30" w14:textId="77777777" w:rsidR="0092744F" w:rsidRPr="00650EE4" w:rsidRDefault="0092744F" w:rsidP="008D442E">
      <w:pPr>
        <w:jc w:val="both"/>
        <w:rPr>
          <w:rFonts w:ascii="Times New Roman" w:hAnsi="Times New Roman"/>
          <w:color w:val="000000" w:themeColor="text1"/>
          <w:szCs w:val="22"/>
          <w:highlight w:val="lightGray"/>
        </w:rPr>
      </w:pPr>
    </w:p>
    <w:p w14:paraId="56BFA7A0" w14:textId="18E2146B" w:rsidR="0092744F" w:rsidRPr="00650EE4" w:rsidRDefault="0092744F" w:rsidP="008D442E">
      <w:pPr>
        <w:spacing w:after="120"/>
        <w:jc w:val="both"/>
        <w:rPr>
          <w:rFonts w:ascii="Times New Roman" w:hAnsi="Times New Roman"/>
          <w:b/>
          <w:bCs/>
          <w:szCs w:val="24"/>
        </w:rPr>
      </w:pPr>
      <w:r w:rsidRPr="00650EE4">
        <w:rPr>
          <w:rFonts w:ascii="Times New Roman" w:hAnsi="Times New Roman"/>
          <w:b/>
          <w:bCs/>
          <w:szCs w:val="24"/>
        </w:rPr>
        <w:t>P1</w:t>
      </w:r>
      <w:r w:rsidR="00CB5533">
        <w:rPr>
          <w:rFonts w:ascii="Times New Roman" w:hAnsi="Times New Roman"/>
          <w:b/>
          <w:bCs/>
          <w:szCs w:val="24"/>
        </w:rPr>
        <w:t>9</w:t>
      </w:r>
      <w:r w:rsidRPr="00650EE4">
        <w:rPr>
          <w:rFonts w:ascii="Times New Roman" w:hAnsi="Times New Roman"/>
          <w:b/>
          <w:bCs/>
          <w:szCs w:val="24"/>
        </w:rPr>
        <w:t>. Vieno langelio principo įgyvendinimas</w:t>
      </w:r>
    </w:p>
    <w:p w14:paraId="51252659" w14:textId="4724B347" w:rsidR="009572F6" w:rsidRPr="00650EE4" w:rsidRDefault="009572F6" w:rsidP="008D442E">
      <w:pPr>
        <w:jc w:val="both"/>
        <w:rPr>
          <w:rFonts w:ascii="Times New Roman" w:hAnsi="Times New Roman"/>
          <w:szCs w:val="22"/>
          <w:lang w:eastAsia="lt-LT"/>
        </w:rPr>
      </w:pPr>
      <w:r w:rsidRPr="00650EE4">
        <w:rPr>
          <w:rFonts w:ascii="Times New Roman" w:hAnsi="Times New Roman"/>
          <w:color w:val="000000" w:themeColor="text1"/>
          <w:szCs w:val="22"/>
        </w:rPr>
        <w:t xml:space="preserve">Informacijos apie IRS naudas, priemones nepakankamumas ir fragmentiškumas (skirtingi, nekoordinuoti šaltiniai) yra vienas iš renovacijos įgyvendinimo barjerų. </w:t>
      </w:r>
      <w:r w:rsidRPr="00650EE4">
        <w:rPr>
          <w:rFonts w:ascii="Times New Roman" w:hAnsi="Times New Roman"/>
          <w:szCs w:val="22"/>
          <w:lang w:eastAsia="lt-LT"/>
        </w:rPr>
        <w:t xml:space="preserve">PEND ir Rekomendacijos atitinkamai ragina valstybes „taikyti prieinamas ir skaidrias patariamąsias priemones, kaip antai, vieno langelio sistemas vartotojams ir konsultavimo energetikos klausimais paslaugas“. </w:t>
      </w:r>
    </w:p>
    <w:p w14:paraId="48F73B8C" w14:textId="77777777" w:rsidR="008E2EA8" w:rsidRPr="00650EE4" w:rsidRDefault="008E2EA8" w:rsidP="008D442E">
      <w:pPr>
        <w:jc w:val="both"/>
        <w:rPr>
          <w:rFonts w:ascii="Times New Roman" w:hAnsi="Times New Roman"/>
          <w:szCs w:val="22"/>
          <w:lang w:eastAsia="lt-LT"/>
        </w:rPr>
      </w:pPr>
    </w:p>
    <w:p w14:paraId="193CF8DB" w14:textId="4FB4589A" w:rsidR="009572F6" w:rsidRPr="00650EE4" w:rsidRDefault="009572F6" w:rsidP="008D442E">
      <w:pPr>
        <w:jc w:val="both"/>
        <w:rPr>
          <w:rFonts w:ascii="Times New Roman" w:hAnsi="Times New Roman"/>
          <w:szCs w:val="22"/>
          <w:lang w:eastAsia="lt-LT"/>
        </w:rPr>
      </w:pPr>
      <w:r w:rsidRPr="00650EE4">
        <w:rPr>
          <w:rFonts w:ascii="Times New Roman" w:hAnsi="Times New Roman"/>
          <w:szCs w:val="22"/>
          <w:lang w:eastAsia="lt-LT"/>
        </w:rPr>
        <w:t>Vienas langelis turėtų užtikrinti, kad pastato savininkas vienoje vietoje sužinotų apie renovacijos naudas ir visas galimas priemones bei, nusprendęs ją įgyvendinti, galėtų visus dokumentus (tiek techninius, tiek finansinius) sutvarkyti vienoje vietoje.</w:t>
      </w:r>
    </w:p>
    <w:p w14:paraId="54B7F79E" w14:textId="77777777" w:rsidR="008E2EA8" w:rsidRPr="00650EE4" w:rsidRDefault="008E2EA8" w:rsidP="008D442E">
      <w:pPr>
        <w:jc w:val="both"/>
        <w:rPr>
          <w:rFonts w:ascii="Times New Roman" w:hAnsi="Times New Roman"/>
          <w:szCs w:val="22"/>
          <w:lang w:eastAsia="lt-LT"/>
        </w:rPr>
      </w:pPr>
    </w:p>
    <w:p w14:paraId="532398D6" w14:textId="24B65ED4" w:rsidR="009572F6" w:rsidRPr="00650EE4" w:rsidRDefault="009572F6" w:rsidP="008D442E">
      <w:pPr>
        <w:jc w:val="both"/>
        <w:rPr>
          <w:rFonts w:ascii="Times New Roman" w:hAnsi="Times New Roman"/>
          <w:szCs w:val="22"/>
          <w:lang w:eastAsia="lt-LT"/>
        </w:rPr>
      </w:pPr>
      <w:r w:rsidRPr="00650EE4">
        <w:rPr>
          <w:rFonts w:ascii="Times New Roman" w:hAnsi="Times New Roman"/>
          <w:szCs w:val="22"/>
          <w:lang w:eastAsia="lt-LT"/>
        </w:rPr>
        <w:t xml:space="preserve">Geriausias prielaidas įgyvendinti vieno langelio funkcijas turi savivaldybės – jos turi </w:t>
      </w:r>
      <w:proofErr w:type="spellStart"/>
      <w:r w:rsidRPr="00650EE4">
        <w:rPr>
          <w:rFonts w:ascii="Times New Roman" w:hAnsi="Times New Roman"/>
          <w:szCs w:val="22"/>
          <w:lang w:eastAsia="lt-LT"/>
        </w:rPr>
        <w:t>patikimiausius</w:t>
      </w:r>
      <w:proofErr w:type="spellEnd"/>
      <w:r w:rsidRPr="00650EE4">
        <w:rPr>
          <w:rFonts w:ascii="Times New Roman" w:hAnsi="Times New Roman"/>
          <w:szCs w:val="22"/>
          <w:lang w:eastAsia="lt-LT"/>
        </w:rPr>
        <w:t xml:space="preserve"> duomenis apie jų teritorijoje esančius pastatus, o pastatų savininkai nuolat palaiko ryšį su savivaldybe kitais klausimais. Taip pat, savivaldybės turi geriausias galimybes koordinuoti </w:t>
      </w:r>
      <w:proofErr w:type="spellStart"/>
      <w:r w:rsidRPr="00650EE4">
        <w:rPr>
          <w:rFonts w:ascii="Times New Roman" w:hAnsi="Times New Roman"/>
          <w:szCs w:val="22"/>
          <w:lang w:eastAsia="lt-LT"/>
        </w:rPr>
        <w:t>kvartalinės</w:t>
      </w:r>
      <w:proofErr w:type="spellEnd"/>
      <w:r w:rsidRPr="00650EE4">
        <w:rPr>
          <w:rFonts w:ascii="Times New Roman" w:hAnsi="Times New Roman"/>
          <w:szCs w:val="22"/>
          <w:lang w:eastAsia="lt-LT"/>
        </w:rPr>
        <w:t xml:space="preserve"> renovacijos įgyvendinimą (P</w:t>
      </w:r>
      <w:r w:rsidR="007D76A3" w:rsidRPr="00650EE4">
        <w:rPr>
          <w:rFonts w:ascii="Times New Roman" w:hAnsi="Times New Roman"/>
          <w:szCs w:val="22"/>
          <w:lang w:eastAsia="lt-LT"/>
        </w:rPr>
        <w:t>10</w:t>
      </w:r>
      <w:r w:rsidRPr="00650EE4">
        <w:rPr>
          <w:rFonts w:ascii="Times New Roman" w:hAnsi="Times New Roman"/>
          <w:szCs w:val="22"/>
          <w:lang w:eastAsia="lt-LT"/>
        </w:rPr>
        <w:t xml:space="preserve"> priemonė). Atitinkami turėtų būti svarstoma savivaldybės apimtyje įkurti atskirą subjektą, kuris būtų atsakingas už pastatų savininkų aptarnavimą renovacijos klausimais, gaunant metodinę ir konsultacinę pagalbą iš kompetencijų centro (P1</w:t>
      </w:r>
      <w:r w:rsidR="00166049" w:rsidRPr="00650EE4">
        <w:rPr>
          <w:rFonts w:ascii="Times New Roman" w:hAnsi="Times New Roman"/>
          <w:szCs w:val="22"/>
          <w:lang w:eastAsia="lt-LT"/>
        </w:rPr>
        <w:t>9</w:t>
      </w:r>
      <w:r w:rsidRPr="00650EE4">
        <w:rPr>
          <w:rFonts w:ascii="Times New Roman" w:hAnsi="Times New Roman"/>
          <w:szCs w:val="22"/>
          <w:lang w:eastAsia="lt-LT"/>
        </w:rPr>
        <w:t xml:space="preserve"> priemonė). </w:t>
      </w:r>
    </w:p>
    <w:p w14:paraId="024ACEAC" w14:textId="77777777" w:rsidR="008E2EA8" w:rsidRPr="00650EE4" w:rsidRDefault="008E2EA8" w:rsidP="008D442E">
      <w:pPr>
        <w:jc w:val="both"/>
        <w:rPr>
          <w:rFonts w:ascii="Times New Roman" w:hAnsi="Times New Roman"/>
          <w:szCs w:val="22"/>
          <w:lang w:eastAsia="lt-LT"/>
        </w:rPr>
      </w:pPr>
    </w:p>
    <w:p w14:paraId="48B27A2F" w14:textId="65FE8E39" w:rsidR="009572F6" w:rsidRPr="00650EE4" w:rsidRDefault="009572F6" w:rsidP="007B46E4">
      <w:pPr>
        <w:jc w:val="both"/>
        <w:rPr>
          <w:rFonts w:ascii="Times New Roman" w:hAnsi="Times New Roman"/>
          <w:szCs w:val="22"/>
          <w:lang w:eastAsia="lt-LT"/>
        </w:rPr>
      </w:pPr>
      <w:r w:rsidRPr="00650EE4">
        <w:rPr>
          <w:rFonts w:ascii="Times New Roman" w:hAnsi="Times New Roman"/>
          <w:szCs w:val="22"/>
          <w:lang w:eastAsia="lt-LT"/>
        </w:rPr>
        <w:t xml:space="preserve">Svarbu pastebėti, kad skirtingų pastatų grupių savininkų interesai skiriasi (pvz., individualių namų, daugiabučių pastatų, pramonės pastatų ir kitų negyvenamųjų pastatų). Atitinkamai galėtų būti išskaidytas ir jų aptarnavimas. Kitaip tariant, svarbu, kad pastato savininkas galėtų </w:t>
      </w:r>
      <w:r w:rsidR="00BB1115">
        <w:rPr>
          <w:rFonts w:ascii="Times New Roman" w:hAnsi="Times New Roman"/>
          <w:szCs w:val="22"/>
          <w:lang w:eastAsia="lt-LT"/>
        </w:rPr>
        <w:t>gauti visas paslaugas</w:t>
      </w:r>
      <w:r w:rsidRPr="00650EE4">
        <w:rPr>
          <w:rFonts w:ascii="Times New Roman" w:hAnsi="Times New Roman"/>
          <w:szCs w:val="22"/>
          <w:lang w:eastAsia="lt-LT"/>
        </w:rPr>
        <w:t xml:space="preserve"> vienoje vietoje, tačiau skirtingiems savininkams gali būti sukurti skirtingi langeliai.</w:t>
      </w:r>
    </w:p>
    <w:p w14:paraId="5AA589EB" w14:textId="77777777" w:rsidR="008E2EA8" w:rsidRPr="00650EE4" w:rsidRDefault="008E2EA8" w:rsidP="008E2EA8">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78C2ACB7" w14:textId="77777777" w:rsidTr="00910123">
        <w:trPr>
          <w:trHeight w:val="172"/>
        </w:trPr>
        <w:tc>
          <w:tcPr>
            <w:tcW w:w="3114" w:type="dxa"/>
          </w:tcPr>
          <w:p w14:paraId="1BD7521D"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2E75D03E" w14:textId="77777777" w:rsidR="00CB5533" w:rsidRPr="00650EE4" w:rsidRDefault="00CB5533" w:rsidP="00910123">
            <w:pPr>
              <w:spacing w:after="60"/>
              <w:rPr>
                <w:rFonts w:ascii="Times New Roman" w:hAnsi="Times New Roman"/>
                <w:szCs w:val="22"/>
                <w:highlight w:val="yellow"/>
                <w:lang w:eastAsia="lt-LT"/>
              </w:rPr>
            </w:pPr>
            <w:r w:rsidRPr="00650EE4">
              <w:rPr>
                <w:rFonts w:ascii="Times New Roman" w:hAnsi="Times New Roman"/>
                <w:szCs w:val="22"/>
                <w:lang w:eastAsia="lt-LT"/>
              </w:rPr>
              <w:t>B13. Nepakankama informacija apie renovacijos teikiamas naudas</w:t>
            </w:r>
          </w:p>
        </w:tc>
      </w:tr>
      <w:tr w:rsidR="00CB5533" w:rsidRPr="00650EE4" w14:paraId="032274BD" w14:textId="77777777" w:rsidTr="00910123">
        <w:trPr>
          <w:trHeight w:val="220"/>
        </w:trPr>
        <w:tc>
          <w:tcPr>
            <w:tcW w:w="3114" w:type="dxa"/>
          </w:tcPr>
          <w:p w14:paraId="5F68F2A6"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831A20B"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Vieno langelio principo įgyvendinimas</w:t>
            </w:r>
          </w:p>
        </w:tc>
      </w:tr>
      <w:tr w:rsidR="00CB5533" w:rsidRPr="00650EE4" w14:paraId="6F6EBC93" w14:textId="77777777" w:rsidTr="00910123">
        <w:trPr>
          <w:trHeight w:val="268"/>
        </w:trPr>
        <w:tc>
          <w:tcPr>
            <w:tcW w:w="3114" w:type="dxa"/>
          </w:tcPr>
          <w:p w14:paraId="5BE529FC"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018892A7"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27AF200F" w14:textId="77777777" w:rsidTr="00910123">
        <w:trPr>
          <w:trHeight w:val="173"/>
        </w:trPr>
        <w:tc>
          <w:tcPr>
            <w:tcW w:w="3114" w:type="dxa"/>
          </w:tcPr>
          <w:p w14:paraId="06453E2E"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296F236F"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CB5533" w:rsidRPr="00650EE4" w14:paraId="53FC72F8" w14:textId="77777777" w:rsidTr="00910123">
        <w:trPr>
          <w:trHeight w:val="143"/>
        </w:trPr>
        <w:tc>
          <w:tcPr>
            <w:tcW w:w="3114" w:type="dxa"/>
          </w:tcPr>
          <w:p w14:paraId="046DA4E9"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Gera praktika</w:t>
            </w:r>
          </w:p>
        </w:tc>
        <w:tc>
          <w:tcPr>
            <w:tcW w:w="7089" w:type="dxa"/>
          </w:tcPr>
          <w:p w14:paraId="7D5C40BA" w14:textId="77777777" w:rsidR="00CB5533" w:rsidRPr="00650EE4" w:rsidRDefault="00166683" w:rsidP="00910123">
            <w:pPr>
              <w:spacing w:after="60"/>
              <w:rPr>
                <w:rFonts w:ascii="Times New Roman" w:hAnsi="Times New Roman"/>
                <w:color w:val="0070C0"/>
                <w:szCs w:val="22"/>
                <w:lang w:eastAsia="lt-LT"/>
              </w:rPr>
            </w:pPr>
            <w:hyperlink r:id="rId67" w:history="1">
              <w:r w:rsidR="00CB5533" w:rsidRPr="00650EE4">
                <w:rPr>
                  <w:rStyle w:val="Hyperlink"/>
                  <w:rFonts w:ascii="Times New Roman" w:hAnsi="Times New Roman"/>
                  <w:color w:val="0070C0"/>
                  <w:szCs w:val="22"/>
                  <w:lang w:eastAsia="lt-LT"/>
                </w:rPr>
                <w:t>Įgyvendintų „vieno langelio“ principų apžvalga (2018)</w:t>
              </w:r>
            </w:hyperlink>
          </w:p>
          <w:p w14:paraId="572C27B7" w14:textId="77777777" w:rsidR="00CB5533" w:rsidRPr="00650EE4" w:rsidRDefault="00166683" w:rsidP="00910123">
            <w:pPr>
              <w:spacing w:after="60"/>
              <w:rPr>
                <w:rFonts w:ascii="Times New Roman" w:hAnsi="Times New Roman"/>
                <w:szCs w:val="22"/>
                <w:lang w:eastAsia="lt-LT"/>
              </w:rPr>
            </w:pPr>
            <w:hyperlink r:id="rId68" w:history="1">
              <w:r w:rsidR="00CB5533" w:rsidRPr="00650EE4">
                <w:rPr>
                  <w:rStyle w:val="Hyperlink"/>
                  <w:rFonts w:ascii="Times New Roman" w:hAnsi="Times New Roman"/>
                  <w:color w:val="0070C0"/>
                  <w:szCs w:val="22"/>
                  <w:lang w:eastAsia="lt-LT"/>
                </w:rPr>
                <w:t>Vieno langelio principo įgyvendinimo renovacijoje vadovas (2017)</w:t>
              </w:r>
            </w:hyperlink>
            <w:r w:rsidR="00CB5533" w:rsidRPr="00650EE4">
              <w:rPr>
                <w:rFonts w:ascii="Times New Roman" w:hAnsi="Times New Roman"/>
                <w:color w:val="0070C0"/>
                <w:szCs w:val="22"/>
                <w:lang w:eastAsia="lt-LT"/>
              </w:rPr>
              <w:t xml:space="preserve"> </w:t>
            </w:r>
          </w:p>
        </w:tc>
      </w:tr>
    </w:tbl>
    <w:p w14:paraId="0E356E6B" w14:textId="77777777" w:rsidR="0092744F" w:rsidRPr="00650EE4" w:rsidRDefault="0092744F" w:rsidP="008D442E">
      <w:pPr>
        <w:spacing w:after="120"/>
        <w:rPr>
          <w:rFonts w:ascii="Times New Roman" w:hAnsi="Times New Roman"/>
          <w:color w:val="000000" w:themeColor="text1"/>
          <w:szCs w:val="22"/>
          <w:highlight w:val="lightGray"/>
        </w:rPr>
      </w:pPr>
    </w:p>
    <w:p w14:paraId="32D9C4B5" w14:textId="46EE29DA" w:rsidR="0092744F" w:rsidRPr="00650EE4" w:rsidRDefault="0092744F" w:rsidP="00B82773">
      <w:pPr>
        <w:spacing w:after="120"/>
        <w:jc w:val="both"/>
        <w:rPr>
          <w:rFonts w:ascii="Times New Roman" w:hAnsi="Times New Roman"/>
          <w:b/>
          <w:bCs/>
          <w:szCs w:val="24"/>
        </w:rPr>
      </w:pPr>
      <w:r w:rsidRPr="00650EE4">
        <w:rPr>
          <w:rFonts w:ascii="Times New Roman" w:hAnsi="Times New Roman"/>
          <w:b/>
          <w:bCs/>
          <w:szCs w:val="24"/>
        </w:rPr>
        <w:lastRenderedPageBreak/>
        <w:t>P</w:t>
      </w:r>
      <w:r w:rsidR="00CB5533">
        <w:rPr>
          <w:rFonts w:ascii="Times New Roman" w:hAnsi="Times New Roman"/>
          <w:b/>
          <w:bCs/>
          <w:szCs w:val="24"/>
        </w:rPr>
        <w:t>20</w:t>
      </w:r>
      <w:r w:rsidRPr="00650EE4">
        <w:rPr>
          <w:rFonts w:ascii="Times New Roman" w:hAnsi="Times New Roman"/>
          <w:b/>
          <w:bCs/>
          <w:szCs w:val="24"/>
        </w:rPr>
        <w:t>. Kompetencijų centro įkūrimas</w:t>
      </w:r>
    </w:p>
    <w:p w14:paraId="42EC6FC8" w14:textId="5F13EE62" w:rsidR="009572F6" w:rsidRPr="00650EE4" w:rsidRDefault="009572F6" w:rsidP="009572F6">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Siekiant renovacijos proveržio svarbu užtikrinti renovacijos proceso sklandumą. Kartu su vieno langelio principo įgyvendinim</w:t>
      </w:r>
      <w:r w:rsidR="00416E8E" w:rsidRPr="00650EE4">
        <w:rPr>
          <w:rFonts w:ascii="Times New Roman" w:hAnsi="Times New Roman"/>
          <w:color w:val="000000" w:themeColor="text1"/>
          <w:szCs w:val="22"/>
        </w:rPr>
        <w:t>u,</w:t>
      </w:r>
      <w:r w:rsidRPr="00650EE4">
        <w:rPr>
          <w:rFonts w:ascii="Times New Roman" w:hAnsi="Times New Roman"/>
          <w:color w:val="000000" w:themeColor="text1"/>
          <w:szCs w:val="22"/>
        </w:rPr>
        <w:t xml:space="preserve"> prie to reikšmingai prisidėtų kompetencijų centralizavimas vienoje vietoje – kompetencijų centre.</w:t>
      </w:r>
    </w:p>
    <w:p w14:paraId="03892A25" w14:textId="77777777" w:rsidR="009572F6" w:rsidRPr="00650EE4" w:rsidRDefault="009572F6" w:rsidP="009572F6">
      <w:pPr>
        <w:spacing w:before="60" w:after="120"/>
        <w:jc w:val="both"/>
        <w:rPr>
          <w:rFonts w:ascii="Times New Roman" w:hAnsi="Times New Roman"/>
          <w:color w:val="000000" w:themeColor="text1"/>
          <w:szCs w:val="22"/>
        </w:rPr>
      </w:pPr>
      <w:r w:rsidRPr="00650EE4">
        <w:rPr>
          <w:rFonts w:ascii="Times New Roman" w:hAnsi="Times New Roman"/>
          <w:color w:val="000000" w:themeColor="text1"/>
          <w:szCs w:val="22"/>
        </w:rPr>
        <w:t>Kompetencijų centras būtų atsakingas už:</w:t>
      </w:r>
    </w:p>
    <w:p w14:paraId="402282CA" w14:textId="71A2FBF8"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s</w:t>
      </w:r>
      <w:r w:rsidR="009572F6" w:rsidRPr="00650EE4">
        <w:rPr>
          <w:rFonts w:ascii="Times New Roman" w:hAnsi="Times New Roman"/>
          <w:color w:val="000000" w:themeColor="text1"/>
          <w:szCs w:val="22"/>
          <w:lang w:val="lt-LT"/>
        </w:rPr>
        <w:t>tandartizuotų dokumentų</w:t>
      </w:r>
      <w:r>
        <w:rPr>
          <w:rFonts w:ascii="Times New Roman" w:hAnsi="Times New Roman"/>
          <w:color w:val="000000" w:themeColor="text1"/>
          <w:szCs w:val="22"/>
          <w:lang w:val="lt-LT"/>
        </w:rPr>
        <w:t xml:space="preserve"> </w:t>
      </w:r>
      <w:r w:rsidR="009572F6" w:rsidRPr="00650EE4">
        <w:rPr>
          <w:rFonts w:ascii="Times New Roman" w:hAnsi="Times New Roman"/>
          <w:color w:val="000000" w:themeColor="text1"/>
          <w:szCs w:val="22"/>
          <w:lang w:val="lt-LT"/>
        </w:rPr>
        <w:t>/</w:t>
      </w:r>
      <w:r>
        <w:rPr>
          <w:rFonts w:ascii="Times New Roman" w:hAnsi="Times New Roman"/>
          <w:color w:val="000000" w:themeColor="text1"/>
          <w:szCs w:val="22"/>
          <w:lang w:val="lt-LT"/>
        </w:rPr>
        <w:t xml:space="preserve"> </w:t>
      </w:r>
      <w:r w:rsidR="009572F6" w:rsidRPr="00650EE4">
        <w:rPr>
          <w:rFonts w:ascii="Times New Roman" w:hAnsi="Times New Roman"/>
          <w:color w:val="000000" w:themeColor="text1"/>
          <w:szCs w:val="22"/>
          <w:lang w:val="lt-LT"/>
        </w:rPr>
        <w:t>procedūrų rengimą;</w:t>
      </w:r>
    </w:p>
    <w:p w14:paraId="070065D0" w14:textId="14A93C14"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t</w:t>
      </w:r>
      <w:r w:rsidR="009572F6" w:rsidRPr="00650EE4">
        <w:rPr>
          <w:rFonts w:ascii="Times New Roman" w:hAnsi="Times New Roman"/>
          <w:color w:val="000000" w:themeColor="text1"/>
          <w:szCs w:val="22"/>
          <w:lang w:val="lt-LT"/>
        </w:rPr>
        <w:t>aisyklių, techninių reikalavimų rengimą;</w:t>
      </w:r>
    </w:p>
    <w:p w14:paraId="354E9BA7" w14:textId="3B727CCB" w:rsidR="009572F6" w:rsidRPr="00650EE4" w:rsidRDefault="00BB1115" w:rsidP="00BD4925">
      <w:pPr>
        <w:pStyle w:val="ListParagraph"/>
        <w:numPr>
          <w:ilvl w:val="0"/>
          <w:numId w:val="48"/>
        </w:numPr>
        <w:spacing w:before="6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p</w:t>
      </w:r>
      <w:r w:rsidR="009572F6" w:rsidRPr="00650EE4">
        <w:rPr>
          <w:rFonts w:ascii="Times New Roman" w:hAnsi="Times New Roman"/>
          <w:color w:val="000000" w:themeColor="text1"/>
          <w:szCs w:val="22"/>
          <w:lang w:val="lt-LT"/>
        </w:rPr>
        <w:t>agalbą savivaldybėms;</w:t>
      </w:r>
    </w:p>
    <w:p w14:paraId="23B62D43" w14:textId="2B200EE2" w:rsidR="009572F6" w:rsidRPr="00650EE4" w:rsidRDefault="0025362F" w:rsidP="00BD4925">
      <w:pPr>
        <w:pStyle w:val="ListParagraph"/>
        <w:numPr>
          <w:ilvl w:val="0"/>
          <w:numId w:val="48"/>
        </w:numPr>
        <w:spacing w:before="60" w:after="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konsultaciją</w:t>
      </w:r>
      <w:r w:rsidR="009572F6" w:rsidRPr="00650EE4">
        <w:rPr>
          <w:rFonts w:ascii="Times New Roman" w:hAnsi="Times New Roman"/>
          <w:color w:val="000000" w:themeColor="text1"/>
          <w:szCs w:val="22"/>
          <w:lang w:val="lt-LT"/>
        </w:rPr>
        <w:t>.</w:t>
      </w:r>
    </w:p>
    <w:p w14:paraId="5F070561" w14:textId="6CA1C630" w:rsidR="009572F6" w:rsidRPr="00650EE4" w:rsidRDefault="009572F6" w:rsidP="009572F6">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Daugiabučių modernizavimo programos apimtyje panašų vaidmenį atlieka BETA, teikianti konsultacijas ir pagalbą būsto savininkams modernizuojant daugiabučius pastatus, publikuojanti konsultacinę medžiagą. Jos pagrindu arba pavyzdžiu galėtų būti kuriamas ir visas renovacijos strategijos dalis apimantis kompetencijų centras.</w:t>
      </w:r>
    </w:p>
    <w:p w14:paraId="153D0CC3" w14:textId="77777777" w:rsidR="0058683B" w:rsidRPr="00650EE4" w:rsidRDefault="0058683B" w:rsidP="009572F6">
      <w:pPr>
        <w:pStyle w:val="BodyText"/>
        <w:rPr>
          <w:lang w:val="lt-LT"/>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7BF1DBFC" w14:textId="77777777" w:rsidTr="00910123">
        <w:trPr>
          <w:trHeight w:val="172"/>
        </w:trPr>
        <w:tc>
          <w:tcPr>
            <w:tcW w:w="3114" w:type="dxa"/>
          </w:tcPr>
          <w:p w14:paraId="7BEBAEC5"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1B9CBD1F"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B15. Nepakankami savivaldybių vadybiniai pajėgumai</w:t>
            </w:r>
          </w:p>
          <w:p w14:paraId="671003FC"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B16. Pirkimų proceso barjerai</w:t>
            </w:r>
          </w:p>
          <w:p w14:paraId="6C75BD73"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B17. Nekokybiški investicijų planai</w:t>
            </w:r>
          </w:p>
        </w:tc>
      </w:tr>
      <w:tr w:rsidR="00CB5533" w:rsidRPr="00650EE4" w14:paraId="1E2F7DEF" w14:textId="77777777" w:rsidTr="00910123">
        <w:trPr>
          <w:trHeight w:val="220"/>
        </w:trPr>
        <w:tc>
          <w:tcPr>
            <w:tcW w:w="3114" w:type="dxa"/>
          </w:tcPr>
          <w:p w14:paraId="08915274"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4A14E204"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Kompetencijų centro įkūrimas</w:t>
            </w:r>
          </w:p>
        </w:tc>
      </w:tr>
      <w:tr w:rsidR="00CB5533" w:rsidRPr="00650EE4" w14:paraId="68325C7F" w14:textId="77777777" w:rsidTr="00910123">
        <w:trPr>
          <w:trHeight w:val="268"/>
        </w:trPr>
        <w:tc>
          <w:tcPr>
            <w:tcW w:w="3114" w:type="dxa"/>
          </w:tcPr>
          <w:p w14:paraId="1EFF026F"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380D102D"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5D9DE4FB" w14:textId="77777777" w:rsidTr="00910123">
        <w:trPr>
          <w:trHeight w:val="173"/>
        </w:trPr>
        <w:tc>
          <w:tcPr>
            <w:tcW w:w="3114" w:type="dxa"/>
          </w:tcPr>
          <w:p w14:paraId="6F135F48"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553B439E"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r w:rsidR="00CB5533" w:rsidRPr="00650EE4" w14:paraId="30FD6D0B" w14:textId="77777777" w:rsidTr="00910123">
        <w:trPr>
          <w:trHeight w:val="418"/>
        </w:trPr>
        <w:tc>
          <w:tcPr>
            <w:tcW w:w="3114" w:type="dxa"/>
          </w:tcPr>
          <w:p w14:paraId="0D665032"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Gera praktika</w:t>
            </w:r>
          </w:p>
        </w:tc>
        <w:tc>
          <w:tcPr>
            <w:tcW w:w="7089" w:type="dxa"/>
          </w:tcPr>
          <w:p w14:paraId="291F4DEE" w14:textId="77777777" w:rsidR="00CB5533" w:rsidRPr="00650EE4" w:rsidRDefault="00166683" w:rsidP="00910123">
            <w:pPr>
              <w:spacing w:after="60"/>
              <w:rPr>
                <w:rFonts w:ascii="Times New Roman" w:hAnsi="Times New Roman"/>
                <w:szCs w:val="22"/>
                <w:lang w:eastAsia="lt-LT"/>
              </w:rPr>
            </w:pPr>
            <w:hyperlink r:id="rId69" w:history="1">
              <w:r w:rsidR="00CB5533" w:rsidRPr="00650EE4">
                <w:rPr>
                  <w:rStyle w:val="Hyperlink"/>
                  <w:rFonts w:ascii="Times New Roman" w:hAnsi="Times New Roman"/>
                  <w:color w:val="0070C0"/>
                  <w:szCs w:val="22"/>
                  <w:lang w:eastAsia="lt-LT"/>
                </w:rPr>
                <w:t>Informacinis leidinys „Modernizuojamų daugiabučių techninė priežiūra ir statybų kokybės užtikrinimas“ (BETA)</w:t>
              </w:r>
            </w:hyperlink>
          </w:p>
        </w:tc>
      </w:tr>
    </w:tbl>
    <w:p w14:paraId="6527BDFA" w14:textId="77777777" w:rsidR="0092744F" w:rsidRPr="00650EE4" w:rsidRDefault="0092744F" w:rsidP="008D442E">
      <w:pPr>
        <w:spacing w:after="120"/>
        <w:rPr>
          <w:rFonts w:ascii="Times New Roman" w:hAnsi="Times New Roman"/>
          <w:color w:val="000000" w:themeColor="text1"/>
          <w:szCs w:val="22"/>
        </w:rPr>
      </w:pPr>
    </w:p>
    <w:p w14:paraId="40B0123C" w14:textId="7621050E" w:rsidR="0092744F" w:rsidRPr="00650EE4" w:rsidRDefault="0092744F" w:rsidP="00B82773">
      <w:pPr>
        <w:spacing w:after="120"/>
        <w:jc w:val="both"/>
        <w:rPr>
          <w:rFonts w:ascii="Times New Roman" w:hAnsi="Times New Roman"/>
          <w:b/>
          <w:bCs/>
          <w:szCs w:val="24"/>
        </w:rPr>
      </w:pPr>
      <w:r w:rsidRPr="00650EE4">
        <w:rPr>
          <w:rFonts w:ascii="Times New Roman" w:hAnsi="Times New Roman"/>
          <w:b/>
          <w:bCs/>
          <w:szCs w:val="24"/>
        </w:rPr>
        <w:t>P</w:t>
      </w:r>
      <w:r w:rsidR="004E5D90" w:rsidRPr="00650EE4">
        <w:rPr>
          <w:rFonts w:ascii="Times New Roman" w:hAnsi="Times New Roman"/>
          <w:b/>
          <w:bCs/>
          <w:szCs w:val="24"/>
        </w:rPr>
        <w:t>2</w:t>
      </w:r>
      <w:r w:rsidR="00CB5533">
        <w:rPr>
          <w:rFonts w:ascii="Times New Roman" w:hAnsi="Times New Roman"/>
          <w:b/>
          <w:bCs/>
          <w:szCs w:val="24"/>
        </w:rPr>
        <w:t>1</w:t>
      </w:r>
      <w:r w:rsidRPr="00650EE4">
        <w:rPr>
          <w:rFonts w:ascii="Times New Roman" w:hAnsi="Times New Roman"/>
          <w:b/>
          <w:bCs/>
          <w:szCs w:val="24"/>
        </w:rPr>
        <w:t xml:space="preserve">. </w:t>
      </w:r>
      <w:r w:rsidR="006918C6" w:rsidRPr="00650EE4">
        <w:rPr>
          <w:rFonts w:ascii="Times New Roman" w:hAnsi="Times New Roman"/>
          <w:b/>
          <w:bCs/>
          <w:szCs w:val="24"/>
        </w:rPr>
        <w:t>Kokybės kontrolės</w:t>
      </w:r>
      <w:r w:rsidRPr="00650EE4">
        <w:rPr>
          <w:rFonts w:ascii="Times New Roman" w:hAnsi="Times New Roman"/>
          <w:b/>
          <w:bCs/>
          <w:szCs w:val="24"/>
        </w:rPr>
        <w:t xml:space="preserve"> užtikrinimas</w:t>
      </w:r>
    </w:p>
    <w:p w14:paraId="4256196E" w14:textId="29C57852" w:rsidR="005A0A11" w:rsidRPr="00650EE4" w:rsidRDefault="005A0A11" w:rsidP="0052232A">
      <w:pPr>
        <w:jc w:val="both"/>
        <w:rPr>
          <w:rFonts w:ascii="Times New Roman" w:hAnsi="Times New Roman"/>
          <w:color w:val="000000" w:themeColor="text1"/>
          <w:szCs w:val="22"/>
        </w:rPr>
      </w:pPr>
      <w:r w:rsidRPr="00650EE4">
        <w:rPr>
          <w:rFonts w:ascii="Times New Roman" w:hAnsi="Times New Roman"/>
          <w:color w:val="000000" w:themeColor="text1"/>
          <w:szCs w:val="22"/>
        </w:rPr>
        <w:t xml:space="preserve">Netinkama renovacijos projektų planavimo ir įgyvendinimo </w:t>
      </w:r>
      <w:r w:rsidR="00E07724" w:rsidRPr="00650EE4">
        <w:rPr>
          <w:rFonts w:ascii="Times New Roman" w:hAnsi="Times New Roman"/>
          <w:color w:val="000000" w:themeColor="text1"/>
          <w:szCs w:val="22"/>
        </w:rPr>
        <w:t xml:space="preserve">kokybės kontrolė (techninė </w:t>
      </w:r>
      <w:r w:rsidR="00C367FD" w:rsidRPr="00650EE4">
        <w:rPr>
          <w:rFonts w:ascii="Times New Roman" w:hAnsi="Times New Roman"/>
          <w:color w:val="000000" w:themeColor="text1"/>
          <w:szCs w:val="22"/>
        </w:rPr>
        <w:t>priežiūra</w:t>
      </w:r>
      <w:r w:rsidR="00E07724" w:rsidRPr="00650EE4">
        <w:rPr>
          <w:rFonts w:ascii="Times New Roman" w:hAnsi="Times New Roman"/>
          <w:color w:val="000000" w:themeColor="text1"/>
          <w:szCs w:val="22"/>
        </w:rPr>
        <w:t xml:space="preserve">) </w:t>
      </w:r>
      <w:r w:rsidRPr="00650EE4">
        <w:rPr>
          <w:rFonts w:ascii="Times New Roman" w:hAnsi="Times New Roman"/>
          <w:color w:val="000000" w:themeColor="text1"/>
          <w:szCs w:val="22"/>
        </w:rPr>
        <w:t>– vienas iš renovacijos trikdžių, didinančių pastatų savininkų nepasitikėjimą visu renovacijos procesu bei lemiantis renovacijos vėlavimus.</w:t>
      </w:r>
    </w:p>
    <w:p w14:paraId="0AACC524" w14:textId="77777777" w:rsidR="0052232A" w:rsidRPr="00650EE4" w:rsidRDefault="0052232A" w:rsidP="0052232A">
      <w:pPr>
        <w:jc w:val="both"/>
        <w:rPr>
          <w:rFonts w:ascii="Times New Roman" w:hAnsi="Times New Roman"/>
          <w:color w:val="000000" w:themeColor="text1"/>
          <w:szCs w:val="22"/>
        </w:rPr>
      </w:pPr>
    </w:p>
    <w:p w14:paraId="7C1A6062" w14:textId="07E7C361" w:rsidR="005A0A11" w:rsidRPr="00650EE4" w:rsidRDefault="005A0A11" w:rsidP="0052232A">
      <w:pPr>
        <w:jc w:val="both"/>
        <w:rPr>
          <w:rFonts w:ascii="Times New Roman" w:hAnsi="Times New Roman"/>
          <w:color w:val="000000" w:themeColor="text1"/>
          <w:szCs w:val="22"/>
        </w:rPr>
      </w:pPr>
      <w:r w:rsidRPr="00650EE4">
        <w:rPr>
          <w:rFonts w:ascii="Times New Roman" w:hAnsi="Times New Roman"/>
          <w:color w:val="000000" w:themeColor="text1"/>
          <w:szCs w:val="22"/>
        </w:rPr>
        <w:t>Šiuo metu už renovacijos investicinių planų rengimą ir jų įgyvendinimo darbų kontrolę atsakingas projekto administratorius, kurių darbą prižiūri BETA. Tačiau</w:t>
      </w:r>
      <w:r w:rsidR="00BB1115">
        <w:rPr>
          <w:rFonts w:ascii="Times New Roman" w:hAnsi="Times New Roman"/>
          <w:color w:val="000000" w:themeColor="text1"/>
          <w:szCs w:val="22"/>
        </w:rPr>
        <w:t xml:space="preserve">, </w:t>
      </w:r>
      <w:r w:rsidR="00BB1115" w:rsidRPr="00BB1115">
        <w:rPr>
          <w:rFonts w:ascii="Times New Roman" w:hAnsi="Times New Roman"/>
          <w:color w:val="000000" w:themeColor="text1"/>
          <w:szCs w:val="22"/>
        </w:rPr>
        <w:t>valstybinio audito ataskaitos duomenimis, dažni atvejai, kai</w:t>
      </w:r>
      <w:r w:rsidR="00BB1115">
        <w:rPr>
          <w:rFonts w:ascii="Times New Roman" w:hAnsi="Times New Roman"/>
          <w:color w:val="000000" w:themeColor="text1"/>
          <w:szCs w:val="22"/>
        </w:rPr>
        <w:t xml:space="preserve"> a</w:t>
      </w:r>
      <w:r w:rsidRPr="00650EE4">
        <w:rPr>
          <w:rFonts w:ascii="Times New Roman" w:hAnsi="Times New Roman"/>
          <w:color w:val="000000" w:themeColor="text1"/>
          <w:szCs w:val="22"/>
        </w:rPr>
        <w:t>dministratoriai tinkamai neatlieka statytojo (užsakovo) pareigų</w:t>
      </w:r>
      <w:r w:rsidRPr="00650EE4">
        <w:rPr>
          <w:rStyle w:val="FootnoteReference"/>
          <w:rFonts w:ascii="Times New Roman" w:hAnsi="Times New Roman"/>
          <w:color w:val="000000" w:themeColor="text1"/>
          <w:szCs w:val="22"/>
        </w:rPr>
        <w:footnoteReference w:id="62"/>
      </w:r>
      <w:r w:rsidRPr="00650EE4">
        <w:rPr>
          <w:rFonts w:ascii="Times New Roman" w:hAnsi="Times New Roman"/>
          <w:color w:val="000000" w:themeColor="text1"/>
          <w:szCs w:val="22"/>
        </w:rPr>
        <w:t>.</w:t>
      </w:r>
    </w:p>
    <w:p w14:paraId="449739E6" w14:textId="77777777" w:rsidR="0052232A" w:rsidRPr="00650EE4" w:rsidRDefault="0052232A" w:rsidP="0052232A">
      <w:pPr>
        <w:jc w:val="both"/>
        <w:rPr>
          <w:rFonts w:ascii="Times New Roman" w:hAnsi="Times New Roman"/>
          <w:color w:val="000000" w:themeColor="text1"/>
          <w:szCs w:val="22"/>
        </w:rPr>
      </w:pPr>
    </w:p>
    <w:p w14:paraId="39FA49C7" w14:textId="24084D76" w:rsidR="005A0A11" w:rsidRDefault="005A0A11" w:rsidP="00BB1115">
      <w:pPr>
        <w:jc w:val="both"/>
        <w:rPr>
          <w:rFonts w:ascii="Times New Roman" w:hAnsi="Times New Roman"/>
          <w:color w:val="000000" w:themeColor="text1"/>
          <w:szCs w:val="22"/>
        </w:rPr>
      </w:pPr>
      <w:r w:rsidRPr="00650EE4">
        <w:rPr>
          <w:rFonts w:ascii="Times New Roman" w:hAnsi="Times New Roman"/>
          <w:color w:val="000000" w:themeColor="text1"/>
          <w:szCs w:val="22"/>
        </w:rPr>
        <w:t>Atitinkamai, siekiant, kad daugiabučių namų modernizavimo investicijų planai būtų parengiami kokybiškai, o darbai būtų vykdomi be trūkumų ir laikantis investicijų plano, turėtų būti numatytos priemonės, didinančios projektų administratorių kompetenciją, vykdant pavestas funkcijas arba numatant papildomas išorines kontrolės priemones: techninio prižiūrėtojų skyrimą, pat</w:t>
      </w:r>
      <w:r w:rsidR="00BB1115">
        <w:rPr>
          <w:rFonts w:ascii="Times New Roman" w:hAnsi="Times New Roman"/>
          <w:color w:val="000000" w:themeColor="text1"/>
          <w:szCs w:val="22"/>
        </w:rPr>
        <w:t xml:space="preserve">ikrinimus statybvietėse ir pan. </w:t>
      </w:r>
      <w:r w:rsidRPr="00650EE4">
        <w:rPr>
          <w:rFonts w:ascii="Times New Roman" w:hAnsi="Times New Roman"/>
          <w:color w:val="000000" w:themeColor="text1"/>
          <w:szCs w:val="22"/>
        </w:rPr>
        <w:t>Prie šios priemonės įgyvendinimo turėtų prisidėti Kompetencijų centro įkūrimas (P1</w:t>
      </w:r>
      <w:r w:rsidR="00416E8E" w:rsidRPr="00650EE4">
        <w:rPr>
          <w:rFonts w:ascii="Times New Roman" w:hAnsi="Times New Roman"/>
          <w:color w:val="000000" w:themeColor="text1"/>
          <w:szCs w:val="22"/>
        </w:rPr>
        <w:t>9</w:t>
      </w:r>
      <w:r w:rsidRPr="00650EE4">
        <w:rPr>
          <w:rFonts w:ascii="Times New Roman" w:hAnsi="Times New Roman"/>
          <w:color w:val="000000" w:themeColor="text1"/>
          <w:szCs w:val="22"/>
        </w:rPr>
        <w:t xml:space="preserve"> priemonė), kuris tiek teiktų konsultacinę pagalbą, tiek rengtų tipinius dokumentus ir jų pildymo nurodymus.</w:t>
      </w:r>
    </w:p>
    <w:p w14:paraId="36E9AAF3" w14:textId="77777777" w:rsidR="00CB5533" w:rsidRPr="00650EE4" w:rsidRDefault="00CB5533" w:rsidP="00BB1115">
      <w:pPr>
        <w:jc w:val="both"/>
        <w:rPr>
          <w:rFonts w:ascii="Times New Roman" w:hAnsi="Times New Roman"/>
          <w:color w:val="000000" w:themeColor="text1"/>
          <w:szCs w:val="22"/>
        </w:rPr>
      </w:pPr>
    </w:p>
    <w:tbl>
      <w:tblPr>
        <w:tblStyle w:val="TableGrid"/>
        <w:tblW w:w="10203"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3114"/>
        <w:gridCol w:w="7089"/>
      </w:tblGrid>
      <w:tr w:rsidR="00CB5533" w:rsidRPr="00650EE4" w14:paraId="5FFEBD5B" w14:textId="77777777" w:rsidTr="00910123">
        <w:trPr>
          <w:trHeight w:val="55"/>
        </w:trPr>
        <w:tc>
          <w:tcPr>
            <w:tcW w:w="3114" w:type="dxa"/>
          </w:tcPr>
          <w:p w14:paraId="37CD0CE8"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Sprendžiama problema</w:t>
            </w:r>
          </w:p>
        </w:tc>
        <w:tc>
          <w:tcPr>
            <w:tcW w:w="7089" w:type="dxa"/>
          </w:tcPr>
          <w:p w14:paraId="5074DF4C"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B17. Nekokybiški investicijų planai</w:t>
            </w:r>
          </w:p>
          <w:p w14:paraId="2EA7373C"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B18. Nepakankama renovacijos įgyvendinimo kokybės kontrolė</w:t>
            </w:r>
          </w:p>
        </w:tc>
      </w:tr>
      <w:tr w:rsidR="00CB5533" w:rsidRPr="00650EE4" w14:paraId="6266B732" w14:textId="77777777" w:rsidTr="00910123">
        <w:trPr>
          <w:trHeight w:val="55"/>
        </w:trPr>
        <w:tc>
          <w:tcPr>
            <w:tcW w:w="3114" w:type="dxa"/>
          </w:tcPr>
          <w:p w14:paraId="4AB32D9D"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Siūloma priemonė</w:t>
            </w:r>
          </w:p>
        </w:tc>
        <w:tc>
          <w:tcPr>
            <w:tcW w:w="7089" w:type="dxa"/>
          </w:tcPr>
          <w:p w14:paraId="56E9CCE8"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 xml:space="preserve">Techninės priežiūros atsakomybės koncentravimas </w:t>
            </w:r>
          </w:p>
        </w:tc>
      </w:tr>
      <w:tr w:rsidR="00CB5533" w:rsidRPr="00650EE4" w14:paraId="5E83DE4C" w14:textId="77777777" w:rsidTr="00910123">
        <w:trPr>
          <w:trHeight w:val="55"/>
        </w:trPr>
        <w:tc>
          <w:tcPr>
            <w:tcW w:w="3114" w:type="dxa"/>
          </w:tcPr>
          <w:p w14:paraId="198EEDFB"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Prioritetas</w:t>
            </w:r>
          </w:p>
        </w:tc>
        <w:tc>
          <w:tcPr>
            <w:tcW w:w="7089" w:type="dxa"/>
          </w:tcPr>
          <w:p w14:paraId="1B4C707B"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Aukštas</w:t>
            </w:r>
          </w:p>
        </w:tc>
      </w:tr>
      <w:tr w:rsidR="00CB5533" w:rsidRPr="00650EE4" w14:paraId="65061F3F" w14:textId="77777777" w:rsidTr="00910123">
        <w:trPr>
          <w:trHeight w:val="122"/>
        </w:trPr>
        <w:tc>
          <w:tcPr>
            <w:tcW w:w="3114" w:type="dxa"/>
          </w:tcPr>
          <w:p w14:paraId="03F3EB9F" w14:textId="77777777" w:rsidR="00CB5533" w:rsidRPr="00650EE4" w:rsidRDefault="00CB5533" w:rsidP="00910123">
            <w:pPr>
              <w:spacing w:after="60"/>
              <w:rPr>
                <w:rFonts w:ascii="Times New Roman" w:hAnsi="Times New Roman"/>
                <w:b/>
                <w:bCs/>
                <w:szCs w:val="22"/>
              </w:rPr>
            </w:pPr>
            <w:r w:rsidRPr="00650EE4">
              <w:rPr>
                <w:rFonts w:ascii="Times New Roman" w:hAnsi="Times New Roman"/>
                <w:b/>
                <w:bCs/>
                <w:szCs w:val="22"/>
              </w:rPr>
              <w:t>Įgyvendinimo perspektyva</w:t>
            </w:r>
          </w:p>
        </w:tc>
        <w:tc>
          <w:tcPr>
            <w:tcW w:w="7089" w:type="dxa"/>
          </w:tcPr>
          <w:p w14:paraId="3FA2D65A" w14:textId="77777777" w:rsidR="00CB5533" w:rsidRPr="00650EE4" w:rsidRDefault="00CB5533" w:rsidP="00910123">
            <w:pPr>
              <w:spacing w:after="60"/>
              <w:rPr>
                <w:rFonts w:ascii="Times New Roman" w:hAnsi="Times New Roman"/>
                <w:szCs w:val="22"/>
                <w:lang w:eastAsia="lt-LT"/>
              </w:rPr>
            </w:pPr>
            <w:r w:rsidRPr="00650EE4">
              <w:rPr>
                <w:rFonts w:ascii="Times New Roman" w:hAnsi="Times New Roman"/>
                <w:szCs w:val="22"/>
                <w:lang w:eastAsia="lt-LT"/>
              </w:rPr>
              <w:t>Vidutinis laikotarpis</w:t>
            </w:r>
          </w:p>
        </w:tc>
      </w:tr>
    </w:tbl>
    <w:p w14:paraId="3F89290A" w14:textId="77777777" w:rsidR="008D442E" w:rsidRPr="00650EE4" w:rsidRDefault="008D442E" w:rsidP="0052232A">
      <w:pPr>
        <w:pStyle w:val="BodyText"/>
        <w:rPr>
          <w:lang w:val="lt-LT"/>
        </w:rPr>
      </w:pPr>
    </w:p>
    <w:p w14:paraId="1E784969" w14:textId="6B6AFFB2" w:rsidR="002129F2" w:rsidRPr="00650EE4" w:rsidRDefault="00DD1817" w:rsidP="001D07DB">
      <w:pPr>
        <w:pStyle w:val="Antrastes2"/>
        <w:numPr>
          <w:ilvl w:val="1"/>
          <w:numId w:val="4"/>
        </w:numPr>
        <w:pBdr>
          <w:bottom w:val="single" w:sz="4" w:space="1" w:color="auto"/>
        </w:pBdr>
        <w:spacing w:before="240"/>
        <w:ind w:left="576" w:hanging="576"/>
        <w:jc w:val="both"/>
        <w:rPr>
          <w:rFonts w:ascii="Times New Roman" w:hAnsi="Times New Roman"/>
          <w:color w:val="auto"/>
          <w:sz w:val="24"/>
          <w:szCs w:val="24"/>
          <w:lang w:val="lt-LT"/>
        </w:rPr>
      </w:pPr>
      <w:bookmarkStart w:id="216" w:name="_Toc59107578"/>
      <w:r w:rsidRPr="00650EE4">
        <w:rPr>
          <w:rFonts w:ascii="Times New Roman" w:hAnsi="Times New Roman"/>
          <w:color w:val="auto"/>
          <w:sz w:val="24"/>
          <w:szCs w:val="24"/>
          <w:lang w:val="lt-LT"/>
        </w:rPr>
        <w:t>S</w:t>
      </w:r>
      <w:r w:rsidR="002129F2" w:rsidRPr="00650EE4">
        <w:rPr>
          <w:rFonts w:ascii="Times New Roman" w:hAnsi="Times New Roman"/>
          <w:color w:val="auto"/>
          <w:sz w:val="24"/>
          <w:szCs w:val="24"/>
          <w:lang w:val="lt-LT"/>
        </w:rPr>
        <w:t xml:space="preserve">trategijos įgyvendinimo </w:t>
      </w:r>
      <w:r w:rsidRPr="00650EE4">
        <w:rPr>
          <w:rFonts w:ascii="Times New Roman" w:hAnsi="Times New Roman"/>
          <w:color w:val="auto"/>
          <w:sz w:val="24"/>
          <w:szCs w:val="24"/>
          <w:lang w:val="lt-LT"/>
        </w:rPr>
        <w:t>prioritetai</w:t>
      </w:r>
      <w:bookmarkEnd w:id="216"/>
    </w:p>
    <w:p w14:paraId="758CD416" w14:textId="4CE6D983" w:rsidR="00D113B8" w:rsidRPr="00650EE4" w:rsidRDefault="00D113B8" w:rsidP="00AE63B2">
      <w:pPr>
        <w:jc w:val="both"/>
        <w:rPr>
          <w:rFonts w:ascii="Times New Roman" w:hAnsi="Times New Roman"/>
          <w:color w:val="auto"/>
          <w:szCs w:val="22"/>
        </w:rPr>
      </w:pPr>
      <w:r w:rsidRPr="00650EE4">
        <w:rPr>
          <w:rFonts w:ascii="Times New Roman" w:hAnsi="Times New Roman"/>
          <w:color w:val="auto"/>
          <w:szCs w:val="22"/>
        </w:rPr>
        <w:lastRenderedPageBreak/>
        <w:t>IRS</w:t>
      </w:r>
      <w:r w:rsidR="00825D28" w:rsidRPr="00650EE4">
        <w:rPr>
          <w:rFonts w:ascii="Times New Roman" w:hAnsi="Times New Roman"/>
          <w:color w:val="auto"/>
          <w:szCs w:val="22"/>
        </w:rPr>
        <w:t xml:space="preserve"> apima ilgą (30 metų) laikotarpį, per kurį bus ne kartą peržiūrėta ir, pagal poreikį, patikslinta</w:t>
      </w:r>
      <w:r w:rsidRPr="00650EE4">
        <w:rPr>
          <w:rFonts w:ascii="Times New Roman" w:hAnsi="Times New Roman"/>
          <w:color w:val="auto"/>
          <w:szCs w:val="22"/>
        </w:rPr>
        <w:t xml:space="preserve"> (žr. </w:t>
      </w:r>
      <w:r w:rsidR="00BB1115">
        <w:rPr>
          <w:rFonts w:ascii="Times New Roman" w:hAnsi="Times New Roman"/>
          <w:color w:val="auto"/>
          <w:szCs w:val="22"/>
        </w:rPr>
        <w:t>6</w:t>
      </w:r>
      <w:r w:rsidRPr="00650EE4">
        <w:rPr>
          <w:rFonts w:ascii="Times New Roman" w:hAnsi="Times New Roman"/>
          <w:color w:val="auto"/>
          <w:szCs w:val="22"/>
        </w:rPr>
        <w:t>.4 skyrių)</w:t>
      </w:r>
      <w:r w:rsidR="00825D28" w:rsidRPr="00650EE4">
        <w:rPr>
          <w:rFonts w:ascii="Times New Roman" w:hAnsi="Times New Roman"/>
          <w:color w:val="auto"/>
          <w:szCs w:val="22"/>
        </w:rPr>
        <w:t xml:space="preserve">. </w:t>
      </w:r>
      <w:r w:rsidRPr="00650EE4">
        <w:rPr>
          <w:rFonts w:ascii="Times New Roman" w:hAnsi="Times New Roman"/>
          <w:color w:val="auto"/>
          <w:szCs w:val="22"/>
        </w:rPr>
        <w:t xml:space="preserve">Siekiant </w:t>
      </w:r>
      <w:proofErr w:type="spellStart"/>
      <w:r w:rsidRPr="00650EE4">
        <w:rPr>
          <w:rFonts w:ascii="Times New Roman" w:hAnsi="Times New Roman"/>
          <w:color w:val="auto"/>
          <w:szCs w:val="22"/>
        </w:rPr>
        <w:t>sistemiško</w:t>
      </w:r>
      <w:proofErr w:type="spellEnd"/>
      <w:r w:rsidRPr="00650EE4">
        <w:rPr>
          <w:rFonts w:ascii="Times New Roman" w:hAnsi="Times New Roman"/>
          <w:color w:val="auto"/>
          <w:szCs w:val="22"/>
        </w:rPr>
        <w:t xml:space="preserve">, nuoseklaus ir tvaraus IRS įgyvendinimo svarbu identifikuoti prioritetinius </w:t>
      </w:r>
      <w:r w:rsidR="00BB1115">
        <w:rPr>
          <w:rFonts w:ascii="Times New Roman" w:hAnsi="Times New Roman"/>
          <w:color w:val="auto"/>
          <w:szCs w:val="22"/>
        </w:rPr>
        <w:t>p</w:t>
      </w:r>
      <w:r w:rsidRPr="00650EE4">
        <w:rPr>
          <w:rFonts w:ascii="Times New Roman" w:hAnsi="Times New Roman"/>
          <w:color w:val="auto"/>
          <w:szCs w:val="22"/>
        </w:rPr>
        <w:t>astatų fondo segmentus, tinkamai suplanuoti jų transformacijai būtinas priemones bei jų įgyvendinimui reikalingus resursus.</w:t>
      </w:r>
    </w:p>
    <w:p w14:paraId="093DF06E" w14:textId="77777777" w:rsidR="001D68B4" w:rsidRPr="00650EE4" w:rsidRDefault="001D68B4" w:rsidP="00AE63B2">
      <w:pPr>
        <w:jc w:val="both"/>
        <w:rPr>
          <w:rFonts w:ascii="Times New Roman" w:hAnsi="Times New Roman"/>
          <w:color w:val="000000" w:themeColor="text1"/>
          <w:szCs w:val="22"/>
        </w:rPr>
      </w:pPr>
    </w:p>
    <w:p w14:paraId="372D3CA8" w14:textId="71321089" w:rsidR="001A399E" w:rsidRPr="00650EE4" w:rsidRDefault="001A399E"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T</w:t>
      </w:r>
      <w:r w:rsidR="000E4F63" w:rsidRPr="00650EE4">
        <w:rPr>
          <w:rFonts w:ascii="Times New Roman" w:hAnsi="Times New Roman"/>
          <w:color w:val="000000" w:themeColor="text1"/>
          <w:szCs w:val="22"/>
        </w:rPr>
        <w:t>ie</w:t>
      </w:r>
      <w:r w:rsidRPr="00650EE4">
        <w:rPr>
          <w:rFonts w:ascii="Times New Roman" w:hAnsi="Times New Roman"/>
          <w:color w:val="000000" w:themeColor="text1"/>
          <w:szCs w:val="22"/>
        </w:rPr>
        <w:t>k s</w:t>
      </w:r>
      <w:r w:rsidR="00FD2E79" w:rsidRPr="00650EE4">
        <w:rPr>
          <w:rFonts w:ascii="Times New Roman" w:hAnsi="Times New Roman"/>
          <w:color w:val="000000" w:themeColor="text1"/>
          <w:szCs w:val="22"/>
        </w:rPr>
        <w:t>trateginiai IRS tikslai</w:t>
      </w:r>
      <w:r w:rsidRPr="00650EE4">
        <w:rPr>
          <w:rFonts w:ascii="Times New Roman" w:hAnsi="Times New Roman"/>
          <w:color w:val="000000" w:themeColor="text1"/>
          <w:szCs w:val="22"/>
        </w:rPr>
        <w:t>, tiek</w:t>
      </w:r>
      <w:r w:rsidR="00D113B8" w:rsidRPr="00650EE4">
        <w:rPr>
          <w:rFonts w:ascii="Times New Roman" w:hAnsi="Times New Roman"/>
          <w:color w:val="000000" w:themeColor="text1"/>
          <w:szCs w:val="22"/>
        </w:rPr>
        <w:t xml:space="preserve"> jiems pasiekti </w:t>
      </w:r>
      <w:r w:rsidRPr="00650EE4">
        <w:rPr>
          <w:rFonts w:ascii="Times New Roman" w:hAnsi="Times New Roman"/>
          <w:color w:val="000000" w:themeColor="text1"/>
          <w:szCs w:val="22"/>
        </w:rPr>
        <w:t xml:space="preserve">naudojamos </w:t>
      </w:r>
      <w:r w:rsidR="00D113B8" w:rsidRPr="00650EE4">
        <w:rPr>
          <w:rFonts w:ascii="Times New Roman" w:hAnsi="Times New Roman"/>
          <w:color w:val="000000" w:themeColor="text1"/>
          <w:szCs w:val="22"/>
        </w:rPr>
        <w:t xml:space="preserve">renovacijos priemonės </w:t>
      </w:r>
      <w:r w:rsidR="00F94721" w:rsidRPr="00650EE4">
        <w:rPr>
          <w:rFonts w:ascii="Times New Roman" w:hAnsi="Times New Roman"/>
          <w:color w:val="000000" w:themeColor="text1"/>
          <w:szCs w:val="22"/>
        </w:rPr>
        <w:t xml:space="preserve">gali būti </w:t>
      </w:r>
      <w:r w:rsidRPr="00650EE4">
        <w:rPr>
          <w:rFonts w:ascii="Times New Roman" w:hAnsi="Times New Roman"/>
          <w:color w:val="000000" w:themeColor="text1"/>
          <w:szCs w:val="22"/>
        </w:rPr>
        <w:t xml:space="preserve">skirstomos į </w:t>
      </w:r>
      <w:r w:rsidR="00D113B8" w:rsidRPr="00650EE4">
        <w:rPr>
          <w:rFonts w:ascii="Times New Roman" w:hAnsi="Times New Roman"/>
          <w:color w:val="000000" w:themeColor="text1"/>
          <w:szCs w:val="22"/>
        </w:rPr>
        <w:t xml:space="preserve"> dvi pagrindines grupes: </w:t>
      </w:r>
    </w:p>
    <w:p w14:paraId="4E79329C" w14:textId="4F335CB7" w:rsidR="001A399E" w:rsidRPr="00650EE4" w:rsidRDefault="00BB1115" w:rsidP="00BD4925">
      <w:pPr>
        <w:pStyle w:val="ListParagraph"/>
        <w:numPr>
          <w:ilvl w:val="0"/>
          <w:numId w:val="72"/>
        </w:numPr>
        <w:spacing w:before="120" w:after="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e</w:t>
      </w:r>
      <w:r w:rsidR="001A399E" w:rsidRPr="00650EE4">
        <w:rPr>
          <w:rFonts w:ascii="Times New Roman" w:hAnsi="Times New Roman"/>
          <w:color w:val="000000" w:themeColor="text1"/>
          <w:szCs w:val="22"/>
          <w:lang w:val="lt-LT"/>
        </w:rPr>
        <w:t>nerginio</w:t>
      </w:r>
      <w:r w:rsidR="00D113B8" w:rsidRPr="00650EE4">
        <w:rPr>
          <w:rFonts w:ascii="Times New Roman" w:hAnsi="Times New Roman"/>
          <w:color w:val="000000" w:themeColor="text1"/>
          <w:szCs w:val="22"/>
          <w:lang w:val="lt-LT"/>
        </w:rPr>
        <w:t xml:space="preserve"> ef</w:t>
      </w:r>
      <w:r w:rsidR="001A399E" w:rsidRPr="00650EE4">
        <w:rPr>
          <w:rFonts w:ascii="Times New Roman" w:hAnsi="Times New Roman"/>
          <w:color w:val="000000" w:themeColor="text1"/>
          <w:szCs w:val="22"/>
          <w:lang w:val="lt-LT"/>
        </w:rPr>
        <w:t>ektyvumo didinimas;</w:t>
      </w:r>
    </w:p>
    <w:p w14:paraId="430F1078" w14:textId="6B10359F" w:rsidR="00D113B8" w:rsidRPr="00650EE4" w:rsidRDefault="001A399E" w:rsidP="00BD4925">
      <w:pPr>
        <w:pStyle w:val="ListParagraph"/>
        <w:numPr>
          <w:ilvl w:val="0"/>
          <w:numId w:val="72"/>
        </w:numPr>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AEI panaudojimo didinimas (iškastinio kuro mažinimas). </w:t>
      </w:r>
    </w:p>
    <w:p w14:paraId="7A69C1F9" w14:textId="77777777" w:rsidR="00D113B8" w:rsidRPr="00650EE4" w:rsidRDefault="00D113B8" w:rsidP="00FD2E79">
      <w:pPr>
        <w:spacing w:line="240" w:lineRule="auto"/>
        <w:jc w:val="both"/>
        <w:rPr>
          <w:rFonts w:ascii="Times New Roman" w:hAnsi="Times New Roman"/>
          <w:color w:val="000000" w:themeColor="text1"/>
          <w:szCs w:val="22"/>
        </w:rPr>
      </w:pPr>
    </w:p>
    <w:p w14:paraId="03F56853" w14:textId="77777777" w:rsidR="00E723D0" w:rsidRDefault="001A399E"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Siekiant identifikuoti prioritetines pastatų grupes</w:t>
      </w:r>
      <w:r w:rsidR="000C7BFA" w:rsidRPr="00650EE4">
        <w:rPr>
          <w:rFonts w:ascii="Times New Roman" w:hAnsi="Times New Roman"/>
          <w:color w:val="000000" w:themeColor="text1"/>
          <w:szCs w:val="22"/>
        </w:rPr>
        <w:t>,</w:t>
      </w:r>
      <w:r w:rsidRPr="00650EE4">
        <w:rPr>
          <w:rFonts w:ascii="Times New Roman" w:hAnsi="Times New Roman"/>
          <w:color w:val="000000" w:themeColor="text1"/>
          <w:szCs w:val="22"/>
        </w:rPr>
        <w:t xml:space="preserve"> a</w:t>
      </w:r>
      <w:r w:rsidR="00FD2E79" w:rsidRPr="00650EE4">
        <w:rPr>
          <w:rFonts w:ascii="Times New Roman" w:hAnsi="Times New Roman"/>
          <w:color w:val="000000" w:themeColor="text1"/>
          <w:szCs w:val="22"/>
        </w:rPr>
        <w:t>titinkamai gali būti</w:t>
      </w:r>
      <w:r w:rsidRPr="00650EE4">
        <w:rPr>
          <w:rFonts w:ascii="Times New Roman" w:hAnsi="Times New Roman"/>
          <w:color w:val="000000" w:themeColor="text1"/>
          <w:szCs w:val="22"/>
        </w:rPr>
        <w:t xml:space="preserve"> suskirstytas ir pastatų fondas. Paveiksle žemiau pateikiamas </w:t>
      </w:r>
      <w:r w:rsidR="00BB1115">
        <w:rPr>
          <w:rFonts w:ascii="Times New Roman" w:hAnsi="Times New Roman"/>
          <w:color w:val="000000" w:themeColor="text1"/>
          <w:szCs w:val="22"/>
        </w:rPr>
        <w:t>p</w:t>
      </w:r>
      <w:r w:rsidR="00FD2E79" w:rsidRPr="00650EE4">
        <w:rPr>
          <w:rFonts w:ascii="Times New Roman" w:hAnsi="Times New Roman"/>
          <w:color w:val="000000" w:themeColor="text1"/>
          <w:szCs w:val="22"/>
        </w:rPr>
        <w:t>astatų fondo pirminės energijos vartojimas pagal energinį efektyvumą (nuo blogiausio iki geriausio)</w:t>
      </w:r>
      <w:r w:rsidR="00B93B01" w:rsidRPr="00650EE4">
        <w:rPr>
          <w:rFonts w:ascii="Times New Roman" w:hAnsi="Times New Roman"/>
          <w:color w:val="000000" w:themeColor="text1"/>
          <w:szCs w:val="22"/>
        </w:rPr>
        <w:t xml:space="preserve"> ir šiluminės energijos šaltinį</w:t>
      </w:r>
      <w:r w:rsidR="000C7BFA" w:rsidRPr="00650EE4">
        <w:rPr>
          <w:rFonts w:ascii="Times New Roman" w:hAnsi="Times New Roman"/>
          <w:color w:val="000000" w:themeColor="text1"/>
          <w:szCs w:val="22"/>
        </w:rPr>
        <w:t xml:space="preserve"> (nuo didžiausių iki mažiausių</w:t>
      </w:r>
      <w:r w:rsidR="00FD2E79" w:rsidRPr="00650EE4">
        <w:rPr>
          <w:rFonts w:ascii="Times New Roman" w:hAnsi="Times New Roman"/>
          <w:color w:val="000000" w:themeColor="text1"/>
          <w:szCs w:val="22"/>
        </w:rPr>
        <w:t xml:space="preserve"> CO</w:t>
      </w:r>
      <w:r w:rsidR="00FD2E79" w:rsidRPr="00650EE4">
        <w:rPr>
          <w:rFonts w:ascii="Times New Roman" w:hAnsi="Times New Roman"/>
          <w:color w:val="000000" w:themeColor="text1"/>
          <w:szCs w:val="22"/>
          <w:vertAlign w:val="subscript"/>
        </w:rPr>
        <w:t>2</w:t>
      </w:r>
      <w:r w:rsidR="00FD2E79" w:rsidRPr="00650EE4">
        <w:rPr>
          <w:rFonts w:ascii="Times New Roman" w:hAnsi="Times New Roman"/>
          <w:color w:val="000000" w:themeColor="text1"/>
          <w:szCs w:val="22"/>
        </w:rPr>
        <w:t xml:space="preserve"> emisijų</w:t>
      </w:r>
      <w:r w:rsidR="000C7BFA" w:rsidRPr="00650EE4">
        <w:rPr>
          <w:rFonts w:ascii="Times New Roman" w:hAnsi="Times New Roman"/>
          <w:color w:val="000000" w:themeColor="text1"/>
          <w:szCs w:val="22"/>
        </w:rPr>
        <w:t xml:space="preserve"> v</w:t>
      </w:r>
      <w:r w:rsidR="00512894" w:rsidRPr="00650EE4">
        <w:rPr>
          <w:rFonts w:ascii="Times New Roman" w:hAnsi="Times New Roman"/>
          <w:color w:val="000000" w:themeColor="text1"/>
          <w:szCs w:val="22"/>
        </w:rPr>
        <w:t>ienam pagamintos energijos vnt.).</w:t>
      </w:r>
    </w:p>
    <w:p w14:paraId="3BCF8F70" w14:textId="265D7F0B" w:rsidR="00E723D0" w:rsidRDefault="00825D28" w:rsidP="00C63DF3">
      <w:pPr>
        <w:spacing w:line="240" w:lineRule="auto"/>
        <w:jc w:val="both"/>
        <w:rPr>
          <w:rFonts w:ascii="Times New Roman" w:eastAsiaTheme="minorHAnsi" w:hAnsi="Times New Roman"/>
          <w:bCs/>
          <w:i/>
          <w:color w:val="000000" w:themeColor="text1"/>
          <w:sz w:val="20"/>
          <w:szCs w:val="20"/>
        </w:rPr>
      </w:pPr>
      <w:r w:rsidRPr="00650EE4">
        <w:rPr>
          <w:rFonts w:ascii="Times New Roman" w:hAnsi="Times New Roman"/>
          <w:color w:val="000000" w:themeColor="text1"/>
          <w:szCs w:val="22"/>
        </w:rPr>
        <w:tab/>
      </w:r>
    </w:p>
    <w:p w14:paraId="340A8E6D" w14:textId="0FB8B39F" w:rsidR="00512894" w:rsidRPr="00650EE4" w:rsidRDefault="00512894" w:rsidP="00512894">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17" w:name="_Toc59094279"/>
      <w:r w:rsidR="00F25C65">
        <w:t>30</w:t>
      </w:r>
      <w:r w:rsidRPr="00650EE4">
        <w:rPr>
          <w:noProof w:val="0"/>
        </w:rPr>
        <w:fldChar w:fldCharType="end"/>
      </w:r>
      <w:r w:rsidRPr="00650EE4">
        <w:rPr>
          <w:noProof w:val="0"/>
        </w:rPr>
        <w:t xml:space="preserve"> paveikslas. Pirminės energijos vartojimas pagal energinį efektyvumą ir šilumos gamybos šaltinį (</w:t>
      </w:r>
      <w:proofErr w:type="spellStart"/>
      <w:r w:rsidRPr="00650EE4">
        <w:rPr>
          <w:noProof w:val="0"/>
        </w:rPr>
        <w:t>GWh</w:t>
      </w:r>
      <w:proofErr w:type="spellEnd"/>
      <w:r w:rsidRPr="00650EE4">
        <w:rPr>
          <w:noProof w:val="0"/>
        </w:rPr>
        <w:t>/metus)</w:t>
      </w:r>
      <w:bookmarkEnd w:id="217"/>
    </w:p>
    <w:p w14:paraId="4A19DCA3" w14:textId="6159C053" w:rsidR="007B103B" w:rsidRPr="00650EE4" w:rsidRDefault="000E4F63" w:rsidP="00FD2E79">
      <w:pPr>
        <w:spacing w:line="240" w:lineRule="auto"/>
        <w:jc w:val="both"/>
        <w:rPr>
          <w:rFonts w:ascii="Times New Roman" w:hAnsi="Times New Roman"/>
          <w:color w:val="000000" w:themeColor="text1"/>
          <w:szCs w:val="22"/>
        </w:rPr>
      </w:pPr>
      <w:r w:rsidRPr="00650EE4">
        <w:rPr>
          <w:noProof/>
          <w:lang w:eastAsia="lt-LT"/>
        </w:rPr>
        <w:drawing>
          <wp:inline distT="0" distB="0" distL="0" distR="0" wp14:anchorId="4B340FB0" wp14:editId="4D0C3EC2">
            <wp:extent cx="5314950" cy="3986213"/>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317868" cy="3988401"/>
                    </a:xfrm>
                    <a:prstGeom prst="rect">
                      <a:avLst/>
                    </a:prstGeom>
                  </pic:spPr>
                </pic:pic>
              </a:graphicData>
            </a:graphic>
          </wp:inline>
        </w:drawing>
      </w:r>
    </w:p>
    <w:p w14:paraId="5A80AF76" w14:textId="3CA9A87B" w:rsidR="000E4F63" w:rsidRPr="00650EE4" w:rsidRDefault="000E4F63" w:rsidP="000E4F63">
      <w:pPr>
        <w:pStyle w:val="TESlentelspavadinimas"/>
        <w:rPr>
          <w:noProof w:val="0"/>
        </w:rPr>
      </w:pPr>
      <w:r w:rsidRPr="00650EE4">
        <w:rPr>
          <w:noProof w:val="0"/>
        </w:rPr>
        <w:t xml:space="preserve">Šaltinis: </w:t>
      </w:r>
      <w:r w:rsidR="000236DB" w:rsidRPr="00650EE4">
        <w:rPr>
          <w:noProof w:val="0"/>
        </w:rPr>
        <w:t>S</w:t>
      </w:r>
      <w:r w:rsidRPr="00650EE4">
        <w:rPr>
          <w:noProof w:val="0"/>
        </w:rPr>
        <w:t xml:space="preserve">tudijos </w:t>
      </w:r>
      <w:r w:rsidR="002616CA" w:rsidRPr="00874EAF">
        <w:rPr>
          <w:iCs/>
          <w:color w:val="auto"/>
        </w:rPr>
        <w:t>Lietuvos ilgalaikei renovacijos strategijai parengti</w:t>
      </w:r>
      <w:r w:rsidR="002616CA" w:rsidRPr="00650EE4">
        <w:rPr>
          <w:noProof w:val="0"/>
        </w:rPr>
        <w:t xml:space="preserve"> </w:t>
      </w:r>
      <w:r w:rsidRPr="00650EE4">
        <w:rPr>
          <w:noProof w:val="0"/>
        </w:rPr>
        <w:t>autoriai</w:t>
      </w:r>
    </w:p>
    <w:p w14:paraId="685F22F5" w14:textId="2685527B" w:rsidR="007B103B" w:rsidRPr="00650EE4" w:rsidRDefault="000E4F63"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Apibendrinant paveiksle aukš</w:t>
      </w:r>
      <w:r w:rsidR="005B5CA8" w:rsidRPr="00650EE4">
        <w:rPr>
          <w:rFonts w:ascii="Times New Roman" w:hAnsi="Times New Roman"/>
          <w:color w:val="000000" w:themeColor="text1"/>
          <w:szCs w:val="22"/>
        </w:rPr>
        <w:t>č</w:t>
      </w:r>
      <w:r w:rsidRPr="00650EE4">
        <w:rPr>
          <w:rFonts w:ascii="Times New Roman" w:hAnsi="Times New Roman"/>
          <w:color w:val="000000" w:themeColor="text1"/>
          <w:szCs w:val="22"/>
        </w:rPr>
        <w:t>iau pateiktus duo</w:t>
      </w:r>
      <w:r w:rsidR="005B5CA8" w:rsidRPr="00650EE4">
        <w:rPr>
          <w:rFonts w:ascii="Times New Roman" w:hAnsi="Times New Roman"/>
          <w:color w:val="000000" w:themeColor="text1"/>
          <w:szCs w:val="22"/>
        </w:rPr>
        <w:t>menis</w:t>
      </w:r>
      <w:r w:rsidR="00F70092" w:rsidRPr="00650EE4">
        <w:rPr>
          <w:rFonts w:ascii="Times New Roman" w:hAnsi="Times New Roman"/>
          <w:color w:val="000000" w:themeColor="text1"/>
          <w:szCs w:val="22"/>
        </w:rPr>
        <w:t>,</w:t>
      </w:r>
      <w:r w:rsidR="005B5CA8" w:rsidRPr="00650EE4">
        <w:rPr>
          <w:rFonts w:ascii="Times New Roman" w:hAnsi="Times New Roman"/>
          <w:color w:val="000000" w:themeColor="text1"/>
          <w:szCs w:val="22"/>
        </w:rPr>
        <w:t xml:space="preserve"> galima identifikuoti prioritetines pastatų fondo grupes.</w:t>
      </w:r>
    </w:p>
    <w:p w14:paraId="0BF84525" w14:textId="77777777" w:rsidR="008D442E" w:rsidRPr="00650EE4" w:rsidRDefault="008D442E" w:rsidP="00FD2E79">
      <w:pPr>
        <w:spacing w:line="240" w:lineRule="auto"/>
        <w:jc w:val="both"/>
        <w:rPr>
          <w:rFonts w:ascii="Times New Roman" w:hAnsi="Times New Roman"/>
          <w:color w:val="000000" w:themeColor="text1"/>
          <w:szCs w:val="22"/>
        </w:rPr>
      </w:pPr>
    </w:p>
    <w:p w14:paraId="7F080F2E" w14:textId="0B736983" w:rsidR="005B5CA8" w:rsidRPr="00650EE4" w:rsidRDefault="005B5CA8" w:rsidP="00FD2E79">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Aukštas prioritetas:</w:t>
      </w:r>
    </w:p>
    <w:p w14:paraId="70A390A9" w14:textId="08911F02" w:rsidR="005B5CA8"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ž</w:t>
      </w:r>
      <w:r w:rsidR="000E4F63" w:rsidRPr="00650EE4">
        <w:rPr>
          <w:rFonts w:ascii="Times New Roman" w:hAnsi="Times New Roman"/>
          <w:color w:val="000000" w:themeColor="text1"/>
          <w:szCs w:val="22"/>
          <w:lang w:val="lt-LT"/>
        </w:rPr>
        <w:t xml:space="preserve">emo energinio efektyvumo (ENK ≤D) pastatai naudojantys iškastinį kurą </w:t>
      </w:r>
      <w:r w:rsidR="009A1141" w:rsidRPr="00650EE4">
        <w:rPr>
          <w:rFonts w:ascii="Times New Roman" w:hAnsi="Times New Roman"/>
          <w:color w:val="000000" w:themeColor="text1"/>
          <w:szCs w:val="22"/>
          <w:lang w:val="lt-LT"/>
        </w:rPr>
        <w:t xml:space="preserve">(9,9 </w:t>
      </w:r>
      <w:proofErr w:type="spellStart"/>
      <w:r w:rsidR="009A1141" w:rsidRPr="00650EE4">
        <w:rPr>
          <w:rFonts w:ascii="Times New Roman" w:hAnsi="Times New Roman"/>
          <w:color w:val="000000" w:themeColor="text1"/>
          <w:szCs w:val="22"/>
          <w:lang w:val="lt-LT"/>
        </w:rPr>
        <w:t>TWh</w:t>
      </w:r>
      <w:proofErr w:type="spellEnd"/>
      <w:r w:rsidR="009A1141" w:rsidRPr="00650EE4">
        <w:rPr>
          <w:rFonts w:ascii="Times New Roman" w:hAnsi="Times New Roman"/>
          <w:color w:val="000000" w:themeColor="text1"/>
          <w:szCs w:val="22"/>
          <w:lang w:val="lt-LT"/>
        </w:rPr>
        <w:t>), kuriems taikytinos tiek EE tiek AEI priemonės</w:t>
      </w:r>
      <w:r>
        <w:rPr>
          <w:rFonts w:ascii="Times New Roman" w:hAnsi="Times New Roman"/>
          <w:color w:val="000000" w:themeColor="text1"/>
          <w:szCs w:val="22"/>
          <w:lang w:val="lt-LT"/>
        </w:rPr>
        <w:t>;</w:t>
      </w:r>
    </w:p>
    <w:p w14:paraId="64D3DAA7" w14:textId="425F3E85" w:rsidR="000E4F63" w:rsidRPr="00650EE4" w:rsidRDefault="00BB1115" w:rsidP="00BD4925">
      <w:pPr>
        <w:pStyle w:val="ListParagraph"/>
        <w:numPr>
          <w:ilvl w:val="0"/>
          <w:numId w:val="72"/>
        </w:numPr>
        <w:spacing w:before="6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ž</w:t>
      </w:r>
      <w:r w:rsidR="000E4F63" w:rsidRPr="00650EE4">
        <w:rPr>
          <w:rFonts w:ascii="Times New Roman" w:hAnsi="Times New Roman"/>
          <w:color w:val="000000" w:themeColor="text1"/>
          <w:szCs w:val="22"/>
          <w:lang w:val="lt-LT"/>
        </w:rPr>
        <w:t>emo energinio efektyvumo pastatai</w:t>
      </w:r>
      <w:r w:rsidR="00D60348" w:rsidRPr="00650EE4">
        <w:rPr>
          <w:rFonts w:ascii="Times New Roman" w:hAnsi="Times New Roman"/>
          <w:color w:val="000000" w:themeColor="text1"/>
          <w:szCs w:val="22"/>
          <w:lang w:val="lt-LT"/>
        </w:rPr>
        <w:t>, ne</w:t>
      </w:r>
      <w:r w:rsidR="005B5CA8" w:rsidRPr="00650EE4">
        <w:rPr>
          <w:rFonts w:ascii="Times New Roman" w:hAnsi="Times New Roman"/>
          <w:color w:val="000000" w:themeColor="text1"/>
          <w:szCs w:val="22"/>
          <w:lang w:val="lt-LT"/>
        </w:rPr>
        <w:t>naudojantys iškastinio kuro</w:t>
      </w:r>
      <w:r w:rsidR="00160B4C" w:rsidRPr="00650EE4">
        <w:rPr>
          <w:rStyle w:val="FootnoteReference"/>
          <w:rFonts w:ascii="Times New Roman" w:hAnsi="Times New Roman"/>
          <w:color w:val="000000" w:themeColor="text1"/>
          <w:szCs w:val="22"/>
          <w:lang w:val="lt-LT"/>
        </w:rPr>
        <w:footnoteReference w:id="63"/>
      </w:r>
      <w:r w:rsidR="000E4F63" w:rsidRPr="00650EE4">
        <w:rPr>
          <w:rFonts w:ascii="Times New Roman" w:hAnsi="Times New Roman"/>
          <w:color w:val="000000" w:themeColor="text1"/>
          <w:szCs w:val="22"/>
          <w:lang w:val="lt-LT"/>
        </w:rPr>
        <w:t xml:space="preserve"> (21,7 </w:t>
      </w:r>
      <w:proofErr w:type="spellStart"/>
      <w:r w:rsidR="000E4F63" w:rsidRPr="00650EE4">
        <w:rPr>
          <w:rFonts w:ascii="Times New Roman" w:hAnsi="Times New Roman"/>
          <w:color w:val="000000" w:themeColor="text1"/>
          <w:szCs w:val="22"/>
          <w:lang w:val="lt-LT"/>
        </w:rPr>
        <w:t>TWh</w:t>
      </w:r>
      <w:proofErr w:type="spellEnd"/>
      <w:r w:rsidR="000E4F63" w:rsidRPr="00650EE4">
        <w:rPr>
          <w:rFonts w:ascii="Times New Roman" w:hAnsi="Times New Roman"/>
          <w:color w:val="000000" w:themeColor="text1"/>
          <w:szCs w:val="22"/>
          <w:lang w:val="lt-LT"/>
        </w:rPr>
        <w:t>), kuriems taikytinos EE priemonės</w:t>
      </w:r>
      <w:r w:rsidR="009A1141" w:rsidRPr="00650EE4">
        <w:rPr>
          <w:rFonts w:ascii="Times New Roman" w:hAnsi="Times New Roman"/>
          <w:color w:val="000000" w:themeColor="text1"/>
          <w:szCs w:val="22"/>
          <w:lang w:val="lt-LT"/>
        </w:rPr>
        <w:t>.</w:t>
      </w:r>
    </w:p>
    <w:p w14:paraId="4E814E1E" w14:textId="77777777" w:rsidR="008D442E" w:rsidRPr="00650EE4" w:rsidRDefault="008D442E" w:rsidP="008D442E">
      <w:pPr>
        <w:pStyle w:val="ListParagraph"/>
        <w:ind w:left="714"/>
        <w:contextualSpacing w:val="0"/>
        <w:jc w:val="both"/>
        <w:rPr>
          <w:rFonts w:ascii="Times New Roman" w:hAnsi="Times New Roman"/>
          <w:color w:val="000000" w:themeColor="text1"/>
          <w:szCs w:val="22"/>
          <w:lang w:val="lt-LT"/>
        </w:rPr>
      </w:pPr>
    </w:p>
    <w:p w14:paraId="57653251" w14:textId="77777777" w:rsidR="006D2878" w:rsidRPr="00650EE4" w:rsidRDefault="006D2878" w:rsidP="008D442E">
      <w:pPr>
        <w:spacing w:afterLines="60" w:after="144"/>
        <w:jc w:val="both"/>
        <w:rPr>
          <w:rFonts w:ascii="Times New Roman" w:hAnsi="Times New Roman"/>
          <w:color w:val="000000" w:themeColor="text1"/>
          <w:szCs w:val="22"/>
        </w:rPr>
      </w:pPr>
      <w:r w:rsidRPr="00650EE4">
        <w:rPr>
          <w:rFonts w:ascii="Times New Roman" w:hAnsi="Times New Roman"/>
          <w:color w:val="000000" w:themeColor="text1"/>
          <w:szCs w:val="22"/>
        </w:rPr>
        <w:t>Vidutinis prioritetas:</w:t>
      </w:r>
    </w:p>
    <w:p w14:paraId="676248A1" w14:textId="02D8DA94" w:rsidR="001B70AE"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v</w:t>
      </w:r>
      <w:r w:rsidR="00013C34" w:rsidRPr="00650EE4">
        <w:rPr>
          <w:rFonts w:ascii="Times New Roman" w:hAnsi="Times New Roman"/>
          <w:color w:val="000000" w:themeColor="text1"/>
          <w:szCs w:val="22"/>
          <w:lang w:val="lt-LT"/>
        </w:rPr>
        <w:t xml:space="preserve">idutinio energinio efektyvumo (ENK C) pastatai naudojantys iškastinį kurą </w:t>
      </w:r>
      <w:r w:rsidR="005B5CA8" w:rsidRPr="00650EE4">
        <w:rPr>
          <w:rFonts w:ascii="Times New Roman" w:hAnsi="Times New Roman"/>
          <w:color w:val="000000" w:themeColor="text1"/>
          <w:szCs w:val="22"/>
          <w:lang w:val="lt-LT"/>
        </w:rPr>
        <w:t xml:space="preserve">(1,5 </w:t>
      </w:r>
      <w:proofErr w:type="spellStart"/>
      <w:r w:rsidR="005B5CA8" w:rsidRPr="00650EE4">
        <w:rPr>
          <w:rFonts w:ascii="Times New Roman" w:hAnsi="Times New Roman"/>
          <w:color w:val="000000" w:themeColor="text1"/>
          <w:szCs w:val="22"/>
          <w:lang w:val="lt-LT"/>
        </w:rPr>
        <w:t>TWh</w:t>
      </w:r>
      <w:proofErr w:type="spellEnd"/>
      <w:r w:rsidR="005B5CA8" w:rsidRPr="00650EE4">
        <w:rPr>
          <w:rFonts w:ascii="Times New Roman" w:hAnsi="Times New Roman"/>
          <w:color w:val="000000" w:themeColor="text1"/>
          <w:szCs w:val="22"/>
          <w:lang w:val="lt-LT"/>
        </w:rPr>
        <w:t>), kuriems taikytinos tiek EE tiek</w:t>
      </w:r>
      <w:r w:rsidR="00013C34" w:rsidRPr="00650EE4">
        <w:rPr>
          <w:rFonts w:ascii="Times New Roman" w:hAnsi="Times New Roman"/>
          <w:color w:val="000000" w:themeColor="text1"/>
          <w:szCs w:val="22"/>
          <w:lang w:val="lt-LT"/>
        </w:rPr>
        <w:t xml:space="preserve"> AEI priemonės</w:t>
      </w:r>
      <w:r>
        <w:rPr>
          <w:rFonts w:ascii="Times New Roman" w:hAnsi="Times New Roman"/>
          <w:color w:val="000000" w:themeColor="text1"/>
          <w:szCs w:val="22"/>
          <w:lang w:val="lt-LT"/>
        </w:rPr>
        <w:t>;</w:t>
      </w:r>
      <w:r w:rsidR="00013C34" w:rsidRPr="00650EE4">
        <w:rPr>
          <w:rFonts w:ascii="Times New Roman" w:hAnsi="Times New Roman"/>
          <w:color w:val="000000" w:themeColor="text1"/>
          <w:szCs w:val="22"/>
          <w:lang w:val="lt-LT"/>
        </w:rPr>
        <w:t xml:space="preserve"> </w:t>
      </w:r>
    </w:p>
    <w:p w14:paraId="21454BD6" w14:textId="544606E1" w:rsidR="00013C34"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lastRenderedPageBreak/>
        <w:t>v</w:t>
      </w:r>
      <w:r w:rsidR="00013C34" w:rsidRPr="00650EE4">
        <w:rPr>
          <w:rFonts w:ascii="Times New Roman" w:hAnsi="Times New Roman"/>
          <w:color w:val="000000" w:themeColor="text1"/>
          <w:szCs w:val="22"/>
          <w:lang w:val="lt-LT"/>
        </w:rPr>
        <w:t xml:space="preserve">idutinio energinio efektyvumo pastatai (3,9 </w:t>
      </w:r>
      <w:proofErr w:type="spellStart"/>
      <w:r w:rsidR="00013C34" w:rsidRPr="00650EE4">
        <w:rPr>
          <w:rFonts w:ascii="Times New Roman" w:hAnsi="Times New Roman"/>
          <w:color w:val="000000" w:themeColor="text1"/>
          <w:szCs w:val="22"/>
          <w:lang w:val="lt-LT"/>
        </w:rPr>
        <w:t>TWh</w:t>
      </w:r>
      <w:proofErr w:type="spellEnd"/>
      <w:r w:rsidR="00013C34" w:rsidRPr="00650EE4">
        <w:rPr>
          <w:rFonts w:ascii="Times New Roman" w:hAnsi="Times New Roman"/>
          <w:color w:val="000000" w:themeColor="text1"/>
          <w:szCs w:val="22"/>
          <w:lang w:val="lt-LT"/>
        </w:rPr>
        <w:t xml:space="preserve">), </w:t>
      </w:r>
      <w:r w:rsidR="00D60348" w:rsidRPr="00650EE4">
        <w:rPr>
          <w:rFonts w:ascii="Times New Roman" w:hAnsi="Times New Roman"/>
          <w:color w:val="000000" w:themeColor="text1"/>
          <w:szCs w:val="22"/>
          <w:lang w:val="lt-LT"/>
        </w:rPr>
        <w:t xml:space="preserve">nenaudojantys iškastinio kuro </w:t>
      </w:r>
      <w:r w:rsidR="00013C34" w:rsidRPr="00650EE4">
        <w:rPr>
          <w:rFonts w:ascii="Times New Roman" w:hAnsi="Times New Roman"/>
          <w:color w:val="000000" w:themeColor="text1"/>
          <w:szCs w:val="22"/>
          <w:lang w:val="lt-LT"/>
        </w:rPr>
        <w:t>kuriems taikytinos EE priemonės</w:t>
      </w:r>
      <w:r w:rsidR="005B5CA8" w:rsidRPr="00650EE4">
        <w:rPr>
          <w:rFonts w:ascii="Times New Roman" w:hAnsi="Times New Roman"/>
          <w:color w:val="000000" w:themeColor="text1"/>
          <w:szCs w:val="22"/>
          <w:lang w:val="lt-LT"/>
        </w:rPr>
        <w:t>.</w:t>
      </w:r>
    </w:p>
    <w:p w14:paraId="75C85E63" w14:textId="273380EA" w:rsidR="00073C56" w:rsidRPr="00650EE4" w:rsidRDefault="00073C56" w:rsidP="00073C56">
      <w:pPr>
        <w:spacing w:before="120" w:afterLines="60" w:after="144"/>
        <w:jc w:val="both"/>
        <w:rPr>
          <w:rFonts w:ascii="Times New Roman" w:hAnsi="Times New Roman"/>
          <w:color w:val="000000" w:themeColor="text1"/>
          <w:szCs w:val="22"/>
        </w:rPr>
      </w:pPr>
      <w:r w:rsidRPr="00650EE4">
        <w:rPr>
          <w:rFonts w:ascii="Times New Roman" w:hAnsi="Times New Roman"/>
          <w:color w:val="000000" w:themeColor="text1"/>
          <w:szCs w:val="22"/>
        </w:rPr>
        <w:t>Žemas prioritetas:</w:t>
      </w:r>
    </w:p>
    <w:p w14:paraId="57D818E4" w14:textId="1D82B88A" w:rsidR="005B5CA8" w:rsidRPr="00650EE4" w:rsidRDefault="00BB1115" w:rsidP="00BD4925">
      <w:pPr>
        <w:pStyle w:val="ListParagraph"/>
        <w:numPr>
          <w:ilvl w:val="0"/>
          <w:numId w:val="72"/>
        </w:numPr>
        <w:spacing w:before="120"/>
        <w:ind w:left="714" w:hanging="357"/>
        <w:contextualSpacing w:val="0"/>
        <w:jc w:val="both"/>
        <w:rPr>
          <w:rFonts w:ascii="Times New Roman" w:hAnsi="Times New Roman"/>
          <w:color w:val="000000" w:themeColor="text1"/>
          <w:szCs w:val="22"/>
          <w:lang w:val="lt-LT"/>
        </w:rPr>
      </w:pPr>
      <w:r>
        <w:rPr>
          <w:rFonts w:ascii="Times New Roman" w:hAnsi="Times New Roman"/>
          <w:color w:val="000000" w:themeColor="text1"/>
          <w:szCs w:val="22"/>
          <w:lang w:val="lt-LT"/>
        </w:rPr>
        <w:t>a</w:t>
      </w:r>
      <w:r w:rsidR="00073C56" w:rsidRPr="00650EE4">
        <w:rPr>
          <w:rFonts w:ascii="Times New Roman" w:hAnsi="Times New Roman"/>
          <w:color w:val="000000" w:themeColor="text1"/>
          <w:szCs w:val="22"/>
          <w:lang w:val="lt-LT"/>
        </w:rPr>
        <w:t xml:space="preserve">ukšto energinio efektyvumo (ENK ≥ B) pastatai naudojantys iškastinį kurą (1 </w:t>
      </w:r>
      <w:proofErr w:type="spellStart"/>
      <w:r w:rsidR="00073C56" w:rsidRPr="00650EE4">
        <w:rPr>
          <w:rFonts w:ascii="Times New Roman" w:hAnsi="Times New Roman"/>
          <w:color w:val="000000" w:themeColor="text1"/>
          <w:szCs w:val="22"/>
          <w:lang w:val="lt-LT"/>
        </w:rPr>
        <w:t>TWh</w:t>
      </w:r>
      <w:proofErr w:type="spellEnd"/>
      <w:r w:rsidR="00073C56" w:rsidRPr="00650EE4">
        <w:rPr>
          <w:rFonts w:ascii="Times New Roman" w:hAnsi="Times New Roman"/>
          <w:color w:val="000000" w:themeColor="text1"/>
          <w:szCs w:val="22"/>
          <w:lang w:val="lt-LT"/>
        </w:rPr>
        <w:t>), kuriems taikytinos AEI priemonės</w:t>
      </w:r>
      <w:r w:rsidR="00F94721" w:rsidRPr="00650EE4">
        <w:rPr>
          <w:rFonts w:ascii="Times New Roman" w:hAnsi="Times New Roman"/>
          <w:color w:val="000000" w:themeColor="text1"/>
          <w:szCs w:val="22"/>
          <w:lang w:val="lt-LT"/>
        </w:rPr>
        <w:t>.</w:t>
      </w:r>
    </w:p>
    <w:p w14:paraId="6B79D1AF" w14:textId="77777777" w:rsidR="00073C56" w:rsidRPr="00650EE4" w:rsidRDefault="00073C56" w:rsidP="00073C56">
      <w:pPr>
        <w:jc w:val="both"/>
        <w:rPr>
          <w:rFonts w:ascii="Times New Roman" w:hAnsi="Times New Roman"/>
          <w:color w:val="000000" w:themeColor="text1"/>
          <w:szCs w:val="22"/>
        </w:rPr>
      </w:pPr>
    </w:p>
    <w:p w14:paraId="36111A74" w14:textId="3AF8B28F" w:rsidR="00BB1115" w:rsidRDefault="00BB1115" w:rsidP="00BB1115">
      <w:pPr>
        <w:jc w:val="both"/>
        <w:rPr>
          <w:rFonts w:ascii="Times New Roman" w:hAnsi="Times New Roman"/>
          <w:color w:val="000000" w:themeColor="text1"/>
          <w:szCs w:val="22"/>
        </w:rPr>
      </w:pPr>
      <w:r>
        <w:rPr>
          <w:rFonts w:ascii="Times New Roman" w:hAnsi="Times New Roman"/>
          <w:color w:val="000000" w:themeColor="text1"/>
          <w:szCs w:val="22"/>
        </w:rPr>
        <w:t xml:space="preserve">Aukščiau identifikuoti prioritetai turėtų atspindėti rengiamame priemonių pakete, numatant į prioritetinius pastatų fondo segmentus orientuotas paramos priemones, pvz., </w:t>
      </w:r>
      <w:proofErr w:type="spellStart"/>
      <w:r>
        <w:rPr>
          <w:rFonts w:ascii="Times New Roman" w:hAnsi="Times New Roman"/>
          <w:color w:val="000000" w:themeColor="text1"/>
          <w:szCs w:val="22"/>
        </w:rPr>
        <w:t>k</w:t>
      </w:r>
      <w:r w:rsidRPr="0065297E">
        <w:rPr>
          <w:rFonts w:ascii="Times New Roman" w:hAnsi="Times New Roman"/>
          <w:color w:val="000000" w:themeColor="text1"/>
          <w:szCs w:val="22"/>
        </w:rPr>
        <w:t>vartalinė</w:t>
      </w:r>
      <w:proofErr w:type="spellEnd"/>
      <w:r w:rsidRPr="0065297E">
        <w:rPr>
          <w:rFonts w:ascii="Times New Roman" w:hAnsi="Times New Roman"/>
          <w:color w:val="000000" w:themeColor="text1"/>
          <w:szCs w:val="22"/>
        </w:rPr>
        <w:t xml:space="preserve"> renovacija žemo energinio efektyvumo dau</w:t>
      </w:r>
      <w:r>
        <w:rPr>
          <w:rFonts w:ascii="Times New Roman" w:hAnsi="Times New Roman"/>
          <w:color w:val="000000" w:themeColor="text1"/>
          <w:szCs w:val="22"/>
        </w:rPr>
        <w:t>giabučiams, AEI priemonės</w:t>
      </w:r>
      <w:r w:rsidRPr="006E71D6">
        <w:rPr>
          <w:rFonts w:ascii="Times New Roman" w:hAnsi="Times New Roman"/>
          <w:color w:val="000000" w:themeColor="text1"/>
          <w:szCs w:val="22"/>
        </w:rPr>
        <w:t xml:space="preserve"> iškastinį kurą naudojantiems individualiems gamybos šaltiniams </w:t>
      </w:r>
      <w:r>
        <w:rPr>
          <w:rFonts w:ascii="Times New Roman" w:hAnsi="Times New Roman"/>
          <w:color w:val="000000" w:themeColor="text1"/>
          <w:szCs w:val="22"/>
        </w:rPr>
        <w:t>pakeisti ir pan.</w:t>
      </w:r>
    </w:p>
    <w:p w14:paraId="493092C8" w14:textId="77777777" w:rsidR="00BB1115" w:rsidRDefault="00BB1115" w:rsidP="00BB1115">
      <w:pPr>
        <w:jc w:val="both"/>
        <w:rPr>
          <w:rFonts w:ascii="Times New Roman" w:hAnsi="Times New Roman"/>
          <w:color w:val="000000" w:themeColor="text1"/>
          <w:szCs w:val="22"/>
        </w:rPr>
      </w:pPr>
    </w:p>
    <w:p w14:paraId="677BD6CC" w14:textId="407E0A98" w:rsidR="00BB1115" w:rsidRDefault="00BB1115" w:rsidP="00BB1115">
      <w:pPr>
        <w:jc w:val="both"/>
        <w:rPr>
          <w:rFonts w:ascii="Times New Roman" w:hAnsi="Times New Roman"/>
          <w:color w:val="000000" w:themeColor="text1"/>
          <w:szCs w:val="22"/>
        </w:rPr>
      </w:pPr>
      <w:r>
        <w:rPr>
          <w:rFonts w:ascii="Times New Roman" w:hAnsi="Times New Roman"/>
          <w:color w:val="000000" w:themeColor="text1"/>
          <w:szCs w:val="22"/>
        </w:rPr>
        <w:t xml:space="preserve">Konkrečių </w:t>
      </w:r>
      <w:r w:rsidRPr="006E71D6">
        <w:rPr>
          <w:rFonts w:ascii="Times New Roman" w:hAnsi="Times New Roman"/>
          <w:color w:val="000000" w:themeColor="text1"/>
          <w:szCs w:val="22"/>
        </w:rPr>
        <w:t>AEI priemonių įgyvendinimas gali būtų vykdomas pasirenkant įvairius AEI šaltinius, pvz. diegiant šilumos siurblius ir</w:t>
      </w:r>
      <w:r>
        <w:rPr>
          <w:rFonts w:ascii="Times New Roman" w:hAnsi="Times New Roman"/>
          <w:color w:val="000000" w:themeColor="text1"/>
          <w:szCs w:val="22"/>
        </w:rPr>
        <w:t xml:space="preserve"> </w:t>
      </w:r>
      <w:r w:rsidRPr="006E71D6">
        <w:rPr>
          <w:rFonts w:ascii="Times New Roman" w:hAnsi="Times New Roman"/>
          <w:color w:val="000000" w:themeColor="text1"/>
          <w:szCs w:val="22"/>
        </w:rPr>
        <w:t>/</w:t>
      </w:r>
      <w:r>
        <w:rPr>
          <w:rFonts w:ascii="Times New Roman" w:hAnsi="Times New Roman"/>
          <w:color w:val="000000" w:themeColor="text1"/>
          <w:szCs w:val="22"/>
        </w:rPr>
        <w:t xml:space="preserve"> </w:t>
      </w:r>
      <w:r w:rsidRPr="006E71D6">
        <w:rPr>
          <w:rFonts w:ascii="Times New Roman" w:hAnsi="Times New Roman"/>
          <w:color w:val="000000" w:themeColor="text1"/>
          <w:szCs w:val="22"/>
        </w:rPr>
        <w:t>arba fotovoltinių saulės kolektorius, gaminant elektrą iš vėjo ar hidroelektrinių, biokuro, gaminant šilumą iš vandenį šildančių saulės kolektorių, prisijungiant prie CŠT tinklų, perkant ir vartojant energiją iš nutolusių saulės, vėjo ir hidroelektrinių.</w:t>
      </w:r>
    </w:p>
    <w:p w14:paraId="14EC4FA4" w14:textId="77777777" w:rsidR="00BB1115" w:rsidRPr="006E71D6" w:rsidRDefault="00BB1115" w:rsidP="00BB1115">
      <w:pPr>
        <w:jc w:val="both"/>
        <w:rPr>
          <w:rFonts w:ascii="Times New Roman" w:hAnsi="Times New Roman"/>
          <w:color w:val="000000" w:themeColor="text1"/>
          <w:szCs w:val="22"/>
        </w:rPr>
      </w:pPr>
    </w:p>
    <w:p w14:paraId="48B7FFE6" w14:textId="77777777" w:rsidR="00BB1115" w:rsidRDefault="00BB1115" w:rsidP="00BB1115">
      <w:pPr>
        <w:jc w:val="both"/>
        <w:rPr>
          <w:rFonts w:ascii="Times New Roman" w:hAnsi="Times New Roman"/>
          <w:color w:val="000000" w:themeColor="text1"/>
          <w:szCs w:val="22"/>
        </w:rPr>
      </w:pPr>
      <w:r>
        <w:rPr>
          <w:rFonts w:ascii="Times New Roman" w:hAnsi="Times New Roman"/>
          <w:color w:val="000000" w:themeColor="text1"/>
          <w:szCs w:val="22"/>
        </w:rPr>
        <w:t xml:space="preserve">Vertinama, kad </w:t>
      </w:r>
      <w:r w:rsidRPr="006E71D6">
        <w:rPr>
          <w:rFonts w:ascii="Times New Roman" w:hAnsi="Times New Roman"/>
          <w:color w:val="000000" w:themeColor="text1"/>
          <w:szCs w:val="22"/>
        </w:rPr>
        <w:t xml:space="preserve">CŠT ir elektros sektoriai IRS įgyvendinimo </w:t>
      </w:r>
      <w:r>
        <w:rPr>
          <w:rFonts w:ascii="Times New Roman" w:hAnsi="Times New Roman"/>
          <w:color w:val="000000" w:themeColor="text1"/>
          <w:szCs w:val="22"/>
        </w:rPr>
        <w:t>eigoje kryptingai transformuosis</w:t>
      </w:r>
      <w:r w:rsidRPr="006E71D6">
        <w:rPr>
          <w:rFonts w:ascii="Times New Roman" w:hAnsi="Times New Roman"/>
          <w:color w:val="000000" w:themeColor="text1"/>
          <w:szCs w:val="22"/>
        </w:rPr>
        <w:t xml:space="preserve"> iškastinio kuro </w:t>
      </w:r>
      <w:r>
        <w:rPr>
          <w:rFonts w:ascii="Times New Roman" w:hAnsi="Times New Roman"/>
          <w:color w:val="000000" w:themeColor="text1"/>
          <w:szCs w:val="22"/>
        </w:rPr>
        <w:t>atsisakymo kryptimi</w:t>
      </w:r>
      <w:r w:rsidRPr="006E71D6">
        <w:rPr>
          <w:rFonts w:ascii="Times New Roman" w:hAnsi="Times New Roman"/>
          <w:color w:val="000000" w:themeColor="text1"/>
          <w:szCs w:val="22"/>
        </w:rPr>
        <w:t xml:space="preserve">, todėl jų keitimas </w:t>
      </w:r>
      <w:r>
        <w:rPr>
          <w:rFonts w:ascii="Times New Roman" w:hAnsi="Times New Roman"/>
          <w:color w:val="000000" w:themeColor="text1"/>
          <w:szCs w:val="22"/>
        </w:rPr>
        <w:t xml:space="preserve">alternatyviomis AEI priemonėmis nebūtų ekonomiškai racionalus ir </w:t>
      </w:r>
      <w:r w:rsidRPr="006E71D6">
        <w:rPr>
          <w:rFonts w:ascii="Times New Roman" w:hAnsi="Times New Roman"/>
          <w:color w:val="000000" w:themeColor="text1"/>
          <w:szCs w:val="22"/>
        </w:rPr>
        <w:t>skatinamas.</w:t>
      </w:r>
      <w:r>
        <w:rPr>
          <w:rFonts w:ascii="Times New Roman" w:hAnsi="Times New Roman"/>
          <w:color w:val="000000" w:themeColor="text1"/>
          <w:szCs w:val="22"/>
        </w:rPr>
        <w:t xml:space="preserve"> Ši nuostata turėtų būti periodiškai pakartotinai įvertinama (atnaujinant IRS), atsižvelgiant į faktinius numatytos sektorių transformacijos rezultatus.</w:t>
      </w:r>
    </w:p>
    <w:p w14:paraId="55E0F2AB" w14:textId="77777777" w:rsidR="00BB1115" w:rsidRPr="006E71D6" w:rsidRDefault="00BB1115" w:rsidP="00BB1115">
      <w:pPr>
        <w:jc w:val="both"/>
        <w:rPr>
          <w:rFonts w:ascii="Times New Roman" w:hAnsi="Times New Roman"/>
          <w:color w:val="000000" w:themeColor="text1"/>
          <w:szCs w:val="22"/>
        </w:rPr>
      </w:pPr>
    </w:p>
    <w:p w14:paraId="31CA7B57" w14:textId="77777777" w:rsidR="00BB1115" w:rsidRPr="00650EE4" w:rsidRDefault="00BB1115" w:rsidP="00BB1115">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Aukščiau aprašyti IRS prioritetai atitinka PEND ir kitų ES strateginių dokumentų nuostatas, numatančias, kad:</w:t>
      </w:r>
    </w:p>
    <w:p w14:paraId="3FEA7DB1" w14:textId="7D20814A" w:rsidR="00BB1115" w:rsidRPr="00650EE4" w:rsidRDefault="00C63DF3"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r</w:t>
      </w:r>
      <w:r w:rsidR="00BB1115" w:rsidRPr="00650EE4">
        <w:rPr>
          <w:rFonts w:ascii="Times New Roman" w:hAnsi="Times New Roman"/>
          <w:color w:val="auto"/>
          <w:szCs w:val="22"/>
          <w:lang w:val="lt-LT"/>
        </w:rPr>
        <w:t>enovuojant pastatų ūkį pirmenybė teikiama „energijos vartojimo efektyvumui, taikant principą „svarbiausia – energijos vartojimo efektyvumas“ ir apsva</w:t>
      </w:r>
      <w:r w:rsidR="00C22825">
        <w:rPr>
          <w:rFonts w:ascii="Times New Roman" w:hAnsi="Times New Roman"/>
          <w:color w:val="auto"/>
          <w:szCs w:val="22"/>
          <w:lang w:val="lt-LT"/>
        </w:rPr>
        <w:t>rstant AEI naudojimo galimybes“;</w:t>
      </w:r>
    </w:p>
    <w:p w14:paraId="21E4B4E9" w14:textId="785287A5" w:rsidR="00BB1115" w:rsidRDefault="00C22825"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d</w:t>
      </w:r>
      <w:r w:rsidR="00BB1115" w:rsidRPr="00650EE4">
        <w:rPr>
          <w:rFonts w:ascii="Times New Roman" w:hAnsi="Times New Roman"/>
          <w:color w:val="auto"/>
          <w:szCs w:val="22"/>
          <w:lang w:val="lt-LT"/>
        </w:rPr>
        <w:t>idelis dėmesys turi būti skiriamas prasčiausio energinio n</w:t>
      </w:r>
      <w:r w:rsidR="00C63DF3">
        <w:rPr>
          <w:rFonts w:ascii="Times New Roman" w:hAnsi="Times New Roman"/>
          <w:color w:val="auto"/>
          <w:szCs w:val="22"/>
          <w:lang w:val="lt-LT"/>
        </w:rPr>
        <w:t>audingumo pastatams;</w:t>
      </w:r>
    </w:p>
    <w:p w14:paraId="4A7B5401" w14:textId="1279BC11" w:rsidR="00C63DF3" w:rsidRPr="00C63DF3" w:rsidRDefault="00C63DF3" w:rsidP="00BD4925">
      <w:pPr>
        <w:pStyle w:val="ListParagraph"/>
        <w:numPr>
          <w:ilvl w:val="0"/>
          <w:numId w:val="72"/>
        </w:numPr>
        <w:spacing w:before="120"/>
        <w:ind w:left="714" w:hanging="357"/>
        <w:contextualSpacing w:val="0"/>
        <w:jc w:val="both"/>
        <w:rPr>
          <w:rFonts w:ascii="Times New Roman" w:hAnsi="Times New Roman"/>
          <w:color w:val="auto"/>
          <w:szCs w:val="22"/>
          <w:lang w:val="lt-LT"/>
        </w:rPr>
      </w:pPr>
      <w:r>
        <w:rPr>
          <w:rFonts w:ascii="Times New Roman" w:hAnsi="Times New Roman"/>
          <w:color w:val="auto"/>
          <w:szCs w:val="22"/>
          <w:lang w:val="lt-LT"/>
        </w:rPr>
        <w:t>e</w:t>
      </w:r>
      <w:r w:rsidRPr="00650EE4">
        <w:rPr>
          <w:rFonts w:ascii="Times New Roman" w:hAnsi="Times New Roman"/>
          <w:color w:val="auto"/>
          <w:szCs w:val="22"/>
          <w:lang w:val="lt-LT"/>
        </w:rPr>
        <w:t>nergijos vartojimo efektyvumui didinti renovuojant pastatus skirtos finansinės priemonės turėtų būti siejamos su tiksliniu arba pasiektu energijos sutaupymu.</w:t>
      </w:r>
    </w:p>
    <w:p w14:paraId="4AF39CE4" w14:textId="5DFD1EAB" w:rsidR="00180659" w:rsidRPr="00BB1115" w:rsidRDefault="00BB1115" w:rsidP="00BB1115">
      <w:pPr>
        <w:spacing w:before="120"/>
        <w:jc w:val="both"/>
        <w:rPr>
          <w:rFonts w:ascii="Times New Roman" w:hAnsi="Times New Roman"/>
          <w:color w:val="auto"/>
          <w:szCs w:val="22"/>
        </w:rPr>
      </w:pPr>
      <w:r w:rsidRPr="00650EE4">
        <w:rPr>
          <w:rFonts w:ascii="Times New Roman" w:hAnsi="Times New Roman"/>
          <w:color w:val="auto"/>
          <w:szCs w:val="22"/>
        </w:rPr>
        <w:t>Energijos vartojimo efektyvumui didinti renovuojant pastatus skirtos finansinės priemonės turėtų būti siejamos su tiksliniu arba pasiektu energijos sutaupymu.</w:t>
      </w:r>
    </w:p>
    <w:p w14:paraId="28DBDBD3" w14:textId="158D0267" w:rsidR="00B66166" w:rsidRPr="00650EE4" w:rsidRDefault="00B66166" w:rsidP="00AE63B2">
      <w:pPr>
        <w:jc w:val="both"/>
        <w:rPr>
          <w:rFonts w:ascii="Times New Roman" w:hAnsi="Times New Roman"/>
          <w:color w:val="000000" w:themeColor="text1"/>
          <w:szCs w:val="22"/>
        </w:rPr>
      </w:pPr>
    </w:p>
    <w:p w14:paraId="21FB6DA2" w14:textId="77777777" w:rsidR="00D113B8" w:rsidRPr="00650EE4" w:rsidRDefault="00D113B8" w:rsidP="00AE63B2">
      <w:pPr>
        <w:jc w:val="both"/>
        <w:rPr>
          <w:rFonts w:ascii="Times New Roman" w:hAnsi="Times New Roman"/>
          <w:color w:val="000000" w:themeColor="text1"/>
          <w:szCs w:val="22"/>
        </w:rPr>
      </w:pPr>
    </w:p>
    <w:p w14:paraId="3D33DDBC" w14:textId="4D030746" w:rsidR="002129F2" w:rsidRPr="00650EE4" w:rsidRDefault="00AF43CF" w:rsidP="00E52557">
      <w:pPr>
        <w:pStyle w:val="Antrastes2"/>
        <w:numPr>
          <w:ilvl w:val="1"/>
          <w:numId w:val="4"/>
        </w:numPr>
        <w:pBdr>
          <w:bottom w:val="single" w:sz="4" w:space="1" w:color="auto"/>
        </w:pBdr>
        <w:spacing w:before="0"/>
        <w:ind w:left="576" w:hanging="576"/>
        <w:jc w:val="both"/>
        <w:rPr>
          <w:rFonts w:ascii="Times New Roman" w:hAnsi="Times New Roman"/>
          <w:color w:val="auto"/>
          <w:sz w:val="24"/>
          <w:szCs w:val="24"/>
          <w:lang w:val="lt-LT"/>
        </w:rPr>
      </w:pPr>
      <w:bookmarkStart w:id="218" w:name="_Toc59107579"/>
      <w:r w:rsidRPr="00650EE4">
        <w:rPr>
          <w:rFonts w:ascii="Times New Roman" w:hAnsi="Times New Roman"/>
          <w:color w:val="auto"/>
          <w:sz w:val="24"/>
          <w:szCs w:val="24"/>
          <w:lang w:val="lt-LT"/>
        </w:rPr>
        <w:t>Strategijos į</w:t>
      </w:r>
      <w:r w:rsidR="002129F2" w:rsidRPr="00650EE4">
        <w:rPr>
          <w:rFonts w:ascii="Times New Roman" w:hAnsi="Times New Roman"/>
          <w:color w:val="auto"/>
          <w:sz w:val="24"/>
          <w:szCs w:val="24"/>
          <w:lang w:val="lt-LT"/>
        </w:rPr>
        <w:t xml:space="preserve">gyvendinimo </w:t>
      </w:r>
      <w:r w:rsidRPr="00650EE4">
        <w:rPr>
          <w:rFonts w:ascii="Times New Roman" w:hAnsi="Times New Roman"/>
          <w:color w:val="auto"/>
          <w:sz w:val="24"/>
          <w:szCs w:val="24"/>
          <w:lang w:val="lt-LT"/>
        </w:rPr>
        <w:t>etapai</w:t>
      </w:r>
      <w:bookmarkEnd w:id="218"/>
    </w:p>
    <w:p w14:paraId="7F55E034" w14:textId="20D8751B" w:rsidR="00F94721" w:rsidRPr="00650EE4" w:rsidRDefault="00F94721" w:rsidP="00F94721">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 xml:space="preserve">IRS </w:t>
      </w:r>
      <w:r w:rsidR="003F660B" w:rsidRPr="00650EE4">
        <w:rPr>
          <w:rFonts w:ascii="Times New Roman" w:hAnsi="Times New Roman"/>
          <w:color w:val="000000" w:themeColor="text1"/>
          <w:szCs w:val="22"/>
        </w:rPr>
        <w:t xml:space="preserve">įgyvendinimo laikotarpis nuo 2021 iki 2050 m. </w:t>
      </w:r>
      <w:r w:rsidR="00E52557" w:rsidRPr="00650EE4">
        <w:rPr>
          <w:rFonts w:ascii="Times New Roman" w:hAnsi="Times New Roman"/>
          <w:color w:val="000000" w:themeColor="text1"/>
          <w:szCs w:val="22"/>
        </w:rPr>
        <w:t>skiriamas į 2 pagrindinius etapus:</w:t>
      </w:r>
    </w:p>
    <w:p w14:paraId="2B113DBD" w14:textId="7C71DFE0" w:rsidR="00E52557" w:rsidRPr="00650EE4" w:rsidRDefault="00E52557" w:rsidP="00BD4925">
      <w:pPr>
        <w:pStyle w:val="ListParagraph"/>
        <w:numPr>
          <w:ilvl w:val="0"/>
          <w:numId w:val="73"/>
        </w:numPr>
        <w:spacing w:before="120" w:after="60" w:line="240" w:lineRule="auto"/>
        <w:ind w:left="714" w:hanging="357"/>
        <w:contextualSpacing w:val="0"/>
        <w:jc w:val="both"/>
        <w:rPr>
          <w:rFonts w:ascii="Times New Roman" w:hAnsi="Times New Roman"/>
          <w:lang w:val="lt-LT"/>
        </w:rPr>
      </w:pPr>
      <w:r w:rsidRPr="00650EE4">
        <w:rPr>
          <w:rFonts w:ascii="Times New Roman" w:hAnsi="Times New Roman"/>
          <w:lang w:val="lt-LT"/>
        </w:rPr>
        <w:t>I. Pasirengimo etapas (2021-2022</w:t>
      </w:r>
      <w:r w:rsidR="00962852" w:rsidRPr="00650EE4">
        <w:rPr>
          <w:rFonts w:ascii="Times New Roman" w:hAnsi="Times New Roman"/>
          <w:lang w:val="lt-LT"/>
        </w:rPr>
        <w:t xml:space="preserve"> m.</w:t>
      </w:r>
      <w:r w:rsidRPr="00650EE4">
        <w:rPr>
          <w:rFonts w:ascii="Times New Roman" w:hAnsi="Times New Roman"/>
          <w:lang w:val="lt-LT"/>
        </w:rPr>
        <w:t>).</w:t>
      </w:r>
    </w:p>
    <w:p w14:paraId="15FA5BB5" w14:textId="2FAA4CAF" w:rsidR="00E52557" w:rsidRPr="00650EE4" w:rsidRDefault="00E52557" w:rsidP="00BD4925">
      <w:pPr>
        <w:pStyle w:val="ListParagraph"/>
        <w:numPr>
          <w:ilvl w:val="0"/>
          <w:numId w:val="73"/>
        </w:numPr>
        <w:spacing w:before="120" w:line="240" w:lineRule="auto"/>
        <w:ind w:left="714" w:hanging="357"/>
        <w:contextualSpacing w:val="0"/>
        <w:jc w:val="both"/>
        <w:rPr>
          <w:rFonts w:ascii="Times New Roman" w:hAnsi="Times New Roman"/>
          <w:lang w:val="lt-LT"/>
        </w:rPr>
      </w:pPr>
      <w:r w:rsidRPr="00650EE4">
        <w:rPr>
          <w:rFonts w:ascii="Times New Roman" w:hAnsi="Times New Roman"/>
          <w:lang w:val="lt-LT"/>
        </w:rPr>
        <w:t xml:space="preserve">II. Įgyvendinimo </w:t>
      </w:r>
      <w:r w:rsidR="00C367FD" w:rsidRPr="00650EE4">
        <w:rPr>
          <w:rFonts w:ascii="Times New Roman" w:hAnsi="Times New Roman"/>
          <w:lang w:val="lt-LT"/>
        </w:rPr>
        <w:t>etapas</w:t>
      </w:r>
      <w:r w:rsidRPr="00650EE4">
        <w:rPr>
          <w:rFonts w:ascii="Times New Roman" w:hAnsi="Times New Roman"/>
          <w:lang w:val="lt-LT"/>
        </w:rPr>
        <w:t xml:space="preserve"> (2023- 2050</w:t>
      </w:r>
      <w:r w:rsidR="00962852" w:rsidRPr="00650EE4">
        <w:rPr>
          <w:rFonts w:ascii="Times New Roman" w:hAnsi="Times New Roman"/>
          <w:lang w:val="lt-LT"/>
        </w:rPr>
        <w:t xml:space="preserve"> m.</w:t>
      </w:r>
      <w:r w:rsidRPr="00650EE4">
        <w:rPr>
          <w:rFonts w:ascii="Times New Roman" w:hAnsi="Times New Roman"/>
          <w:lang w:val="lt-LT"/>
        </w:rPr>
        <w:t>).</w:t>
      </w:r>
    </w:p>
    <w:p w14:paraId="1C871F7B" w14:textId="77777777" w:rsidR="00F94721" w:rsidRPr="00650EE4" w:rsidRDefault="00F94721" w:rsidP="003F67A4">
      <w:pPr>
        <w:pStyle w:val="TESlentelspavadinimas"/>
        <w:rPr>
          <w:noProof w:val="0"/>
        </w:rPr>
      </w:pPr>
    </w:p>
    <w:p w14:paraId="06CF7D71" w14:textId="1EF1F45F" w:rsidR="00F94721" w:rsidRPr="00650EE4" w:rsidRDefault="00E52557" w:rsidP="00E52557">
      <w:pPr>
        <w:spacing w:line="240" w:lineRule="auto"/>
        <w:jc w:val="both"/>
        <w:rPr>
          <w:rFonts w:ascii="Times New Roman" w:hAnsi="Times New Roman"/>
          <w:color w:val="000000" w:themeColor="text1"/>
          <w:szCs w:val="22"/>
        </w:rPr>
      </w:pPr>
      <w:r w:rsidRPr="00650EE4">
        <w:rPr>
          <w:rFonts w:ascii="Times New Roman" w:hAnsi="Times New Roman"/>
          <w:color w:val="000000" w:themeColor="text1"/>
          <w:szCs w:val="22"/>
        </w:rPr>
        <w:t>Įgyv</w:t>
      </w:r>
      <w:r w:rsidR="007B00C1" w:rsidRPr="00650EE4">
        <w:rPr>
          <w:rFonts w:ascii="Times New Roman" w:hAnsi="Times New Roman"/>
          <w:color w:val="000000" w:themeColor="text1"/>
          <w:szCs w:val="22"/>
        </w:rPr>
        <w:t>e</w:t>
      </w:r>
      <w:r w:rsidRPr="00650EE4">
        <w:rPr>
          <w:rFonts w:ascii="Times New Roman" w:hAnsi="Times New Roman"/>
          <w:color w:val="000000" w:themeColor="text1"/>
          <w:szCs w:val="22"/>
        </w:rPr>
        <w:t>ndinimo eta</w:t>
      </w:r>
      <w:r w:rsidR="00EE23E2" w:rsidRPr="00650EE4">
        <w:rPr>
          <w:rFonts w:ascii="Times New Roman" w:hAnsi="Times New Roman"/>
          <w:color w:val="000000" w:themeColor="text1"/>
          <w:szCs w:val="22"/>
        </w:rPr>
        <w:t>p</w:t>
      </w:r>
      <w:r w:rsidRPr="00650EE4">
        <w:rPr>
          <w:rFonts w:ascii="Times New Roman" w:hAnsi="Times New Roman"/>
          <w:color w:val="000000" w:themeColor="text1"/>
          <w:szCs w:val="22"/>
        </w:rPr>
        <w:t>e planuojama, kad IRS bus 2 kartus</w:t>
      </w:r>
      <w:r w:rsidR="005D379F" w:rsidRPr="00650EE4">
        <w:rPr>
          <w:rFonts w:ascii="Times New Roman" w:hAnsi="Times New Roman"/>
          <w:color w:val="000000" w:themeColor="text1"/>
          <w:szCs w:val="22"/>
        </w:rPr>
        <w:t xml:space="preserve"> atnaujinta iš esmės </w:t>
      </w:r>
      <w:r w:rsidRPr="00650EE4">
        <w:rPr>
          <w:rFonts w:ascii="Times New Roman" w:hAnsi="Times New Roman"/>
          <w:color w:val="000000" w:themeColor="text1"/>
          <w:szCs w:val="22"/>
        </w:rPr>
        <w:t>(</w:t>
      </w:r>
      <w:r w:rsidR="005D379F" w:rsidRPr="00650EE4">
        <w:rPr>
          <w:rFonts w:ascii="Times New Roman" w:hAnsi="Times New Roman"/>
          <w:color w:val="000000" w:themeColor="text1"/>
          <w:szCs w:val="22"/>
        </w:rPr>
        <w:t>r</w:t>
      </w:r>
      <w:r w:rsidRPr="00650EE4">
        <w:rPr>
          <w:rFonts w:ascii="Times New Roman" w:hAnsi="Times New Roman"/>
          <w:color w:val="000000" w:themeColor="text1"/>
          <w:szCs w:val="22"/>
        </w:rPr>
        <w:t>engiant NECP 2040 ir NECP 2050)</w:t>
      </w:r>
      <w:r w:rsidR="005D379F" w:rsidRPr="00650EE4">
        <w:rPr>
          <w:rFonts w:ascii="Times New Roman" w:hAnsi="Times New Roman"/>
          <w:color w:val="000000" w:themeColor="text1"/>
          <w:szCs w:val="22"/>
        </w:rPr>
        <w:t xml:space="preserve"> ir 3 kartus patikslinta (tikslinant NECP 2030, NECP 2040 ir NECP 2050</w:t>
      </w:r>
      <w:r w:rsidR="003D24EA" w:rsidRPr="00650EE4">
        <w:rPr>
          <w:rFonts w:ascii="Times New Roman" w:hAnsi="Times New Roman"/>
          <w:color w:val="000000" w:themeColor="text1"/>
          <w:szCs w:val="22"/>
        </w:rPr>
        <w:t>,</w:t>
      </w:r>
      <w:r w:rsidR="005D379F" w:rsidRPr="00650EE4">
        <w:rPr>
          <w:rFonts w:ascii="Times New Roman" w:hAnsi="Times New Roman"/>
          <w:color w:val="000000" w:themeColor="text1"/>
          <w:szCs w:val="22"/>
        </w:rPr>
        <w:t xml:space="preserve"> jų įgyvendinimo laikotarpio viduryje).</w:t>
      </w:r>
    </w:p>
    <w:p w14:paraId="37B28154" w14:textId="77777777" w:rsidR="00C22825" w:rsidRDefault="00C22825" w:rsidP="003F67A4">
      <w:pPr>
        <w:pStyle w:val="TESlentelspavadinimas"/>
        <w:rPr>
          <w:noProof w:val="0"/>
        </w:rPr>
      </w:pPr>
    </w:p>
    <w:p w14:paraId="29C6368A" w14:textId="71493002" w:rsidR="003F67A4" w:rsidRPr="00650EE4" w:rsidRDefault="003F67A4" w:rsidP="003F67A4">
      <w:pPr>
        <w:pStyle w:val="TESlentelspavadinimas"/>
        <w:rPr>
          <w:noProof w:val="0"/>
        </w:rPr>
      </w:pPr>
      <w:r w:rsidRPr="00650EE4">
        <w:rPr>
          <w:noProof w:val="0"/>
        </w:rPr>
        <w:fldChar w:fldCharType="begin"/>
      </w:r>
      <w:r w:rsidRPr="00650EE4">
        <w:rPr>
          <w:noProof w:val="0"/>
        </w:rPr>
        <w:instrText xml:space="preserve"> SEQ paveikslas \* ARABIC </w:instrText>
      </w:r>
      <w:r w:rsidRPr="00650EE4">
        <w:rPr>
          <w:noProof w:val="0"/>
        </w:rPr>
        <w:fldChar w:fldCharType="separate"/>
      </w:r>
      <w:bookmarkStart w:id="219" w:name="_Toc59094280"/>
      <w:r w:rsidR="00F25C65">
        <w:t>31</w:t>
      </w:r>
      <w:r w:rsidRPr="00650EE4">
        <w:rPr>
          <w:noProof w:val="0"/>
        </w:rPr>
        <w:fldChar w:fldCharType="end"/>
      </w:r>
      <w:r w:rsidRPr="00650EE4">
        <w:rPr>
          <w:noProof w:val="0"/>
        </w:rPr>
        <w:t xml:space="preserve"> paveikslas. IRS įgyvendinimo etapai</w:t>
      </w:r>
      <w:bookmarkEnd w:id="219"/>
    </w:p>
    <w:p w14:paraId="10DE36CD" w14:textId="04092C6A" w:rsidR="008800F5" w:rsidRPr="00650EE4" w:rsidRDefault="00B234D5" w:rsidP="002129F2">
      <w:pPr>
        <w:pStyle w:val="BodyText"/>
        <w:rPr>
          <w:rFonts w:ascii="Times New Roman" w:hAnsi="Times New Roman"/>
          <w:color w:val="000000" w:themeColor="text1"/>
          <w:szCs w:val="22"/>
          <w:lang w:val="lt-LT"/>
        </w:rPr>
      </w:pPr>
      <w:r w:rsidRPr="00650EE4">
        <w:rPr>
          <w:noProof/>
          <w:lang w:val="lt-LT" w:eastAsia="lt-LT"/>
        </w:rPr>
        <w:lastRenderedPageBreak/>
        <w:drawing>
          <wp:inline distT="0" distB="0" distL="0" distR="0" wp14:anchorId="6EF97FA0" wp14:editId="42271B25">
            <wp:extent cx="6479540" cy="3752850"/>
            <wp:effectExtent l="19050" t="19050" r="20320" b="190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9540" cy="3752850"/>
                    </a:xfrm>
                    <a:prstGeom prst="rect">
                      <a:avLst/>
                    </a:prstGeom>
                    <a:ln w="19050">
                      <a:solidFill>
                        <a:schemeClr val="bg1">
                          <a:lumMod val="75000"/>
                        </a:schemeClr>
                      </a:solidFill>
                    </a:ln>
                  </pic:spPr>
                </pic:pic>
              </a:graphicData>
            </a:graphic>
          </wp:inline>
        </w:drawing>
      </w:r>
    </w:p>
    <w:p w14:paraId="521123CA" w14:textId="55BB4738" w:rsidR="00373C31" w:rsidRPr="00650EE4" w:rsidRDefault="00373C31" w:rsidP="00373C31">
      <w:pPr>
        <w:spacing w:line="240" w:lineRule="auto"/>
        <w:jc w:val="both"/>
        <w:rPr>
          <w:rFonts w:ascii="Times New Roman" w:eastAsia="Times New Roman" w:hAnsi="Times New Roman"/>
          <w:i/>
          <w:color w:val="000000" w:themeColor="text1"/>
          <w:sz w:val="20"/>
          <w:szCs w:val="28"/>
        </w:rPr>
      </w:pPr>
      <w:r w:rsidRPr="00650EE4">
        <w:rPr>
          <w:rFonts w:ascii="Times New Roman" w:eastAsia="Times New Roman" w:hAnsi="Times New Roman"/>
          <w:i/>
          <w:color w:val="000000" w:themeColor="text1"/>
          <w:sz w:val="20"/>
          <w:szCs w:val="28"/>
        </w:rPr>
        <w:t xml:space="preserve">Šaltinis: Studijos </w:t>
      </w:r>
      <w:r w:rsidR="002616CA" w:rsidRPr="00874EAF">
        <w:rPr>
          <w:rFonts w:ascii="Times New Roman" w:hAnsi="Times New Roman"/>
          <w:i/>
          <w:iCs/>
          <w:color w:val="auto"/>
          <w:sz w:val="20"/>
          <w:szCs w:val="20"/>
        </w:rPr>
        <w:t>Lietuvos ilgalaikei renovacijos strategijai parengti</w:t>
      </w:r>
      <w:r w:rsidR="002616CA" w:rsidRPr="00650EE4">
        <w:rPr>
          <w:rFonts w:ascii="Times New Roman" w:eastAsia="Times New Roman" w:hAnsi="Times New Roman"/>
          <w:i/>
          <w:color w:val="000000" w:themeColor="text1"/>
          <w:sz w:val="20"/>
          <w:szCs w:val="28"/>
        </w:rPr>
        <w:t xml:space="preserve"> </w:t>
      </w:r>
      <w:r w:rsidRPr="00650EE4">
        <w:rPr>
          <w:rFonts w:ascii="Times New Roman" w:eastAsia="Times New Roman" w:hAnsi="Times New Roman"/>
          <w:i/>
          <w:color w:val="000000" w:themeColor="text1"/>
          <w:sz w:val="20"/>
          <w:szCs w:val="28"/>
        </w:rPr>
        <w:t>autoriai</w:t>
      </w:r>
    </w:p>
    <w:p w14:paraId="561853F3" w14:textId="77777777" w:rsidR="00C22825" w:rsidRDefault="00C22825" w:rsidP="00F37EB4">
      <w:pPr>
        <w:pStyle w:val="BodyText"/>
        <w:rPr>
          <w:rFonts w:ascii="Times New Roman" w:hAnsi="Times New Roman"/>
          <w:color w:val="000000" w:themeColor="text1"/>
          <w:szCs w:val="22"/>
          <w:lang w:val="lt-LT"/>
        </w:rPr>
      </w:pPr>
    </w:p>
    <w:p w14:paraId="05E195FD" w14:textId="3F04FA45" w:rsidR="00F37EB4" w:rsidRPr="00650EE4" w:rsidRDefault="00CF002B" w:rsidP="00F37EB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Žemiau </w:t>
      </w:r>
      <w:r w:rsidR="00F37EB4" w:rsidRPr="00650EE4">
        <w:rPr>
          <w:rFonts w:ascii="Times New Roman" w:hAnsi="Times New Roman"/>
          <w:color w:val="000000" w:themeColor="text1"/>
          <w:szCs w:val="22"/>
          <w:lang w:val="lt-LT"/>
        </w:rPr>
        <w:t xml:space="preserve">pateikiamas </w:t>
      </w:r>
      <w:r w:rsidRPr="00650EE4">
        <w:rPr>
          <w:rFonts w:ascii="Times New Roman" w:hAnsi="Times New Roman"/>
          <w:color w:val="000000" w:themeColor="text1"/>
          <w:szCs w:val="22"/>
          <w:lang w:val="lt-LT"/>
        </w:rPr>
        <w:t>pagrindinių IRS įgyvendinimo</w:t>
      </w:r>
      <w:r w:rsidR="00F37EB4" w:rsidRPr="00650EE4">
        <w:rPr>
          <w:rFonts w:ascii="Times New Roman" w:hAnsi="Times New Roman"/>
          <w:color w:val="000000" w:themeColor="text1"/>
          <w:szCs w:val="22"/>
          <w:lang w:val="lt-LT"/>
        </w:rPr>
        <w:t xml:space="preserve"> etapų aprašymas</w:t>
      </w:r>
      <w:r w:rsidRPr="00650EE4">
        <w:rPr>
          <w:rFonts w:ascii="Times New Roman" w:hAnsi="Times New Roman"/>
          <w:color w:val="000000" w:themeColor="text1"/>
          <w:szCs w:val="22"/>
          <w:lang w:val="lt-LT"/>
        </w:rPr>
        <w:t>.</w:t>
      </w:r>
    </w:p>
    <w:p w14:paraId="3A43B7CB" w14:textId="77777777" w:rsidR="00F37EB4" w:rsidRPr="00650EE4" w:rsidRDefault="00F37EB4" w:rsidP="00F37EB4">
      <w:pPr>
        <w:pStyle w:val="BodyText"/>
        <w:rPr>
          <w:rFonts w:ascii="Times New Roman" w:hAnsi="Times New Roman"/>
          <w:color w:val="000000" w:themeColor="text1"/>
          <w:szCs w:val="22"/>
          <w:lang w:val="lt-LT"/>
        </w:rPr>
      </w:pPr>
    </w:p>
    <w:p w14:paraId="52EEB904" w14:textId="3F25C1B1" w:rsidR="00F37EB4" w:rsidRPr="00650EE4" w:rsidRDefault="001D1719" w:rsidP="005878F6">
      <w:pPr>
        <w:pStyle w:val="BodyText"/>
        <w:numPr>
          <w:ilvl w:val="0"/>
          <w:numId w:val="76"/>
        </w:numPr>
        <w:spacing w:after="120"/>
        <w:ind w:left="0" w:firstLine="0"/>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w:t>
      </w:r>
      <w:r w:rsidR="00F37EB4" w:rsidRPr="00650EE4">
        <w:rPr>
          <w:rFonts w:ascii="Times New Roman" w:hAnsi="Times New Roman"/>
          <w:b/>
          <w:bCs/>
          <w:color w:val="000000" w:themeColor="text1"/>
          <w:szCs w:val="22"/>
          <w:lang w:val="lt-LT"/>
        </w:rPr>
        <w:t>arbo grupės sukūrimas</w:t>
      </w:r>
      <w:r w:rsidR="00CF002B" w:rsidRPr="00650EE4">
        <w:rPr>
          <w:rFonts w:ascii="Times New Roman" w:hAnsi="Times New Roman"/>
          <w:b/>
          <w:bCs/>
          <w:color w:val="000000" w:themeColor="text1"/>
          <w:szCs w:val="22"/>
          <w:lang w:val="lt-LT"/>
        </w:rPr>
        <w:t xml:space="preserve"> (priemonė P1)</w:t>
      </w:r>
    </w:p>
    <w:p w14:paraId="24BE956C" w14:textId="3AEE4599" w:rsidR="003C17E7" w:rsidRPr="00650EE4" w:rsidRDefault="003C17E7" w:rsidP="005878F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Už IRS įgyvendinimą atsakingo organizacinio struktūrinio vieneto, pvz., </w:t>
      </w:r>
      <w:proofErr w:type="spellStart"/>
      <w:r w:rsidRPr="00650EE4">
        <w:rPr>
          <w:rFonts w:ascii="Times New Roman" w:hAnsi="Times New Roman"/>
          <w:color w:val="000000" w:themeColor="text1"/>
          <w:szCs w:val="22"/>
          <w:lang w:val="lt-LT"/>
        </w:rPr>
        <w:t>tarpinstitucinės</w:t>
      </w:r>
      <w:proofErr w:type="spellEnd"/>
      <w:r w:rsidRPr="00650EE4">
        <w:rPr>
          <w:rFonts w:ascii="Times New Roman" w:hAnsi="Times New Roman"/>
          <w:color w:val="000000" w:themeColor="text1"/>
          <w:szCs w:val="22"/>
          <w:lang w:val="lt-LT"/>
        </w:rPr>
        <w:t xml:space="preserve"> darbo grupės (komiteto) (toliau – Projekto valdytojas), įkūrimas yra pirmas žingsnis siekiant įgyvendinti IRS pagal gerąją praktiką atitinkančius projektinio valdymo principus.</w:t>
      </w:r>
    </w:p>
    <w:p w14:paraId="7B666F87" w14:textId="77777777" w:rsidR="003C17E7" w:rsidRPr="00650EE4" w:rsidRDefault="003C17E7" w:rsidP="005878F6">
      <w:pPr>
        <w:pStyle w:val="BodyText"/>
        <w:jc w:val="both"/>
        <w:rPr>
          <w:rFonts w:ascii="Times New Roman" w:hAnsi="Times New Roman"/>
          <w:color w:val="000000" w:themeColor="text1"/>
          <w:szCs w:val="22"/>
          <w:lang w:val="lt-LT"/>
        </w:rPr>
      </w:pPr>
    </w:p>
    <w:p w14:paraId="10A7D5A7" w14:textId="61F0D2A6" w:rsidR="00F7712A" w:rsidRPr="00650EE4" w:rsidRDefault="00850AE9" w:rsidP="005878F6">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Projekto valdytojas </w:t>
      </w:r>
      <w:r w:rsidR="00C939BF" w:rsidRPr="00650EE4">
        <w:rPr>
          <w:rFonts w:ascii="Times New Roman" w:hAnsi="Times New Roman"/>
          <w:color w:val="000000" w:themeColor="text1"/>
          <w:szCs w:val="22"/>
          <w:lang w:val="lt-LT"/>
        </w:rPr>
        <w:t xml:space="preserve">įgyvendintų IRS </w:t>
      </w:r>
      <w:r w:rsidR="0037038B">
        <w:rPr>
          <w:rFonts w:ascii="Times New Roman" w:hAnsi="Times New Roman"/>
          <w:color w:val="000000" w:themeColor="text1"/>
          <w:szCs w:val="22"/>
          <w:lang w:val="lt-LT"/>
        </w:rPr>
        <w:t>p</w:t>
      </w:r>
      <w:r w:rsidR="00C939BF" w:rsidRPr="00650EE4">
        <w:rPr>
          <w:rFonts w:ascii="Times New Roman" w:hAnsi="Times New Roman"/>
          <w:color w:val="000000" w:themeColor="text1"/>
          <w:szCs w:val="22"/>
          <w:lang w:val="lt-LT"/>
        </w:rPr>
        <w:t>rojekto valdytojo funkcijas t.y., nustatytų įgaliojimų ribose, būtų atsakinga</w:t>
      </w:r>
      <w:r w:rsidR="0037038B">
        <w:rPr>
          <w:rFonts w:ascii="Times New Roman" w:hAnsi="Times New Roman"/>
          <w:color w:val="000000" w:themeColor="text1"/>
          <w:szCs w:val="22"/>
          <w:lang w:val="lt-LT"/>
        </w:rPr>
        <w:t>s</w:t>
      </w:r>
      <w:r w:rsidR="00C939BF" w:rsidRPr="00650EE4">
        <w:rPr>
          <w:rFonts w:ascii="Times New Roman" w:hAnsi="Times New Roman"/>
          <w:color w:val="000000" w:themeColor="text1"/>
          <w:szCs w:val="22"/>
          <w:lang w:val="lt-LT"/>
        </w:rPr>
        <w:t xml:space="preserve"> už IRS tikslų nustatymą, peržiūrą ir atnaujinimą, IRS suderinamumą su kitomis energinio efektyvumo ir AEI skatinimo politikos priemonėmis, energetikos sektoriaus planavimu ir pan. Darbo grupės sudėtis turėtų būti suformuota atsižvelgiant tiek į gerąją projektinio valdymo praktiką, tiek į pagrindinių suinteresuotų šalių (pvz.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aplinkos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energetikos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finansų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vidaus reikalų ministerija, L</w:t>
      </w:r>
      <w:r w:rsidR="0037038B">
        <w:rPr>
          <w:rFonts w:ascii="Times New Roman" w:hAnsi="Times New Roman"/>
          <w:color w:val="000000" w:themeColor="text1"/>
          <w:szCs w:val="22"/>
          <w:lang w:val="lt-LT"/>
        </w:rPr>
        <w:t xml:space="preserve">ietuvos </w:t>
      </w:r>
      <w:r w:rsidR="00C939BF"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C939BF" w:rsidRPr="00650EE4">
        <w:rPr>
          <w:rFonts w:ascii="Times New Roman" w:hAnsi="Times New Roman"/>
          <w:color w:val="000000" w:themeColor="text1"/>
          <w:szCs w:val="22"/>
          <w:lang w:val="lt-LT"/>
        </w:rPr>
        <w:t xml:space="preserve"> socialinės apsaugos ir darbo ministerija, Lietuvos savivaldybių asociacija, kt.) poreikius ir vaidmenį IRS įgyvendinimo procese.</w:t>
      </w:r>
    </w:p>
    <w:p w14:paraId="32B8D8C9" w14:textId="77777777" w:rsidR="00762F57" w:rsidRPr="00650EE4" w:rsidRDefault="00762F57" w:rsidP="005878F6">
      <w:pPr>
        <w:pStyle w:val="BodyText"/>
        <w:spacing w:after="120"/>
        <w:rPr>
          <w:rFonts w:ascii="Times New Roman" w:hAnsi="Times New Roman"/>
          <w:color w:val="000000" w:themeColor="text1"/>
          <w:szCs w:val="22"/>
          <w:lang w:val="lt-LT"/>
        </w:rPr>
      </w:pPr>
    </w:p>
    <w:p w14:paraId="01B24721" w14:textId="6D861030" w:rsidR="00762F57" w:rsidRPr="00650EE4" w:rsidRDefault="00762F57" w:rsidP="005878F6">
      <w:pPr>
        <w:pStyle w:val="BodyText"/>
        <w:numPr>
          <w:ilvl w:val="0"/>
          <w:numId w:val="76"/>
        </w:numPr>
        <w:spacing w:after="120"/>
        <w:ind w:left="0" w:firstLine="0"/>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IRS integracija į teisės aktų sistemą</w:t>
      </w:r>
      <w:r w:rsidR="00CF002B" w:rsidRPr="00650EE4">
        <w:rPr>
          <w:rFonts w:ascii="Times New Roman" w:hAnsi="Times New Roman"/>
          <w:b/>
          <w:bCs/>
          <w:color w:val="000000" w:themeColor="text1"/>
          <w:szCs w:val="22"/>
          <w:lang w:val="lt-LT"/>
        </w:rPr>
        <w:t xml:space="preserve"> (</w:t>
      </w:r>
      <w:r w:rsidR="00BC4B45" w:rsidRPr="00650EE4">
        <w:rPr>
          <w:rFonts w:ascii="Times New Roman" w:hAnsi="Times New Roman"/>
          <w:b/>
          <w:bCs/>
          <w:color w:val="000000" w:themeColor="text1"/>
          <w:szCs w:val="22"/>
          <w:lang w:val="lt-LT"/>
        </w:rPr>
        <w:t>priemonė P3)</w:t>
      </w:r>
    </w:p>
    <w:p w14:paraId="78FD72D6" w14:textId="2C14CB1C" w:rsidR="00762F57" w:rsidRPr="00650EE4" w:rsidRDefault="00FC0536" w:rsidP="003F6F32">
      <w:pPr>
        <w:pStyle w:val="BodyText"/>
        <w:jc w:val="both"/>
        <w:rPr>
          <w:rFonts w:ascii="Times New Roman" w:hAnsi="Times New Roman"/>
          <w:color w:val="000000" w:themeColor="text1"/>
          <w:szCs w:val="24"/>
          <w:lang w:val="lt-LT"/>
        </w:rPr>
      </w:pPr>
      <w:r w:rsidRPr="00650EE4">
        <w:rPr>
          <w:rFonts w:ascii="Times New Roman" w:hAnsi="Times New Roman"/>
          <w:color w:val="000000" w:themeColor="text1"/>
          <w:szCs w:val="24"/>
          <w:lang w:val="lt-LT"/>
        </w:rPr>
        <w:t>IRS įgyvendinimo  procesas yra itin fragmentuotas, su daug susijusių šalių, turinčių skirtingus interesus, veikiančių vadovaujantis skirtingais teisės aktais, savo indėlį į IRS įgyvendinimą finansuojančių skirtingais finansavimo šaltiniais ir pan. Atitinkamai, tam, kad IRS įgyvendinimui nekiltų su teisėkūra susijusių kliūčių, Projekto valdytojas turėtų inicijuoti IRS integraciją į teisės aktų sistemą, kurią sudarytų</w:t>
      </w:r>
      <w:r w:rsidR="00EC387A" w:rsidRPr="00650EE4">
        <w:rPr>
          <w:rFonts w:ascii="Times New Roman" w:hAnsi="Times New Roman"/>
          <w:color w:val="000000" w:themeColor="text1"/>
          <w:szCs w:val="22"/>
          <w:lang w:val="lt-LT"/>
        </w:rPr>
        <w:t>:</w:t>
      </w:r>
    </w:p>
    <w:p w14:paraId="48C7212E" w14:textId="4CC1E40C" w:rsidR="00B96594" w:rsidRPr="00650EE4" w:rsidRDefault="007B48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Vertikali integracija „aukštyn“</w:t>
      </w:r>
      <w:r w:rsidR="00EC387A" w:rsidRPr="00650EE4">
        <w:rPr>
          <w:rFonts w:ascii="Times New Roman" w:hAnsi="Times New Roman"/>
          <w:b/>
          <w:bCs/>
          <w:color w:val="000000" w:themeColor="text1"/>
          <w:szCs w:val="22"/>
          <w:lang w:val="lt-LT"/>
        </w:rPr>
        <w:t xml:space="preserve"> – </w:t>
      </w:r>
      <w:r w:rsidR="00FD25C8" w:rsidRPr="00650EE4">
        <w:rPr>
          <w:rFonts w:ascii="Times New Roman" w:hAnsi="Times New Roman"/>
          <w:szCs w:val="22"/>
          <w:lang w:val="lt-LT"/>
        </w:rPr>
        <w:t>integracija į aukštesnio lygmens strateginius</w:t>
      </w:r>
      <w:r w:rsidR="005C0212" w:rsidRPr="00650EE4">
        <w:rPr>
          <w:rFonts w:ascii="Times New Roman" w:hAnsi="Times New Roman"/>
          <w:szCs w:val="22"/>
          <w:lang w:val="lt-LT"/>
        </w:rPr>
        <w:t xml:space="preserve"> dokumentus</w:t>
      </w:r>
      <w:r w:rsidR="00EC387A" w:rsidRPr="00650EE4">
        <w:rPr>
          <w:rFonts w:ascii="Times New Roman" w:hAnsi="Times New Roman"/>
          <w:szCs w:val="22"/>
          <w:lang w:val="lt-LT"/>
        </w:rPr>
        <w:t xml:space="preserve"> (</w:t>
      </w:r>
      <w:r w:rsidR="005C0212" w:rsidRPr="00650EE4">
        <w:rPr>
          <w:rFonts w:ascii="Times New Roman" w:hAnsi="Times New Roman"/>
          <w:szCs w:val="22"/>
          <w:lang w:val="lt-LT"/>
        </w:rPr>
        <w:t>pvz.</w:t>
      </w:r>
      <w:r w:rsidR="00EC387A" w:rsidRPr="00650EE4">
        <w:rPr>
          <w:rFonts w:ascii="Times New Roman" w:hAnsi="Times New Roman"/>
          <w:szCs w:val="22"/>
          <w:lang w:val="lt-LT"/>
        </w:rPr>
        <w:t>,</w:t>
      </w:r>
      <w:r w:rsidR="005C0212" w:rsidRPr="00650EE4">
        <w:rPr>
          <w:rFonts w:ascii="Times New Roman" w:hAnsi="Times New Roman"/>
          <w:szCs w:val="22"/>
          <w:lang w:val="lt-LT"/>
        </w:rPr>
        <w:t xml:space="preserve"> NECP ir Nacionalinę</w:t>
      </w:r>
      <w:r w:rsidR="00FD25C8" w:rsidRPr="00650EE4">
        <w:rPr>
          <w:rFonts w:ascii="Times New Roman" w:hAnsi="Times New Roman"/>
          <w:szCs w:val="22"/>
          <w:lang w:val="lt-LT"/>
        </w:rPr>
        <w:t xml:space="preserve"> pažangos progr</w:t>
      </w:r>
      <w:r w:rsidR="005C0212" w:rsidRPr="00650EE4">
        <w:rPr>
          <w:rFonts w:ascii="Times New Roman" w:hAnsi="Times New Roman"/>
          <w:szCs w:val="22"/>
          <w:lang w:val="lt-LT"/>
        </w:rPr>
        <w:t>amą</w:t>
      </w:r>
      <w:r w:rsidR="00EC387A" w:rsidRPr="00650EE4">
        <w:rPr>
          <w:rFonts w:ascii="Times New Roman" w:hAnsi="Times New Roman"/>
          <w:szCs w:val="22"/>
          <w:lang w:val="lt-LT"/>
        </w:rPr>
        <w:t>)</w:t>
      </w:r>
      <w:r w:rsidR="00FD25C8" w:rsidRPr="00650EE4">
        <w:rPr>
          <w:rFonts w:ascii="Times New Roman" w:hAnsi="Times New Roman"/>
          <w:szCs w:val="22"/>
          <w:lang w:val="lt-LT"/>
        </w:rPr>
        <w:t>.</w:t>
      </w:r>
    </w:p>
    <w:p w14:paraId="30827DC4" w14:textId="25415B02" w:rsidR="00EC387A" w:rsidRPr="00650EE4" w:rsidRDefault="00EC387A"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 xml:space="preserve">Horizontali integracija – </w:t>
      </w:r>
      <w:r w:rsidRPr="00650EE4">
        <w:rPr>
          <w:rFonts w:ascii="Times New Roman" w:hAnsi="Times New Roman"/>
          <w:color w:val="000000" w:themeColor="text1"/>
          <w:szCs w:val="22"/>
          <w:lang w:val="lt-LT"/>
        </w:rPr>
        <w:t>susijusių  sektorių strateginių teisės aktų atnaujinimas, integruojant IRS nustatytus tikslus ir</w:t>
      </w:r>
      <w:r w:rsidR="0037038B">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w:t>
      </w:r>
      <w:r w:rsidR="0037038B">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arba jų įgyvendinimo poveikį (pvz., energetikos sektoriaus strategijos turėtų būti suderintos su IRS planuojamu energijos vartojimo mažėjimu). </w:t>
      </w:r>
    </w:p>
    <w:p w14:paraId="104E2F7F" w14:textId="1E5A8EAF" w:rsidR="002A7C44" w:rsidRPr="00650EE4" w:rsidRDefault="007B48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b/>
          <w:bCs/>
          <w:color w:val="000000" w:themeColor="text1"/>
          <w:szCs w:val="22"/>
          <w:lang w:val="lt-LT"/>
        </w:rPr>
        <w:t>V</w:t>
      </w:r>
      <w:r w:rsidR="00A42464" w:rsidRPr="00650EE4">
        <w:rPr>
          <w:rFonts w:ascii="Times New Roman" w:hAnsi="Times New Roman"/>
          <w:b/>
          <w:bCs/>
          <w:color w:val="000000" w:themeColor="text1"/>
          <w:szCs w:val="22"/>
          <w:lang w:val="lt-LT"/>
        </w:rPr>
        <w:t>ertikal</w:t>
      </w:r>
      <w:r w:rsidRPr="00650EE4">
        <w:rPr>
          <w:rFonts w:ascii="Times New Roman" w:hAnsi="Times New Roman"/>
          <w:b/>
          <w:bCs/>
          <w:color w:val="000000" w:themeColor="text1"/>
          <w:szCs w:val="22"/>
          <w:lang w:val="lt-LT"/>
        </w:rPr>
        <w:t>i integracija „žemyn“</w:t>
      </w:r>
      <w:r w:rsidR="002A7C44" w:rsidRPr="00650EE4">
        <w:rPr>
          <w:rFonts w:ascii="Times New Roman" w:hAnsi="Times New Roman"/>
          <w:b/>
          <w:bCs/>
          <w:color w:val="000000" w:themeColor="text1"/>
          <w:szCs w:val="22"/>
          <w:lang w:val="lt-LT"/>
        </w:rPr>
        <w:t xml:space="preserve"> </w:t>
      </w:r>
      <w:r w:rsidR="002A7C44" w:rsidRPr="00650EE4">
        <w:rPr>
          <w:rFonts w:ascii="Times New Roman" w:hAnsi="Times New Roman"/>
          <w:bCs/>
          <w:color w:val="000000" w:themeColor="text1"/>
          <w:szCs w:val="22"/>
          <w:lang w:val="lt-LT"/>
        </w:rPr>
        <w:t>– integracija į žemesnio lygmens teisės aktus, pvz.:</w:t>
      </w:r>
    </w:p>
    <w:p w14:paraId="540B326C" w14:textId="47439666" w:rsidR="00762F57" w:rsidRPr="00650EE4" w:rsidRDefault="005C0212" w:rsidP="00BD4925">
      <w:pPr>
        <w:pStyle w:val="ListParagraph"/>
        <w:numPr>
          <w:ilvl w:val="0"/>
          <w:numId w:val="62"/>
        </w:numPr>
        <w:spacing w:before="60" w:after="60"/>
        <w:ind w:left="993" w:hanging="284"/>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savivaldos</w:t>
      </w:r>
      <w:r w:rsidR="00762F57" w:rsidRPr="00650EE4">
        <w:rPr>
          <w:rFonts w:ascii="Times New Roman" w:hAnsi="Times New Roman"/>
          <w:b/>
          <w:color w:val="000000" w:themeColor="text1"/>
          <w:szCs w:val="22"/>
          <w:lang w:val="lt-LT"/>
        </w:rPr>
        <w:t xml:space="preserve"> vaidmens ir atsakomybių </w:t>
      </w:r>
      <w:r w:rsidRPr="00650EE4">
        <w:rPr>
          <w:rFonts w:ascii="Times New Roman" w:hAnsi="Times New Roman"/>
          <w:b/>
          <w:color w:val="000000" w:themeColor="text1"/>
          <w:szCs w:val="22"/>
          <w:lang w:val="lt-LT"/>
        </w:rPr>
        <w:t>modelio formalizavimas</w:t>
      </w:r>
      <w:r w:rsidR="00762F57" w:rsidRPr="00650EE4">
        <w:rPr>
          <w:rFonts w:ascii="Times New Roman" w:hAnsi="Times New Roman"/>
          <w:color w:val="000000" w:themeColor="text1"/>
          <w:szCs w:val="22"/>
          <w:lang w:val="lt-LT"/>
        </w:rPr>
        <w:t>, pasirenkant įpareigojimo (pvz., numatant naujus įpareigojimus L</w:t>
      </w:r>
      <w:r w:rsidR="0037038B">
        <w:rPr>
          <w:rFonts w:ascii="Times New Roman" w:hAnsi="Times New Roman"/>
          <w:color w:val="000000" w:themeColor="text1"/>
          <w:szCs w:val="22"/>
          <w:lang w:val="lt-LT"/>
        </w:rPr>
        <w:t xml:space="preserve">ietuvos </w:t>
      </w:r>
      <w:r w:rsidR="00762F57" w:rsidRPr="00650EE4">
        <w:rPr>
          <w:rFonts w:ascii="Times New Roman" w:hAnsi="Times New Roman"/>
          <w:color w:val="000000" w:themeColor="text1"/>
          <w:szCs w:val="22"/>
          <w:lang w:val="lt-LT"/>
        </w:rPr>
        <w:t>R</w:t>
      </w:r>
      <w:r w:rsidR="0037038B">
        <w:rPr>
          <w:rFonts w:ascii="Times New Roman" w:hAnsi="Times New Roman"/>
          <w:color w:val="000000" w:themeColor="text1"/>
          <w:szCs w:val="22"/>
          <w:lang w:val="lt-LT"/>
        </w:rPr>
        <w:t>espublikos</w:t>
      </w:r>
      <w:r w:rsidR="00762F57" w:rsidRPr="00650EE4">
        <w:rPr>
          <w:rFonts w:ascii="Times New Roman" w:hAnsi="Times New Roman"/>
          <w:color w:val="000000" w:themeColor="text1"/>
          <w:szCs w:val="22"/>
          <w:lang w:val="lt-LT"/>
        </w:rPr>
        <w:t xml:space="preserve"> savivaldos įstatyme) arba susitarimo formatą </w:t>
      </w:r>
      <w:r w:rsidR="00762F57" w:rsidRPr="00650EE4">
        <w:rPr>
          <w:rFonts w:ascii="Times New Roman" w:hAnsi="Times New Roman"/>
          <w:color w:val="000000" w:themeColor="text1"/>
          <w:szCs w:val="22"/>
          <w:lang w:val="lt-LT"/>
        </w:rPr>
        <w:lastRenderedPageBreak/>
        <w:t>(pvz., pasirašant susitar</w:t>
      </w:r>
      <w:r w:rsidR="00C96A4D" w:rsidRPr="00650EE4">
        <w:rPr>
          <w:rFonts w:ascii="Times New Roman" w:hAnsi="Times New Roman"/>
          <w:color w:val="000000" w:themeColor="text1"/>
          <w:szCs w:val="22"/>
          <w:lang w:val="lt-LT"/>
        </w:rPr>
        <w:t xml:space="preserve">imus su kiekviena savivaldybe), bei nustatant su IRS vykdymu susijusius įpareigojimus pvz. </w:t>
      </w:r>
      <w:r w:rsidR="00762F57" w:rsidRPr="00650EE4">
        <w:rPr>
          <w:rFonts w:ascii="Times New Roman" w:hAnsi="Times New Roman"/>
          <w:color w:val="000000" w:themeColor="text1"/>
          <w:szCs w:val="22"/>
          <w:lang w:val="lt-LT"/>
        </w:rPr>
        <w:t xml:space="preserve">surinkti duomenis apie savivaldybių pastatų fondą (žr. </w:t>
      </w:r>
      <w:r w:rsidR="003174F3" w:rsidRPr="00650EE4">
        <w:rPr>
          <w:rFonts w:ascii="Times New Roman" w:hAnsi="Times New Roman"/>
          <w:color w:val="000000" w:themeColor="text1"/>
          <w:szCs w:val="22"/>
          <w:lang w:val="lt-LT"/>
        </w:rPr>
        <w:t>9</w:t>
      </w:r>
      <w:r w:rsidR="00762F57" w:rsidRPr="00650EE4">
        <w:rPr>
          <w:rFonts w:ascii="Times New Roman" w:hAnsi="Times New Roman"/>
          <w:color w:val="000000" w:themeColor="text1"/>
          <w:szCs w:val="22"/>
          <w:lang w:val="lt-LT"/>
        </w:rPr>
        <w:t xml:space="preserve"> etapą), </w:t>
      </w:r>
      <w:r w:rsidR="00C96A4D" w:rsidRPr="00650EE4">
        <w:rPr>
          <w:rFonts w:ascii="Times New Roman" w:hAnsi="Times New Roman"/>
          <w:color w:val="000000" w:themeColor="text1"/>
          <w:szCs w:val="22"/>
          <w:lang w:val="lt-LT"/>
        </w:rPr>
        <w:t>pa</w:t>
      </w:r>
      <w:r w:rsidR="00762F57" w:rsidRPr="00650EE4">
        <w:rPr>
          <w:rFonts w:ascii="Times New Roman" w:hAnsi="Times New Roman"/>
          <w:color w:val="000000" w:themeColor="text1"/>
          <w:szCs w:val="22"/>
          <w:lang w:val="lt-LT"/>
        </w:rPr>
        <w:t xml:space="preserve">rengti savivaldybių IRS įgyvendinimo planus (žr. </w:t>
      </w:r>
      <w:r w:rsidR="003174F3" w:rsidRPr="00650EE4">
        <w:rPr>
          <w:rFonts w:ascii="Times New Roman" w:hAnsi="Times New Roman"/>
          <w:color w:val="000000" w:themeColor="text1"/>
          <w:szCs w:val="22"/>
          <w:lang w:val="lt-LT"/>
        </w:rPr>
        <w:t>10 </w:t>
      </w:r>
      <w:r w:rsidR="00762F57" w:rsidRPr="00650EE4">
        <w:rPr>
          <w:rFonts w:ascii="Times New Roman" w:hAnsi="Times New Roman"/>
          <w:color w:val="000000" w:themeColor="text1"/>
          <w:szCs w:val="22"/>
          <w:lang w:val="lt-LT"/>
        </w:rPr>
        <w:t>etapą</w:t>
      </w:r>
      <w:r w:rsidR="00C96A4D" w:rsidRPr="00650EE4">
        <w:rPr>
          <w:rFonts w:ascii="Times New Roman" w:hAnsi="Times New Roman"/>
          <w:color w:val="000000" w:themeColor="text1"/>
          <w:szCs w:val="22"/>
          <w:lang w:val="lt-LT"/>
        </w:rPr>
        <w:t>),</w:t>
      </w:r>
      <w:r w:rsidR="00762F57" w:rsidRPr="00650EE4">
        <w:rPr>
          <w:rFonts w:ascii="Times New Roman" w:hAnsi="Times New Roman"/>
          <w:color w:val="000000" w:themeColor="text1"/>
          <w:szCs w:val="22"/>
          <w:lang w:val="lt-LT"/>
        </w:rPr>
        <w:t xml:space="preserve"> įgyvendinti vieno langelio principą (žr. 1</w:t>
      </w:r>
      <w:r w:rsidR="003174F3" w:rsidRPr="00650EE4">
        <w:rPr>
          <w:rFonts w:ascii="Times New Roman" w:hAnsi="Times New Roman"/>
          <w:color w:val="000000" w:themeColor="text1"/>
          <w:szCs w:val="22"/>
          <w:lang w:val="lt-LT"/>
        </w:rPr>
        <w:t>1</w:t>
      </w:r>
      <w:r w:rsidR="00762F57" w:rsidRPr="00650EE4">
        <w:rPr>
          <w:rFonts w:ascii="Times New Roman" w:hAnsi="Times New Roman"/>
          <w:color w:val="000000" w:themeColor="text1"/>
          <w:szCs w:val="22"/>
          <w:lang w:val="lt-LT"/>
        </w:rPr>
        <w:t xml:space="preserve"> etapą)</w:t>
      </w:r>
      <w:r w:rsidR="00C96A4D" w:rsidRPr="00650EE4">
        <w:rPr>
          <w:rFonts w:ascii="Times New Roman" w:hAnsi="Times New Roman"/>
          <w:color w:val="000000" w:themeColor="text1"/>
          <w:szCs w:val="22"/>
          <w:lang w:val="lt-LT"/>
        </w:rPr>
        <w:t xml:space="preserve"> ir pan</w:t>
      </w:r>
      <w:r w:rsidR="00762F57" w:rsidRPr="00650EE4">
        <w:rPr>
          <w:rFonts w:ascii="Times New Roman" w:hAnsi="Times New Roman"/>
          <w:color w:val="000000" w:themeColor="text1"/>
          <w:szCs w:val="22"/>
          <w:lang w:val="lt-LT"/>
        </w:rPr>
        <w:t xml:space="preserve">. </w:t>
      </w:r>
    </w:p>
    <w:p w14:paraId="68B26B9E" w14:textId="48B8DA86" w:rsidR="002A7C44" w:rsidRPr="00650EE4" w:rsidRDefault="00F36960" w:rsidP="00BD4925">
      <w:pPr>
        <w:pStyle w:val="ListParagraph"/>
        <w:numPr>
          <w:ilvl w:val="0"/>
          <w:numId w:val="62"/>
        </w:numPr>
        <w:spacing w:before="60" w:after="60"/>
        <w:ind w:left="993" w:hanging="284"/>
        <w:contextualSpacing w:val="0"/>
        <w:jc w:val="both"/>
        <w:rPr>
          <w:rFonts w:ascii="Times New Roman" w:hAnsi="Times New Roman"/>
          <w:color w:val="000000" w:themeColor="text1"/>
          <w:szCs w:val="22"/>
          <w:lang w:val="lt-LT"/>
        </w:rPr>
      </w:pPr>
      <w:r w:rsidRPr="00650EE4">
        <w:rPr>
          <w:rFonts w:ascii="Times New Roman" w:hAnsi="Times New Roman"/>
          <w:b/>
          <w:color w:val="000000" w:themeColor="text1"/>
          <w:szCs w:val="22"/>
          <w:lang w:val="lt-LT"/>
        </w:rPr>
        <w:t>griežtesnių minimal</w:t>
      </w:r>
      <w:r w:rsidR="00DC723F" w:rsidRPr="00650EE4">
        <w:rPr>
          <w:rFonts w:ascii="Times New Roman" w:hAnsi="Times New Roman"/>
          <w:b/>
          <w:color w:val="000000" w:themeColor="text1"/>
          <w:szCs w:val="22"/>
          <w:lang w:val="lt-LT"/>
        </w:rPr>
        <w:t>ių</w:t>
      </w:r>
      <w:r w:rsidRPr="00650EE4">
        <w:rPr>
          <w:rFonts w:ascii="Times New Roman" w:hAnsi="Times New Roman"/>
          <w:b/>
          <w:color w:val="000000" w:themeColor="text1"/>
          <w:szCs w:val="22"/>
          <w:lang w:val="lt-LT"/>
        </w:rPr>
        <w:t xml:space="preserve"> reikalavimai renovuojamų pastatų siekiamai energinio naudingumo klasei (energijos vartojimui) įteisinimas</w:t>
      </w:r>
      <w:r w:rsidR="007B46E4" w:rsidRPr="00650EE4">
        <w:rPr>
          <w:rFonts w:ascii="Times New Roman" w:hAnsi="Times New Roman"/>
          <w:color w:val="000000" w:themeColor="text1"/>
          <w:szCs w:val="22"/>
          <w:lang w:val="lt-LT"/>
        </w:rPr>
        <w:t xml:space="preserve">, </w:t>
      </w:r>
      <w:r w:rsidR="002A7C44" w:rsidRPr="00650EE4">
        <w:rPr>
          <w:rFonts w:ascii="Times New Roman" w:hAnsi="Times New Roman"/>
          <w:color w:val="000000" w:themeColor="text1"/>
          <w:szCs w:val="22"/>
          <w:lang w:val="lt-LT"/>
        </w:rPr>
        <w:t xml:space="preserve">siekiant, kad pagal esamas renovacijos programas iki C energinio naudingumo klasės renovuotų pastatų nereikėtų renovuoti dar kartą. </w:t>
      </w:r>
    </w:p>
    <w:p w14:paraId="18FCA1A2" w14:textId="77777777" w:rsidR="0082501E" w:rsidRPr="00650EE4" w:rsidRDefault="0082501E" w:rsidP="00F37EB4">
      <w:pPr>
        <w:pStyle w:val="BodyText"/>
        <w:rPr>
          <w:rFonts w:ascii="Times New Roman" w:hAnsi="Times New Roman"/>
          <w:color w:val="000000" w:themeColor="text1"/>
          <w:szCs w:val="22"/>
          <w:lang w:val="lt-LT"/>
        </w:rPr>
      </w:pPr>
    </w:p>
    <w:p w14:paraId="10C86997" w14:textId="1D111414" w:rsidR="00F37EB4" w:rsidRPr="00650EE4" w:rsidRDefault="00F37EB4"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IRS įgyvendinimo plano parengimas</w:t>
      </w:r>
      <w:r w:rsidR="00EC3158" w:rsidRPr="00650EE4">
        <w:rPr>
          <w:rFonts w:ascii="Times New Roman" w:hAnsi="Times New Roman"/>
          <w:b/>
          <w:bCs/>
          <w:color w:val="000000" w:themeColor="text1"/>
          <w:szCs w:val="22"/>
          <w:lang w:val="lt-LT"/>
        </w:rPr>
        <w:t xml:space="preserve"> </w:t>
      </w:r>
    </w:p>
    <w:p w14:paraId="24F1F1D2" w14:textId="4FE847A3" w:rsidR="00C250FE" w:rsidRPr="00650EE4" w:rsidRDefault="00C250FE" w:rsidP="004F31B7">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Vadovaujantis </w:t>
      </w:r>
      <w:r w:rsidR="0084525F" w:rsidRPr="00650EE4">
        <w:rPr>
          <w:rFonts w:ascii="Times New Roman" w:hAnsi="Times New Roman"/>
          <w:color w:val="000000" w:themeColor="text1"/>
          <w:szCs w:val="22"/>
          <w:lang w:val="lt-LT"/>
        </w:rPr>
        <w:t>strateginio planavimo praktika ir reikalavimai</w:t>
      </w:r>
      <w:r w:rsidRPr="00650EE4">
        <w:rPr>
          <w:rFonts w:ascii="Times New Roman" w:hAnsi="Times New Roman"/>
          <w:color w:val="000000" w:themeColor="text1"/>
          <w:szCs w:val="22"/>
          <w:lang w:val="lt-LT"/>
        </w:rPr>
        <w:t>s</w:t>
      </w:r>
      <w:r w:rsidR="0084525F" w:rsidRPr="00650EE4">
        <w:rPr>
          <w:rFonts w:ascii="Times New Roman" w:hAnsi="Times New Roman"/>
          <w:color w:val="000000" w:themeColor="text1"/>
          <w:szCs w:val="22"/>
          <w:lang w:val="lt-LT"/>
        </w:rPr>
        <w:t>, i</w:t>
      </w:r>
      <w:r w:rsidR="00AD1328" w:rsidRPr="00650EE4">
        <w:rPr>
          <w:rFonts w:ascii="Times New Roman" w:hAnsi="Times New Roman"/>
          <w:color w:val="000000" w:themeColor="text1"/>
          <w:szCs w:val="22"/>
          <w:lang w:val="lt-LT"/>
        </w:rPr>
        <w:t>lgalaikia</w:t>
      </w:r>
      <w:r w:rsidR="00706A0F" w:rsidRPr="00650EE4">
        <w:rPr>
          <w:rFonts w:ascii="Times New Roman" w:hAnsi="Times New Roman"/>
          <w:color w:val="000000" w:themeColor="text1"/>
          <w:szCs w:val="22"/>
          <w:lang w:val="lt-LT"/>
        </w:rPr>
        <w:t>i</w:t>
      </w:r>
      <w:r w:rsidR="002D104C" w:rsidRPr="00650EE4">
        <w:rPr>
          <w:rFonts w:ascii="Times New Roman" w:hAnsi="Times New Roman"/>
          <w:color w:val="000000" w:themeColor="text1"/>
          <w:szCs w:val="22"/>
          <w:lang w:val="lt-LT"/>
        </w:rPr>
        <w:t xml:space="preserve"> IRS tiksl</w:t>
      </w:r>
      <w:r w:rsidR="00AD1328" w:rsidRPr="00650EE4">
        <w:rPr>
          <w:rFonts w:ascii="Times New Roman" w:hAnsi="Times New Roman"/>
          <w:color w:val="000000" w:themeColor="text1"/>
          <w:szCs w:val="22"/>
          <w:lang w:val="lt-LT"/>
        </w:rPr>
        <w:t xml:space="preserve">ai ir prioritetai </w:t>
      </w:r>
      <w:r w:rsidR="000B7529" w:rsidRPr="00650EE4">
        <w:rPr>
          <w:rFonts w:ascii="Times New Roman" w:hAnsi="Times New Roman"/>
          <w:color w:val="000000" w:themeColor="text1"/>
          <w:szCs w:val="22"/>
          <w:lang w:val="lt-LT"/>
        </w:rPr>
        <w:t>detalizuojami</w:t>
      </w:r>
      <w:r w:rsidR="00AD1328" w:rsidRPr="00650EE4">
        <w:rPr>
          <w:rFonts w:ascii="Times New Roman" w:hAnsi="Times New Roman"/>
          <w:color w:val="000000" w:themeColor="text1"/>
          <w:szCs w:val="22"/>
          <w:lang w:val="lt-LT"/>
        </w:rPr>
        <w:t xml:space="preserve"> </w:t>
      </w:r>
      <w:r w:rsidR="000C0E81" w:rsidRPr="00650EE4">
        <w:rPr>
          <w:rFonts w:ascii="Times New Roman" w:hAnsi="Times New Roman"/>
          <w:color w:val="000000" w:themeColor="text1"/>
          <w:szCs w:val="22"/>
          <w:lang w:val="lt-LT"/>
        </w:rPr>
        <w:t>trumpos-</w:t>
      </w:r>
      <w:r w:rsidR="002D104C" w:rsidRPr="00650EE4">
        <w:rPr>
          <w:rFonts w:ascii="Times New Roman" w:hAnsi="Times New Roman"/>
          <w:color w:val="000000" w:themeColor="text1"/>
          <w:szCs w:val="22"/>
          <w:lang w:val="lt-LT"/>
        </w:rPr>
        <w:t>vidutinės trukmės planavimo dokumente</w:t>
      </w:r>
      <w:r w:rsidR="000B7529" w:rsidRPr="00650EE4">
        <w:rPr>
          <w:rFonts w:ascii="Times New Roman" w:hAnsi="Times New Roman"/>
          <w:color w:val="000000" w:themeColor="text1"/>
          <w:szCs w:val="22"/>
          <w:lang w:val="lt-LT"/>
        </w:rPr>
        <w:t xml:space="preserve"> (pvz., IRS įgyvendinimo plane arba </w:t>
      </w:r>
      <w:proofErr w:type="spellStart"/>
      <w:r w:rsidR="000B7529" w:rsidRPr="00650EE4">
        <w:rPr>
          <w:rFonts w:ascii="Times New Roman" w:hAnsi="Times New Roman"/>
          <w:color w:val="000000" w:themeColor="text1"/>
          <w:szCs w:val="22"/>
          <w:lang w:val="lt-LT"/>
        </w:rPr>
        <w:t>tarpinstituciniame</w:t>
      </w:r>
      <w:proofErr w:type="spellEnd"/>
      <w:r w:rsidR="000B7529" w:rsidRPr="00650EE4">
        <w:rPr>
          <w:rFonts w:ascii="Times New Roman" w:hAnsi="Times New Roman"/>
          <w:color w:val="000000" w:themeColor="text1"/>
          <w:szCs w:val="22"/>
          <w:lang w:val="lt-LT"/>
        </w:rPr>
        <w:t xml:space="preserve"> IRS įgyvendinimo veiklos plane)</w:t>
      </w:r>
      <w:r w:rsidR="004762C3" w:rsidRPr="00650EE4">
        <w:rPr>
          <w:rFonts w:ascii="Times New Roman" w:hAnsi="Times New Roman"/>
          <w:color w:val="000000" w:themeColor="text1"/>
          <w:szCs w:val="22"/>
          <w:lang w:val="lt-LT"/>
        </w:rPr>
        <w:t>,</w:t>
      </w:r>
      <w:r w:rsidR="000C0E81" w:rsidRPr="00650EE4">
        <w:rPr>
          <w:rFonts w:ascii="Times New Roman" w:hAnsi="Times New Roman"/>
          <w:color w:val="000000" w:themeColor="text1"/>
          <w:szCs w:val="22"/>
          <w:lang w:val="lt-LT"/>
        </w:rPr>
        <w:t xml:space="preserve"> apimančiame visas suinteresuotas institucijas</w:t>
      </w:r>
      <w:r w:rsidR="000B7529" w:rsidRPr="00650EE4">
        <w:rPr>
          <w:rFonts w:ascii="Times New Roman" w:hAnsi="Times New Roman"/>
          <w:color w:val="000000" w:themeColor="text1"/>
          <w:szCs w:val="22"/>
          <w:lang w:val="lt-LT"/>
        </w:rPr>
        <w:t xml:space="preserve"> ir nustatančiame</w:t>
      </w:r>
      <w:r w:rsidR="000C0E81" w:rsidRPr="00650EE4">
        <w:rPr>
          <w:rFonts w:ascii="Times New Roman" w:hAnsi="Times New Roman"/>
          <w:color w:val="000000" w:themeColor="text1"/>
          <w:szCs w:val="22"/>
          <w:lang w:val="lt-LT"/>
        </w:rPr>
        <w:t xml:space="preserve"> </w:t>
      </w:r>
      <w:r w:rsidR="00EC3158" w:rsidRPr="00650EE4">
        <w:rPr>
          <w:rFonts w:ascii="Times New Roman" w:hAnsi="Times New Roman"/>
          <w:color w:val="000000" w:themeColor="text1"/>
          <w:szCs w:val="22"/>
          <w:lang w:val="lt-LT"/>
        </w:rPr>
        <w:t>2021-</w:t>
      </w:r>
      <w:r w:rsidR="000B7529" w:rsidRPr="00650EE4">
        <w:rPr>
          <w:rFonts w:ascii="Times New Roman" w:hAnsi="Times New Roman"/>
          <w:color w:val="000000" w:themeColor="text1"/>
          <w:szCs w:val="22"/>
          <w:lang w:val="lt-LT"/>
        </w:rPr>
        <w:t>2030 m</w:t>
      </w:r>
      <w:r w:rsidR="00EC3158" w:rsidRPr="00650EE4">
        <w:rPr>
          <w:rFonts w:ascii="Times New Roman" w:hAnsi="Times New Roman"/>
          <w:color w:val="000000" w:themeColor="text1"/>
          <w:szCs w:val="22"/>
          <w:lang w:val="lt-LT"/>
        </w:rPr>
        <w:t>. laikotarpio</w:t>
      </w:r>
      <w:r w:rsidR="000B7529" w:rsidRPr="00650EE4">
        <w:rPr>
          <w:rFonts w:ascii="Times New Roman" w:hAnsi="Times New Roman"/>
          <w:color w:val="000000" w:themeColor="text1"/>
          <w:szCs w:val="22"/>
          <w:vertAlign w:val="superscript"/>
          <w:lang w:val="lt-LT"/>
        </w:rPr>
        <w:footnoteReference w:id="64"/>
      </w:r>
      <w:r w:rsidR="000B7529" w:rsidRPr="00650EE4">
        <w:rPr>
          <w:rFonts w:ascii="Times New Roman" w:hAnsi="Times New Roman"/>
          <w:color w:val="000000" w:themeColor="text1"/>
          <w:szCs w:val="22"/>
          <w:lang w:val="lt-LT"/>
        </w:rPr>
        <w:t xml:space="preserve"> </w:t>
      </w:r>
      <w:r w:rsidR="000C0E81" w:rsidRPr="00650EE4">
        <w:rPr>
          <w:rFonts w:ascii="Times New Roman" w:hAnsi="Times New Roman"/>
          <w:color w:val="000000" w:themeColor="text1"/>
          <w:szCs w:val="22"/>
          <w:lang w:val="lt-LT"/>
        </w:rPr>
        <w:t xml:space="preserve">IRS </w:t>
      </w:r>
      <w:r w:rsidR="000B7529" w:rsidRPr="00650EE4">
        <w:rPr>
          <w:rFonts w:ascii="Times New Roman" w:hAnsi="Times New Roman"/>
          <w:color w:val="000000" w:themeColor="text1"/>
          <w:szCs w:val="22"/>
          <w:lang w:val="lt-LT"/>
        </w:rPr>
        <w:t xml:space="preserve">tikslus,  uždavinius, </w:t>
      </w:r>
      <w:r w:rsidR="000C0E81" w:rsidRPr="00650EE4">
        <w:rPr>
          <w:rFonts w:ascii="Times New Roman" w:hAnsi="Times New Roman"/>
          <w:color w:val="000000" w:themeColor="text1"/>
          <w:szCs w:val="22"/>
          <w:lang w:val="lt-LT"/>
        </w:rPr>
        <w:t>priemones (žr. 4 etapą)</w:t>
      </w:r>
      <w:r w:rsidR="000B7529" w:rsidRPr="00650EE4">
        <w:rPr>
          <w:rFonts w:ascii="Times New Roman" w:hAnsi="Times New Roman"/>
          <w:color w:val="000000" w:themeColor="text1"/>
          <w:szCs w:val="22"/>
          <w:lang w:val="lt-LT"/>
        </w:rPr>
        <w:t xml:space="preserve"> ir</w:t>
      </w:r>
      <w:r w:rsidR="000C0E81" w:rsidRPr="00650EE4">
        <w:rPr>
          <w:rFonts w:ascii="Times New Roman" w:hAnsi="Times New Roman"/>
          <w:color w:val="000000" w:themeColor="text1"/>
          <w:szCs w:val="22"/>
          <w:lang w:val="lt-LT"/>
        </w:rPr>
        <w:t xml:space="preserve"> asignavimus jiems įgyvendinti</w:t>
      </w:r>
      <w:r w:rsidR="00BB09EC" w:rsidRPr="00650EE4">
        <w:rPr>
          <w:rFonts w:ascii="Times New Roman" w:hAnsi="Times New Roman"/>
          <w:color w:val="000000" w:themeColor="text1"/>
          <w:szCs w:val="22"/>
          <w:lang w:val="lt-LT"/>
        </w:rPr>
        <w:t xml:space="preserve">. </w:t>
      </w:r>
    </w:p>
    <w:p w14:paraId="658B3A24" w14:textId="77777777" w:rsidR="004F31B7" w:rsidRPr="00650EE4" w:rsidRDefault="004F31B7" w:rsidP="004F31B7">
      <w:pPr>
        <w:pStyle w:val="BodyText"/>
        <w:spacing w:after="120"/>
        <w:jc w:val="both"/>
        <w:rPr>
          <w:rFonts w:ascii="Times New Roman" w:hAnsi="Times New Roman"/>
          <w:color w:val="000000" w:themeColor="text1"/>
          <w:szCs w:val="22"/>
          <w:lang w:val="lt-LT"/>
        </w:rPr>
      </w:pPr>
    </w:p>
    <w:p w14:paraId="60AB118C" w14:textId="3FE27746" w:rsidR="00FA6917" w:rsidRPr="00650EE4" w:rsidRDefault="00FA6917"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 xml:space="preserve">Priemonių paketo </w:t>
      </w:r>
      <w:r w:rsidR="00762F57" w:rsidRPr="00650EE4">
        <w:rPr>
          <w:rFonts w:ascii="Times New Roman" w:hAnsi="Times New Roman"/>
          <w:b/>
          <w:bCs/>
          <w:color w:val="000000" w:themeColor="text1"/>
          <w:szCs w:val="22"/>
          <w:lang w:val="lt-LT"/>
        </w:rPr>
        <w:t>suformavimas</w:t>
      </w:r>
      <w:r w:rsidR="00EF0A54" w:rsidRPr="00650EE4">
        <w:rPr>
          <w:rFonts w:ascii="Times New Roman" w:hAnsi="Times New Roman"/>
          <w:b/>
          <w:bCs/>
          <w:color w:val="000000" w:themeColor="text1"/>
          <w:szCs w:val="22"/>
          <w:lang w:val="lt-LT"/>
        </w:rPr>
        <w:t xml:space="preserve"> (</w:t>
      </w:r>
      <w:r w:rsidR="00A3300E" w:rsidRPr="00650EE4">
        <w:rPr>
          <w:rFonts w:ascii="Times New Roman" w:hAnsi="Times New Roman"/>
          <w:b/>
          <w:bCs/>
          <w:color w:val="000000" w:themeColor="text1"/>
          <w:szCs w:val="22"/>
          <w:lang w:val="lt-LT"/>
        </w:rPr>
        <w:t>p</w:t>
      </w:r>
      <w:r w:rsidR="00EF0A54" w:rsidRPr="00650EE4">
        <w:rPr>
          <w:rFonts w:ascii="Times New Roman" w:hAnsi="Times New Roman"/>
          <w:b/>
          <w:bCs/>
          <w:color w:val="000000" w:themeColor="text1"/>
          <w:szCs w:val="22"/>
          <w:lang w:val="lt-LT"/>
        </w:rPr>
        <w:t>riemonės P6-P1</w:t>
      </w:r>
      <w:r w:rsidR="00CB5533">
        <w:rPr>
          <w:rFonts w:ascii="Times New Roman" w:hAnsi="Times New Roman"/>
          <w:b/>
          <w:bCs/>
          <w:color w:val="000000" w:themeColor="text1"/>
          <w:szCs w:val="22"/>
          <w:lang w:val="lt-LT"/>
        </w:rPr>
        <w:t>5</w:t>
      </w:r>
      <w:r w:rsidR="00EF0A54" w:rsidRPr="00650EE4">
        <w:rPr>
          <w:rFonts w:ascii="Times New Roman" w:hAnsi="Times New Roman"/>
          <w:b/>
          <w:bCs/>
          <w:color w:val="000000" w:themeColor="text1"/>
          <w:szCs w:val="22"/>
          <w:lang w:val="lt-LT"/>
        </w:rPr>
        <w:t>)</w:t>
      </w:r>
    </w:p>
    <w:p w14:paraId="6019DB6B" w14:textId="22C8164B" w:rsidR="00FA6917" w:rsidRPr="00650EE4" w:rsidRDefault="00C250FE"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Paramos priemonių paketas</w:t>
      </w:r>
      <w:r w:rsidR="00FA6917" w:rsidRPr="00650EE4">
        <w:rPr>
          <w:rFonts w:ascii="Times New Roman" w:hAnsi="Times New Roman"/>
          <w:color w:val="000000" w:themeColor="text1"/>
          <w:szCs w:val="22"/>
          <w:lang w:val="lt-LT"/>
        </w:rPr>
        <w:t>, kuris atitiktų suformuotus IRS tikslus. Paramos priemonių paketas turėtų</w:t>
      </w:r>
      <w:r w:rsidR="00F36DBF" w:rsidRPr="00650EE4">
        <w:rPr>
          <w:rFonts w:ascii="Times New Roman" w:hAnsi="Times New Roman"/>
          <w:color w:val="000000" w:themeColor="text1"/>
          <w:szCs w:val="22"/>
          <w:lang w:val="lt-LT"/>
        </w:rPr>
        <w:t xml:space="preserve"> užtikrinti</w:t>
      </w:r>
      <w:r w:rsidR="00FA6917" w:rsidRPr="00650EE4">
        <w:rPr>
          <w:rFonts w:ascii="Times New Roman" w:hAnsi="Times New Roman"/>
          <w:color w:val="000000" w:themeColor="text1"/>
          <w:szCs w:val="22"/>
          <w:lang w:val="lt-LT"/>
        </w:rPr>
        <w:t>:</w:t>
      </w:r>
    </w:p>
    <w:p w14:paraId="5B03790D" w14:textId="6ECE22DD" w:rsidR="00FA6917" w:rsidRPr="00650EE4" w:rsidRDefault="00FA6917"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tinkamą IRS prioritetų įgyvendinimą (plačiau žr. </w:t>
      </w:r>
      <w:r w:rsidR="0037038B">
        <w:rPr>
          <w:rFonts w:ascii="Times New Roman" w:hAnsi="Times New Roman"/>
          <w:color w:val="000000" w:themeColor="text1"/>
          <w:szCs w:val="22"/>
        </w:rPr>
        <w:t>6</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3</w:t>
      </w:r>
      <w:r w:rsidRPr="00650EE4">
        <w:rPr>
          <w:rFonts w:ascii="Times New Roman" w:hAnsi="Times New Roman"/>
          <w:color w:val="000000" w:themeColor="text1"/>
          <w:szCs w:val="22"/>
          <w:lang w:val="lt-LT"/>
        </w:rPr>
        <w:t>. skyrių);</w:t>
      </w:r>
    </w:p>
    <w:p w14:paraId="2F47D81E" w14:textId="751C5C16" w:rsidR="00FA6917" w:rsidRPr="00650EE4" w:rsidRDefault="00FA6917"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subalansuotų kompleksinių motyvacijos priemonių (tiek skatinimo, tiek nuobaudų) taikymą ir renovacijos tempų ir naudų maksimizavimą (plačiau žr.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w:t>
      </w:r>
      <w:r w:rsidRPr="00650EE4">
        <w:rPr>
          <w:rFonts w:ascii="Times New Roman" w:hAnsi="Times New Roman"/>
          <w:color w:val="000000" w:themeColor="text1"/>
          <w:szCs w:val="22"/>
          <w:lang w:val="lt-LT"/>
        </w:rPr>
        <w:t>. skyrių);</w:t>
      </w:r>
    </w:p>
    <w:p w14:paraId="723ABC0E" w14:textId="5C05B618" w:rsidR="00FA6917" w:rsidRPr="00650EE4" w:rsidRDefault="00FA6917"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finansavimo šaltinių ir mechanizmų pakankamumą ir prieinamumą (plačiau žr.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w:t>
      </w:r>
      <w:r w:rsidR="00EF3A43" w:rsidRPr="00650EE4">
        <w:rPr>
          <w:rFonts w:ascii="Times New Roman" w:hAnsi="Times New Roman"/>
          <w:color w:val="000000" w:themeColor="text1"/>
          <w:szCs w:val="22"/>
          <w:lang w:val="lt-LT"/>
        </w:rPr>
        <w:t>2.3</w:t>
      </w:r>
      <w:r w:rsidRPr="00650EE4">
        <w:rPr>
          <w:rFonts w:ascii="Times New Roman" w:hAnsi="Times New Roman"/>
          <w:color w:val="000000" w:themeColor="text1"/>
          <w:szCs w:val="22"/>
          <w:lang w:val="lt-LT"/>
        </w:rPr>
        <w:t>. skyrių)</w:t>
      </w:r>
      <w:r w:rsidR="00D452C1" w:rsidRPr="00650EE4">
        <w:rPr>
          <w:rFonts w:ascii="Times New Roman" w:hAnsi="Times New Roman"/>
          <w:color w:val="000000" w:themeColor="text1"/>
          <w:szCs w:val="22"/>
          <w:lang w:val="lt-LT"/>
        </w:rPr>
        <w:t>;</w:t>
      </w:r>
    </w:p>
    <w:p w14:paraId="3DAC172C" w14:textId="7A0EB933" w:rsidR="00D452C1" w:rsidRPr="00650EE4" w:rsidRDefault="00D452C1"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minimalių energinio naudingumo (energijos vartojimo) reikalavimų po renovacijos nustatymą;</w:t>
      </w:r>
    </w:p>
    <w:p w14:paraId="7C36D098" w14:textId="347534E0" w:rsidR="00FA6917" w:rsidRPr="00650EE4" w:rsidRDefault="00FA6917"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Turėtų būti siekiama, kad naujo paramos priemonių paketo įgyvendinimas prasidėtų ir pilnai pakeistų esamas priemones nuo 2023 metų.</w:t>
      </w:r>
      <w:r w:rsidR="000B7529" w:rsidRPr="00650EE4">
        <w:rPr>
          <w:rFonts w:ascii="Times New Roman" w:hAnsi="Times New Roman"/>
          <w:color w:val="000000" w:themeColor="text1"/>
          <w:szCs w:val="22"/>
          <w:lang w:val="lt-LT"/>
        </w:rPr>
        <w:t xml:space="preserve"> </w:t>
      </w:r>
    </w:p>
    <w:p w14:paraId="774D8FD6" w14:textId="77777777" w:rsidR="00F42C3D" w:rsidRPr="00650EE4" w:rsidRDefault="00F42C3D" w:rsidP="00C250FE">
      <w:pPr>
        <w:pStyle w:val="BodyText"/>
        <w:spacing w:after="120"/>
        <w:jc w:val="both"/>
        <w:rPr>
          <w:rFonts w:ascii="Times New Roman" w:hAnsi="Times New Roman"/>
          <w:color w:val="000000" w:themeColor="text1"/>
          <w:szCs w:val="22"/>
          <w:lang w:val="lt-LT"/>
        </w:rPr>
      </w:pPr>
    </w:p>
    <w:p w14:paraId="71996616" w14:textId="0A4EF376" w:rsidR="00FA6917" w:rsidRPr="00650EE4" w:rsidRDefault="002C66D5"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Įgyvendinimo sistemos suformavimas</w:t>
      </w:r>
      <w:r w:rsidR="00103908" w:rsidRPr="00650EE4">
        <w:rPr>
          <w:rFonts w:ascii="Times New Roman" w:hAnsi="Times New Roman"/>
          <w:b/>
          <w:bCs/>
          <w:color w:val="000000" w:themeColor="text1"/>
          <w:szCs w:val="22"/>
          <w:lang w:val="lt-LT"/>
        </w:rPr>
        <w:t xml:space="preserve"> (priemonės P19-P2</w:t>
      </w:r>
      <w:r w:rsidR="00CB5533">
        <w:rPr>
          <w:rFonts w:ascii="Times New Roman" w:hAnsi="Times New Roman"/>
          <w:b/>
          <w:bCs/>
          <w:color w:val="000000" w:themeColor="text1"/>
          <w:szCs w:val="22"/>
          <w:lang w:val="lt-LT"/>
        </w:rPr>
        <w:t>1</w:t>
      </w:r>
      <w:r w:rsidR="00103908" w:rsidRPr="00650EE4">
        <w:rPr>
          <w:rFonts w:ascii="Times New Roman" w:hAnsi="Times New Roman"/>
          <w:b/>
          <w:bCs/>
          <w:color w:val="000000" w:themeColor="text1"/>
          <w:szCs w:val="22"/>
          <w:lang w:val="lt-LT"/>
        </w:rPr>
        <w:t>)</w:t>
      </w:r>
    </w:p>
    <w:p w14:paraId="3C72D20A" w14:textId="16241148" w:rsidR="00065739" w:rsidRPr="00650EE4" w:rsidRDefault="00D079B6"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Siekiant užtikrinti sklandų renovacijos įgyvendinimo procesą ir sudaryti sąlygas pasiekti kokybišką renovacijos rezultatą, </w:t>
      </w:r>
      <w:r w:rsidR="00065739" w:rsidRPr="00650EE4">
        <w:rPr>
          <w:rFonts w:ascii="Times New Roman" w:hAnsi="Times New Roman"/>
          <w:color w:val="000000" w:themeColor="text1"/>
          <w:szCs w:val="22"/>
          <w:lang w:val="lt-LT"/>
        </w:rPr>
        <w:t xml:space="preserve">Projekto valdytojas turėtų </w:t>
      </w:r>
      <w:r w:rsidR="00DF5228" w:rsidRPr="00650EE4">
        <w:rPr>
          <w:rFonts w:ascii="Times New Roman" w:hAnsi="Times New Roman"/>
          <w:color w:val="000000" w:themeColor="text1"/>
          <w:szCs w:val="22"/>
          <w:lang w:val="lt-LT"/>
        </w:rPr>
        <w:t xml:space="preserve">suformuoti </w:t>
      </w:r>
      <w:r w:rsidR="004025D6" w:rsidRPr="00650EE4">
        <w:rPr>
          <w:rFonts w:ascii="Times New Roman" w:hAnsi="Times New Roman"/>
          <w:color w:val="000000" w:themeColor="text1"/>
          <w:szCs w:val="22"/>
          <w:lang w:val="lt-LT"/>
        </w:rPr>
        <w:t>IRS įgyvendinimo sistem</w:t>
      </w:r>
      <w:r w:rsidR="00DF5228" w:rsidRPr="00650EE4">
        <w:rPr>
          <w:rFonts w:ascii="Times New Roman" w:hAnsi="Times New Roman"/>
          <w:color w:val="000000" w:themeColor="text1"/>
          <w:szCs w:val="22"/>
          <w:lang w:val="lt-LT"/>
        </w:rPr>
        <w:t>ą</w:t>
      </w:r>
      <w:r w:rsidR="004025D6" w:rsidRPr="00650EE4">
        <w:rPr>
          <w:rFonts w:ascii="Times New Roman" w:hAnsi="Times New Roman"/>
          <w:color w:val="000000" w:themeColor="text1"/>
          <w:szCs w:val="22"/>
          <w:lang w:val="lt-LT"/>
        </w:rPr>
        <w:t>. Pagrindini</w:t>
      </w:r>
      <w:r w:rsidR="00E209EF" w:rsidRPr="00650EE4">
        <w:rPr>
          <w:rFonts w:ascii="Times New Roman" w:hAnsi="Times New Roman"/>
          <w:color w:val="000000" w:themeColor="text1"/>
          <w:szCs w:val="22"/>
          <w:lang w:val="lt-LT"/>
        </w:rPr>
        <w:t>us</w:t>
      </w:r>
      <w:r w:rsidR="004025D6" w:rsidRPr="00650EE4">
        <w:rPr>
          <w:rFonts w:ascii="Times New Roman" w:hAnsi="Times New Roman"/>
          <w:color w:val="000000" w:themeColor="text1"/>
          <w:szCs w:val="22"/>
          <w:lang w:val="lt-LT"/>
        </w:rPr>
        <w:t xml:space="preserve"> sistemos element</w:t>
      </w:r>
      <w:r w:rsidR="00E209EF" w:rsidRPr="00650EE4">
        <w:rPr>
          <w:rFonts w:ascii="Times New Roman" w:hAnsi="Times New Roman"/>
          <w:color w:val="000000" w:themeColor="text1"/>
          <w:szCs w:val="22"/>
          <w:lang w:val="lt-LT"/>
        </w:rPr>
        <w:t>us</w:t>
      </w:r>
      <w:r w:rsidR="004025D6" w:rsidRPr="00650EE4">
        <w:rPr>
          <w:rFonts w:ascii="Times New Roman" w:hAnsi="Times New Roman"/>
          <w:color w:val="000000" w:themeColor="text1"/>
          <w:szCs w:val="22"/>
          <w:lang w:val="lt-LT"/>
        </w:rPr>
        <w:t xml:space="preserve"> turėtų </w:t>
      </w:r>
      <w:r w:rsidR="00E209EF" w:rsidRPr="00650EE4">
        <w:rPr>
          <w:rFonts w:ascii="Times New Roman" w:hAnsi="Times New Roman"/>
          <w:color w:val="000000" w:themeColor="text1"/>
          <w:szCs w:val="22"/>
          <w:lang w:val="lt-LT"/>
        </w:rPr>
        <w:t>sudaryti</w:t>
      </w:r>
      <w:r w:rsidR="004025D6" w:rsidRPr="00650EE4">
        <w:rPr>
          <w:rFonts w:ascii="Times New Roman" w:hAnsi="Times New Roman"/>
          <w:color w:val="000000" w:themeColor="text1"/>
          <w:szCs w:val="22"/>
          <w:lang w:val="lt-LT"/>
        </w:rPr>
        <w:t>:</w:t>
      </w:r>
    </w:p>
    <w:p w14:paraId="5E4A94BC" w14:textId="6227AB88" w:rsidR="004025D6"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k</w:t>
      </w:r>
      <w:r w:rsidR="004025D6" w:rsidRPr="00650EE4">
        <w:rPr>
          <w:rFonts w:ascii="Times New Roman" w:hAnsi="Times New Roman"/>
          <w:b/>
          <w:bCs/>
          <w:color w:val="000000" w:themeColor="text1"/>
          <w:szCs w:val="22"/>
          <w:lang w:val="lt-LT"/>
        </w:rPr>
        <w:t>ompetencijų centras</w:t>
      </w:r>
      <w:r w:rsidR="004025D6" w:rsidRPr="00650EE4">
        <w:rPr>
          <w:rFonts w:ascii="Times New Roman" w:hAnsi="Times New Roman"/>
          <w:color w:val="000000" w:themeColor="text1"/>
          <w:szCs w:val="22"/>
          <w:lang w:val="lt-LT"/>
        </w:rPr>
        <w:t xml:space="preserve">, teikiantis techninę ir metodinę pagalbą savivaldybėms, įgyvendinančioms „vieno langelio“ principą (žr. 11 etapą); </w:t>
      </w:r>
    </w:p>
    <w:p w14:paraId="4144C702" w14:textId="26EC6111" w:rsidR="004025D6"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k</w:t>
      </w:r>
      <w:r w:rsidR="004025D6" w:rsidRPr="00650EE4">
        <w:rPr>
          <w:rFonts w:ascii="Times New Roman" w:hAnsi="Times New Roman"/>
          <w:b/>
          <w:bCs/>
          <w:color w:val="000000" w:themeColor="text1"/>
          <w:szCs w:val="22"/>
          <w:lang w:val="lt-LT"/>
        </w:rPr>
        <w:t>okybės kontrolės mechanizmas</w:t>
      </w:r>
      <w:r w:rsidR="004025D6" w:rsidRPr="00650EE4">
        <w:rPr>
          <w:rFonts w:ascii="Times New Roman" w:hAnsi="Times New Roman"/>
          <w:color w:val="000000" w:themeColor="text1"/>
          <w:szCs w:val="22"/>
          <w:lang w:val="lt-LT"/>
        </w:rPr>
        <w:t>, apimantis visus renovacijos įgyvendinimo etapus, pradedant investicijų ir energijos sutaupymų planavimu (pvz., investicinių planų rengimu) ir baigiant renovacijos darbų kokybės užtikrinimu (pvz., techninę prižiūrą ir/arba darbų kokybės draudimą)</w:t>
      </w:r>
      <w:r w:rsidR="000430ED" w:rsidRPr="00650EE4">
        <w:rPr>
          <w:rFonts w:ascii="Times New Roman" w:hAnsi="Times New Roman"/>
          <w:color w:val="000000" w:themeColor="text1"/>
          <w:szCs w:val="22"/>
          <w:lang w:val="lt-LT"/>
        </w:rPr>
        <w:t>;</w:t>
      </w:r>
    </w:p>
    <w:p w14:paraId="06936595" w14:textId="555488CA" w:rsidR="004025D6" w:rsidRPr="00650EE4" w:rsidRDefault="0037038B" w:rsidP="00BD4925">
      <w:pPr>
        <w:pStyle w:val="BodyText"/>
        <w:numPr>
          <w:ilvl w:val="0"/>
          <w:numId w:val="70"/>
        </w:numPr>
        <w:spacing w:before="120" w:after="120"/>
        <w:jc w:val="both"/>
        <w:rPr>
          <w:rFonts w:ascii="Times New Roman" w:hAnsi="Times New Roman"/>
          <w:color w:val="000000" w:themeColor="text1"/>
          <w:szCs w:val="22"/>
          <w:lang w:val="lt-LT"/>
        </w:rPr>
      </w:pPr>
      <w:proofErr w:type="spellStart"/>
      <w:r>
        <w:rPr>
          <w:rFonts w:ascii="Times New Roman" w:hAnsi="Times New Roman"/>
          <w:b/>
          <w:bCs/>
          <w:color w:val="000000" w:themeColor="text1"/>
          <w:szCs w:val="22"/>
          <w:lang w:val="lt-LT"/>
        </w:rPr>
        <w:t>s</w:t>
      </w:r>
      <w:r w:rsidR="004025D6" w:rsidRPr="00650EE4">
        <w:rPr>
          <w:rFonts w:ascii="Times New Roman" w:hAnsi="Times New Roman"/>
          <w:b/>
          <w:bCs/>
          <w:color w:val="000000" w:themeColor="text1"/>
          <w:szCs w:val="22"/>
          <w:lang w:val="lt-LT"/>
        </w:rPr>
        <w:t>tebėsenos</w:t>
      </w:r>
      <w:proofErr w:type="spellEnd"/>
      <w:r w:rsidR="004025D6" w:rsidRPr="00650EE4">
        <w:rPr>
          <w:rFonts w:ascii="Times New Roman" w:hAnsi="Times New Roman"/>
          <w:b/>
          <w:bCs/>
          <w:color w:val="000000" w:themeColor="text1"/>
          <w:szCs w:val="22"/>
          <w:lang w:val="lt-LT"/>
        </w:rPr>
        <w:t xml:space="preserve"> sistema</w:t>
      </w:r>
      <w:r w:rsidR="001C50D0" w:rsidRPr="00650EE4">
        <w:rPr>
          <w:rFonts w:ascii="Times New Roman" w:hAnsi="Times New Roman"/>
          <w:color w:val="000000" w:themeColor="text1"/>
          <w:szCs w:val="22"/>
          <w:lang w:val="lt-LT"/>
        </w:rPr>
        <w:t xml:space="preserve">, renkanti informaciją apie renovacijos rezultatus ir užtikrinanti IRS rodiklių </w:t>
      </w:r>
      <w:proofErr w:type="spellStart"/>
      <w:r w:rsidR="001C50D0" w:rsidRPr="00650EE4">
        <w:rPr>
          <w:rFonts w:ascii="Times New Roman" w:hAnsi="Times New Roman"/>
          <w:color w:val="000000" w:themeColor="text1"/>
          <w:szCs w:val="22"/>
          <w:lang w:val="lt-LT"/>
        </w:rPr>
        <w:t>stebėseną</w:t>
      </w:r>
      <w:proofErr w:type="spellEnd"/>
      <w:r w:rsidR="001C50D0" w:rsidRPr="00650EE4">
        <w:rPr>
          <w:rFonts w:ascii="Times New Roman" w:hAnsi="Times New Roman"/>
          <w:color w:val="000000" w:themeColor="text1"/>
          <w:szCs w:val="22"/>
          <w:lang w:val="lt-LT"/>
        </w:rPr>
        <w:t>.</w:t>
      </w:r>
      <w:r w:rsidR="000369B1" w:rsidRPr="00650EE4">
        <w:rPr>
          <w:rFonts w:ascii="Times New Roman" w:hAnsi="Times New Roman"/>
          <w:color w:val="000000" w:themeColor="text1"/>
          <w:szCs w:val="22"/>
          <w:lang w:val="lt-LT"/>
        </w:rPr>
        <w:t xml:space="preserve"> </w:t>
      </w:r>
      <w:proofErr w:type="spellStart"/>
      <w:r w:rsidR="000369B1" w:rsidRPr="00650EE4">
        <w:rPr>
          <w:rFonts w:ascii="Times New Roman" w:hAnsi="Times New Roman"/>
          <w:color w:val="000000" w:themeColor="text1"/>
          <w:szCs w:val="22"/>
          <w:lang w:val="lt-LT"/>
        </w:rPr>
        <w:t>Stebėsenos</w:t>
      </w:r>
      <w:proofErr w:type="spellEnd"/>
      <w:r w:rsidR="000369B1" w:rsidRPr="00650EE4">
        <w:rPr>
          <w:rFonts w:ascii="Times New Roman" w:hAnsi="Times New Roman"/>
          <w:color w:val="000000" w:themeColor="text1"/>
          <w:szCs w:val="22"/>
          <w:lang w:val="lt-LT"/>
        </w:rPr>
        <w:t xml:space="preserve"> sistemos pagrindą turėtų sudaryti parengta pastatų fondo duomenų bazė (žr. 7 etapą). Sistema turėtų būti integruota su NECP rodiklių </w:t>
      </w:r>
      <w:proofErr w:type="spellStart"/>
      <w:r w:rsidR="000369B1" w:rsidRPr="00650EE4">
        <w:rPr>
          <w:rFonts w:ascii="Times New Roman" w:hAnsi="Times New Roman"/>
          <w:color w:val="000000" w:themeColor="text1"/>
          <w:szCs w:val="22"/>
          <w:lang w:val="lt-LT"/>
        </w:rPr>
        <w:t>stebėsenos</w:t>
      </w:r>
      <w:proofErr w:type="spellEnd"/>
      <w:r w:rsidR="000369B1" w:rsidRPr="00650EE4">
        <w:rPr>
          <w:rFonts w:ascii="Times New Roman" w:hAnsi="Times New Roman"/>
          <w:color w:val="000000" w:themeColor="text1"/>
          <w:szCs w:val="22"/>
          <w:lang w:val="lt-LT"/>
        </w:rPr>
        <w:t xml:space="preserve"> sistema.</w:t>
      </w:r>
    </w:p>
    <w:p w14:paraId="7752266E" w14:textId="7AD80E8A" w:rsidR="00065739" w:rsidRPr="00650EE4" w:rsidRDefault="00D869CF"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Turėtų būti paskirta už šių elementų įgyvendinimą atsakinga institucija (-</w:t>
      </w:r>
      <w:proofErr w:type="spellStart"/>
      <w:r w:rsidRPr="00650EE4">
        <w:rPr>
          <w:rFonts w:ascii="Times New Roman" w:hAnsi="Times New Roman"/>
          <w:color w:val="000000" w:themeColor="text1"/>
          <w:szCs w:val="22"/>
          <w:lang w:val="lt-LT"/>
        </w:rPr>
        <w:t>os</w:t>
      </w:r>
      <w:proofErr w:type="spellEnd"/>
      <w:r w:rsidRPr="00650EE4">
        <w:rPr>
          <w:rFonts w:ascii="Times New Roman" w:hAnsi="Times New Roman"/>
          <w:color w:val="000000" w:themeColor="text1"/>
          <w:szCs w:val="22"/>
          <w:lang w:val="lt-LT"/>
        </w:rPr>
        <w:t>)</w:t>
      </w:r>
      <w:r w:rsidR="00EF4C15" w:rsidRPr="00650EE4">
        <w:rPr>
          <w:rFonts w:ascii="Times New Roman" w:hAnsi="Times New Roman"/>
          <w:color w:val="000000" w:themeColor="text1"/>
          <w:szCs w:val="22"/>
          <w:lang w:val="lt-LT"/>
        </w:rPr>
        <w:t>, užtikrinant tinkamą finansavimą.</w:t>
      </w:r>
    </w:p>
    <w:p w14:paraId="132460F0" w14:textId="75A787F6" w:rsidR="00FA6917" w:rsidRPr="00650EE4" w:rsidRDefault="00FA6917" w:rsidP="00C250FE">
      <w:pPr>
        <w:pStyle w:val="BodyText"/>
        <w:spacing w:after="120"/>
        <w:jc w:val="both"/>
        <w:rPr>
          <w:rFonts w:ascii="Times New Roman" w:hAnsi="Times New Roman"/>
          <w:color w:val="000000" w:themeColor="text1"/>
          <w:szCs w:val="22"/>
          <w:lang w:val="lt-LT"/>
        </w:rPr>
      </w:pPr>
    </w:p>
    <w:p w14:paraId="55C5C4CC" w14:textId="270A9B85" w:rsidR="00F25C7B" w:rsidRPr="00650EE4" w:rsidRDefault="006C19A6"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K</w:t>
      </w:r>
      <w:r w:rsidR="00F25C7B" w:rsidRPr="00650EE4">
        <w:rPr>
          <w:rFonts w:ascii="Times New Roman" w:hAnsi="Times New Roman"/>
          <w:b/>
          <w:bCs/>
          <w:color w:val="000000" w:themeColor="text1"/>
          <w:szCs w:val="22"/>
          <w:lang w:val="lt-LT"/>
        </w:rPr>
        <w:t>omunikacijos plano parengimas</w:t>
      </w:r>
      <w:r w:rsidR="007322DA" w:rsidRPr="00650EE4">
        <w:rPr>
          <w:rFonts w:ascii="Times New Roman" w:hAnsi="Times New Roman"/>
          <w:b/>
          <w:bCs/>
          <w:color w:val="000000" w:themeColor="text1"/>
          <w:szCs w:val="22"/>
          <w:lang w:val="lt-LT"/>
        </w:rPr>
        <w:t xml:space="preserve"> (</w:t>
      </w:r>
      <w:r w:rsidR="000B1DD4" w:rsidRPr="00650EE4">
        <w:rPr>
          <w:rFonts w:ascii="Times New Roman" w:hAnsi="Times New Roman"/>
          <w:b/>
          <w:bCs/>
          <w:color w:val="000000" w:themeColor="text1"/>
          <w:szCs w:val="22"/>
          <w:lang w:val="lt-LT"/>
        </w:rPr>
        <w:t>p</w:t>
      </w:r>
      <w:r w:rsidR="007322DA" w:rsidRPr="00650EE4">
        <w:rPr>
          <w:rFonts w:ascii="Times New Roman" w:hAnsi="Times New Roman"/>
          <w:b/>
          <w:bCs/>
          <w:color w:val="000000" w:themeColor="text1"/>
          <w:szCs w:val="22"/>
          <w:lang w:val="lt-LT"/>
        </w:rPr>
        <w:t>riemonės P16-P1</w:t>
      </w:r>
      <w:r w:rsidR="00CB5533">
        <w:rPr>
          <w:rFonts w:ascii="Times New Roman" w:hAnsi="Times New Roman"/>
          <w:b/>
          <w:bCs/>
          <w:color w:val="000000" w:themeColor="text1"/>
          <w:szCs w:val="22"/>
          <w:lang w:val="lt-LT"/>
        </w:rPr>
        <w:t>8</w:t>
      </w:r>
      <w:r w:rsidR="007322DA" w:rsidRPr="00650EE4">
        <w:rPr>
          <w:rFonts w:ascii="Times New Roman" w:hAnsi="Times New Roman"/>
          <w:b/>
          <w:bCs/>
          <w:color w:val="000000" w:themeColor="text1"/>
          <w:szCs w:val="22"/>
          <w:lang w:val="lt-LT"/>
        </w:rPr>
        <w:t>)</w:t>
      </w:r>
    </w:p>
    <w:p w14:paraId="04971F24" w14:textId="27108F64" w:rsidR="00F25C7B" w:rsidRPr="00650EE4" w:rsidRDefault="00AC0284"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Projekto valdytojas turėtų </w:t>
      </w:r>
      <w:r w:rsidR="00F25C7B" w:rsidRPr="00650EE4">
        <w:rPr>
          <w:rFonts w:ascii="Times New Roman" w:hAnsi="Times New Roman"/>
          <w:color w:val="000000" w:themeColor="text1"/>
          <w:szCs w:val="22"/>
          <w:lang w:val="lt-LT"/>
        </w:rPr>
        <w:t>parengti IRS komunikacijos strategiją</w:t>
      </w:r>
      <w:r w:rsidR="00266222" w:rsidRPr="00650EE4">
        <w:rPr>
          <w:rFonts w:ascii="Times New Roman" w:hAnsi="Times New Roman"/>
          <w:color w:val="000000" w:themeColor="text1"/>
          <w:szCs w:val="22"/>
          <w:lang w:val="lt-LT"/>
        </w:rPr>
        <w:t xml:space="preserve">, apimančią komunikaciją tiek apie ilgalaikius renovacijos tikslus, tiek apie konkrečias renovacijos priemones. Turėtų būti paskirtas už komunikacijos įgyvendinimą </w:t>
      </w:r>
      <w:r w:rsidR="001F5414" w:rsidRPr="00650EE4">
        <w:rPr>
          <w:rFonts w:ascii="Times New Roman" w:hAnsi="Times New Roman"/>
          <w:color w:val="000000" w:themeColor="text1"/>
          <w:szCs w:val="22"/>
          <w:lang w:val="lt-LT"/>
        </w:rPr>
        <w:t>atsakingą institucij</w:t>
      </w:r>
      <w:r w:rsidR="00266222" w:rsidRPr="00650EE4">
        <w:rPr>
          <w:rFonts w:ascii="Times New Roman" w:hAnsi="Times New Roman"/>
          <w:color w:val="000000" w:themeColor="text1"/>
          <w:szCs w:val="22"/>
          <w:lang w:val="lt-LT"/>
        </w:rPr>
        <w:t>a</w:t>
      </w:r>
      <w:r w:rsidR="00F25C7B" w:rsidRPr="00650EE4">
        <w:rPr>
          <w:rFonts w:ascii="Times New Roman" w:hAnsi="Times New Roman"/>
          <w:color w:val="000000" w:themeColor="text1"/>
          <w:szCs w:val="22"/>
          <w:lang w:val="lt-LT"/>
        </w:rPr>
        <w:t xml:space="preserve">. Komunikacijos principai plačiau aprašomi </w:t>
      </w:r>
      <w:r w:rsidR="0037038B">
        <w:rPr>
          <w:rFonts w:ascii="Times New Roman" w:hAnsi="Times New Roman"/>
          <w:color w:val="000000" w:themeColor="text1"/>
          <w:szCs w:val="22"/>
          <w:lang w:val="lt-LT"/>
        </w:rPr>
        <w:t>6</w:t>
      </w:r>
      <w:r w:rsidR="00F25C7B" w:rsidRPr="00650EE4">
        <w:rPr>
          <w:rFonts w:ascii="Times New Roman" w:hAnsi="Times New Roman"/>
          <w:color w:val="000000" w:themeColor="text1"/>
          <w:szCs w:val="22"/>
          <w:lang w:val="lt-LT"/>
        </w:rPr>
        <w:t>.</w:t>
      </w:r>
      <w:r w:rsidR="00AF2C73" w:rsidRPr="00650EE4">
        <w:rPr>
          <w:rFonts w:ascii="Times New Roman" w:hAnsi="Times New Roman"/>
          <w:color w:val="000000" w:themeColor="text1"/>
          <w:szCs w:val="22"/>
          <w:lang w:val="lt-LT"/>
        </w:rPr>
        <w:t>2.4.</w:t>
      </w:r>
      <w:r w:rsidR="00F25C7B" w:rsidRPr="00650EE4">
        <w:rPr>
          <w:rFonts w:ascii="Times New Roman" w:hAnsi="Times New Roman"/>
          <w:color w:val="000000" w:themeColor="text1"/>
          <w:szCs w:val="22"/>
          <w:lang w:val="lt-LT"/>
        </w:rPr>
        <w:t xml:space="preserve"> skyriuje.</w:t>
      </w:r>
    </w:p>
    <w:p w14:paraId="461137EF" w14:textId="77777777" w:rsidR="00FA6917" w:rsidRPr="00650EE4" w:rsidRDefault="00FA6917" w:rsidP="00C250FE">
      <w:pPr>
        <w:pStyle w:val="BodyText"/>
        <w:spacing w:after="120"/>
        <w:jc w:val="both"/>
        <w:rPr>
          <w:rFonts w:ascii="Times New Roman" w:hAnsi="Times New Roman"/>
          <w:color w:val="000000" w:themeColor="text1"/>
          <w:szCs w:val="22"/>
          <w:lang w:val="lt-LT"/>
        </w:rPr>
      </w:pPr>
    </w:p>
    <w:p w14:paraId="5AB3777D" w14:textId="37EAA4E7" w:rsidR="00F37EB4" w:rsidRPr="00650EE4" w:rsidRDefault="00FF12BD" w:rsidP="005878F6">
      <w:pPr>
        <w:pStyle w:val="BodyText"/>
        <w:numPr>
          <w:ilvl w:val="0"/>
          <w:numId w:val="76"/>
        </w:numPr>
        <w:spacing w:after="120"/>
        <w:ind w:left="284" w:hanging="284"/>
        <w:jc w:val="both"/>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Duomenų bazės parengimas</w:t>
      </w:r>
      <w:r w:rsidR="00F37EB4" w:rsidRPr="00650EE4">
        <w:rPr>
          <w:rFonts w:ascii="Times New Roman" w:hAnsi="Times New Roman"/>
          <w:b/>
          <w:bCs/>
          <w:color w:val="000000" w:themeColor="text1"/>
          <w:szCs w:val="22"/>
          <w:lang w:val="lt-LT"/>
        </w:rPr>
        <w:t xml:space="preserve"> </w:t>
      </w:r>
      <w:r w:rsidR="0088159D" w:rsidRPr="00650EE4">
        <w:rPr>
          <w:rFonts w:ascii="Times New Roman" w:hAnsi="Times New Roman"/>
          <w:b/>
          <w:bCs/>
          <w:color w:val="000000" w:themeColor="text1"/>
          <w:szCs w:val="22"/>
          <w:lang w:val="lt-LT"/>
        </w:rPr>
        <w:t>(priemonė P</w:t>
      </w:r>
      <w:r w:rsidR="00F31E4C" w:rsidRPr="00650EE4">
        <w:rPr>
          <w:rFonts w:ascii="Times New Roman" w:hAnsi="Times New Roman"/>
          <w:b/>
          <w:bCs/>
          <w:color w:val="000000" w:themeColor="text1"/>
          <w:szCs w:val="22"/>
          <w:lang w:val="lt-LT"/>
        </w:rPr>
        <w:t>2)</w:t>
      </w:r>
    </w:p>
    <w:p w14:paraId="3740FA44" w14:textId="4159B948" w:rsidR="00CD7F87" w:rsidRPr="00650EE4" w:rsidRDefault="00CD7F87" w:rsidP="00C250FE">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lastRenderedPageBreak/>
        <w:t xml:space="preserve">Siekiant </w:t>
      </w:r>
      <w:r w:rsidR="005D32E4" w:rsidRPr="00650EE4">
        <w:rPr>
          <w:rFonts w:ascii="Times New Roman" w:hAnsi="Times New Roman"/>
          <w:color w:val="000000" w:themeColor="text1"/>
          <w:szCs w:val="22"/>
          <w:lang w:val="lt-LT"/>
        </w:rPr>
        <w:t>spręsti duomenų nepakankamumo problemą</w:t>
      </w:r>
      <w:r w:rsidRPr="00650EE4">
        <w:rPr>
          <w:rFonts w:ascii="Times New Roman" w:hAnsi="Times New Roman"/>
          <w:color w:val="000000" w:themeColor="text1"/>
          <w:szCs w:val="22"/>
          <w:lang w:val="lt-LT"/>
        </w:rPr>
        <w:t>,</w:t>
      </w:r>
      <w:r w:rsidR="002C7701" w:rsidRPr="00650EE4">
        <w:rPr>
          <w:rFonts w:ascii="Times New Roman" w:hAnsi="Times New Roman"/>
          <w:color w:val="000000" w:themeColor="text1"/>
          <w:szCs w:val="22"/>
          <w:lang w:val="lt-LT"/>
        </w:rPr>
        <w:t xml:space="preserve"> turėtų būti </w:t>
      </w:r>
      <w:r w:rsidR="00067AEE" w:rsidRPr="00650EE4">
        <w:rPr>
          <w:rFonts w:ascii="Times New Roman" w:hAnsi="Times New Roman"/>
          <w:color w:val="000000" w:themeColor="text1"/>
          <w:szCs w:val="22"/>
          <w:lang w:val="lt-LT"/>
        </w:rPr>
        <w:t>suformuota pastatų fondo duomenų bazė.</w:t>
      </w:r>
      <w:r w:rsidRPr="00650EE4">
        <w:rPr>
          <w:rFonts w:ascii="Times New Roman" w:hAnsi="Times New Roman"/>
          <w:color w:val="000000" w:themeColor="text1"/>
          <w:szCs w:val="22"/>
          <w:lang w:val="lt-LT"/>
        </w:rPr>
        <w:t xml:space="preserve"> Duomenų bazės formavimo principai plačiau aprašomi </w:t>
      </w:r>
      <w:r w:rsidR="0037038B">
        <w:rPr>
          <w:rFonts w:ascii="Times New Roman" w:hAnsi="Times New Roman"/>
          <w:color w:val="000000" w:themeColor="text1"/>
          <w:szCs w:val="22"/>
          <w:lang w:val="lt-LT"/>
        </w:rPr>
        <w:t>6</w:t>
      </w:r>
      <w:r w:rsidRPr="00650EE4">
        <w:rPr>
          <w:rFonts w:ascii="Times New Roman" w:hAnsi="Times New Roman"/>
          <w:color w:val="000000" w:themeColor="text1"/>
          <w:szCs w:val="22"/>
          <w:lang w:val="lt-LT"/>
        </w:rPr>
        <w:t>.3.1. skyriuje</w:t>
      </w:r>
      <w:r w:rsidR="000B2BA9" w:rsidRPr="00650EE4">
        <w:rPr>
          <w:rFonts w:ascii="Times New Roman" w:hAnsi="Times New Roman"/>
          <w:color w:val="000000" w:themeColor="text1"/>
          <w:szCs w:val="22"/>
          <w:lang w:val="lt-LT"/>
        </w:rPr>
        <w:t>. Duomenų bazės turėtų būti formuojama šiais etapais:</w:t>
      </w:r>
    </w:p>
    <w:p w14:paraId="7A3B85A8" w14:textId="5C192CEB" w:rsidR="00F37EB4" w:rsidRPr="00650EE4" w:rsidRDefault="00C63DF3"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nustatomi</w:t>
      </w:r>
      <w:r w:rsidR="00F37EB4" w:rsidRPr="00650EE4">
        <w:rPr>
          <w:rFonts w:ascii="Times New Roman" w:hAnsi="Times New Roman"/>
          <w:color w:val="000000" w:themeColor="text1"/>
          <w:szCs w:val="22"/>
          <w:lang w:val="lt-LT"/>
        </w:rPr>
        <w:t xml:space="preserve"> reikalavimai duomenų surinkimui savivaldybėse: duomenų struktūra, duomenų surinkimo metodika, pateikimo formatas (būdas) ir terminai</w:t>
      </w:r>
      <w:r w:rsidR="0076375D" w:rsidRPr="00650EE4">
        <w:rPr>
          <w:rFonts w:ascii="Times New Roman" w:hAnsi="Times New Roman"/>
          <w:color w:val="000000" w:themeColor="text1"/>
          <w:szCs w:val="22"/>
          <w:lang w:val="lt-LT"/>
        </w:rPr>
        <w:t>;</w:t>
      </w:r>
    </w:p>
    <w:p w14:paraId="73DBC19D" w14:textId="21618E38" w:rsidR="00FF12BD" w:rsidRPr="00650EE4" w:rsidRDefault="0076375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l</w:t>
      </w:r>
      <w:r w:rsidR="00FF12BD" w:rsidRPr="00650EE4">
        <w:rPr>
          <w:rFonts w:ascii="Times New Roman" w:hAnsi="Times New Roman"/>
          <w:color w:val="000000" w:themeColor="text1"/>
          <w:szCs w:val="22"/>
          <w:lang w:val="lt-LT"/>
        </w:rPr>
        <w:t xml:space="preserve">ygiagrečiai renkant duomenis savivaldybėse (žr. </w:t>
      </w:r>
      <w:r w:rsidRPr="00650EE4">
        <w:rPr>
          <w:rFonts w:ascii="Times New Roman" w:hAnsi="Times New Roman"/>
          <w:color w:val="000000" w:themeColor="text1"/>
          <w:szCs w:val="22"/>
          <w:lang w:val="lt-LT"/>
        </w:rPr>
        <w:t>9</w:t>
      </w:r>
      <w:r w:rsidR="00FF12BD" w:rsidRPr="00650EE4">
        <w:rPr>
          <w:rFonts w:ascii="Times New Roman" w:hAnsi="Times New Roman"/>
          <w:color w:val="000000" w:themeColor="text1"/>
          <w:szCs w:val="22"/>
          <w:lang w:val="lt-LT"/>
        </w:rPr>
        <w:t xml:space="preserve"> etapą) </w:t>
      </w:r>
      <w:r w:rsidR="00C63DF3">
        <w:rPr>
          <w:rFonts w:ascii="Times New Roman" w:hAnsi="Times New Roman"/>
          <w:color w:val="000000" w:themeColor="text1"/>
          <w:szCs w:val="22"/>
          <w:lang w:val="lt-LT"/>
        </w:rPr>
        <w:t>parengiama</w:t>
      </w:r>
      <w:r w:rsidR="00FF12BD" w:rsidRPr="00650EE4">
        <w:rPr>
          <w:rFonts w:ascii="Times New Roman" w:hAnsi="Times New Roman"/>
          <w:color w:val="000000" w:themeColor="text1"/>
          <w:szCs w:val="22"/>
          <w:lang w:val="lt-LT"/>
        </w:rPr>
        <w:t xml:space="preserve"> metodika duomenų apdorojimui ir palyginimui su išoriniais šaltiniais, pvz., pastatų fondo energijos vartojimo duomenys turi būti palyginami su Energijos ir kuro balanso duomenimis (faktiniu vartojimu), kadangi šiuo šaltiniu remi</w:t>
      </w:r>
      <w:r w:rsidR="00C63DF3">
        <w:rPr>
          <w:rFonts w:ascii="Times New Roman" w:hAnsi="Times New Roman"/>
          <w:color w:val="000000" w:themeColor="text1"/>
          <w:szCs w:val="22"/>
          <w:lang w:val="lt-LT"/>
        </w:rPr>
        <w:t xml:space="preserve">asi NECP įgyvendinimo </w:t>
      </w:r>
      <w:proofErr w:type="spellStart"/>
      <w:r w:rsidR="00C63DF3">
        <w:rPr>
          <w:rFonts w:ascii="Times New Roman" w:hAnsi="Times New Roman"/>
          <w:color w:val="000000" w:themeColor="text1"/>
          <w:szCs w:val="22"/>
          <w:lang w:val="lt-LT"/>
        </w:rPr>
        <w:t>stebėsena</w:t>
      </w:r>
      <w:proofErr w:type="spellEnd"/>
      <w:r w:rsidR="00C63DF3">
        <w:rPr>
          <w:rFonts w:ascii="Times New Roman" w:hAnsi="Times New Roman"/>
          <w:color w:val="000000" w:themeColor="text1"/>
          <w:szCs w:val="22"/>
          <w:lang w:val="lt-LT"/>
        </w:rPr>
        <w:t>;</w:t>
      </w:r>
    </w:p>
    <w:p w14:paraId="0EED1910" w14:textId="0CBA6F44" w:rsidR="00D1128B" w:rsidRPr="00650EE4" w:rsidRDefault="007D7822"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w:t>
      </w:r>
      <w:r w:rsidR="00FF12BD" w:rsidRPr="00650EE4">
        <w:rPr>
          <w:rFonts w:ascii="Times New Roman" w:hAnsi="Times New Roman"/>
          <w:color w:val="000000" w:themeColor="text1"/>
          <w:szCs w:val="22"/>
          <w:lang w:val="lt-LT"/>
        </w:rPr>
        <w:t xml:space="preserve">abaigus duomenų rinkimą savivaldybėse, </w:t>
      </w:r>
      <w:r w:rsidRPr="00650EE4">
        <w:rPr>
          <w:rFonts w:ascii="Times New Roman" w:hAnsi="Times New Roman"/>
          <w:color w:val="000000" w:themeColor="text1"/>
          <w:szCs w:val="22"/>
          <w:lang w:val="lt-LT"/>
        </w:rPr>
        <w:t>konsoliduojami</w:t>
      </w:r>
      <w:r w:rsidR="00FF12BD" w:rsidRPr="00650EE4">
        <w:rPr>
          <w:rFonts w:ascii="Times New Roman" w:hAnsi="Times New Roman"/>
          <w:color w:val="000000" w:themeColor="text1"/>
          <w:szCs w:val="22"/>
          <w:lang w:val="lt-LT"/>
        </w:rPr>
        <w:t xml:space="preserve"> savivaldybių pateikti duomenys, užpildant duomenų bazę ir (pagal poreikį) atnaujinant IRS rodiklius (žr. </w:t>
      </w:r>
      <w:r w:rsidRPr="00650EE4">
        <w:rPr>
          <w:rFonts w:ascii="Times New Roman" w:hAnsi="Times New Roman"/>
          <w:color w:val="000000" w:themeColor="text1"/>
          <w:szCs w:val="22"/>
          <w:lang w:val="lt-LT"/>
        </w:rPr>
        <w:t>13</w:t>
      </w:r>
      <w:r w:rsidR="00C63DF3">
        <w:rPr>
          <w:rFonts w:ascii="Times New Roman" w:hAnsi="Times New Roman"/>
          <w:color w:val="000000" w:themeColor="text1"/>
          <w:szCs w:val="22"/>
          <w:lang w:val="lt-LT"/>
        </w:rPr>
        <w:t xml:space="preserve"> etapą);</w:t>
      </w:r>
    </w:p>
    <w:p w14:paraId="190D3EB1" w14:textId="3C0F130B" w:rsidR="00B97F95" w:rsidRPr="00650EE4" w:rsidRDefault="00C63DF3"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color w:val="000000" w:themeColor="text1"/>
          <w:szCs w:val="22"/>
          <w:lang w:val="lt-LT"/>
        </w:rPr>
        <w:t>nustatomas</w:t>
      </w:r>
      <w:r w:rsidR="00B97F95" w:rsidRPr="00650EE4">
        <w:rPr>
          <w:rFonts w:ascii="Times New Roman" w:hAnsi="Times New Roman"/>
          <w:color w:val="000000" w:themeColor="text1"/>
          <w:szCs w:val="22"/>
          <w:lang w:val="lt-LT"/>
        </w:rPr>
        <w:t xml:space="preserve"> duomenų apie atliktą renovaciją rinkimo procesas, kurio metu būtų papildomi esami pastatų fondo duomenys. Tai sudarytų pagrindą tinkamam </w:t>
      </w:r>
      <w:proofErr w:type="spellStart"/>
      <w:r w:rsidR="00B97F95" w:rsidRPr="00650EE4">
        <w:rPr>
          <w:rFonts w:ascii="Times New Roman" w:hAnsi="Times New Roman"/>
          <w:color w:val="000000" w:themeColor="text1"/>
          <w:szCs w:val="22"/>
          <w:lang w:val="lt-LT"/>
        </w:rPr>
        <w:t>stebėsenos</w:t>
      </w:r>
      <w:proofErr w:type="spellEnd"/>
      <w:r w:rsidR="00B97F95" w:rsidRPr="00650EE4">
        <w:rPr>
          <w:rFonts w:ascii="Times New Roman" w:hAnsi="Times New Roman"/>
          <w:color w:val="000000" w:themeColor="text1"/>
          <w:szCs w:val="22"/>
          <w:lang w:val="lt-LT"/>
        </w:rPr>
        <w:t xml:space="preserve"> sistemos funkcionavimui (žr. 5 etapą).</w:t>
      </w:r>
    </w:p>
    <w:p w14:paraId="674B3AC6" w14:textId="77777777" w:rsidR="00C63DF3" w:rsidRDefault="00C63DF3" w:rsidP="0037038B">
      <w:pPr>
        <w:pStyle w:val="BodyText"/>
        <w:jc w:val="both"/>
        <w:rPr>
          <w:rFonts w:ascii="Times New Roman" w:hAnsi="Times New Roman"/>
          <w:color w:val="000000" w:themeColor="text1"/>
          <w:szCs w:val="22"/>
          <w:lang w:val="lt-LT"/>
        </w:rPr>
      </w:pPr>
    </w:p>
    <w:p w14:paraId="3D8C874C" w14:textId="3625B0BE" w:rsidR="00067AEE" w:rsidRPr="00650EE4" w:rsidRDefault="000A549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Svarbu, kad būtų paskirtas </w:t>
      </w:r>
      <w:r w:rsidR="00067AEE" w:rsidRPr="00650EE4">
        <w:rPr>
          <w:rFonts w:ascii="Times New Roman" w:hAnsi="Times New Roman"/>
          <w:szCs w:val="22"/>
          <w:lang w:val="lt-LT"/>
        </w:rPr>
        <w:t>ilgalaikį tokios duomenų bazės administratori</w:t>
      </w:r>
      <w:r w:rsidRPr="00650EE4">
        <w:rPr>
          <w:rFonts w:ascii="Times New Roman" w:hAnsi="Times New Roman"/>
          <w:szCs w:val="22"/>
          <w:lang w:val="lt-LT"/>
        </w:rPr>
        <w:t>us ir užtikrintas jos</w:t>
      </w:r>
      <w:r w:rsidR="00067AEE" w:rsidRPr="00650EE4">
        <w:rPr>
          <w:rFonts w:ascii="Times New Roman" w:hAnsi="Times New Roman"/>
          <w:szCs w:val="22"/>
          <w:lang w:val="lt-LT"/>
        </w:rPr>
        <w:t xml:space="preserve"> finansavimo šaltin</w:t>
      </w:r>
      <w:r w:rsidRPr="00650EE4">
        <w:rPr>
          <w:rFonts w:ascii="Times New Roman" w:hAnsi="Times New Roman"/>
          <w:szCs w:val="22"/>
          <w:lang w:val="lt-LT"/>
        </w:rPr>
        <w:t xml:space="preserve">is </w:t>
      </w:r>
      <w:r w:rsidR="00C63DF3">
        <w:rPr>
          <w:rFonts w:ascii="Times New Roman" w:hAnsi="Times New Roman"/>
          <w:szCs w:val="22"/>
          <w:lang w:val="lt-LT"/>
        </w:rPr>
        <w:t>ir</w:t>
      </w:r>
      <w:r w:rsidR="00067AEE" w:rsidRPr="00650EE4">
        <w:rPr>
          <w:rFonts w:ascii="Times New Roman" w:hAnsi="Times New Roman"/>
          <w:szCs w:val="22"/>
          <w:lang w:val="lt-LT"/>
        </w:rPr>
        <w:t xml:space="preserve"> administratoriui </w:t>
      </w:r>
      <w:r w:rsidRPr="00650EE4">
        <w:rPr>
          <w:rFonts w:ascii="Times New Roman" w:hAnsi="Times New Roman"/>
          <w:szCs w:val="22"/>
          <w:lang w:val="lt-LT"/>
        </w:rPr>
        <w:t xml:space="preserve">suteiktos </w:t>
      </w:r>
      <w:r w:rsidR="00067AEE" w:rsidRPr="00650EE4">
        <w:rPr>
          <w:rFonts w:ascii="Times New Roman" w:hAnsi="Times New Roman"/>
          <w:szCs w:val="22"/>
          <w:lang w:val="lt-LT"/>
        </w:rPr>
        <w:t xml:space="preserve">reikalingas duomenų prieigos teises </w:t>
      </w:r>
      <w:r w:rsidRPr="00650EE4">
        <w:rPr>
          <w:rFonts w:ascii="Times New Roman" w:hAnsi="Times New Roman"/>
          <w:szCs w:val="22"/>
          <w:lang w:val="lt-LT"/>
        </w:rPr>
        <w:t xml:space="preserve">ir įgaliojimai </w:t>
      </w:r>
      <w:r w:rsidR="00067AEE" w:rsidRPr="00650EE4">
        <w:rPr>
          <w:rFonts w:ascii="Times New Roman" w:hAnsi="Times New Roman"/>
          <w:szCs w:val="22"/>
          <w:lang w:val="lt-LT"/>
        </w:rPr>
        <w:t>(pvz.</w:t>
      </w:r>
      <w:r w:rsidRPr="00650EE4">
        <w:rPr>
          <w:rFonts w:ascii="Times New Roman" w:hAnsi="Times New Roman"/>
          <w:szCs w:val="22"/>
          <w:lang w:val="lt-LT"/>
        </w:rPr>
        <w:t>,</w:t>
      </w:r>
      <w:r w:rsidR="00067AEE" w:rsidRPr="00650EE4">
        <w:rPr>
          <w:rFonts w:ascii="Times New Roman" w:hAnsi="Times New Roman"/>
          <w:szCs w:val="22"/>
          <w:lang w:val="lt-LT"/>
        </w:rPr>
        <w:t xml:space="preserve"> įgaliojimus rinkti tam tikrus duomenis iš energijos tiekėjų).</w:t>
      </w:r>
    </w:p>
    <w:p w14:paraId="7CD7C288" w14:textId="247985EA" w:rsidR="00FF12BD" w:rsidRPr="00650EE4" w:rsidRDefault="00FF12BD" w:rsidP="00F37EB4">
      <w:pPr>
        <w:pStyle w:val="BodyText"/>
        <w:rPr>
          <w:rFonts w:ascii="Times New Roman" w:hAnsi="Times New Roman"/>
          <w:color w:val="000000" w:themeColor="text1"/>
          <w:szCs w:val="22"/>
          <w:lang w:val="lt-LT"/>
        </w:rPr>
      </w:pPr>
    </w:p>
    <w:p w14:paraId="6DC03712" w14:textId="0F98F0E0" w:rsidR="00131E0E" w:rsidRPr="00650EE4" w:rsidRDefault="00131E0E"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Esamų programų įgyvendinimas</w:t>
      </w:r>
    </w:p>
    <w:p w14:paraId="651319FA" w14:textId="151429B2" w:rsidR="00131E0E" w:rsidRPr="00650EE4" w:rsidRDefault="002D104C"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Pasirengimo etapo metu </w:t>
      </w:r>
      <w:r w:rsidR="00D50C06" w:rsidRPr="00650EE4">
        <w:rPr>
          <w:rFonts w:ascii="Times New Roman" w:hAnsi="Times New Roman"/>
          <w:color w:val="000000" w:themeColor="text1"/>
          <w:szCs w:val="22"/>
          <w:lang w:val="lt-LT"/>
        </w:rPr>
        <w:t xml:space="preserve">turi būti užtikrinamas esamų paramos programų vykdymas. Suformavus </w:t>
      </w:r>
      <w:r w:rsidR="00C367FD" w:rsidRPr="00650EE4">
        <w:rPr>
          <w:rFonts w:ascii="Times New Roman" w:hAnsi="Times New Roman"/>
          <w:color w:val="000000" w:themeColor="text1"/>
          <w:szCs w:val="22"/>
          <w:lang w:val="lt-LT"/>
        </w:rPr>
        <w:t>naujų</w:t>
      </w:r>
      <w:r w:rsidR="00D50C06" w:rsidRPr="00650EE4">
        <w:rPr>
          <w:rFonts w:ascii="Times New Roman" w:hAnsi="Times New Roman"/>
          <w:color w:val="000000" w:themeColor="text1"/>
          <w:szCs w:val="22"/>
          <w:lang w:val="lt-LT"/>
        </w:rPr>
        <w:t xml:space="preserve"> paramos priemonių paketą (žr. 4 etapą) pradedamas IRS įgyvendinimo etapas ir naujų paramos priemonių įgyvendinimas (žr. 12 etapą).</w:t>
      </w:r>
    </w:p>
    <w:p w14:paraId="466F227A" w14:textId="77777777" w:rsidR="00F37EB4" w:rsidRPr="00650EE4" w:rsidRDefault="00F37EB4" w:rsidP="00F37EB4">
      <w:pPr>
        <w:pStyle w:val="BodyText"/>
        <w:rPr>
          <w:rFonts w:ascii="Times New Roman" w:hAnsi="Times New Roman"/>
          <w:color w:val="000000" w:themeColor="text1"/>
          <w:szCs w:val="22"/>
          <w:lang w:val="lt-LT"/>
        </w:rPr>
      </w:pPr>
    </w:p>
    <w:p w14:paraId="308A78CA" w14:textId="31FAFF0A" w:rsidR="00F37EB4" w:rsidRPr="00650EE4" w:rsidRDefault="00FF41CA" w:rsidP="005878F6">
      <w:pPr>
        <w:pStyle w:val="BodyText"/>
        <w:numPr>
          <w:ilvl w:val="0"/>
          <w:numId w:val="76"/>
        </w:numPr>
        <w:spacing w:after="120"/>
        <w:ind w:left="284" w:hanging="284"/>
        <w:rPr>
          <w:rFonts w:ascii="Times New Roman" w:hAnsi="Times New Roman"/>
          <w:b/>
          <w:bCs/>
          <w:color w:val="000000" w:themeColor="text1"/>
          <w:szCs w:val="22"/>
          <w:lang w:val="lt-LT"/>
        </w:rPr>
      </w:pPr>
      <w:r w:rsidRPr="00650EE4">
        <w:rPr>
          <w:rFonts w:ascii="Times New Roman" w:hAnsi="Times New Roman"/>
          <w:b/>
          <w:bCs/>
          <w:color w:val="000000" w:themeColor="text1"/>
          <w:szCs w:val="22"/>
          <w:lang w:val="lt-LT"/>
        </w:rPr>
        <w:t>Pastatų fondo inventorizacija</w:t>
      </w:r>
      <w:r w:rsidR="00833834" w:rsidRPr="00650EE4">
        <w:rPr>
          <w:rFonts w:ascii="Times New Roman" w:hAnsi="Times New Roman"/>
          <w:b/>
          <w:bCs/>
          <w:color w:val="000000" w:themeColor="text1"/>
          <w:szCs w:val="22"/>
          <w:lang w:val="lt-LT"/>
        </w:rPr>
        <w:t xml:space="preserve"> (Priemonė P2)</w:t>
      </w:r>
    </w:p>
    <w:p w14:paraId="3D70B0FC" w14:textId="64634E03" w:rsidR="00F37EB4" w:rsidRPr="00650EE4" w:rsidRDefault="00F37EB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Remdamosi parengtais duomenų surinkimo nurodymais ir reikalaujama duomenų struktūra</w:t>
      </w:r>
      <w:r w:rsidR="00C257C6" w:rsidRPr="00650EE4">
        <w:rPr>
          <w:rFonts w:ascii="Times New Roman" w:hAnsi="Times New Roman"/>
          <w:color w:val="000000" w:themeColor="text1"/>
          <w:szCs w:val="22"/>
          <w:lang w:val="lt-LT"/>
        </w:rPr>
        <w:t xml:space="preserve"> (žr. 7 etapą)</w:t>
      </w:r>
      <w:r w:rsidRPr="00650EE4">
        <w:rPr>
          <w:rFonts w:ascii="Times New Roman" w:hAnsi="Times New Roman"/>
          <w:color w:val="000000" w:themeColor="text1"/>
          <w:szCs w:val="22"/>
          <w:lang w:val="lt-LT"/>
        </w:rPr>
        <w:t>, savivaldybės tur</w:t>
      </w:r>
      <w:r w:rsidR="006C44C3" w:rsidRPr="00650EE4">
        <w:rPr>
          <w:rFonts w:ascii="Times New Roman" w:hAnsi="Times New Roman"/>
          <w:color w:val="000000" w:themeColor="text1"/>
          <w:szCs w:val="22"/>
          <w:lang w:val="lt-LT"/>
        </w:rPr>
        <w:t>ėtų</w:t>
      </w:r>
      <w:r w:rsidRPr="00650EE4">
        <w:rPr>
          <w:rFonts w:ascii="Times New Roman" w:hAnsi="Times New Roman"/>
          <w:color w:val="000000" w:themeColor="text1"/>
          <w:szCs w:val="22"/>
          <w:lang w:val="lt-LT"/>
        </w:rPr>
        <w:t xml:space="preserve"> surinkti </w:t>
      </w:r>
      <w:r w:rsidR="006C44C3" w:rsidRPr="00650EE4">
        <w:rPr>
          <w:rFonts w:ascii="Times New Roman" w:hAnsi="Times New Roman"/>
          <w:color w:val="000000" w:themeColor="text1"/>
          <w:szCs w:val="22"/>
          <w:lang w:val="lt-LT"/>
        </w:rPr>
        <w:t xml:space="preserve">faktinę </w:t>
      </w:r>
      <w:r w:rsidRPr="00650EE4">
        <w:rPr>
          <w:rFonts w:ascii="Times New Roman" w:hAnsi="Times New Roman"/>
          <w:color w:val="000000" w:themeColor="text1"/>
          <w:szCs w:val="22"/>
          <w:lang w:val="lt-LT"/>
        </w:rPr>
        <w:t>informaciją apie esamą pastatų fondą</w:t>
      </w:r>
      <w:r w:rsidR="00B77060" w:rsidRPr="00650EE4">
        <w:rPr>
          <w:rFonts w:ascii="Times New Roman" w:hAnsi="Times New Roman"/>
          <w:color w:val="000000" w:themeColor="text1"/>
          <w:szCs w:val="22"/>
          <w:lang w:val="lt-LT"/>
        </w:rPr>
        <w:t>: naudojamų (šildomų) pastatų skaičių ir plot</w:t>
      </w:r>
      <w:r w:rsidR="006C44C3" w:rsidRPr="00650EE4">
        <w:rPr>
          <w:rFonts w:ascii="Times New Roman" w:hAnsi="Times New Roman"/>
          <w:color w:val="000000" w:themeColor="text1"/>
          <w:szCs w:val="22"/>
          <w:lang w:val="lt-LT"/>
        </w:rPr>
        <w:t>ą</w:t>
      </w:r>
      <w:r w:rsidR="00B7706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r w:rsidR="00B77060" w:rsidRPr="00650EE4">
        <w:rPr>
          <w:rFonts w:ascii="Times New Roman" w:hAnsi="Times New Roman"/>
          <w:color w:val="000000" w:themeColor="text1"/>
          <w:szCs w:val="22"/>
          <w:lang w:val="lt-LT"/>
        </w:rPr>
        <w:t xml:space="preserve">jų </w:t>
      </w:r>
      <w:r w:rsidRPr="00650EE4">
        <w:rPr>
          <w:rFonts w:ascii="Times New Roman" w:hAnsi="Times New Roman"/>
          <w:color w:val="000000" w:themeColor="text1"/>
          <w:szCs w:val="22"/>
          <w:lang w:val="lt-LT"/>
        </w:rPr>
        <w:t>energijos gamybos šaltinius ir energijos vartojimą. Surinkta informacija turėtų būti teikiama į centralizuotą duomenų bazę</w:t>
      </w:r>
      <w:r w:rsidR="002619A4" w:rsidRPr="00650EE4">
        <w:rPr>
          <w:rFonts w:ascii="Times New Roman" w:hAnsi="Times New Roman"/>
          <w:color w:val="000000" w:themeColor="text1"/>
          <w:szCs w:val="22"/>
          <w:lang w:val="lt-LT"/>
        </w:rPr>
        <w:t>, taip pat naudojama IRS įgyvendinimo planų savivaldybėse (žr. 10 etapą) rengimu</w:t>
      </w:r>
      <w:r w:rsidR="00791C03" w:rsidRPr="00650EE4">
        <w:rPr>
          <w:rFonts w:ascii="Times New Roman" w:hAnsi="Times New Roman"/>
          <w:color w:val="000000" w:themeColor="text1"/>
          <w:szCs w:val="22"/>
          <w:lang w:val="lt-LT"/>
        </w:rPr>
        <w:t>i.</w:t>
      </w:r>
    </w:p>
    <w:p w14:paraId="2D0A73F8" w14:textId="77777777" w:rsidR="00F25C7B" w:rsidRPr="00650EE4" w:rsidRDefault="00F25C7B" w:rsidP="005E71F4">
      <w:pPr>
        <w:rPr>
          <w:rFonts w:ascii="Times New Roman" w:hAnsi="Times New Roman"/>
          <w:b/>
          <w:bCs/>
          <w:color w:val="000000" w:themeColor="text1"/>
          <w:szCs w:val="22"/>
        </w:rPr>
      </w:pPr>
    </w:p>
    <w:p w14:paraId="13A3402D" w14:textId="36D1B22C" w:rsidR="00F37EB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F37EB4" w:rsidRPr="00650EE4">
        <w:rPr>
          <w:rFonts w:ascii="Times New Roman" w:hAnsi="Times New Roman"/>
          <w:b/>
          <w:bCs/>
          <w:color w:val="000000" w:themeColor="text1"/>
          <w:szCs w:val="22"/>
          <w:lang w:val="lt-LT"/>
        </w:rPr>
        <w:t>IRS įgyvendinimo planų parengimas</w:t>
      </w:r>
    </w:p>
    <w:p w14:paraId="055B9E3C" w14:textId="563F7C55" w:rsidR="00F37EB4" w:rsidRPr="00650EE4" w:rsidRDefault="00F37EB4" w:rsidP="00F37EB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Remdamosi </w:t>
      </w:r>
      <w:r w:rsidR="006948CD" w:rsidRPr="00650EE4">
        <w:rPr>
          <w:rFonts w:ascii="Times New Roman" w:hAnsi="Times New Roman"/>
          <w:color w:val="000000" w:themeColor="text1"/>
          <w:szCs w:val="22"/>
          <w:lang w:val="lt-LT"/>
        </w:rPr>
        <w:t xml:space="preserve">IRS nustatytais ilgalaikiais tikslais ir </w:t>
      </w:r>
      <w:r w:rsidRPr="00650EE4">
        <w:rPr>
          <w:rFonts w:ascii="Times New Roman" w:hAnsi="Times New Roman"/>
          <w:color w:val="000000" w:themeColor="text1"/>
          <w:szCs w:val="22"/>
          <w:lang w:val="lt-LT"/>
        </w:rPr>
        <w:t xml:space="preserve">surinkta </w:t>
      </w:r>
      <w:r w:rsidR="006948CD" w:rsidRPr="00650EE4">
        <w:rPr>
          <w:rFonts w:ascii="Times New Roman" w:hAnsi="Times New Roman"/>
          <w:color w:val="000000" w:themeColor="text1"/>
          <w:szCs w:val="22"/>
          <w:lang w:val="lt-LT"/>
        </w:rPr>
        <w:t xml:space="preserve">faktine </w:t>
      </w:r>
      <w:r w:rsidRPr="00650EE4">
        <w:rPr>
          <w:rFonts w:ascii="Times New Roman" w:hAnsi="Times New Roman"/>
          <w:color w:val="000000" w:themeColor="text1"/>
          <w:szCs w:val="22"/>
          <w:lang w:val="lt-LT"/>
        </w:rPr>
        <w:t>informacija apie savivaldyb</w:t>
      </w:r>
      <w:r w:rsidR="006948CD" w:rsidRPr="00650EE4">
        <w:rPr>
          <w:rFonts w:ascii="Times New Roman" w:hAnsi="Times New Roman"/>
          <w:color w:val="000000" w:themeColor="text1"/>
          <w:szCs w:val="22"/>
          <w:lang w:val="lt-LT"/>
        </w:rPr>
        <w:t>ių</w:t>
      </w:r>
      <w:r w:rsidRPr="00650EE4">
        <w:rPr>
          <w:rFonts w:ascii="Times New Roman" w:hAnsi="Times New Roman"/>
          <w:color w:val="000000" w:themeColor="text1"/>
          <w:szCs w:val="22"/>
          <w:lang w:val="lt-LT"/>
        </w:rPr>
        <w:t xml:space="preserve"> pastatų fondą</w:t>
      </w:r>
      <w:r w:rsidR="0003114B" w:rsidRPr="00650EE4">
        <w:rPr>
          <w:rFonts w:ascii="Times New Roman" w:hAnsi="Times New Roman"/>
          <w:color w:val="000000" w:themeColor="text1"/>
          <w:szCs w:val="22"/>
          <w:lang w:val="lt-LT"/>
        </w:rPr>
        <w:t xml:space="preserve"> (žr. 9 etapą)</w:t>
      </w:r>
      <w:r w:rsidR="006948CD"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 xml:space="preserve">savivaldybės turi </w:t>
      </w:r>
      <w:r w:rsidR="00E34F2A" w:rsidRPr="00650EE4">
        <w:rPr>
          <w:rFonts w:ascii="Times New Roman" w:hAnsi="Times New Roman"/>
          <w:color w:val="000000" w:themeColor="text1"/>
          <w:szCs w:val="22"/>
          <w:lang w:val="lt-LT"/>
        </w:rPr>
        <w:t>parenti</w:t>
      </w:r>
      <w:r w:rsidRPr="00650EE4">
        <w:rPr>
          <w:rFonts w:ascii="Times New Roman" w:hAnsi="Times New Roman"/>
          <w:color w:val="000000" w:themeColor="text1"/>
          <w:szCs w:val="22"/>
          <w:lang w:val="lt-LT"/>
        </w:rPr>
        <w:t xml:space="preserve"> savivaldybių </w:t>
      </w:r>
      <w:r w:rsidR="00E34F2A" w:rsidRPr="00650EE4">
        <w:rPr>
          <w:rFonts w:ascii="Times New Roman" w:hAnsi="Times New Roman"/>
          <w:color w:val="000000" w:themeColor="text1"/>
          <w:szCs w:val="22"/>
          <w:lang w:val="lt-LT"/>
        </w:rPr>
        <w:t>IRS įgyvendinimo</w:t>
      </w:r>
      <w:r w:rsidRPr="00650EE4">
        <w:rPr>
          <w:rFonts w:ascii="Times New Roman" w:hAnsi="Times New Roman"/>
          <w:color w:val="000000" w:themeColor="text1"/>
          <w:szCs w:val="22"/>
          <w:lang w:val="lt-LT"/>
        </w:rPr>
        <w:t xml:space="preserve"> planus, kurie apimtų:</w:t>
      </w:r>
    </w:p>
    <w:p w14:paraId="26D20D62" w14:textId="1C939810" w:rsidR="00F37EB4"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p</w:t>
      </w:r>
      <w:r w:rsidR="00F37EB4" w:rsidRPr="00650EE4">
        <w:rPr>
          <w:rFonts w:ascii="Times New Roman" w:hAnsi="Times New Roman"/>
          <w:b/>
          <w:bCs/>
          <w:color w:val="000000" w:themeColor="text1"/>
          <w:szCs w:val="22"/>
          <w:lang w:val="lt-LT"/>
        </w:rPr>
        <w:t>lanuojamus rodiklius</w:t>
      </w:r>
      <w:r w:rsidR="00F37EB4" w:rsidRPr="00650EE4">
        <w:rPr>
          <w:rFonts w:ascii="Times New Roman" w:hAnsi="Times New Roman"/>
          <w:color w:val="000000" w:themeColor="text1"/>
          <w:szCs w:val="22"/>
          <w:lang w:val="lt-LT"/>
        </w:rPr>
        <w:t xml:space="preserve">. Nurodomas faktinis savivaldybių pastatų fondo energijos vartojimas ir nustatomi IRS </w:t>
      </w:r>
      <w:r w:rsidR="00E34F2A" w:rsidRPr="00650EE4">
        <w:rPr>
          <w:rFonts w:ascii="Times New Roman" w:hAnsi="Times New Roman"/>
          <w:color w:val="000000" w:themeColor="text1"/>
          <w:szCs w:val="22"/>
          <w:lang w:val="lt-LT"/>
        </w:rPr>
        <w:t>rodikliai</w:t>
      </w:r>
      <w:r w:rsidR="00F37EB4" w:rsidRPr="00650EE4">
        <w:rPr>
          <w:rFonts w:ascii="Times New Roman" w:hAnsi="Times New Roman"/>
          <w:color w:val="000000" w:themeColor="text1"/>
          <w:szCs w:val="22"/>
          <w:lang w:val="lt-LT"/>
        </w:rPr>
        <w:t xml:space="preserve"> (renovuojamų pastatų skaičius</w:t>
      </w:r>
      <w:r w:rsidR="00E34F2A" w:rsidRPr="00650EE4">
        <w:rPr>
          <w:rFonts w:ascii="Times New Roman" w:hAnsi="Times New Roman"/>
          <w:color w:val="000000" w:themeColor="text1"/>
          <w:szCs w:val="22"/>
          <w:lang w:val="lt-LT"/>
        </w:rPr>
        <w:t xml:space="preserve">, energijos vartojimo mažėjimas, </w:t>
      </w:r>
      <w:r>
        <w:rPr>
          <w:rFonts w:ascii="Times New Roman" w:hAnsi="Times New Roman"/>
          <w:color w:val="000000" w:themeColor="text1"/>
          <w:szCs w:val="22"/>
          <w:lang w:val="lt-LT"/>
        </w:rPr>
        <w:t>ir kt.);</w:t>
      </w:r>
      <w:r w:rsidR="00F37EB4" w:rsidRPr="00650EE4">
        <w:rPr>
          <w:rFonts w:ascii="Times New Roman" w:hAnsi="Times New Roman"/>
          <w:color w:val="000000" w:themeColor="text1"/>
          <w:szCs w:val="22"/>
          <w:lang w:val="lt-LT"/>
        </w:rPr>
        <w:t xml:space="preserve"> </w:t>
      </w:r>
    </w:p>
    <w:p w14:paraId="4AE2E744" w14:textId="4872BA43" w:rsidR="00F37EB4" w:rsidRPr="00650EE4" w:rsidRDefault="0037038B" w:rsidP="00BD4925">
      <w:pPr>
        <w:pStyle w:val="BodyText"/>
        <w:numPr>
          <w:ilvl w:val="0"/>
          <w:numId w:val="70"/>
        </w:numPr>
        <w:spacing w:before="120" w:after="60"/>
        <w:jc w:val="both"/>
        <w:rPr>
          <w:rFonts w:ascii="Times New Roman" w:hAnsi="Times New Roman"/>
          <w:color w:val="000000" w:themeColor="text1"/>
          <w:szCs w:val="22"/>
          <w:lang w:val="lt-LT"/>
        </w:rPr>
      </w:pPr>
      <w:r>
        <w:rPr>
          <w:rFonts w:ascii="Times New Roman" w:hAnsi="Times New Roman"/>
          <w:b/>
          <w:bCs/>
          <w:color w:val="000000" w:themeColor="text1"/>
          <w:szCs w:val="22"/>
          <w:lang w:val="lt-LT"/>
        </w:rPr>
        <w:t>i</w:t>
      </w:r>
      <w:r w:rsidR="00F37EB4" w:rsidRPr="00650EE4">
        <w:rPr>
          <w:rFonts w:ascii="Times New Roman" w:hAnsi="Times New Roman"/>
          <w:b/>
          <w:bCs/>
          <w:color w:val="000000" w:themeColor="text1"/>
          <w:szCs w:val="22"/>
          <w:lang w:val="lt-LT"/>
        </w:rPr>
        <w:t>ntegraciją su kitais planavimo dokumentais</w:t>
      </w:r>
      <w:r w:rsidR="00F37EB4" w:rsidRPr="00650EE4">
        <w:rPr>
          <w:rFonts w:ascii="Times New Roman" w:hAnsi="Times New Roman"/>
          <w:color w:val="000000" w:themeColor="text1"/>
          <w:szCs w:val="22"/>
          <w:lang w:val="lt-LT"/>
        </w:rPr>
        <w:t>. Planai turėtų būti suderinti (arba apjungti) su kitais savivaldybių planavimo dokumentais, įskaitant, bet neapsiribojant: AEI energijos naudojimo plėtros veiksmų planais, šilumos ūkio specialiaisiais planais, teritorijų planavimo dokumentais ir kt.</w:t>
      </w:r>
    </w:p>
    <w:p w14:paraId="09B52000" w14:textId="04994518" w:rsidR="005E71F4" w:rsidRPr="00650EE4" w:rsidRDefault="005E71F4" w:rsidP="005E71F4">
      <w:pPr>
        <w:pStyle w:val="BodyText"/>
        <w:rPr>
          <w:rFonts w:ascii="Times New Roman" w:hAnsi="Times New Roman"/>
          <w:color w:val="000000" w:themeColor="text1"/>
          <w:szCs w:val="22"/>
          <w:lang w:val="lt-LT"/>
        </w:rPr>
      </w:pPr>
    </w:p>
    <w:p w14:paraId="299E59CB" w14:textId="72FE3BC1" w:rsidR="005E71F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FF12BD" w:rsidRPr="00650EE4">
        <w:rPr>
          <w:rFonts w:ascii="Times New Roman" w:hAnsi="Times New Roman"/>
          <w:b/>
          <w:bCs/>
          <w:color w:val="000000" w:themeColor="text1"/>
          <w:szCs w:val="22"/>
          <w:lang w:val="lt-LT"/>
        </w:rPr>
        <w:t>Įgyvendinimo sistemos adaptavimas</w:t>
      </w:r>
      <w:r w:rsidR="0051469C" w:rsidRPr="00650EE4">
        <w:rPr>
          <w:rFonts w:ascii="Times New Roman" w:hAnsi="Times New Roman"/>
          <w:b/>
          <w:bCs/>
          <w:color w:val="000000" w:themeColor="text1"/>
          <w:szCs w:val="22"/>
          <w:lang w:val="lt-LT"/>
        </w:rPr>
        <w:t xml:space="preserve"> (priemonė P</w:t>
      </w:r>
      <w:r w:rsidR="00CB5533">
        <w:rPr>
          <w:rFonts w:ascii="Times New Roman" w:hAnsi="Times New Roman"/>
          <w:b/>
          <w:bCs/>
          <w:color w:val="000000" w:themeColor="text1"/>
          <w:szCs w:val="22"/>
          <w:lang w:val="lt-LT"/>
        </w:rPr>
        <w:t>5</w:t>
      </w:r>
      <w:r w:rsidR="0051469C" w:rsidRPr="00650EE4">
        <w:rPr>
          <w:rFonts w:ascii="Times New Roman" w:hAnsi="Times New Roman"/>
          <w:b/>
          <w:bCs/>
          <w:color w:val="000000" w:themeColor="text1"/>
          <w:szCs w:val="22"/>
          <w:lang w:val="lt-LT"/>
        </w:rPr>
        <w:t>)</w:t>
      </w:r>
    </w:p>
    <w:p w14:paraId="5FBDF9B5" w14:textId="092AB490" w:rsidR="005E71F4" w:rsidRPr="00650EE4" w:rsidRDefault="00CB02C1"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Savivaldybės turėtų adaptuoti </w:t>
      </w:r>
      <w:r w:rsidR="002D3AAD" w:rsidRPr="00650EE4">
        <w:rPr>
          <w:rFonts w:ascii="Times New Roman" w:hAnsi="Times New Roman"/>
          <w:color w:val="000000" w:themeColor="text1"/>
          <w:szCs w:val="22"/>
          <w:lang w:val="lt-LT"/>
        </w:rPr>
        <w:t xml:space="preserve">paramos priemones (žr. </w:t>
      </w:r>
      <w:r w:rsidR="00840231" w:rsidRPr="00650EE4">
        <w:rPr>
          <w:rFonts w:ascii="Times New Roman" w:hAnsi="Times New Roman"/>
          <w:color w:val="000000" w:themeColor="text1"/>
          <w:szCs w:val="22"/>
          <w:lang w:val="lt-LT"/>
        </w:rPr>
        <w:t>4</w:t>
      </w:r>
      <w:r w:rsidR="002D3AAD" w:rsidRPr="00650EE4">
        <w:rPr>
          <w:rFonts w:ascii="Times New Roman" w:hAnsi="Times New Roman"/>
          <w:color w:val="000000" w:themeColor="text1"/>
          <w:szCs w:val="22"/>
          <w:lang w:val="lt-LT"/>
        </w:rPr>
        <w:t xml:space="preserve"> etapą) ir </w:t>
      </w:r>
      <w:r w:rsidRPr="00650EE4">
        <w:rPr>
          <w:rFonts w:ascii="Times New Roman" w:hAnsi="Times New Roman"/>
          <w:color w:val="000000" w:themeColor="text1"/>
          <w:szCs w:val="22"/>
          <w:lang w:val="lt-LT"/>
        </w:rPr>
        <w:t>nacionalinę IRS įgyvendinimo sistemą</w:t>
      </w:r>
      <w:r w:rsidR="002D3AAD" w:rsidRPr="00650EE4">
        <w:rPr>
          <w:rFonts w:ascii="Times New Roman" w:hAnsi="Times New Roman"/>
          <w:color w:val="000000" w:themeColor="text1"/>
          <w:szCs w:val="22"/>
          <w:lang w:val="lt-LT"/>
        </w:rPr>
        <w:t xml:space="preserve"> (žr. 5 etapą)</w:t>
      </w:r>
      <w:r w:rsidRPr="00650EE4">
        <w:rPr>
          <w:rFonts w:ascii="Times New Roman" w:hAnsi="Times New Roman"/>
          <w:color w:val="000000" w:themeColor="text1"/>
          <w:szCs w:val="22"/>
          <w:lang w:val="lt-LT"/>
        </w:rPr>
        <w:t xml:space="preserve"> vietos savivaldos lygmeniu, užtikrinant „vieno langelio“ principo įgyvendinimą. Turėtų būti parengtas </w:t>
      </w:r>
      <w:r w:rsidR="005E71F4" w:rsidRPr="00650EE4">
        <w:rPr>
          <w:rFonts w:ascii="Times New Roman" w:hAnsi="Times New Roman"/>
          <w:color w:val="000000" w:themeColor="text1"/>
          <w:szCs w:val="22"/>
          <w:lang w:val="lt-LT"/>
        </w:rPr>
        <w:t>mechanizm</w:t>
      </w:r>
      <w:r w:rsidRPr="00650EE4">
        <w:rPr>
          <w:rFonts w:ascii="Times New Roman" w:hAnsi="Times New Roman"/>
          <w:color w:val="000000" w:themeColor="text1"/>
          <w:szCs w:val="22"/>
          <w:lang w:val="lt-LT"/>
        </w:rPr>
        <w:t>as</w:t>
      </w:r>
      <w:r w:rsidR="005E71F4"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užtikrinantis</w:t>
      </w:r>
      <w:r w:rsidR="005E71F4" w:rsidRPr="00650EE4">
        <w:rPr>
          <w:rFonts w:ascii="Times New Roman" w:hAnsi="Times New Roman"/>
          <w:color w:val="000000" w:themeColor="text1"/>
          <w:szCs w:val="22"/>
          <w:lang w:val="lt-LT"/>
        </w:rPr>
        <w:t xml:space="preserve">, kad pastato savininkas galėtų </w:t>
      </w:r>
      <w:r w:rsidR="005E71F4" w:rsidRPr="00650EE4">
        <w:rPr>
          <w:rFonts w:ascii="Times New Roman" w:hAnsi="Times New Roman"/>
          <w:szCs w:val="22"/>
          <w:lang w:val="lt-LT" w:eastAsia="lt-LT"/>
        </w:rPr>
        <w:t>vienoje vietoje:</w:t>
      </w:r>
    </w:p>
    <w:p w14:paraId="16218FF0" w14:textId="5EAEC469" w:rsidR="005E71F4" w:rsidRPr="00650EE4" w:rsidRDefault="005E71F4"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sužinoti </w:t>
      </w:r>
      <w:r w:rsidR="00CB02C1" w:rsidRPr="00650EE4">
        <w:rPr>
          <w:rFonts w:ascii="Times New Roman" w:hAnsi="Times New Roman"/>
          <w:color w:val="000000" w:themeColor="text1"/>
          <w:szCs w:val="22"/>
          <w:lang w:val="lt-LT"/>
        </w:rPr>
        <w:t xml:space="preserve">visą informaciją </w:t>
      </w:r>
      <w:r w:rsidRPr="00650EE4">
        <w:rPr>
          <w:rFonts w:ascii="Times New Roman" w:hAnsi="Times New Roman"/>
          <w:color w:val="000000" w:themeColor="text1"/>
          <w:szCs w:val="22"/>
          <w:lang w:val="lt-LT"/>
        </w:rPr>
        <w:t xml:space="preserve">apie renovacijos naudas ir visas prieinamas paramos priemones; </w:t>
      </w:r>
    </w:p>
    <w:p w14:paraId="209BB558" w14:textId="77777777" w:rsidR="005E71F4" w:rsidRPr="00650EE4" w:rsidRDefault="005E71F4" w:rsidP="00BD4925">
      <w:pPr>
        <w:pStyle w:val="BodyText"/>
        <w:numPr>
          <w:ilvl w:val="0"/>
          <w:numId w:val="70"/>
        </w:numPr>
        <w:spacing w:before="120" w:after="12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nusprendęs renovaciją įgyvendinti, galėtų sutvarkyti visus dokumentus (tiek techninius, tiek finansinius).</w:t>
      </w:r>
    </w:p>
    <w:p w14:paraId="42D83EF7" w14:textId="77777777" w:rsidR="00C63DF3" w:rsidRPr="00650EE4" w:rsidRDefault="00C63DF3" w:rsidP="00F37EB4">
      <w:pPr>
        <w:pStyle w:val="BodyText"/>
        <w:rPr>
          <w:rFonts w:ascii="Times New Roman" w:hAnsi="Times New Roman"/>
          <w:color w:val="000000" w:themeColor="text1"/>
          <w:szCs w:val="22"/>
          <w:lang w:val="lt-LT"/>
        </w:rPr>
      </w:pPr>
    </w:p>
    <w:p w14:paraId="29406662" w14:textId="7F191662" w:rsidR="005E71F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E71F4" w:rsidRPr="00650EE4">
        <w:rPr>
          <w:rFonts w:ascii="Times New Roman" w:hAnsi="Times New Roman"/>
          <w:b/>
          <w:bCs/>
          <w:color w:val="000000" w:themeColor="text1"/>
          <w:szCs w:val="22"/>
          <w:lang w:val="lt-LT"/>
        </w:rPr>
        <w:t xml:space="preserve">Naujo </w:t>
      </w:r>
      <w:r w:rsidR="006D4B4E" w:rsidRPr="00650EE4">
        <w:rPr>
          <w:rFonts w:ascii="Times New Roman" w:hAnsi="Times New Roman"/>
          <w:b/>
          <w:bCs/>
          <w:color w:val="000000" w:themeColor="text1"/>
          <w:szCs w:val="22"/>
          <w:lang w:val="lt-LT"/>
        </w:rPr>
        <w:t>programų</w:t>
      </w:r>
      <w:r w:rsidR="005E71F4" w:rsidRPr="00650EE4">
        <w:rPr>
          <w:rFonts w:ascii="Times New Roman" w:hAnsi="Times New Roman"/>
          <w:b/>
          <w:bCs/>
          <w:color w:val="000000" w:themeColor="text1"/>
          <w:szCs w:val="22"/>
          <w:lang w:val="lt-LT"/>
        </w:rPr>
        <w:t xml:space="preserve"> </w:t>
      </w:r>
      <w:r w:rsidR="00736F13" w:rsidRPr="00650EE4">
        <w:rPr>
          <w:rFonts w:ascii="Times New Roman" w:hAnsi="Times New Roman"/>
          <w:b/>
          <w:bCs/>
          <w:color w:val="000000" w:themeColor="text1"/>
          <w:szCs w:val="22"/>
          <w:lang w:val="lt-LT"/>
        </w:rPr>
        <w:t xml:space="preserve">paketo </w:t>
      </w:r>
      <w:r w:rsidR="005E71F4" w:rsidRPr="00650EE4">
        <w:rPr>
          <w:rFonts w:ascii="Times New Roman" w:hAnsi="Times New Roman"/>
          <w:b/>
          <w:bCs/>
          <w:color w:val="000000" w:themeColor="text1"/>
          <w:szCs w:val="22"/>
          <w:lang w:val="lt-LT"/>
        </w:rPr>
        <w:t>įgyvendinimas</w:t>
      </w:r>
    </w:p>
    <w:p w14:paraId="04C35009" w14:textId="77777777" w:rsidR="003904B2" w:rsidRPr="00650EE4" w:rsidRDefault="003904B2" w:rsidP="005E71F4">
      <w:pPr>
        <w:pStyle w:val="BodyText"/>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Suformavus naujų paramos priemonių paketą (žr. 4 etapą) pradedamas IRS įgyvendinimo etapas ir naujų paramos priemonių įgyvendinimas. </w:t>
      </w:r>
    </w:p>
    <w:p w14:paraId="76455524" w14:textId="77777777" w:rsidR="005E71F4" w:rsidRPr="00650EE4" w:rsidRDefault="005E71F4" w:rsidP="00F37EB4">
      <w:pPr>
        <w:pStyle w:val="BodyText"/>
        <w:rPr>
          <w:rFonts w:ascii="Times New Roman" w:hAnsi="Times New Roman"/>
          <w:color w:val="000000" w:themeColor="text1"/>
          <w:szCs w:val="22"/>
          <w:lang w:val="lt-LT"/>
        </w:rPr>
      </w:pPr>
    </w:p>
    <w:p w14:paraId="2792BFF1" w14:textId="007CB1A1" w:rsidR="00F37EB4"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lastRenderedPageBreak/>
        <w:t xml:space="preserve"> </w:t>
      </w:r>
      <w:r w:rsidR="00BB11FB" w:rsidRPr="00650EE4">
        <w:rPr>
          <w:rFonts w:ascii="Times New Roman" w:hAnsi="Times New Roman"/>
          <w:b/>
          <w:bCs/>
          <w:color w:val="000000" w:themeColor="text1"/>
          <w:szCs w:val="22"/>
          <w:lang w:val="lt-LT"/>
        </w:rPr>
        <w:t xml:space="preserve">NECP ir </w:t>
      </w:r>
      <w:r w:rsidR="00F37EB4" w:rsidRPr="00650EE4">
        <w:rPr>
          <w:rFonts w:ascii="Times New Roman" w:hAnsi="Times New Roman"/>
          <w:b/>
          <w:bCs/>
          <w:color w:val="000000" w:themeColor="text1"/>
          <w:szCs w:val="22"/>
          <w:lang w:val="lt-LT"/>
        </w:rPr>
        <w:t>IRS atnaujinimas</w:t>
      </w:r>
    </w:p>
    <w:p w14:paraId="211CCBD7" w14:textId="565D8947" w:rsidR="00753120" w:rsidRPr="00650EE4" w:rsidRDefault="00F37EB4"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Įgyvendinant ES </w:t>
      </w:r>
      <w:r w:rsidR="00F9425C" w:rsidRPr="00650EE4">
        <w:rPr>
          <w:rFonts w:ascii="Times New Roman" w:hAnsi="Times New Roman"/>
          <w:color w:val="000000" w:themeColor="text1"/>
          <w:szCs w:val="22"/>
          <w:lang w:val="lt-LT"/>
        </w:rPr>
        <w:t xml:space="preserve">direktyvų </w:t>
      </w:r>
      <w:r w:rsidRPr="00650EE4">
        <w:rPr>
          <w:rFonts w:ascii="Times New Roman" w:hAnsi="Times New Roman"/>
          <w:color w:val="000000" w:themeColor="text1"/>
          <w:szCs w:val="22"/>
          <w:lang w:val="lt-LT"/>
        </w:rPr>
        <w:t xml:space="preserve">reikalavimus, IRS </w:t>
      </w:r>
      <w:r w:rsidR="00F9425C" w:rsidRPr="00650EE4">
        <w:rPr>
          <w:rFonts w:ascii="Times New Roman" w:hAnsi="Times New Roman"/>
          <w:color w:val="000000" w:themeColor="text1"/>
          <w:szCs w:val="22"/>
          <w:lang w:val="lt-LT"/>
        </w:rPr>
        <w:t xml:space="preserve">yra integruota NECP dalis. Atsižvelgiant į NECP taikomus reikalavimus, IRS </w:t>
      </w:r>
      <w:r w:rsidRPr="00650EE4">
        <w:rPr>
          <w:rFonts w:ascii="Times New Roman" w:hAnsi="Times New Roman"/>
          <w:color w:val="000000" w:themeColor="text1"/>
          <w:szCs w:val="22"/>
          <w:lang w:val="lt-LT"/>
        </w:rPr>
        <w:t>turi būti atnaujinta ir pateikta Europos Komisijai kartu su atnaujintu NECP iki 2024 m. birželio mėnesio. IRS atnaujinimo metu turėtų būti</w:t>
      </w:r>
      <w:r w:rsidR="00753120" w:rsidRPr="00650EE4">
        <w:rPr>
          <w:rFonts w:ascii="Times New Roman" w:hAnsi="Times New Roman"/>
          <w:color w:val="000000" w:themeColor="text1"/>
          <w:szCs w:val="22"/>
          <w:lang w:val="lt-LT"/>
        </w:rPr>
        <w:t>:</w:t>
      </w:r>
      <w:r w:rsidRPr="00650EE4">
        <w:rPr>
          <w:rFonts w:ascii="Times New Roman" w:hAnsi="Times New Roman"/>
          <w:color w:val="000000" w:themeColor="text1"/>
          <w:szCs w:val="22"/>
          <w:lang w:val="lt-LT"/>
        </w:rPr>
        <w:t xml:space="preserve"> </w:t>
      </w:r>
    </w:p>
    <w:p w14:paraId="2FEF419B" w14:textId="77777777" w:rsidR="00CB5533" w:rsidRPr="00650EE4" w:rsidRDefault="00CB5533" w:rsidP="00CB5533">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patikslinti IRS siekiami tikslai ir rodikliai (remiantis funkcionuoj</w:t>
      </w:r>
      <w:r>
        <w:rPr>
          <w:rFonts w:ascii="Times New Roman" w:hAnsi="Times New Roman"/>
          <w:color w:val="000000" w:themeColor="text1"/>
          <w:szCs w:val="22"/>
          <w:lang w:val="lt-LT"/>
        </w:rPr>
        <w:t>ančia duomenų baze (žr. 4 etapą</w:t>
      </w:r>
      <w:r w:rsidRPr="00650EE4">
        <w:rPr>
          <w:rFonts w:ascii="Times New Roman" w:hAnsi="Times New Roman"/>
          <w:color w:val="000000" w:themeColor="text1"/>
          <w:szCs w:val="22"/>
          <w:lang w:val="lt-LT"/>
        </w:rPr>
        <w:t>);</w:t>
      </w:r>
    </w:p>
    <w:p w14:paraId="08B491C2" w14:textId="77777777" w:rsidR="00CB5533" w:rsidRPr="00650EE4" w:rsidRDefault="00CB5533" w:rsidP="00CB5533">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patikslinti įgyvendinamų IRS priemonių aprašymai (remiantis nauju paramo</w:t>
      </w:r>
      <w:r>
        <w:rPr>
          <w:rFonts w:ascii="Times New Roman" w:hAnsi="Times New Roman"/>
          <w:color w:val="000000" w:themeColor="text1"/>
          <w:szCs w:val="22"/>
          <w:lang w:val="lt-LT"/>
        </w:rPr>
        <w:t>s priemonių paketu (žr. 8 etapą</w:t>
      </w:r>
      <w:r w:rsidRPr="00650EE4">
        <w:rPr>
          <w:rFonts w:ascii="Times New Roman" w:hAnsi="Times New Roman"/>
          <w:color w:val="000000" w:themeColor="text1"/>
          <w:szCs w:val="22"/>
          <w:lang w:val="lt-LT"/>
        </w:rPr>
        <w:t>).</w:t>
      </w:r>
    </w:p>
    <w:p w14:paraId="7DBCFD6E" w14:textId="565367C9" w:rsidR="00565DCF" w:rsidRPr="00650EE4" w:rsidRDefault="00565DCF" w:rsidP="00F37EB4">
      <w:pPr>
        <w:pStyle w:val="BodyText"/>
        <w:rPr>
          <w:rFonts w:ascii="Times New Roman" w:hAnsi="Times New Roman"/>
          <w:color w:val="000000" w:themeColor="text1"/>
          <w:szCs w:val="22"/>
          <w:lang w:val="lt-LT"/>
        </w:rPr>
      </w:pPr>
    </w:p>
    <w:p w14:paraId="479ED491" w14:textId="4AB722E9" w:rsidR="00565DCF"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65DCF" w:rsidRPr="00650EE4">
        <w:rPr>
          <w:rFonts w:ascii="Times New Roman" w:hAnsi="Times New Roman"/>
          <w:b/>
          <w:bCs/>
          <w:color w:val="000000" w:themeColor="text1"/>
          <w:szCs w:val="22"/>
          <w:lang w:val="lt-LT"/>
        </w:rPr>
        <w:t>NECP 2040 parengimas ir IRS atnaujinimas</w:t>
      </w:r>
    </w:p>
    <w:p w14:paraId="6B5B1068" w14:textId="3B51A8C2" w:rsidR="00CA64E1" w:rsidRPr="00650EE4" w:rsidRDefault="00CA64E1" w:rsidP="0037038B">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Įgyvendinant ES direktyvų reikalavimus, IRS yra integruota NECP dalis. Atsižvelgiant į NECP taikomus reikalavimus, naujo laikotarpio (2031-2040 m.) NECP turėti būti parengtas ir pateiktas Europos Komisijai iki 2029 m. </w:t>
      </w:r>
      <w:r w:rsidR="00DE4A28" w:rsidRPr="00650EE4">
        <w:rPr>
          <w:rFonts w:ascii="Times New Roman" w:hAnsi="Times New Roman"/>
          <w:color w:val="000000" w:themeColor="text1"/>
          <w:szCs w:val="22"/>
          <w:lang w:val="lt-LT"/>
        </w:rPr>
        <w:t>sausio 1 d.</w:t>
      </w:r>
      <w:r w:rsidR="008F754F" w:rsidRPr="00650EE4">
        <w:rPr>
          <w:rFonts w:ascii="Times New Roman" w:hAnsi="Times New Roman"/>
          <w:color w:val="000000" w:themeColor="text1"/>
          <w:szCs w:val="22"/>
          <w:lang w:val="lt-LT"/>
        </w:rPr>
        <w:t xml:space="preserve"> </w:t>
      </w:r>
      <w:r w:rsidR="004801A6" w:rsidRPr="00650EE4">
        <w:rPr>
          <w:rFonts w:ascii="Times New Roman" w:hAnsi="Times New Roman"/>
          <w:color w:val="000000" w:themeColor="text1"/>
          <w:szCs w:val="22"/>
          <w:lang w:val="lt-LT"/>
        </w:rPr>
        <w:t xml:space="preserve">Atitinkamai </w:t>
      </w:r>
      <w:r w:rsidR="008F754F" w:rsidRPr="00650EE4">
        <w:rPr>
          <w:rFonts w:ascii="Times New Roman" w:hAnsi="Times New Roman"/>
          <w:color w:val="000000" w:themeColor="text1"/>
          <w:szCs w:val="22"/>
          <w:lang w:val="lt-LT"/>
        </w:rPr>
        <w:t>IRS atn</w:t>
      </w:r>
      <w:r w:rsidR="00B85DDF" w:rsidRPr="00650EE4">
        <w:rPr>
          <w:rFonts w:ascii="Times New Roman" w:hAnsi="Times New Roman"/>
          <w:color w:val="000000" w:themeColor="text1"/>
          <w:szCs w:val="22"/>
          <w:lang w:val="lt-LT"/>
        </w:rPr>
        <w:t>a</w:t>
      </w:r>
      <w:r w:rsidR="008F754F" w:rsidRPr="00650EE4">
        <w:rPr>
          <w:rFonts w:ascii="Times New Roman" w:hAnsi="Times New Roman"/>
          <w:color w:val="000000" w:themeColor="text1"/>
          <w:szCs w:val="22"/>
          <w:lang w:val="lt-LT"/>
        </w:rPr>
        <w:t>ujinimo metu turėtų būti:</w:t>
      </w:r>
    </w:p>
    <w:p w14:paraId="778B30F0" w14:textId="3AC12BC7" w:rsidR="00B85DDF" w:rsidRPr="00650EE4" w:rsidRDefault="00B85DDF"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patikslinti IRS siekiami tikslai ir rodikliai, atsižvelgiant į </w:t>
      </w:r>
      <w:r w:rsidR="00C367FD" w:rsidRPr="00650EE4">
        <w:rPr>
          <w:rFonts w:ascii="Times New Roman" w:hAnsi="Times New Roman"/>
          <w:color w:val="000000" w:themeColor="text1"/>
          <w:szCs w:val="22"/>
          <w:lang w:val="lt-LT"/>
        </w:rPr>
        <w:t>naujo</w:t>
      </w:r>
      <w:r w:rsidR="002C5585" w:rsidRPr="00650EE4">
        <w:rPr>
          <w:rFonts w:ascii="Times New Roman" w:hAnsi="Times New Roman"/>
          <w:color w:val="000000" w:themeColor="text1"/>
          <w:szCs w:val="22"/>
          <w:lang w:val="lt-LT"/>
        </w:rPr>
        <w:t xml:space="preserve"> laikotarpio </w:t>
      </w:r>
      <w:r w:rsidRPr="00650EE4">
        <w:rPr>
          <w:rFonts w:ascii="Times New Roman" w:hAnsi="Times New Roman"/>
          <w:color w:val="000000" w:themeColor="text1"/>
          <w:szCs w:val="22"/>
          <w:lang w:val="lt-LT"/>
        </w:rPr>
        <w:t>NECP planuojamus energijos vartoj</w:t>
      </w:r>
      <w:r w:rsidR="00C42D6E" w:rsidRPr="00650EE4">
        <w:rPr>
          <w:rFonts w:ascii="Times New Roman" w:hAnsi="Times New Roman"/>
          <w:color w:val="000000" w:themeColor="text1"/>
          <w:szCs w:val="22"/>
          <w:lang w:val="lt-LT"/>
        </w:rPr>
        <w:t>i</w:t>
      </w:r>
      <w:r w:rsidRPr="00650EE4">
        <w:rPr>
          <w:rFonts w:ascii="Times New Roman" w:hAnsi="Times New Roman"/>
          <w:color w:val="000000" w:themeColor="text1"/>
          <w:szCs w:val="22"/>
          <w:lang w:val="lt-LT"/>
        </w:rPr>
        <w:t>mo ir</w:t>
      </w:r>
      <w:r w:rsidR="00C42D6E" w:rsidRPr="00650EE4">
        <w:rPr>
          <w:rFonts w:ascii="Times New Roman" w:hAnsi="Times New Roman"/>
          <w:color w:val="000000" w:themeColor="text1"/>
          <w:szCs w:val="22"/>
          <w:lang w:val="lt-LT"/>
        </w:rPr>
        <w:t xml:space="preserve"> </w:t>
      </w:r>
      <w:r w:rsidRPr="00650EE4">
        <w:rPr>
          <w:rFonts w:ascii="Times New Roman" w:hAnsi="Times New Roman"/>
          <w:color w:val="000000" w:themeColor="text1"/>
          <w:szCs w:val="22"/>
          <w:lang w:val="lt-LT"/>
        </w:rPr>
        <w:t>CO</w:t>
      </w:r>
      <w:r w:rsidRPr="00650EE4">
        <w:rPr>
          <w:rFonts w:ascii="Times New Roman" w:hAnsi="Times New Roman"/>
          <w:color w:val="000000" w:themeColor="text1"/>
          <w:szCs w:val="22"/>
          <w:vertAlign w:val="subscript"/>
          <w:lang w:val="lt-LT"/>
        </w:rPr>
        <w:t>2</w:t>
      </w:r>
      <w:r w:rsidRPr="00650EE4">
        <w:rPr>
          <w:rFonts w:ascii="Times New Roman" w:hAnsi="Times New Roman"/>
          <w:color w:val="000000" w:themeColor="text1"/>
          <w:szCs w:val="22"/>
          <w:lang w:val="lt-LT"/>
        </w:rPr>
        <w:t xml:space="preserve"> emisijų </w:t>
      </w:r>
      <w:r w:rsidR="00C42D6E" w:rsidRPr="00650EE4">
        <w:rPr>
          <w:rFonts w:ascii="Times New Roman" w:hAnsi="Times New Roman"/>
          <w:color w:val="000000" w:themeColor="text1"/>
          <w:szCs w:val="22"/>
          <w:lang w:val="lt-LT"/>
        </w:rPr>
        <w:t xml:space="preserve">mažinimo </w:t>
      </w:r>
      <w:r w:rsidRPr="00650EE4">
        <w:rPr>
          <w:rFonts w:ascii="Times New Roman" w:hAnsi="Times New Roman"/>
          <w:color w:val="000000" w:themeColor="text1"/>
          <w:szCs w:val="22"/>
          <w:lang w:val="lt-LT"/>
        </w:rPr>
        <w:t>tikslus, remiantis faktine IRS įgyvendinimo informacija</w:t>
      </w:r>
      <w:r w:rsidR="003418DB">
        <w:rPr>
          <w:rFonts w:ascii="Times New Roman" w:hAnsi="Times New Roman"/>
          <w:color w:val="000000" w:themeColor="text1"/>
          <w:szCs w:val="22"/>
          <w:lang w:val="lt-LT"/>
        </w:rPr>
        <w:t>;</w:t>
      </w:r>
    </w:p>
    <w:p w14:paraId="35689E55" w14:textId="515C03A6" w:rsidR="008F754F" w:rsidRPr="00650EE4" w:rsidRDefault="008C23CD" w:rsidP="00BD4925">
      <w:pPr>
        <w:pStyle w:val="BodyText"/>
        <w:numPr>
          <w:ilvl w:val="0"/>
          <w:numId w:val="70"/>
        </w:numPr>
        <w:spacing w:before="120" w:after="60"/>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suformuotas naujas paramos priemonių paketas</w:t>
      </w:r>
      <w:r w:rsidR="00762B3F" w:rsidRPr="00650EE4">
        <w:rPr>
          <w:rFonts w:ascii="Times New Roman" w:hAnsi="Times New Roman"/>
          <w:color w:val="000000" w:themeColor="text1"/>
          <w:szCs w:val="22"/>
          <w:lang w:val="lt-LT"/>
        </w:rPr>
        <w:t>.</w:t>
      </w:r>
    </w:p>
    <w:p w14:paraId="677DB89C" w14:textId="77777777" w:rsidR="00CA64E1" w:rsidRPr="00650EE4" w:rsidRDefault="00CA64E1" w:rsidP="00F37EB4">
      <w:pPr>
        <w:pStyle w:val="BodyText"/>
        <w:rPr>
          <w:rFonts w:ascii="Times New Roman" w:hAnsi="Times New Roman"/>
          <w:color w:val="000000" w:themeColor="text1"/>
          <w:szCs w:val="22"/>
          <w:lang w:val="lt-LT"/>
        </w:rPr>
      </w:pPr>
    </w:p>
    <w:p w14:paraId="1C96B999" w14:textId="6EC3320A" w:rsidR="00565DCF" w:rsidRPr="00650EE4" w:rsidRDefault="0037038B" w:rsidP="005878F6">
      <w:pPr>
        <w:pStyle w:val="BodyText"/>
        <w:numPr>
          <w:ilvl w:val="0"/>
          <w:numId w:val="76"/>
        </w:numPr>
        <w:spacing w:after="120"/>
        <w:ind w:left="284" w:hanging="284"/>
        <w:rPr>
          <w:rFonts w:ascii="Times New Roman" w:hAnsi="Times New Roman"/>
          <w:b/>
          <w:bCs/>
          <w:color w:val="000000" w:themeColor="text1"/>
          <w:szCs w:val="22"/>
          <w:lang w:val="lt-LT"/>
        </w:rPr>
      </w:pPr>
      <w:r>
        <w:rPr>
          <w:rFonts w:ascii="Times New Roman" w:hAnsi="Times New Roman"/>
          <w:b/>
          <w:bCs/>
          <w:color w:val="000000" w:themeColor="text1"/>
          <w:szCs w:val="22"/>
          <w:lang w:val="lt-LT"/>
        </w:rPr>
        <w:t xml:space="preserve"> </w:t>
      </w:r>
      <w:r w:rsidR="00565DCF" w:rsidRPr="00650EE4">
        <w:rPr>
          <w:rFonts w:ascii="Times New Roman" w:hAnsi="Times New Roman"/>
          <w:b/>
          <w:bCs/>
          <w:color w:val="000000" w:themeColor="text1"/>
          <w:szCs w:val="22"/>
          <w:lang w:val="lt-LT"/>
        </w:rPr>
        <w:t>Naujų programų įgyvendinimas</w:t>
      </w:r>
    </w:p>
    <w:p w14:paraId="645B90B4" w14:textId="7E976185" w:rsidR="004801A6" w:rsidRDefault="008244FC" w:rsidP="00CB5533">
      <w:pPr>
        <w:pStyle w:val="BodyText"/>
        <w:jc w:val="both"/>
        <w:rPr>
          <w:rFonts w:ascii="Times New Roman" w:hAnsi="Times New Roman"/>
          <w:color w:val="000000" w:themeColor="text1"/>
          <w:szCs w:val="22"/>
          <w:lang w:val="lt-LT"/>
        </w:rPr>
      </w:pPr>
      <w:r w:rsidRPr="00650EE4">
        <w:rPr>
          <w:rFonts w:ascii="Times New Roman" w:hAnsi="Times New Roman"/>
          <w:color w:val="000000" w:themeColor="text1"/>
          <w:szCs w:val="22"/>
          <w:lang w:val="lt-LT"/>
        </w:rPr>
        <w:t xml:space="preserve">Suformavus naujų paramos priemonių paketą (žr. 14 etapą) tęsiamas IRS įgyvendinimo etapas ir naujų paramos priemonių įgyvendinimas. </w:t>
      </w:r>
    </w:p>
    <w:p w14:paraId="11DFB9F5" w14:textId="77777777" w:rsidR="00F94252" w:rsidRDefault="00F94252" w:rsidP="00CB5533">
      <w:pPr>
        <w:pStyle w:val="BodyText"/>
        <w:jc w:val="both"/>
        <w:rPr>
          <w:rFonts w:ascii="Times New Roman" w:hAnsi="Times New Roman"/>
          <w:color w:val="000000" w:themeColor="text1"/>
          <w:szCs w:val="22"/>
          <w:lang w:val="lt-LT"/>
        </w:rPr>
      </w:pPr>
    </w:p>
    <w:p w14:paraId="5D9EB92F" w14:textId="77777777" w:rsidR="00CB5533" w:rsidRPr="000B76EF" w:rsidRDefault="00CB5533" w:rsidP="00CB5533">
      <w:pPr>
        <w:pStyle w:val="BodyText"/>
        <w:spacing w:after="120"/>
        <w:rPr>
          <w:rFonts w:ascii="Times New Roman" w:hAnsi="Times New Roman"/>
          <w:bCs/>
          <w:color w:val="000000" w:themeColor="text1"/>
          <w:szCs w:val="22"/>
          <w:lang w:val="lt-LT"/>
        </w:rPr>
      </w:pPr>
      <w:r>
        <w:rPr>
          <w:rFonts w:ascii="Times New Roman" w:hAnsi="Times New Roman"/>
          <w:color w:val="000000" w:themeColor="text1"/>
          <w:szCs w:val="22"/>
          <w:lang w:val="lt-LT"/>
        </w:rPr>
        <w:t xml:space="preserve">Analogiškai 14-15 etapams įgyvendinami ir  16-17 etapai </w:t>
      </w:r>
      <w:r w:rsidRPr="000B76EF">
        <w:rPr>
          <w:rFonts w:ascii="Times New Roman" w:hAnsi="Times New Roman"/>
          <w:color w:val="000000" w:themeColor="text1"/>
          <w:szCs w:val="22"/>
          <w:lang w:val="lt-LT"/>
        </w:rPr>
        <w:t>„</w:t>
      </w:r>
      <w:r w:rsidRPr="000B76EF">
        <w:rPr>
          <w:rFonts w:ascii="Times New Roman" w:hAnsi="Times New Roman"/>
          <w:bCs/>
          <w:color w:val="000000" w:themeColor="text1"/>
          <w:szCs w:val="22"/>
          <w:lang w:val="lt-LT"/>
        </w:rPr>
        <w:t xml:space="preserve">NECP 2050 parengimas ir IRS atnaujinimas“ bei „Naujų programų įgyvendinimas“. </w:t>
      </w:r>
    </w:p>
    <w:p w14:paraId="10851C63" w14:textId="77777777" w:rsidR="00CB5533" w:rsidRPr="00650EE4" w:rsidRDefault="00CB5533" w:rsidP="00CB5533">
      <w:pPr>
        <w:pStyle w:val="BodyText"/>
        <w:jc w:val="both"/>
        <w:rPr>
          <w:rFonts w:ascii="Times New Roman" w:hAnsi="Times New Roman"/>
          <w:color w:val="000000" w:themeColor="text1"/>
          <w:szCs w:val="22"/>
          <w:lang w:val="lt-LT"/>
        </w:rPr>
      </w:pPr>
    </w:p>
    <w:p w14:paraId="45147BFC" w14:textId="77777777" w:rsidR="00565DCF" w:rsidRPr="00650EE4" w:rsidRDefault="00565DCF" w:rsidP="00F37EB4">
      <w:pPr>
        <w:pStyle w:val="BodyText"/>
        <w:rPr>
          <w:rFonts w:ascii="Times New Roman" w:hAnsi="Times New Roman"/>
          <w:color w:val="000000" w:themeColor="text1"/>
          <w:szCs w:val="22"/>
          <w:lang w:val="lt-LT"/>
        </w:rPr>
      </w:pPr>
    </w:p>
    <w:p w14:paraId="65345A14" w14:textId="77777777" w:rsidR="00F37EB4" w:rsidRPr="00650EE4" w:rsidRDefault="00F37EB4" w:rsidP="00F37EB4">
      <w:pPr>
        <w:pStyle w:val="BodyText"/>
        <w:rPr>
          <w:rFonts w:ascii="Times New Roman" w:hAnsi="Times New Roman"/>
          <w:color w:val="000000" w:themeColor="text1"/>
          <w:szCs w:val="22"/>
          <w:lang w:val="lt-LT"/>
        </w:rPr>
      </w:pPr>
    </w:p>
    <w:p w14:paraId="45CAD327" w14:textId="77777777" w:rsidR="00C63DF3" w:rsidRDefault="00C63DF3">
      <w:pPr>
        <w:spacing w:after="240"/>
        <w:rPr>
          <w:rFonts w:ascii="Times New Roman" w:hAnsi="Times New Roman"/>
          <w:color w:val="auto"/>
          <w:sz w:val="24"/>
          <w:szCs w:val="24"/>
        </w:rPr>
      </w:pPr>
      <w:r>
        <w:rPr>
          <w:rFonts w:ascii="Times New Roman" w:hAnsi="Times New Roman"/>
          <w:color w:val="auto"/>
          <w:sz w:val="24"/>
          <w:szCs w:val="24"/>
        </w:rPr>
        <w:br w:type="page"/>
      </w:r>
    </w:p>
    <w:p w14:paraId="68F5C03F" w14:textId="44640AF0" w:rsidR="00AD76A7" w:rsidRPr="00650EE4" w:rsidRDefault="00C22B0B" w:rsidP="00AD76A7">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20" w:name="_Toc59107580"/>
      <w:r>
        <w:rPr>
          <w:rFonts w:ascii="Times New Roman" w:hAnsi="Times New Roman"/>
          <w:color w:val="002060"/>
          <w:sz w:val="24"/>
          <w:szCs w:val="24"/>
        </w:rPr>
        <w:lastRenderedPageBreak/>
        <w:t>1</w:t>
      </w:r>
      <w:r w:rsidR="00AD76A7" w:rsidRPr="00650EE4">
        <w:rPr>
          <w:rFonts w:ascii="Times New Roman" w:hAnsi="Times New Roman"/>
          <w:color w:val="002060"/>
          <w:sz w:val="24"/>
          <w:szCs w:val="24"/>
        </w:rPr>
        <w:t xml:space="preserve"> priedas. Kitų negyvenamųjų pastatų renovacijos tempai</w:t>
      </w:r>
      <w:bookmarkEnd w:id="220"/>
    </w:p>
    <w:p w14:paraId="346DD795" w14:textId="7CD426F4" w:rsidR="00D36D86" w:rsidRPr="00650EE4" w:rsidRDefault="00BA09B0" w:rsidP="006E13C0">
      <w:pPr>
        <w:rPr>
          <w:rFonts w:ascii="Times New Roman" w:hAnsi="Times New Roman"/>
          <w:szCs w:val="22"/>
        </w:rPr>
      </w:pPr>
      <w:r w:rsidRPr="00650EE4">
        <w:rPr>
          <w:rFonts w:ascii="Times New Roman" w:hAnsi="Times New Roman"/>
          <w:szCs w:val="22"/>
        </w:rPr>
        <w:t>Lentelėse žemiau pateikiami suminiai duomenys api</w:t>
      </w:r>
      <w:r w:rsidR="00C367FD">
        <w:rPr>
          <w:rFonts w:ascii="Times New Roman" w:hAnsi="Times New Roman"/>
          <w:szCs w:val="22"/>
        </w:rPr>
        <w:t>e</w:t>
      </w:r>
      <w:r w:rsidRPr="00650EE4">
        <w:rPr>
          <w:rFonts w:ascii="Times New Roman" w:hAnsi="Times New Roman"/>
          <w:szCs w:val="22"/>
        </w:rPr>
        <w:t xml:space="preserve"> planuojamus Kitų negyvenamųjų pastatų renovacijos tempus.</w:t>
      </w:r>
    </w:p>
    <w:p w14:paraId="0422E78F" w14:textId="77777777" w:rsidR="00BA09B0" w:rsidRPr="00650EE4" w:rsidRDefault="00BA09B0" w:rsidP="006E13C0">
      <w:pPr>
        <w:rPr>
          <w:rFonts w:ascii="Times New Roman" w:hAnsi="Times New Roman"/>
          <w:szCs w:val="22"/>
        </w:rPr>
      </w:pPr>
    </w:p>
    <w:p w14:paraId="5AE240CA" w14:textId="3088C85A" w:rsidR="00D36D86" w:rsidRPr="00650EE4" w:rsidRDefault="0087085E" w:rsidP="0087085E">
      <w:pPr>
        <w:pStyle w:val="TESlentelspavadinimas"/>
        <w:rPr>
          <w:noProof w:val="0"/>
        </w:rPr>
      </w:pPr>
      <w:r w:rsidRPr="00650EE4">
        <w:rPr>
          <w:noProof w:val="0"/>
        </w:rPr>
        <w:t>Kitų negyvenamųjų pastatų renovacijos tempai per metus</w:t>
      </w:r>
    </w:p>
    <w:tbl>
      <w:tblPr>
        <w:tblW w:w="5000" w:type="pct"/>
        <w:tblLook w:val="04A0" w:firstRow="1" w:lastRow="0" w:firstColumn="1" w:lastColumn="0" w:noHBand="0" w:noVBand="1"/>
      </w:tblPr>
      <w:tblGrid>
        <w:gridCol w:w="2290"/>
        <w:gridCol w:w="1626"/>
        <w:gridCol w:w="1626"/>
        <w:gridCol w:w="1626"/>
        <w:gridCol w:w="1626"/>
        <w:gridCol w:w="1626"/>
      </w:tblGrid>
      <w:tr w:rsidR="00D36D86" w:rsidRPr="00650EE4" w14:paraId="44DE18F4" w14:textId="77777777" w:rsidTr="006231D8">
        <w:trPr>
          <w:trHeight w:val="69"/>
        </w:trPr>
        <w:tc>
          <w:tcPr>
            <w:tcW w:w="2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6507A8" w14:textId="77777777" w:rsidR="00D36D86" w:rsidRPr="00650EE4" w:rsidRDefault="00D36D86" w:rsidP="00D36D8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etalonas</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CE379F8" w14:textId="77777777" w:rsidR="00D36D86" w:rsidRPr="00650EE4" w:rsidRDefault="00D36D86" w:rsidP="00D36D8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7DCAF2EF"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DD6C4D7"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34A5C6C"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6C87FDD" w14:textId="77777777" w:rsidR="00D36D86" w:rsidRPr="00650EE4" w:rsidRDefault="00D36D86" w:rsidP="00D36D8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D36D86" w:rsidRPr="00650EE4" w14:paraId="39C0B043" w14:textId="77777777" w:rsidTr="006231D8">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1770100D" w14:textId="512F7C09"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41247A2B" w14:textId="77777777"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1591" w:type="dxa"/>
            <w:tcBorders>
              <w:top w:val="nil"/>
              <w:left w:val="nil"/>
              <w:bottom w:val="single" w:sz="4" w:space="0" w:color="auto"/>
              <w:right w:val="single" w:sz="4" w:space="0" w:color="auto"/>
            </w:tcBorders>
            <w:shd w:val="clear" w:color="000000" w:fill="FFFFFF"/>
            <w:vAlign w:val="center"/>
            <w:hideMark/>
          </w:tcPr>
          <w:p w14:paraId="2F6FAD59" w14:textId="7F27864E"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518</w:t>
            </w:r>
          </w:p>
        </w:tc>
        <w:tc>
          <w:tcPr>
            <w:tcW w:w="1591" w:type="dxa"/>
            <w:tcBorders>
              <w:top w:val="nil"/>
              <w:left w:val="nil"/>
              <w:bottom w:val="single" w:sz="4" w:space="0" w:color="auto"/>
              <w:right w:val="single" w:sz="4" w:space="0" w:color="auto"/>
            </w:tcBorders>
            <w:shd w:val="clear" w:color="000000" w:fill="FFFFFF"/>
            <w:vAlign w:val="center"/>
            <w:hideMark/>
          </w:tcPr>
          <w:p w14:paraId="6A59EE1F" w14:textId="1B0A5307"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719</w:t>
            </w:r>
          </w:p>
        </w:tc>
        <w:tc>
          <w:tcPr>
            <w:tcW w:w="1591" w:type="dxa"/>
            <w:tcBorders>
              <w:top w:val="nil"/>
              <w:left w:val="nil"/>
              <w:bottom w:val="single" w:sz="4" w:space="0" w:color="auto"/>
              <w:right w:val="single" w:sz="4" w:space="0" w:color="auto"/>
            </w:tcBorders>
            <w:shd w:val="clear" w:color="000000" w:fill="FFFFFF"/>
            <w:vAlign w:val="center"/>
            <w:hideMark/>
          </w:tcPr>
          <w:p w14:paraId="1710FD58" w14:textId="42FC84D2"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1.147</w:t>
            </w:r>
          </w:p>
        </w:tc>
        <w:tc>
          <w:tcPr>
            <w:tcW w:w="1591" w:type="dxa"/>
            <w:tcBorders>
              <w:top w:val="nil"/>
              <w:left w:val="nil"/>
              <w:bottom w:val="single" w:sz="4" w:space="0" w:color="auto"/>
              <w:right w:val="single" w:sz="4" w:space="0" w:color="auto"/>
            </w:tcBorders>
            <w:shd w:val="clear" w:color="000000" w:fill="FFFFFF"/>
            <w:vAlign w:val="center"/>
            <w:hideMark/>
          </w:tcPr>
          <w:p w14:paraId="01D3E9E5" w14:textId="11F7DBAE"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1.373</w:t>
            </w:r>
          </w:p>
        </w:tc>
      </w:tr>
      <w:tr w:rsidR="00D36D86" w:rsidRPr="00650EE4" w14:paraId="402C5EBA" w14:textId="77777777" w:rsidTr="006231D8">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3036CB6A" w14:textId="5C18A169"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41268084" w14:textId="72AB2902" w:rsidR="00D36D86" w:rsidRPr="00650EE4" w:rsidRDefault="00D36D86" w:rsidP="00D36D8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591" w:type="dxa"/>
            <w:tcBorders>
              <w:top w:val="nil"/>
              <w:left w:val="nil"/>
              <w:bottom w:val="single" w:sz="4" w:space="0" w:color="auto"/>
              <w:right w:val="single" w:sz="4" w:space="0" w:color="auto"/>
            </w:tcBorders>
            <w:shd w:val="clear" w:color="000000" w:fill="FFFFFF"/>
            <w:vAlign w:val="center"/>
            <w:hideMark/>
          </w:tcPr>
          <w:p w14:paraId="7D1D2E14" w14:textId="6DBD928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413</w:t>
            </w:r>
          </w:p>
        </w:tc>
        <w:tc>
          <w:tcPr>
            <w:tcW w:w="1591" w:type="dxa"/>
            <w:tcBorders>
              <w:top w:val="nil"/>
              <w:left w:val="nil"/>
              <w:bottom w:val="single" w:sz="4" w:space="0" w:color="auto"/>
              <w:right w:val="single" w:sz="4" w:space="0" w:color="auto"/>
            </w:tcBorders>
            <w:shd w:val="clear" w:color="000000" w:fill="FFFFFF"/>
            <w:vAlign w:val="center"/>
            <w:hideMark/>
          </w:tcPr>
          <w:p w14:paraId="637DA535" w14:textId="6771480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573</w:t>
            </w:r>
          </w:p>
        </w:tc>
        <w:tc>
          <w:tcPr>
            <w:tcW w:w="1591" w:type="dxa"/>
            <w:tcBorders>
              <w:top w:val="nil"/>
              <w:left w:val="nil"/>
              <w:bottom w:val="single" w:sz="4" w:space="0" w:color="auto"/>
              <w:right w:val="single" w:sz="4" w:space="0" w:color="auto"/>
            </w:tcBorders>
            <w:shd w:val="clear" w:color="000000" w:fill="FFFFFF"/>
            <w:vAlign w:val="center"/>
            <w:hideMark/>
          </w:tcPr>
          <w:p w14:paraId="6637CA7A" w14:textId="1088413C"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914</w:t>
            </w:r>
          </w:p>
        </w:tc>
        <w:tc>
          <w:tcPr>
            <w:tcW w:w="1591" w:type="dxa"/>
            <w:tcBorders>
              <w:top w:val="nil"/>
              <w:left w:val="nil"/>
              <w:bottom w:val="single" w:sz="4" w:space="0" w:color="auto"/>
              <w:right w:val="single" w:sz="4" w:space="0" w:color="auto"/>
            </w:tcBorders>
            <w:shd w:val="clear" w:color="000000" w:fill="FFFFFF"/>
            <w:vAlign w:val="center"/>
            <w:hideMark/>
          </w:tcPr>
          <w:p w14:paraId="055F9D90" w14:textId="3DB7D3C6" w:rsidR="00D36D86" w:rsidRPr="00650EE4" w:rsidRDefault="00D36D86" w:rsidP="00D36D8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1.094</w:t>
            </w:r>
          </w:p>
        </w:tc>
      </w:tr>
    </w:tbl>
    <w:p w14:paraId="083A7CFB" w14:textId="77777777" w:rsidR="00D36D86" w:rsidRPr="00650EE4" w:rsidRDefault="00D36D86" w:rsidP="006E13C0">
      <w:pPr>
        <w:rPr>
          <w:rFonts w:ascii="Times New Roman" w:hAnsi="Times New Roman"/>
          <w:szCs w:val="22"/>
        </w:rPr>
      </w:pPr>
    </w:p>
    <w:p w14:paraId="1E25F5A7" w14:textId="2AE54CB6" w:rsidR="00D36D86" w:rsidRPr="00650EE4" w:rsidRDefault="0087085E" w:rsidP="0087085E">
      <w:pPr>
        <w:pStyle w:val="TESlentelspavadinimas"/>
        <w:rPr>
          <w:noProof w:val="0"/>
        </w:rPr>
      </w:pPr>
      <w:r w:rsidRPr="00650EE4">
        <w:rPr>
          <w:noProof w:val="0"/>
        </w:rPr>
        <w:t>Kitų negyvenamųjų pastatų renovacijos tempai iš viso per laikotarpį</w:t>
      </w:r>
    </w:p>
    <w:tbl>
      <w:tblPr>
        <w:tblW w:w="5000" w:type="pct"/>
        <w:tblLook w:val="04A0" w:firstRow="1" w:lastRow="0" w:firstColumn="1" w:lastColumn="0" w:noHBand="0" w:noVBand="1"/>
      </w:tblPr>
      <w:tblGrid>
        <w:gridCol w:w="2290"/>
        <w:gridCol w:w="1626"/>
        <w:gridCol w:w="1626"/>
        <w:gridCol w:w="1626"/>
        <w:gridCol w:w="1626"/>
        <w:gridCol w:w="1626"/>
      </w:tblGrid>
      <w:tr w:rsidR="00C90C56" w:rsidRPr="00650EE4" w14:paraId="4E0E9A6C" w14:textId="77777777" w:rsidTr="00BD2F3C">
        <w:trPr>
          <w:trHeight w:val="69"/>
        </w:trPr>
        <w:tc>
          <w:tcPr>
            <w:tcW w:w="223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1C0BE" w14:textId="77777777" w:rsidR="00C90C56" w:rsidRPr="00650EE4" w:rsidRDefault="00C90C56"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etalonas</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A6C1568" w14:textId="77777777" w:rsidR="00C90C56" w:rsidRPr="00650EE4" w:rsidRDefault="00C90C56"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4F7E358F"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7D995AD"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314FE8D0"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591" w:type="dxa"/>
            <w:tcBorders>
              <w:top w:val="single" w:sz="4" w:space="0" w:color="auto"/>
              <w:left w:val="nil"/>
              <w:bottom w:val="single" w:sz="4" w:space="0" w:color="auto"/>
              <w:right w:val="single" w:sz="4" w:space="0" w:color="auto"/>
            </w:tcBorders>
            <w:shd w:val="clear" w:color="000000" w:fill="FFFFFF"/>
            <w:noWrap/>
            <w:vAlign w:val="center"/>
            <w:hideMark/>
          </w:tcPr>
          <w:p w14:paraId="61A33AAB" w14:textId="77777777" w:rsidR="00C90C56" w:rsidRPr="00650EE4" w:rsidRDefault="00C90C56"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C90C56" w:rsidRPr="00650EE4" w14:paraId="3623F0E5" w14:textId="77777777" w:rsidTr="00BD2F3C">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2146F515"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3A34E3EC"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1591" w:type="dxa"/>
            <w:tcBorders>
              <w:top w:val="nil"/>
              <w:left w:val="nil"/>
              <w:bottom w:val="single" w:sz="4" w:space="0" w:color="auto"/>
              <w:right w:val="single" w:sz="4" w:space="0" w:color="auto"/>
            </w:tcBorders>
            <w:shd w:val="clear" w:color="000000" w:fill="FFFFFF"/>
            <w:vAlign w:val="center"/>
            <w:hideMark/>
          </w:tcPr>
          <w:p w14:paraId="1A189E8B" w14:textId="2C43392E"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1.554</w:t>
            </w:r>
          </w:p>
        </w:tc>
        <w:tc>
          <w:tcPr>
            <w:tcW w:w="1591" w:type="dxa"/>
            <w:tcBorders>
              <w:top w:val="nil"/>
              <w:left w:val="nil"/>
              <w:bottom w:val="single" w:sz="4" w:space="0" w:color="auto"/>
              <w:right w:val="single" w:sz="4" w:space="0" w:color="auto"/>
            </w:tcBorders>
            <w:shd w:val="clear" w:color="000000" w:fill="FFFFFF"/>
            <w:vAlign w:val="bottom"/>
          </w:tcPr>
          <w:p w14:paraId="3D86EAC0" w14:textId="365E26B0"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5.035</w:t>
            </w:r>
          </w:p>
        </w:tc>
        <w:tc>
          <w:tcPr>
            <w:tcW w:w="1591" w:type="dxa"/>
            <w:tcBorders>
              <w:top w:val="nil"/>
              <w:left w:val="nil"/>
              <w:bottom w:val="single" w:sz="4" w:space="0" w:color="auto"/>
              <w:right w:val="single" w:sz="4" w:space="0" w:color="auto"/>
            </w:tcBorders>
            <w:shd w:val="clear" w:color="000000" w:fill="FFFFFF"/>
            <w:vAlign w:val="bottom"/>
          </w:tcPr>
          <w:p w14:paraId="7BE8A0B0" w14:textId="55D1BADD"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11.467</w:t>
            </w:r>
          </w:p>
        </w:tc>
        <w:tc>
          <w:tcPr>
            <w:tcW w:w="1591" w:type="dxa"/>
            <w:tcBorders>
              <w:top w:val="nil"/>
              <w:left w:val="nil"/>
              <w:bottom w:val="single" w:sz="4" w:space="0" w:color="auto"/>
              <w:right w:val="single" w:sz="4" w:space="0" w:color="auto"/>
            </w:tcBorders>
            <w:shd w:val="clear" w:color="000000" w:fill="FFFFFF"/>
            <w:vAlign w:val="bottom"/>
          </w:tcPr>
          <w:p w14:paraId="26697115" w14:textId="4AD407D5"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13.730</w:t>
            </w:r>
          </w:p>
        </w:tc>
      </w:tr>
      <w:tr w:rsidR="00C90C56" w:rsidRPr="00650EE4" w14:paraId="7835A78B" w14:textId="77777777" w:rsidTr="00BD2F3C">
        <w:trPr>
          <w:trHeight w:val="60"/>
        </w:trPr>
        <w:tc>
          <w:tcPr>
            <w:tcW w:w="2239" w:type="dxa"/>
            <w:tcBorders>
              <w:top w:val="nil"/>
              <w:left w:val="single" w:sz="4" w:space="0" w:color="auto"/>
              <w:bottom w:val="single" w:sz="4" w:space="0" w:color="auto"/>
              <w:right w:val="single" w:sz="4" w:space="0" w:color="auto"/>
            </w:tcBorders>
            <w:shd w:val="clear" w:color="000000" w:fill="FFFFFF"/>
            <w:hideMark/>
          </w:tcPr>
          <w:p w14:paraId="1BDD58DC"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Kiti negyvenamieji</w:t>
            </w:r>
          </w:p>
        </w:tc>
        <w:tc>
          <w:tcPr>
            <w:tcW w:w="1591" w:type="dxa"/>
            <w:tcBorders>
              <w:top w:val="nil"/>
              <w:left w:val="nil"/>
              <w:bottom w:val="single" w:sz="4" w:space="0" w:color="auto"/>
              <w:right w:val="single" w:sz="4" w:space="0" w:color="auto"/>
            </w:tcBorders>
            <w:shd w:val="clear" w:color="000000" w:fill="FFFFFF"/>
            <w:noWrap/>
            <w:vAlign w:val="center"/>
            <w:hideMark/>
          </w:tcPr>
          <w:p w14:paraId="15A6B755" w14:textId="77777777" w:rsidR="00C90C56" w:rsidRPr="00650EE4" w:rsidRDefault="00C90C56" w:rsidP="00C90C5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591" w:type="dxa"/>
            <w:tcBorders>
              <w:top w:val="nil"/>
              <w:left w:val="nil"/>
              <w:bottom w:val="single" w:sz="4" w:space="0" w:color="auto"/>
              <w:right w:val="single" w:sz="4" w:space="0" w:color="auto"/>
            </w:tcBorders>
            <w:shd w:val="clear" w:color="000000" w:fill="FFFFFF"/>
            <w:vAlign w:val="center"/>
            <w:hideMark/>
          </w:tcPr>
          <w:p w14:paraId="37D3EF54" w14:textId="53DA1272"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1.239</w:t>
            </w:r>
          </w:p>
        </w:tc>
        <w:tc>
          <w:tcPr>
            <w:tcW w:w="1591" w:type="dxa"/>
            <w:tcBorders>
              <w:top w:val="nil"/>
              <w:left w:val="nil"/>
              <w:bottom w:val="single" w:sz="4" w:space="0" w:color="auto"/>
              <w:right w:val="single" w:sz="4" w:space="0" w:color="auto"/>
            </w:tcBorders>
            <w:shd w:val="clear" w:color="000000" w:fill="FFFFFF"/>
            <w:vAlign w:val="bottom"/>
          </w:tcPr>
          <w:p w14:paraId="58912CE0" w14:textId="22AE40D8"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4.013</w:t>
            </w:r>
          </w:p>
        </w:tc>
        <w:tc>
          <w:tcPr>
            <w:tcW w:w="1591" w:type="dxa"/>
            <w:tcBorders>
              <w:top w:val="nil"/>
              <w:left w:val="nil"/>
              <w:bottom w:val="single" w:sz="4" w:space="0" w:color="auto"/>
              <w:right w:val="single" w:sz="4" w:space="0" w:color="auto"/>
            </w:tcBorders>
            <w:shd w:val="clear" w:color="000000" w:fill="FFFFFF"/>
            <w:vAlign w:val="bottom"/>
          </w:tcPr>
          <w:p w14:paraId="54737287" w14:textId="4F2014CE"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9.139</w:t>
            </w:r>
          </w:p>
        </w:tc>
        <w:tc>
          <w:tcPr>
            <w:tcW w:w="1591" w:type="dxa"/>
            <w:tcBorders>
              <w:top w:val="nil"/>
              <w:left w:val="nil"/>
              <w:bottom w:val="single" w:sz="4" w:space="0" w:color="auto"/>
              <w:right w:val="single" w:sz="4" w:space="0" w:color="auto"/>
            </w:tcBorders>
            <w:shd w:val="clear" w:color="000000" w:fill="FFFFFF"/>
            <w:vAlign w:val="bottom"/>
          </w:tcPr>
          <w:p w14:paraId="6BFD871F" w14:textId="3212CD1B" w:rsidR="00C90C56" w:rsidRPr="00650EE4" w:rsidRDefault="00C90C56" w:rsidP="00C90C56">
            <w:pPr>
              <w:spacing w:line="240" w:lineRule="auto"/>
              <w:jc w:val="right"/>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10.942</w:t>
            </w:r>
          </w:p>
        </w:tc>
      </w:tr>
    </w:tbl>
    <w:p w14:paraId="03E1A7A6" w14:textId="02E94095" w:rsidR="00C90C56" w:rsidRPr="00650EE4" w:rsidRDefault="00C90C56" w:rsidP="006E13C0">
      <w:pPr>
        <w:rPr>
          <w:rFonts w:ascii="Times New Roman" w:hAnsi="Times New Roman"/>
          <w:szCs w:val="22"/>
        </w:rPr>
      </w:pPr>
    </w:p>
    <w:p w14:paraId="0134C67A" w14:textId="77777777" w:rsidR="0032440E" w:rsidRPr="00650EE4" w:rsidRDefault="0032440E" w:rsidP="006E13C0">
      <w:pPr>
        <w:rPr>
          <w:rFonts w:ascii="Times New Roman" w:hAnsi="Times New Roman"/>
          <w:szCs w:val="22"/>
        </w:rPr>
      </w:pPr>
    </w:p>
    <w:p w14:paraId="08D7842D" w14:textId="6C72555C" w:rsidR="000E110E" w:rsidRPr="00650EE4" w:rsidRDefault="003A518B" w:rsidP="00B239F0">
      <w:pPr>
        <w:jc w:val="both"/>
        <w:rPr>
          <w:rFonts w:ascii="Times New Roman" w:hAnsi="Times New Roman"/>
          <w:szCs w:val="22"/>
        </w:rPr>
      </w:pPr>
      <w:r w:rsidRPr="00650EE4">
        <w:rPr>
          <w:rFonts w:ascii="Times New Roman" w:hAnsi="Times New Roman"/>
          <w:szCs w:val="22"/>
        </w:rPr>
        <w:t xml:space="preserve">Lentelėse žemiau pateikiama informacija apie </w:t>
      </w:r>
      <w:r w:rsidR="00824C75" w:rsidRPr="00650EE4">
        <w:rPr>
          <w:rFonts w:ascii="Times New Roman" w:hAnsi="Times New Roman"/>
          <w:szCs w:val="22"/>
        </w:rPr>
        <w:t xml:space="preserve">galimą </w:t>
      </w:r>
      <w:r w:rsidR="00B239F0">
        <w:rPr>
          <w:rFonts w:ascii="Times New Roman" w:hAnsi="Times New Roman"/>
          <w:szCs w:val="22"/>
        </w:rPr>
        <w:t>k</w:t>
      </w:r>
      <w:r w:rsidRPr="00650EE4">
        <w:rPr>
          <w:rFonts w:ascii="Times New Roman" w:hAnsi="Times New Roman"/>
          <w:szCs w:val="22"/>
        </w:rPr>
        <w:t xml:space="preserve">itos negyvenamosios paskirties pastatų etalono renovacijos tempų </w:t>
      </w:r>
      <w:proofErr w:type="spellStart"/>
      <w:r w:rsidRPr="00650EE4">
        <w:rPr>
          <w:rFonts w:ascii="Times New Roman" w:hAnsi="Times New Roman"/>
          <w:szCs w:val="22"/>
        </w:rPr>
        <w:t>detalizaciją</w:t>
      </w:r>
      <w:proofErr w:type="spellEnd"/>
      <w:r w:rsidRPr="00650EE4">
        <w:rPr>
          <w:rFonts w:ascii="Times New Roman" w:hAnsi="Times New Roman"/>
          <w:szCs w:val="22"/>
        </w:rPr>
        <w:t xml:space="preserve"> pagal </w:t>
      </w:r>
      <w:r w:rsidR="00824C75" w:rsidRPr="00650EE4">
        <w:rPr>
          <w:rFonts w:ascii="Times New Roman" w:hAnsi="Times New Roman"/>
          <w:szCs w:val="22"/>
        </w:rPr>
        <w:t xml:space="preserve">pastatų </w:t>
      </w:r>
      <w:r w:rsidRPr="00650EE4">
        <w:rPr>
          <w:rFonts w:ascii="Times New Roman" w:hAnsi="Times New Roman"/>
          <w:szCs w:val="22"/>
        </w:rPr>
        <w:t>paskirtį ir nuosavybės tipą.</w:t>
      </w:r>
      <w:r w:rsidR="00807EF4" w:rsidRPr="00650EE4">
        <w:rPr>
          <w:rFonts w:ascii="Times New Roman" w:hAnsi="Times New Roman"/>
          <w:szCs w:val="22"/>
        </w:rPr>
        <w:t xml:space="preserve"> </w:t>
      </w:r>
      <w:r w:rsidR="00824C75" w:rsidRPr="00650EE4">
        <w:rPr>
          <w:rFonts w:ascii="Times New Roman" w:hAnsi="Times New Roman"/>
          <w:szCs w:val="22"/>
        </w:rPr>
        <w:t>Konkretūs planuojami rodikliai pagal paskirtis gali skirtis kol išlaikomi suminiai planuojami rodikliai.</w:t>
      </w:r>
    </w:p>
    <w:p w14:paraId="023C9E79" w14:textId="77777777" w:rsidR="003A518B" w:rsidRPr="00650EE4" w:rsidRDefault="003A518B" w:rsidP="006E13C0">
      <w:pPr>
        <w:rPr>
          <w:rFonts w:ascii="Times New Roman" w:hAnsi="Times New Roman"/>
          <w:szCs w:val="22"/>
        </w:rPr>
      </w:pPr>
    </w:p>
    <w:p w14:paraId="6EE1CF57" w14:textId="6D0AFF9B" w:rsidR="003A518B" w:rsidRPr="00650EE4" w:rsidRDefault="003A518B" w:rsidP="003A518B">
      <w:pPr>
        <w:pStyle w:val="TESlentelspavadinimas"/>
        <w:rPr>
          <w:noProof w:val="0"/>
        </w:rPr>
      </w:pPr>
      <w:r w:rsidRPr="00650EE4">
        <w:rPr>
          <w:noProof w:val="0"/>
        </w:rPr>
        <w:t>Kitų negyvenamųjų pastatų renovuojamų pastatų skaičius vidutiniškai per metus</w:t>
      </w:r>
    </w:p>
    <w:tbl>
      <w:tblPr>
        <w:tblW w:w="5000" w:type="pct"/>
        <w:tblLook w:val="04A0" w:firstRow="1" w:lastRow="0" w:firstColumn="1" w:lastColumn="0" w:noHBand="0" w:noVBand="1"/>
      </w:tblPr>
      <w:tblGrid>
        <w:gridCol w:w="2079"/>
        <w:gridCol w:w="1683"/>
        <w:gridCol w:w="1444"/>
        <w:gridCol w:w="1303"/>
        <w:gridCol w:w="1303"/>
        <w:gridCol w:w="1303"/>
        <w:gridCol w:w="1305"/>
      </w:tblGrid>
      <w:tr w:rsidR="00AD537A" w:rsidRPr="00650EE4" w14:paraId="0FDE9EF2" w14:textId="77777777" w:rsidTr="006231D8">
        <w:trPr>
          <w:trHeight w:val="60"/>
        </w:trPr>
        <w:tc>
          <w:tcPr>
            <w:tcW w:w="998"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52A0550" w14:textId="571BFBF9" w:rsidR="003A518B" w:rsidRPr="00650EE4" w:rsidRDefault="003A518B"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808" w:type="pct"/>
            <w:tcBorders>
              <w:top w:val="single" w:sz="4" w:space="0" w:color="auto"/>
              <w:left w:val="nil"/>
              <w:bottom w:val="single" w:sz="4" w:space="0" w:color="auto"/>
              <w:right w:val="single" w:sz="4" w:space="0" w:color="auto"/>
            </w:tcBorders>
            <w:shd w:val="clear" w:color="000000" w:fill="FFFFFF"/>
            <w:noWrap/>
            <w:vAlign w:val="bottom"/>
            <w:hideMark/>
          </w:tcPr>
          <w:p w14:paraId="581A8968"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693" w:type="pct"/>
            <w:tcBorders>
              <w:top w:val="single" w:sz="4" w:space="0" w:color="auto"/>
              <w:left w:val="nil"/>
              <w:bottom w:val="single" w:sz="4" w:space="0" w:color="auto"/>
              <w:right w:val="single" w:sz="4" w:space="0" w:color="auto"/>
            </w:tcBorders>
            <w:shd w:val="clear" w:color="000000" w:fill="FFFFFF"/>
            <w:noWrap/>
            <w:vAlign w:val="bottom"/>
            <w:hideMark/>
          </w:tcPr>
          <w:p w14:paraId="0D162F3B"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271E92BF"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5AF07896"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625" w:type="pct"/>
            <w:tcBorders>
              <w:top w:val="single" w:sz="4" w:space="0" w:color="auto"/>
              <w:left w:val="nil"/>
              <w:bottom w:val="single" w:sz="4" w:space="0" w:color="auto"/>
              <w:right w:val="single" w:sz="4" w:space="0" w:color="auto"/>
            </w:tcBorders>
            <w:shd w:val="clear" w:color="000000" w:fill="FFFFFF"/>
            <w:noWrap/>
            <w:vAlign w:val="bottom"/>
            <w:hideMark/>
          </w:tcPr>
          <w:p w14:paraId="564EEC1B"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626" w:type="pct"/>
            <w:tcBorders>
              <w:top w:val="single" w:sz="4" w:space="0" w:color="auto"/>
              <w:left w:val="nil"/>
              <w:bottom w:val="single" w:sz="4" w:space="0" w:color="auto"/>
              <w:right w:val="single" w:sz="4" w:space="0" w:color="auto"/>
            </w:tcBorders>
            <w:shd w:val="clear" w:color="000000" w:fill="FFFFFF"/>
            <w:noWrap/>
            <w:vAlign w:val="bottom"/>
            <w:hideMark/>
          </w:tcPr>
          <w:p w14:paraId="2CC4AAF1"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AD537A" w:rsidRPr="00650EE4" w14:paraId="53D5B50D"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6A8450A6"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808" w:type="pct"/>
            <w:tcBorders>
              <w:top w:val="nil"/>
              <w:left w:val="nil"/>
              <w:bottom w:val="single" w:sz="4" w:space="0" w:color="auto"/>
              <w:right w:val="single" w:sz="4" w:space="0" w:color="auto"/>
            </w:tcBorders>
            <w:shd w:val="clear" w:color="000000" w:fill="FFFFFF"/>
            <w:noWrap/>
            <w:vAlign w:val="bottom"/>
            <w:hideMark/>
          </w:tcPr>
          <w:p w14:paraId="7116ECF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178E62F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C77EC2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c>
          <w:tcPr>
            <w:tcW w:w="625" w:type="pct"/>
            <w:tcBorders>
              <w:top w:val="nil"/>
              <w:left w:val="nil"/>
              <w:bottom w:val="single" w:sz="4" w:space="0" w:color="auto"/>
              <w:right w:val="single" w:sz="4" w:space="0" w:color="auto"/>
            </w:tcBorders>
            <w:shd w:val="clear" w:color="000000" w:fill="FFFFFF"/>
            <w:noWrap/>
            <w:vAlign w:val="bottom"/>
            <w:hideMark/>
          </w:tcPr>
          <w:p w14:paraId="2FABA47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c>
          <w:tcPr>
            <w:tcW w:w="625" w:type="pct"/>
            <w:tcBorders>
              <w:top w:val="nil"/>
              <w:left w:val="nil"/>
              <w:bottom w:val="single" w:sz="4" w:space="0" w:color="auto"/>
              <w:right w:val="single" w:sz="4" w:space="0" w:color="auto"/>
            </w:tcBorders>
            <w:shd w:val="clear" w:color="000000" w:fill="FFFFFF"/>
            <w:noWrap/>
            <w:vAlign w:val="bottom"/>
            <w:hideMark/>
          </w:tcPr>
          <w:p w14:paraId="66D1D66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626" w:type="pct"/>
            <w:tcBorders>
              <w:top w:val="nil"/>
              <w:left w:val="nil"/>
              <w:bottom w:val="single" w:sz="4" w:space="0" w:color="auto"/>
              <w:right w:val="single" w:sz="4" w:space="0" w:color="auto"/>
            </w:tcBorders>
            <w:shd w:val="clear" w:color="000000" w:fill="FFFFFF"/>
            <w:noWrap/>
            <w:vAlign w:val="bottom"/>
            <w:hideMark/>
          </w:tcPr>
          <w:p w14:paraId="1B1A1CF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w:t>
            </w:r>
          </w:p>
        </w:tc>
      </w:tr>
      <w:tr w:rsidR="00AD537A" w:rsidRPr="00650EE4" w14:paraId="68276D4B" w14:textId="77777777" w:rsidTr="006231D8">
        <w:trPr>
          <w:trHeight w:val="10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88F899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808" w:type="pct"/>
            <w:tcBorders>
              <w:top w:val="nil"/>
              <w:left w:val="nil"/>
              <w:bottom w:val="single" w:sz="4" w:space="0" w:color="auto"/>
              <w:right w:val="single" w:sz="4" w:space="0" w:color="auto"/>
            </w:tcBorders>
            <w:shd w:val="clear" w:color="000000" w:fill="FFFFFF"/>
            <w:noWrap/>
            <w:vAlign w:val="bottom"/>
            <w:hideMark/>
          </w:tcPr>
          <w:p w14:paraId="459E45D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3EA16B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676E4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106</w:t>
            </w:r>
          </w:p>
        </w:tc>
        <w:tc>
          <w:tcPr>
            <w:tcW w:w="625" w:type="pct"/>
            <w:tcBorders>
              <w:top w:val="nil"/>
              <w:left w:val="nil"/>
              <w:bottom w:val="single" w:sz="4" w:space="0" w:color="auto"/>
              <w:right w:val="single" w:sz="4" w:space="0" w:color="auto"/>
            </w:tcBorders>
            <w:shd w:val="clear" w:color="000000" w:fill="FFFFFF"/>
            <w:noWrap/>
            <w:vAlign w:val="bottom"/>
            <w:hideMark/>
          </w:tcPr>
          <w:p w14:paraId="3A2F3AB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148</w:t>
            </w:r>
          </w:p>
        </w:tc>
        <w:tc>
          <w:tcPr>
            <w:tcW w:w="625" w:type="pct"/>
            <w:tcBorders>
              <w:top w:val="nil"/>
              <w:left w:val="nil"/>
              <w:bottom w:val="single" w:sz="4" w:space="0" w:color="auto"/>
              <w:right w:val="single" w:sz="4" w:space="0" w:color="auto"/>
            </w:tcBorders>
            <w:shd w:val="clear" w:color="000000" w:fill="FFFFFF"/>
            <w:noWrap/>
            <w:vAlign w:val="bottom"/>
            <w:hideMark/>
          </w:tcPr>
          <w:p w14:paraId="40EBE94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235</w:t>
            </w:r>
          </w:p>
        </w:tc>
        <w:tc>
          <w:tcPr>
            <w:tcW w:w="626" w:type="pct"/>
            <w:tcBorders>
              <w:top w:val="nil"/>
              <w:left w:val="nil"/>
              <w:bottom w:val="single" w:sz="4" w:space="0" w:color="auto"/>
              <w:right w:val="single" w:sz="4" w:space="0" w:color="auto"/>
            </w:tcBorders>
            <w:shd w:val="clear" w:color="000000" w:fill="FFFFFF"/>
            <w:noWrap/>
            <w:vAlign w:val="bottom"/>
            <w:hideMark/>
          </w:tcPr>
          <w:p w14:paraId="3561131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282</w:t>
            </w:r>
          </w:p>
        </w:tc>
      </w:tr>
      <w:tr w:rsidR="00AD537A" w:rsidRPr="00650EE4" w14:paraId="74D8175D" w14:textId="77777777" w:rsidTr="006231D8">
        <w:trPr>
          <w:trHeight w:val="103"/>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B98B8B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808" w:type="pct"/>
            <w:tcBorders>
              <w:top w:val="nil"/>
              <w:left w:val="nil"/>
              <w:bottom w:val="single" w:sz="4" w:space="0" w:color="auto"/>
              <w:right w:val="single" w:sz="4" w:space="0" w:color="auto"/>
            </w:tcBorders>
            <w:shd w:val="clear" w:color="000000" w:fill="FFFFFF"/>
            <w:noWrap/>
            <w:vAlign w:val="bottom"/>
            <w:hideMark/>
          </w:tcPr>
          <w:p w14:paraId="3CF29E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42C29D9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F23E35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5ED5AA1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45EB2F9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6A8E6C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r>
      <w:tr w:rsidR="00AD537A" w:rsidRPr="00650EE4" w14:paraId="15D4246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1054D03"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808" w:type="pct"/>
            <w:tcBorders>
              <w:top w:val="nil"/>
              <w:left w:val="nil"/>
              <w:bottom w:val="single" w:sz="4" w:space="0" w:color="auto"/>
              <w:right w:val="single" w:sz="4" w:space="0" w:color="auto"/>
            </w:tcBorders>
            <w:shd w:val="clear" w:color="000000" w:fill="FFFFFF"/>
            <w:noWrap/>
            <w:vAlign w:val="bottom"/>
            <w:hideMark/>
          </w:tcPr>
          <w:p w14:paraId="63683A3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308F214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DFDA3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625" w:type="pct"/>
            <w:tcBorders>
              <w:top w:val="nil"/>
              <w:left w:val="nil"/>
              <w:bottom w:val="single" w:sz="4" w:space="0" w:color="auto"/>
              <w:right w:val="single" w:sz="4" w:space="0" w:color="auto"/>
            </w:tcBorders>
            <w:shd w:val="clear" w:color="000000" w:fill="FFFFFF"/>
            <w:noWrap/>
            <w:vAlign w:val="bottom"/>
            <w:hideMark/>
          </w:tcPr>
          <w:p w14:paraId="0681A99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625" w:type="pct"/>
            <w:tcBorders>
              <w:top w:val="nil"/>
              <w:left w:val="nil"/>
              <w:bottom w:val="single" w:sz="4" w:space="0" w:color="auto"/>
              <w:right w:val="single" w:sz="4" w:space="0" w:color="auto"/>
            </w:tcBorders>
            <w:shd w:val="clear" w:color="000000" w:fill="FFFFFF"/>
            <w:noWrap/>
            <w:vAlign w:val="bottom"/>
            <w:hideMark/>
          </w:tcPr>
          <w:p w14:paraId="3754EA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6" w:type="pct"/>
            <w:tcBorders>
              <w:top w:val="nil"/>
              <w:left w:val="nil"/>
              <w:bottom w:val="single" w:sz="4" w:space="0" w:color="auto"/>
              <w:right w:val="single" w:sz="4" w:space="0" w:color="auto"/>
            </w:tcBorders>
            <w:shd w:val="clear" w:color="000000" w:fill="FFFFFF"/>
            <w:noWrap/>
            <w:vAlign w:val="bottom"/>
            <w:hideMark/>
          </w:tcPr>
          <w:p w14:paraId="4FB2B4E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w:t>
            </w:r>
          </w:p>
        </w:tc>
      </w:tr>
      <w:tr w:rsidR="00AD537A" w:rsidRPr="00650EE4" w14:paraId="5D209E94"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684FBEE"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808" w:type="pct"/>
            <w:tcBorders>
              <w:top w:val="nil"/>
              <w:left w:val="nil"/>
              <w:bottom w:val="single" w:sz="4" w:space="0" w:color="auto"/>
              <w:right w:val="single" w:sz="4" w:space="0" w:color="auto"/>
            </w:tcBorders>
            <w:shd w:val="clear" w:color="000000" w:fill="FFFFFF"/>
            <w:noWrap/>
            <w:vAlign w:val="bottom"/>
            <w:hideMark/>
          </w:tcPr>
          <w:p w14:paraId="36C186A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39572FB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0CEA67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72D62B4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1D4643A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6" w:type="pct"/>
            <w:tcBorders>
              <w:top w:val="nil"/>
              <w:left w:val="nil"/>
              <w:bottom w:val="single" w:sz="4" w:space="0" w:color="auto"/>
              <w:right w:val="single" w:sz="4" w:space="0" w:color="auto"/>
            </w:tcBorders>
            <w:shd w:val="clear" w:color="000000" w:fill="FFFFFF"/>
            <w:noWrap/>
            <w:vAlign w:val="bottom"/>
            <w:hideMark/>
          </w:tcPr>
          <w:p w14:paraId="2B9DBB2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5C28B9F8" w14:textId="77777777" w:rsidTr="006231D8">
        <w:trPr>
          <w:trHeight w:val="86"/>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7707971"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808" w:type="pct"/>
            <w:tcBorders>
              <w:top w:val="nil"/>
              <w:left w:val="nil"/>
              <w:bottom w:val="single" w:sz="4" w:space="0" w:color="auto"/>
              <w:right w:val="single" w:sz="4" w:space="0" w:color="auto"/>
            </w:tcBorders>
            <w:shd w:val="clear" w:color="000000" w:fill="FFFFFF"/>
            <w:noWrap/>
            <w:vAlign w:val="bottom"/>
            <w:hideMark/>
          </w:tcPr>
          <w:p w14:paraId="40EFD08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B20654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4DAF7A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5" w:type="pct"/>
            <w:tcBorders>
              <w:top w:val="nil"/>
              <w:left w:val="nil"/>
              <w:bottom w:val="single" w:sz="4" w:space="0" w:color="auto"/>
              <w:right w:val="single" w:sz="4" w:space="0" w:color="auto"/>
            </w:tcBorders>
            <w:shd w:val="clear" w:color="000000" w:fill="FFFFFF"/>
            <w:noWrap/>
            <w:vAlign w:val="bottom"/>
            <w:hideMark/>
          </w:tcPr>
          <w:p w14:paraId="4F5C138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5" w:type="pct"/>
            <w:tcBorders>
              <w:top w:val="nil"/>
              <w:left w:val="nil"/>
              <w:bottom w:val="single" w:sz="4" w:space="0" w:color="auto"/>
              <w:right w:val="single" w:sz="4" w:space="0" w:color="auto"/>
            </w:tcBorders>
            <w:shd w:val="clear" w:color="000000" w:fill="FFFFFF"/>
            <w:noWrap/>
            <w:vAlign w:val="bottom"/>
            <w:hideMark/>
          </w:tcPr>
          <w:p w14:paraId="1A668CB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80</w:t>
            </w:r>
          </w:p>
        </w:tc>
        <w:tc>
          <w:tcPr>
            <w:tcW w:w="626" w:type="pct"/>
            <w:tcBorders>
              <w:top w:val="nil"/>
              <w:left w:val="nil"/>
              <w:bottom w:val="single" w:sz="4" w:space="0" w:color="auto"/>
              <w:right w:val="single" w:sz="4" w:space="0" w:color="auto"/>
            </w:tcBorders>
            <w:shd w:val="clear" w:color="000000" w:fill="FFFFFF"/>
            <w:noWrap/>
            <w:vAlign w:val="bottom"/>
            <w:hideMark/>
          </w:tcPr>
          <w:p w14:paraId="6B3144C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r>
      <w:tr w:rsidR="00AD537A" w:rsidRPr="00650EE4" w14:paraId="1DDED503"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1734F1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808" w:type="pct"/>
            <w:tcBorders>
              <w:top w:val="nil"/>
              <w:left w:val="nil"/>
              <w:bottom w:val="single" w:sz="4" w:space="0" w:color="auto"/>
              <w:right w:val="single" w:sz="4" w:space="0" w:color="auto"/>
            </w:tcBorders>
            <w:shd w:val="clear" w:color="000000" w:fill="FFFFFF"/>
            <w:noWrap/>
            <w:vAlign w:val="bottom"/>
            <w:hideMark/>
          </w:tcPr>
          <w:p w14:paraId="5FAED43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110232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321CC4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625" w:type="pct"/>
            <w:tcBorders>
              <w:top w:val="nil"/>
              <w:left w:val="nil"/>
              <w:bottom w:val="single" w:sz="4" w:space="0" w:color="auto"/>
              <w:right w:val="single" w:sz="4" w:space="0" w:color="auto"/>
            </w:tcBorders>
            <w:shd w:val="clear" w:color="000000" w:fill="FFFFFF"/>
            <w:noWrap/>
            <w:vAlign w:val="bottom"/>
            <w:hideMark/>
          </w:tcPr>
          <w:p w14:paraId="72A6F80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0A868AA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6" w:type="pct"/>
            <w:tcBorders>
              <w:top w:val="nil"/>
              <w:left w:val="nil"/>
              <w:bottom w:val="single" w:sz="4" w:space="0" w:color="auto"/>
              <w:right w:val="single" w:sz="4" w:space="0" w:color="auto"/>
            </w:tcBorders>
            <w:shd w:val="clear" w:color="000000" w:fill="FFFFFF"/>
            <w:noWrap/>
            <w:vAlign w:val="bottom"/>
            <w:hideMark/>
          </w:tcPr>
          <w:p w14:paraId="6681D54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r>
      <w:tr w:rsidR="00AD537A" w:rsidRPr="00650EE4" w14:paraId="41964F01"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89EA8F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808" w:type="pct"/>
            <w:tcBorders>
              <w:top w:val="nil"/>
              <w:left w:val="nil"/>
              <w:bottom w:val="single" w:sz="4" w:space="0" w:color="auto"/>
              <w:right w:val="single" w:sz="4" w:space="0" w:color="auto"/>
            </w:tcBorders>
            <w:shd w:val="clear" w:color="000000" w:fill="FFFFFF"/>
            <w:noWrap/>
            <w:vAlign w:val="bottom"/>
            <w:hideMark/>
          </w:tcPr>
          <w:p w14:paraId="49C59D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3D3E85F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2A5E3D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c>
          <w:tcPr>
            <w:tcW w:w="625" w:type="pct"/>
            <w:tcBorders>
              <w:top w:val="nil"/>
              <w:left w:val="nil"/>
              <w:bottom w:val="single" w:sz="4" w:space="0" w:color="auto"/>
              <w:right w:val="single" w:sz="4" w:space="0" w:color="auto"/>
            </w:tcBorders>
            <w:shd w:val="clear" w:color="000000" w:fill="FFFFFF"/>
            <w:noWrap/>
            <w:vAlign w:val="bottom"/>
            <w:hideMark/>
          </w:tcPr>
          <w:p w14:paraId="512389A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146</w:t>
            </w:r>
          </w:p>
        </w:tc>
        <w:tc>
          <w:tcPr>
            <w:tcW w:w="625" w:type="pct"/>
            <w:tcBorders>
              <w:top w:val="nil"/>
              <w:left w:val="nil"/>
              <w:bottom w:val="single" w:sz="4" w:space="0" w:color="auto"/>
              <w:right w:val="single" w:sz="4" w:space="0" w:color="auto"/>
            </w:tcBorders>
            <w:shd w:val="clear" w:color="000000" w:fill="FFFFFF"/>
            <w:noWrap/>
            <w:vAlign w:val="bottom"/>
            <w:hideMark/>
          </w:tcPr>
          <w:p w14:paraId="5B64828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w:t>
            </w:r>
          </w:p>
        </w:tc>
        <w:tc>
          <w:tcPr>
            <w:tcW w:w="626" w:type="pct"/>
            <w:tcBorders>
              <w:top w:val="nil"/>
              <w:left w:val="nil"/>
              <w:bottom w:val="single" w:sz="4" w:space="0" w:color="auto"/>
              <w:right w:val="single" w:sz="4" w:space="0" w:color="auto"/>
            </w:tcBorders>
            <w:shd w:val="clear" w:color="000000" w:fill="FFFFFF"/>
            <w:noWrap/>
            <w:vAlign w:val="bottom"/>
            <w:hideMark/>
          </w:tcPr>
          <w:p w14:paraId="39EFDA4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279</w:t>
            </w:r>
          </w:p>
        </w:tc>
      </w:tr>
      <w:tr w:rsidR="00AD537A" w:rsidRPr="00650EE4" w14:paraId="00D09F2F"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E61B873"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808" w:type="pct"/>
            <w:tcBorders>
              <w:top w:val="nil"/>
              <w:left w:val="nil"/>
              <w:bottom w:val="single" w:sz="4" w:space="0" w:color="auto"/>
              <w:right w:val="single" w:sz="4" w:space="0" w:color="auto"/>
            </w:tcBorders>
            <w:shd w:val="clear" w:color="000000" w:fill="FFFFFF"/>
            <w:noWrap/>
            <w:vAlign w:val="bottom"/>
            <w:hideMark/>
          </w:tcPr>
          <w:p w14:paraId="45EDDA8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0E4990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CD049CF" w14:textId="0B14679A" w:rsidR="003A518B" w:rsidRPr="00650EE4" w:rsidRDefault="00807EF4"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625" w:type="pct"/>
            <w:tcBorders>
              <w:top w:val="nil"/>
              <w:left w:val="nil"/>
              <w:bottom w:val="single" w:sz="4" w:space="0" w:color="auto"/>
              <w:right w:val="single" w:sz="4" w:space="0" w:color="auto"/>
            </w:tcBorders>
            <w:shd w:val="clear" w:color="000000" w:fill="FFFFFF"/>
            <w:noWrap/>
            <w:vAlign w:val="bottom"/>
            <w:hideMark/>
          </w:tcPr>
          <w:p w14:paraId="0DAC6BFC" w14:textId="61ADB6CD" w:rsidR="003A518B" w:rsidRPr="00650EE4" w:rsidRDefault="00807EF4"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w:t>
            </w:r>
          </w:p>
        </w:tc>
        <w:tc>
          <w:tcPr>
            <w:tcW w:w="625" w:type="pct"/>
            <w:tcBorders>
              <w:top w:val="nil"/>
              <w:left w:val="nil"/>
              <w:bottom w:val="single" w:sz="4" w:space="0" w:color="auto"/>
              <w:right w:val="single" w:sz="4" w:space="0" w:color="auto"/>
            </w:tcBorders>
            <w:shd w:val="clear" w:color="000000" w:fill="FFFFFF"/>
            <w:noWrap/>
            <w:vAlign w:val="bottom"/>
            <w:hideMark/>
          </w:tcPr>
          <w:p w14:paraId="2AB757A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626" w:type="pct"/>
            <w:tcBorders>
              <w:top w:val="nil"/>
              <w:left w:val="nil"/>
              <w:bottom w:val="single" w:sz="4" w:space="0" w:color="auto"/>
              <w:right w:val="single" w:sz="4" w:space="0" w:color="auto"/>
            </w:tcBorders>
            <w:shd w:val="clear" w:color="000000" w:fill="FFFFFF"/>
            <w:noWrap/>
            <w:vAlign w:val="bottom"/>
            <w:hideMark/>
          </w:tcPr>
          <w:p w14:paraId="56AB330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r>
      <w:tr w:rsidR="00AD537A" w:rsidRPr="00650EE4" w14:paraId="6994E81E"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E777E2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808" w:type="pct"/>
            <w:tcBorders>
              <w:top w:val="nil"/>
              <w:left w:val="nil"/>
              <w:bottom w:val="single" w:sz="4" w:space="0" w:color="auto"/>
              <w:right w:val="single" w:sz="4" w:space="0" w:color="auto"/>
            </w:tcBorders>
            <w:shd w:val="clear" w:color="000000" w:fill="FFFFFF"/>
            <w:noWrap/>
            <w:vAlign w:val="bottom"/>
            <w:hideMark/>
          </w:tcPr>
          <w:p w14:paraId="293075B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320CBF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C3D9E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42F43B7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5" w:type="pct"/>
            <w:tcBorders>
              <w:top w:val="nil"/>
              <w:left w:val="nil"/>
              <w:bottom w:val="single" w:sz="4" w:space="0" w:color="auto"/>
              <w:right w:val="single" w:sz="4" w:space="0" w:color="auto"/>
            </w:tcBorders>
            <w:shd w:val="clear" w:color="000000" w:fill="FFFFFF"/>
            <w:noWrap/>
            <w:vAlign w:val="bottom"/>
            <w:hideMark/>
          </w:tcPr>
          <w:p w14:paraId="2E9A9CC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626" w:type="pct"/>
            <w:tcBorders>
              <w:top w:val="nil"/>
              <w:left w:val="nil"/>
              <w:bottom w:val="single" w:sz="4" w:space="0" w:color="auto"/>
              <w:right w:val="single" w:sz="4" w:space="0" w:color="auto"/>
            </w:tcBorders>
            <w:shd w:val="clear" w:color="000000" w:fill="FFFFFF"/>
            <w:noWrap/>
            <w:vAlign w:val="bottom"/>
            <w:hideMark/>
          </w:tcPr>
          <w:p w14:paraId="7C7D2F8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r>
      <w:tr w:rsidR="00AD537A" w:rsidRPr="00650EE4" w14:paraId="772ECB2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1099A8D5"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808" w:type="pct"/>
            <w:tcBorders>
              <w:top w:val="nil"/>
              <w:left w:val="nil"/>
              <w:bottom w:val="single" w:sz="4" w:space="0" w:color="auto"/>
              <w:right w:val="single" w:sz="4" w:space="0" w:color="auto"/>
            </w:tcBorders>
            <w:shd w:val="clear" w:color="000000" w:fill="FFFFFF"/>
            <w:noWrap/>
            <w:vAlign w:val="bottom"/>
            <w:hideMark/>
          </w:tcPr>
          <w:p w14:paraId="71EEB65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6DD6F67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AB9DD4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776A4FC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625" w:type="pct"/>
            <w:tcBorders>
              <w:top w:val="nil"/>
              <w:left w:val="nil"/>
              <w:bottom w:val="single" w:sz="4" w:space="0" w:color="auto"/>
              <w:right w:val="single" w:sz="4" w:space="0" w:color="auto"/>
            </w:tcBorders>
            <w:shd w:val="clear" w:color="000000" w:fill="FFFFFF"/>
            <w:noWrap/>
            <w:vAlign w:val="bottom"/>
            <w:hideMark/>
          </w:tcPr>
          <w:p w14:paraId="448413A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6" w:type="pct"/>
            <w:tcBorders>
              <w:top w:val="nil"/>
              <w:left w:val="nil"/>
              <w:bottom w:val="single" w:sz="4" w:space="0" w:color="auto"/>
              <w:right w:val="single" w:sz="4" w:space="0" w:color="auto"/>
            </w:tcBorders>
            <w:shd w:val="clear" w:color="000000" w:fill="FFFFFF"/>
            <w:noWrap/>
            <w:vAlign w:val="bottom"/>
            <w:hideMark/>
          </w:tcPr>
          <w:p w14:paraId="19F2157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w:t>
            </w:r>
          </w:p>
        </w:tc>
      </w:tr>
      <w:tr w:rsidR="00AD537A" w:rsidRPr="00650EE4" w14:paraId="5147E5BB" w14:textId="77777777" w:rsidTr="006231D8">
        <w:trPr>
          <w:trHeight w:val="107"/>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9355FBA"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808" w:type="pct"/>
            <w:tcBorders>
              <w:top w:val="nil"/>
              <w:left w:val="nil"/>
              <w:bottom w:val="single" w:sz="4" w:space="0" w:color="auto"/>
              <w:right w:val="single" w:sz="4" w:space="0" w:color="auto"/>
            </w:tcBorders>
            <w:shd w:val="clear" w:color="000000" w:fill="FFFFFF"/>
            <w:noWrap/>
            <w:vAlign w:val="bottom"/>
            <w:hideMark/>
          </w:tcPr>
          <w:p w14:paraId="6FA64F7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5A4278F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327908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5FE105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625" w:type="pct"/>
            <w:tcBorders>
              <w:top w:val="nil"/>
              <w:left w:val="nil"/>
              <w:bottom w:val="single" w:sz="4" w:space="0" w:color="auto"/>
              <w:right w:val="single" w:sz="4" w:space="0" w:color="auto"/>
            </w:tcBorders>
            <w:shd w:val="clear" w:color="000000" w:fill="FFFFFF"/>
            <w:noWrap/>
            <w:vAlign w:val="bottom"/>
            <w:hideMark/>
          </w:tcPr>
          <w:p w14:paraId="568F8F2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626" w:type="pct"/>
            <w:tcBorders>
              <w:top w:val="nil"/>
              <w:left w:val="nil"/>
              <w:bottom w:val="single" w:sz="4" w:space="0" w:color="auto"/>
              <w:right w:val="single" w:sz="4" w:space="0" w:color="auto"/>
            </w:tcBorders>
            <w:shd w:val="clear" w:color="000000" w:fill="FFFFFF"/>
            <w:noWrap/>
            <w:vAlign w:val="bottom"/>
            <w:hideMark/>
          </w:tcPr>
          <w:p w14:paraId="5C73607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r>
      <w:tr w:rsidR="00AD537A" w:rsidRPr="00650EE4" w14:paraId="1C893FA7" w14:textId="77777777" w:rsidTr="006231D8">
        <w:trPr>
          <w:trHeight w:val="69"/>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E451B7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808" w:type="pct"/>
            <w:tcBorders>
              <w:top w:val="nil"/>
              <w:left w:val="nil"/>
              <w:bottom w:val="single" w:sz="4" w:space="0" w:color="auto"/>
              <w:right w:val="single" w:sz="4" w:space="0" w:color="auto"/>
            </w:tcBorders>
            <w:shd w:val="clear" w:color="000000" w:fill="FFFFFF"/>
            <w:noWrap/>
            <w:vAlign w:val="bottom"/>
            <w:hideMark/>
          </w:tcPr>
          <w:p w14:paraId="4C3C5B1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42800CB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45740C7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625" w:type="pct"/>
            <w:tcBorders>
              <w:top w:val="nil"/>
              <w:left w:val="nil"/>
              <w:bottom w:val="single" w:sz="4" w:space="0" w:color="auto"/>
              <w:right w:val="single" w:sz="4" w:space="0" w:color="auto"/>
            </w:tcBorders>
            <w:shd w:val="clear" w:color="000000" w:fill="FFFFFF"/>
            <w:noWrap/>
            <w:vAlign w:val="bottom"/>
            <w:hideMark/>
          </w:tcPr>
          <w:p w14:paraId="100EF81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5" w:type="pct"/>
            <w:tcBorders>
              <w:top w:val="nil"/>
              <w:left w:val="nil"/>
              <w:bottom w:val="single" w:sz="4" w:space="0" w:color="auto"/>
              <w:right w:val="single" w:sz="4" w:space="0" w:color="auto"/>
            </w:tcBorders>
            <w:shd w:val="clear" w:color="000000" w:fill="FFFFFF"/>
            <w:noWrap/>
            <w:vAlign w:val="bottom"/>
            <w:hideMark/>
          </w:tcPr>
          <w:p w14:paraId="295143E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w:t>
            </w:r>
          </w:p>
        </w:tc>
        <w:tc>
          <w:tcPr>
            <w:tcW w:w="626" w:type="pct"/>
            <w:tcBorders>
              <w:top w:val="nil"/>
              <w:left w:val="nil"/>
              <w:bottom w:val="single" w:sz="4" w:space="0" w:color="auto"/>
              <w:right w:val="single" w:sz="4" w:space="0" w:color="auto"/>
            </w:tcBorders>
            <w:shd w:val="clear" w:color="000000" w:fill="FFFFFF"/>
            <w:noWrap/>
            <w:vAlign w:val="bottom"/>
            <w:hideMark/>
          </w:tcPr>
          <w:p w14:paraId="2DA7E1A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46</w:t>
            </w:r>
          </w:p>
        </w:tc>
      </w:tr>
      <w:tr w:rsidR="00AD537A" w:rsidRPr="00650EE4" w14:paraId="19A055E4" w14:textId="77777777" w:rsidTr="006231D8">
        <w:trPr>
          <w:trHeight w:val="20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585BBE09"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808" w:type="pct"/>
            <w:tcBorders>
              <w:top w:val="nil"/>
              <w:left w:val="nil"/>
              <w:bottom w:val="single" w:sz="4" w:space="0" w:color="auto"/>
              <w:right w:val="single" w:sz="4" w:space="0" w:color="auto"/>
            </w:tcBorders>
            <w:shd w:val="clear" w:color="000000" w:fill="FFFFFF"/>
            <w:noWrap/>
            <w:vAlign w:val="bottom"/>
            <w:hideMark/>
          </w:tcPr>
          <w:p w14:paraId="52964D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B21D5E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0C18BE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c>
          <w:tcPr>
            <w:tcW w:w="625" w:type="pct"/>
            <w:tcBorders>
              <w:top w:val="nil"/>
              <w:left w:val="nil"/>
              <w:bottom w:val="single" w:sz="4" w:space="0" w:color="auto"/>
              <w:right w:val="single" w:sz="4" w:space="0" w:color="auto"/>
            </w:tcBorders>
            <w:shd w:val="clear" w:color="000000" w:fill="FFFFFF"/>
            <w:noWrap/>
            <w:vAlign w:val="bottom"/>
            <w:hideMark/>
          </w:tcPr>
          <w:p w14:paraId="2C4ACFF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625" w:type="pct"/>
            <w:tcBorders>
              <w:top w:val="nil"/>
              <w:left w:val="nil"/>
              <w:bottom w:val="single" w:sz="4" w:space="0" w:color="auto"/>
              <w:right w:val="single" w:sz="4" w:space="0" w:color="auto"/>
            </w:tcBorders>
            <w:shd w:val="clear" w:color="000000" w:fill="FFFFFF"/>
            <w:noWrap/>
            <w:vAlign w:val="bottom"/>
            <w:hideMark/>
          </w:tcPr>
          <w:p w14:paraId="4D19380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28</w:t>
            </w:r>
          </w:p>
        </w:tc>
        <w:tc>
          <w:tcPr>
            <w:tcW w:w="626" w:type="pct"/>
            <w:tcBorders>
              <w:top w:val="nil"/>
              <w:left w:val="nil"/>
              <w:bottom w:val="single" w:sz="4" w:space="0" w:color="auto"/>
              <w:right w:val="single" w:sz="4" w:space="0" w:color="auto"/>
            </w:tcBorders>
            <w:shd w:val="clear" w:color="000000" w:fill="FFFFFF"/>
            <w:noWrap/>
            <w:vAlign w:val="bottom"/>
            <w:hideMark/>
          </w:tcPr>
          <w:p w14:paraId="5B885E8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r>
      <w:tr w:rsidR="00AD537A" w:rsidRPr="00650EE4" w14:paraId="2E09E6F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70BB94F"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808" w:type="pct"/>
            <w:tcBorders>
              <w:top w:val="nil"/>
              <w:left w:val="nil"/>
              <w:bottom w:val="single" w:sz="4" w:space="0" w:color="auto"/>
              <w:right w:val="single" w:sz="4" w:space="0" w:color="auto"/>
            </w:tcBorders>
            <w:shd w:val="clear" w:color="000000" w:fill="FFFFFF"/>
            <w:noWrap/>
            <w:vAlign w:val="bottom"/>
            <w:hideMark/>
          </w:tcPr>
          <w:p w14:paraId="57D0EF5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057B3FD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44DD7E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44</w:t>
            </w:r>
          </w:p>
        </w:tc>
        <w:tc>
          <w:tcPr>
            <w:tcW w:w="625" w:type="pct"/>
            <w:tcBorders>
              <w:top w:val="nil"/>
              <w:left w:val="nil"/>
              <w:bottom w:val="single" w:sz="4" w:space="0" w:color="auto"/>
              <w:right w:val="single" w:sz="4" w:space="0" w:color="auto"/>
            </w:tcBorders>
            <w:shd w:val="clear" w:color="000000" w:fill="FFFFFF"/>
            <w:noWrap/>
            <w:vAlign w:val="bottom"/>
            <w:hideMark/>
          </w:tcPr>
          <w:p w14:paraId="196091D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625" w:type="pct"/>
            <w:tcBorders>
              <w:top w:val="nil"/>
              <w:left w:val="nil"/>
              <w:bottom w:val="single" w:sz="4" w:space="0" w:color="auto"/>
              <w:right w:val="single" w:sz="4" w:space="0" w:color="auto"/>
            </w:tcBorders>
            <w:shd w:val="clear" w:color="000000" w:fill="FFFFFF"/>
            <w:noWrap/>
            <w:vAlign w:val="bottom"/>
            <w:hideMark/>
          </w:tcPr>
          <w:p w14:paraId="28C86FB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97</w:t>
            </w:r>
          </w:p>
        </w:tc>
        <w:tc>
          <w:tcPr>
            <w:tcW w:w="626" w:type="pct"/>
            <w:tcBorders>
              <w:top w:val="nil"/>
              <w:left w:val="nil"/>
              <w:bottom w:val="single" w:sz="4" w:space="0" w:color="auto"/>
              <w:right w:val="single" w:sz="4" w:space="0" w:color="auto"/>
            </w:tcBorders>
            <w:shd w:val="clear" w:color="000000" w:fill="FFFFFF"/>
            <w:noWrap/>
            <w:vAlign w:val="bottom"/>
            <w:hideMark/>
          </w:tcPr>
          <w:p w14:paraId="2C720A8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116</w:t>
            </w:r>
          </w:p>
        </w:tc>
      </w:tr>
      <w:tr w:rsidR="00AD537A" w:rsidRPr="00650EE4" w14:paraId="48A97F95"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CEE14A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808" w:type="pct"/>
            <w:tcBorders>
              <w:top w:val="nil"/>
              <w:left w:val="nil"/>
              <w:bottom w:val="single" w:sz="4" w:space="0" w:color="auto"/>
              <w:right w:val="single" w:sz="4" w:space="0" w:color="auto"/>
            </w:tcBorders>
            <w:shd w:val="clear" w:color="000000" w:fill="FFFFFF"/>
            <w:noWrap/>
            <w:vAlign w:val="bottom"/>
            <w:hideMark/>
          </w:tcPr>
          <w:p w14:paraId="649B27B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2F4FFB5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A69FA3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625" w:type="pct"/>
            <w:tcBorders>
              <w:top w:val="nil"/>
              <w:left w:val="nil"/>
              <w:bottom w:val="single" w:sz="4" w:space="0" w:color="auto"/>
              <w:right w:val="single" w:sz="4" w:space="0" w:color="auto"/>
            </w:tcBorders>
            <w:shd w:val="clear" w:color="000000" w:fill="FFFFFF"/>
            <w:noWrap/>
            <w:vAlign w:val="bottom"/>
            <w:hideMark/>
          </w:tcPr>
          <w:p w14:paraId="3EB1FAD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w:t>
            </w:r>
          </w:p>
        </w:tc>
        <w:tc>
          <w:tcPr>
            <w:tcW w:w="625" w:type="pct"/>
            <w:tcBorders>
              <w:top w:val="nil"/>
              <w:left w:val="nil"/>
              <w:bottom w:val="single" w:sz="4" w:space="0" w:color="auto"/>
              <w:right w:val="single" w:sz="4" w:space="0" w:color="auto"/>
            </w:tcBorders>
            <w:shd w:val="clear" w:color="000000" w:fill="FFFFFF"/>
            <w:noWrap/>
            <w:vAlign w:val="bottom"/>
            <w:hideMark/>
          </w:tcPr>
          <w:p w14:paraId="4CF197B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6" w:type="pct"/>
            <w:tcBorders>
              <w:top w:val="nil"/>
              <w:left w:val="nil"/>
              <w:bottom w:val="single" w:sz="4" w:space="0" w:color="auto"/>
              <w:right w:val="single" w:sz="4" w:space="0" w:color="auto"/>
            </w:tcBorders>
            <w:shd w:val="clear" w:color="000000" w:fill="FFFFFF"/>
            <w:noWrap/>
            <w:vAlign w:val="bottom"/>
            <w:hideMark/>
          </w:tcPr>
          <w:p w14:paraId="6B55765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w:t>
            </w:r>
          </w:p>
        </w:tc>
      </w:tr>
      <w:tr w:rsidR="00AD537A" w:rsidRPr="00650EE4" w14:paraId="43AE94E7"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299055C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808" w:type="pct"/>
            <w:tcBorders>
              <w:top w:val="nil"/>
              <w:left w:val="nil"/>
              <w:bottom w:val="single" w:sz="4" w:space="0" w:color="auto"/>
              <w:right w:val="single" w:sz="4" w:space="0" w:color="auto"/>
            </w:tcBorders>
            <w:shd w:val="clear" w:color="000000" w:fill="FFFFFF"/>
            <w:noWrap/>
            <w:vAlign w:val="bottom"/>
            <w:hideMark/>
          </w:tcPr>
          <w:p w14:paraId="2137037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568DB09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14BC9D6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22F008C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6D8DC49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626" w:type="pct"/>
            <w:tcBorders>
              <w:top w:val="nil"/>
              <w:left w:val="nil"/>
              <w:bottom w:val="single" w:sz="4" w:space="0" w:color="auto"/>
              <w:right w:val="single" w:sz="4" w:space="0" w:color="auto"/>
            </w:tcBorders>
            <w:shd w:val="clear" w:color="000000" w:fill="FFFFFF"/>
            <w:noWrap/>
            <w:vAlign w:val="bottom"/>
            <w:hideMark/>
          </w:tcPr>
          <w:p w14:paraId="72BC7A59"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r>
      <w:tr w:rsidR="00AD537A" w:rsidRPr="00650EE4" w14:paraId="71A1000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1B934367"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808" w:type="pct"/>
            <w:tcBorders>
              <w:top w:val="nil"/>
              <w:left w:val="nil"/>
              <w:bottom w:val="single" w:sz="4" w:space="0" w:color="auto"/>
              <w:right w:val="single" w:sz="4" w:space="0" w:color="auto"/>
            </w:tcBorders>
            <w:shd w:val="clear" w:color="000000" w:fill="FFFFFF"/>
            <w:noWrap/>
            <w:vAlign w:val="bottom"/>
            <w:hideMark/>
          </w:tcPr>
          <w:p w14:paraId="7B8D85F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7F58E30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100AEB2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0DEBD5A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2B70B1D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1D62C80B"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1717CBB9" w14:textId="77777777" w:rsidTr="006231D8">
        <w:trPr>
          <w:trHeight w:val="67"/>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488BB316"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808" w:type="pct"/>
            <w:tcBorders>
              <w:top w:val="nil"/>
              <w:left w:val="nil"/>
              <w:bottom w:val="single" w:sz="4" w:space="0" w:color="auto"/>
              <w:right w:val="single" w:sz="4" w:space="0" w:color="auto"/>
            </w:tcBorders>
            <w:shd w:val="clear" w:color="000000" w:fill="FFFFFF"/>
            <w:noWrap/>
            <w:vAlign w:val="bottom"/>
            <w:hideMark/>
          </w:tcPr>
          <w:p w14:paraId="32622E0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7B8CB6FA"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60549F5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29728715"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5" w:type="pct"/>
            <w:tcBorders>
              <w:top w:val="nil"/>
              <w:left w:val="nil"/>
              <w:bottom w:val="single" w:sz="4" w:space="0" w:color="auto"/>
              <w:right w:val="single" w:sz="4" w:space="0" w:color="auto"/>
            </w:tcBorders>
            <w:shd w:val="clear" w:color="000000" w:fill="FFFFFF"/>
            <w:noWrap/>
            <w:vAlign w:val="bottom"/>
            <w:hideMark/>
          </w:tcPr>
          <w:p w14:paraId="29B4F15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6" w:type="pct"/>
            <w:tcBorders>
              <w:top w:val="nil"/>
              <w:left w:val="nil"/>
              <w:bottom w:val="single" w:sz="4" w:space="0" w:color="auto"/>
              <w:right w:val="single" w:sz="4" w:space="0" w:color="auto"/>
            </w:tcBorders>
            <w:shd w:val="clear" w:color="000000" w:fill="FFFFFF"/>
            <w:noWrap/>
            <w:vAlign w:val="bottom"/>
            <w:hideMark/>
          </w:tcPr>
          <w:p w14:paraId="1D9C7A9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03E30500"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6EF3C05"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808" w:type="pct"/>
            <w:tcBorders>
              <w:top w:val="nil"/>
              <w:left w:val="nil"/>
              <w:bottom w:val="single" w:sz="4" w:space="0" w:color="auto"/>
              <w:right w:val="single" w:sz="4" w:space="0" w:color="auto"/>
            </w:tcBorders>
            <w:shd w:val="clear" w:color="000000" w:fill="FFFFFF"/>
            <w:noWrap/>
            <w:vAlign w:val="bottom"/>
            <w:hideMark/>
          </w:tcPr>
          <w:p w14:paraId="22DE4E0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4565387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7331A38"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w:t>
            </w:r>
          </w:p>
        </w:tc>
        <w:tc>
          <w:tcPr>
            <w:tcW w:w="625" w:type="pct"/>
            <w:tcBorders>
              <w:top w:val="nil"/>
              <w:left w:val="nil"/>
              <w:bottom w:val="single" w:sz="4" w:space="0" w:color="auto"/>
              <w:right w:val="single" w:sz="4" w:space="0" w:color="auto"/>
            </w:tcBorders>
            <w:shd w:val="clear" w:color="000000" w:fill="FFFFFF"/>
            <w:noWrap/>
            <w:vAlign w:val="bottom"/>
            <w:hideMark/>
          </w:tcPr>
          <w:p w14:paraId="5E81C8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90</w:t>
            </w:r>
          </w:p>
        </w:tc>
        <w:tc>
          <w:tcPr>
            <w:tcW w:w="625" w:type="pct"/>
            <w:tcBorders>
              <w:top w:val="nil"/>
              <w:left w:val="nil"/>
              <w:bottom w:val="single" w:sz="4" w:space="0" w:color="auto"/>
              <w:right w:val="single" w:sz="4" w:space="0" w:color="auto"/>
            </w:tcBorders>
            <w:shd w:val="clear" w:color="000000" w:fill="FFFFFF"/>
            <w:noWrap/>
            <w:vAlign w:val="bottom"/>
            <w:hideMark/>
          </w:tcPr>
          <w:p w14:paraId="33E2E39F"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143</w:t>
            </w:r>
          </w:p>
        </w:tc>
        <w:tc>
          <w:tcPr>
            <w:tcW w:w="626" w:type="pct"/>
            <w:tcBorders>
              <w:top w:val="nil"/>
              <w:left w:val="nil"/>
              <w:bottom w:val="single" w:sz="4" w:space="0" w:color="auto"/>
              <w:right w:val="single" w:sz="4" w:space="0" w:color="auto"/>
            </w:tcBorders>
            <w:shd w:val="clear" w:color="000000" w:fill="FFFFFF"/>
            <w:noWrap/>
            <w:vAlign w:val="bottom"/>
            <w:hideMark/>
          </w:tcPr>
          <w:p w14:paraId="22431E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172</w:t>
            </w:r>
          </w:p>
        </w:tc>
      </w:tr>
      <w:tr w:rsidR="00AD537A" w:rsidRPr="00650EE4" w14:paraId="317BA3CC"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7439569"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808" w:type="pct"/>
            <w:tcBorders>
              <w:top w:val="nil"/>
              <w:left w:val="nil"/>
              <w:bottom w:val="single" w:sz="4" w:space="0" w:color="auto"/>
              <w:right w:val="single" w:sz="4" w:space="0" w:color="auto"/>
            </w:tcBorders>
            <w:shd w:val="clear" w:color="000000" w:fill="FFFFFF"/>
            <w:noWrap/>
            <w:vAlign w:val="bottom"/>
            <w:hideMark/>
          </w:tcPr>
          <w:p w14:paraId="36C7B0C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25D51DF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7BEAEFC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7EFEADB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0B5A42E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6" w:type="pct"/>
            <w:tcBorders>
              <w:top w:val="nil"/>
              <w:left w:val="nil"/>
              <w:bottom w:val="single" w:sz="4" w:space="0" w:color="auto"/>
              <w:right w:val="single" w:sz="4" w:space="0" w:color="auto"/>
            </w:tcBorders>
            <w:shd w:val="clear" w:color="000000" w:fill="FFFFFF"/>
            <w:noWrap/>
            <w:vAlign w:val="bottom"/>
            <w:hideMark/>
          </w:tcPr>
          <w:p w14:paraId="20C49B04"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6EFD6BB0"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6F479D8D"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808" w:type="pct"/>
            <w:tcBorders>
              <w:top w:val="nil"/>
              <w:left w:val="nil"/>
              <w:bottom w:val="single" w:sz="4" w:space="0" w:color="auto"/>
              <w:right w:val="single" w:sz="4" w:space="0" w:color="auto"/>
            </w:tcBorders>
            <w:shd w:val="clear" w:color="000000" w:fill="FFFFFF"/>
            <w:noWrap/>
            <w:vAlign w:val="bottom"/>
            <w:hideMark/>
          </w:tcPr>
          <w:p w14:paraId="29741F43"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6E01CB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3EB9737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625" w:type="pct"/>
            <w:tcBorders>
              <w:top w:val="nil"/>
              <w:left w:val="nil"/>
              <w:bottom w:val="single" w:sz="4" w:space="0" w:color="auto"/>
              <w:right w:val="single" w:sz="4" w:space="0" w:color="auto"/>
            </w:tcBorders>
            <w:shd w:val="clear" w:color="000000" w:fill="FFFFFF"/>
            <w:noWrap/>
            <w:vAlign w:val="bottom"/>
            <w:hideMark/>
          </w:tcPr>
          <w:p w14:paraId="6B905D4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1C58131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626" w:type="pct"/>
            <w:tcBorders>
              <w:top w:val="nil"/>
              <w:left w:val="nil"/>
              <w:bottom w:val="single" w:sz="4" w:space="0" w:color="auto"/>
              <w:right w:val="single" w:sz="4" w:space="0" w:color="auto"/>
            </w:tcBorders>
            <w:shd w:val="clear" w:color="000000" w:fill="FFFFFF"/>
            <w:noWrap/>
            <w:vAlign w:val="bottom"/>
            <w:hideMark/>
          </w:tcPr>
          <w:p w14:paraId="79E2059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r>
      <w:tr w:rsidR="00AD537A" w:rsidRPr="00650EE4" w14:paraId="098B4540" w14:textId="77777777" w:rsidTr="006231D8">
        <w:trPr>
          <w:trHeight w:val="99"/>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0B192644"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808" w:type="pct"/>
            <w:tcBorders>
              <w:top w:val="nil"/>
              <w:left w:val="nil"/>
              <w:bottom w:val="single" w:sz="4" w:space="0" w:color="auto"/>
              <w:right w:val="single" w:sz="4" w:space="0" w:color="auto"/>
            </w:tcBorders>
            <w:shd w:val="clear" w:color="000000" w:fill="FFFFFF"/>
            <w:noWrap/>
            <w:vAlign w:val="bottom"/>
            <w:hideMark/>
          </w:tcPr>
          <w:p w14:paraId="5EDDC4C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693" w:type="pct"/>
            <w:tcBorders>
              <w:top w:val="nil"/>
              <w:left w:val="nil"/>
              <w:bottom w:val="single" w:sz="4" w:space="0" w:color="auto"/>
              <w:right w:val="single" w:sz="4" w:space="0" w:color="auto"/>
            </w:tcBorders>
            <w:shd w:val="clear" w:color="000000" w:fill="FFFFFF"/>
            <w:noWrap/>
            <w:vAlign w:val="bottom"/>
            <w:hideMark/>
          </w:tcPr>
          <w:p w14:paraId="7CD2404E"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8F9FDE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625" w:type="pct"/>
            <w:tcBorders>
              <w:top w:val="nil"/>
              <w:left w:val="nil"/>
              <w:bottom w:val="single" w:sz="4" w:space="0" w:color="auto"/>
              <w:right w:val="single" w:sz="4" w:space="0" w:color="auto"/>
            </w:tcBorders>
            <w:shd w:val="clear" w:color="000000" w:fill="FFFFFF"/>
            <w:noWrap/>
            <w:vAlign w:val="bottom"/>
            <w:hideMark/>
          </w:tcPr>
          <w:p w14:paraId="198D58DD"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625" w:type="pct"/>
            <w:tcBorders>
              <w:top w:val="nil"/>
              <w:left w:val="nil"/>
              <w:bottom w:val="single" w:sz="4" w:space="0" w:color="auto"/>
              <w:right w:val="single" w:sz="4" w:space="0" w:color="auto"/>
            </w:tcBorders>
            <w:shd w:val="clear" w:color="000000" w:fill="FFFFFF"/>
            <w:noWrap/>
            <w:vAlign w:val="bottom"/>
            <w:hideMark/>
          </w:tcPr>
          <w:p w14:paraId="5E96CBA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626" w:type="pct"/>
            <w:tcBorders>
              <w:top w:val="nil"/>
              <w:left w:val="nil"/>
              <w:bottom w:val="single" w:sz="4" w:space="0" w:color="auto"/>
              <w:right w:val="single" w:sz="4" w:space="0" w:color="auto"/>
            </w:tcBorders>
            <w:shd w:val="clear" w:color="000000" w:fill="FFFFFF"/>
            <w:noWrap/>
            <w:vAlign w:val="bottom"/>
            <w:hideMark/>
          </w:tcPr>
          <w:p w14:paraId="5A0EEC4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AD537A" w:rsidRPr="00650EE4" w14:paraId="4ECBD5F8" w14:textId="77777777" w:rsidTr="006231D8">
        <w:trPr>
          <w:trHeight w:val="61"/>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3EEC597A" w14:textId="77777777" w:rsidR="003A518B" w:rsidRPr="00650EE4" w:rsidRDefault="003A518B"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808" w:type="pct"/>
            <w:tcBorders>
              <w:top w:val="nil"/>
              <w:left w:val="nil"/>
              <w:bottom w:val="single" w:sz="4" w:space="0" w:color="auto"/>
              <w:right w:val="single" w:sz="4" w:space="0" w:color="auto"/>
            </w:tcBorders>
            <w:shd w:val="clear" w:color="000000" w:fill="FFFFFF"/>
            <w:noWrap/>
            <w:vAlign w:val="bottom"/>
            <w:hideMark/>
          </w:tcPr>
          <w:p w14:paraId="0C318420"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693" w:type="pct"/>
            <w:tcBorders>
              <w:top w:val="nil"/>
              <w:left w:val="nil"/>
              <w:bottom w:val="single" w:sz="4" w:space="0" w:color="auto"/>
              <w:right w:val="single" w:sz="4" w:space="0" w:color="auto"/>
            </w:tcBorders>
            <w:shd w:val="clear" w:color="000000" w:fill="FFFFFF"/>
            <w:noWrap/>
            <w:vAlign w:val="bottom"/>
            <w:hideMark/>
          </w:tcPr>
          <w:p w14:paraId="62A67B31"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27D0F027"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5" w:type="pct"/>
            <w:tcBorders>
              <w:top w:val="nil"/>
              <w:left w:val="nil"/>
              <w:bottom w:val="single" w:sz="4" w:space="0" w:color="auto"/>
              <w:right w:val="single" w:sz="4" w:space="0" w:color="auto"/>
            </w:tcBorders>
            <w:shd w:val="clear" w:color="000000" w:fill="FFFFFF"/>
            <w:noWrap/>
            <w:vAlign w:val="bottom"/>
            <w:hideMark/>
          </w:tcPr>
          <w:p w14:paraId="1599CA7C"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625" w:type="pct"/>
            <w:tcBorders>
              <w:top w:val="nil"/>
              <w:left w:val="nil"/>
              <w:bottom w:val="single" w:sz="4" w:space="0" w:color="auto"/>
              <w:right w:val="single" w:sz="4" w:space="0" w:color="auto"/>
            </w:tcBorders>
            <w:shd w:val="clear" w:color="000000" w:fill="FFFFFF"/>
            <w:noWrap/>
            <w:vAlign w:val="bottom"/>
            <w:hideMark/>
          </w:tcPr>
          <w:p w14:paraId="47F9A102"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6" w:type="pct"/>
            <w:tcBorders>
              <w:top w:val="nil"/>
              <w:left w:val="nil"/>
              <w:bottom w:val="single" w:sz="4" w:space="0" w:color="auto"/>
              <w:right w:val="single" w:sz="4" w:space="0" w:color="auto"/>
            </w:tcBorders>
            <w:shd w:val="clear" w:color="000000" w:fill="FFFFFF"/>
            <w:noWrap/>
            <w:vAlign w:val="bottom"/>
            <w:hideMark/>
          </w:tcPr>
          <w:p w14:paraId="4EA298C6" w14:textId="77777777" w:rsidR="003A518B" w:rsidRPr="00650EE4" w:rsidRDefault="003A518B"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r>
      <w:tr w:rsidR="00AD537A" w:rsidRPr="00650EE4" w14:paraId="75FE4604" w14:textId="77777777" w:rsidTr="006231D8">
        <w:trPr>
          <w:trHeight w:val="60"/>
        </w:trPr>
        <w:tc>
          <w:tcPr>
            <w:tcW w:w="998" w:type="pct"/>
            <w:tcBorders>
              <w:top w:val="nil"/>
              <w:left w:val="single" w:sz="4" w:space="0" w:color="auto"/>
              <w:bottom w:val="single" w:sz="4" w:space="0" w:color="auto"/>
              <w:right w:val="single" w:sz="4" w:space="0" w:color="auto"/>
            </w:tcBorders>
            <w:shd w:val="clear" w:color="000000" w:fill="FFFFFF"/>
            <w:noWrap/>
            <w:vAlign w:val="bottom"/>
            <w:hideMark/>
          </w:tcPr>
          <w:p w14:paraId="7CDC7676" w14:textId="77777777" w:rsidR="003A518B" w:rsidRPr="00650EE4" w:rsidRDefault="003A518B"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808" w:type="pct"/>
            <w:tcBorders>
              <w:top w:val="nil"/>
              <w:left w:val="nil"/>
              <w:bottom w:val="single" w:sz="4" w:space="0" w:color="auto"/>
              <w:right w:val="single" w:sz="4" w:space="0" w:color="auto"/>
            </w:tcBorders>
            <w:shd w:val="clear" w:color="000000" w:fill="FFFFFF"/>
            <w:noWrap/>
            <w:vAlign w:val="bottom"/>
            <w:hideMark/>
          </w:tcPr>
          <w:p w14:paraId="30B9983C"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693" w:type="pct"/>
            <w:tcBorders>
              <w:top w:val="nil"/>
              <w:left w:val="nil"/>
              <w:bottom w:val="single" w:sz="4" w:space="0" w:color="auto"/>
              <w:right w:val="single" w:sz="4" w:space="0" w:color="auto"/>
            </w:tcBorders>
            <w:shd w:val="clear" w:color="000000" w:fill="FFFFFF"/>
            <w:noWrap/>
            <w:vAlign w:val="bottom"/>
            <w:hideMark/>
          </w:tcPr>
          <w:p w14:paraId="5B1209F1"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vnt./metus</w:t>
            </w:r>
          </w:p>
        </w:tc>
        <w:tc>
          <w:tcPr>
            <w:tcW w:w="625" w:type="pct"/>
            <w:tcBorders>
              <w:top w:val="nil"/>
              <w:left w:val="nil"/>
              <w:bottom w:val="single" w:sz="4" w:space="0" w:color="auto"/>
              <w:right w:val="single" w:sz="4" w:space="0" w:color="auto"/>
            </w:tcBorders>
            <w:shd w:val="clear" w:color="000000" w:fill="FFFFFF"/>
            <w:noWrap/>
            <w:vAlign w:val="bottom"/>
            <w:hideMark/>
          </w:tcPr>
          <w:p w14:paraId="5E143BB7"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518</w:t>
            </w:r>
          </w:p>
        </w:tc>
        <w:tc>
          <w:tcPr>
            <w:tcW w:w="625" w:type="pct"/>
            <w:tcBorders>
              <w:top w:val="nil"/>
              <w:left w:val="nil"/>
              <w:bottom w:val="single" w:sz="4" w:space="0" w:color="auto"/>
              <w:right w:val="single" w:sz="4" w:space="0" w:color="auto"/>
            </w:tcBorders>
            <w:shd w:val="clear" w:color="000000" w:fill="FFFFFF"/>
            <w:noWrap/>
            <w:vAlign w:val="bottom"/>
            <w:hideMark/>
          </w:tcPr>
          <w:p w14:paraId="4943BB2A" w14:textId="77777777"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719</w:t>
            </w:r>
          </w:p>
        </w:tc>
        <w:tc>
          <w:tcPr>
            <w:tcW w:w="625" w:type="pct"/>
            <w:tcBorders>
              <w:top w:val="nil"/>
              <w:left w:val="nil"/>
              <w:bottom w:val="single" w:sz="4" w:space="0" w:color="auto"/>
              <w:right w:val="single" w:sz="4" w:space="0" w:color="auto"/>
            </w:tcBorders>
            <w:shd w:val="clear" w:color="000000" w:fill="FFFFFF"/>
            <w:noWrap/>
            <w:vAlign w:val="bottom"/>
            <w:hideMark/>
          </w:tcPr>
          <w:p w14:paraId="46701260" w14:textId="0F70E0A3"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147</w:t>
            </w:r>
          </w:p>
        </w:tc>
        <w:tc>
          <w:tcPr>
            <w:tcW w:w="626" w:type="pct"/>
            <w:tcBorders>
              <w:top w:val="nil"/>
              <w:left w:val="nil"/>
              <w:bottom w:val="single" w:sz="4" w:space="0" w:color="auto"/>
              <w:right w:val="single" w:sz="4" w:space="0" w:color="auto"/>
            </w:tcBorders>
            <w:shd w:val="clear" w:color="000000" w:fill="FFFFFF"/>
            <w:noWrap/>
            <w:vAlign w:val="bottom"/>
            <w:hideMark/>
          </w:tcPr>
          <w:p w14:paraId="547DB7BA" w14:textId="3973181D" w:rsidR="003A518B" w:rsidRPr="00650EE4" w:rsidRDefault="003A518B"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373</w:t>
            </w:r>
          </w:p>
        </w:tc>
      </w:tr>
    </w:tbl>
    <w:p w14:paraId="11B85E83" w14:textId="41C2C430" w:rsidR="00C90C56" w:rsidRPr="00650EE4" w:rsidRDefault="00C90C56" w:rsidP="006E13C0">
      <w:pPr>
        <w:rPr>
          <w:rFonts w:ascii="Times New Roman" w:hAnsi="Times New Roman"/>
          <w:szCs w:val="22"/>
        </w:rPr>
      </w:pPr>
    </w:p>
    <w:p w14:paraId="67ED487E" w14:textId="77777777" w:rsidR="00C90C56" w:rsidRPr="00650EE4" w:rsidRDefault="00C90C56">
      <w:pPr>
        <w:spacing w:after="240"/>
        <w:rPr>
          <w:rFonts w:ascii="Times New Roman" w:hAnsi="Times New Roman"/>
          <w:szCs w:val="22"/>
        </w:rPr>
      </w:pPr>
      <w:r w:rsidRPr="00650EE4">
        <w:rPr>
          <w:rFonts w:ascii="Times New Roman" w:hAnsi="Times New Roman"/>
          <w:szCs w:val="22"/>
        </w:rPr>
        <w:br w:type="page"/>
      </w:r>
    </w:p>
    <w:p w14:paraId="121CDBC0" w14:textId="30A13747" w:rsidR="008060B1" w:rsidRPr="00650EE4" w:rsidRDefault="008060B1" w:rsidP="00052B45">
      <w:pPr>
        <w:pStyle w:val="TESlentelspavadinimas"/>
        <w:rPr>
          <w:noProof w:val="0"/>
        </w:rPr>
      </w:pPr>
      <w:r w:rsidRPr="00650EE4">
        <w:rPr>
          <w:noProof w:val="0"/>
        </w:rPr>
        <w:lastRenderedPageBreak/>
        <w:t xml:space="preserve">Kitų negyvenamųjų pastatų renovuojamų pastatų </w:t>
      </w:r>
      <w:r w:rsidR="00052B45" w:rsidRPr="00650EE4">
        <w:rPr>
          <w:noProof w:val="0"/>
        </w:rPr>
        <w:t>plotas</w:t>
      </w:r>
      <w:r w:rsidRPr="00650EE4">
        <w:rPr>
          <w:noProof w:val="0"/>
        </w:rPr>
        <w:t xml:space="preserve"> vidutiniškai per metus</w:t>
      </w:r>
    </w:p>
    <w:tbl>
      <w:tblPr>
        <w:tblW w:w="5000" w:type="pct"/>
        <w:tblLook w:val="04A0" w:firstRow="1" w:lastRow="0" w:firstColumn="1" w:lastColumn="0" w:noHBand="0" w:noVBand="1"/>
      </w:tblPr>
      <w:tblGrid>
        <w:gridCol w:w="2017"/>
        <w:gridCol w:w="1411"/>
        <w:gridCol w:w="1900"/>
        <w:gridCol w:w="1273"/>
        <w:gridCol w:w="1273"/>
        <w:gridCol w:w="1273"/>
        <w:gridCol w:w="1273"/>
      </w:tblGrid>
      <w:tr w:rsidR="00AD537A" w:rsidRPr="00650EE4" w14:paraId="724D99EB" w14:textId="77777777" w:rsidTr="00E16056">
        <w:trPr>
          <w:trHeight w:val="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134BB72" w14:textId="77777777" w:rsidR="00AD537A" w:rsidRPr="00650EE4" w:rsidRDefault="00AD537A"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F07D961"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1B2B5DB2"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69B62817"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0C2CDD90"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303CA3AC"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1273" w:type="dxa"/>
            <w:tcBorders>
              <w:top w:val="single" w:sz="4" w:space="0" w:color="auto"/>
              <w:left w:val="nil"/>
              <w:bottom w:val="single" w:sz="4" w:space="0" w:color="auto"/>
              <w:right w:val="single" w:sz="4" w:space="0" w:color="auto"/>
            </w:tcBorders>
            <w:shd w:val="clear" w:color="000000" w:fill="FFFFFF"/>
            <w:noWrap/>
            <w:vAlign w:val="bottom"/>
            <w:hideMark/>
          </w:tcPr>
          <w:p w14:paraId="215FC677" w14:textId="77777777" w:rsidR="00AD537A" w:rsidRPr="00650EE4" w:rsidRDefault="00AD537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AD537A" w:rsidRPr="00650EE4" w14:paraId="08F8C35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616D2A5" w14:textId="2C03AF6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549BCA99" w14:textId="7F33A2A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7B8346F" w14:textId="2064975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0C072E5" w14:textId="29D7889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w:t>
            </w:r>
          </w:p>
        </w:tc>
        <w:tc>
          <w:tcPr>
            <w:tcW w:w="1273" w:type="dxa"/>
            <w:tcBorders>
              <w:top w:val="nil"/>
              <w:left w:val="nil"/>
              <w:bottom w:val="single" w:sz="4" w:space="0" w:color="auto"/>
              <w:right w:val="single" w:sz="4" w:space="0" w:color="auto"/>
            </w:tcBorders>
            <w:shd w:val="clear" w:color="000000" w:fill="FFFFFF"/>
            <w:noWrap/>
            <w:vAlign w:val="bottom"/>
            <w:hideMark/>
          </w:tcPr>
          <w:p w14:paraId="22049CAD" w14:textId="53465D0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34</w:t>
            </w:r>
          </w:p>
        </w:tc>
        <w:tc>
          <w:tcPr>
            <w:tcW w:w="1273" w:type="dxa"/>
            <w:tcBorders>
              <w:top w:val="nil"/>
              <w:left w:val="nil"/>
              <w:bottom w:val="single" w:sz="4" w:space="0" w:color="auto"/>
              <w:right w:val="single" w:sz="4" w:space="0" w:color="auto"/>
            </w:tcBorders>
            <w:shd w:val="clear" w:color="000000" w:fill="FFFFFF"/>
            <w:noWrap/>
            <w:vAlign w:val="bottom"/>
            <w:hideMark/>
          </w:tcPr>
          <w:p w14:paraId="25FB5877" w14:textId="18FFB0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55</w:t>
            </w:r>
          </w:p>
        </w:tc>
        <w:tc>
          <w:tcPr>
            <w:tcW w:w="1273" w:type="dxa"/>
            <w:tcBorders>
              <w:top w:val="nil"/>
              <w:left w:val="nil"/>
              <w:bottom w:val="single" w:sz="4" w:space="0" w:color="auto"/>
              <w:right w:val="single" w:sz="4" w:space="0" w:color="auto"/>
            </w:tcBorders>
            <w:shd w:val="clear" w:color="000000" w:fill="FFFFFF"/>
            <w:noWrap/>
            <w:vAlign w:val="bottom"/>
            <w:hideMark/>
          </w:tcPr>
          <w:p w14:paraId="367D88E0" w14:textId="782F771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w:t>
            </w:r>
          </w:p>
        </w:tc>
      </w:tr>
      <w:tr w:rsidR="00AD537A" w:rsidRPr="00650EE4" w14:paraId="6EF194BE" w14:textId="77777777" w:rsidTr="00E16056">
        <w:trPr>
          <w:trHeight w:val="1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6A5212" w14:textId="72EA407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6BDB4D3C" w14:textId="05742D3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572EE8B0" w14:textId="0B9168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DA18560" w14:textId="1C211B3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w:t>
            </w:r>
          </w:p>
        </w:tc>
        <w:tc>
          <w:tcPr>
            <w:tcW w:w="1273" w:type="dxa"/>
            <w:tcBorders>
              <w:top w:val="nil"/>
              <w:left w:val="nil"/>
              <w:bottom w:val="single" w:sz="4" w:space="0" w:color="auto"/>
              <w:right w:val="single" w:sz="4" w:space="0" w:color="auto"/>
            </w:tcBorders>
            <w:shd w:val="clear" w:color="000000" w:fill="FFFFFF"/>
            <w:noWrap/>
            <w:vAlign w:val="bottom"/>
            <w:hideMark/>
          </w:tcPr>
          <w:p w14:paraId="78867AC1" w14:textId="42C1CEB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132</w:t>
            </w:r>
          </w:p>
        </w:tc>
        <w:tc>
          <w:tcPr>
            <w:tcW w:w="1273" w:type="dxa"/>
            <w:tcBorders>
              <w:top w:val="nil"/>
              <w:left w:val="nil"/>
              <w:bottom w:val="single" w:sz="4" w:space="0" w:color="auto"/>
              <w:right w:val="single" w:sz="4" w:space="0" w:color="auto"/>
            </w:tcBorders>
            <w:shd w:val="clear" w:color="000000" w:fill="FFFFFF"/>
            <w:noWrap/>
            <w:vAlign w:val="bottom"/>
            <w:hideMark/>
          </w:tcPr>
          <w:p w14:paraId="5A2037DF" w14:textId="1744BE6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211</w:t>
            </w:r>
          </w:p>
        </w:tc>
        <w:tc>
          <w:tcPr>
            <w:tcW w:w="1273" w:type="dxa"/>
            <w:tcBorders>
              <w:top w:val="nil"/>
              <w:left w:val="nil"/>
              <w:bottom w:val="single" w:sz="4" w:space="0" w:color="auto"/>
              <w:right w:val="single" w:sz="4" w:space="0" w:color="auto"/>
            </w:tcBorders>
            <w:shd w:val="clear" w:color="000000" w:fill="FFFFFF"/>
            <w:noWrap/>
            <w:vAlign w:val="bottom"/>
            <w:hideMark/>
          </w:tcPr>
          <w:p w14:paraId="210C464C" w14:textId="53B63C9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252</w:t>
            </w:r>
          </w:p>
        </w:tc>
      </w:tr>
      <w:tr w:rsidR="00AD537A" w:rsidRPr="00650EE4" w14:paraId="3B31AF62" w14:textId="77777777" w:rsidTr="00E16056">
        <w:trPr>
          <w:trHeight w:val="10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4E433A3" w14:textId="2B27651B"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019DBC60" w14:textId="402E84D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B505F48" w14:textId="109DB9E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5640DAB" w14:textId="18026FF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1A6D4D86" w14:textId="44247D7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6E43DB3A" w14:textId="4438C54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273" w:type="dxa"/>
            <w:tcBorders>
              <w:top w:val="nil"/>
              <w:left w:val="nil"/>
              <w:bottom w:val="single" w:sz="4" w:space="0" w:color="auto"/>
              <w:right w:val="single" w:sz="4" w:space="0" w:color="auto"/>
            </w:tcBorders>
            <w:shd w:val="clear" w:color="000000" w:fill="FFFFFF"/>
            <w:noWrap/>
            <w:vAlign w:val="bottom"/>
            <w:hideMark/>
          </w:tcPr>
          <w:p w14:paraId="3C3E4033" w14:textId="7359609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r>
      <w:tr w:rsidR="00AD537A" w:rsidRPr="00650EE4" w14:paraId="717388E1"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C2207AF" w14:textId="59DC75A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408DB08C" w14:textId="18E7D1E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16BABAF6" w14:textId="4B2E72E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4A32984" w14:textId="422FC5B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273" w:type="dxa"/>
            <w:tcBorders>
              <w:top w:val="nil"/>
              <w:left w:val="nil"/>
              <w:bottom w:val="single" w:sz="4" w:space="0" w:color="auto"/>
              <w:right w:val="single" w:sz="4" w:space="0" w:color="auto"/>
            </w:tcBorders>
            <w:shd w:val="clear" w:color="000000" w:fill="FFFFFF"/>
            <w:noWrap/>
            <w:vAlign w:val="bottom"/>
            <w:hideMark/>
          </w:tcPr>
          <w:p w14:paraId="527C5EA1" w14:textId="2BEE60F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273" w:type="dxa"/>
            <w:tcBorders>
              <w:top w:val="nil"/>
              <w:left w:val="nil"/>
              <w:bottom w:val="single" w:sz="4" w:space="0" w:color="auto"/>
              <w:right w:val="single" w:sz="4" w:space="0" w:color="auto"/>
            </w:tcBorders>
            <w:shd w:val="clear" w:color="000000" w:fill="FFFFFF"/>
            <w:noWrap/>
            <w:vAlign w:val="bottom"/>
            <w:hideMark/>
          </w:tcPr>
          <w:p w14:paraId="084730BE" w14:textId="273B81D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w:t>
            </w:r>
          </w:p>
        </w:tc>
        <w:tc>
          <w:tcPr>
            <w:tcW w:w="1273" w:type="dxa"/>
            <w:tcBorders>
              <w:top w:val="nil"/>
              <w:left w:val="nil"/>
              <w:bottom w:val="single" w:sz="4" w:space="0" w:color="auto"/>
              <w:right w:val="single" w:sz="4" w:space="0" w:color="auto"/>
            </w:tcBorders>
            <w:shd w:val="clear" w:color="000000" w:fill="FFFFFF"/>
            <w:noWrap/>
            <w:vAlign w:val="bottom"/>
            <w:hideMark/>
          </w:tcPr>
          <w:p w14:paraId="2E258BDE" w14:textId="4514A62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AD537A" w:rsidRPr="00650EE4" w14:paraId="5660112D"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85719A5" w14:textId="6AF6E6C5"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407FBD29" w14:textId="2679448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F88AF39" w14:textId="4DF5E69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9B71C09" w14:textId="2D4D3A3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40BB68B3" w14:textId="18B2CB4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0AC764A" w14:textId="4F8ED3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2342D7DD" w14:textId="73C15A8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1BBB713E" w14:textId="77777777" w:rsidTr="00E16056">
        <w:trPr>
          <w:trHeight w:val="8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E7FC7A9" w14:textId="0988B61E"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471B6FD7" w14:textId="33361C2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29E75F5" w14:textId="32352AA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41FEC3B" w14:textId="1CB6DAC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27B65E11" w14:textId="1E6A4D4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1A43795C" w14:textId="46307E7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273" w:type="dxa"/>
            <w:tcBorders>
              <w:top w:val="nil"/>
              <w:left w:val="nil"/>
              <w:bottom w:val="single" w:sz="4" w:space="0" w:color="auto"/>
              <w:right w:val="single" w:sz="4" w:space="0" w:color="auto"/>
            </w:tcBorders>
            <w:shd w:val="clear" w:color="000000" w:fill="FFFFFF"/>
            <w:noWrap/>
            <w:vAlign w:val="bottom"/>
            <w:hideMark/>
          </w:tcPr>
          <w:p w14:paraId="29938754" w14:textId="5C1756B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r>
      <w:tr w:rsidR="00AD537A" w:rsidRPr="00650EE4" w14:paraId="4E424A09"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0F41532" w14:textId="2BC00C7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2EDDBF16" w14:textId="218E2A3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BF87102" w14:textId="5418257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51419AD" w14:textId="6E5738B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7F29F007" w14:textId="5D65A54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06EA2D8A" w14:textId="4F1362F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60E1B74F" w14:textId="67B6C1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r>
      <w:tr w:rsidR="00AD537A" w:rsidRPr="00650EE4" w14:paraId="0F0FEDE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01F0A2B" w14:textId="25C2051F"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21D5F7BA" w14:textId="25BD391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88D67D3" w14:textId="3C388F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3D4C78B" w14:textId="610DE11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1273" w:type="dxa"/>
            <w:tcBorders>
              <w:top w:val="nil"/>
              <w:left w:val="nil"/>
              <w:bottom w:val="single" w:sz="4" w:space="0" w:color="auto"/>
              <w:right w:val="single" w:sz="4" w:space="0" w:color="auto"/>
            </w:tcBorders>
            <w:shd w:val="clear" w:color="000000" w:fill="FFFFFF"/>
            <w:noWrap/>
            <w:vAlign w:val="bottom"/>
            <w:hideMark/>
          </w:tcPr>
          <w:p w14:paraId="24F7FAB0" w14:textId="1E52E13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1273" w:type="dxa"/>
            <w:tcBorders>
              <w:top w:val="nil"/>
              <w:left w:val="nil"/>
              <w:bottom w:val="single" w:sz="4" w:space="0" w:color="auto"/>
              <w:right w:val="single" w:sz="4" w:space="0" w:color="auto"/>
            </w:tcBorders>
            <w:shd w:val="clear" w:color="000000" w:fill="FFFFFF"/>
            <w:noWrap/>
            <w:vAlign w:val="bottom"/>
            <w:hideMark/>
          </w:tcPr>
          <w:p w14:paraId="5858E796" w14:textId="03BCBB2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w:t>
            </w:r>
          </w:p>
        </w:tc>
        <w:tc>
          <w:tcPr>
            <w:tcW w:w="1273" w:type="dxa"/>
            <w:tcBorders>
              <w:top w:val="nil"/>
              <w:left w:val="nil"/>
              <w:bottom w:val="single" w:sz="4" w:space="0" w:color="auto"/>
              <w:right w:val="single" w:sz="4" w:space="0" w:color="auto"/>
            </w:tcBorders>
            <w:shd w:val="clear" w:color="000000" w:fill="FFFFFF"/>
            <w:noWrap/>
            <w:vAlign w:val="bottom"/>
            <w:hideMark/>
          </w:tcPr>
          <w:p w14:paraId="65B9416D" w14:textId="0C601E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163</w:t>
            </w:r>
          </w:p>
        </w:tc>
      </w:tr>
      <w:tr w:rsidR="00AD537A" w:rsidRPr="00650EE4" w14:paraId="6F36B6E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279C8C" w14:textId="1D28F4A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17ADA5F1" w14:textId="4D6419B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BC3C46C" w14:textId="28F363F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20535414" w14:textId="7CACA8B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0</w:t>
            </w:r>
          </w:p>
        </w:tc>
        <w:tc>
          <w:tcPr>
            <w:tcW w:w="1273" w:type="dxa"/>
            <w:tcBorders>
              <w:top w:val="nil"/>
              <w:left w:val="nil"/>
              <w:bottom w:val="single" w:sz="4" w:space="0" w:color="auto"/>
              <w:right w:val="single" w:sz="4" w:space="0" w:color="auto"/>
            </w:tcBorders>
            <w:shd w:val="clear" w:color="000000" w:fill="FFFFFF"/>
            <w:noWrap/>
            <w:vAlign w:val="bottom"/>
            <w:hideMark/>
          </w:tcPr>
          <w:p w14:paraId="37CD4C06" w14:textId="0AD232C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0</w:t>
            </w:r>
          </w:p>
        </w:tc>
        <w:tc>
          <w:tcPr>
            <w:tcW w:w="1273" w:type="dxa"/>
            <w:tcBorders>
              <w:top w:val="nil"/>
              <w:left w:val="nil"/>
              <w:bottom w:val="single" w:sz="4" w:space="0" w:color="auto"/>
              <w:right w:val="single" w:sz="4" w:space="0" w:color="auto"/>
            </w:tcBorders>
            <w:shd w:val="clear" w:color="000000" w:fill="FFFFFF"/>
            <w:noWrap/>
            <w:vAlign w:val="bottom"/>
            <w:hideMark/>
          </w:tcPr>
          <w:p w14:paraId="59EA43F7" w14:textId="50D6056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0B3E4701" w14:textId="76C152B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r>
      <w:tr w:rsidR="00AD537A" w:rsidRPr="00650EE4" w14:paraId="4A079BC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135E9D" w14:textId="7241C37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7F216467" w14:textId="2A08CF5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F15CC8A" w14:textId="20CBD4F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2548D32" w14:textId="2DA61D3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1273" w:type="dxa"/>
            <w:tcBorders>
              <w:top w:val="nil"/>
              <w:left w:val="nil"/>
              <w:bottom w:val="single" w:sz="4" w:space="0" w:color="auto"/>
              <w:right w:val="single" w:sz="4" w:space="0" w:color="auto"/>
            </w:tcBorders>
            <w:shd w:val="clear" w:color="000000" w:fill="FFFFFF"/>
            <w:noWrap/>
            <w:vAlign w:val="bottom"/>
            <w:hideMark/>
          </w:tcPr>
          <w:p w14:paraId="40B98072" w14:textId="597EB88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w:t>
            </w:r>
          </w:p>
        </w:tc>
        <w:tc>
          <w:tcPr>
            <w:tcW w:w="1273" w:type="dxa"/>
            <w:tcBorders>
              <w:top w:val="nil"/>
              <w:left w:val="nil"/>
              <w:bottom w:val="single" w:sz="4" w:space="0" w:color="auto"/>
              <w:right w:val="single" w:sz="4" w:space="0" w:color="auto"/>
            </w:tcBorders>
            <w:shd w:val="clear" w:color="000000" w:fill="FFFFFF"/>
            <w:noWrap/>
            <w:vAlign w:val="bottom"/>
            <w:hideMark/>
          </w:tcPr>
          <w:p w14:paraId="2781619E" w14:textId="6A6CF97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298AB9D3" w14:textId="438F8B9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r>
      <w:tr w:rsidR="00AD537A" w:rsidRPr="00650EE4" w14:paraId="146B5862"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0F12AF8" w14:textId="57A74AD3"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5F0A2C9B" w14:textId="1FD2D1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45E1F36" w14:textId="74E24FB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9E0197B" w14:textId="1D6F092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353E6CBC" w14:textId="673E45A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1273" w:type="dxa"/>
            <w:tcBorders>
              <w:top w:val="nil"/>
              <w:left w:val="nil"/>
              <w:bottom w:val="single" w:sz="4" w:space="0" w:color="auto"/>
              <w:right w:val="single" w:sz="4" w:space="0" w:color="auto"/>
            </w:tcBorders>
            <w:shd w:val="clear" w:color="000000" w:fill="FFFFFF"/>
            <w:noWrap/>
            <w:vAlign w:val="bottom"/>
            <w:hideMark/>
          </w:tcPr>
          <w:p w14:paraId="36DE3519" w14:textId="03B6C5B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c>
          <w:tcPr>
            <w:tcW w:w="1273" w:type="dxa"/>
            <w:tcBorders>
              <w:top w:val="nil"/>
              <w:left w:val="nil"/>
              <w:bottom w:val="single" w:sz="4" w:space="0" w:color="auto"/>
              <w:right w:val="single" w:sz="4" w:space="0" w:color="auto"/>
            </w:tcBorders>
            <w:shd w:val="clear" w:color="000000" w:fill="FFFFFF"/>
            <w:noWrap/>
            <w:vAlign w:val="bottom"/>
            <w:hideMark/>
          </w:tcPr>
          <w:p w14:paraId="05A7E0E5" w14:textId="61B2AF3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58</w:t>
            </w:r>
          </w:p>
        </w:tc>
      </w:tr>
      <w:tr w:rsidR="00AD537A" w:rsidRPr="00650EE4" w14:paraId="08ED3BD6" w14:textId="77777777" w:rsidTr="00E16056">
        <w:trPr>
          <w:trHeight w:val="10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52A5B00" w14:textId="3D85BF1E"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74F20010" w14:textId="10E52F5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2F969C4" w14:textId="3AE6449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55B32BC" w14:textId="23ADA91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273" w:type="dxa"/>
            <w:tcBorders>
              <w:top w:val="nil"/>
              <w:left w:val="nil"/>
              <w:bottom w:val="single" w:sz="4" w:space="0" w:color="auto"/>
              <w:right w:val="single" w:sz="4" w:space="0" w:color="auto"/>
            </w:tcBorders>
            <w:shd w:val="clear" w:color="000000" w:fill="FFFFFF"/>
            <w:noWrap/>
            <w:vAlign w:val="bottom"/>
            <w:hideMark/>
          </w:tcPr>
          <w:p w14:paraId="06B6286D" w14:textId="1869D78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153984B7" w14:textId="14EBFAB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5AA50CE9" w14:textId="062CC58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r>
      <w:tr w:rsidR="00AD537A" w:rsidRPr="00650EE4" w14:paraId="2A24769E" w14:textId="77777777" w:rsidTr="00E16056">
        <w:trPr>
          <w:trHeight w:val="6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01D3785" w14:textId="1C0DE78B"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4BE79453" w14:textId="14BFC20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E321809" w14:textId="2ED5724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2D0C99E" w14:textId="5AB3A43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0ED37CA8" w14:textId="579322D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273" w:type="dxa"/>
            <w:tcBorders>
              <w:top w:val="nil"/>
              <w:left w:val="nil"/>
              <w:bottom w:val="single" w:sz="4" w:space="0" w:color="auto"/>
              <w:right w:val="single" w:sz="4" w:space="0" w:color="auto"/>
            </w:tcBorders>
            <w:shd w:val="clear" w:color="000000" w:fill="FFFFFF"/>
            <w:noWrap/>
            <w:vAlign w:val="bottom"/>
            <w:hideMark/>
          </w:tcPr>
          <w:p w14:paraId="6261ECBB" w14:textId="629D9D5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42</w:t>
            </w:r>
          </w:p>
        </w:tc>
        <w:tc>
          <w:tcPr>
            <w:tcW w:w="1273" w:type="dxa"/>
            <w:tcBorders>
              <w:top w:val="nil"/>
              <w:left w:val="nil"/>
              <w:bottom w:val="single" w:sz="4" w:space="0" w:color="auto"/>
              <w:right w:val="single" w:sz="4" w:space="0" w:color="auto"/>
            </w:tcBorders>
            <w:shd w:val="clear" w:color="000000" w:fill="FFFFFF"/>
            <w:noWrap/>
            <w:vAlign w:val="bottom"/>
            <w:hideMark/>
          </w:tcPr>
          <w:p w14:paraId="61C3A882" w14:textId="38E0A3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r>
      <w:tr w:rsidR="00AD537A" w:rsidRPr="00650EE4" w14:paraId="0503E4C0" w14:textId="77777777" w:rsidTr="00E16056">
        <w:trPr>
          <w:trHeight w:val="2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3E75ABF" w14:textId="732DE9D3"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6D9138EF" w14:textId="42CB929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77422A13" w14:textId="101E2AA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4055017B" w14:textId="53814FB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w:t>
            </w:r>
          </w:p>
        </w:tc>
        <w:tc>
          <w:tcPr>
            <w:tcW w:w="1273" w:type="dxa"/>
            <w:tcBorders>
              <w:top w:val="nil"/>
              <w:left w:val="nil"/>
              <w:bottom w:val="single" w:sz="4" w:space="0" w:color="auto"/>
              <w:right w:val="single" w:sz="4" w:space="0" w:color="auto"/>
            </w:tcBorders>
            <w:shd w:val="clear" w:color="000000" w:fill="FFFFFF"/>
            <w:noWrap/>
            <w:vAlign w:val="bottom"/>
            <w:hideMark/>
          </w:tcPr>
          <w:p w14:paraId="182698CA" w14:textId="632AF5D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1BC02D57" w14:textId="1C218B3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1273" w:type="dxa"/>
            <w:tcBorders>
              <w:top w:val="nil"/>
              <w:left w:val="nil"/>
              <w:bottom w:val="single" w:sz="4" w:space="0" w:color="auto"/>
              <w:right w:val="single" w:sz="4" w:space="0" w:color="auto"/>
            </w:tcBorders>
            <w:shd w:val="clear" w:color="000000" w:fill="FFFFFF"/>
            <w:noWrap/>
            <w:vAlign w:val="bottom"/>
            <w:hideMark/>
          </w:tcPr>
          <w:p w14:paraId="36981FAC" w14:textId="3CA92E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r>
      <w:tr w:rsidR="00AD537A" w:rsidRPr="00650EE4" w14:paraId="7C221D0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16B565F" w14:textId="415B57D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0DDD2BF8" w14:textId="6755D34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8EC7812" w14:textId="578B38E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22C751F9" w14:textId="36060D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1273" w:type="dxa"/>
            <w:tcBorders>
              <w:top w:val="nil"/>
              <w:left w:val="nil"/>
              <w:bottom w:val="single" w:sz="4" w:space="0" w:color="auto"/>
              <w:right w:val="single" w:sz="4" w:space="0" w:color="auto"/>
            </w:tcBorders>
            <w:shd w:val="clear" w:color="000000" w:fill="FFFFFF"/>
            <w:noWrap/>
            <w:vAlign w:val="bottom"/>
            <w:hideMark/>
          </w:tcPr>
          <w:p w14:paraId="53A09040" w14:textId="2948321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117</w:t>
            </w:r>
          </w:p>
        </w:tc>
        <w:tc>
          <w:tcPr>
            <w:tcW w:w="1273" w:type="dxa"/>
            <w:tcBorders>
              <w:top w:val="nil"/>
              <w:left w:val="nil"/>
              <w:bottom w:val="single" w:sz="4" w:space="0" w:color="auto"/>
              <w:right w:val="single" w:sz="4" w:space="0" w:color="auto"/>
            </w:tcBorders>
            <w:shd w:val="clear" w:color="000000" w:fill="FFFFFF"/>
            <w:noWrap/>
            <w:vAlign w:val="bottom"/>
            <w:hideMark/>
          </w:tcPr>
          <w:p w14:paraId="51CADC70" w14:textId="45A37C1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187</w:t>
            </w:r>
          </w:p>
        </w:tc>
        <w:tc>
          <w:tcPr>
            <w:tcW w:w="1273" w:type="dxa"/>
            <w:tcBorders>
              <w:top w:val="nil"/>
              <w:left w:val="nil"/>
              <w:bottom w:val="single" w:sz="4" w:space="0" w:color="auto"/>
              <w:right w:val="single" w:sz="4" w:space="0" w:color="auto"/>
            </w:tcBorders>
            <w:shd w:val="clear" w:color="000000" w:fill="FFFFFF"/>
            <w:noWrap/>
            <w:vAlign w:val="bottom"/>
            <w:hideMark/>
          </w:tcPr>
          <w:p w14:paraId="6E7791D2" w14:textId="22A270B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224</w:t>
            </w:r>
          </w:p>
        </w:tc>
      </w:tr>
      <w:tr w:rsidR="00AD537A" w:rsidRPr="00650EE4" w14:paraId="6A2A3362"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C05336" w14:textId="1C8750F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444504FA" w14:textId="3D47B43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6DCB3CD" w14:textId="6C84180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7BEA9629" w14:textId="4A54FF3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718FA92A" w14:textId="59E109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w:t>
            </w:r>
          </w:p>
        </w:tc>
        <w:tc>
          <w:tcPr>
            <w:tcW w:w="1273" w:type="dxa"/>
            <w:tcBorders>
              <w:top w:val="nil"/>
              <w:left w:val="nil"/>
              <w:bottom w:val="single" w:sz="4" w:space="0" w:color="auto"/>
              <w:right w:val="single" w:sz="4" w:space="0" w:color="auto"/>
            </w:tcBorders>
            <w:shd w:val="clear" w:color="000000" w:fill="FFFFFF"/>
            <w:noWrap/>
            <w:vAlign w:val="bottom"/>
            <w:hideMark/>
          </w:tcPr>
          <w:p w14:paraId="2F599D48" w14:textId="44EDFBB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1273" w:type="dxa"/>
            <w:tcBorders>
              <w:top w:val="nil"/>
              <w:left w:val="nil"/>
              <w:bottom w:val="single" w:sz="4" w:space="0" w:color="auto"/>
              <w:right w:val="single" w:sz="4" w:space="0" w:color="auto"/>
            </w:tcBorders>
            <w:shd w:val="clear" w:color="000000" w:fill="FFFFFF"/>
            <w:noWrap/>
            <w:vAlign w:val="bottom"/>
            <w:hideMark/>
          </w:tcPr>
          <w:p w14:paraId="1BF391B9" w14:textId="3554411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w:t>
            </w:r>
          </w:p>
        </w:tc>
      </w:tr>
      <w:tr w:rsidR="00AD537A" w:rsidRPr="00650EE4" w14:paraId="7B7F7836"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0213E2" w14:textId="1337818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1AC1CAC7" w14:textId="2B92641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78CE992" w14:textId="3F01476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3E93F23" w14:textId="5EBA67A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7627E4EC" w14:textId="0D3B6A53"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3862F50" w14:textId="0715CF8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7DD1FA62" w14:textId="55AADE9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r>
      <w:tr w:rsidR="00AD537A" w:rsidRPr="00650EE4" w14:paraId="5910BDEF"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4339E22" w14:textId="21DF40D6"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2B467B8F" w14:textId="4D9B1E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9FEE46E" w14:textId="7DB5348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28E34BD" w14:textId="4955EEE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p>
        </w:tc>
        <w:tc>
          <w:tcPr>
            <w:tcW w:w="1273" w:type="dxa"/>
            <w:tcBorders>
              <w:top w:val="nil"/>
              <w:left w:val="nil"/>
              <w:bottom w:val="single" w:sz="4" w:space="0" w:color="auto"/>
              <w:right w:val="single" w:sz="4" w:space="0" w:color="auto"/>
            </w:tcBorders>
            <w:shd w:val="clear" w:color="000000" w:fill="FFFFFF"/>
            <w:noWrap/>
            <w:vAlign w:val="bottom"/>
            <w:hideMark/>
          </w:tcPr>
          <w:p w14:paraId="348A1C44" w14:textId="3821B30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316B1BDE" w14:textId="24979F3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7518F234" w14:textId="75BBFDF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65630009" w14:textId="77777777" w:rsidTr="00E16056">
        <w:trPr>
          <w:trHeight w:val="6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2535C34" w14:textId="6081E002"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030523B1" w14:textId="2DEB778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736E6E2" w14:textId="3B6E4AD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044650B" w14:textId="01D8A34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2AE501A2" w14:textId="70F7ED8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2E7C64E4" w14:textId="69CB028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75374BC7" w14:textId="4E82405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r>
      <w:tr w:rsidR="00AD537A" w:rsidRPr="00650EE4" w14:paraId="27D52040"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2054518" w14:textId="5B78FE87"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3F386BCE" w14:textId="0B2E2E0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728C9F9D" w14:textId="479FE31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17D44BD0" w14:textId="2CE79AC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w:t>
            </w:r>
          </w:p>
        </w:tc>
        <w:tc>
          <w:tcPr>
            <w:tcW w:w="1273" w:type="dxa"/>
            <w:tcBorders>
              <w:top w:val="nil"/>
              <w:left w:val="nil"/>
              <w:bottom w:val="single" w:sz="4" w:space="0" w:color="auto"/>
              <w:right w:val="single" w:sz="4" w:space="0" w:color="auto"/>
            </w:tcBorders>
            <w:shd w:val="clear" w:color="000000" w:fill="FFFFFF"/>
            <w:noWrap/>
            <w:vAlign w:val="bottom"/>
            <w:hideMark/>
          </w:tcPr>
          <w:p w14:paraId="466D351E" w14:textId="1FFE913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1273" w:type="dxa"/>
            <w:tcBorders>
              <w:top w:val="nil"/>
              <w:left w:val="nil"/>
              <w:bottom w:val="single" w:sz="4" w:space="0" w:color="auto"/>
              <w:right w:val="single" w:sz="4" w:space="0" w:color="auto"/>
            </w:tcBorders>
            <w:shd w:val="clear" w:color="000000" w:fill="FFFFFF"/>
            <w:noWrap/>
            <w:vAlign w:val="bottom"/>
            <w:hideMark/>
          </w:tcPr>
          <w:p w14:paraId="669B8F78" w14:textId="280B6331"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1273" w:type="dxa"/>
            <w:tcBorders>
              <w:top w:val="nil"/>
              <w:left w:val="nil"/>
              <w:bottom w:val="single" w:sz="4" w:space="0" w:color="auto"/>
              <w:right w:val="single" w:sz="4" w:space="0" w:color="auto"/>
            </w:tcBorders>
            <w:shd w:val="clear" w:color="000000" w:fill="FFFFFF"/>
            <w:noWrap/>
            <w:vAlign w:val="bottom"/>
            <w:hideMark/>
          </w:tcPr>
          <w:p w14:paraId="78DBEB0C" w14:textId="26FCAAE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r>
      <w:tr w:rsidR="00AD537A" w:rsidRPr="00650EE4" w14:paraId="0E211E85"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642F883" w14:textId="2004CA75"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42449B72" w14:textId="54B7B92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D0C46CB" w14:textId="60B54779"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B04C68B" w14:textId="4E98ED50"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41419272" w14:textId="1143D6C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p>
        </w:tc>
        <w:tc>
          <w:tcPr>
            <w:tcW w:w="1273" w:type="dxa"/>
            <w:tcBorders>
              <w:top w:val="nil"/>
              <w:left w:val="nil"/>
              <w:bottom w:val="single" w:sz="4" w:space="0" w:color="auto"/>
              <w:right w:val="single" w:sz="4" w:space="0" w:color="auto"/>
            </w:tcBorders>
            <w:shd w:val="clear" w:color="000000" w:fill="FFFFFF"/>
            <w:noWrap/>
            <w:vAlign w:val="bottom"/>
            <w:hideMark/>
          </w:tcPr>
          <w:p w14:paraId="0B9BF1FD" w14:textId="09A6837C"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1273" w:type="dxa"/>
            <w:tcBorders>
              <w:top w:val="nil"/>
              <w:left w:val="nil"/>
              <w:bottom w:val="single" w:sz="4" w:space="0" w:color="auto"/>
              <w:right w:val="single" w:sz="4" w:space="0" w:color="auto"/>
            </w:tcBorders>
            <w:shd w:val="clear" w:color="000000" w:fill="FFFFFF"/>
            <w:noWrap/>
            <w:vAlign w:val="bottom"/>
            <w:hideMark/>
          </w:tcPr>
          <w:p w14:paraId="789F30D4" w14:textId="595CEC7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r>
      <w:tr w:rsidR="00AD537A" w:rsidRPr="00650EE4" w14:paraId="48587FE7"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79C7E34" w14:textId="4D62C45A"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39A258F9" w14:textId="44C5064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43C1842" w14:textId="05AAA73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307B609D" w14:textId="46BFDDB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08362933" w14:textId="6CABD3D8"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1273" w:type="dxa"/>
            <w:tcBorders>
              <w:top w:val="nil"/>
              <w:left w:val="nil"/>
              <w:bottom w:val="single" w:sz="4" w:space="0" w:color="auto"/>
              <w:right w:val="single" w:sz="4" w:space="0" w:color="auto"/>
            </w:tcBorders>
            <w:shd w:val="clear" w:color="000000" w:fill="FFFFFF"/>
            <w:noWrap/>
            <w:vAlign w:val="bottom"/>
            <w:hideMark/>
          </w:tcPr>
          <w:p w14:paraId="20D74BEB" w14:textId="4D06DA1E"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273" w:type="dxa"/>
            <w:tcBorders>
              <w:top w:val="nil"/>
              <w:left w:val="nil"/>
              <w:bottom w:val="single" w:sz="4" w:space="0" w:color="auto"/>
              <w:right w:val="single" w:sz="4" w:space="0" w:color="auto"/>
            </w:tcBorders>
            <w:shd w:val="clear" w:color="000000" w:fill="FFFFFF"/>
            <w:noWrap/>
            <w:vAlign w:val="bottom"/>
            <w:hideMark/>
          </w:tcPr>
          <w:p w14:paraId="7E88274C" w14:textId="318EB535"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r>
      <w:tr w:rsidR="00AD537A" w:rsidRPr="00650EE4" w14:paraId="7A9EBD4D" w14:textId="77777777" w:rsidTr="00E16056">
        <w:trPr>
          <w:trHeight w:val="9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2F8CF9" w14:textId="53A491F9"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693FEDF1" w14:textId="49E723BD"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4982D50" w14:textId="5B76139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6D0F2C14" w14:textId="1572C07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p>
        </w:tc>
        <w:tc>
          <w:tcPr>
            <w:tcW w:w="1273" w:type="dxa"/>
            <w:tcBorders>
              <w:top w:val="nil"/>
              <w:left w:val="nil"/>
              <w:bottom w:val="single" w:sz="4" w:space="0" w:color="auto"/>
              <w:right w:val="single" w:sz="4" w:space="0" w:color="auto"/>
            </w:tcBorders>
            <w:shd w:val="clear" w:color="000000" w:fill="FFFFFF"/>
            <w:noWrap/>
            <w:vAlign w:val="bottom"/>
            <w:hideMark/>
          </w:tcPr>
          <w:p w14:paraId="7A1AE92F" w14:textId="79491316"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1273" w:type="dxa"/>
            <w:tcBorders>
              <w:top w:val="nil"/>
              <w:left w:val="nil"/>
              <w:bottom w:val="single" w:sz="4" w:space="0" w:color="auto"/>
              <w:right w:val="single" w:sz="4" w:space="0" w:color="auto"/>
            </w:tcBorders>
            <w:shd w:val="clear" w:color="000000" w:fill="FFFFFF"/>
            <w:noWrap/>
            <w:vAlign w:val="bottom"/>
            <w:hideMark/>
          </w:tcPr>
          <w:p w14:paraId="75709BE5" w14:textId="327E7BA4"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p>
        </w:tc>
        <w:tc>
          <w:tcPr>
            <w:tcW w:w="1273" w:type="dxa"/>
            <w:tcBorders>
              <w:top w:val="nil"/>
              <w:left w:val="nil"/>
              <w:bottom w:val="single" w:sz="4" w:space="0" w:color="auto"/>
              <w:right w:val="single" w:sz="4" w:space="0" w:color="auto"/>
            </w:tcBorders>
            <w:shd w:val="clear" w:color="000000" w:fill="FFFFFF"/>
            <w:noWrap/>
            <w:vAlign w:val="bottom"/>
            <w:hideMark/>
          </w:tcPr>
          <w:p w14:paraId="7C1988B7" w14:textId="4F26BBE2"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p>
        </w:tc>
      </w:tr>
      <w:tr w:rsidR="00AD537A" w:rsidRPr="00650EE4" w14:paraId="46258ACA" w14:textId="77777777" w:rsidTr="00E16056">
        <w:trPr>
          <w:trHeight w:val="6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6D137AC" w14:textId="2B24B03C" w:rsidR="00AD537A" w:rsidRPr="00650EE4" w:rsidRDefault="00AD537A" w:rsidP="00AD537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13518F57" w14:textId="7477B87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AF4A584" w14:textId="547F12D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r w:rsidRPr="00650EE4">
              <w:rPr>
                <w:rFonts w:ascii="Times New Roman" w:eastAsia="Times New Roman" w:hAnsi="Times New Roman"/>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67E9989" w14:textId="6F2BF27A"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51D4FBC7" w14:textId="616D8677"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p>
        </w:tc>
        <w:tc>
          <w:tcPr>
            <w:tcW w:w="1273" w:type="dxa"/>
            <w:tcBorders>
              <w:top w:val="nil"/>
              <w:left w:val="nil"/>
              <w:bottom w:val="single" w:sz="4" w:space="0" w:color="auto"/>
              <w:right w:val="single" w:sz="4" w:space="0" w:color="auto"/>
            </w:tcBorders>
            <w:shd w:val="clear" w:color="000000" w:fill="FFFFFF"/>
            <w:noWrap/>
            <w:vAlign w:val="bottom"/>
            <w:hideMark/>
          </w:tcPr>
          <w:p w14:paraId="72CBE76B" w14:textId="5A29558B"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p>
        </w:tc>
        <w:tc>
          <w:tcPr>
            <w:tcW w:w="1273" w:type="dxa"/>
            <w:tcBorders>
              <w:top w:val="nil"/>
              <w:left w:val="nil"/>
              <w:bottom w:val="single" w:sz="4" w:space="0" w:color="auto"/>
              <w:right w:val="single" w:sz="4" w:space="0" w:color="auto"/>
            </w:tcBorders>
            <w:shd w:val="clear" w:color="000000" w:fill="FFFFFF"/>
            <w:noWrap/>
            <w:vAlign w:val="bottom"/>
            <w:hideMark/>
          </w:tcPr>
          <w:p w14:paraId="1379E3D1" w14:textId="3144720F" w:rsidR="00AD537A" w:rsidRPr="00650EE4" w:rsidRDefault="00AD537A" w:rsidP="00AD537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r>
      <w:tr w:rsidR="00AD537A" w:rsidRPr="00650EE4" w14:paraId="2B104263" w14:textId="77777777" w:rsidTr="00E16056">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94A3443" w14:textId="71400A6A" w:rsidR="00AD537A" w:rsidRPr="00650EE4" w:rsidRDefault="00AD537A" w:rsidP="00AD537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0" w:type="auto"/>
            <w:tcBorders>
              <w:top w:val="nil"/>
              <w:left w:val="nil"/>
              <w:bottom w:val="single" w:sz="4" w:space="0" w:color="auto"/>
              <w:right w:val="single" w:sz="4" w:space="0" w:color="auto"/>
            </w:tcBorders>
            <w:shd w:val="clear" w:color="000000" w:fill="FFFFFF"/>
            <w:noWrap/>
            <w:vAlign w:val="bottom"/>
            <w:hideMark/>
          </w:tcPr>
          <w:p w14:paraId="1EC3AFC1" w14:textId="66ED4B16"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543A488B" w14:textId="4E3C4E43"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tūkst. m</w:t>
            </w:r>
            <w:r w:rsidRPr="00650EE4">
              <w:rPr>
                <w:rFonts w:ascii="Times New Roman" w:eastAsia="Times New Roman" w:hAnsi="Times New Roman"/>
                <w:b/>
                <w:bCs/>
                <w:sz w:val="20"/>
                <w:szCs w:val="20"/>
                <w:vertAlign w:val="superscript"/>
                <w:lang w:eastAsia="lt-LT"/>
              </w:rPr>
              <w:t>2</w:t>
            </w:r>
            <w:r w:rsidRPr="00650EE4">
              <w:rPr>
                <w:rFonts w:ascii="Times New Roman" w:eastAsia="Times New Roman" w:hAnsi="Times New Roman"/>
                <w:b/>
                <w:bCs/>
                <w:sz w:val="20"/>
                <w:szCs w:val="20"/>
                <w:lang w:eastAsia="lt-LT"/>
              </w:rPr>
              <w:t>/metus</w:t>
            </w:r>
          </w:p>
        </w:tc>
        <w:tc>
          <w:tcPr>
            <w:tcW w:w="1273" w:type="dxa"/>
            <w:tcBorders>
              <w:top w:val="nil"/>
              <w:left w:val="nil"/>
              <w:bottom w:val="single" w:sz="4" w:space="0" w:color="auto"/>
              <w:right w:val="single" w:sz="4" w:space="0" w:color="auto"/>
            </w:tcBorders>
            <w:shd w:val="clear" w:color="000000" w:fill="FFFFFF"/>
            <w:noWrap/>
            <w:vAlign w:val="bottom"/>
            <w:hideMark/>
          </w:tcPr>
          <w:p w14:paraId="5AFDD6A2" w14:textId="7DB2E24D"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413</w:t>
            </w:r>
          </w:p>
        </w:tc>
        <w:tc>
          <w:tcPr>
            <w:tcW w:w="1273" w:type="dxa"/>
            <w:tcBorders>
              <w:top w:val="nil"/>
              <w:left w:val="nil"/>
              <w:bottom w:val="single" w:sz="4" w:space="0" w:color="auto"/>
              <w:right w:val="single" w:sz="4" w:space="0" w:color="auto"/>
            </w:tcBorders>
            <w:shd w:val="clear" w:color="000000" w:fill="FFFFFF"/>
            <w:noWrap/>
            <w:vAlign w:val="bottom"/>
            <w:hideMark/>
          </w:tcPr>
          <w:p w14:paraId="571FF265" w14:textId="7770E7F9"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573</w:t>
            </w:r>
          </w:p>
        </w:tc>
        <w:tc>
          <w:tcPr>
            <w:tcW w:w="1273" w:type="dxa"/>
            <w:tcBorders>
              <w:top w:val="nil"/>
              <w:left w:val="nil"/>
              <w:bottom w:val="single" w:sz="4" w:space="0" w:color="auto"/>
              <w:right w:val="single" w:sz="4" w:space="0" w:color="auto"/>
            </w:tcBorders>
            <w:shd w:val="clear" w:color="000000" w:fill="FFFFFF"/>
            <w:noWrap/>
            <w:vAlign w:val="bottom"/>
            <w:hideMark/>
          </w:tcPr>
          <w:p w14:paraId="7FA2FBF5" w14:textId="6BFF9C49"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914</w:t>
            </w:r>
          </w:p>
        </w:tc>
        <w:tc>
          <w:tcPr>
            <w:tcW w:w="1273" w:type="dxa"/>
            <w:tcBorders>
              <w:top w:val="nil"/>
              <w:left w:val="nil"/>
              <w:bottom w:val="single" w:sz="4" w:space="0" w:color="auto"/>
              <w:right w:val="single" w:sz="4" w:space="0" w:color="auto"/>
            </w:tcBorders>
            <w:shd w:val="clear" w:color="000000" w:fill="FFFFFF"/>
            <w:noWrap/>
            <w:vAlign w:val="bottom"/>
            <w:hideMark/>
          </w:tcPr>
          <w:p w14:paraId="2AA8DC18" w14:textId="7866875B" w:rsidR="00AD537A" w:rsidRPr="00650EE4" w:rsidRDefault="00AD537A" w:rsidP="00AD537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094</w:t>
            </w:r>
          </w:p>
        </w:tc>
      </w:tr>
    </w:tbl>
    <w:p w14:paraId="6DD2F2FB" w14:textId="50C0745A" w:rsidR="00AD76A7" w:rsidRPr="00650EE4" w:rsidRDefault="00AD76A7" w:rsidP="006E13C0">
      <w:pPr>
        <w:rPr>
          <w:rFonts w:ascii="Times New Roman" w:hAnsi="Times New Roman"/>
          <w:szCs w:val="22"/>
        </w:rPr>
      </w:pPr>
    </w:p>
    <w:p w14:paraId="6E0521F3" w14:textId="0C6C8B6D" w:rsidR="0024319A" w:rsidRPr="00650EE4" w:rsidRDefault="0024319A" w:rsidP="0024319A">
      <w:pPr>
        <w:pStyle w:val="TESlentelspavadinimas"/>
        <w:rPr>
          <w:noProof w:val="0"/>
        </w:rPr>
      </w:pPr>
      <w:r w:rsidRPr="00650EE4">
        <w:rPr>
          <w:noProof w:val="0"/>
        </w:rPr>
        <w:t>Kitų negyvenamųjų pastatų renovuojamų pastatų skaičius iš viso per laikotarpį</w:t>
      </w:r>
    </w:p>
    <w:tbl>
      <w:tblPr>
        <w:tblW w:w="5000" w:type="pct"/>
        <w:tblLook w:val="04A0" w:firstRow="1" w:lastRow="0" w:firstColumn="1" w:lastColumn="0" w:noHBand="0" w:noVBand="1"/>
      </w:tblPr>
      <w:tblGrid>
        <w:gridCol w:w="2023"/>
        <w:gridCol w:w="1298"/>
        <w:gridCol w:w="1863"/>
        <w:gridCol w:w="1309"/>
        <w:gridCol w:w="1309"/>
        <w:gridCol w:w="1309"/>
        <w:gridCol w:w="1309"/>
      </w:tblGrid>
      <w:tr w:rsidR="001F66FF" w:rsidRPr="00650EE4" w14:paraId="64077DA3" w14:textId="77777777" w:rsidTr="001F66FF">
        <w:trPr>
          <w:trHeight w:val="60"/>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55F4472F" w14:textId="77777777" w:rsidR="0024319A" w:rsidRPr="00650EE4" w:rsidRDefault="0024319A"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623" w:type="pct"/>
            <w:tcBorders>
              <w:top w:val="single" w:sz="4" w:space="0" w:color="auto"/>
              <w:left w:val="nil"/>
              <w:bottom w:val="single" w:sz="4" w:space="0" w:color="auto"/>
              <w:right w:val="single" w:sz="4" w:space="0" w:color="auto"/>
            </w:tcBorders>
            <w:shd w:val="clear" w:color="000000" w:fill="FFFFFF"/>
            <w:noWrap/>
            <w:vAlign w:val="bottom"/>
            <w:hideMark/>
          </w:tcPr>
          <w:p w14:paraId="175BC319"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894" w:type="pct"/>
            <w:tcBorders>
              <w:top w:val="single" w:sz="4" w:space="0" w:color="auto"/>
              <w:left w:val="nil"/>
              <w:bottom w:val="single" w:sz="4" w:space="0" w:color="auto"/>
              <w:right w:val="single" w:sz="4" w:space="0" w:color="auto"/>
            </w:tcBorders>
            <w:shd w:val="clear" w:color="000000" w:fill="FFFFFF"/>
            <w:noWrap/>
            <w:vAlign w:val="bottom"/>
            <w:hideMark/>
          </w:tcPr>
          <w:p w14:paraId="36585493"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75B1519B"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2E94AF14"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190D7134"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628" w:type="pct"/>
            <w:tcBorders>
              <w:top w:val="single" w:sz="4" w:space="0" w:color="auto"/>
              <w:left w:val="nil"/>
              <w:bottom w:val="single" w:sz="4" w:space="0" w:color="auto"/>
              <w:right w:val="single" w:sz="4" w:space="0" w:color="auto"/>
            </w:tcBorders>
            <w:shd w:val="clear" w:color="000000" w:fill="FFFFFF"/>
            <w:noWrap/>
            <w:vAlign w:val="bottom"/>
            <w:hideMark/>
          </w:tcPr>
          <w:p w14:paraId="33BC90B0" w14:textId="77777777" w:rsidR="0024319A" w:rsidRPr="00650EE4" w:rsidRDefault="0024319A"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1F66FF" w:rsidRPr="00650EE4" w14:paraId="4ABA3788"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E6BBDE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623" w:type="pct"/>
            <w:tcBorders>
              <w:top w:val="nil"/>
              <w:left w:val="nil"/>
              <w:bottom w:val="single" w:sz="4" w:space="0" w:color="auto"/>
              <w:right w:val="single" w:sz="4" w:space="0" w:color="auto"/>
            </w:tcBorders>
            <w:shd w:val="clear" w:color="000000" w:fill="FFFFFF"/>
            <w:noWrap/>
            <w:vAlign w:val="bottom"/>
            <w:hideMark/>
          </w:tcPr>
          <w:p w14:paraId="5661A2D5"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7AB0A3A3" w14:textId="71473C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65829162" w14:textId="5E4A5CB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364</w:t>
            </w:r>
          </w:p>
        </w:tc>
        <w:tc>
          <w:tcPr>
            <w:tcW w:w="628" w:type="pct"/>
            <w:tcBorders>
              <w:top w:val="nil"/>
              <w:left w:val="nil"/>
              <w:bottom w:val="single" w:sz="4" w:space="0" w:color="auto"/>
              <w:right w:val="single" w:sz="4" w:space="0" w:color="auto"/>
            </w:tcBorders>
            <w:shd w:val="clear" w:color="000000" w:fill="FFFFFF"/>
            <w:noWrap/>
            <w:vAlign w:val="bottom"/>
            <w:hideMark/>
          </w:tcPr>
          <w:p w14:paraId="5D104F77" w14:textId="5E3FA8A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634</w:t>
            </w:r>
          </w:p>
        </w:tc>
        <w:tc>
          <w:tcPr>
            <w:tcW w:w="628" w:type="pct"/>
            <w:tcBorders>
              <w:top w:val="nil"/>
              <w:left w:val="nil"/>
              <w:bottom w:val="single" w:sz="4" w:space="0" w:color="auto"/>
              <w:right w:val="single" w:sz="4" w:space="0" w:color="auto"/>
            </w:tcBorders>
            <w:shd w:val="clear" w:color="000000" w:fill="FFFFFF"/>
            <w:noWrap/>
            <w:vAlign w:val="bottom"/>
            <w:hideMark/>
          </w:tcPr>
          <w:p w14:paraId="55C57387" w14:textId="1524B3C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759</w:t>
            </w:r>
          </w:p>
        </w:tc>
        <w:tc>
          <w:tcPr>
            <w:tcW w:w="628" w:type="pct"/>
            <w:tcBorders>
              <w:top w:val="nil"/>
              <w:left w:val="nil"/>
              <w:bottom w:val="single" w:sz="4" w:space="0" w:color="auto"/>
              <w:right w:val="single" w:sz="4" w:space="0" w:color="auto"/>
            </w:tcBorders>
            <w:shd w:val="clear" w:color="000000" w:fill="FFFFFF"/>
            <w:noWrap/>
            <w:vAlign w:val="bottom"/>
            <w:hideMark/>
          </w:tcPr>
          <w:p w14:paraId="12EDE015" w14:textId="0AD4C45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758</w:t>
            </w:r>
          </w:p>
        </w:tc>
      </w:tr>
      <w:tr w:rsidR="001F66FF" w:rsidRPr="00650EE4" w14:paraId="2D1B9CA7" w14:textId="77777777" w:rsidTr="001F66FF">
        <w:trPr>
          <w:trHeight w:val="10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4F13532"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623" w:type="pct"/>
            <w:tcBorders>
              <w:top w:val="nil"/>
              <w:left w:val="nil"/>
              <w:bottom w:val="single" w:sz="4" w:space="0" w:color="auto"/>
              <w:right w:val="single" w:sz="4" w:space="0" w:color="auto"/>
            </w:tcBorders>
            <w:shd w:val="clear" w:color="000000" w:fill="FFFFFF"/>
            <w:noWrap/>
            <w:vAlign w:val="bottom"/>
            <w:hideMark/>
          </w:tcPr>
          <w:p w14:paraId="1492A25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586BDCDE" w14:textId="52B15B6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D051FFE" w14:textId="64DEF9F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352</w:t>
            </w:r>
          </w:p>
        </w:tc>
        <w:tc>
          <w:tcPr>
            <w:tcW w:w="628" w:type="pct"/>
            <w:tcBorders>
              <w:top w:val="nil"/>
              <w:left w:val="nil"/>
              <w:bottom w:val="single" w:sz="4" w:space="0" w:color="auto"/>
              <w:right w:val="single" w:sz="4" w:space="0" w:color="auto"/>
            </w:tcBorders>
            <w:shd w:val="clear" w:color="000000" w:fill="FFFFFF"/>
            <w:noWrap/>
            <w:vAlign w:val="bottom"/>
            <w:hideMark/>
          </w:tcPr>
          <w:p w14:paraId="08A929F8" w14:textId="472B58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353</w:t>
            </w:r>
          </w:p>
        </w:tc>
        <w:tc>
          <w:tcPr>
            <w:tcW w:w="628" w:type="pct"/>
            <w:tcBorders>
              <w:top w:val="nil"/>
              <w:left w:val="nil"/>
              <w:bottom w:val="single" w:sz="4" w:space="0" w:color="auto"/>
              <w:right w:val="single" w:sz="4" w:space="0" w:color="auto"/>
            </w:tcBorders>
            <w:shd w:val="clear" w:color="000000" w:fill="FFFFFF"/>
            <w:noWrap/>
            <w:vAlign w:val="bottom"/>
            <w:hideMark/>
          </w:tcPr>
          <w:p w14:paraId="5CBBC8A3" w14:textId="592763F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817</w:t>
            </w:r>
          </w:p>
        </w:tc>
        <w:tc>
          <w:tcPr>
            <w:tcW w:w="628" w:type="pct"/>
            <w:tcBorders>
              <w:top w:val="nil"/>
              <w:left w:val="nil"/>
              <w:bottom w:val="single" w:sz="4" w:space="0" w:color="auto"/>
              <w:right w:val="single" w:sz="4" w:space="0" w:color="auto"/>
            </w:tcBorders>
            <w:shd w:val="clear" w:color="000000" w:fill="FFFFFF"/>
            <w:noWrap/>
            <w:vAlign w:val="bottom"/>
            <w:hideMark/>
          </w:tcPr>
          <w:p w14:paraId="2B0D023D" w14:textId="1F7C614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523</w:t>
            </w:r>
          </w:p>
        </w:tc>
      </w:tr>
      <w:tr w:rsidR="001F66FF" w:rsidRPr="00650EE4" w14:paraId="6B45D837" w14:textId="77777777" w:rsidTr="001F66FF">
        <w:trPr>
          <w:trHeight w:val="103"/>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75578E1"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623" w:type="pct"/>
            <w:tcBorders>
              <w:top w:val="nil"/>
              <w:left w:val="nil"/>
              <w:bottom w:val="single" w:sz="4" w:space="0" w:color="auto"/>
              <w:right w:val="single" w:sz="4" w:space="0" w:color="auto"/>
            </w:tcBorders>
            <w:shd w:val="clear" w:color="000000" w:fill="FFFFFF"/>
            <w:noWrap/>
            <w:vAlign w:val="bottom"/>
            <w:hideMark/>
          </w:tcPr>
          <w:p w14:paraId="450B0AC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3A97997" w14:textId="71A458C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27AA7504" w14:textId="6F28067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w:t>
            </w:r>
          </w:p>
        </w:tc>
        <w:tc>
          <w:tcPr>
            <w:tcW w:w="628" w:type="pct"/>
            <w:tcBorders>
              <w:top w:val="nil"/>
              <w:left w:val="nil"/>
              <w:bottom w:val="single" w:sz="4" w:space="0" w:color="auto"/>
              <w:right w:val="single" w:sz="4" w:space="0" w:color="auto"/>
            </w:tcBorders>
            <w:shd w:val="clear" w:color="000000" w:fill="FFFFFF"/>
            <w:noWrap/>
            <w:vAlign w:val="bottom"/>
            <w:hideMark/>
          </w:tcPr>
          <w:p w14:paraId="5157E827" w14:textId="2C0D0BD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69</w:t>
            </w:r>
          </w:p>
        </w:tc>
        <w:tc>
          <w:tcPr>
            <w:tcW w:w="628" w:type="pct"/>
            <w:tcBorders>
              <w:top w:val="nil"/>
              <w:left w:val="nil"/>
              <w:bottom w:val="single" w:sz="4" w:space="0" w:color="auto"/>
              <w:right w:val="single" w:sz="4" w:space="0" w:color="auto"/>
            </w:tcBorders>
            <w:shd w:val="clear" w:color="000000" w:fill="FFFFFF"/>
            <w:noWrap/>
            <w:vAlign w:val="bottom"/>
            <w:hideMark/>
          </w:tcPr>
          <w:p w14:paraId="347207DF" w14:textId="26A136B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83</w:t>
            </w:r>
          </w:p>
        </w:tc>
        <w:tc>
          <w:tcPr>
            <w:tcW w:w="628" w:type="pct"/>
            <w:tcBorders>
              <w:top w:val="nil"/>
              <w:left w:val="nil"/>
              <w:bottom w:val="single" w:sz="4" w:space="0" w:color="auto"/>
              <w:right w:val="single" w:sz="4" w:space="0" w:color="auto"/>
            </w:tcBorders>
            <w:shd w:val="clear" w:color="000000" w:fill="FFFFFF"/>
            <w:noWrap/>
            <w:vAlign w:val="bottom"/>
            <w:hideMark/>
          </w:tcPr>
          <w:p w14:paraId="15A4B87A" w14:textId="37A4327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192</w:t>
            </w:r>
          </w:p>
        </w:tc>
      </w:tr>
      <w:tr w:rsidR="001F66FF" w:rsidRPr="00650EE4" w14:paraId="067910DC"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184A326"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623" w:type="pct"/>
            <w:tcBorders>
              <w:top w:val="nil"/>
              <w:left w:val="nil"/>
              <w:bottom w:val="single" w:sz="4" w:space="0" w:color="auto"/>
              <w:right w:val="single" w:sz="4" w:space="0" w:color="auto"/>
            </w:tcBorders>
            <w:shd w:val="clear" w:color="000000" w:fill="FFFFFF"/>
            <w:noWrap/>
            <w:vAlign w:val="bottom"/>
            <w:hideMark/>
          </w:tcPr>
          <w:p w14:paraId="0873DBAC"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5FBF1A7E" w14:textId="3D06B68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16838C7" w14:textId="2B717F4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234</w:t>
            </w:r>
          </w:p>
        </w:tc>
        <w:tc>
          <w:tcPr>
            <w:tcW w:w="628" w:type="pct"/>
            <w:tcBorders>
              <w:top w:val="nil"/>
              <w:left w:val="nil"/>
              <w:bottom w:val="single" w:sz="4" w:space="0" w:color="auto"/>
              <w:right w:val="single" w:sz="4" w:space="0" w:color="auto"/>
            </w:tcBorders>
            <w:shd w:val="clear" w:color="000000" w:fill="FFFFFF"/>
            <w:noWrap/>
            <w:vAlign w:val="bottom"/>
            <w:hideMark/>
          </w:tcPr>
          <w:p w14:paraId="5656FE70" w14:textId="2E482D9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407</w:t>
            </w:r>
          </w:p>
        </w:tc>
        <w:tc>
          <w:tcPr>
            <w:tcW w:w="628" w:type="pct"/>
            <w:tcBorders>
              <w:top w:val="nil"/>
              <w:left w:val="nil"/>
              <w:bottom w:val="single" w:sz="4" w:space="0" w:color="auto"/>
              <w:right w:val="single" w:sz="4" w:space="0" w:color="auto"/>
            </w:tcBorders>
            <w:shd w:val="clear" w:color="000000" w:fill="FFFFFF"/>
            <w:noWrap/>
            <w:vAlign w:val="bottom"/>
            <w:hideMark/>
          </w:tcPr>
          <w:p w14:paraId="626BE7DA" w14:textId="7557914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487</w:t>
            </w:r>
          </w:p>
        </w:tc>
        <w:tc>
          <w:tcPr>
            <w:tcW w:w="628" w:type="pct"/>
            <w:tcBorders>
              <w:top w:val="nil"/>
              <w:left w:val="nil"/>
              <w:bottom w:val="single" w:sz="4" w:space="0" w:color="auto"/>
              <w:right w:val="single" w:sz="4" w:space="0" w:color="auto"/>
            </w:tcBorders>
            <w:shd w:val="clear" w:color="000000" w:fill="FFFFFF"/>
            <w:noWrap/>
            <w:vAlign w:val="bottom"/>
            <w:hideMark/>
          </w:tcPr>
          <w:p w14:paraId="60AA75E1" w14:textId="01AD5C7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128</w:t>
            </w:r>
          </w:p>
        </w:tc>
      </w:tr>
      <w:tr w:rsidR="001F66FF" w:rsidRPr="00650EE4" w14:paraId="02193187"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D886C69"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623" w:type="pct"/>
            <w:tcBorders>
              <w:top w:val="nil"/>
              <w:left w:val="nil"/>
              <w:bottom w:val="single" w:sz="4" w:space="0" w:color="auto"/>
              <w:right w:val="single" w:sz="4" w:space="0" w:color="auto"/>
            </w:tcBorders>
            <w:shd w:val="clear" w:color="000000" w:fill="FFFFFF"/>
            <w:noWrap/>
            <w:vAlign w:val="bottom"/>
            <w:hideMark/>
          </w:tcPr>
          <w:p w14:paraId="25B3E39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012F03FB" w14:textId="6ED3F3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3B86BC9" w14:textId="2480606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60</w:t>
            </w:r>
          </w:p>
        </w:tc>
        <w:tc>
          <w:tcPr>
            <w:tcW w:w="628" w:type="pct"/>
            <w:tcBorders>
              <w:top w:val="nil"/>
              <w:left w:val="nil"/>
              <w:bottom w:val="single" w:sz="4" w:space="0" w:color="auto"/>
              <w:right w:val="single" w:sz="4" w:space="0" w:color="auto"/>
            </w:tcBorders>
            <w:shd w:val="clear" w:color="000000" w:fill="FFFFFF"/>
            <w:noWrap/>
            <w:vAlign w:val="bottom"/>
            <w:hideMark/>
          </w:tcPr>
          <w:p w14:paraId="550BA8F4" w14:textId="29EC4FC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c>
          <w:tcPr>
            <w:tcW w:w="628" w:type="pct"/>
            <w:tcBorders>
              <w:top w:val="nil"/>
              <w:left w:val="nil"/>
              <w:bottom w:val="single" w:sz="4" w:space="0" w:color="auto"/>
              <w:right w:val="single" w:sz="4" w:space="0" w:color="auto"/>
            </w:tcBorders>
            <w:shd w:val="clear" w:color="000000" w:fill="FFFFFF"/>
            <w:noWrap/>
            <w:vAlign w:val="bottom"/>
            <w:hideMark/>
          </w:tcPr>
          <w:p w14:paraId="3B5D810D" w14:textId="09183FF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126</w:t>
            </w:r>
          </w:p>
        </w:tc>
        <w:tc>
          <w:tcPr>
            <w:tcW w:w="628" w:type="pct"/>
            <w:tcBorders>
              <w:top w:val="nil"/>
              <w:left w:val="nil"/>
              <w:bottom w:val="single" w:sz="4" w:space="0" w:color="auto"/>
              <w:right w:val="single" w:sz="4" w:space="0" w:color="auto"/>
            </w:tcBorders>
            <w:shd w:val="clear" w:color="000000" w:fill="FFFFFF"/>
            <w:noWrap/>
            <w:vAlign w:val="bottom"/>
            <w:hideMark/>
          </w:tcPr>
          <w:p w14:paraId="0D2C933D" w14:textId="7676982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r>
      <w:tr w:rsidR="001F66FF" w:rsidRPr="00650EE4" w14:paraId="3B90D698" w14:textId="77777777" w:rsidTr="001F66FF">
        <w:trPr>
          <w:trHeight w:val="86"/>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B8DBB85"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623" w:type="pct"/>
            <w:tcBorders>
              <w:top w:val="nil"/>
              <w:left w:val="nil"/>
              <w:bottom w:val="single" w:sz="4" w:space="0" w:color="auto"/>
              <w:right w:val="single" w:sz="4" w:space="0" w:color="auto"/>
            </w:tcBorders>
            <w:shd w:val="clear" w:color="000000" w:fill="FFFFFF"/>
            <w:noWrap/>
            <w:vAlign w:val="bottom"/>
            <w:hideMark/>
          </w:tcPr>
          <w:p w14:paraId="275FAEFE"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1CC9104E" w14:textId="5D66736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6883457E" w14:textId="5C17631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457</w:t>
            </w:r>
          </w:p>
        </w:tc>
        <w:tc>
          <w:tcPr>
            <w:tcW w:w="628" w:type="pct"/>
            <w:tcBorders>
              <w:top w:val="nil"/>
              <w:left w:val="nil"/>
              <w:bottom w:val="single" w:sz="4" w:space="0" w:color="auto"/>
              <w:right w:val="single" w:sz="4" w:space="0" w:color="auto"/>
            </w:tcBorders>
            <w:shd w:val="clear" w:color="000000" w:fill="FFFFFF"/>
            <w:noWrap/>
            <w:vAlign w:val="bottom"/>
            <w:hideMark/>
          </w:tcPr>
          <w:p w14:paraId="0F0DE5B7" w14:textId="698E23D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796</w:t>
            </w:r>
          </w:p>
        </w:tc>
        <w:tc>
          <w:tcPr>
            <w:tcW w:w="628" w:type="pct"/>
            <w:tcBorders>
              <w:top w:val="nil"/>
              <w:left w:val="nil"/>
              <w:bottom w:val="single" w:sz="4" w:space="0" w:color="auto"/>
              <w:right w:val="single" w:sz="4" w:space="0" w:color="auto"/>
            </w:tcBorders>
            <w:shd w:val="clear" w:color="000000" w:fill="FFFFFF"/>
            <w:noWrap/>
            <w:vAlign w:val="bottom"/>
            <w:hideMark/>
          </w:tcPr>
          <w:p w14:paraId="23326963" w14:textId="1370982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953</w:t>
            </w:r>
          </w:p>
        </w:tc>
        <w:tc>
          <w:tcPr>
            <w:tcW w:w="628" w:type="pct"/>
            <w:tcBorders>
              <w:top w:val="nil"/>
              <w:left w:val="nil"/>
              <w:bottom w:val="single" w:sz="4" w:space="0" w:color="auto"/>
              <w:right w:val="single" w:sz="4" w:space="0" w:color="auto"/>
            </w:tcBorders>
            <w:shd w:val="clear" w:color="000000" w:fill="FFFFFF"/>
            <w:noWrap/>
            <w:vAlign w:val="bottom"/>
            <w:hideMark/>
          </w:tcPr>
          <w:p w14:paraId="6001AE84" w14:textId="72C1932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206</w:t>
            </w:r>
          </w:p>
        </w:tc>
      </w:tr>
      <w:tr w:rsidR="001F66FF" w:rsidRPr="00650EE4" w14:paraId="2EFA6654"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E855A7D"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623" w:type="pct"/>
            <w:tcBorders>
              <w:top w:val="nil"/>
              <w:left w:val="nil"/>
              <w:bottom w:val="single" w:sz="4" w:space="0" w:color="auto"/>
              <w:right w:val="single" w:sz="4" w:space="0" w:color="auto"/>
            </w:tcBorders>
            <w:shd w:val="clear" w:color="000000" w:fill="FFFFFF"/>
            <w:noWrap/>
            <w:vAlign w:val="bottom"/>
            <w:hideMark/>
          </w:tcPr>
          <w:p w14:paraId="1CED3C03"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4240752" w14:textId="211C506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539B287" w14:textId="605B701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w:t>
            </w:r>
          </w:p>
        </w:tc>
        <w:tc>
          <w:tcPr>
            <w:tcW w:w="628" w:type="pct"/>
            <w:tcBorders>
              <w:top w:val="nil"/>
              <w:left w:val="nil"/>
              <w:bottom w:val="single" w:sz="4" w:space="0" w:color="auto"/>
              <w:right w:val="single" w:sz="4" w:space="0" w:color="auto"/>
            </w:tcBorders>
            <w:shd w:val="clear" w:color="000000" w:fill="FFFFFF"/>
            <w:noWrap/>
            <w:vAlign w:val="bottom"/>
            <w:hideMark/>
          </w:tcPr>
          <w:p w14:paraId="1182A170" w14:textId="1BB34BE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8" w:type="pct"/>
            <w:tcBorders>
              <w:top w:val="nil"/>
              <w:left w:val="nil"/>
              <w:bottom w:val="single" w:sz="4" w:space="0" w:color="auto"/>
              <w:right w:val="single" w:sz="4" w:space="0" w:color="auto"/>
            </w:tcBorders>
            <w:shd w:val="clear" w:color="000000" w:fill="FFFFFF"/>
            <w:noWrap/>
            <w:vAlign w:val="bottom"/>
            <w:hideMark/>
          </w:tcPr>
          <w:p w14:paraId="5B780899" w14:textId="292BD5E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8" w:type="pct"/>
            <w:tcBorders>
              <w:top w:val="nil"/>
              <w:left w:val="nil"/>
              <w:bottom w:val="single" w:sz="4" w:space="0" w:color="auto"/>
              <w:right w:val="single" w:sz="4" w:space="0" w:color="auto"/>
            </w:tcBorders>
            <w:shd w:val="clear" w:color="000000" w:fill="FFFFFF"/>
            <w:noWrap/>
            <w:vAlign w:val="bottom"/>
            <w:hideMark/>
          </w:tcPr>
          <w:p w14:paraId="26EEB74A" w14:textId="0A2EAB7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115</w:t>
            </w:r>
          </w:p>
        </w:tc>
      </w:tr>
      <w:tr w:rsidR="001F66FF" w:rsidRPr="00650EE4" w14:paraId="47E94A9B"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7347330"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623" w:type="pct"/>
            <w:tcBorders>
              <w:top w:val="nil"/>
              <w:left w:val="nil"/>
              <w:bottom w:val="single" w:sz="4" w:space="0" w:color="auto"/>
              <w:right w:val="single" w:sz="4" w:space="0" w:color="auto"/>
            </w:tcBorders>
            <w:shd w:val="clear" w:color="000000" w:fill="FFFFFF"/>
            <w:noWrap/>
            <w:vAlign w:val="bottom"/>
            <w:hideMark/>
          </w:tcPr>
          <w:p w14:paraId="1233EE01"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D3E4F9D" w14:textId="18A2BDF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A811D2B" w14:textId="2F185DF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337</w:t>
            </w:r>
          </w:p>
        </w:tc>
        <w:tc>
          <w:tcPr>
            <w:tcW w:w="628" w:type="pct"/>
            <w:tcBorders>
              <w:top w:val="nil"/>
              <w:left w:val="nil"/>
              <w:bottom w:val="single" w:sz="4" w:space="0" w:color="auto"/>
              <w:right w:val="single" w:sz="4" w:space="0" w:color="auto"/>
            </w:tcBorders>
            <w:shd w:val="clear" w:color="000000" w:fill="FFFFFF"/>
            <w:noWrap/>
            <w:vAlign w:val="bottom"/>
            <w:hideMark/>
          </w:tcPr>
          <w:p w14:paraId="1648BA17" w14:textId="54D8CAE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327</w:t>
            </w:r>
          </w:p>
        </w:tc>
        <w:tc>
          <w:tcPr>
            <w:tcW w:w="628" w:type="pct"/>
            <w:tcBorders>
              <w:top w:val="nil"/>
              <w:left w:val="nil"/>
              <w:bottom w:val="single" w:sz="4" w:space="0" w:color="auto"/>
              <w:right w:val="single" w:sz="4" w:space="0" w:color="auto"/>
            </w:tcBorders>
            <w:shd w:val="clear" w:color="000000" w:fill="FFFFFF"/>
            <w:noWrap/>
            <w:vAlign w:val="bottom"/>
            <w:hideMark/>
          </w:tcPr>
          <w:p w14:paraId="7F17B20F" w14:textId="1BEBFBE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787</w:t>
            </w:r>
          </w:p>
        </w:tc>
        <w:tc>
          <w:tcPr>
            <w:tcW w:w="628" w:type="pct"/>
            <w:tcBorders>
              <w:top w:val="nil"/>
              <w:left w:val="nil"/>
              <w:bottom w:val="single" w:sz="4" w:space="0" w:color="auto"/>
              <w:right w:val="single" w:sz="4" w:space="0" w:color="auto"/>
            </w:tcBorders>
            <w:shd w:val="clear" w:color="000000" w:fill="FFFFFF"/>
            <w:noWrap/>
            <w:vAlign w:val="bottom"/>
            <w:hideMark/>
          </w:tcPr>
          <w:p w14:paraId="4B16E202" w14:textId="073823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451</w:t>
            </w:r>
          </w:p>
        </w:tc>
      </w:tr>
      <w:tr w:rsidR="001F66FF" w:rsidRPr="00650EE4" w14:paraId="38400087"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BDFFB04"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623" w:type="pct"/>
            <w:tcBorders>
              <w:top w:val="nil"/>
              <w:left w:val="nil"/>
              <w:bottom w:val="single" w:sz="4" w:space="0" w:color="auto"/>
              <w:right w:val="single" w:sz="4" w:space="0" w:color="auto"/>
            </w:tcBorders>
            <w:shd w:val="clear" w:color="000000" w:fill="FFFFFF"/>
            <w:noWrap/>
            <w:vAlign w:val="bottom"/>
            <w:hideMark/>
          </w:tcPr>
          <w:p w14:paraId="3AADB912"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35A1C19B" w14:textId="33F8800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198D1786" w14:textId="5C62F55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628" w:type="pct"/>
            <w:tcBorders>
              <w:top w:val="nil"/>
              <w:left w:val="nil"/>
              <w:bottom w:val="single" w:sz="4" w:space="0" w:color="auto"/>
              <w:right w:val="single" w:sz="4" w:space="0" w:color="auto"/>
            </w:tcBorders>
            <w:shd w:val="clear" w:color="000000" w:fill="FFFFFF"/>
            <w:noWrap/>
            <w:vAlign w:val="bottom"/>
            <w:hideMark/>
          </w:tcPr>
          <w:p w14:paraId="54CC3CB4" w14:textId="3370C58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w:t>
            </w:r>
          </w:p>
        </w:tc>
        <w:tc>
          <w:tcPr>
            <w:tcW w:w="628" w:type="pct"/>
            <w:tcBorders>
              <w:top w:val="nil"/>
              <w:left w:val="nil"/>
              <w:bottom w:val="single" w:sz="4" w:space="0" w:color="auto"/>
              <w:right w:val="single" w:sz="4" w:space="0" w:color="auto"/>
            </w:tcBorders>
            <w:shd w:val="clear" w:color="000000" w:fill="FFFFFF"/>
            <w:noWrap/>
            <w:vAlign w:val="bottom"/>
            <w:hideMark/>
          </w:tcPr>
          <w:p w14:paraId="3A41BB1B" w14:textId="191C75C6"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628" w:type="pct"/>
            <w:tcBorders>
              <w:top w:val="nil"/>
              <w:left w:val="nil"/>
              <w:bottom w:val="single" w:sz="4" w:space="0" w:color="auto"/>
              <w:right w:val="single" w:sz="4" w:space="0" w:color="auto"/>
            </w:tcBorders>
            <w:shd w:val="clear" w:color="000000" w:fill="FFFFFF"/>
            <w:noWrap/>
            <w:vAlign w:val="bottom"/>
            <w:hideMark/>
          </w:tcPr>
          <w:p w14:paraId="06B3BC00" w14:textId="4BF15DC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r>
      <w:tr w:rsidR="001F66FF" w:rsidRPr="00650EE4" w14:paraId="3A57F152"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A60FB2F"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623" w:type="pct"/>
            <w:tcBorders>
              <w:top w:val="nil"/>
              <w:left w:val="nil"/>
              <w:bottom w:val="single" w:sz="4" w:space="0" w:color="auto"/>
              <w:right w:val="single" w:sz="4" w:space="0" w:color="auto"/>
            </w:tcBorders>
            <w:shd w:val="clear" w:color="000000" w:fill="FFFFFF"/>
            <w:noWrap/>
            <w:vAlign w:val="bottom"/>
            <w:hideMark/>
          </w:tcPr>
          <w:p w14:paraId="45910022"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6BEEBD2" w14:textId="348DBEE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569BE77" w14:textId="4ECE3D2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628" w:type="pct"/>
            <w:tcBorders>
              <w:top w:val="nil"/>
              <w:left w:val="nil"/>
              <w:bottom w:val="single" w:sz="4" w:space="0" w:color="auto"/>
              <w:right w:val="single" w:sz="4" w:space="0" w:color="auto"/>
            </w:tcBorders>
            <w:shd w:val="clear" w:color="000000" w:fill="FFFFFF"/>
            <w:noWrap/>
            <w:vAlign w:val="bottom"/>
            <w:hideMark/>
          </w:tcPr>
          <w:p w14:paraId="04BCB9A5" w14:textId="68302F2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149</w:t>
            </w:r>
          </w:p>
        </w:tc>
        <w:tc>
          <w:tcPr>
            <w:tcW w:w="628" w:type="pct"/>
            <w:tcBorders>
              <w:top w:val="nil"/>
              <w:left w:val="nil"/>
              <w:bottom w:val="single" w:sz="4" w:space="0" w:color="auto"/>
              <w:right w:val="single" w:sz="4" w:space="0" w:color="auto"/>
            </w:tcBorders>
            <w:shd w:val="clear" w:color="000000" w:fill="FFFFFF"/>
            <w:noWrap/>
            <w:vAlign w:val="bottom"/>
            <w:hideMark/>
          </w:tcPr>
          <w:p w14:paraId="572A9D52" w14:textId="4C1ED88A"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178</w:t>
            </w:r>
          </w:p>
        </w:tc>
        <w:tc>
          <w:tcPr>
            <w:tcW w:w="628" w:type="pct"/>
            <w:tcBorders>
              <w:top w:val="nil"/>
              <w:left w:val="nil"/>
              <w:bottom w:val="single" w:sz="4" w:space="0" w:color="auto"/>
              <w:right w:val="single" w:sz="4" w:space="0" w:color="auto"/>
            </w:tcBorders>
            <w:shd w:val="clear" w:color="000000" w:fill="FFFFFF"/>
            <w:noWrap/>
            <w:vAlign w:val="bottom"/>
            <w:hideMark/>
          </w:tcPr>
          <w:p w14:paraId="18E23D57" w14:textId="2253428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412</w:t>
            </w:r>
          </w:p>
        </w:tc>
      </w:tr>
      <w:tr w:rsidR="001F66FF" w:rsidRPr="00650EE4" w14:paraId="182FD54F"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AD1B1E7"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623" w:type="pct"/>
            <w:tcBorders>
              <w:top w:val="nil"/>
              <w:left w:val="nil"/>
              <w:bottom w:val="single" w:sz="4" w:space="0" w:color="auto"/>
              <w:right w:val="single" w:sz="4" w:space="0" w:color="auto"/>
            </w:tcBorders>
            <w:shd w:val="clear" w:color="000000" w:fill="FFFFFF"/>
            <w:noWrap/>
            <w:vAlign w:val="bottom"/>
            <w:hideMark/>
          </w:tcPr>
          <w:p w14:paraId="39A2BFF6"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33AB206D" w14:textId="1E57078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707CA31" w14:textId="1E0004A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140</w:t>
            </w:r>
          </w:p>
        </w:tc>
        <w:tc>
          <w:tcPr>
            <w:tcW w:w="628" w:type="pct"/>
            <w:tcBorders>
              <w:top w:val="nil"/>
              <w:left w:val="nil"/>
              <w:bottom w:val="single" w:sz="4" w:space="0" w:color="auto"/>
              <w:right w:val="single" w:sz="4" w:space="0" w:color="auto"/>
            </w:tcBorders>
            <w:shd w:val="clear" w:color="000000" w:fill="FFFFFF"/>
            <w:noWrap/>
            <w:vAlign w:val="bottom"/>
            <w:hideMark/>
          </w:tcPr>
          <w:p w14:paraId="10E4966A" w14:textId="2505864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244</w:t>
            </w:r>
          </w:p>
        </w:tc>
        <w:tc>
          <w:tcPr>
            <w:tcW w:w="628" w:type="pct"/>
            <w:tcBorders>
              <w:top w:val="nil"/>
              <w:left w:val="nil"/>
              <w:bottom w:val="single" w:sz="4" w:space="0" w:color="auto"/>
              <w:right w:val="single" w:sz="4" w:space="0" w:color="auto"/>
            </w:tcBorders>
            <w:shd w:val="clear" w:color="000000" w:fill="FFFFFF"/>
            <w:noWrap/>
            <w:vAlign w:val="bottom"/>
            <w:hideMark/>
          </w:tcPr>
          <w:p w14:paraId="2C6B2777" w14:textId="268739C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292</w:t>
            </w:r>
          </w:p>
        </w:tc>
        <w:tc>
          <w:tcPr>
            <w:tcW w:w="628" w:type="pct"/>
            <w:tcBorders>
              <w:top w:val="nil"/>
              <w:left w:val="nil"/>
              <w:bottom w:val="single" w:sz="4" w:space="0" w:color="auto"/>
              <w:right w:val="single" w:sz="4" w:space="0" w:color="auto"/>
            </w:tcBorders>
            <w:shd w:val="clear" w:color="000000" w:fill="FFFFFF"/>
            <w:noWrap/>
            <w:vAlign w:val="bottom"/>
            <w:hideMark/>
          </w:tcPr>
          <w:p w14:paraId="25D5DA99" w14:textId="5F1B141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676</w:t>
            </w:r>
          </w:p>
        </w:tc>
      </w:tr>
      <w:tr w:rsidR="001F66FF" w:rsidRPr="00650EE4" w14:paraId="52B359C6" w14:textId="77777777" w:rsidTr="001F66FF">
        <w:trPr>
          <w:trHeight w:val="107"/>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E16F43D"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623" w:type="pct"/>
            <w:tcBorders>
              <w:top w:val="nil"/>
              <w:left w:val="nil"/>
              <w:bottom w:val="single" w:sz="4" w:space="0" w:color="auto"/>
              <w:right w:val="single" w:sz="4" w:space="0" w:color="auto"/>
            </w:tcBorders>
            <w:shd w:val="clear" w:color="000000" w:fill="FFFFFF"/>
            <w:noWrap/>
            <w:vAlign w:val="bottom"/>
            <w:hideMark/>
          </w:tcPr>
          <w:p w14:paraId="51A4BF5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384E790D" w14:textId="1A9DE40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586C3E3" w14:textId="2E17B68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143</w:t>
            </w:r>
          </w:p>
        </w:tc>
        <w:tc>
          <w:tcPr>
            <w:tcW w:w="628" w:type="pct"/>
            <w:tcBorders>
              <w:top w:val="nil"/>
              <w:left w:val="nil"/>
              <w:bottom w:val="single" w:sz="4" w:space="0" w:color="auto"/>
              <w:right w:val="single" w:sz="4" w:space="0" w:color="auto"/>
            </w:tcBorders>
            <w:shd w:val="clear" w:color="000000" w:fill="FFFFFF"/>
            <w:noWrap/>
            <w:vAlign w:val="bottom"/>
            <w:hideMark/>
          </w:tcPr>
          <w:p w14:paraId="0E159EFB" w14:textId="02E3B01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249</w:t>
            </w:r>
          </w:p>
        </w:tc>
        <w:tc>
          <w:tcPr>
            <w:tcW w:w="628" w:type="pct"/>
            <w:tcBorders>
              <w:top w:val="nil"/>
              <w:left w:val="nil"/>
              <w:bottom w:val="single" w:sz="4" w:space="0" w:color="auto"/>
              <w:right w:val="single" w:sz="4" w:space="0" w:color="auto"/>
            </w:tcBorders>
            <w:shd w:val="clear" w:color="000000" w:fill="FFFFFF"/>
            <w:noWrap/>
            <w:vAlign w:val="bottom"/>
            <w:hideMark/>
          </w:tcPr>
          <w:p w14:paraId="6E80A98B" w14:textId="07F7879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298</w:t>
            </w:r>
          </w:p>
        </w:tc>
        <w:tc>
          <w:tcPr>
            <w:tcW w:w="628" w:type="pct"/>
            <w:tcBorders>
              <w:top w:val="nil"/>
              <w:left w:val="nil"/>
              <w:bottom w:val="single" w:sz="4" w:space="0" w:color="auto"/>
              <w:right w:val="single" w:sz="4" w:space="0" w:color="auto"/>
            </w:tcBorders>
            <w:shd w:val="clear" w:color="000000" w:fill="FFFFFF"/>
            <w:noWrap/>
            <w:vAlign w:val="bottom"/>
            <w:hideMark/>
          </w:tcPr>
          <w:p w14:paraId="58F539B2" w14:textId="0D406E6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689</w:t>
            </w:r>
          </w:p>
        </w:tc>
      </w:tr>
      <w:tr w:rsidR="001F66FF" w:rsidRPr="00650EE4" w14:paraId="6E7783D2" w14:textId="77777777" w:rsidTr="001F66FF">
        <w:trPr>
          <w:trHeight w:val="69"/>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4587E14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623" w:type="pct"/>
            <w:tcBorders>
              <w:top w:val="nil"/>
              <w:left w:val="nil"/>
              <w:bottom w:val="single" w:sz="4" w:space="0" w:color="auto"/>
              <w:right w:val="single" w:sz="4" w:space="0" w:color="auto"/>
            </w:tcBorders>
            <w:shd w:val="clear" w:color="000000" w:fill="FFFFFF"/>
            <w:noWrap/>
            <w:vAlign w:val="bottom"/>
            <w:hideMark/>
          </w:tcPr>
          <w:p w14:paraId="08DA9DFE"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45EBBF0A" w14:textId="4EC9CD0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00CAB18" w14:textId="76910F8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220</w:t>
            </w:r>
          </w:p>
        </w:tc>
        <w:tc>
          <w:tcPr>
            <w:tcW w:w="628" w:type="pct"/>
            <w:tcBorders>
              <w:top w:val="nil"/>
              <w:left w:val="nil"/>
              <w:bottom w:val="single" w:sz="4" w:space="0" w:color="auto"/>
              <w:right w:val="single" w:sz="4" w:space="0" w:color="auto"/>
            </w:tcBorders>
            <w:shd w:val="clear" w:color="000000" w:fill="FFFFFF"/>
            <w:noWrap/>
            <w:vAlign w:val="bottom"/>
            <w:hideMark/>
          </w:tcPr>
          <w:p w14:paraId="010C5DA3" w14:textId="3AADB9B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382</w:t>
            </w:r>
          </w:p>
        </w:tc>
        <w:tc>
          <w:tcPr>
            <w:tcW w:w="628" w:type="pct"/>
            <w:tcBorders>
              <w:top w:val="nil"/>
              <w:left w:val="nil"/>
              <w:bottom w:val="single" w:sz="4" w:space="0" w:color="auto"/>
              <w:right w:val="single" w:sz="4" w:space="0" w:color="auto"/>
            </w:tcBorders>
            <w:shd w:val="clear" w:color="000000" w:fill="FFFFFF"/>
            <w:noWrap/>
            <w:vAlign w:val="bottom"/>
            <w:hideMark/>
          </w:tcPr>
          <w:p w14:paraId="5270E63F" w14:textId="39459A5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458</w:t>
            </w:r>
          </w:p>
        </w:tc>
        <w:tc>
          <w:tcPr>
            <w:tcW w:w="628" w:type="pct"/>
            <w:tcBorders>
              <w:top w:val="nil"/>
              <w:left w:val="nil"/>
              <w:bottom w:val="single" w:sz="4" w:space="0" w:color="auto"/>
              <w:right w:val="single" w:sz="4" w:space="0" w:color="auto"/>
            </w:tcBorders>
            <w:shd w:val="clear" w:color="000000" w:fill="FFFFFF"/>
            <w:noWrap/>
            <w:vAlign w:val="bottom"/>
            <w:hideMark/>
          </w:tcPr>
          <w:p w14:paraId="503DD093" w14:textId="0FC63DB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060</w:t>
            </w:r>
          </w:p>
        </w:tc>
      </w:tr>
      <w:tr w:rsidR="001F66FF" w:rsidRPr="00650EE4" w14:paraId="67D1AD7E" w14:textId="77777777" w:rsidTr="001F66FF">
        <w:trPr>
          <w:trHeight w:val="20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A09091F"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623" w:type="pct"/>
            <w:tcBorders>
              <w:top w:val="nil"/>
              <w:left w:val="nil"/>
              <w:bottom w:val="single" w:sz="4" w:space="0" w:color="auto"/>
              <w:right w:val="single" w:sz="4" w:space="0" w:color="auto"/>
            </w:tcBorders>
            <w:shd w:val="clear" w:color="000000" w:fill="FFFFFF"/>
            <w:noWrap/>
            <w:vAlign w:val="bottom"/>
            <w:hideMark/>
          </w:tcPr>
          <w:p w14:paraId="47AFD196"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3F0853EA" w14:textId="144D887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D880B7A" w14:textId="32B494C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159</w:t>
            </w:r>
          </w:p>
        </w:tc>
        <w:tc>
          <w:tcPr>
            <w:tcW w:w="628" w:type="pct"/>
            <w:tcBorders>
              <w:top w:val="nil"/>
              <w:left w:val="nil"/>
              <w:bottom w:val="single" w:sz="4" w:space="0" w:color="auto"/>
              <w:right w:val="single" w:sz="4" w:space="0" w:color="auto"/>
            </w:tcBorders>
            <w:shd w:val="clear" w:color="000000" w:fill="FFFFFF"/>
            <w:noWrap/>
            <w:vAlign w:val="bottom"/>
            <w:hideMark/>
          </w:tcPr>
          <w:p w14:paraId="272D2E80" w14:textId="59BF75B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277</w:t>
            </w:r>
          </w:p>
        </w:tc>
        <w:tc>
          <w:tcPr>
            <w:tcW w:w="628" w:type="pct"/>
            <w:tcBorders>
              <w:top w:val="nil"/>
              <w:left w:val="nil"/>
              <w:bottom w:val="single" w:sz="4" w:space="0" w:color="auto"/>
              <w:right w:val="single" w:sz="4" w:space="0" w:color="auto"/>
            </w:tcBorders>
            <w:shd w:val="clear" w:color="000000" w:fill="FFFFFF"/>
            <w:noWrap/>
            <w:vAlign w:val="bottom"/>
            <w:hideMark/>
          </w:tcPr>
          <w:p w14:paraId="0B5D9C8D" w14:textId="77B0F0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331</w:t>
            </w:r>
          </w:p>
        </w:tc>
        <w:tc>
          <w:tcPr>
            <w:tcW w:w="628" w:type="pct"/>
            <w:tcBorders>
              <w:top w:val="nil"/>
              <w:left w:val="nil"/>
              <w:bottom w:val="single" w:sz="4" w:space="0" w:color="auto"/>
              <w:right w:val="single" w:sz="4" w:space="0" w:color="auto"/>
            </w:tcBorders>
            <w:shd w:val="clear" w:color="000000" w:fill="FFFFFF"/>
            <w:noWrap/>
            <w:vAlign w:val="bottom"/>
            <w:hideMark/>
          </w:tcPr>
          <w:p w14:paraId="214B7B9B" w14:textId="05C8CE9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767</w:t>
            </w:r>
          </w:p>
        </w:tc>
      </w:tr>
      <w:tr w:rsidR="001F66FF" w:rsidRPr="00650EE4" w14:paraId="26F523D4"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1F99FD9"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623" w:type="pct"/>
            <w:tcBorders>
              <w:top w:val="nil"/>
              <w:left w:val="nil"/>
              <w:bottom w:val="single" w:sz="4" w:space="0" w:color="auto"/>
              <w:right w:val="single" w:sz="4" w:space="0" w:color="auto"/>
            </w:tcBorders>
            <w:shd w:val="clear" w:color="000000" w:fill="FFFFFF"/>
            <w:noWrap/>
            <w:vAlign w:val="bottom"/>
            <w:hideMark/>
          </w:tcPr>
          <w:p w14:paraId="10764950"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24E730BF" w14:textId="262BBA8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5445C915" w14:textId="7A8F2EE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557</w:t>
            </w:r>
          </w:p>
        </w:tc>
        <w:tc>
          <w:tcPr>
            <w:tcW w:w="628" w:type="pct"/>
            <w:tcBorders>
              <w:top w:val="nil"/>
              <w:left w:val="nil"/>
              <w:bottom w:val="single" w:sz="4" w:space="0" w:color="auto"/>
              <w:right w:val="single" w:sz="4" w:space="0" w:color="auto"/>
            </w:tcBorders>
            <w:shd w:val="clear" w:color="000000" w:fill="FFFFFF"/>
            <w:noWrap/>
            <w:vAlign w:val="bottom"/>
            <w:hideMark/>
          </w:tcPr>
          <w:p w14:paraId="143FFF3A" w14:textId="518B947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969</w:t>
            </w:r>
          </w:p>
        </w:tc>
        <w:tc>
          <w:tcPr>
            <w:tcW w:w="628" w:type="pct"/>
            <w:tcBorders>
              <w:top w:val="nil"/>
              <w:left w:val="nil"/>
              <w:bottom w:val="single" w:sz="4" w:space="0" w:color="auto"/>
              <w:right w:val="single" w:sz="4" w:space="0" w:color="auto"/>
            </w:tcBorders>
            <w:shd w:val="clear" w:color="000000" w:fill="FFFFFF"/>
            <w:noWrap/>
            <w:vAlign w:val="bottom"/>
            <w:hideMark/>
          </w:tcPr>
          <w:p w14:paraId="762F0A51" w14:textId="5734187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160</w:t>
            </w:r>
          </w:p>
        </w:tc>
        <w:tc>
          <w:tcPr>
            <w:tcW w:w="628" w:type="pct"/>
            <w:tcBorders>
              <w:top w:val="nil"/>
              <w:left w:val="nil"/>
              <w:bottom w:val="single" w:sz="4" w:space="0" w:color="auto"/>
              <w:right w:val="single" w:sz="4" w:space="0" w:color="auto"/>
            </w:tcBorders>
            <w:shd w:val="clear" w:color="000000" w:fill="FFFFFF"/>
            <w:noWrap/>
            <w:vAlign w:val="bottom"/>
            <w:hideMark/>
          </w:tcPr>
          <w:p w14:paraId="05ABB2C0" w14:textId="049C27A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685</w:t>
            </w:r>
          </w:p>
        </w:tc>
      </w:tr>
      <w:tr w:rsidR="001F66FF" w:rsidRPr="00650EE4" w14:paraId="4F4C5A7C"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256C38B6"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623" w:type="pct"/>
            <w:tcBorders>
              <w:top w:val="nil"/>
              <w:left w:val="nil"/>
              <w:bottom w:val="single" w:sz="4" w:space="0" w:color="auto"/>
              <w:right w:val="single" w:sz="4" w:space="0" w:color="auto"/>
            </w:tcBorders>
            <w:shd w:val="clear" w:color="000000" w:fill="FFFFFF"/>
            <w:noWrap/>
            <w:vAlign w:val="bottom"/>
            <w:hideMark/>
          </w:tcPr>
          <w:p w14:paraId="43C8568A"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77ACBD5A" w14:textId="0CA0006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8E92201" w14:textId="1FD8FE3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207</w:t>
            </w:r>
          </w:p>
        </w:tc>
        <w:tc>
          <w:tcPr>
            <w:tcW w:w="628" w:type="pct"/>
            <w:tcBorders>
              <w:top w:val="nil"/>
              <w:left w:val="nil"/>
              <w:bottom w:val="single" w:sz="4" w:space="0" w:color="auto"/>
              <w:right w:val="single" w:sz="4" w:space="0" w:color="auto"/>
            </w:tcBorders>
            <w:shd w:val="clear" w:color="000000" w:fill="FFFFFF"/>
            <w:noWrap/>
            <w:vAlign w:val="bottom"/>
            <w:hideMark/>
          </w:tcPr>
          <w:p w14:paraId="62CA4106" w14:textId="2448470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361</w:t>
            </w:r>
          </w:p>
        </w:tc>
        <w:tc>
          <w:tcPr>
            <w:tcW w:w="628" w:type="pct"/>
            <w:tcBorders>
              <w:top w:val="nil"/>
              <w:left w:val="nil"/>
              <w:bottom w:val="single" w:sz="4" w:space="0" w:color="auto"/>
              <w:right w:val="single" w:sz="4" w:space="0" w:color="auto"/>
            </w:tcBorders>
            <w:shd w:val="clear" w:color="000000" w:fill="FFFFFF"/>
            <w:noWrap/>
            <w:vAlign w:val="bottom"/>
            <w:hideMark/>
          </w:tcPr>
          <w:p w14:paraId="042D7A05" w14:textId="6F71B4F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432</w:t>
            </w:r>
          </w:p>
        </w:tc>
        <w:tc>
          <w:tcPr>
            <w:tcW w:w="628" w:type="pct"/>
            <w:tcBorders>
              <w:top w:val="nil"/>
              <w:left w:val="nil"/>
              <w:bottom w:val="single" w:sz="4" w:space="0" w:color="auto"/>
              <w:right w:val="single" w:sz="4" w:space="0" w:color="auto"/>
            </w:tcBorders>
            <w:shd w:val="clear" w:color="000000" w:fill="FFFFFF"/>
            <w:noWrap/>
            <w:vAlign w:val="bottom"/>
            <w:hideMark/>
          </w:tcPr>
          <w:p w14:paraId="5FAEC870" w14:textId="433B804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000</w:t>
            </w:r>
          </w:p>
        </w:tc>
      </w:tr>
      <w:tr w:rsidR="001F66FF" w:rsidRPr="00650EE4" w14:paraId="33277E02"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F38332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623" w:type="pct"/>
            <w:tcBorders>
              <w:top w:val="nil"/>
              <w:left w:val="nil"/>
              <w:bottom w:val="single" w:sz="4" w:space="0" w:color="auto"/>
              <w:right w:val="single" w:sz="4" w:space="0" w:color="auto"/>
            </w:tcBorders>
            <w:shd w:val="clear" w:color="000000" w:fill="FFFFFF"/>
            <w:noWrap/>
            <w:vAlign w:val="bottom"/>
            <w:hideMark/>
          </w:tcPr>
          <w:p w14:paraId="6A0FD694"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7CA7E36C" w14:textId="479C3EB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4FCCA982" w14:textId="22F3A8B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w:t>
            </w:r>
          </w:p>
        </w:tc>
        <w:tc>
          <w:tcPr>
            <w:tcW w:w="628" w:type="pct"/>
            <w:tcBorders>
              <w:top w:val="nil"/>
              <w:left w:val="nil"/>
              <w:bottom w:val="single" w:sz="4" w:space="0" w:color="auto"/>
              <w:right w:val="single" w:sz="4" w:space="0" w:color="auto"/>
            </w:tcBorders>
            <w:shd w:val="clear" w:color="000000" w:fill="FFFFFF"/>
            <w:noWrap/>
            <w:vAlign w:val="bottom"/>
            <w:hideMark/>
          </w:tcPr>
          <w:p w14:paraId="798FC30E" w14:textId="0D5BC1F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84</w:t>
            </w:r>
          </w:p>
        </w:tc>
        <w:tc>
          <w:tcPr>
            <w:tcW w:w="628" w:type="pct"/>
            <w:tcBorders>
              <w:top w:val="nil"/>
              <w:left w:val="nil"/>
              <w:bottom w:val="single" w:sz="4" w:space="0" w:color="auto"/>
              <w:right w:val="single" w:sz="4" w:space="0" w:color="auto"/>
            </w:tcBorders>
            <w:shd w:val="clear" w:color="000000" w:fill="FFFFFF"/>
            <w:noWrap/>
            <w:vAlign w:val="bottom"/>
            <w:hideMark/>
          </w:tcPr>
          <w:p w14:paraId="1B3AE055" w14:textId="6F7D8C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628" w:type="pct"/>
            <w:tcBorders>
              <w:top w:val="nil"/>
              <w:left w:val="nil"/>
              <w:bottom w:val="single" w:sz="4" w:space="0" w:color="auto"/>
              <w:right w:val="single" w:sz="4" w:space="0" w:color="auto"/>
            </w:tcBorders>
            <w:shd w:val="clear" w:color="000000" w:fill="FFFFFF"/>
            <w:noWrap/>
            <w:vAlign w:val="bottom"/>
            <w:hideMark/>
          </w:tcPr>
          <w:p w14:paraId="3CBCD440" w14:textId="7FFC023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233</w:t>
            </w:r>
          </w:p>
        </w:tc>
      </w:tr>
      <w:tr w:rsidR="001F66FF" w:rsidRPr="00650EE4" w14:paraId="35D4A1D5"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D19D5A4"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623" w:type="pct"/>
            <w:tcBorders>
              <w:top w:val="nil"/>
              <w:left w:val="nil"/>
              <w:bottom w:val="single" w:sz="4" w:space="0" w:color="auto"/>
              <w:right w:val="single" w:sz="4" w:space="0" w:color="auto"/>
            </w:tcBorders>
            <w:shd w:val="clear" w:color="000000" w:fill="FFFFFF"/>
            <w:noWrap/>
            <w:vAlign w:val="bottom"/>
            <w:hideMark/>
          </w:tcPr>
          <w:p w14:paraId="3325AFEC"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47DAC52E" w14:textId="1E4BF7C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2ECB4463" w14:textId="0EABFC9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628" w:type="pct"/>
            <w:tcBorders>
              <w:top w:val="nil"/>
              <w:left w:val="nil"/>
              <w:bottom w:val="single" w:sz="4" w:space="0" w:color="auto"/>
              <w:right w:val="single" w:sz="4" w:space="0" w:color="auto"/>
            </w:tcBorders>
            <w:shd w:val="clear" w:color="000000" w:fill="FFFFFF"/>
            <w:noWrap/>
            <w:vAlign w:val="bottom"/>
            <w:hideMark/>
          </w:tcPr>
          <w:p w14:paraId="470B592A" w14:textId="220F654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71</w:t>
            </w:r>
          </w:p>
        </w:tc>
        <w:tc>
          <w:tcPr>
            <w:tcW w:w="628" w:type="pct"/>
            <w:tcBorders>
              <w:top w:val="nil"/>
              <w:left w:val="nil"/>
              <w:bottom w:val="single" w:sz="4" w:space="0" w:color="auto"/>
              <w:right w:val="single" w:sz="4" w:space="0" w:color="auto"/>
            </w:tcBorders>
            <w:shd w:val="clear" w:color="000000" w:fill="FFFFFF"/>
            <w:noWrap/>
            <w:vAlign w:val="bottom"/>
            <w:hideMark/>
          </w:tcPr>
          <w:p w14:paraId="196879E0" w14:textId="0DDC022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w:t>
            </w:r>
          </w:p>
        </w:tc>
        <w:tc>
          <w:tcPr>
            <w:tcW w:w="628" w:type="pct"/>
            <w:tcBorders>
              <w:top w:val="nil"/>
              <w:left w:val="nil"/>
              <w:bottom w:val="single" w:sz="4" w:space="0" w:color="auto"/>
              <w:right w:val="single" w:sz="4" w:space="0" w:color="auto"/>
            </w:tcBorders>
            <w:shd w:val="clear" w:color="000000" w:fill="FFFFFF"/>
            <w:noWrap/>
            <w:vAlign w:val="bottom"/>
            <w:hideMark/>
          </w:tcPr>
          <w:p w14:paraId="58184324" w14:textId="59BF069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198</w:t>
            </w:r>
          </w:p>
        </w:tc>
      </w:tr>
      <w:tr w:rsidR="001F66FF" w:rsidRPr="00650EE4" w14:paraId="3FCEBA39" w14:textId="77777777" w:rsidTr="001F66FF">
        <w:trPr>
          <w:trHeight w:val="67"/>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951357B"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623" w:type="pct"/>
            <w:tcBorders>
              <w:top w:val="nil"/>
              <w:left w:val="nil"/>
              <w:bottom w:val="single" w:sz="4" w:space="0" w:color="auto"/>
              <w:right w:val="single" w:sz="4" w:space="0" w:color="auto"/>
            </w:tcBorders>
            <w:shd w:val="clear" w:color="000000" w:fill="FFFFFF"/>
            <w:noWrap/>
            <w:vAlign w:val="bottom"/>
            <w:hideMark/>
          </w:tcPr>
          <w:p w14:paraId="7B7D85FF"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198A916F" w14:textId="551D83E9"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3FA044C" w14:textId="6D85B4F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w:t>
            </w:r>
          </w:p>
        </w:tc>
        <w:tc>
          <w:tcPr>
            <w:tcW w:w="628" w:type="pct"/>
            <w:tcBorders>
              <w:top w:val="nil"/>
              <w:left w:val="nil"/>
              <w:bottom w:val="single" w:sz="4" w:space="0" w:color="auto"/>
              <w:right w:val="single" w:sz="4" w:space="0" w:color="auto"/>
            </w:tcBorders>
            <w:shd w:val="clear" w:color="000000" w:fill="FFFFFF"/>
            <w:noWrap/>
            <w:vAlign w:val="bottom"/>
            <w:hideMark/>
          </w:tcPr>
          <w:p w14:paraId="5983C18F" w14:textId="4267C650"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107</w:t>
            </w:r>
          </w:p>
        </w:tc>
        <w:tc>
          <w:tcPr>
            <w:tcW w:w="628" w:type="pct"/>
            <w:tcBorders>
              <w:top w:val="nil"/>
              <w:left w:val="nil"/>
              <w:bottom w:val="single" w:sz="4" w:space="0" w:color="auto"/>
              <w:right w:val="single" w:sz="4" w:space="0" w:color="auto"/>
            </w:tcBorders>
            <w:shd w:val="clear" w:color="000000" w:fill="FFFFFF"/>
            <w:noWrap/>
            <w:vAlign w:val="bottom"/>
            <w:hideMark/>
          </w:tcPr>
          <w:p w14:paraId="2EA55ECC" w14:textId="1F25B22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w:t>
            </w:r>
          </w:p>
        </w:tc>
        <w:tc>
          <w:tcPr>
            <w:tcW w:w="628" w:type="pct"/>
            <w:tcBorders>
              <w:top w:val="nil"/>
              <w:left w:val="nil"/>
              <w:bottom w:val="single" w:sz="4" w:space="0" w:color="auto"/>
              <w:right w:val="single" w:sz="4" w:space="0" w:color="auto"/>
            </w:tcBorders>
            <w:shd w:val="clear" w:color="000000" w:fill="FFFFFF"/>
            <w:noWrap/>
            <w:vAlign w:val="bottom"/>
            <w:hideMark/>
          </w:tcPr>
          <w:p w14:paraId="19327567" w14:textId="2E93D77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297</w:t>
            </w:r>
          </w:p>
        </w:tc>
      </w:tr>
      <w:tr w:rsidR="001F66FF" w:rsidRPr="00650EE4" w14:paraId="31B91BDE"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78CAF352"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623" w:type="pct"/>
            <w:tcBorders>
              <w:top w:val="nil"/>
              <w:left w:val="nil"/>
              <w:bottom w:val="single" w:sz="4" w:space="0" w:color="auto"/>
              <w:right w:val="single" w:sz="4" w:space="0" w:color="auto"/>
            </w:tcBorders>
            <w:shd w:val="clear" w:color="000000" w:fill="FFFFFF"/>
            <w:noWrap/>
            <w:vAlign w:val="bottom"/>
            <w:hideMark/>
          </w:tcPr>
          <w:p w14:paraId="1CE59018"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2DD5B393" w14:textId="421E2B3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A56D37C" w14:textId="6D65ADD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824</w:t>
            </w:r>
          </w:p>
        </w:tc>
        <w:tc>
          <w:tcPr>
            <w:tcW w:w="628" w:type="pct"/>
            <w:tcBorders>
              <w:top w:val="nil"/>
              <w:left w:val="nil"/>
              <w:bottom w:val="single" w:sz="4" w:space="0" w:color="auto"/>
              <w:right w:val="single" w:sz="4" w:space="0" w:color="auto"/>
            </w:tcBorders>
            <w:shd w:val="clear" w:color="000000" w:fill="FFFFFF"/>
            <w:noWrap/>
            <w:vAlign w:val="bottom"/>
            <w:hideMark/>
          </w:tcPr>
          <w:p w14:paraId="6FFC2804" w14:textId="75A962D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434</w:t>
            </w:r>
          </w:p>
        </w:tc>
        <w:tc>
          <w:tcPr>
            <w:tcW w:w="628" w:type="pct"/>
            <w:tcBorders>
              <w:top w:val="nil"/>
              <w:left w:val="nil"/>
              <w:bottom w:val="single" w:sz="4" w:space="0" w:color="auto"/>
              <w:right w:val="single" w:sz="4" w:space="0" w:color="auto"/>
            </w:tcBorders>
            <w:shd w:val="clear" w:color="000000" w:fill="FFFFFF"/>
            <w:noWrap/>
            <w:vAlign w:val="bottom"/>
            <w:hideMark/>
          </w:tcPr>
          <w:p w14:paraId="379817EA" w14:textId="7E41CF0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718</w:t>
            </w:r>
          </w:p>
        </w:tc>
        <w:tc>
          <w:tcPr>
            <w:tcW w:w="628" w:type="pct"/>
            <w:tcBorders>
              <w:top w:val="nil"/>
              <w:left w:val="nil"/>
              <w:bottom w:val="single" w:sz="4" w:space="0" w:color="auto"/>
              <w:right w:val="single" w:sz="4" w:space="0" w:color="auto"/>
            </w:tcBorders>
            <w:shd w:val="clear" w:color="000000" w:fill="FFFFFF"/>
            <w:noWrap/>
            <w:vAlign w:val="bottom"/>
            <w:hideMark/>
          </w:tcPr>
          <w:p w14:paraId="60DA4C97" w14:textId="5CB53753"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976</w:t>
            </w:r>
          </w:p>
        </w:tc>
      </w:tr>
      <w:tr w:rsidR="001F66FF" w:rsidRPr="00650EE4" w14:paraId="6189EA29"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256ED36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623" w:type="pct"/>
            <w:tcBorders>
              <w:top w:val="nil"/>
              <w:left w:val="nil"/>
              <w:bottom w:val="single" w:sz="4" w:space="0" w:color="auto"/>
              <w:right w:val="single" w:sz="4" w:space="0" w:color="auto"/>
            </w:tcBorders>
            <w:shd w:val="clear" w:color="000000" w:fill="FFFFFF"/>
            <w:noWrap/>
            <w:vAlign w:val="bottom"/>
            <w:hideMark/>
          </w:tcPr>
          <w:p w14:paraId="27B15317"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58CD5B11" w14:textId="0CDCAC2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592B807A" w14:textId="6772A1D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43</w:t>
            </w:r>
          </w:p>
        </w:tc>
        <w:tc>
          <w:tcPr>
            <w:tcW w:w="628" w:type="pct"/>
            <w:tcBorders>
              <w:top w:val="nil"/>
              <w:left w:val="nil"/>
              <w:bottom w:val="single" w:sz="4" w:space="0" w:color="auto"/>
              <w:right w:val="single" w:sz="4" w:space="0" w:color="auto"/>
            </w:tcBorders>
            <w:shd w:val="clear" w:color="000000" w:fill="FFFFFF"/>
            <w:noWrap/>
            <w:vAlign w:val="bottom"/>
            <w:hideMark/>
          </w:tcPr>
          <w:p w14:paraId="74ECB856" w14:textId="1A00DE2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74</w:t>
            </w:r>
          </w:p>
        </w:tc>
        <w:tc>
          <w:tcPr>
            <w:tcW w:w="628" w:type="pct"/>
            <w:tcBorders>
              <w:top w:val="nil"/>
              <w:left w:val="nil"/>
              <w:bottom w:val="single" w:sz="4" w:space="0" w:color="auto"/>
              <w:right w:val="single" w:sz="4" w:space="0" w:color="auto"/>
            </w:tcBorders>
            <w:shd w:val="clear" w:color="000000" w:fill="FFFFFF"/>
            <w:noWrap/>
            <w:vAlign w:val="bottom"/>
            <w:hideMark/>
          </w:tcPr>
          <w:p w14:paraId="3868AA49" w14:textId="7FC882AC"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89</w:t>
            </w:r>
          </w:p>
        </w:tc>
        <w:tc>
          <w:tcPr>
            <w:tcW w:w="628" w:type="pct"/>
            <w:tcBorders>
              <w:top w:val="nil"/>
              <w:left w:val="nil"/>
              <w:bottom w:val="single" w:sz="4" w:space="0" w:color="auto"/>
              <w:right w:val="single" w:sz="4" w:space="0" w:color="auto"/>
            </w:tcBorders>
            <w:shd w:val="clear" w:color="000000" w:fill="FFFFFF"/>
            <w:noWrap/>
            <w:vAlign w:val="bottom"/>
            <w:hideMark/>
          </w:tcPr>
          <w:p w14:paraId="225993DB" w14:textId="13D5740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206</w:t>
            </w:r>
          </w:p>
        </w:tc>
      </w:tr>
      <w:tr w:rsidR="001F66FF" w:rsidRPr="00650EE4" w14:paraId="5CE0A36B"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2E90A2E"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623" w:type="pct"/>
            <w:tcBorders>
              <w:top w:val="nil"/>
              <w:left w:val="nil"/>
              <w:bottom w:val="single" w:sz="4" w:space="0" w:color="auto"/>
              <w:right w:val="single" w:sz="4" w:space="0" w:color="auto"/>
            </w:tcBorders>
            <w:shd w:val="clear" w:color="000000" w:fill="FFFFFF"/>
            <w:noWrap/>
            <w:vAlign w:val="bottom"/>
            <w:hideMark/>
          </w:tcPr>
          <w:p w14:paraId="41382DAD"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233D0AB6" w14:textId="1E218548"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77D0AFD2" w14:textId="1372DAD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w:t>
            </w:r>
          </w:p>
        </w:tc>
        <w:tc>
          <w:tcPr>
            <w:tcW w:w="628" w:type="pct"/>
            <w:tcBorders>
              <w:top w:val="nil"/>
              <w:left w:val="nil"/>
              <w:bottom w:val="single" w:sz="4" w:space="0" w:color="auto"/>
              <w:right w:val="single" w:sz="4" w:space="0" w:color="auto"/>
            </w:tcBorders>
            <w:shd w:val="clear" w:color="000000" w:fill="FFFFFF"/>
            <w:noWrap/>
            <w:vAlign w:val="bottom"/>
            <w:hideMark/>
          </w:tcPr>
          <w:p w14:paraId="1BF604FA" w14:textId="077F739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628" w:type="pct"/>
            <w:tcBorders>
              <w:top w:val="nil"/>
              <w:left w:val="nil"/>
              <w:bottom w:val="single" w:sz="4" w:space="0" w:color="auto"/>
              <w:right w:val="single" w:sz="4" w:space="0" w:color="auto"/>
            </w:tcBorders>
            <w:shd w:val="clear" w:color="000000" w:fill="FFFFFF"/>
            <w:noWrap/>
            <w:vAlign w:val="bottom"/>
            <w:hideMark/>
          </w:tcPr>
          <w:p w14:paraId="48299DB2" w14:textId="7B87F2C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76</w:t>
            </w:r>
          </w:p>
        </w:tc>
        <w:tc>
          <w:tcPr>
            <w:tcW w:w="628" w:type="pct"/>
            <w:tcBorders>
              <w:top w:val="nil"/>
              <w:left w:val="nil"/>
              <w:bottom w:val="single" w:sz="4" w:space="0" w:color="auto"/>
              <w:right w:val="single" w:sz="4" w:space="0" w:color="auto"/>
            </w:tcBorders>
            <w:shd w:val="clear" w:color="000000" w:fill="FFFFFF"/>
            <w:noWrap/>
            <w:vAlign w:val="bottom"/>
            <w:hideMark/>
          </w:tcPr>
          <w:p w14:paraId="7F939C50" w14:textId="1F3DCB15"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175</w:t>
            </w:r>
          </w:p>
        </w:tc>
      </w:tr>
      <w:tr w:rsidR="001F66FF" w:rsidRPr="00650EE4" w14:paraId="5B457D08" w14:textId="77777777" w:rsidTr="001F66FF">
        <w:trPr>
          <w:trHeight w:val="99"/>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30EA318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623" w:type="pct"/>
            <w:tcBorders>
              <w:top w:val="nil"/>
              <w:left w:val="nil"/>
              <w:bottom w:val="single" w:sz="4" w:space="0" w:color="auto"/>
              <w:right w:val="single" w:sz="4" w:space="0" w:color="auto"/>
            </w:tcBorders>
            <w:shd w:val="clear" w:color="000000" w:fill="FFFFFF"/>
            <w:noWrap/>
            <w:vAlign w:val="bottom"/>
            <w:hideMark/>
          </w:tcPr>
          <w:p w14:paraId="237B43AA"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894" w:type="pct"/>
            <w:tcBorders>
              <w:top w:val="nil"/>
              <w:left w:val="nil"/>
              <w:bottom w:val="single" w:sz="4" w:space="0" w:color="auto"/>
              <w:right w:val="single" w:sz="4" w:space="0" w:color="auto"/>
            </w:tcBorders>
            <w:shd w:val="clear" w:color="000000" w:fill="FFFFFF"/>
            <w:noWrap/>
            <w:vAlign w:val="bottom"/>
            <w:hideMark/>
          </w:tcPr>
          <w:p w14:paraId="4ADFA401" w14:textId="6A6B3BEE"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00A38CA4" w14:textId="6E21B65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101</w:t>
            </w:r>
          </w:p>
        </w:tc>
        <w:tc>
          <w:tcPr>
            <w:tcW w:w="628" w:type="pct"/>
            <w:tcBorders>
              <w:top w:val="nil"/>
              <w:left w:val="nil"/>
              <w:bottom w:val="single" w:sz="4" w:space="0" w:color="auto"/>
              <w:right w:val="single" w:sz="4" w:space="0" w:color="auto"/>
            </w:tcBorders>
            <w:shd w:val="clear" w:color="000000" w:fill="FFFFFF"/>
            <w:noWrap/>
            <w:vAlign w:val="bottom"/>
            <w:hideMark/>
          </w:tcPr>
          <w:p w14:paraId="1D570DA0" w14:textId="0C8CE75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176</w:t>
            </w:r>
          </w:p>
        </w:tc>
        <w:tc>
          <w:tcPr>
            <w:tcW w:w="628" w:type="pct"/>
            <w:tcBorders>
              <w:top w:val="nil"/>
              <w:left w:val="nil"/>
              <w:bottom w:val="single" w:sz="4" w:space="0" w:color="auto"/>
              <w:right w:val="single" w:sz="4" w:space="0" w:color="auto"/>
            </w:tcBorders>
            <w:shd w:val="clear" w:color="000000" w:fill="FFFFFF"/>
            <w:noWrap/>
            <w:vAlign w:val="bottom"/>
            <w:hideMark/>
          </w:tcPr>
          <w:p w14:paraId="2FB286BF" w14:textId="2D20936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211</w:t>
            </w:r>
          </w:p>
        </w:tc>
        <w:tc>
          <w:tcPr>
            <w:tcW w:w="628" w:type="pct"/>
            <w:tcBorders>
              <w:top w:val="nil"/>
              <w:left w:val="nil"/>
              <w:bottom w:val="single" w:sz="4" w:space="0" w:color="auto"/>
              <w:right w:val="single" w:sz="4" w:space="0" w:color="auto"/>
            </w:tcBorders>
            <w:shd w:val="clear" w:color="000000" w:fill="FFFFFF"/>
            <w:noWrap/>
            <w:vAlign w:val="bottom"/>
            <w:hideMark/>
          </w:tcPr>
          <w:p w14:paraId="6EE827A3" w14:textId="4E48116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489</w:t>
            </w:r>
          </w:p>
        </w:tc>
      </w:tr>
      <w:tr w:rsidR="001F66FF" w:rsidRPr="00650EE4" w14:paraId="1C82A726" w14:textId="77777777" w:rsidTr="001F66FF">
        <w:trPr>
          <w:trHeight w:val="61"/>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3DA71DA" w14:textId="77777777" w:rsidR="0024319A" w:rsidRPr="00650EE4" w:rsidRDefault="0024319A" w:rsidP="0024319A">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623" w:type="pct"/>
            <w:tcBorders>
              <w:top w:val="nil"/>
              <w:left w:val="nil"/>
              <w:bottom w:val="single" w:sz="4" w:space="0" w:color="auto"/>
              <w:right w:val="single" w:sz="4" w:space="0" w:color="auto"/>
            </w:tcBorders>
            <w:shd w:val="clear" w:color="000000" w:fill="FFFFFF"/>
            <w:noWrap/>
            <w:vAlign w:val="bottom"/>
            <w:hideMark/>
          </w:tcPr>
          <w:p w14:paraId="3E4E78C9" w14:textId="77777777"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894" w:type="pct"/>
            <w:tcBorders>
              <w:top w:val="nil"/>
              <w:left w:val="nil"/>
              <w:bottom w:val="single" w:sz="4" w:space="0" w:color="auto"/>
              <w:right w:val="single" w:sz="4" w:space="0" w:color="auto"/>
            </w:tcBorders>
            <w:shd w:val="clear" w:color="000000" w:fill="FFFFFF"/>
            <w:noWrap/>
            <w:vAlign w:val="bottom"/>
            <w:hideMark/>
          </w:tcPr>
          <w:p w14:paraId="637C8086" w14:textId="16F8BA7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3A5B75CA" w14:textId="4B78D19F"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w:t>
            </w:r>
          </w:p>
        </w:tc>
        <w:tc>
          <w:tcPr>
            <w:tcW w:w="628" w:type="pct"/>
            <w:tcBorders>
              <w:top w:val="nil"/>
              <w:left w:val="nil"/>
              <w:bottom w:val="single" w:sz="4" w:space="0" w:color="auto"/>
              <w:right w:val="single" w:sz="4" w:space="0" w:color="auto"/>
            </w:tcBorders>
            <w:shd w:val="clear" w:color="000000" w:fill="FFFFFF"/>
            <w:noWrap/>
            <w:vAlign w:val="bottom"/>
            <w:hideMark/>
          </w:tcPr>
          <w:p w14:paraId="61C28971" w14:textId="4ACF88D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86</w:t>
            </w:r>
          </w:p>
        </w:tc>
        <w:tc>
          <w:tcPr>
            <w:tcW w:w="628" w:type="pct"/>
            <w:tcBorders>
              <w:top w:val="nil"/>
              <w:left w:val="nil"/>
              <w:bottom w:val="single" w:sz="4" w:space="0" w:color="auto"/>
              <w:right w:val="single" w:sz="4" w:space="0" w:color="auto"/>
            </w:tcBorders>
            <w:shd w:val="clear" w:color="000000" w:fill="FFFFFF"/>
            <w:noWrap/>
            <w:vAlign w:val="bottom"/>
            <w:hideMark/>
          </w:tcPr>
          <w:p w14:paraId="7F1FA3B1" w14:textId="7689C582"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104</w:t>
            </w:r>
          </w:p>
        </w:tc>
        <w:tc>
          <w:tcPr>
            <w:tcW w:w="628" w:type="pct"/>
            <w:tcBorders>
              <w:top w:val="nil"/>
              <w:left w:val="nil"/>
              <w:bottom w:val="single" w:sz="4" w:space="0" w:color="auto"/>
              <w:right w:val="single" w:sz="4" w:space="0" w:color="auto"/>
            </w:tcBorders>
            <w:shd w:val="clear" w:color="000000" w:fill="FFFFFF"/>
            <w:noWrap/>
            <w:vAlign w:val="bottom"/>
            <w:hideMark/>
          </w:tcPr>
          <w:p w14:paraId="7BD7AFDD" w14:textId="0A41BB4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240</w:t>
            </w:r>
          </w:p>
        </w:tc>
      </w:tr>
      <w:tr w:rsidR="001F66FF" w:rsidRPr="00650EE4" w14:paraId="226EA8DD" w14:textId="77777777" w:rsidTr="001F66FF">
        <w:trPr>
          <w:trHeight w:val="60"/>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5B532C01" w14:textId="77777777" w:rsidR="0024319A" w:rsidRPr="00650EE4" w:rsidRDefault="0024319A" w:rsidP="0024319A">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623" w:type="pct"/>
            <w:tcBorders>
              <w:top w:val="nil"/>
              <w:left w:val="nil"/>
              <w:bottom w:val="single" w:sz="4" w:space="0" w:color="auto"/>
              <w:right w:val="single" w:sz="4" w:space="0" w:color="auto"/>
            </w:tcBorders>
            <w:shd w:val="clear" w:color="000000" w:fill="FFFFFF"/>
            <w:noWrap/>
            <w:vAlign w:val="bottom"/>
            <w:hideMark/>
          </w:tcPr>
          <w:p w14:paraId="20CBFBFB" w14:textId="77777777" w:rsidR="0024319A" w:rsidRPr="00650EE4" w:rsidRDefault="0024319A" w:rsidP="0024319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894" w:type="pct"/>
            <w:tcBorders>
              <w:top w:val="nil"/>
              <w:left w:val="nil"/>
              <w:bottom w:val="single" w:sz="4" w:space="0" w:color="auto"/>
              <w:right w:val="single" w:sz="4" w:space="0" w:color="auto"/>
            </w:tcBorders>
            <w:shd w:val="clear" w:color="000000" w:fill="FFFFFF"/>
            <w:noWrap/>
            <w:vAlign w:val="bottom"/>
            <w:hideMark/>
          </w:tcPr>
          <w:p w14:paraId="4C8E88F3" w14:textId="24603811"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vnt.</w:t>
            </w:r>
          </w:p>
        </w:tc>
        <w:tc>
          <w:tcPr>
            <w:tcW w:w="628" w:type="pct"/>
            <w:tcBorders>
              <w:top w:val="nil"/>
              <w:left w:val="nil"/>
              <w:bottom w:val="single" w:sz="4" w:space="0" w:color="auto"/>
              <w:right w:val="single" w:sz="4" w:space="0" w:color="auto"/>
            </w:tcBorders>
            <w:shd w:val="clear" w:color="000000" w:fill="FFFFFF"/>
            <w:noWrap/>
            <w:vAlign w:val="bottom"/>
            <w:hideMark/>
          </w:tcPr>
          <w:p w14:paraId="1328B808" w14:textId="37D894E4"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589</w:t>
            </w:r>
          </w:p>
        </w:tc>
        <w:tc>
          <w:tcPr>
            <w:tcW w:w="628" w:type="pct"/>
            <w:tcBorders>
              <w:top w:val="nil"/>
              <w:left w:val="nil"/>
              <w:bottom w:val="single" w:sz="4" w:space="0" w:color="auto"/>
              <w:right w:val="single" w:sz="4" w:space="0" w:color="auto"/>
            </w:tcBorders>
            <w:shd w:val="clear" w:color="000000" w:fill="FFFFFF"/>
            <w:noWrap/>
            <w:vAlign w:val="bottom"/>
            <w:hideMark/>
          </w:tcPr>
          <w:p w14:paraId="1C28D803" w14:textId="6B124B1D"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467</w:t>
            </w:r>
          </w:p>
        </w:tc>
        <w:tc>
          <w:tcPr>
            <w:tcW w:w="628" w:type="pct"/>
            <w:tcBorders>
              <w:top w:val="nil"/>
              <w:left w:val="nil"/>
              <w:bottom w:val="single" w:sz="4" w:space="0" w:color="auto"/>
              <w:right w:val="single" w:sz="4" w:space="0" w:color="auto"/>
            </w:tcBorders>
            <w:shd w:val="clear" w:color="000000" w:fill="FFFFFF"/>
            <w:noWrap/>
            <w:vAlign w:val="bottom"/>
            <w:hideMark/>
          </w:tcPr>
          <w:p w14:paraId="65F39B0B" w14:textId="1D08863B" w:rsidR="0024319A" w:rsidRPr="00650EE4" w:rsidRDefault="0024319A" w:rsidP="0024319A">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w:t>
            </w:r>
            <w:r w:rsidR="003666B0"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730</w:t>
            </w:r>
          </w:p>
        </w:tc>
        <w:tc>
          <w:tcPr>
            <w:tcW w:w="628" w:type="pct"/>
            <w:tcBorders>
              <w:top w:val="nil"/>
              <w:left w:val="nil"/>
              <w:bottom w:val="single" w:sz="4" w:space="0" w:color="auto"/>
              <w:right w:val="single" w:sz="4" w:space="0" w:color="auto"/>
            </w:tcBorders>
            <w:shd w:val="clear" w:color="000000" w:fill="FFFFFF"/>
            <w:noWrap/>
            <w:vAlign w:val="bottom"/>
            <w:hideMark/>
          </w:tcPr>
          <w:p w14:paraId="4D8FD86D" w14:textId="1F5BBA58" w:rsidR="0024319A" w:rsidRPr="00650EE4" w:rsidRDefault="0024319A" w:rsidP="0024319A">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31</w:t>
            </w:r>
            <w:r w:rsidR="003666B0"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787</w:t>
            </w:r>
          </w:p>
        </w:tc>
      </w:tr>
    </w:tbl>
    <w:p w14:paraId="023C9391" w14:textId="21A01364" w:rsidR="00AD76A7" w:rsidRPr="00650EE4" w:rsidRDefault="00AD76A7" w:rsidP="006E13C0">
      <w:pPr>
        <w:rPr>
          <w:rFonts w:ascii="Times New Roman" w:hAnsi="Times New Roman"/>
          <w:szCs w:val="22"/>
        </w:rPr>
      </w:pPr>
    </w:p>
    <w:p w14:paraId="1514B53A" w14:textId="56793A00" w:rsidR="0024319A" w:rsidRPr="00650EE4" w:rsidRDefault="0024319A" w:rsidP="006E13C0">
      <w:pPr>
        <w:rPr>
          <w:rFonts w:ascii="Times New Roman" w:hAnsi="Times New Roman"/>
          <w:szCs w:val="22"/>
        </w:rPr>
      </w:pPr>
    </w:p>
    <w:p w14:paraId="03B2FA3B" w14:textId="04364FF3" w:rsidR="0024319A" w:rsidRPr="00650EE4" w:rsidRDefault="0024319A" w:rsidP="006E13C0">
      <w:pPr>
        <w:rPr>
          <w:rFonts w:ascii="Times New Roman" w:hAnsi="Times New Roman"/>
          <w:szCs w:val="22"/>
        </w:rPr>
      </w:pPr>
    </w:p>
    <w:p w14:paraId="32A5DEB1" w14:textId="205CF5BC" w:rsidR="0024319A" w:rsidRPr="00650EE4" w:rsidRDefault="0024319A" w:rsidP="006E13C0">
      <w:pPr>
        <w:rPr>
          <w:rFonts w:ascii="Times New Roman" w:hAnsi="Times New Roman"/>
          <w:szCs w:val="22"/>
        </w:rPr>
      </w:pPr>
    </w:p>
    <w:p w14:paraId="139C2B0F" w14:textId="70157818" w:rsidR="000C7BDB" w:rsidRPr="00650EE4" w:rsidRDefault="000C7BDB" w:rsidP="000C7BDB">
      <w:pPr>
        <w:pStyle w:val="TESlentelspavadinimas"/>
        <w:rPr>
          <w:noProof w:val="0"/>
        </w:rPr>
      </w:pPr>
      <w:r w:rsidRPr="00650EE4">
        <w:rPr>
          <w:noProof w:val="0"/>
        </w:rPr>
        <w:lastRenderedPageBreak/>
        <w:t xml:space="preserve">Kitų negyvenamųjų pastatų renovuojamų pastatų </w:t>
      </w:r>
      <w:r w:rsidR="00C73583" w:rsidRPr="00650EE4">
        <w:rPr>
          <w:noProof w:val="0"/>
        </w:rPr>
        <w:t>plotas</w:t>
      </w:r>
      <w:r w:rsidRPr="00650EE4">
        <w:rPr>
          <w:noProof w:val="0"/>
        </w:rPr>
        <w:t xml:space="preserve"> iš viso per laikotarpį</w:t>
      </w:r>
    </w:p>
    <w:tbl>
      <w:tblPr>
        <w:tblW w:w="5000" w:type="pct"/>
        <w:tblLook w:val="04A0" w:firstRow="1" w:lastRow="0" w:firstColumn="1" w:lastColumn="0" w:noHBand="0" w:noVBand="1"/>
      </w:tblPr>
      <w:tblGrid>
        <w:gridCol w:w="2096"/>
        <w:gridCol w:w="1466"/>
        <w:gridCol w:w="1338"/>
        <w:gridCol w:w="1380"/>
        <w:gridCol w:w="1380"/>
        <w:gridCol w:w="1380"/>
        <w:gridCol w:w="1380"/>
      </w:tblGrid>
      <w:tr w:rsidR="000C7BDB" w:rsidRPr="00650EE4" w14:paraId="38C963DB" w14:textId="77777777" w:rsidTr="00BD2F3C">
        <w:trPr>
          <w:trHeight w:val="60"/>
        </w:trPr>
        <w:tc>
          <w:tcPr>
            <w:tcW w:w="0" w:type="auto"/>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92C9811" w14:textId="77777777" w:rsidR="000C7BDB" w:rsidRPr="00650EE4" w:rsidRDefault="000C7BDB" w:rsidP="00BD2F3C">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Pastato paskirtis</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6ED2B82A"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Nuosavybė</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4F003FE"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Mato vnt.</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26D5EDEF"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2021-2023</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815A850"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2024-2030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71E6F1A2"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2031-2040</w:t>
            </w:r>
          </w:p>
        </w:tc>
        <w:tc>
          <w:tcPr>
            <w:tcW w:w="0" w:type="auto"/>
            <w:tcBorders>
              <w:top w:val="single" w:sz="4" w:space="0" w:color="auto"/>
              <w:left w:val="nil"/>
              <w:bottom w:val="single" w:sz="4" w:space="0" w:color="auto"/>
              <w:right w:val="single" w:sz="4" w:space="0" w:color="auto"/>
            </w:tcBorders>
            <w:shd w:val="clear" w:color="000000" w:fill="FFFFFF"/>
            <w:noWrap/>
            <w:vAlign w:val="bottom"/>
            <w:hideMark/>
          </w:tcPr>
          <w:p w14:paraId="43D0B555" w14:textId="77777777" w:rsidR="000C7BDB" w:rsidRPr="00650EE4" w:rsidRDefault="000C7BDB" w:rsidP="00BD2F3C">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2041-2050</w:t>
            </w:r>
          </w:p>
        </w:tc>
      </w:tr>
      <w:tr w:rsidR="00C24376" w:rsidRPr="00650EE4" w14:paraId="38727A43"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108AA91"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648446A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196730B" w14:textId="152D9F5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3C83DB2" w14:textId="48D17AC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314</w:t>
            </w:r>
          </w:p>
        </w:tc>
        <w:tc>
          <w:tcPr>
            <w:tcW w:w="0" w:type="auto"/>
            <w:tcBorders>
              <w:top w:val="nil"/>
              <w:left w:val="nil"/>
              <w:bottom w:val="single" w:sz="4" w:space="0" w:color="auto"/>
              <w:right w:val="single" w:sz="4" w:space="0" w:color="auto"/>
            </w:tcBorders>
            <w:shd w:val="clear" w:color="000000" w:fill="FFFFFF"/>
            <w:noWrap/>
            <w:vAlign w:val="bottom"/>
            <w:hideMark/>
          </w:tcPr>
          <w:p w14:paraId="73F3A130" w14:textId="4A2F4DB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547</w:t>
            </w:r>
          </w:p>
        </w:tc>
        <w:tc>
          <w:tcPr>
            <w:tcW w:w="0" w:type="auto"/>
            <w:tcBorders>
              <w:top w:val="nil"/>
              <w:left w:val="nil"/>
              <w:bottom w:val="single" w:sz="4" w:space="0" w:color="auto"/>
              <w:right w:val="single" w:sz="4" w:space="0" w:color="auto"/>
            </w:tcBorders>
            <w:shd w:val="clear" w:color="000000" w:fill="FFFFFF"/>
            <w:noWrap/>
            <w:vAlign w:val="bottom"/>
            <w:hideMark/>
          </w:tcPr>
          <w:p w14:paraId="647BB23C" w14:textId="23098FE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654</w:t>
            </w:r>
          </w:p>
        </w:tc>
        <w:tc>
          <w:tcPr>
            <w:tcW w:w="0" w:type="auto"/>
            <w:tcBorders>
              <w:top w:val="nil"/>
              <w:left w:val="nil"/>
              <w:bottom w:val="single" w:sz="4" w:space="0" w:color="auto"/>
              <w:right w:val="single" w:sz="4" w:space="0" w:color="auto"/>
            </w:tcBorders>
            <w:shd w:val="clear" w:color="000000" w:fill="FFFFFF"/>
            <w:noWrap/>
            <w:vAlign w:val="bottom"/>
            <w:hideMark/>
          </w:tcPr>
          <w:p w14:paraId="7871951D" w14:textId="4BF326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515</w:t>
            </w:r>
          </w:p>
        </w:tc>
      </w:tr>
      <w:tr w:rsidR="00C24376" w:rsidRPr="00650EE4" w14:paraId="7B252E88" w14:textId="77777777" w:rsidTr="00BD2F3C">
        <w:trPr>
          <w:trHeight w:val="1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C93894"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Administraciniai</w:t>
            </w:r>
          </w:p>
        </w:tc>
        <w:tc>
          <w:tcPr>
            <w:tcW w:w="0" w:type="auto"/>
            <w:tcBorders>
              <w:top w:val="nil"/>
              <w:left w:val="nil"/>
              <w:bottom w:val="single" w:sz="4" w:space="0" w:color="auto"/>
              <w:right w:val="single" w:sz="4" w:space="0" w:color="auto"/>
            </w:tcBorders>
            <w:shd w:val="clear" w:color="000000" w:fill="FFFFFF"/>
            <w:noWrap/>
            <w:vAlign w:val="bottom"/>
            <w:hideMark/>
          </w:tcPr>
          <w:p w14:paraId="348C503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05EF497F" w14:textId="07232D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7E340FD" w14:textId="57A765A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211</w:t>
            </w:r>
          </w:p>
        </w:tc>
        <w:tc>
          <w:tcPr>
            <w:tcW w:w="0" w:type="auto"/>
            <w:tcBorders>
              <w:top w:val="nil"/>
              <w:left w:val="nil"/>
              <w:bottom w:val="single" w:sz="4" w:space="0" w:color="auto"/>
              <w:right w:val="single" w:sz="4" w:space="0" w:color="auto"/>
            </w:tcBorders>
            <w:shd w:val="clear" w:color="000000" w:fill="FFFFFF"/>
            <w:noWrap/>
            <w:vAlign w:val="bottom"/>
            <w:hideMark/>
          </w:tcPr>
          <w:p w14:paraId="7440F80F" w14:textId="43B61A1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7B794298" w14:textId="4A19329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524</w:t>
            </w:r>
          </w:p>
        </w:tc>
        <w:tc>
          <w:tcPr>
            <w:tcW w:w="0" w:type="auto"/>
            <w:tcBorders>
              <w:top w:val="nil"/>
              <w:left w:val="nil"/>
              <w:bottom w:val="single" w:sz="4" w:space="0" w:color="auto"/>
              <w:right w:val="single" w:sz="4" w:space="0" w:color="auto"/>
            </w:tcBorders>
            <w:shd w:val="clear" w:color="000000" w:fill="FFFFFF"/>
            <w:noWrap/>
            <w:vAlign w:val="bottom"/>
            <w:hideMark/>
          </w:tcPr>
          <w:p w14:paraId="75FCB7D4" w14:textId="3C13419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843</w:t>
            </w:r>
          </w:p>
        </w:tc>
      </w:tr>
      <w:tr w:rsidR="00C24376" w:rsidRPr="00650EE4" w14:paraId="3A9FFC6F" w14:textId="77777777" w:rsidTr="00BD2F3C">
        <w:trPr>
          <w:trHeight w:val="103"/>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C77149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5F5E9297"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A2A969A" w14:textId="19C36FF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EE0736D" w14:textId="1F88762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w:t>
            </w:r>
          </w:p>
        </w:tc>
        <w:tc>
          <w:tcPr>
            <w:tcW w:w="0" w:type="auto"/>
            <w:tcBorders>
              <w:top w:val="nil"/>
              <w:left w:val="nil"/>
              <w:bottom w:val="single" w:sz="4" w:space="0" w:color="auto"/>
              <w:right w:val="single" w:sz="4" w:space="0" w:color="auto"/>
            </w:tcBorders>
            <w:shd w:val="clear" w:color="000000" w:fill="FFFFFF"/>
            <w:noWrap/>
            <w:vAlign w:val="bottom"/>
            <w:hideMark/>
          </w:tcPr>
          <w:p w14:paraId="63B90280" w14:textId="63D9EE8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53</w:t>
            </w:r>
          </w:p>
        </w:tc>
        <w:tc>
          <w:tcPr>
            <w:tcW w:w="0" w:type="auto"/>
            <w:tcBorders>
              <w:top w:val="nil"/>
              <w:left w:val="nil"/>
              <w:bottom w:val="single" w:sz="4" w:space="0" w:color="auto"/>
              <w:right w:val="single" w:sz="4" w:space="0" w:color="auto"/>
            </w:tcBorders>
            <w:shd w:val="clear" w:color="000000" w:fill="FFFFFF"/>
            <w:noWrap/>
            <w:vAlign w:val="bottom"/>
            <w:hideMark/>
          </w:tcPr>
          <w:p w14:paraId="4BA1C38A" w14:textId="6AE6757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17D75336" w14:textId="4B8B713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146</w:t>
            </w:r>
          </w:p>
        </w:tc>
      </w:tr>
      <w:tr w:rsidR="00C24376" w:rsidRPr="00650EE4" w14:paraId="5F20A849"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6A4028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Maitinimo</w:t>
            </w:r>
          </w:p>
        </w:tc>
        <w:tc>
          <w:tcPr>
            <w:tcW w:w="0" w:type="auto"/>
            <w:tcBorders>
              <w:top w:val="nil"/>
              <w:left w:val="nil"/>
              <w:bottom w:val="single" w:sz="4" w:space="0" w:color="auto"/>
              <w:right w:val="single" w:sz="4" w:space="0" w:color="auto"/>
            </w:tcBorders>
            <w:shd w:val="clear" w:color="000000" w:fill="FFFFFF"/>
            <w:noWrap/>
            <w:vAlign w:val="bottom"/>
            <w:hideMark/>
          </w:tcPr>
          <w:p w14:paraId="7D026EA0"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15AF20D" w14:textId="54CCD93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904B55C" w14:textId="636C500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98</w:t>
            </w:r>
          </w:p>
        </w:tc>
        <w:tc>
          <w:tcPr>
            <w:tcW w:w="0" w:type="auto"/>
            <w:tcBorders>
              <w:top w:val="nil"/>
              <w:left w:val="nil"/>
              <w:bottom w:val="single" w:sz="4" w:space="0" w:color="auto"/>
              <w:right w:val="single" w:sz="4" w:space="0" w:color="auto"/>
            </w:tcBorders>
            <w:shd w:val="clear" w:color="000000" w:fill="FFFFFF"/>
            <w:noWrap/>
            <w:vAlign w:val="bottom"/>
            <w:hideMark/>
          </w:tcPr>
          <w:p w14:paraId="44AE860E" w14:textId="48722F7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171</w:t>
            </w:r>
          </w:p>
        </w:tc>
        <w:tc>
          <w:tcPr>
            <w:tcW w:w="0" w:type="auto"/>
            <w:tcBorders>
              <w:top w:val="nil"/>
              <w:left w:val="nil"/>
              <w:bottom w:val="single" w:sz="4" w:space="0" w:color="auto"/>
              <w:right w:val="single" w:sz="4" w:space="0" w:color="auto"/>
            </w:tcBorders>
            <w:shd w:val="clear" w:color="000000" w:fill="FFFFFF"/>
            <w:noWrap/>
            <w:vAlign w:val="bottom"/>
            <w:hideMark/>
          </w:tcPr>
          <w:p w14:paraId="765995D5" w14:textId="27DE115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205</w:t>
            </w:r>
          </w:p>
        </w:tc>
        <w:tc>
          <w:tcPr>
            <w:tcW w:w="0" w:type="auto"/>
            <w:tcBorders>
              <w:top w:val="nil"/>
              <w:left w:val="nil"/>
              <w:bottom w:val="single" w:sz="4" w:space="0" w:color="auto"/>
              <w:right w:val="single" w:sz="4" w:space="0" w:color="auto"/>
            </w:tcBorders>
            <w:shd w:val="clear" w:color="000000" w:fill="FFFFFF"/>
            <w:noWrap/>
            <w:vAlign w:val="bottom"/>
            <w:hideMark/>
          </w:tcPr>
          <w:p w14:paraId="65D608E8" w14:textId="578804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475</w:t>
            </w:r>
          </w:p>
        </w:tc>
      </w:tr>
      <w:tr w:rsidR="00C24376" w:rsidRPr="00650EE4" w14:paraId="7364806A"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2E4E9F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22F05C5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7A13EEAB" w14:textId="293120E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9B7FE45" w14:textId="5685628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w:t>
            </w:r>
          </w:p>
        </w:tc>
        <w:tc>
          <w:tcPr>
            <w:tcW w:w="0" w:type="auto"/>
            <w:tcBorders>
              <w:top w:val="nil"/>
              <w:left w:val="nil"/>
              <w:bottom w:val="single" w:sz="4" w:space="0" w:color="auto"/>
              <w:right w:val="single" w:sz="4" w:space="0" w:color="auto"/>
            </w:tcBorders>
            <w:shd w:val="clear" w:color="000000" w:fill="FFFFFF"/>
            <w:noWrap/>
            <w:vAlign w:val="bottom"/>
            <w:hideMark/>
          </w:tcPr>
          <w:p w14:paraId="52A2897D" w14:textId="4E9ECA5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31</w:t>
            </w:r>
          </w:p>
        </w:tc>
        <w:tc>
          <w:tcPr>
            <w:tcW w:w="0" w:type="auto"/>
            <w:tcBorders>
              <w:top w:val="nil"/>
              <w:left w:val="nil"/>
              <w:bottom w:val="single" w:sz="4" w:space="0" w:color="auto"/>
              <w:right w:val="single" w:sz="4" w:space="0" w:color="auto"/>
            </w:tcBorders>
            <w:shd w:val="clear" w:color="000000" w:fill="FFFFFF"/>
            <w:noWrap/>
            <w:vAlign w:val="bottom"/>
            <w:hideMark/>
          </w:tcPr>
          <w:p w14:paraId="408153E1" w14:textId="1C10ED7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w:t>
            </w:r>
          </w:p>
        </w:tc>
        <w:tc>
          <w:tcPr>
            <w:tcW w:w="0" w:type="auto"/>
            <w:tcBorders>
              <w:top w:val="nil"/>
              <w:left w:val="nil"/>
              <w:bottom w:val="single" w:sz="4" w:space="0" w:color="auto"/>
              <w:right w:val="single" w:sz="4" w:space="0" w:color="auto"/>
            </w:tcBorders>
            <w:shd w:val="clear" w:color="000000" w:fill="FFFFFF"/>
            <w:noWrap/>
            <w:vAlign w:val="bottom"/>
            <w:hideMark/>
          </w:tcPr>
          <w:p w14:paraId="3C7BC5EA" w14:textId="39AC33C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87</w:t>
            </w:r>
          </w:p>
        </w:tc>
      </w:tr>
      <w:tr w:rsidR="00C24376" w:rsidRPr="00650EE4" w14:paraId="2FCA84A0" w14:textId="77777777" w:rsidTr="00BD2F3C">
        <w:trPr>
          <w:trHeight w:val="86"/>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9F5D9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Paslaugų</w:t>
            </w:r>
          </w:p>
        </w:tc>
        <w:tc>
          <w:tcPr>
            <w:tcW w:w="0" w:type="auto"/>
            <w:tcBorders>
              <w:top w:val="nil"/>
              <w:left w:val="nil"/>
              <w:bottom w:val="single" w:sz="4" w:space="0" w:color="auto"/>
              <w:right w:val="single" w:sz="4" w:space="0" w:color="auto"/>
            </w:tcBorders>
            <w:shd w:val="clear" w:color="000000" w:fill="FFFFFF"/>
            <w:noWrap/>
            <w:vAlign w:val="bottom"/>
            <w:hideMark/>
          </w:tcPr>
          <w:p w14:paraId="09D73AA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0F22B28" w14:textId="22492BE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56E5522" w14:textId="7C8E771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177</w:t>
            </w:r>
          </w:p>
        </w:tc>
        <w:tc>
          <w:tcPr>
            <w:tcW w:w="0" w:type="auto"/>
            <w:tcBorders>
              <w:top w:val="nil"/>
              <w:left w:val="nil"/>
              <w:bottom w:val="single" w:sz="4" w:space="0" w:color="auto"/>
              <w:right w:val="single" w:sz="4" w:space="0" w:color="auto"/>
            </w:tcBorders>
            <w:shd w:val="clear" w:color="000000" w:fill="FFFFFF"/>
            <w:noWrap/>
            <w:vAlign w:val="bottom"/>
            <w:hideMark/>
          </w:tcPr>
          <w:p w14:paraId="74C4A448" w14:textId="0891D1A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309</w:t>
            </w:r>
          </w:p>
        </w:tc>
        <w:tc>
          <w:tcPr>
            <w:tcW w:w="0" w:type="auto"/>
            <w:tcBorders>
              <w:top w:val="nil"/>
              <w:left w:val="nil"/>
              <w:bottom w:val="single" w:sz="4" w:space="0" w:color="auto"/>
              <w:right w:val="single" w:sz="4" w:space="0" w:color="auto"/>
            </w:tcBorders>
            <w:shd w:val="clear" w:color="000000" w:fill="FFFFFF"/>
            <w:noWrap/>
            <w:vAlign w:val="bottom"/>
            <w:hideMark/>
          </w:tcPr>
          <w:p w14:paraId="36DF616E" w14:textId="79ECA21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370</w:t>
            </w:r>
          </w:p>
        </w:tc>
        <w:tc>
          <w:tcPr>
            <w:tcW w:w="0" w:type="auto"/>
            <w:tcBorders>
              <w:top w:val="nil"/>
              <w:left w:val="nil"/>
              <w:bottom w:val="single" w:sz="4" w:space="0" w:color="auto"/>
              <w:right w:val="single" w:sz="4" w:space="0" w:color="auto"/>
            </w:tcBorders>
            <w:shd w:val="clear" w:color="000000" w:fill="FFFFFF"/>
            <w:noWrap/>
            <w:vAlign w:val="bottom"/>
            <w:hideMark/>
          </w:tcPr>
          <w:p w14:paraId="32A99BCB" w14:textId="28ACF25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856</w:t>
            </w:r>
          </w:p>
        </w:tc>
      </w:tr>
      <w:tr w:rsidR="00C24376" w:rsidRPr="00650EE4" w14:paraId="7D4C6B30"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74ECBB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74E9D9E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4A5A9757" w14:textId="6321EC9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06CC5A4" w14:textId="60AC4BF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37E6E0AC" w14:textId="75BEDBA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2F45F3E3" w14:textId="6735C16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29AA174B" w14:textId="5D7D73D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75</w:t>
            </w:r>
          </w:p>
        </w:tc>
      </w:tr>
      <w:tr w:rsidR="00C24376" w:rsidRPr="00650EE4" w14:paraId="0C344214"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7B9138F"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Prekybos</w:t>
            </w:r>
          </w:p>
        </w:tc>
        <w:tc>
          <w:tcPr>
            <w:tcW w:w="0" w:type="auto"/>
            <w:tcBorders>
              <w:top w:val="nil"/>
              <w:left w:val="nil"/>
              <w:bottom w:val="single" w:sz="4" w:space="0" w:color="auto"/>
              <w:right w:val="single" w:sz="4" w:space="0" w:color="auto"/>
            </w:tcBorders>
            <w:shd w:val="clear" w:color="000000" w:fill="FFFFFF"/>
            <w:noWrap/>
            <w:vAlign w:val="bottom"/>
            <w:hideMark/>
          </w:tcPr>
          <w:p w14:paraId="1230505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2879331" w14:textId="57A2A18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6269A5E" w14:textId="75556CC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782</w:t>
            </w:r>
          </w:p>
        </w:tc>
        <w:tc>
          <w:tcPr>
            <w:tcW w:w="0" w:type="auto"/>
            <w:tcBorders>
              <w:top w:val="nil"/>
              <w:left w:val="nil"/>
              <w:bottom w:val="single" w:sz="4" w:space="0" w:color="auto"/>
              <w:right w:val="single" w:sz="4" w:space="0" w:color="auto"/>
            </w:tcBorders>
            <w:shd w:val="clear" w:color="000000" w:fill="FFFFFF"/>
            <w:noWrap/>
            <w:vAlign w:val="bottom"/>
            <w:hideMark/>
          </w:tcPr>
          <w:p w14:paraId="11FCBA47" w14:textId="36DC7F6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1361</w:t>
            </w:r>
          </w:p>
        </w:tc>
        <w:tc>
          <w:tcPr>
            <w:tcW w:w="0" w:type="auto"/>
            <w:tcBorders>
              <w:top w:val="nil"/>
              <w:left w:val="nil"/>
              <w:bottom w:val="single" w:sz="4" w:space="0" w:color="auto"/>
              <w:right w:val="single" w:sz="4" w:space="0" w:color="auto"/>
            </w:tcBorders>
            <w:shd w:val="clear" w:color="000000" w:fill="FFFFFF"/>
            <w:noWrap/>
            <w:vAlign w:val="bottom"/>
            <w:hideMark/>
          </w:tcPr>
          <w:p w14:paraId="2782FD20" w14:textId="70AF9B7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1629</w:t>
            </w:r>
          </w:p>
        </w:tc>
        <w:tc>
          <w:tcPr>
            <w:tcW w:w="0" w:type="auto"/>
            <w:tcBorders>
              <w:top w:val="nil"/>
              <w:left w:val="nil"/>
              <w:bottom w:val="single" w:sz="4" w:space="0" w:color="auto"/>
              <w:right w:val="single" w:sz="4" w:space="0" w:color="auto"/>
            </w:tcBorders>
            <w:shd w:val="clear" w:color="000000" w:fill="FFFFFF"/>
            <w:noWrap/>
            <w:vAlign w:val="bottom"/>
            <w:hideMark/>
          </w:tcPr>
          <w:p w14:paraId="67358B77" w14:textId="49C80CE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772</w:t>
            </w:r>
          </w:p>
        </w:tc>
      </w:tr>
      <w:tr w:rsidR="00C24376" w:rsidRPr="00650EE4" w14:paraId="2B2703A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D7B7AE"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2DAE73D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189DD818" w14:textId="6E057BD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77C8E9" w14:textId="3A75513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w:t>
            </w:r>
          </w:p>
        </w:tc>
        <w:tc>
          <w:tcPr>
            <w:tcW w:w="0" w:type="auto"/>
            <w:tcBorders>
              <w:top w:val="nil"/>
              <w:left w:val="nil"/>
              <w:bottom w:val="single" w:sz="4" w:space="0" w:color="auto"/>
              <w:right w:val="single" w:sz="4" w:space="0" w:color="auto"/>
            </w:tcBorders>
            <w:shd w:val="clear" w:color="000000" w:fill="FFFFFF"/>
            <w:noWrap/>
            <w:vAlign w:val="bottom"/>
            <w:hideMark/>
          </w:tcPr>
          <w:p w14:paraId="60639BB0" w14:textId="1BA6DAE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w:t>
            </w:r>
          </w:p>
        </w:tc>
        <w:tc>
          <w:tcPr>
            <w:tcW w:w="0" w:type="auto"/>
            <w:tcBorders>
              <w:top w:val="nil"/>
              <w:left w:val="nil"/>
              <w:bottom w:val="single" w:sz="4" w:space="0" w:color="auto"/>
              <w:right w:val="single" w:sz="4" w:space="0" w:color="auto"/>
            </w:tcBorders>
            <w:shd w:val="clear" w:color="000000" w:fill="FFFFFF"/>
            <w:noWrap/>
            <w:vAlign w:val="bottom"/>
            <w:hideMark/>
          </w:tcPr>
          <w:p w14:paraId="68589151" w14:textId="2DBE69D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w:t>
            </w:r>
          </w:p>
        </w:tc>
        <w:tc>
          <w:tcPr>
            <w:tcW w:w="0" w:type="auto"/>
            <w:tcBorders>
              <w:top w:val="nil"/>
              <w:left w:val="nil"/>
              <w:bottom w:val="single" w:sz="4" w:space="0" w:color="auto"/>
              <w:right w:val="single" w:sz="4" w:space="0" w:color="auto"/>
            </w:tcBorders>
            <w:shd w:val="clear" w:color="000000" w:fill="FFFFFF"/>
            <w:noWrap/>
            <w:vAlign w:val="bottom"/>
            <w:hideMark/>
          </w:tcPr>
          <w:p w14:paraId="28CBBD39" w14:textId="048280E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w:t>
            </w:r>
          </w:p>
        </w:tc>
      </w:tr>
      <w:tr w:rsidR="00C24376" w:rsidRPr="00650EE4" w14:paraId="1ED0CC0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2C4169B"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Viešbučių</w:t>
            </w:r>
          </w:p>
        </w:tc>
        <w:tc>
          <w:tcPr>
            <w:tcW w:w="0" w:type="auto"/>
            <w:tcBorders>
              <w:top w:val="nil"/>
              <w:left w:val="nil"/>
              <w:bottom w:val="single" w:sz="4" w:space="0" w:color="auto"/>
              <w:right w:val="single" w:sz="4" w:space="0" w:color="auto"/>
            </w:tcBorders>
            <w:shd w:val="clear" w:color="000000" w:fill="FFFFFF"/>
            <w:noWrap/>
            <w:vAlign w:val="bottom"/>
            <w:hideMark/>
          </w:tcPr>
          <w:p w14:paraId="07A3F23B"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7908492" w14:textId="581CED8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E3AA54A" w14:textId="60D69EC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108</w:t>
            </w:r>
          </w:p>
        </w:tc>
        <w:tc>
          <w:tcPr>
            <w:tcW w:w="0" w:type="auto"/>
            <w:tcBorders>
              <w:top w:val="nil"/>
              <w:left w:val="nil"/>
              <w:bottom w:val="single" w:sz="4" w:space="0" w:color="auto"/>
              <w:right w:val="single" w:sz="4" w:space="0" w:color="auto"/>
            </w:tcBorders>
            <w:shd w:val="clear" w:color="000000" w:fill="FFFFFF"/>
            <w:noWrap/>
            <w:vAlign w:val="bottom"/>
            <w:hideMark/>
          </w:tcPr>
          <w:p w14:paraId="6AE3CFF6" w14:textId="2751ACE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188</w:t>
            </w:r>
          </w:p>
        </w:tc>
        <w:tc>
          <w:tcPr>
            <w:tcW w:w="0" w:type="auto"/>
            <w:tcBorders>
              <w:top w:val="nil"/>
              <w:left w:val="nil"/>
              <w:bottom w:val="single" w:sz="4" w:space="0" w:color="auto"/>
              <w:right w:val="single" w:sz="4" w:space="0" w:color="auto"/>
            </w:tcBorders>
            <w:shd w:val="clear" w:color="000000" w:fill="FFFFFF"/>
            <w:noWrap/>
            <w:vAlign w:val="bottom"/>
            <w:hideMark/>
          </w:tcPr>
          <w:p w14:paraId="40AE0688" w14:textId="2A224D0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225</w:t>
            </w:r>
          </w:p>
        </w:tc>
        <w:tc>
          <w:tcPr>
            <w:tcW w:w="0" w:type="auto"/>
            <w:tcBorders>
              <w:top w:val="nil"/>
              <w:left w:val="nil"/>
              <w:bottom w:val="single" w:sz="4" w:space="0" w:color="auto"/>
              <w:right w:val="single" w:sz="4" w:space="0" w:color="auto"/>
            </w:tcBorders>
            <w:shd w:val="clear" w:color="000000" w:fill="FFFFFF"/>
            <w:noWrap/>
            <w:vAlign w:val="bottom"/>
            <w:hideMark/>
          </w:tcPr>
          <w:p w14:paraId="6F3D541D" w14:textId="76F4B7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520</w:t>
            </w:r>
          </w:p>
        </w:tc>
      </w:tr>
      <w:tr w:rsidR="00C24376" w:rsidRPr="00650EE4" w14:paraId="716DE272"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B300D2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0D7628A7"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9025614" w14:textId="29E6FD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9ACF4B7" w14:textId="3BFA0B2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278</w:t>
            </w:r>
          </w:p>
        </w:tc>
        <w:tc>
          <w:tcPr>
            <w:tcW w:w="0" w:type="auto"/>
            <w:tcBorders>
              <w:top w:val="nil"/>
              <w:left w:val="nil"/>
              <w:bottom w:val="single" w:sz="4" w:space="0" w:color="auto"/>
              <w:right w:val="single" w:sz="4" w:space="0" w:color="auto"/>
            </w:tcBorders>
            <w:shd w:val="clear" w:color="000000" w:fill="FFFFFF"/>
            <w:noWrap/>
            <w:vAlign w:val="bottom"/>
            <w:hideMark/>
          </w:tcPr>
          <w:p w14:paraId="3B34D3D7" w14:textId="19967AD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484</w:t>
            </w:r>
          </w:p>
        </w:tc>
        <w:tc>
          <w:tcPr>
            <w:tcW w:w="0" w:type="auto"/>
            <w:tcBorders>
              <w:top w:val="nil"/>
              <w:left w:val="nil"/>
              <w:bottom w:val="single" w:sz="4" w:space="0" w:color="auto"/>
              <w:right w:val="single" w:sz="4" w:space="0" w:color="auto"/>
            </w:tcBorders>
            <w:shd w:val="clear" w:color="000000" w:fill="FFFFFF"/>
            <w:noWrap/>
            <w:vAlign w:val="bottom"/>
            <w:hideMark/>
          </w:tcPr>
          <w:p w14:paraId="74AFC441" w14:textId="7F6B5D3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580</w:t>
            </w:r>
          </w:p>
        </w:tc>
        <w:tc>
          <w:tcPr>
            <w:tcW w:w="0" w:type="auto"/>
            <w:tcBorders>
              <w:top w:val="nil"/>
              <w:left w:val="nil"/>
              <w:bottom w:val="single" w:sz="4" w:space="0" w:color="auto"/>
              <w:right w:val="single" w:sz="4" w:space="0" w:color="auto"/>
            </w:tcBorders>
            <w:shd w:val="clear" w:color="000000" w:fill="FFFFFF"/>
            <w:noWrap/>
            <w:vAlign w:val="bottom"/>
            <w:hideMark/>
          </w:tcPr>
          <w:p w14:paraId="1608FA10" w14:textId="1AA3EBF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343</w:t>
            </w:r>
          </w:p>
        </w:tc>
      </w:tr>
      <w:tr w:rsidR="00C24376" w:rsidRPr="00650EE4" w14:paraId="0A9D21B2" w14:textId="77777777" w:rsidTr="00BD2F3C">
        <w:trPr>
          <w:trHeight w:val="10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F9516D1"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Gydymo</w:t>
            </w:r>
          </w:p>
        </w:tc>
        <w:tc>
          <w:tcPr>
            <w:tcW w:w="0" w:type="auto"/>
            <w:tcBorders>
              <w:top w:val="nil"/>
              <w:left w:val="nil"/>
              <w:bottom w:val="single" w:sz="4" w:space="0" w:color="auto"/>
              <w:right w:val="single" w:sz="4" w:space="0" w:color="auto"/>
            </w:tcBorders>
            <w:shd w:val="clear" w:color="000000" w:fill="FFFFFF"/>
            <w:noWrap/>
            <w:vAlign w:val="bottom"/>
            <w:hideMark/>
          </w:tcPr>
          <w:p w14:paraId="35991CE1"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DF5AC1E" w14:textId="74A019F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4D8E692" w14:textId="4BEF16F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128</w:t>
            </w:r>
          </w:p>
        </w:tc>
        <w:tc>
          <w:tcPr>
            <w:tcW w:w="0" w:type="auto"/>
            <w:tcBorders>
              <w:top w:val="nil"/>
              <w:left w:val="nil"/>
              <w:bottom w:val="single" w:sz="4" w:space="0" w:color="auto"/>
              <w:right w:val="single" w:sz="4" w:space="0" w:color="auto"/>
            </w:tcBorders>
            <w:shd w:val="clear" w:color="000000" w:fill="FFFFFF"/>
            <w:noWrap/>
            <w:vAlign w:val="bottom"/>
            <w:hideMark/>
          </w:tcPr>
          <w:p w14:paraId="7012498D" w14:textId="6DD66F4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222</w:t>
            </w:r>
          </w:p>
        </w:tc>
        <w:tc>
          <w:tcPr>
            <w:tcW w:w="0" w:type="auto"/>
            <w:tcBorders>
              <w:top w:val="nil"/>
              <w:left w:val="nil"/>
              <w:bottom w:val="single" w:sz="4" w:space="0" w:color="auto"/>
              <w:right w:val="single" w:sz="4" w:space="0" w:color="auto"/>
            </w:tcBorders>
            <w:shd w:val="clear" w:color="000000" w:fill="FFFFFF"/>
            <w:noWrap/>
            <w:vAlign w:val="bottom"/>
            <w:hideMark/>
          </w:tcPr>
          <w:p w14:paraId="089C9040" w14:textId="6054B02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266</w:t>
            </w:r>
          </w:p>
        </w:tc>
        <w:tc>
          <w:tcPr>
            <w:tcW w:w="0" w:type="auto"/>
            <w:tcBorders>
              <w:top w:val="nil"/>
              <w:left w:val="nil"/>
              <w:bottom w:val="single" w:sz="4" w:space="0" w:color="auto"/>
              <w:right w:val="single" w:sz="4" w:space="0" w:color="auto"/>
            </w:tcBorders>
            <w:shd w:val="clear" w:color="000000" w:fill="FFFFFF"/>
            <w:noWrap/>
            <w:vAlign w:val="bottom"/>
            <w:hideMark/>
          </w:tcPr>
          <w:p w14:paraId="79569B9F" w14:textId="3CC101F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616</w:t>
            </w:r>
          </w:p>
        </w:tc>
      </w:tr>
      <w:tr w:rsidR="00C24376" w:rsidRPr="00650EE4" w14:paraId="3931410C" w14:textId="77777777" w:rsidTr="00BD2F3C">
        <w:trPr>
          <w:trHeight w:val="6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92251C0"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44A71368"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58A062C2" w14:textId="7BE6517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F98E7C" w14:textId="37975D3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241</w:t>
            </w:r>
          </w:p>
        </w:tc>
        <w:tc>
          <w:tcPr>
            <w:tcW w:w="0" w:type="auto"/>
            <w:tcBorders>
              <w:top w:val="nil"/>
              <w:left w:val="nil"/>
              <w:bottom w:val="single" w:sz="4" w:space="0" w:color="auto"/>
              <w:right w:val="single" w:sz="4" w:space="0" w:color="auto"/>
            </w:tcBorders>
            <w:shd w:val="clear" w:color="000000" w:fill="FFFFFF"/>
            <w:noWrap/>
            <w:vAlign w:val="bottom"/>
            <w:hideMark/>
          </w:tcPr>
          <w:p w14:paraId="4FDBF500" w14:textId="40ED7EE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419</w:t>
            </w:r>
          </w:p>
        </w:tc>
        <w:tc>
          <w:tcPr>
            <w:tcW w:w="0" w:type="auto"/>
            <w:tcBorders>
              <w:top w:val="nil"/>
              <w:left w:val="nil"/>
              <w:bottom w:val="single" w:sz="4" w:space="0" w:color="auto"/>
              <w:right w:val="single" w:sz="4" w:space="0" w:color="auto"/>
            </w:tcBorders>
            <w:shd w:val="clear" w:color="000000" w:fill="FFFFFF"/>
            <w:noWrap/>
            <w:vAlign w:val="bottom"/>
            <w:hideMark/>
          </w:tcPr>
          <w:p w14:paraId="4452E58E" w14:textId="741E3B4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502</w:t>
            </w:r>
          </w:p>
        </w:tc>
        <w:tc>
          <w:tcPr>
            <w:tcW w:w="0" w:type="auto"/>
            <w:tcBorders>
              <w:top w:val="nil"/>
              <w:left w:val="nil"/>
              <w:bottom w:val="single" w:sz="4" w:space="0" w:color="auto"/>
              <w:right w:val="single" w:sz="4" w:space="0" w:color="auto"/>
            </w:tcBorders>
            <w:shd w:val="clear" w:color="000000" w:fill="FFFFFF"/>
            <w:noWrap/>
            <w:vAlign w:val="bottom"/>
            <w:hideMark/>
          </w:tcPr>
          <w:p w14:paraId="3B3D4949" w14:textId="1DA001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161</w:t>
            </w:r>
          </w:p>
        </w:tc>
      </w:tr>
      <w:tr w:rsidR="00C24376" w:rsidRPr="00650EE4" w14:paraId="7CF643C9" w14:textId="77777777" w:rsidTr="00BD2F3C">
        <w:trPr>
          <w:trHeight w:val="20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19946CC"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Kultūros</w:t>
            </w:r>
          </w:p>
        </w:tc>
        <w:tc>
          <w:tcPr>
            <w:tcW w:w="0" w:type="auto"/>
            <w:tcBorders>
              <w:top w:val="nil"/>
              <w:left w:val="nil"/>
              <w:bottom w:val="single" w:sz="4" w:space="0" w:color="auto"/>
              <w:right w:val="single" w:sz="4" w:space="0" w:color="auto"/>
            </w:tcBorders>
            <w:shd w:val="clear" w:color="000000" w:fill="FFFFFF"/>
            <w:noWrap/>
            <w:vAlign w:val="bottom"/>
            <w:hideMark/>
          </w:tcPr>
          <w:p w14:paraId="603DC6FD"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3D07D1AB" w14:textId="19F86D6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0036D54" w14:textId="724DB9B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124</w:t>
            </w:r>
          </w:p>
        </w:tc>
        <w:tc>
          <w:tcPr>
            <w:tcW w:w="0" w:type="auto"/>
            <w:tcBorders>
              <w:top w:val="nil"/>
              <w:left w:val="nil"/>
              <w:bottom w:val="single" w:sz="4" w:space="0" w:color="auto"/>
              <w:right w:val="single" w:sz="4" w:space="0" w:color="auto"/>
            </w:tcBorders>
            <w:shd w:val="clear" w:color="000000" w:fill="FFFFFF"/>
            <w:noWrap/>
            <w:vAlign w:val="bottom"/>
            <w:hideMark/>
          </w:tcPr>
          <w:p w14:paraId="4E86120C" w14:textId="37F419F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216</w:t>
            </w:r>
          </w:p>
        </w:tc>
        <w:tc>
          <w:tcPr>
            <w:tcW w:w="0" w:type="auto"/>
            <w:tcBorders>
              <w:top w:val="nil"/>
              <w:left w:val="nil"/>
              <w:bottom w:val="single" w:sz="4" w:space="0" w:color="auto"/>
              <w:right w:val="single" w:sz="4" w:space="0" w:color="auto"/>
            </w:tcBorders>
            <w:shd w:val="clear" w:color="000000" w:fill="FFFFFF"/>
            <w:noWrap/>
            <w:vAlign w:val="bottom"/>
            <w:hideMark/>
          </w:tcPr>
          <w:p w14:paraId="086F2ACF" w14:textId="3EE007C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258</w:t>
            </w:r>
          </w:p>
        </w:tc>
        <w:tc>
          <w:tcPr>
            <w:tcW w:w="0" w:type="auto"/>
            <w:tcBorders>
              <w:top w:val="nil"/>
              <w:left w:val="nil"/>
              <w:bottom w:val="single" w:sz="4" w:space="0" w:color="auto"/>
              <w:right w:val="single" w:sz="4" w:space="0" w:color="auto"/>
            </w:tcBorders>
            <w:shd w:val="clear" w:color="000000" w:fill="FFFFFF"/>
            <w:noWrap/>
            <w:vAlign w:val="bottom"/>
            <w:hideMark/>
          </w:tcPr>
          <w:p w14:paraId="2BC9EF83" w14:textId="54F8541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598</w:t>
            </w:r>
          </w:p>
        </w:tc>
      </w:tr>
      <w:tr w:rsidR="00C24376" w:rsidRPr="00650EE4" w14:paraId="69D58750"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E937600"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4A229AC4"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C9836F5" w14:textId="4377604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6681221A" w14:textId="0F51FEC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075</w:t>
            </w:r>
          </w:p>
        </w:tc>
        <w:tc>
          <w:tcPr>
            <w:tcW w:w="0" w:type="auto"/>
            <w:tcBorders>
              <w:top w:val="nil"/>
              <w:left w:val="nil"/>
              <w:bottom w:val="single" w:sz="4" w:space="0" w:color="auto"/>
              <w:right w:val="single" w:sz="4" w:space="0" w:color="auto"/>
            </w:tcBorders>
            <w:shd w:val="clear" w:color="000000" w:fill="FFFFFF"/>
            <w:noWrap/>
            <w:vAlign w:val="bottom"/>
            <w:hideMark/>
          </w:tcPr>
          <w:p w14:paraId="03063C21" w14:textId="5F6BE26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870</w:t>
            </w:r>
          </w:p>
        </w:tc>
        <w:tc>
          <w:tcPr>
            <w:tcW w:w="0" w:type="auto"/>
            <w:tcBorders>
              <w:top w:val="nil"/>
              <w:left w:val="nil"/>
              <w:bottom w:val="single" w:sz="4" w:space="0" w:color="auto"/>
              <w:right w:val="single" w:sz="4" w:space="0" w:color="auto"/>
            </w:tcBorders>
            <w:shd w:val="clear" w:color="000000" w:fill="FFFFFF"/>
            <w:noWrap/>
            <w:vAlign w:val="bottom"/>
            <w:hideMark/>
          </w:tcPr>
          <w:p w14:paraId="213D7B0F" w14:textId="3076FA4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239</w:t>
            </w:r>
          </w:p>
        </w:tc>
        <w:tc>
          <w:tcPr>
            <w:tcW w:w="0" w:type="auto"/>
            <w:tcBorders>
              <w:top w:val="nil"/>
              <w:left w:val="nil"/>
              <w:bottom w:val="single" w:sz="4" w:space="0" w:color="auto"/>
              <w:right w:val="single" w:sz="4" w:space="0" w:color="auto"/>
            </w:tcBorders>
            <w:shd w:val="clear" w:color="000000" w:fill="FFFFFF"/>
            <w:noWrap/>
            <w:vAlign w:val="bottom"/>
            <w:hideMark/>
          </w:tcPr>
          <w:p w14:paraId="4EA6A35A" w14:textId="22FF1FE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184</w:t>
            </w:r>
          </w:p>
        </w:tc>
      </w:tr>
      <w:tr w:rsidR="00C24376" w:rsidRPr="00650EE4" w14:paraId="1246DE5E"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FB4FD2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Mokslo</w:t>
            </w:r>
          </w:p>
        </w:tc>
        <w:tc>
          <w:tcPr>
            <w:tcW w:w="0" w:type="auto"/>
            <w:tcBorders>
              <w:top w:val="nil"/>
              <w:left w:val="nil"/>
              <w:bottom w:val="single" w:sz="4" w:space="0" w:color="auto"/>
              <w:right w:val="single" w:sz="4" w:space="0" w:color="auto"/>
            </w:tcBorders>
            <w:shd w:val="clear" w:color="000000" w:fill="FFFFFF"/>
            <w:noWrap/>
            <w:vAlign w:val="bottom"/>
            <w:hideMark/>
          </w:tcPr>
          <w:p w14:paraId="1D617D85"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0190672" w14:textId="78F4510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B1926EC" w14:textId="7066DF2E"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236</w:t>
            </w:r>
          </w:p>
        </w:tc>
        <w:tc>
          <w:tcPr>
            <w:tcW w:w="0" w:type="auto"/>
            <w:tcBorders>
              <w:top w:val="nil"/>
              <w:left w:val="nil"/>
              <w:bottom w:val="single" w:sz="4" w:space="0" w:color="auto"/>
              <w:right w:val="single" w:sz="4" w:space="0" w:color="auto"/>
            </w:tcBorders>
            <w:shd w:val="clear" w:color="000000" w:fill="FFFFFF"/>
            <w:noWrap/>
            <w:vAlign w:val="bottom"/>
            <w:hideMark/>
          </w:tcPr>
          <w:p w14:paraId="2EF6E79A" w14:textId="79846F8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410</w:t>
            </w:r>
          </w:p>
        </w:tc>
        <w:tc>
          <w:tcPr>
            <w:tcW w:w="0" w:type="auto"/>
            <w:tcBorders>
              <w:top w:val="nil"/>
              <w:left w:val="nil"/>
              <w:bottom w:val="single" w:sz="4" w:space="0" w:color="auto"/>
              <w:right w:val="single" w:sz="4" w:space="0" w:color="auto"/>
            </w:tcBorders>
            <w:shd w:val="clear" w:color="000000" w:fill="FFFFFF"/>
            <w:noWrap/>
            <w:vAlign w:val="bottom"/>
            <w:hideMark/>
          </w:tcPr>
          <w:p w14:paraId="511FDDCE" w14:textId="46A754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491</w:t>
            </w:r>
          </w:p>
        </w:tc>
        <w:tc>
          <w:tcPr>
            <w:tcW w:w="0" w:type="auto"/>
            <w:tcBorders>
              <w:top w:val="nil"/>
              <w:left w:val="nil"/>
              <w:bottom w:val="single" w:sz="4" w:space="0" w:color="auto"/>
              <w:right w:val="single" w:sz="4" w:space="0" w:color="auto"/>
            </w:tcBorders>
            <w:shd w:val="clear" w:color="000000" w:fill="FFFFFF"/>
            <w:noWrap/>
            <w:vAlign w:val="bottom"/>
            <w:hideMark/>
          </w:tcPr>
          <w:p w14:paraId="4E8D0007" w14:textId="1E61A4E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w:t>
            </w:r>
            <w:r w:rsidR="00F428C2" w:rsidRPr="00650EE4">
              <w:rPr>
                <w:rFonts w:ascii="Times New Roman" w:eastAsia="Times New Roman" w:hAnsi="Times New Roman"/>
                <w:sz w:val="20"/>
                <w:szCs w:val="20"/>
                <w:lang w:eastAsia="lt-LT"/>
              </w:rPr>
              <w:t>.</w:t>
            </w:r>
            <w:r w:rsidRPr="00650EE4">
              <w:rPr>
                <w:rFonts w:ascii="Times New Roman" w:eastAsia="Times New Roman" w:hAnsi="Times New Roman"/>
                <w:sz w:val="20"/>
                <w:szCs w:val="20"/>
                <w:lang w:eastAsia="lt-LT"/>
              </w:rPr>
              <w:t>137</w:t>
            </w:r>
          </w:p>
        </w:tc>
      </w:tr>
      <w:tr w:rsidR="00C24376" w:rsidRPr="00650EE4" w14:paraId="7488B594"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CD7D1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3D458785"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2F6CC5D2" w14:textId="5CAFD0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EDCE38" w14:textId="52E66BA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15</w:t>
            </w:r>
          </w:p>
        </w:tc>
        <w:tc>
          <w:tcPr>
            <w:tcW w:w="0" w:type="auto"/>
            <w:tcBorders>
              <w:top w:val="nil"/>
              <w:left w:val="nil"/>
              <w:bottom w:val="single" w:sz="4" w:space="0" w:color="auto"/>
              <w:right w:val="single" w:sz="4" w:space="0" w:color="auto"/>
            </w:tcBorders>
            <w:shd w:val="clear" w:color="000000" w:fill="FFFFFF"/>
            <w:noWrap/>
            <w:vAlign w:val="bottom"/>
            <w:hideMark/>
          </w:tcPr>
          <w:p w14:paraId="100D3EBF" w14:textId="282432A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27</w:t>
            </w:r>
          </w:p>
        </w:tc>
        <w:tc>
          <w:tcPr>
            <w:tcW w:w="0" w:type="auto"/>
            <w:tcBorders>
              <w:top w:val="nil"/>
              <w:left w:val="nil"/>
              <w:bottom w:val="single" w:sz="4" w:space="0" w:color="auto"/>
              <w:right w:val="single" w:sz="4" w:space="0" w:color="auto"/>
            </w:tcBorders>
            <w:shd w:val="clear" w:color="000000" w:fill="FFFFFF"/>
            <w:noWrap/>
            <w:vAlign w:val="bottom"/>
            <w:hideMark/>
          </w:tcPr>
          <w:p w14:paraId="672CD75D" w14:textId="25914B3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32</w:t>
            </w:r>
          </w:p>
        </w:tc>
        <w:tc>
          <w:tcPr>
            <w:tcW w:w="0" w:type="auto"/>
            <w:tcBorders>
              <w:top w:val="nil"/>
              <w:left w:val="nil"/>
              <w:bottom w:val="single" w:sz="4" w:space="0" w:color="auto"/>
              <w:right w:val="single" w:sz="4" w:space="0" w:color="auto"/>
            </w:tcBorders>
            <w:shd w:val="clear" w:color="000000" w:fill="FFFFFF"/>
            <w:noWrap/>
            <w:vAlign w:val="bottom"/>
            <w:hideMark/>
          </w:tcPr>
          <w:p w14:paraId="3E4EEA8B" w14:textId="3C67781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74</w:t>
            </w:r>
          </w:p>
        </w:tc>
      </w:tr>
      <w:tr w:rsidR="00C24376" w:rsidRPr="00650EE4" w14:paraId="6E17105B"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BAADBDD"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Transporto</w:t>
            </w:r>
          </w:p>
        </w:tc>
        <w:tc>
          <w:tcPr>
            <w:tcW w:w="0" w:type="auto"/>
            <w:tcBorders>
              <w:top w:val="nil"/>
              <w:left w:val="nil"/>
              <w:bottom w:val="single" w:sz="4" w:space="0" w:color="auto"/>
              <w:right w:val="single" w:sz="4" w:space="0" w:color="auto"/>
            </w:tcBorders>
            <w:shd w:val="clear" w:color="000000" w:fill="FFFFFF"/>
            <w:noWrap/>
            <w:vAlign w:val="bottom"/>
            <w:hideMark/>
          </w:tcPr>
          <w:p w14:paraId="24C172BF"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C5BCB7A" w14:textId="4711498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5899C2BD" w14:textId="6F2D96D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w:t>
            </w:r>
          </w:p>
        </w:tc>
        <w:tc>
          <w:tcPr>
            <w:tcW w:w="0" w:type="auto"/>
            <w:tcBorders>
              <w:top w:val="nil"/>
              <w:left w:val="nil"/>
              <w:bottom w:val="single" w:sz="4" w:space="0" w:color="auto"/>
              <w:right w:val="single" w:sz="4" w:space="0" w:color="auto"/>
            </w:tcBorders>
            <w:shd w:val="clear" w:color="000000" w:fill="FFFFFF"/>
            <w:noWrap/>
            <w:vAlign w:val="bottom"/>
            <w:hideMark/>
          </w:tcPr>
          <w:p w14:paraId="1DD0A813" w14:textId="1147197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33</w:t>
            </w:r>
          </w:p>
        </w:tc>
        <w:tc>
          <w:tcPr>
            <w:tcW w:w="0" w:type="auto"/>
            <w:tcBorders>
              <w:top w:val="nil"/>
              <w:left w:val="nil"/>
              <w:bottom w:val="single" w:sz="4" w:space="0" w:color="auto"/>
              <w:right w:val="single" w:sz="4" w:space="0" w:color="auto"/>
            </w:tcBorders>
            <w:shd w:val="clear" w:color="000000" w:fill="FFFFFF"/>
            <w:noWrap/>
            <w:vAlign w:val="bottom"/>
            <w:hideMark/>
          </w:tcPr>
          <w:p w14:paraId="68CCAB74" w14:textId="14BEF39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39</w:t>
            </w:r>
          </w:p>
        </w:tc>
        <w:tc>
          <w:tcPr>
            <w:tcW w:w="0" w:type="auto"/>
            <w:tcBorders>
              <w:top w:val="nil"/>
              <w:left w:val="nil"/>
              <w:bottom w:val="single" w:sz="4" w:space="0" w:color="auto"/>
              <w:right w:val="single" w:sz="4" w:space="0" w:color="auto"/>
            </w:tcBorders>
            <w:shd w:val="clear" w:color="000000" w:fill="FFFFFF"/>
            <w:noWrap/>
            <w:vAlign w:val="bottom"/>
            <w:hideMark/>
          </w:tcPr>
          <w:p w14:paraId="0EDA7715" w14:textId="553F6AD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91</w:t>
            </w:r>
          </w:p>
        </w:tc>
      </w:tr>
      <w:tr w:rsidR="00C24376" w:rsidRPr="00650EE4" w14:paraId="23C34F84" w14:textId="77777777" w:rsidTr="00BD2F3C">
        <w:trPr>
          <w:trHeight w:val="67"/>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5DB67F3"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4D2F968A"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35AF0DFD" w14:textId="6771A47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7B8854B" w14:textId="18EE1F2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22</w:t>
            </w:r>
          </w:p>
        </w:tc>
        <w:tc>
          <w:tcPr>
            <w:tcW w:w="0" w:type="auto"/>
            <w:tcBorders>
              <w:top w:val="nil"/>
              <w:left w:val="nil"/>
              <w:bottom w:val="single" w:sz="4" w:space="0" w:color="auto"/>
              <w:right w:val="single" w:sz="4" w:space="0" w:color="auto"/>
            </w:tcBorders>
            <w:shd w:val="clear" w:color="000000" w:fill="FFFFFF"/>
            <w:noWrap/>
            <w:vAlign w:val="bottom"/>
            <w:hideMark/>
          </w:tcPr>
          <w:p w14:paraId="1CDE54AE" w14:textId="23B34A84"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38</w:t>
            </w:r>
          </w:p>
        </w:tc>
        <w:tc>
          <w:tcPr>
            <w:tcW w:w="0" w:type="auto"/>
            <w:tcBorders>
              <w:top w:val="nil"/>
              <w:left w:val="nil"/>
              <w:bottom w:val="single" w:sz="4" w:space="0" w:color="auto"/>
              <w:right w:val="single" w:sz="4" w:space="0" w:color="auto"/>
            </w:tcBorders>
            <w:shd w:val="clear" w:color="000000" w:fill="FFFFFF"/>
            <w:noWrap/>
            <w:vAlign w:val="bottom"/>
            <w:hideMark/>
          </w:tcPr>
          <w:p w14:paraId="1863672A" w14:textId="65311B0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45</w:t>
            </w:r>
          </w:p>
        </w:tc>
        <w:tc>
          <w:tcPr>
            <w:tcW w:w="0" w:type="auto"/>
            <w:tcBorders>
              <w:top w:val="nil"/>
              <w:left w:val="nil"/>
              <w:bottom w:val="single" w:sz="4" w:space="0" w:color="auto"/>
              <w:right w:val="single" w:sz="4" w:space="0" w:color="auto"/>
            </w:tcBorders>
            <w:shd w:val="clear" w:color="000000" w:fill="FFFFFF"/>
            <w:noWrap/>
            <w:vAlign w:val="bottom"/>
            <w:hideMark/>
          </w:tcPr>
          <w:p w14:paraId="38796277" w14:textId="436B186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105</w:t>
            </w:r>
          </w:p>
        </w:tc>
      </w:tr>
      <w:tr w:rsidR="00C24376" w:rsidRPr="00650EE4" w14:paraId="5CDF5437"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CE3E17"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Poilsio</w:t>
            </w:r>
          </w:p>
        </w:tc>
        <w:tc>
          <w:tcPr>
            <w:tcW w:w="0" w:type="auto"/>
            <w:tcBorders>
              <w:top w:val="nil"/>
              <w:left w:val="nil"/>
              <w:bottom w:val="single" w:sz="4" w:space="0" w:color="auto"/>
              <w:right w:val="single" w:sz="4" w:space="0" w:color="auto"/>
            </w:tcBorders>
            <w:shd w:val="clear" w:color="000000" w:fill="FFFFFF"/>
            <w:noWrap/>
            <w:vAlign w:val="bottom"/>
            <w:hideMark/>
          </w:tcPr>
          <w:p w14:paraId="0130C89C"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478CAA64" w14:textId="6EE124A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A718E20" w14:textId="35995DB9"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177</w:t>
            </w:r>
          </w:p>
        </w:tc>
        <w:tc>
          <w:tcPr>
            <w:tcW w:w="0" w:type="auto"/>
            <w:tcBorders>
              <w:top w:val="nil"/>
              <w:left w:val="nil"/>
              <w:bottom w:val="single" w:sz="4" w:space="0" w:color="auto"/>
              <w:right w:val="single" w:sz="4" w:space="0" w:color="auto"/>
            </w:tcBorders>
            <w:shd w:val="clear" w:color="000000" w:fill="FFFFFF"/>
            <w:noWrap/>
            <w:vAlign w:val="bottom"/>
            <w:hideMark/>
          </w:tcPr>
          <w:p w14:paraId="71665815" w14:textId="2CE295E0"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308</w:t>
            </w:r>
          </w:p>
        </w:tc>
        <w:tc>
          <w:tcPr>
            <w:tcW w:w="0" w:type="auto"/>
            <w:tcBorders>
              <w:top w:val="nil"/>
              <w:left w:val="nil"/>
              <w:bottom w:val="single" w:sz="4" w:space="0" w:color="auto"/>
              <w:right w:val="single" w:sz="4" w:space="0" w:color="auto"/>
            </w:tcBorders>
            <w:shd w:val="clear" w:color="000000" w:fill="FFFFFF"/>
            <w:noWrap/>
            <w:vAlign w:val="bottom"/>
            <w:hideMark/>
          </w:tcPr>
          <w:p w14:paraId="7E4E2492" w14:textId="0C4F331A"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369</w:t>
            </w:r>
          </w:p>
        </w:tc>
        <w:tc>
          <w:tcPr>
            <w:tcW w:w="0" w:type="auto"/>
            <w:tcBorders>
              <w:top w:val="nil"/>
              <w:left w:val="nil"/>
              <w:bottom w:val="single" w:sz="4" w:space="0" w:color="auto"/>
              <w:right w:val="single" w:sz="4" w:space="0" w:color="auto"/>
            </w:tcBorders>
            <w:shd w:val="clear" w:color="000000" w:fill="FFFFFF"/>
            <w:noWrap/>
            <w:vAlign w:val="bottom"/>
            <w:hideMark/>
          </w:tcPr>
          <w:p w14:paraId="16DDFA7D" w14:textId="153062D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855</w:t>
            </w:r>
          </w:p>
        </w:tc>
      </w:tr>
      <w:tr w:rsidR="00C24376" w:rsidRPr="00650EE4" w14:paraId="5596D23C"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EAEB4C4"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0F59CDE6"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033CAC6D" w14:textId="16CE7176"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49AF8A18" w14:textId="19E2813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54</w:t>
            </w:r>
          </w:p>
        </w:tc>
        <w:tc>
          <w:tcPr>
            <w:tcW w:w="0" w:type="auto"/>
            <w:tcBorders>
              <w:top w:val="nil"/>
              <w:left w:val="nil"/>
              <w:bottom w:val="single" w:sz="4" w:space="0" w:color="auto"/>
              <w:right w:val="single" w:sz="4" w:space="0" w:color="auto"/>
            </w:tcBorders>
            <w:shd w:val="clear" w:color="000000" w:fill="FFFFFF"/>
            <w:noWrap/>
            <w:vAlign w:val="bottom"/>
            <w:hideMark/>
          </w:tcPr>
          <w:p w14:paraId="6E5192E9" w14:textId="05DA26B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94</w:t>
            </w:r>
          </w:p>
        </w:tc>
        <w:tc>
          <w:tcPr>
            <w:tcW w:w="0" w:type="auto"/>
            <w:tcBorders>
              <w:top w:val="nil"/>
              <w:left w:val="nil"/>
              <w:bottom w:val="single" w:sz="4" w:space="0" w:color="auto"/>
              <w:right w:val="single" w:sz="4" w:space="0" w:color="auto"/>
            </w:tcBorders>
            <w:shd w:val="clear" w:color="000000" w:fill="FFFFFF"/>
            <w:noWrap/>
            <w:vAlign w:val="bottom"/>
            <w:hideMark/>
          </w:tcPr>
          <w:p w14:paraId="4A7DDD78" w14:textId="0F69DD71"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112</w:t>
            </w:r>
          </w:p>
        </w:tc>
        <w:tc>
          <w:tcPr>
            <w:tcW w:w="0" w:type="auto"/>
            <w:tcBorders>
              <w:top w:val="nil"/>
              <w:left w:val="nil"/>
              <w:bottom w:val="single" w:sz="4" w:space="0" w:color="auto"/>
              <w:right w:val="single" w:sz="4" w:space="0" w:color="auto"/>
            </w:tcBorders>
            <w:shd w:val="clear" w:color="000000" w:fill="FFFFFF"/>
            <w:noWrap/>
            <w:vAlign w:val="bottom"/>
            <w:hideMark/>
          </w:tcPr>
          <w:p w14:paraId="59A622ED" w14:textId="0323CA1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260</w:t>
            </w:r>
          </w:p>
        </w:tc>
      </w:tr>
      <w:tr w:rsidR="00C24376" w:rsidRPr="00650EE4" w14:paraId="5D76F3D8"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60C3678"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Sporto</w:t>
            </w:r>
          </w:p>
        </w:tc>
        <w:tc>
          <w:tcPr>
            <w:tcW w:w="0" w:type="auto"/>
            <w:tcBorders>
              <w:top w:val="nil"/>
              <w:left w:val="nil"/>
              <w:bottom w:val="single" w:sz="4" w:space="0" w:color="auto"/>
              <w:right w:val="single" w:sz="4" w:space="0" w:color="auto"/>
            </w:tcBorders>
            <w:shd w:val="clear" w:color="000000" w:fill="FFFFFF"/>
            <w:noWrap/>
            <w:vAlign w:val="bottom"/>
            <w:hideMark/>
          </w:tcPr>
          <w:p w14:paraId="6D9257EE"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22444A76" w14:textId="74DF81B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30E9543B" w14:textId="61B6315C"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41</w:t>
            </w:r>
          </w:p>
        </w:tc>
        <w:tc>
          <w:tcPr>
            <w:tcW w:w="0" w:type="auto"/>
            <w:tcBorders>
              <w:top w:val="nil"/>
              <w:left w:val="nil"/>
              <w:bottom w:val="single" w:sz="4" w:space="0" w:color="auto"/>
              <w:right w:val="single" w:sz="4" w:space="0" w:color="auto"/>
            </w:tcBorders>
            <w:shd w:val="clear" w:color="000000" w:fill="FFFFFF"/>
            <w:noWrap/>
            <w:vAlign w:val="bottom"/>
            <w:hideMark/>
          </w:tcPr>
          <w:p w14:paraId="02511A3A" w14:textId="354E7C8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72</w:t>
            </w:r>
          </w:p>
        </w:tc>
        <w:tc>
          <w:tcPr>
            <w:tcW w:w="0" w:type="auto"/>
            <w:tcBorders>
              <w:top w:val="nil"/>
              <w:left w:val="nil"/>
              <w:bottom w:val="single" w:sz="4" w:space="0" w:color="auto"/>
              <w:right w:val="single" w:sz="4" w:space="0" w:color="auto"/>
            </w:tcBorders>
            <w:shd w:val="clear" w:color="000000" w:fill="FFFFFF"/>
            <w:noWrap/>
            <w:vAlign w:val="bottom"/>
            <w:hideMark/>
          </w:tcPr>
          <w:p w14:paraId="7C67DEC9" w14:textId="4F53BF5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86</w:t>
            </w:r>
          </w:p>
        </w:tc>
        <w:tc>
          <w:tcPr>
            <w:tcW w:w="0" w:type="auto"/>
            <w:tcBorders>
              <w:top w:val="nil"/>
              <w:left w:val="nil"/>
              <w:bottom w:val="single" w:sz="4" w:space="0" w:color="auto"/>
              <w:right w:val="single" w:sz="4" w:space="0" w:color="auto"/>
            </w:tcBorders>
            <w:shd w:val="clear" w:color="000000" w:fill="FFFFFF"/>
            <w:noWrap/>
            <w:vAlign w:val="bottom"/>
            <w:hideMark/>
          </w:tcPr>
          <w:p w14:paraId="37DABC4F" w14:textId="51A901B2"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198</w:t>
            </w:r>
          </w:p>
        </w:tc>
      </w:tr>
      <w:tr w:rsidR="00C24376" w:rsidRPr="00650EE4" w14:paraId="12D5E6AB" w14:textId="77777777" w:rsidTr="00BD2F3C">
        <w:trPr>
          <w:trHeight w:val="99"/>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7759ACF"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35C0BBE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Vieša</w:t>
            </w:r>
          </w:p>
        </w:tc>
        <w:tc>
          <w:tcPr>
            <w:tcW w:w="0" w:type="auto"/>
            <w:tcBorders>
              <w:top w:val="nil"/>
              <w:left w:val="nil"/>
              <w:bottom w:val="single" w:sz="4" w:space="0" w:color="auto"/>
              <w:right w:val="single" w:sz="4" w:space="0" w:color="auto"/>
            </w:tcBorders>
            <w:shd w:val="clear" w:color="000000" w:fill="FFFFFF"/>
            <w:noWrap/>
            <w:vAlign w:val="center"/>
            <w:hideMark/>
          </w:tcPr>
          <w:p w14:paraId="3DF5A2C6" w14:textId="7966F6AD"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13726A90" w14:textId="2088100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63</w:t>
            </w:r>
          </w:p>
        </w:tc>
        <w:tc>
          <w:tcPr>
            <w:tcW w:w="0" w:type="auto"/>
            <w:tcBorders>
              <w:top w:val="nil"/>
              <w:left w:val="nil"/>
              <w:bottom w:val="single" w:sz="4" w:space="0" w:color="auto"/>
              <w:right w:val="single" w:sz="4" w:space="0" w:color="auto"/>
            </w:tcBorders>
            <w:shd w:val="clear" w:color="000000" w:fill="FFFFFF"/>
            <w:noWrap/>
            <w:vAlign w:val="bottom"/>
            <w:hideMark/>
          </w:tcPr>
          <w:p w14:paraId="276EC79E" w14:textId="5D74DD1F"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110</w:t>
            </w:r>
          </w:p>
        </w:tc>
        <w:tc>
          <w:tcPr>
            <w:tcW w:w="0" w:type="auto"/>
            <w:tcBorders>
              <w:top w:val="nil"/>
              <w:left w:val="nil"/>
              <w:bottom w:val="single" w:sz="4" w:space="0" w:color="auto"/>
              <w:right w:val="single" w:sz="4" w:space="0" w:color="auto"/>
            </w:tcBorders>
            <w:shd w:val="clear" w:color="000000" w:fill="FFFFFF"/>
            <w:noWrap/>
            <w:vAlign w:val="bottom"/>
            <w:hideMark/>
          </w:tcPr>
          <w:p w14:paraId="5FECBFCE" w14:textId="181E71DB"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131</w:t>
            </w:r>
          </w:p>
        </w:tc>
        <w:tc>
          <w:tcPr>
            <w:tcW w:w="0" w:type="auto"/>
            <w:tcBorders>
              <w:top w:val="nil"/>
              <w:left w:val="nil"/>
              <w:bottom w:val="single" w:sz="4" w:space="0" w:color="auto"/>
              <w:right w:val="single" w:sz="4" w:space="0" w:color="auto"/>
            </w:tcBorders>
            <w:shd w:val="clear" w:color="000000" w:fill="FFFFFF"/>
            <w:noWrap/>
            <w:vAlign w:val="bottom"/>
            <w:hideMark/>
          </w:tcPr>
          <w:p w14:paraId="18871FA6" w14:textId="76E81B1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304</w:t>
            </w:r>
          </w:p>
        </w:tc>
      </w:tr>
      <w:tr w:rsidR="00C24376" w:rsidRPr="00650EE4" w14:paraId="4435E558" w14:textId="77777777" w:rsidTr="00BD2F3C">
        <w:trPr>
          <w:trHeight w:val="61"/>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32FEECEA" w14:textId="77777777" w:rsidR="00C24376" w:rsidRPr="00650EE4" w:rsidRDefault="00C24376" w:rsidP="00C24376">
            <w:pPr>
              <w:spacing w:line="240" w:lineRule="auto"/>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Specialiosios</w:t>
            </w:r>
          </w:p>
        </w:tc>
        <w:tc>
          <w:tcPr>
            <w:tcW w:w="0" w:type="auto"/>
            <w:tcBorders>
              <w:top w:val="nil"/>
              <w:left w:val="nil"/>
              <w:bottom w:val="single" w:sz="4" w:space="0" w:color="auto"/>
              <w:right w:val="single" w:sz="4" w:space="0" w:color="auto"/>
            </w:tcBorders>
            <w:shd w:val="clear" w:color="000000" w:fill="FFFFFF"/>
            <w:noWrap/>
            <w:vAlign w:val="bottom"/>
            <w:hideMark/>
          </w:tcPr>
          <w:p w14:paraId="78D388B9" w14:textId="7777777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Privati</w:t>
            </w:r>
          </w:p>
        </w:tc>
        <w:tc>
          <w:tcPr>
            <w:tcW w:w="0" w:type="auto"/>
            <w:tcBorders>
              <w:top w:val="nil"/>
              <w:left w:val="nil"/>
              <w:bottom w:val="single" w:sz="4" w:space="0" w:color="auto"/>
              <w:right w:val="single" w:sz="4" w:space="0" w:color="auto"/>
            </w:tcBorders>
            <w:shd w:val="clear" w:color="000000" w:fill="FFFFFF"/>
            <w:noWrap/>
            <w:vAlign w:val="center"/>
            <w:hideMark/>
          </w:tcPr>
          <w:p w14:paraId="6631187E" w14:textId="245AC66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tūkst. m</w:t>
            </w:r>
            <w:r w:rsidRPr="00650EE4">
              <w:rPr>
                <w:rFonts w:ascii="Times New Roman" w:eastAsia="Times New Roman" w:hAnsi="Times New Roman"/>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04857A36" w14:textId="73447283"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20</w:t>
            </w:r>
          </w:p>
        </w:tc>
        <w:tc>
          <w:tcPr>
            <w:tcW w:w="0" w:type="auto"/>
            <w:tcBorders>
              <w:top w:val="nil"/>
              <w:left w:val="nil"/>
              <w:bottom w:val="single" w:sz="4" w:space="0" w:color="auto"/>
              <w:right w:val="single" w:sz="4" w:space="0" w:color="auto"/>
            </w:tcBorders>
            <w:shd w:val="clear" w:color="000000" w:fill="FFFFFF"/>
            <w:noWrap/>
            <w:vAlign w:val="bottom"/>
            <w:hideMark/>
          </w:tcPr>
          <w:p w14:paraId="0FAE1454" w14:textId="6496DF48"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35</w:t>
            </w:r>
          </w:p>
        </w:tc>
        <w:tc>
          <w:tcPr>
            <w:tcW w:w="0" w:type="auto"/>
            <w:tcBorders>
              <w:top w:val="nil"/>
              <w:left w:val="nil"/>
              <w:bottom w:val="single" w:sz="4" w:space="0" w:color="auto"/>
              <w:right w:val="single" w:sz="4" w:space="0" w:color="auto"/>
            </w:tcBorders>
            <w:shd w:val="clear" w:color="000000" w:fill="FFFFFF"/>
            <w:noWrap/>
            <w:vAlign w:val="bottom"/>
            <w:hideMark/>
          </w:tcPr>
          <w:p w14:paraId="244EA286" w14:textId="36914E17"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42</w:t>
            </w:r>
          </w:p>
        </w:tc>
        <w:tc>
          <w:tcPr>
            <w:tcW w:w="0" w:type="auto"/>
            <w:tcBorders>
              <w:top w:val="nil"/>
              <w:left w:val="nil"/>
              <w:bottom w:val="single" w:sz="4" w:space="0" w:color="auto"/>
              <w:right w:val="single" w:sz="4" w:space="0" w:color="auto"/>
            </w:tcBorders>
            <w:shd w:val="clear" w:color="000000" w:fill="FFFFFF"/>
            <w:noWrap/>
            <w:vAlign w:val="bottom"/>
            <w:hideMark/>
          </w:tcPr>
          <w:p w14:paraId="77BDB782" w14:textId="298A25A5" w:rsidR="00C24376" w:rsidRPr="00650EE4" w:rsidRDefault="00C24376" w:rsidP="00C24376">
            <w:pPr>
              <w:spacing w:line="240" w:lineRule="auto"/>
              <w:jc w:val="center"/>
              <w:rPr>
                <w:rFonts w:ascii="Times New Roman" w:eastAsia="Times New Roman" w:hAnsi="Times New Roman"/>
                <w:sz w:val="20"/>
                <w:szCs w:val="20"/>
                <w:lang w:eastAsia="lt-LT"/>
              </w:rPr>
            </w:pPr>
            <w:r w:rsidRPr="00650EE4">
              <w:rPr>
                <w:rFonts w:ascii="Times New Roman" w:eastAsia="Times New Roman" w:hAnsi="Times New Roman"/>
                <w:sz w:val="20"/>
                <w:szCs w:val="20"/>
                <w:lang w:eastAsia="lt-LT"/>
              </w:rPr>
              <w:t>97</w:t>
            </w:r>
          </w:p>
        </w:tc>
      </w:tr>
      <w:tr w:rsidR="00C24376" w:rsidRPr="00650EE4" w14:paraId="60BEFC83" w14:textId="77777777" w:rsidTr="00BD2F3C">
        <w:trPr>
          <w:trHeight w:val="6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2AC4931" w14:textId="77777777" w:rsidR="00C24376" w:rsidRPr="00650EE4" w:rsidRDefault="00C24376" w:rsidP="00C24376">
            <w:pPr>
              <w:spacing w:line="240" w:lineRule="auto"/>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Iš viso</w:t>
            </w:r>
          </w:p>
        </w:tc>
        <w:tc>
          <w:tcPr>
            <w:tcW w:w="0" w:type="auto"/>
            <w:tcBorders>
              <w:top w:val="nil"/>
              <w:left w:val="nil"/>
              <w:bottom w:val="single" w:sz="4" w:space="0" w:color="auto"/>
              <w:right w:val="single" w:sz="4" w:space="0" w:color="auto"/>
            </w:tcBorders>
            <w:shd w:val="clear" w:color="000000" w:fill="FFFFFF"/>
            <w:noWrap/>
            <w:vAlign w:val="bottom"/>
            <w:hideMark/>
          </w:tcPr>
          <w:p w14:paraId="0680D00B" w14:textId="77777777"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 </w:t>
            </w:r>
          </w:p>
        </w:tc>
        <w:tc>
          <w:tcPr>
            <w:tcW w:w="0" w:type="auto"/>
            <w:tcBorders>
              <w:top w:val="nil"/>
              <w:left w:val="nil"/>
              <w:bottom w:val="single" w:sz="4" w:space="0" w:color="auto"/>
              <w:right w:val="single" w:sz="4" w:space="0" w:color="auto"/>
            </w:tcBorders>
            <w:shd w:val="clear" w:color="000000" w:fill="FFFFFF"/>
            <w:noWrap/>
            <w:vAlign w:val="center"/>
            <w:hideMark/>
          </w:tcPr>
          <w:p w14:paraId="16B9F769" w14:textId="3C29FADA"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tūkst. m</w:t>
            </w:r>
            <w:r w:rsidRPr="00650EE4">
              <w:rPr>
                <w:rFonts w:ascii="Times New Roman" w:eastAsia="Times New Roman" w:hAnsi="Times New Roman"/>
                <w:b/>
                <w:bCs/>
                <w:sz w:val="20"/>
                <w:szCs w:val="20"/>
                <w:vertAlign w:val="superscript"/>
                <w:lang w:eastAsia="lt-LT"/>
              </w:rPr>
              <w:t>2</w:t>
            </w:r>
          </w:p>
        </w:tc>
        <w:tc>
          <w:tcPr>
            <w:tcW w:w="0" w:type="auto"/>
            <w:tcBorders>
              <w:top w:val="nil"/>
              <w:left w:val="nil"/>
              <w:bottom w:val="single" w:sz="4" w:space="0" w:color="auto"/>
              <w:right w:val="single" w:sz="4" w:space="0" w:color="auto"/>
            </w:tcBorders>
            <w:shd w:val="clear" w:color="000000" w:fill="FFFFFF"/>
            <w:noWrap/>
            <w:vAlign w:val="bottom"/>
            <w:hideMark/>
          </w:tcPr>
          <w:p w14:paraId="77554092" w14:textId="2AAB791C"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5</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251</w:t>
            </w:r>
          </w:p>
        </w:tc>
        <w:tc>
          <w:tcPr>
            <w:tcW w:w="0" w:type="auto"/>
            <w:tcBorders>
              <w:top w:val="nil"/>
              <w:left w:val="nil"/>
              <w:bottom w:val="single" w:sz="4" w:space="0" w:color="auto"/>
              <w:right w:val="single" w:sz="4" w:space="0" w:color="auto"/>
            </w:tcBorders>
            <w:shd w:val="clear" w:color="000000" w:fill="FFFFFF"/>
            <w:noWrap/>
            <w:vAlign w:val="bottom"/>
            <w:hideMark/>
          </w:tcPr>
          <w:p w14:paraId="1C9B218B" w14:textId="73B966D9"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9</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139</w:t>
            </w:r>
          </w:p>
        </w:tc>
        <w:tc>
          <w:tcPr>
            <w:tcW w:w="0" w:type="auto"/>
            <w:tcBorders>
              <w:top w:val="nil"/>
              <w:left w:val="nil"/>
              <w:bottom w:val="single" w:sz="4" w:space="0" w:color="auto"/>
              <w:right w:val="single" w:sz="4" w:space="0" w:color="auto"/>
            </w:tcBorders>
            <w:shd w:val="clear" w:color="000000" w:fill="FFFFFF"/>
            <w:noWrap/>
            <w:vAlign w:val="bottom"/>
            <w:hideMark/>
          </w:tcPr>
          <w:p w14:paraId="066298C2" w14:textId="2DAD7DA1"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10</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942</w:t>
            </w:r>
          </w:p>
        </w:tc>
        <w:tc>
          <w:tcPr>
            <w:tcW w:w="0" w:type="auto"/>
            <w:tcBorders>
              <w:top w:val="nil"/>
              <w:left w:val="nil"/>
              <w:bottom w:val="single" w:sz="4" w:space="0" w:color="auto"/>
              <w:right w:val="single" w:sz="4" w:space="0" w:color="auto"/>
            </w:tcBorders>
            <w:shd w:val="clear" w:color="000000" w:fill="FFFFFF"/>
            <w:noWrap/>
            <w:vAlign w:val="bottom"/>
            <w:hideMark/>
          </w:tcPr>
          <w:p w14:paraId="0F8AF3FD" w14:textId="613AF3F2" w:rsidR="00C24376" w:rsidRPr="00650EE4" w:rsidRDefault="00C24376" w:rsidP="00C24376">
            <w:pPr>
              <w:spacing w:line="240" w:lineRule="auto"/>
              <w:jc w:val="center"/>
              <w:rPr>
                <w:rFonts w:ascii="Times New Roman" w:eastAsia="Times New Roman" w:hAnsi="Times New Roman"/>
                <w:b/>
                <w:bCs/>
                <w:sz w:val="20"/>
                <w:szCs w:val="20"/>
                <w:lang w:eastAsia="lt-LT"/>
              </w:rPr>
            </w:pPr>
            <w:r w:rsidRPr="00650EE4">
              <w:rPr>
                <w:rFonts w:ascii="Times New Roman" w:eastAsia="Times New Roman" w:hAnsi="Times New Roman"/>
                <w:b/>
                <w:bCs/>
                <w:sz w:val="20"/>
                <w:szCs w:val="20"/>
                <w:lang w:eastAsia="lt-LT"/>
              </w:rPr>
              <w:t>25</w:t>
            </w:r>
            <w:r w:rsidR="00F428C2" w:rsidRPr="00650EE4">
              <w:rPr>
                <w:rFonts w:ascii="Times New Roman" w:eastAsia="Times New Roman" w:hAnsi="Times New Roman"/>
                <w:b/>
                <w:bCs/>
                <w:sz w:val="20"/>
                <w:szCs w:val="20"/>
                <w:lang w:eastAsia="lt-LT"/>
              </w:rPr>
              <w:t>.</w:t>
            </w:r>
            <w:r w:rsidRPr="00650EE4">
              <w:rPr>
                <w:rFonts w:ascii="Times New Roman" w:eastAsia="Times New Roman" w:hAnsi="Times New Roman"/>
                <w:b/>
                <w:bCs/>
                <w:sz w:val="20"/>
                <w:szCs w:val="20"/>
                <w:lang w:eastAsia="lt-LT"/>
              </w:rPr>
              <w:t>332</w:t>
            </w:r>
          </w:p>
        </w:tc>
      </w:tr>
    </w:tbl>
    <w:p w14:paraId="294BE113" w14:textId="5F065D15" w:rsidR="0024319A" w:rsidRPr="00650EE4" w:rsidRDefault="0024319A" w:rsidP="006E13C0">
      <w:pPr>
        <w:rPr>
          <w:rFonts w:ascii="Times New Roman" w:hAnsi="Times New Roman"/>
          <w:szCs w:val="22"/>
        </w:rPr>
      </w:pPr>
    </w:p>
    <w:p w14:paraId="122DDDE7" w14:textId="04A69048" w:rsidR="0024319A" w:rsidRPr="00650EE4" w:rsidRDefault="0024319A" w:rsidP="006E13C0">
      <w:pPr>
        <w:rPr>
          <w:rFonts w:ascii="Times New Roman" w:hAnsi="Times New Roman"/>
          <w:szCs w:val="22"/>
        </w:rPr>
      </w:pPr>
    </w:p>
    <w:p w14:paraId="04F9D7D3" w14:textId="77777777" w:rsidR="0024319A" w:rsidRPr="00650EE4" w:rsidRDefault="0024319A" w:rsidP="006E13C0">
      <w:pPr>
        <w:rPr>
          <w:rFonts w:ascii="Times New Roman" w:hAnsi="Times New Roman"/>
          <w:szCs w:val="22"/>
        </w:rPr>
      </w:pPr>
    </w:p>
    <w:p w14:paraId="1D489B6B" w14:textId="277BE00A" w:rsidR="00F6511E" w:rsidRDefault="00F6511E">
      <w:pPr>
        <w:spacing w:after="240"/>
        <w:rPr>
          <w:rFonts w:ascii="Times New Roman" w:hAnsi="Times New Roman"/>
          <w:color w:val="000000" w:themeColor="text1"/>
          <w:szCs w:val="22"/>
        </w:rPr>
      </w:pPr>
      <w:r>
        <w:rPr>
          <w:rFonts w:ascii="Times New Roman" w:hAnsi="Times New Roman"/>
          <w:color w:val="000000" w:themeColor="text1"/>
          <w:szCs w:val="22"/>
        </w:rPr>
        <w:br w:type="page"/>
      </w:r>
    </w:p>
    <w:p w14:paraId="73625B98" w14:textId="055888CF" w:rsidR="00F6511E" w:rsidRDefault="00F6511E" w:rsidP="00F6511E">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21" w:name="_Toc59107581"/>
      <w:bookmarkStart w:id="222" w:name="_Hlk58493174"/>
      <w:r>
        <w:rPr>
          <w:rFonts w:ascii="Times New Roman" w:hAnsi="Times New Roman"/>
          <w:color w:val="002060"/>
          <w:sz w:val="24"/>
          <w:szCs w:val="24"/>
          <w:lang w:val="en-GB"/>
        </w:rPr>
        <w:lastRenderedPageBreak/>
        <w:t>2</w:t>
      </w:r>
      <w:r w:rsidRPr="00650EE4">
        <w:rPr>
          <w:rFonts w:ascii="Times New Roman" w:hAnsi="Times New Roman"/>
          <w:color w:val="002060"/>
          <w:sz w:val="24"/>
          <w:szCs w:val="24"/>
        </w:rPr>
        <w:t xml:space="preserve"> priedas. Viešosios </w:t>
      </w:r>
      <w:r w:rsidR="00E0606F">
        <w:rPr>
          <w:rFonts w:ascii="Times New Roman" w:hAnsi="Times New Roman"/>
          <w:color w:val="002060"/>
          <w:sz w:val="24"/>
          <w:szCs w:val="24"/>
        </w:rPr>
        <w:t xml:space="preserve">nuosavybės kitų </w:t>
      </w:r>
      <w:r>
        <w:rPr>
          <w:rFonts w:ascii="Times New Roman" w:hAnsi="Times New Roman"/>
          <w:color w:val="002060"/>
          <w:sz w:val="24"/>
          <w:szCs w:val="24"/>
        </w:rPr>
        <w:t>negyvenamųjų pastatų renovacijos tempai</w:t>
      </w:r>
      <w:bookmarkEnd w:id="221"/>
    </w:p>
    <w:p w14:paraId="1F60DEBE" w14:textId="5E68D955" w:rsidR="00F6511E" w:rsidRDefault="00F6511E" w:rsidP="00F6511E">
      <w:pPr>
        <w:jc w:val="both"/>
        <w:rPr>
          <w:rFonts w:ascii="Times New Roman" w:hAnsi="Times New Roman"/>
          <w:szCs w:val="22"/>
        </w:rPr>
      </w:pPr>
      <w:r w:rsidRPr="00650EE4">
        <w:rPr>
          <w:rFonts w:ascii="Times New Roman" w:hAnsi="Times New Roman"/>
          <w:szCs w:val="22"/>
        </w:rPr>
        <w:t>Lentelėse žemiau pateikiami suminiai duomenys api</w:t>
      </w:r>
      <w:r>
        <w:rPr>
          <w:rFonts w:ascii="Times New Roman" w:hAnsi="Times New Roman"/>
          <w:szCs w:val="22"/>
        </w:rPr>
        <w:t>e</w:t>
      </w:r>
      <w:r w:rsidRPr="00650EE4">
        <w:rPr>
          <w:rFonts w:ascii="Times New Roman" w:hAnsi="Times New Roman"/>
          <w:szCs w:val="22"/>
        </w:rPr>
        <w:t xml:space="preserve"> planuojamus </w:t>
      </w:r>
      <w:r>
        <w:rPr>
          <w:rFonts w:ascii="Times New Roman" w:hAnsi="Times New Roman"/>
          <w:szCs w:val="22"/>
        </w:rPr>
        <w:t>viešosios nuosavybės k</w:t>
      </w:r>
      <w:r w:rsidRPr="00650EE4">
        <w:rPr>
          <w:rFonts w:ascii="Times New Roman" w:hAnsi="Times New Roman"/>
          <w:szCs w:val="22"/>
        </w:rPr>
        <w:t>it</w:t>
      </w:r>
      <w:r>
        <w:rPr>
          <w:rFonts w:ascii="Times New Roman" w:hAnsi="Times New Roman"/>
          <w:szCs w:val="22"/>
        </w:rPr>
        <w:t>ų</w:t>
      </w:r>
      <w:r w:rsidRPr="00650EE4">
        <w:rPr>
          <w:rFonts w:ascii="Times New Roman" w:hAnsi="Times New Roman"/>
          <w:szCs w:val="22"/>
        </w:rPr>
        <w:t xml:space="preserve"> negyvenamųjų pastatų renovacijos tempus.</w:t>
      </w:r>
    </w:p>
    <w:p w14:paraId="624DD08D" w14:textId="77777777" w:rsidR="00F6511E" w:rsidRPr="00DC2765" w:rsidRDefault="00F6511E" w:rsidP="00F6511E">
      <w:pPr>
        <w:rPr>
          <w:rFonts w:ascii="Times New Roman" w:hAnsi="Times New Roman"/>
          <w:szCs w:val="22"/>
        </w:rPr>
      </w:pPr>
    </w:p>
    <w:p w14:paraId="5E468D88" w14:textId="11F54EB3" w:rsidR="00F6511E" w:rsidRPr="00650EE4" w:rsidRDefault="00F6511E" w:rsidP="00F6511E">
      <w:pPr>
        <w:pStyle w:val="TESlentelspavadinimas"/>
        <w:rPr>
          <w:noProof w:val="0"/>
        </w:rPr>
      </w:pPr>
      <w:r w:rsidRPr="002B091E">
        <w:rPr>
          <w:noProof w:val="0"/>
        </w:rPr>
        <w:t>Viešosios nuosavybės kitų negyvenamųjų pa</w:t>
      </w:r>
      <w:bookmarkStart w:id="223" w:name="_Hlk58504179"/>
      <w:r w:rsidRPr="002B091E">
        <w:rPr>
          <w:noProof w:val="0"/>
        </w:rPr>
        <w:t xml:space="preserve">statų renovacijos tempai per </w:t>
      </w:r>
      <w:bookmarkEnd w:id="223"/>
      <w:r w:rsidRPr="002B091E">
        <w:rPr>
          <w:noProof w:val="0"/>
        </w:rPr>
        <w:t>metus</w:t>
      </w:r>
      <w:r w:rsidR="00B22AB4">
        <w:rPr>
          <w:noProof w:val="0"/>
        </w:rPr>
        <w:t xml:space="preserve"> (vnt.)</w:t>
      </w:r>
    </w:p>
    <w:tbl>
      <w:tblPr>
        <w:tblW w:w="5000" w:type="pct"/>
        <w:tblLook w:val="04A0" w:firstRow="1" w:lastRow="0" w:firstColumn="1" w:lastColumn="0" w:noHBand="0" w:noVBand="1"/>
      </w:tblPr>
      <w:tblGrid>
        <w:gridCol w:w="2025"/>
        <w:gridCol w:w="1495"/>
        <w:gridCol w:w="1624"/>
        <w:gridCol w:w="1319"/>
        <w:gridCol w:w="1319"/>
        <w:gridCol w:w="1319"/>
        <w:gridCol w:w="1319"/>
      </w:tblGrid>
      <w:tr w:rsidR="00B22AB4" w:rsidRPr="00F6511E" w14:paraId="770C5D7E" w14:textId="77777777" w:rsidTr="00680654">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832EC3E" w14:textId="77777777" w:rsidR="00B22AB4" w:rsidRPr="00F6511E" w:rsidRDefault="00B22AB4" w:rsidP="00680654">
            <w:pPr>
              <w:spacing w:line="240" w:lineRule="auto"/>
              <w:rPr>
                <w:rFonts w:ascii="Times New Roman" w:eastAsia="Times New Roman" w:hAnsi="Times New Roman"/>
                <w:b/>
                <w:bCs/>
                <w:sz w:val="20"/>
                <w:szCs w:val="20"/>
              </w:rPr>
            </w:pPr>
            <w:r w:rsidRPr="00F6511E">
              <w:rPr>
                <w:rFonts w:ascii="Times New Roman" w:eastAsia="Times New Roman" w:hAnsi="Times New Roman"/>
                <w:b/>
                <w:bCs/>
                <w:sz w:val="20"/>
                <w:szCs w:val="20"/>
              </w:rPr>
              <w:t>Pastato etalonas</w:t>
            </w:r>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749DCEFA"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Nuosavybė</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651A3F75"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Mato vnt.</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B016843"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2021-2023</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0099660"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2024-2030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ADAB804"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2031-2040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3D254CF"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2041-2050</w:t>
            </w:r>
          </w:p>
        </w:tc>
      </w:tr>
      <w:tr w:rsidR="00B22AB4" w:rsidRPr="00F6511E" w14:paraId="5D5160E0" w14:textId="77777777" w:rsidTr="00680654">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06B91E0" w14:textId="77777777" w:rsidR="00B22AB4" w:rsidRPr="00F6511E" w:rsidRDefault="00B22AB4" w:rsidP="00680654">
            <w:pPr>
              <w:spacing w:line="240" w:lineRule="auto"/>
              <w:rPr>
                <w:rFonts w:ascii="Times New Roman" w:eastAsia="Times New Roman" w:hAnsi="Times New Roman"/>
                <w:sz w:val="20"/>
                <w:szCs w:val="20"/>
              </w:rPr>
            </w:pPr>
            <w:r w:rsidRPr="00F6511E">
              <w:rPr>
                <w:rFonts w:ascii="Times New Roman" w:eastAsia="Times New Roman" w:hAnsi="Times New Roman"/>
                <w:sz w:val="20"/>
                <w:szCs w:val="20"/>
              </w:rPr>
              <w:t>Kiti negyvenamieji</w:t>
            </w:r>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29C815D1"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Savivaldybių</w:t>
            </w:r>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7BF9CBCA"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vnt./metus</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90BEE8F"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80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19CBA643"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111</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34B628AA"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176</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B42D0CF"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211</w:t>
            </w:r>
          </w:p>
        </w:tc>
      </w:tr>
      <w:tr w:rsidR="00B22AB4" w:rsidRPr="00F6511E" w14:paraId="27D661ED" w14:textId="77777777" w:rsidTr="00680654">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5FE5CC0" w14:textId="77777777" w:rsidR="00B22AB4" w:rsidRPr="00F6511E" w:rsidRDefault="00B22AB4" w:rsidP="00680654">
            <w:pPr>
              <w:spacing w:line="240" w:lineRule="auto"/>
              <w:rPr>
                <w:rFonts w:ascii="Times New Roman" w:eastAsia="Times New Roman" w:hAnsi="Times New Roman"/>
                <w:sz w:val="20"/>
                <w:szCs w:val="20"/>
              </w:rPr>
            </w:pPr>
            <w:r w:rsidRPr="00F6511E">
              <w:rPr>
                <w:rFonts w:ascii="Times New Roman" w:eastAsia="Times New Roman" w:hAnsi="Times New Roman"/>
                <w:sz w:val="20"/>
                <w:szCs w:val="20"/>
              </w:rPr>
              <w:t>Kiti negyvenamieji</w:t>
            </w:r>
          </w:p>
        </w:tc>
        <w:tc>
          <w:tcPr>
            <w:tcW w:w="717" w:type="pct"/>
            <w:tcBorders>
              <w:top w:val="nil"/>
              <w:left w:val="nil"/>
              <w:bottom w:val="single" w:sz="4" w:space="0" w:color="auto"/>
              <w:right w:val="single" w:sz="4" w:space="0" w:color="auto"/>
            </w:tcBorders>
            <w:shd w:val="clear" w:color="000000" w:fill="FFFFFF"/>
            <w:noWrap/>
            <w:vAlign w:val="bottom"/>
            <w:hideMark/>
          </w:tcPr>
          <w:p w14:paraId="5A38F064"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Valstybės</w:t>
            </w:r>
          </w:p>
        </w:tc>
        <w:tc>
          <w:tcPr>
            <w:tcW w:w="779" w:type="pct"/>
            <w:tcBorders>
              <w:top w:val="nil"/>
              <w:left w:val="nil"/>
              <w:bottom w:val="single" w:sz="4" w:space="0" w:color="auto"/>
              <w:right w:val="single" w:sz="4" w:space="0" w:color="auto"/>
            </w:tcBorders>
            <w:shd w:val="clear" w:color="000000" w:fill="FFFFFF"/>
            <w:noWrap/>
            <w:vAlign w:val="center"/>
            <w:hideMark/>
          </w:tcPr>
          <w:p w14:paraId="556B0079"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vnt./metus</w:t>
            </w:r>
          </w:p>
        </w:tc>
        <w:tc>
          <w:tcPr>
            <w:tcW w:w="633" w:type="pct"/>
            <w:tcBorders>
              <w:top w:val="nil"/>
              <w:left w:val="nil"/>
              <w:bottom w:val="single" w:sz="4" w:space="0" w:color="auto"/>
              <w:right w:val="single" w:sz="4" w:space="0" w:color="auto"/>
            </w:tcBorders>
            <w:shd w:val="clear" w:color="000000" w:fill="FFFFFF"/>
            <w:noWrap/>
            <w:vAlign w:val="bottom"/>
            <w:hideMark/>
          </w:tcPr>
          <w:p w14:paraId="04FDFB20"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51</w:t>
            </w:r>
          </w:p>
        </w:tc>
        <w:tc>
          <w:tcPr>
            <w:tcW w:w="633" w:type="pct"/>
            <w:tcBorders>
              <w:top w:val="nil"/>
              <w:left w:val="nil"/>
              <w:bottom w:val="single" w:sz="4" w:space="0" w:color="auto"/>
              <w:right w:val="single" w:sz="4" w:space="0" w:color="auto"/>
            </w:tcBorders>
            <w:shd w:val="clear" w:color="000000" w:fill="FFFFFF"/>
            <w:noWrap/>
            <w:vAlign w:val="bottom"/>
            <w:hideMark/>
          </w:tcPr>
          <w:p w14:paraId="1E97B3F3"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71</w:t>
            </w:r>
          </w:p>
        </w:tc>
        <w:tc>
          <w:tcPr>
            <w:tcW w:w="633" w:type="pct"/>
            <w:tcBorders>
              <w:top w:val="nil"/>
              <w:left w:val="nil"/>
              <w:bottom w:val="single" w:sz="4" w:space="0" w:color="auto"/>
              <w:right w:val="single" w:sz="4" w:space="0" w:color="auto"/>
            </w:tcBorders>
            <w:shd w:val="clear" w:color="000000" w:fill="FFFFFF"/>
            <w:noWrap/>
            <w:vAlign w:val="bottom"/>
            <w:hideMark/>
          </w:tcPr>
          <w:p w14:paraId="3CDF2308"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113</w:t>
            </w:r>
          </w:p>
        </w:tc>
        <w:tc>
          <w:tcPr>
            <w:tcW w:w="633" w:type="pct"/>
            <w:tcBorders>
              <w:top w:val="nil"/>
              <w:left w:val="nil"/>
              <w:bottom w:val="single" w:sz="4" w:space="0" w:color="auto"/>
              <w:right w:val="single" w:sz="4" w:space="0" w:color="auto"/>
            </w:tcBorders>
            <w:shd w:val="clear" w:color="000000" w:fill="FFFFFF"/>
            <w:noWrap/>
            <w:vAlign w:val="bottom"/>
            <w:hideMark/>
          </w:tcPr>
          <w:p w14:paraId="574FB4C2" w14:textId="77777777" w:rsidR="00B22AB4" w:rsidRPr="00F6511E" w:rsidRDefault="00B22AB4" w:rsidP="00680654">
            <w:pPr>
              <w:spacing w:line="240" w:lineRule="auto"/>
              <w:jc w:val="center"/>
              <w:rPr>
                <w:rFonts w:ascii="Times New Roman" w:eastAsia="Times New Roman" w:hAnsi="Times New Roman"/>
                <w:sz w:val="20"/>
                <w:szCs w:val="20"/>
              </w:rPr>
            </w:pPr>
            <w:r w:rsidRPr="00F6511E">
              <w:rPr>
                <w:rFonts w:ascii="Times New Roman" w:eastAsia="Times New Roman" w:hAnsi="Times New Roman"/>
                <w:sz w:val="20"/>
                <w:szCs w:val="20"/>
              </w:rPr>
              <w:t>135</w:t>
            </w:r>
          </w:p>
        </w:tc>
      </w:tr>
      <w:tr w:rsidR="00B22AB4" w:rsidRPr="00F6511E" w14:paraId="680791EE" w14:textId="77777777" w:rsidTr="00680654">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667786B4" w14:textId="77777777" w:rsidR="00B22AB4" w:rsidRPr="00F6511E" w:rsidRDefault="00B22AB4" w:rsidP="00680654">
            <w:pPr>
              <w:spacing w:line="240" w:lineRule="auto"/>
              <w:rPr>
                <w:rFonts w:ascii="Times New Roman" w:eastAsia="Times New Roman" w:hAnsi="Times New Roman"/>
                <w:b/>
                <w:bCs/>
                <w:sz w:val="20"/>
                <w:szCs w:val="20"/>
              </w:rPr>
            </w:pPr>
            <w:r w:rsidRPr="00F6511E">
              <w:rPr>
                <w:rFonts w:ascii="Times New Roman" w:eastAsia="Times New Roman" w:hAnsi="Times New Roman"/>
                <w:b/>
                <w:bCs/>
                <w:sz w:val="20"/>
                <w:szCs w:val="20"/>
              </w:rPr>
              <w:t>Iš viso</w:t>
            </w:r>
          </w:p>
        </w:tc>
        <w:tc>
          <w:tcPr>
            <w:tcW w:w="717" w:type="pct"/>
            <w:tcBorders>
              <w:top w:val="nil"/>
              <w:left w:val="nil"/>
              <w:bottom w:val="single" w:sz="4" w:space="0" w:color="auto"/>
              <w:right w:val="single" w:sz="4" w:space="0" w:color="auto"/>
            </w:tcBorders>
            <w:shd w:val="clear" w:color="000000" w:fill="FFFFFF"/>
            <w:noWrap/>
            <w:vAlign w:val="bottom"/>
            <w:hideMark/>
          </w:tcPr>
          <w:p w14:paraId="12779DC8"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11ECB4D6"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vnt./metus</w:t>
            </w:r>
          </w:p>
        </w:tc>
        <w:tc>
          <w:tcPr>
            <w:tcW w:w="633" w:type="pct"/>
            <w:tcBorders>
              <w:top w:val="nil"/>
              <w:left w:val="nil"/>
              <w:bottom w:val="single" w:sz="4" w:space="0" w:color="auto"/>
              <w:right w:val="single" w:sz="4" w:space="0" w:color="auto"/>
            </w:tcBorders>
            <w:shd w:val="clear" w:color="000000" w:fill="FFFFFF"/>
            <w:noWrap/>
            <w:vAlign w:val="bottom"/>
            <w:hideMark/>
          </w:tcPr>
          <w:p w14:paraId="40E22B8A"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131</w:t>
            </w:r>
          </w:p>
        </w:tc>
        <w:tc>
          <w:tcPr>
            <w:tcW w:w="633" w:type="pct"/>
            <w:tcBorders>
              <w:top w:val="nil"/>
              <w:left w:val="nil"/>
              <w:bottom w:val="single" w:sz="4" w:space="0" w:color="auto"/>
              <w:right w:val="single" w:sz="4" w:space="0" w:color="auto"/>
            </w:tcBorders>
            <w:shd w:val="clear" w:color="000000" w:fill="FFFFFF"/>
            <w:noWrap/>
            <w:vAlign w:val="bottom"/>
            <w:hideMark/>
          </w:tcPr>
          <w:p w14:paraId="3FAD3702"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182</w:t>
            </w:r>
          </w:p>
        </w:tc>
        <w:tc>
          <w:tcPr>
            <w:tcW w:w="633" w:type="pct"/>
            <w:tcBorders>
              <w:top w:val="nil"/>
              <w:left w:val="nil"/>
              <w:bottom w:val="single" w:sz="4" w:space="0" w:color="auto"/>
              <w:right w:val="single" w:sz="4" w:space="0" w:color="auto"/>
            </w:tcBorders>
            <w:shd w:val="clear" w:color="000000" w:fill="FFFFFF"/>
            <w:noWrap/>
            <w:vAlign w:val="bottom"/>
            <w:hideMark/>
          </w:tcPr>
          <w:p w14:paraId="73241473"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289</w:t>
            </w:r>
          </w:p>
        </w:tc>
        <w:tc>
          <w:tcPr>
            <w:tcW w:w="633" w:type="pct"/>
            <w:tcBorders>
              <w:top w:val="nil"/>
              <w:left w:val="nil"/>
              <w:bottom w:val="single" w:sz="4" w:space="0" w:color="auto"/>
              <w:right w:val="single" w:sz="4" w:space="0" w:color="auto"/>
            </w:tcBorders>
            <w:shd w:val="clear" w:color="000000" w:fill="FFFFFF"/>
            <w:noWrap/>
            <w:vAlign w:val="bottom"/>
            <w:hideMark/>
          </w:tcPr>
          <w:p w14:paraId="4A317FFB" w14:textId="77777777" w:rsidR="00B22AB4" w:rsidRPr="00F6511E" w:rsidRDefault="00B22AB4" w:rsidP="00680654">
            <w:pPr>
              <w:spacing w:line="240" w:lineRule="auto"/>
              <w:jc w:val="center"/>
              <w:rPr>
                <w:rFonts w:ascii="Times New Roman" w:eastAsia="Times New Roman" w:hAnsi="Times New Roman"/>
                <w:b/>
                <w:bCs/>
                <w:sz w:val="20"/>
                <w:szCs w:val="20"/>
              </w:rPr>
            </w:pPr>
            <w:r w:rsidRPr="00F6511E">
              <w:rPr>
                <w:rFonts w:ascii="Times New Roman" w:eastAsia="Times New Roman" w:hAnsi="Times New Roman"/>
                <w:b/>
                <w:bCs/>
                <w:sz w:val="20"/>
                <w:szCs w:val="20"/>
              </w:rPr>
              <w:t>347</w:t>
            </w:r>
          </w:p>
        </w:tc>
      </w:tr>
    </w:tbl>
    <w:p w14:paraId="0C6702E4" w14:textId="77777777" w:rsidR="00F6511E" w:rsidRPr="00F6511E" w:rsidRDefault="00F6511E" w:rsidP="00F6511E">
      <w:pPr>
        <w:pStyle w:val="TESlentelspavadinimas"/>
        <w:rPr>
          <w:noProof w:val="0"/>
        </w:rPr>
      </w:pPr>
    </w:p>
    <w:p w14:paraId="7E110839" w14:textId="49D378F0" w:rsidR="00F6511E" w:rsidRPr="00B22AB4" w:rsidRDefault="00F6511E" w:rsidP="00B22AB4">
      <w:pPr>
        <w:pStyle w:val="TESlentelspavadinimas"/>
        <w:rPr>
          <w:noProof w:val="0"/>
        </w:rPr>
      </w:pPr>
      <w:r w:rsidRPr="00F6511E">
        <w:rPr>
          <w:noProof w:val="0"/>
        </w:rPr>
        <w:t>Viešosios nuosavybės kitų negyvenamųjų pastatų renovacijos tempai per metus</w:t>
      </w:r>
      <w:r w:rsidR="00B22AB4">
        <w:rPr>
          <w:noProof w:val="0"/>
        </w:rPr>
        <w:t xml:space="preserve"> (</w:t>
      </w:r>
      <w:r w:rsidR="00B22AB4" w:rsidRPr="009D2A06">
        <w:rPr>
          <w:rFonts w:eastAsia="Times New Roman"/>
          <w:lang w:val="en-US"/>
        </w:rPr>
        <w:t>tūkst. m</w:t>
      </w:r>
      <w:r w:rsidR="00B22AB4" w:rsidRPr="00B22AB4">
        <w:rPr>
          <w:rFonts w:eastAsia="Times New Roman"/>
          <w:vertAlign w:val="superscript"/>
          <w:lang w:val="en-US"/>
        </w:rPr>
        <w:t>2</w:t>
      </w:r>
      <w:r w:rsidR="00B22AB4">
        <w:rPr>
          <w:rFonts w:eastAsia="Times New Roman"/>
          <w:lang w:val="en-US"/>
        </w:rPr>
        <w:t>)</w:t>
      </w:r>
    </w:p>
    <w:tbl>
      <w:tblPr>
        <w:tblW w:w="5000" w:type="pct"/>
        <w:tblLook w:val="04A0" w:firstRow="1" w:lastRow="0" w:firstColumn="1" w:lastColumn="0" w:noHBand="0" w:noVBand="1"/>
      </w:tblPr>
      <w:tblGrid>
        <w:gridCol w:w="2025"/>
        <w:gridCol w:w="1495"/>
        <w:gridCol w:w="1624"/>
        <w:gridCol w:w="1319"/>
        <w:gridCol w:w="1319"/>
        <w:gridCol w:w="1319"/>
        <w:gridCol w:w="1319"/>
      </w:tblGrid>
      <w:tr w:rsidR="00B22AB4" w:rsidRPr="002B091E" w14:paraId="6042F0B5" w14:textId="77777777" w:rsidTr="00680654">
        <w:trPr>
          <w:trHeight w:val="262"/>
        </w:trPr>
        <w:tc>
          <w:tcPr>
            <w:tcW w:w="971"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2816D01" w14:textId="77777777" w:rsidR="00B22AB4" w:rsidRPr="002B091E" w:rsidRDefault="00B22AB4" w:rsidP="00680654">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717" w:type="pct"/>
            <w:tcBorders>
              <w:top w:val="single" w:sz="4" w:space="0" w:color="auto"/>
              <w:left w:val="nil"/>
              <w:bottom w:val="single" w:sz="4" w:space="0" w:color="auto"/>
              <w:right w:val="single" w:sz="4" w:space="0" w:color="auto"/>
            </w:tcBorders>
            <w:shd w:val="clear" w:color="000000" w:fill="FFFFFF"/>
            <w:noWrap/>
            <w:vAlign w:val="bottom"/>
            <w:hideMark/>
          </w:tcPr>
          <w:p w14:paraId="2A3F9D53"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779" w:type="pct"/>
            <w:tcBorders>
              <w:top w:val="single" w:sz="4" w:space="0" w:color="auto"/>
              <w:left w:val="nil"/>
              <w:bottom w:val="single" w:sz="4" w:space="0" w:color="auto"/>
              <w:right w:val="single" w:sz="4" w:space="0" w:color="auto"/>
            </w:tcBorders>
            <w:shd w:val="clear" w:color="000000" w:fill="FFFFFF"/>
            <w:noWrap/>
            <w:vAlign w:val="center"/>
            <w:hideMark/>
          </w:tcPr>
          <w:p w14:paraId="65834A73"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78CBFAAF"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45D14C5"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41F29385"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633" w:type="pct"/>
            <w:tcBorders>
              <w:top w:val="single" w:sz="4" w:space="0" w:color="auto"/>
              <w:left w:val="nil"/>
              <w:bottom w:val="single" w:sz="4" w:space="0" w:color="auto"/>
              <w:right w:val="single" w:sz="4" w:space="0" w:color="auto"/>
            </w:tcBorders>
            <w:shd w:val="clear" w:color="000000" w:fill="FFFFFF"/>
            <w:noWrap/>
            <w:vAlign w:val="bottom"/>
            <w:hideMark/>
          </w:tcPr>
          <w:p w14:paraId="121239E0"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0DBFC21B" w14:textId="77777777" w:rsidTr="00680654">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31941A6"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7AF83460"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779" w:type="pct"/>
            <w:tcBorders>
              <w:top w:val="nil"/>
              <w:left w:val="nil"/>
              <w:bottom w:val="single" w:sz="4" w:space="0" w:color="auto"/>
              <w:right w:val="single" w:sz="4" w:space="0" w:color="auto"/>
            </w:tcBorders>
            <w:shd w:val="clear" w:color="000000" w:fill="FFFFFF"/>
            <w:noWrap/>
            <w:vAlign w:val="center"/>
            <w:hideMark/>
          </w:tcPr>
          <w:p w14:paraId="1EFE3420"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r w:rsidRPr="009D2A06">
              <w:rPr>
                <w:rFonts w:ascii="Times New Roman" w:eastAsia="Times New Roman" w:hAnsi="Times New Roman"/>
                <w:sz w:val="20"/>
                <w:szCs w:val="20"/>
                <w:lang w:val="en-US"/>
              </w:rPr>
              <w:t>/</w:t>
            </w:r>
            <w:proofErr w:type="spellStart"/>
            <w:r w:rsidRPr="009D2A06">
              <w:rPr>
                <w:rFonts w:ascii="Times New Roman" w:eastAsia="Times New Roman" w:hAnsi="Times New Roman"/>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19227396"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46</w:t>
            </w:r>
          </w:p>
        </w:tc>
        <w:tc>
          <w:tcPr>
            <w:tcW w:w="633" w:type="pct"/>
            <w:tcBorders>
              <w:top w:val="nil"/>
              <w:left w:val="nil"/>
              <w:bottom w:val="single" w:sz="4" w:space="0" w:color="auto"/>
              <w:right w:val="single" w:sz="4" w:space="0" w:color="auto"/>
            </w:tcBorders>
            <w:shd w:val="clear" w:color="000000" w:fill="FFFFFF"/>
            <w:noWrap/>
            <w:vAlign w:val="bottom"/>
            <w:hideMark/>
          </w:tcPr>
          <w:p w14:paraId="59B911AA"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110</w:t>
            </w:r>
          </w:p>
        </w:tc>
        <w:tc>
          <w:tcPr>
            <w:tcW w:w="633" w:type="pct"/>
            <w:tcBorders>
              <w:top w:val="nil"/>
              <w:left w:val="nil"/>
              <w:bottom w:val="single" w:sz="4" w:space="0" w:color="auto"/>
              <w:right w:val="single" w:sz="4" w:space="0" w:color="auto"/>
            </w:tcBorders>
            <w:shd w:val="clear" w:color="000000" w:fill="FFFFFF"/>
            <w:noWrap/>
            <w:vAlign w:val="bottom"/>
            <w:hideMark/>
          </w:tcPr>
          <w:p w14:paraId="2BE78E3C"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228</w:t>
            </w:r>
          </w:p>
        </w:tc>
        <w:tc>
          <w:tcPr>
            <w:tcW w:w="633" w:type="pct"/>
            <w:tcBorders>
              <w:top w:val="nil"/>
              <w:left w:val="nil"/>
              <w:bottom w:val="single" w:sz="4" w:space="0" w:color="auto"/>
              <w:right w:val="single" w:sz="4" w:space="0" w:color="auto"/>
            </w:tcBorders>
            <w:shd w:val="clear" w:color="000000" w:fill="FFFFFF"/>
            <w:noWrap/>
            <w:vAlign w:val="bottom"/>
            <w:hideMark/>
          </w:tcPr>
          <w:p w14:paraId="6D4867B7"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307</w:t>
            </w:r>
          </w:p>
        </w:tc>
      </w:tr>
      <w:tr w:rsidR="00B22AB4" w:rsidRPr="009D2A06" w14:paraId="011138A3" w14:textId="77777777" w:rsidTr="00680654">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10864B92"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0B0DD7A4"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779" w:type="pct"/>
            <w:tcBorders>
              <w:top w:val="nil"/>
              <w:left w:val="nil"/>
              <w:bottom w:val="single" w:sz="4" w:space="0" w:color="auto"/>
              <w:right w:val="single" w:sz="4" w:space="0" w:color="auto"/>
            </w:tcBorders>
            <w:shd w:val="clear" w:color="000000" w:fill="FFFFFF"/>
            <w:noWrap/>
            <w:vAlign w:val="center"/>
            <w:hideMark/>
          </w:tcPr>
          <w:p w14:paraId="2D165983"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r w:rsidRPr="009D2A06">
              <w:rPr>
                <w:rFonts w:ascii="Times New Roman" w:eastAsia="Times New Roman" w:hAnsi="Times New Roman"/>
                <w:sz w:val="20"/>
                <w:szCs w:val="20"/>
                <w:lang w:val="en-US"/>
              </w:rPr>
              <w:t>/</w:t>
            </w:r>
            <w:proofErr w:type="spellStart"/>
            <w:r w:rsidRPr="009D2A06">
              <w:rPr>
                <w:rFonts w:ascii="Times New Roman" w:eastAsia="Times New Roman" w:hAnsi="Times New Roman"/>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4D74D380"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121</w:t>
            </w:r>
          </w:p>
        </w:tc>
        <w:tc>
          <w:tcPr>
            <w:tcW w:w="633" w:type="pct"/>
            <w:tcBorders>
              <w:top w:val="nil"/>
              <w:left w:val="nil"/>
              <w:bottom w:val="single" w:sz="4" w:space="0" w:color="auto"/>
              <w:right w:val="single" w:sz="4" w:space="0" w:color="auto"/>
            </w:tcBorders>
            <w:shd w:val="clear" w:color="000000" w:fill="FFFFFF"/>
            <w:noWrap/>
            <w:vAlign w:val="bottom"/>
            <w:hideMark/>
          </w:tcPr>
          <w:p w14:paraId="15E2B855"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123</w:t>
            </w:r>
          </w:p>
        </w:tc>
        <w:tc>
          <w:tcPr>
            <w:tcW w:w="633" w:type="pct"/>
            <w:tcBorders>
              <w:top w:val="nil"/>
              <w:left w:val="nil"/>
              <w:bottom w:val="single" w:sz="4" w:space="0" w:color="auto"/>
              <w:right w:val="single" w:sz="4" w:space="0" w:color="auto"/>
            </w:tcBorders>
            <w:shd w:val="clear" w:color="000000" w:fill="FFFFFF"/>
            <w:noWrap/>
            <w:vAlign w:val="bottom"/>
            <w:hideMark/>
          </w:tcPr>
          <w:p w14:paraId="35C65EC2"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143</w:t>
            </w:r>
          </w:p>
        </w:tc>
        <w:tc>
          <w:tcPr>
            <w:tcW w:w="633" w:type="pct"/>
            <w:tcBorders>
              <w:top w:val="nil"/>
              <w:left w:val="nil"/>
              <w:bottom w:val="single" w:sz="4" w:space="0" w:color="auto"/>
              <w:right w:val="single" w:sz="4" w:space="0" w:color="auto"/>
            </w:tcBorders>
            <w:shd w:val="clear" w:color="000000" w:fill="FFFFFF"/>
            <w:noWrap/>
            <w:vAlign w:val="bottom"/>
            <w:hideMark/>
          </w:tcPr>
          <w:p w14:paraId="162E1611"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137</w:t>
            </w:r>
          </w:p>
        </w:tc>
      </w:tr>
      <w:tr w:rsidR="00B22AB4" w:rsidRPr="009D2A06" w14:paraId="5A47D7D2" w14:textId="77777777" w:rsidTr="00680654">
        <w:trPr>
          <w:trHeight w:val="262"/>
        </w:trPr>
        <w:tc>
          <w:tcPr>
            <w:tcW w:w="971" w:type="pct"/>
            <w:tcBorders>
              <w:top w:val="nil"/>
              <w:left w:val="single" w:sz="4" w:space="0" w:color="auto"/>
              <w:bottom w:val="single" w:sz="4" w:space="0" w:color="auto"/>
              <w:right w:val="single" w:sz="4" w:space="0" w:color="auto"/>
            </w:tcBorders>
            <w:shd w:val="clear" w:color="000000" w:fill="FFFFFF"/>
            <w:noWrap/>
            <w:vAlign w:val="bottom"/>
            <w:hideMark/>
          </w:tcPr>
          <w:p w14:paraId="0CB66A02" w14:textId="77777777" w:rsidR="00B22AB4" w:rsidRPr="009D2A06" w:rsidRDefault="00B22AB4" w:rsidP="00680654">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717" w:type="pct"/>
            <w:tcBorders>
              <w:top w:val="nil"/>
              <w:left w:val="nil"/>
              <w:bottom w:val="single" w:sz="4" w:space="0" w:color="auto"/>
              <w:right w:val="single" w:sz="4" w:space="0" w:color="auto"/>
            </w:tcBorders>
            <w:shd w:val="clear" w:color="000000" w:fill="FFFFFF"/>
            <w:noWrap/>
            <w:vAlign w:val="bottom"/>
            <w:hideMark/>
          </w:tcPr>
          <w:p w14:paraId="4D0D8952"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779" w:type="pct"/>
            <w:tcBorders>
              <w:top w:val="nil"/>
              <w:left w:val="nil"/>
              <w:bottom w:val="single" w:sz="4" w:space="0" w:color="auto"/>
              <w:right w:val="single" w:sz="4" w:space="0" w:color="auto"/>
            </w:tcBorders>
            <w:shd w:val="clear" w:color="000000" w:fill="FFFFFF"/>
            <w:noWrap/>
            <w:vAlign w:val="center"/>
            <w:hideMark/>
          </w:tcPr>
          <w:p w14:paraId="1B59F5C8"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tūkst</w:t>
            </w:r>
            <w:proofErr w:type="spellEnd"/>
            <w:r w:rsidRPr="009D2A06">
              <w:rPr>
                <w:rFonts w:ascii="Times New Roman" w:eastAsia="Times New Roman" w:hAnsi="Times New Roman"/>
                <w:b/>
                <w:bCs/>
                <w:sz w:val="20"/>
                <w:szCs w:val="20"/>
                <w:lang w:val="en-US"/>
              </w:rPr>
              <w:t>. m</w:t>
            </w:r>
            <w:r w:rsidRPr="00B22AB4">
              <w:rPr>
                <w:rFonts w:ascii="Times New Roman" w:eastAsia="Times New Roman" w:hAnsi="Times New Roman"/>
                <w:b/>
                <w:bCs/>
                <w:sz w:val="20"/>
                <w:szCs w:val="20"/>
                <w:vertAlign w:val="superscript"/>
                <w:lang w:val="en-US"/>
              </w:rPr>
              <w:t>2</w:t>
            </w:r>
            <w:r w:rsidRPr="009D2A06">
              <w:rPr>
                <w:rFonts w:ascii="Times New Roman" w:eastAsia="Times New Roman" w:hAnsi="Times New Roman"/>
                <w:b/>
                <w:bCs/>
                <w:sz w:val="20"/>
                <w:szCs w:val="20"/>
                <w:lang w:val="en-US"/>
              </w:rPr>
              <w:t>/</w:t>
            </w:r>
            <w:proofErr w:type="spellStart"/>
            <w:r w:rsidRPr="009D2A06">
              <w:rPr>
                <w:rFonts w:ascii="Times New Roman" w:eastAsia="Times New Roman" w:hAnsi="Times New Roman"/>
                <w:b/>
                <w:bCs/>
                <w:sz w:val="20"/>
                <w:szCs w:val="20"/>
                <w:lang w:val="en-US"/>
              </w:rPr>
              <w:t>metus</w:t>
            </w:r>
            <w:proofErr w:type="spellEnd"/>
          </w:p>
        </w:tc>
        <w:tc>
          <w:tcPr>
            <w:tcW w:w="633" w:type="pct"/>
            <w:tcBorders>
              <w:top w:val="nil"/>
              <w:left w:val="nil"/>
              <w:bottom w:val="single" w:sz="4" w:space="0" w:color="auto"/>
              <w:right w:val="single" w:sz="4" w:space="0" w:color="auto"/>
            </w:tcBorders>
            <w:shd w:val="clear" w:color="000000" w:fill="FFFFFF"/>
            <w:noWrap/>
            <w:vAlign w:val="bottom"/>
            <w:hideMark/>
          </w:tcPr>
          <w:p w14:paraId="6536B380"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167</w:t>
            </w:r>
          </w:p>
        </w:tc>
        <w:tc>
          <w:tcPr>
            <w:tcW w:w="633" w:type="pct"/>
            <w:tcBorders>
              <w:top w:val="nil"/>
              <w:left w:val="nil"/>
              <w:bottom w:val="single" w:sz="4" w:space="0" w:color="auto"/>
              <w:right w:val="single" w:sz="4" w:space="0" w:color="auto"/>
            </w:tcBorders>
            <w:shd w:val="clear" w:color="000000" w:fill="FFFFFF"/>
            <w:noWrap/>
            <w:vAlign w:val="bottom"/>
            <w:hideMark/>
          </w:tcPr>
          <w:p w14:paraId="7E911807"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233</w:t>
            </w:r>
          </w:p>
        </w:tc>
        <w:tc>
          <w:tcPr>
            <w:tcW w:w="633" w:type="pct"/>
            <w:tcBorders>
              <w:top w:val="nil"/>
              <w:left w:val="nil"/>
              <w:bottom w:val="single" w:sz="4" w:space="0" w:color="auto"/>
              <w:right w:val="single" w:sz="4" w:space="0" w:color="auto"/>
            </w:tcBorders>
            <w:shd w:val="clear" w:color="000000" w:fill="FFFFFF"/>
            <w:noWrap/>
            <w:vAlign w:val="bottom"/>
            <w:hideMark/>
          </w:tcPr>
          <w:p w14:paraId="1F53BF47"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371</w:t>
            </w:r>
          </w:p>
        </w:tc>
        <w:tc>
          <w:tcPr>
            <w:tcW w:w="633" w:type="pct"/>
            <w:tcBorders>
              <w:top w:val="nil"/>
              <w:left w:val="nil"/>
              <w:bottom w:val="single" w:sz="4" w:space="0" w:color="auto"/>
              <w:right w:val="single" w:sz="4" w:space="0" w:color="auto"/>
            </w:tcBorders>
            <w:shd w:val="clear" w:color="000000" w:fill="FFFFFF"/>
            <w:noWrap/>
            <w:vAlign w:val="bottom"/>
            <w:hideMark/>
          </w:tcPr>
          <w:p w14:paraId="6ADDCE7F"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444</w:t>
            </w:r>
          </w:p>
        </w:tc>
      </w:tr>
    </w:tbl>
    <w:p w14:paraId="1264724B" w14:textId="77777777" w:rsidR="00B22AB4" w:rsidRPr="00F6511E" w:rsidRDefault="00B22AB4" w:rsidP="00F6511E">
      <w:pPr>
        <w:rPr>
          <w:rFonts w:ascii="Times New Roman" w:hAnsi="Times New Roman"/>
          <w:szCs w:val="22"/>
        </w:rPr>
      </w:pPr>
    </w:p>
    <w:p w14:paraId="6E757202" w14:textId="5A55CAC0" w:rsidR="00F6511E" w:rsidRPr="00F6511E" w:rsidRDefault="00F6511E" w:rsidP="00F6511E">
      <w:pPr>
        <w:pStyle w:val="TESlentelspavadinimas"/>
        <w:rPr>
          <w:noProof w:val="0"/>
        </w:rPr>
      </w:pPr>
      <w:r w:rsidRPr="00F6511E">
        <w:rPr>
          <w:noProof w:val="0"/>
        </w:rPr>
        <w:t>Viešosios nuosavybės kitų negyvenamųjų pastatų renovacijos tempai iš viso per laikotarpį</w:t>
      </w:r>
      <w:r w:rsidR="00B22AB4">
        <w:rPr>
          <w:noProof w:val="0"/>
        </w:rPr>
        <w:t xml:space="preserve"> </w:t>
      </w:r>
      <w:r w:rsidR="00B22AB4">
        <w:rPr>
          <w:noProof w:val="0"/>
        </w:rPr>
        <w:t>(vnt.)</w:t>
      </w:r>
    </w:p>
    <w:tbl>
      <w:tblPr>
        <w:tblW w:w="5000" w:type="pct"/>
        <w:tblLook w:val="04A0" w:firstRow="1" w:lastRow="0" w:firstColumn="1" w:lastColumn="0" w:noHBand="0" w:noVBand="1"/>
      </w:tblPr>
      <w:tblGrid>
        <w:gridCol w:w="2031"/>
        <w:gridCol w:w="1686"/>
        <w:gridCol w:w="1792"/>
        <w:gridCol w:w="1205"/>
        <w:gridCol w:w="1238"/>
        <w:gridCol w:w="1238"/>
        <w:gridCol w:w="1230"/>
      </w:tblGrid>
      <w:tr w:rsidR="00B22AB4" w:rsidRPr="002B091E" w14:paraId="3B9B68C3" w14:textId="77777777" w:rsidTr="00680654">
        <w:trPr>
          <w:trHeight w:val="188"/>
        </w:trPr>
        <w:tc>
          <w:tcPr>
            <w:tcW w:w="975"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1B23DFA" w14:textId="77777777" w:rsidR="00B22AB4" w:rsidRPr="002B091E" w:rsidRDefault="00B22AB4" w:rsidP="00680654">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809" w:type="pct"/>
            <w:tcBorders>
              <w:top w:val="single" w:sz="4" w:space="0" w:color="auto"/>
              <w:left w:val="nil"/>
              <w:bottom w:val="single" w:sz="4" w:space="0" w:color="auto"/>
              <w:right w:val="single" w:sz="4" w:space="0" w:color="auto"/>
            </w:tcBorders>
            <w:shd w:val="clear" w:color="000000" w:fill="FFFFFF"/>
            <w:noWrap/>
            <w:vAlign w:val="bottom"/>
            <w:hideMark/>
          </w:tcPr>
          <w:p w14:paraId="2E004F54"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860" w:type="pct"/>
            <w:tcBorders>
              <w:top w:val="single" w:sz="4" w:space="0" w:color="auto"/>
              <w:left w:val="nil"/>
              <w:bottom w:val="single" w:sz="4" w:space="0" w:color="auto"/>
              <w:right w:val="single" w:sz="4" w:space="0" w:color="auto"/>
            </w:tcBorders>
            <w:shd w:val="clear" w:color="000000" w:fill="FFFFFF"/>
            <w:noWrap/>
            <w:vAlign w:val="bottom"/>
            <w:hideMark/>
          </w:tcPr>
          <w:p w14:paraId="5CF00323"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578" w:type="pct"/>
            <w:tcBorders>
              <w:top w:val="single" w:sz="4" w:space="0" w:color="auto"/>
              <w:left w:val="nil"/>
              <w:bottom w:val="single" w:sz="4" w:space="0" w:color="auto"/>
              <w:right w:val="single" w:sz="4" w:space="0" w:color="auto"/>
            </w:tcBorders>
            <w:shd w:val="clear" w:color="000000" w:fill="FFFFFF"/>
            <w:noWrap/>
            <w:vAlign w:val="bottom"/>
            <w:hideMark/>
          </w:tcPr>
          <w:p w14:paraId="7EB53A57"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594" w:type="pct"/>
            <w:tcBorders>
              <w:top w:val="single" w:sz="4" w:space="0" w:color="auto"/>
              <w:left w:val="nil"/>
              <w:bottom w:val="single" w:sz="4" w:space="0" w:color="auto"/>
              <w:right w:val="single" w:sz="4" w:space="0" w:color="auto"/>
            </w:tcBorders>
            <w:shd w:val="clear" w:color="000000" w:fill="FFFFFF"/>
            <w:noWrap/>
            <w:vAlign w:val="bottom"/>
            <w:hideMark/>
          </w:tcPr>
          <w:p w14:paraId="098C19A3"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594" w:type="pct"/>
            <w:tcBorders>
              <w:top w:val="single" w:sz="4" w:space="0" w:color="auto"/>
              <w:left w:val="nil"/>
              <w:bottom w:val="single" w:sz="4" w:space="0" w:color="auto"/>
              <w:right w:val="single" w:sz="4" w:space="0" w:color="auto"/>
            </w:tcBorders>
            <w:shd w:val="clear" w:color="000000" w:fill="FFFFFF"/>
            <w:noWrap/>
            <w:vAlign w:val="bottom"/>
            <w:hideMark/>
          </w:tcPr>
          <w:p w14:paraId="5EC0499F"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591" w:type="pct"/>
            <w:tcBorders>
              <w:top w:val="single" w:sz="4" w:space="0" w:color="auto"/>
              <w:left w:val="nil"/>
              <w:bottom w:val="single" w:sz="4" w:space="0" w:color="auto"/>
              <w:right w:val="single" w:sz="4" w:space="0" w:color="auto"/>
            </w:tcBorders>
            <w:shd w:val="clear" w:color="000000" w:fill="FFFFFF"/>
            <w:noWrap/>
            <w:vAlign w:val="bottom"/>
            <w:hideMark/>
          </w:tcPr>
          <w:p w14:paraId="11D53693"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4FE2CF11" w14:textId="77777777" w:rsidTr="00680654">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540EE5FE"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5A9A235A"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860" w:type="pct"/>
            <w:tcBorders>
              <w:top w:val="nil"/>
              <w:left w:val="nil"/>
              <w:bottom w:val="single" w:sz="4" w:space="0" w:color="auto"/>
              <w:right w:val="single" w:sz="4" w:space="0" w:color="auto"/>
            </w:tcBorders>
            <w:shd w:val="clear" w:color="000000" w:fill="FFFFFF"/>
            <w:noWrap/>
            <w:vAlign w:val="bottom"/>
            <w:hideMark/>
          </w:tcPr>
          <w:p w14:paraId="664B2AFB"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vnt</w:t>
            </w:r>
            <w:proofErr w:type="spellEnd"/>
            <w:r w:rsidRPr="009D2A06">
              <w:rPr>
                <w:rFonts w:ascii="Times New Roman" w:eastAsia="Times New Roman" w:hAnsi="Times New Roman"/>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6CBCBF9D"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109</w:t>
            </w:r>
          </w:p>
        </w:tc>
        <w:tc>
          <w:tcPr>
            <w:tcW w:w="594" w:type="pct"/>
            <w:tcBorders>
              <w:top w:val="nil"/>
              <w:left w:val="nil"/>
              <w:bottom w:val="single" w:sz="4" w:space="0" w:color="auto"/>
              <w:right w:val="single" w:sz="4" w:space="0" w:color="auto"/>
            </w:tcBorders>
            <w:shd w:val="clear" w:color="000000" w:fill="FFFFFF"/>
            <w:noWrap/>
            <w:vAlign w:val="bottom"/>
            <w:hideMark/>
          </w:tcPr>
          <w:p w14:paraId="200FE179"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605</w:t>
            </w:r>
          </w:p>
        </w:tc>
        <w:tc>
          <w:tcPr>
            <w:tcW w:w="594" w:type="pct"/>
            <w:tcBorders>
              <w:top w:val="nil"/>
              <w:left w:val="nil"/>
              <w:bottom w:val="single" w:sz="4" w:space="0" w:color="auto"/>
              <w:right w:val="single" w:sz="4" w:space="0" w:color="auto"/>
            </w:tcBorders>
            <w:shd w:val="clear" w:color="000000" w:fill="FFFFFF"/>
            <w:noWrap/>
            <w:vAlign w:val="bottom"/>
            <w:hideMark/>
          </w:tcPr>
          <w:p w14:paraId="1C49A6F7"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1780</w:t>
            </w:r>
          </w:p>
        </w:tc>
        <w:tc>
          <w:tcPr>
            <w:tcW w:w="591" w:type="pct"/>
            <w:tcBorders>
              <w:top w:val="nil"/>
              <w:left w:val="nil"/>
              <w:bottom w:val="single" w:sz="4" w:space="0" w:color="auto"/>
              <w:right w:val="single" w:sz="4" w:space="0" w:color="auto"/>
            </w:tcBorders>
            <w:shd w:val="clear" w:color="000000" w:fill="FFFFFF"/>
            <w:noWrap/>
            <w:vAlign w:val="bottom"/>
            <w:hideMark/>
          </w:tcPr>
          <w:p w14:paraId="50971A8F"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2394</w:t>
            </w:r>
          </w:p>
        </w:tc>
      </w:tr>
      <w:tr w:rsidR="00B22AB4" w:rsidRPr="009D2A06" w14:paraId="0CACFB0D" w14:textId="77777777" w:rsidTr="00680654">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4B2EA753"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57D6076C"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860" w:type="pct"/>
            <w:tcBorders>
              <w:top w:val="nil"/>
              <w:left w:val="nil"/>
              <w:bottom w:val="single" w:sz="4" w:space="0" w:color="auto"/>
              <w:right w:val="single" w:sz="4" w:space="0" w:color="auto"/>
            </w:tcBorders>
            <w:shd w:val="clear" w:color="000000" w:fill="FFFFFF"/>
            <w:noWrap/>
            <w:vAlign w:val="bottom"/>
            <w:hideMark/>
          </w:tcPr>
          <w:p w14:paraId="48E7A622"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vnt</w:t>
            </w:r>
            <w:proofErr w:type="spellEnd"/>
            <w:r w:rsidRPr="009D2A06">
              <w:rPr>
                <w:rFonts w:ascii="Times New Roman" w:eastAsia="Times New Roman" w:hAnsi="Times New Roman"/>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79DD2F67"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283</w:t>
            </w:r>
          </w:p>
        </w:tc>
        <w:tc>
          <w:tcPr>
            <w:tcW w:w="594" w:type="pct"/>
            <w:tcBorders>
              <w:top w:val="nil"/>
              <w:left w:val="nil"/>
              <w:bottom w:val="single" w:sz="4" w:space="0" w:color="auto"/>
              <w:right w:val="single" w:sz="4" w:space="0" w:color="auto"/>
            </w:tcBorders>
            <w:shd w:val="clear" w:color="000000" w:fill="FFFFFF"/>
            <w:noWrap/>
            <w:vAlign w:val="bottom"/>
            <w:hideMark/>
          </w:tcPr>
          <w:p w14:paraId="35708671"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666</w:t>
            </w:r>
          </w:p>
        </w:tc>
        <w:tc>
          <w:tcPr>
            <w:tcW w:w="594" w:type="pct"/>
            <w:tcBorders>
              <w:top w:val="nil"/>
              <w:left w:val="nil"/>
              <w:bottom w:val="single" w:sz="4" w:space="0" w:color="auto"/>
              <w:right w:val="single" w:sz="4" w:space="0" w:color="auto"/>
            </w:tcBorders>
            <w:shd w:val="clear" w:color="000000" w:fill="FFFFFF"/>
            <w:noWrap/>
            <w:vAlign w:val="bottom"/>
            <w:hideMark/>
          </w:tcPr>
          <w:p w14:paraId="38E278D7"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1114</w:t>
            </w:r>
          </w:p>
        </w:tc>
        <w:tc>
          <w:tcPr>
            <w:tcW w:w="591" w:type="pct"/>
            <w:tcBorders>
              <w:top w:val="nil"/>
              <w:left w:val="nil"/>
              <w:bottom w:val="single" w:sz="4" w:space="0" w:color="auto"/>
              <w:right w:val="single" w:sz="4" w:space="0" w:color="auto"/>
            </w:tcBorders>
            <w:shd w:val="clear" w:color="000000" w:fill="FFFFFF"/>
            <w:noWrap/>
            <w:vAlign w:val="bottom"/>
            <w:hideMark/>
          </w:tcPr>
          <w:p w14:paraId="63429723"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1071</w:t>
            </w:r>
          </w:p>
        </w:tc>
      </w:tr>
      <w:tr w:rsidR="00B22AB4" w:rsidRPr="009D2A06" w14:paraId="36FA6462" w14:textId="77777777" w:rsidTr="00680654">
        <w:trPr>
          <w:trHeight w:val="188"/>
        </w:trPr>
        <w:tc>
          <w:tcPr>
            <w:tcW w:w="975" w:type="pct"/>
            <w:tcBorders>
              <w:top w:val="nil"/>
              <w:left w:val="single" w:sz="4" w:space="0" w:color="auto"/>
              <w:bottom w:val="single" w:sz="4" w:space="0" w:color="auto"/>
              <w:right w:val="single" w:sz="4" w:space="0" w:color="auto"/>
            </w:tcBorders>
            <w:shd w:val="clear" w:color="000000" w:fill="FFFFFF"/>
            <w:noWrap/>
            <w:vAlign w:val="bottom"/>
            <w:hideMark/>
          </w:tcPr>
          <w:p w14:paraId="6327D353" w14:textId="77777777" w:rsidR="00B22AB4" w:rsidRPr="009D2A06" w:rsidRDefault="00B22AB4" w:rsidP="00680654">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809" w:type="pct"/>
            <w:tcBorders>
              <w:top w:val="nil"/>
              <w:left w:val="nil"/>
              <w:bottom w:val="single" w:sz="4" w:space="0" w:color="auto"/>
              <w:right w:val="single" w:sz="4" w:space="0" w:color="auto"/>
            </w:tcBorders>
            <w:shd w:val="clear" w:color="000000" w:fill="FFFFFF"/>
            <w:noWrap/>
            <w:vAlign w:val="bottom"/>
            <w:hideMark/>
          </w:tcPr>
          <w:p w14:paraId="09E2FA70"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860" w:type="pct"/>
            <w:tcBorders>
              <w:top w:val="nil"/>
              <w:left w:val="nil"/>
              <w:bottom w:val="single" w:sz="4" w:space="0" w:color="auto"/>
              <w:right w:val="single" w:sz="4" w:space="0" w:color="auto"/>
            </w:tcBorders>
            <w:shd w:val="clear" w:color="000000" w:fill="FFFFFF"/>
            <w:noWrap/>
            <w:vAlign w:val="bottom"/>
            <w:hideMark/>
          </w:tcPr>
          <w:p w14:paraId="63AE41A6"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vnt</w:t>
            </w:r>
            <w:proofErr w:type="spellEnd"/>
            <w:r w:rsidRPr="009D2A06">
              <w:rPr>
                <w:rFonts w:ascii="Times New Roman" w:eastAsia="Times New Roman" w:hAnsi="Times New Roman"/>
                <w:b/>
                <w:bCs/>
                <w:sz w:val="20"/>
                <w:szCs w:val="20"/>
                <w:lang w:val="en-US"/>
              </w:rPr>
              <w:t>.</w:t>
            </w:r>
          </w:p>
        </w:tc>
        <w:tc>
          <w:tcPr>
            <w:tcW w:w="578" w:type="pct"/>
            <w:tcBorders>
              <w:top w:val="nil"/>
              <w:left w:val="nil"/>
              <w:bottom w:val="single" w:sz="4" w:space="0" w:color="auto"/>
              <w:right w:val="single" w:sz="4" w:space="0" w:color="auto"/>
            </w:tcBorders>
            <w:shd w:val="clear" w:color="000000" w:fill="FFFFFF"/>
            <w:noWrap/>
            <w:vAlign w:val="bottom"/>
            <w:hideMark/>
          </w:tcPr>
          <w:p w14:paraId="2F196887"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392</w:t>
            </w:r>
          </w:p>
        </w:tc>
        <w:tc>
          <w:tcPr>
            <w:tcW w:w="594" w:type="pct"/>
            <w:tcBorders>
              <w:top w:val="nil"/>
              <w:left w:val="nil"/>
              <w:bottom w:val="single" w:sz="4" w:space="0" w:color="auto"/>
              <w:right w:val="single" w:sz="4" w:space="0" w:color="auto"/>
            </w:tcBorders>
            <w:shd w:val="clear" w:color="000000" w:fill="FFFFFF"/>
            <w:noWrap/>
            <w:vAlign w:val="bottom"/>
            <w:hideMark/>
          </w:tcPr>
          <w:p w14:paraId="7CCBDA1B"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1271</w:t>
            </w:r>
          </w:p>
        </w:tc>
        <w:tc>
          <w:tcPr>
            <w:tcW w:w="594" w:type="pct"/>
            <w:tcBorders>
              <w:top w:val="nil"/>
              <w:left w:val="nil"/>
              <w:bottom w:val="single" w:sz="4" w:space="0" w:color="auto"/>
              <w:right w:val="single" w:sz="4" w:space="0" w:color="auto"/>
            </w:tcBorders>
            <w:shd w:val="clear" w:color="000000" w:fill="FFFFFF"/>
            <w:noWrap/>
            <w:vAlign w:val="bottom"/>
            <w:hideMark/>
          </w:tcPr>
          <w:p w14:paraId="337B408F"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2894</w:t>
            </w:r>
          </w:p>
        </w:tc>
        <w:tc>
          <w:tcPr>
            <w:tcW w:w="591" w:type="pct"/>
            <w:tcBorders>
              <w:top w:val="nil"/>
              <w:left w:val="nil"/>
              <w:bottom w:val="single" w:sz="4" w:space="0" w:color="auto"/>
              <w:right w:val="single" w:sz="4" w:space="0" w:color="auto"/>
            </w:tcBorders>
            <w:shd w:val="clear" w:color="000000" w:fill="FFFFFF"/>
            <w:noWrap/>
            <w:vAlign w:val="bottom"/>
            <w:hideMark/>
          </w:tcPr>
          <w:p w14:paraId="1A688671"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3465</w:t>
            </w:r>
          </w:p>
        </w:tc>
      </w:tr>
    </w:tbl>
    <w:p w14:paraId="09B0EC26" w14:textId="77777777" w:rsidR="00F6511E" w:rsidRPr="00F6511E" w:rsidRDefault="00F6511E" w:rsidP="00F6511E">
      <w:pPr>
        <w:pStyle w:val="TESlentelspavadinimas"/>
        <w:rPr>
          <w:noProof w:val="0"/>
        </w:rPr>
      </w:pPr>
    </w:p>
    <w:p w14:paraId="63602626" w14:textId="2FC66BB5" w:rsidR="00F6511E" w:rsidRPr="00F6511E" w:rsidRDefault="00F6511E" w:rsidP="00F6511E">
      <w:pPr>
        <w:pStyle w:val="TESlentelspavadinimas"/>
        <w:rPr>
          <w:noProof w:val="0"/>
        </w:rPr>
      </w:pPr>
      <w:r w:rsidRPr="00F6511E">
        <w:rPr>
          <w:noProof w:val="0"/>
        </w:rPr>
        <w:t>Viešosios nuosavybės kitų negyvenamųjų pastatų renovacijos iš viso per laikotarpį</w:t>
      </w:r>
      <w:r w:rsidR="00B22AB4">
        <w:rPr>
          <w:noProof w:val="0"/>
        </w:rPr>
        <w:t xml:space="preserve"> </w:t>
      </w:r>
      <w:r w:rsidR="00B22AB4">
        <w:rPr>
          <w:noProof w:val="0"/>
        </w:rPr>
        <w:t>(</w:t>
      </w:r>
      <w:r w:rsidR="00B22AB4" w:rsidRPr="009D2A06">
        <w:rPr>
          <w:rFonts w:eastAsia="Times New Roman"/>
          <w:lang w:val="en-US"/>
        </w:rPr>
        <w:t>tūkst. m</w:t>
      </w:r>
      <w:r w:rsidR="00B22AB4" w:rsidRPr="00B22AB4">
        <w:rPr>
          <w:rFonts w:eastAsia="Times New Roman"/>
          <w:vertAlign w:val="superscript"/>
          <w:lang w:val="en-US"/>
        </w:rPr>
        <w:t>2</w:t>
      </w:r>
      <w:r w:rsidR="00B22AB4">
        <w:rPr>
          <w:rFonts w:eastAsia="Times New Roman"/>
          <w:lang w:val="en-US"/>
        </w:rPr>
        <w:t>)</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2B091E" w14:paraId="115BF243" w14:textId="77777777" w:rsidTr="00680654">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C0E2331" w14:textId="77777777" w:rsidR="00B22AB4" w:rsidRPr="002B091E" w:rsidRDefault="00B22AB4" w:rsidP="00680654">
            <w:pPr>
              <w:spacing w:line="240" w:lineRule="auto"/>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Pastato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6568C2CD"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7F060E8E"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proofErr w:type="spellStart"/>
            <w:r w:rsidRPr="002B091E">
              <w:rPr>
                <w:rFonts w:ascii="Times New Roman" w:eastAsia="Times New Roman" w:hAnsi="Times New Roman"/>
                <w:b/>
                <w:bCs/>
                <w:sz w:val="20"/>
                <w:szCs w:val="20"/>
                <w:lang w:val="en-US"/>
              </w:rPr>
              <w:t>Mato</w:t>
            </w:r>
            <w:proofErr w:type="spellEnd"/>
            <w:r w:rsidRPr="002B091E">
              <w:rPr>
                <w:rFonts w:ascii="Times New Roman" w:eastAsia="Times New Roman" w:hAnsi="Times New Roman"/>
                <w:b/>
                <w:bCs/>
                <w:sz w:val="20"/>
                <w:szCs w:val="20"/>
                <w:lang w:val="en-US"/>
              </w:rPr>
              <w:t xml:space="preserve"> </w:t>
            </w:r>
            <w:proofErr w:type="spellStart"/>
            <w:r w:rsidRPr="002B091E">
              <w:rPr>
                <w:rFonts w:ascii="Times New Roman" w:eastAsia="Times New Roman" w:hAnsi="Times New Roman"/>
                <w:b/>
                <w:bCs/>
                <w:sz w:val="20"/>
                <w:szCs w:val="20"/>
                <w:lang w:val="en-US"/>
              </w:rPr>
              <w:t>vnt</w:t>
            </w:r>
            <w:proofErr w:type="spellEnd"/>
            <w:r w:rsidRPr="002B091E">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266966DB"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49BB068"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53CB5F3F"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C11C915" w14:textId="77777777" w:rsidR="00B22AB4" w:rsidRPr="002B091E" w:rsidRDefault="00B22AB4" w:rsidP="00680654">
            <w:pPr>
              <w:spacing w:line="240" w:lineRule="auto"/>
              <w:jc w:val="center"/>
              <w:rPr>
                <w:rFonts w:ascii="Times New Roman" w:eastAsia="Times New Roman" w:hAnsi="Times New Roman"/>
                <w:b/>
                <w:bCs/>
                <w:sz w:val="20"/>
                <w:szCs w:val="20"/>
                <w:lang w:val="en-US"/>
              </w:rPr>
            </w:pPr>
            <w:r w:rsidRPr="002B091E">
              <w:rPr>
                <w:rFonts w:ascii="Times New Roman" w:eastAsia="Times New Roman" w:hAnsi="Times New Roman"/>
                <w:b/>
                <w:bCs/>
                <w:sz w:val="20"/>
                <w:szCs w:val="20"/>
                <w:lang w:val="en-US"/>
              </w:rPr>
              <w:t>2041-2050</w:t>
            </w:r>
          </w:p>
        </w:tc>
      </w:tr>
      <w:tr w:rsidR="00B22AB4" w:rsidRPr="009D2A06" w14:paraId="7238B305"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0F69C0B2"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671223A9"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3DEEF0AC"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1293CE01"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139</w:t>
            </w:r>
          </w:p>
        </w:tc>
        <w:tc>
          <w:tcPr>
            <w:tcW w:w="1209" w:type="dxa"/>
            <w:tcBorders>
              <w:top w:val="nil"/>
              <w:left w:val="nil"/>
              <w:bottom w:val="single" w:sz="4" w:space="0" w:color="auto"/>
              <w:right w:val="single" w:sz="4" w:space="0" w:color="auto"/>
            </w:tcBorders>
            <w:shd w:val="clear" w:color="000000" w:fill="FFFFFF"/>
            <w:noWrap/>
            <w:vAlign w:val="bottom"/>
            <w:hideMark/>
          </w:tcPr>
          <w:p w14:paraId="4B52B5D5"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770</w:t>
            </w:r>
          </w:p>
        </w:tc>
        <w:tc>
          <w:tcPr>
            <w:tcW w:w="1209" w:type="dxa"/>
            <w:tcBorders>
              <w:top w:val="nil"/>
              <w:left w:val="nil"/>
              <w:bottom w:val="single" w:sz="4" w:space="0" w:color="auto"/>
              <w:right w:val="single" w:sz="4" w:space="0" w:color="auto"/>
            </w:tcBorders>
            <w:shd w:val="clear" w:color="000000" w:fill="FFFFFF"/>
            <w:noWrap/>
            <w:vAlign w:val="bottom"/>
            <w:hideMark/>
          </w:tcPr>
          <w:p w14:paraId="3F16926E"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2279</w:t>
            </w:r>
          </w:p>
        </w:tc>
        <w:tc>
          <w:tcPr>
            <w:tcW w:w="1209" w:type="dxa"/>
            <w:tcBorders>
              <w:top w:val="nil"/>
              <w:left w:val="nil"/>
              <w:bottom w:val="single" w:sz="4" w:space="0" w:color="auto"/>
              <w:right w:val="single" w:sz="4" w:space="0" w:color="auto"/>
            </w:tcBorders>
            <w:shd w:val="clear" w:color="000000" w:fill="FFFFFF"/>
            <w:noWrap/>
            <w:vAlign w:val="bottom"/>
            <w:hideMark/>
          </w:tcPr>
          <w:p w14:paraId="5FFC6EEF"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3067</w:t>
            </w:r>
          </w:p>
        </w:tc>
      </w:tr>
      <w:tr w:rsidR="00B22AB4" w:rsidRPr="009D2A06" w14:paraId="484DEBF6"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0438ABC0"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0D218BA4"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5AF6D078"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tūkst</w:t>
            </w:r>
            <w:proofErr w:type="spellEnd"/>
            <w:r w:rsidRPr="009D2A06">
              <w:rPr>
                <w:rFonts w:ascii="Times New Roman" w:eastAsia="Times New Roman" w:hAnsi="Times New Roman"/>
                <w:sz w:val="20"/>
                <w:szCs w:val="20"/>
                <w:lang w:val="en-US"/>
              </w:rPr>
              <w:t>. m</w:t>
            </w:r>
            <w:r w:rsidRPr="00B22AB4">
              <w:rPr>
                <w:rFonts w:ascii="Times New Roman" w:eastAsia="Times New Roman" w:hAnsi="Times New Roman"/>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49A866C8"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363</w:t>
            </w:r>
          </w:p>
        </w:tc>
        <w:tc>
          <w:tcPr>
            <w:tcW w:w="1209" w:type="dxa"/>
            <w:tcBorders>
              <w:top w:val="nil"/>
              <w:left w:val="nil"/>
              <w:bottom w:val="single" w:sz="4" w:space="0" w:color="auto"/>
              <w:right w:val="single" w:sz="4" w:space="0" w:color="auto"/>
            </w:tcBorders>
            <w:shd w:val="clear" w:color="000000" w:fill="FFFFFF"/>
            <w:noWrap/>
            <w:vAlign w:val="bottom"/>
            <w:hideMark/>
          </w:tcPr>
          <w:p w14:paraId="5C7BE2AB"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858</w:t>
            </w:r>
          </w:p>
        </w:tc>
        <w:tc>
          <w:tcPr>
            <w:tcW w:w="1209" w:type="dxa"/>
            <w:tcBorders>
              <w:top w:val="nil"/>
              <w:left w:val="nil"/>
              <w:bottom w:val="single" w:sz="4" w:space="0" w:color="auto"/>
              <w:right w:val="single" w:sz="4" w:space="0" w:color="auto"/>
            </w:tcBorders>
            <w:shd w:val="clear" w:color="000000" w:fill="FFFFFF"/>
            <w:noWrap/>
            <w:vAlign w:val="bottom"/>
            <w:hideMark/>
          </w:tcPr>
          <w:p w14:paraId="17B39610"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1428</w:t>
            </w:r>
          </w:p>
        </w:tc>
        <w:tc>
          <w:tcPr>
            <w:tcW w:w="1209" w:type="dxa"/>
            <w:tcBorders>
              <w:top w:val="nil"/>
              <w:left w:val="nil"/>
              <w:bottom w:val="single" w:sz="4" w:space="0" w:color="auto"/>
              <w:right w:val="single" w:sz="4" w:space="0" w:color="auto"/>
            </w:tcBorders>
            <w:shd w:val="clear" w:color="000000" w:fill="FFFFFF"/>
            <w:noWrap/>
            <w:vAlign w:val="bottom"/>
            <w:hideMark/>
          </w:tcPr>
          <w:p w14:paraId="5F90926B"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1371</w:t>
            </w:r>
          </w:p>
        </w:tc>
      </w:tr>
      <w:tr w:rsidR="00B22AB4" w:rsidRPr="009D2A06" w14:paraId="5772532E"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70621514" w14:textId="77777777" w:rsidR="00B22AB4" w:rsidRPr="009D2A06" w:rsidRDefault="00B22AB4" w:rsidP="00680654">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7DCFA2DD"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21A7E934"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tūkst</w:t>
            </w:r>
            <w:proofErr w:type="spellEnd"/>
            <w:r w:rsidRPr="009D2A06">
              <w:rPr>
                <w:rFonts w:ascii="Times New Roman" w:eastAsia="Times New Roman" w:hAnsi="Times New Roman"/>
                <w:b/>
                <w:bCs/>
                <w:sz w:val="20"/>
                <w:szCs w:val="20"/>
                <w:lang w:val="en-US"/>
              </w:rPr>
              <w:t>. m</w:t>
            </w:r>
            <w:r w:rsidRPr="00B22AB4">
              <w:rPr>
                <w:rFonts w:ascii="Times New Roman" w:eastAsia="Times New Roman" w:hAnsi="Times New Roman"/>
                <w:b/>
                <w:bCs/>
                <w:sz w:val="20"/>
                <w:szCs w:val="20"/>
                <w:vertAlign w:val="superscript"/>
                <w:lang w:val="en-US"/>
              </w:rPr>
              <w:t>2</w:t>
            </w:r>
          </w:p>
        </w:tc>
        <w:tc>
          <w:tcPr>
            <w:tcW w:w="1208" w:type="dxa"/>
            <w:tcBorders>
              <w:top w:val="nil"/>
              <w:left w:val="nil"/>
              <w:bottom w:val="single" w:sz="4" w:space="0" w:color="auto"/>
              <w:right w:val="single" w:sz="4" w:space="0" w:color="auto"/>
            </w:tcBorders>
            <w:shd w:val="clear" w:color="000000" w:fill="FFFFFF"/>
            <w:noWrap/>
            <w:vAlign w:val="bottom"/>
            <w:hideMark/>
          </w:tcPr>
          <w:p w14:paraId="41AA3F8A"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502</w:t>
            </w:r>
          </w:p>
        </w:tc>
        <w:tc>
          <w:tcPr>
            <w:tcW w:w="1209" w:type="dxa"/>
            <w:tcBorders>
              <w:top w:val="nil"/>
              <w:left w:val="nil"/>
              <w:bottom w:val="single" w:sz="4" w:space="0" w:color="auto"/>
              <w:right w:val="single" w:sz="4" w:space="0" w:color="auto"/>
            </w:tcBorders>
            <w:shd w:val="clear" w:color="000000" w:fill="FFFFFF"/>
            <w:noWrap/>
            <w:vAlign w:val="bottom"/>
            <w:hideMark/>
          </w:tcPr>
          <w:p w14:paraId="3B546E32"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1628</w:t>
            </w:r>
          </w:p>
        </w:tc>
        <w:tc>
          <w:tcPr>
            <w:tcW w:w="1209" w:type="dxa"/>
            <w:tcBorders>
              <w:top w:val="nil"/>
              <w:left w:val="nil"/>
              <w:bottom w:val="single" w:sz="4" w:space="0" w:color="auto"/>
              <w:right w:val="single" w:sz="4" w:space="0" w:color="auto"/>
            </w:tcBorders>
            <w:shd w:val="clear" w:color="000000" w:fill="FFFFFF"/>
            <w:noWrap/>
            <w:vAlign w:val="bottom"/>
            <w:hideMark/>
          </w:tcPr>
          <w:p w14:paraId="31143E92"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3707</w:t>
            </w:r>
          </w:p>
        </w:tc>
        <w:tc>
          <w:tcPr>
            <w:tcW w:w="1209" w:type="dxa"/>
            <w:tcBorders>
              <w:top w:val="nil"/>
              <w:left w:val="nil"/>
              <w:bottom w:val="single" w:sz="4" w:space="0" w:color="auto"/>
              <w:right w:val="single" w:sz="4" w:space="0" w:color="auto"/>
            </w:tcBorders>
            <w:shd w:val="clear" w:color="000000" w:fill="FFFFFF"/>
            <w:noWrap/>
            <w:vAlign w:val="bottom"/>
            <w:hideMark/>
          </w:tcPr>
          <w:p w14:paraId="70B128AC"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4438</w:t>
            </w:r>
          </w:p>
        </w:tc>
      </w:tr>
    </w:tbl>
    <w:p w14:paraId="57EDFFEC" w14:textId="77777777" w:rsidR="00B22AB4" w:rsidRDefault="00B22AB4" w:rsidP="00F6511E">
      <w:pPr>
        <w:spacing w:after="120"/>
        <w:jc w:val="both"/>
        <w:rPr>
          <w:rFonts w:ascii="Times New Roman" w:hAnsi="Times New Roman"/>
          <w:color w:val="000000" w:themeColor="text1"/>
          <w:szCs w:val="22"/>
        </w:rPr>
      </w:pPr>
    </w:p>
    <w:p w14:paraId="604030C8" w14:textId="414E26BA" w:rsidR="00F6511E" w:rsidRPr="00F6511E" w:rsidRDefault="00B22AB4" w:rsidP="00F6511E">
      <w:pPr>
        <w:spacing w:after="120"/>
        <w:jc w:val="both"/>
        <w:rPr>
          <w:rFonts w:ascii="Times New Roman" w:hAnsi="Times New Roman"/>
          <w:color w:val="000000" w:themeColor="text1"/>
          <w:szCs w:val="22"/>
        </w:rPr>
      </w:pPr>
      <w:r>
        <w:rPr>
          <w:rFonts w:ascii="Times New Roman" w:hAnsi="Times New Roman"/>
          <w:color w:val="000000" w:themeColor="text1"/>
          <w:szCs w:val="22"/>
        </w:rPr>
        <w:t>Lentelėje žemiau pateikiamos v</w:t>
      </w:r>
      <w:r w:rsidR="00F6511E" w:rsidRPr="00F6511E">
        <w:rPr>
          <w:rFonts w:ascii="Times New Roman" w:hAnsi="Times New Roman"/>
          <w:color w:val="000000" w:themeColor="text1"/>
          <w:szCs w:val="22"/>
        </w:rPr>
        <w:t>iešosios nuosavybės pastatų renovacijai įgyvendinti reikalingos metinės investicijos.</w:t>
      </w:r>
    </w:p>
    <w:p w14:paraId="65A64B58" w14:textId="77777777" w:rsidR="00B22AB4" w:rsidRPr="00650EE4" w:rsidRDefault="00B22AB4" w:rsidP="00B22AB4">
      <w:pPr>
        <w:pStyle w:val="TESlentelspavadinimas"/>
        <w:rPr>
          <w:noProof w:val="0"/>
        </w:rPr>
      </w:pPr>
      <w:r w:rsidRPr="002B091E">
        <w:rPr>
          <w:noProof w:val="0"/>
        </w:rPr>
        <w:t>Viešosios nuosavybės kitų negyvenamųjų pastatų</w:t>
      </w:r>
      <w:r>
        <w:rPr>
          <w:noProof w:val="0"/>
        </w:rPr>
        <w:t xml:space="preserve"> renovacijai</w:t>
      </w:r>
      <w:r w:rsidRPr="002B091E">
        <w:rPr>
          <w:noProof w:val="0"/>
        </w:rPr>
        <w:t xml:space="preserve"> </w:t>
      </w:r>
      <w:r w:rsidRPr="00650EE4">
        <w:rPr>
          <w:noProof w:val="0"/>
        </w:rPr>
        <w:t>įgyvendinti reikalingos investicijos per metus</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121232" w14:paraId="76585E29" w14:textId="77777777" w:rsidTr="00680654">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7A5625C" w14:textId="77777777" w:rsidR="00B22AB4" w:rsidRPr="00121232" w:rsidRDefault="00B22AB4" w:rsidP="00680654">
            <w:pPr>
              <w:spacing w:line="240" w:lineRule="auto"/>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Pastato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5EBB32C5"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4E97971E"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Mato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vnt</w:t>
            </w:r>
            <w:proofErr w:type="spellEnd"/>
            <w:r w:rsidRPr="00121232">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288D34CA"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4C2EE985"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EC17FBD"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204E4922"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2041-2050</w:t>
            </w:r>
          </w:p>
        </w:tc>
      </w:tr>
      <w:tr w:rsidR="00B22AB4" w:rsidRPr="009D2A06" w14:paraId="1960920C"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37214FAB"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13FA27DE"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7ED833D4"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roofErr w:type="spellStart"/>
            <w:r w:rsidRPr="009D2A06">
              <w:rPr>
                <w:rFonts w:ascii="Times New Roman" w:eastAsia="Times New Roman" w:hAnsi="Times New Roman"/>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47495775"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w:t>
            </w:r>
          </w:p>
        </w:tc>
        <w:tc>
          <w:tcPr>
            <w:tcW w:w="1209" w:type="dxa"/>
            <w:tcBorders>
              <w:top w:val="nil"/>
              <w:left w:val="nil"/>
              <w:bottom w:val="single" w:sz="4" w:space="0" w:color="auto"/>
              <w:right w:val="single" w:sz="4" w:space="0" w:color="auto"/>
            </w:tcBorders>
            <w:shd w:val="clear" w:color="000000" w:fill="FFFFFF"/>
            <w:noWrap/>
            <w:vAlign w:val="bottom"/>
            <w:hideMark/>
          </w:tcPr>
          <w:p w14:paraId="63ACFEB1"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49</w:t>
            </w:r>
          </w:p>
        </w:tc>
        <w:tc>
          <w:tcPr>
            <w:tcW w:w="1209" w:type="dxa"/>
            <w:tcBorders>
              <w:top w:val="nil"/>
              <w:left w:val="nil"/>
              <w:bottom w:val="single" w:sz="4" w:space="0" w:color="auto"/>
              <w:right w:val="single" w:sz="4" w:space="0" w:color="auto"/>
            </w:tcBorders>
            <w:shd w:val="clear" w:color="000000" w:fill="FFFFFF"/>
            <w:noWrap/>
            <w:vAlign w:val="bottom"/>
            <w:hideMark/>
          </w:tcPr>
          <w:p w14:paraId="7EB3A84F"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120</w:t>
            </w:r>
          </w:p>
        </w:tc>
        <w:tc>
          <w:tcPr>
            <w:tcW w:w="1209" w:type="dxa"/>
            <w:tcBorders>
              <w:top w:val="nil"/>
              <w:left w:val="nil"/>
              <w:bottom w:val="single" w:sz="4" w:space="0" w:color="auto"/>
              <w:right w:val="single" w:sz="4" w:space="0" w:color="auto"/>
            </w:tcBorders>
            <w:shd w:val="clear" w:color="000000" w:fill="FFFFFF"/>
            <w:noWrap/>
            <w:vAlign w:val="bottom"/>
            <w:hideMark/>
          </w:tcPr>
          <w:p w14:paraId="4D4CE100"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196</w:t>
            </w:r>
          </w:p>
        </w:tc>
      </w:tr>
      <w:tr w:rsidR="00B22AB4" w:rsidRPr="009D2A06" w14:paraId="45949694"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28CF900E"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3DD63DAE"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5F0918D2"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roofErr w:type="spellStart"/>
            <w:r w:rsidRPr="009D2A06">
              <w:rPr>
                <w:rFonts w:ascii="Times New Roman" w:eastAsia="Times New Roman" w:hAnsi="Times New Roman"/>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7B0A1D9B"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48</w:t>
            </w:r>
          </w:p>
        </w:tc>
        <w:tc>
          <w:tcPr>
            <w:tcW w:w="1209" w:type="dxa"/>
            <w:tcBorders>
              <w:top w:val="nil"/>
              <w:left w:val="nil"/>
              <w:bottom w:val="single" w:sz="4" w:space="0" w:color="auto"/>
              <w:right w:val="single" w:sz="4" w:space="0" w:color="auto"/>
            </w:tcBorders>
            <w:shd w:val="clear" w:color="000000" w:fill="FFFFFF"/>
            <w:noWrap/>
            <w:vAlign w:val="bottom"/>
            <w:hideMark/>
          </w:tcPr>
          <w:p w14:paraId="4E1EC409"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55</w:t>
            </w:r>
          </w:p>
        </w:tc>
        <w:tc>
          <w:tcPr>
            <w:tcW w:w="1209" w:type="dxa"/>
            <w:tcBorders>
              <w:top w:val="nil"/>
              <w:left w:val="nil"/>
              <w:bottom w:val="single" w:sz="4" w:space="0" w:color="auto"/>
              <w:right w:val="single" w:sz="4" w:space="0" w:color="auto"/>
            </w:tcBorders>
            <w:shd w:val="clear" w:color="000000" w:fill="FFFFFF"/>
            <w:noWrap/>
            <w:vAlign w:val="bottom"/>
            <w:hideMark/>
          </w:tcPr>
          <w:p w14:paraId="0D53695C"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75</w:t>
            </w:r>
          </w:p>
        </w:tc>
        <w:tc>
          <w:tcPr>
            <w:tcW w:w="1209" w:type="dxa"/>
            <w:tcBorders>
              <w:top w:val="nil"/>
              <w:left w:val="nil"/>
              <w:bottom w:val="single" w:sz="4" w:space="0" w:color="auto"/>
              <w:right w:val="single" w:sz="4" w:space="0" w:color="auto"/>
            </w:tcBorders>
            <w:shd w:val="clear" w:color="000000" w:fill="FFFFFF"/>
            <w:noWrap/>
            <w:vAlign w:val="bottom"/>
            <w:hideMark/>
          </w:tcPr>
          <w:p w14:paraId="53FDAAF7"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88</w:t>
            </w:r>
          </w:p>
        </w:tc>
      </w:tr>
      <w:tr w:rsidR="00B22AB4" w:rsidRPr="009D2A06" w14:paraId="1BC2DA6A"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7061853A" w14:textId="77777777" w:rsidR="00B22AB4" w:rsidRPr="009D2A06" w:rsidRDefault="00B22AB4" w:rsidP="00680654">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6840FDA0"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204ED132"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mln</w:t>
            </w:r>
            <w:proofErr w:type="spellEnd"/>
            <w:r w:rsidRPr="009D2A06">
              <w:rPr>
                <w:rFonts w:ascii="Times New Roman" w:eastAsia="Times New Roman" w:hAnsi="Times New Roman"/>
                <w:b/>
                <w:bCs/>
                <w:sz w:val="20"/>
                <w:szCs w:val="20"/>
                <w:lang w:val="en-US"/>
              </w:rPr>
              <w:t>. €/</w:t>
            </w:r>
            <w:proofErr w:type="spellStart"/>
            <w:r w:rsidRPr="009D2A06">
              <w:rPr>
                <w:rFonts w:ascii="Times New Roman" w:eastAsia="Times New Roman" w:hAnsi="Times New Roman"/>
                <w:b/>
                <w:bCs/>
                <w:sz w:val="20"/>
                <w:szCs w:val="20"/>
                <w:lang w:val="en-US"/>
              </w:rPr>
              <w:t>metus</w:t>
            </w:r>
            <w:proofErr w:type="spellEnd"/>
          </w:p>
        </w:tc>
        <w:tc>
          <w:tcPr>
            <w:tcW w:w="1208" w:type="dxa"/>
            <w:tcBorders>
              <w:top w:val="nil"/>
              <w:left w:val="nil"/>
              <w:bottom w:val="single" w:sz="4" w:space="0" w:color="auto"/>
              <w:right w:val="single" w:sz="4" w:space="0" w:color="auto"/>
            </w:tcBorders>
            <w:shd w:val="clear" w:color="000000" w:fill="FFFFFF"/>
            <w:noWrap/>
            <w:vAlign w:val="bottom"/>
            <w:hideMark/>
          </w:tcPr>
          <w:p w14:paraId="0ABC3E7D"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67</w:t>
            </w:r>
          </w:p>
        </w:tc>
        <w:tc>
          <w:tcPr>
            <w:tcW w:w="1209" w:type="dxa"/>
            <w:tcBorders>
              <w:top w:val="nil"/>
              <w:left w:val="nil"/>
              <w:bottom w:val="single" w:sz="4" w:space="0" w:color="auto"/>
              <w:right w:val="single" w:sz="4" w:space="0" w:color="auto"/>
            </w:tcBorders>
            <w:shd w:val="clear" w:color="000000" w:fill="FFFFFF"/>
            <w:noWrap/>
            <w:vAlign w:val="bottom"/>
            <w:hideMark/>
          </w:tcPr>
          <w:p w14:paraId="72B5F449"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104</w:t>
            </w:r>
          </w:p>
        </w:tc>
        <w:tc>
          <w:tcPr>
            <w:tcW w:w="1209" w:type="dxa"/>
            <w:tcBorders>
              <w:top w:val="nil"/>
              <w:left w:val="nil"/>
              <w:bottom w:val="single" w:sz="4" w:space="0" w:color="auto"/>
              <w:right w:val="single" w:sz="4" w:space="0" w:color="auto"/>
            </w:tcBorders>
            <w:shd w:val="clear" w:color="000000" w:fill="FFFFFF"/>
            <w:noWrap/>
            <w:vAlign w:val="bottom"/>
            <w:hideMark/>
          </w:tcPr>
          <w:p w14:paraId="49697B2C"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196</w:t>
            </w:r>
          </w:p>
        </w:tc>
        <w:tc>
          <w:tcPr>
            <w:tcW w:w="1209" w:type="dxa"/>
            <w:tcBorders>
              <w:top w:val="nil"/>
              <w:left w:val="nil"/>
              <w:bottom w:val="single" w:sz="4" w:space="0" w:color="auto"/>
              <w:right w:val="single" w:sz="4" w:space="0" w:color="auto"/>
            </w:tcBorders>
            <w:shd w:val="clear" w:color="000000" w:fill="FFFFFF"/>
            <w:noWrap/>
            <w:vAlign w:val="bottom"/>
            <w:hideMark/>
          </w:tcPr>
          <w:p w14:paraId="6EA71AFA"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284</w:t>
            </w:r>
          </w:p>
        </w:tc>
      </w:tr>
    </w:tbl>
    <w:p w14:paraId="1D41D613" w14:textId="77777777" w:rsidR="00B22AB4" w:rsidRDefault="00B22AB4" w:rsidP="00B22AB4">
      <w:pPr>
        <w:pStyle w:val="TESlentelspavadinimas"/>
        <w:rPr>
          <w:noProof w:val="0"/>
        </w:rPr>
      </w:pPr>
    </w:p>
    <w:p w14:paraId="01BE47E9" w14:textId="77777777" w:rsidR="00B22AB4" w:rsidRPr="00650EE4" w:rsidRDefault="00B22AB4" w:rsidP="00B22AB4">
      <w:pPr>
        <w:pStyle w:val="TESlentelspavadinimas"/>
        <w:rPr>
          <w:noProof w:val="0"/>
        </w:rPr>
      </w:pPr>
      <w:r w:rsidRPr="002B091E">
        <w:rPr>
          <w:noProof w:val="0"/>
        </w:rPr>
        <w:t>Viešosios nuosavybės kitų negyvenamųjų pastatų</w:t>
      </w:r>
      <w:r>
        <w:rPr>
          <w:noProof w:val="0"/>
        </w:rPr>
        <w:t xml:space="preserve"> renovacijai</w:t>
      </w:r>
      <w:r w:rsidRPr="002B091E">
        <w:rPr>
          <w:noProof w:val="0"/>
        </w:rPr>
        <w:t xml:space="preserve"> </w:t>
      </w:r>
      <w:r w:rsidRPr="00650EE4">
        <w:rPr>
          <w:noProof w:val="0"/>
        </w:rPr>
        <w:t xml:space="preserve">įgyvendinti reikalingos investicijos </w:t>
      </w:r>
      <w:r>
        <w:rPr>
          <w:noProof w:val="0"/>
        </w:rPr>
        <w:t>iš viso per laikotarpį</w:t>
      </w:r>
    </w:p>
    <w:tbl>
      <w:tblPr>
        <w:tblW w:w="5000" w:type="pct"/>
        <w:tblLayout w:type="fixed"/>
        <w:tblLook w:val="04A0" w:firstRow="1" w:lastRow="0" w:firstColumn="1" w:lastColumn="0" w:noHBand="0" w:noVBand="1"/>
      </w:tblPr>
      <w:tblGrid>
        <w:gridCol w:w="2091"/>
        <w:gridCol w:w="1613"/>
        <w:gridCol w:w="1773"/>
        <w:gridCol w:w="1235"/>
        <w:gridCol w:w="1236"/>
        <w:gridCol w:w="1236"/>
        <w:gridCol w:w="1236"/>
      </w:tblGrid>
      <w:tr w:rsidR="00B22AB4" w:rsidRPr="00121232" w14:paraId="1674BD8C" w14:textId="77777777" w:rsidTr="00680654">
        <w:trPr>
          <w:trHeight w:val="188"/>
        </w:trPr>
        <w:tc>
          <w:tcPr>
            <w:tcW w:w="204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D9612D" w14:textId="77777777" w:rsidR="00B22AB4" w:rsidRPr="00121232" w:rsidRDefault="00B22AB4" w:rsidP="00680654">
            <w:pPr>
              <w:spacing w:line="240" w:lineRule="auto"/>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Pastato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etalonas</w:t>
            </w:r>
            <w:proofErr w:type="spellEnd"/>
          </w:p>
        </w:tc>
        <w:tc>
          <w:tcPr>
            <w:tcW w:w="1578" w:type="dxa"/>
            <w:tcBorders>
              <w:top w:val="single" w:sz="4" w:space="0" w:color="auto"/>
              <w:left w:val="nil"/>
              <w:bottom w:val="single" w:sz="4" w:space="0" w:color="auto"/>
              <w:right w:val="single" w:sz="4" w:space="0" w:color="auto"/>
            </w:tcBorders>
            <w:shd w:val="clear" w:color="000000" w:fill="FFFFFF"/>
            <w:noWrap/>
            <w:vAlign w:val="bottom"/>
            <w:hideMark/>
          </w:tcPr>
          <w:p w14:paraId="5D71E9A5"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Nuosavybė</w:t>
            </w:r>
            <w:proofErr w:type="spellEnd"/>
          </w:p>
        </w:tc>
        <w:tc>
          <w:tcPr>
            <w:tcW w:w="1735" w:type="dxa"/>
            <w:tcBorders>
              <w:top w:val="single" w:sz="4" w:space="0" w:color="auto"/>
              <w:left w:val="nil"/>
              <w:bottom w:val="single" w:sz="4" w:space="0" w:color="auto"/>
              <w:right w:val="single" w:sz="4" w:space="0" w:color="auto"/>
            </w:tcBorders>
            <w:shd w:val="clear" w:color="000000" w:fill="FFFFFF"/>
            <w:noWrap/>
            <w:vAlign w:val="bottom"/>
            <w:hideMark/>
          </w:tcPr>
          <w:p w14:paraId="761D37BA"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proofErr w:type="spellStart"/>
            <w:r w:rsidRPr="00121232">
              <w:rPr>
                <w:rFonts w:ascii="Times New Roman" w:eastAsia="Times New Roman" w:hAnsi="Times New Roman"/>
                <w:b/>
                <w:bCs/>
                <w:sz w:val="20"/>
                <w:szCs w:val="20"/>
                <w:lang w:val="en-US"/>
              </w:rPr>
              <w:t>Mato</w:t>
            </w:r>
            <w:proofErr w:type="spellEnd"/>
            <w:r w:rsidRPr="00121232">
              <w:rPr>
                <w:rFonts w:ascii="Times New Roman" w:eastAsia="Times New Roman" w:hAnsi="Times New Roman"/>
                <w:b/>
                <w:bCs/>
                <w:sz w:val="20"/>
                <w:szCs w:val="20"/>
                <w:lang w:val="en-US"/>
              </w:rPr>
              <w:t xml:space="preserve"> </w:t>
            </w:r>
            <w:proofErr w:type="spellStart"/>
            <w:r w:rsidRPr="00121232">
              <w:rPr>
                <w:rFonts w:ascii="Times New Roman" w:eastAsia="Times New Roman" w:hAnsi="Times New Roman"/>
                <w:b/>
                <w:bCs/>
                <w:sz w:val="20"/>
                <w:szCs w:val="20"/>
                <w:lang w:val="en-US"/>
              </w:rPr>
              <w:t>vnt</w:t>
            </w:r>
            <w:proofErr w:type="spellEnd"/>
            <w:r w:rsidRPr="00121232">
              <w:rPr>
                <w:rFonts w:ascii="Times New Roman" w:eastAsia="Times New Roman" w:hAnsi="Times New Roman"/>
                <w:b/>
                <w:bCs/>
                <w:sz w:val="20"/>
                <w:szCs w:val="20"/>
                <w:lang w:val="en-US"/>
              </w:rPr>
              <w:t>.</w:t>
            </w:r>
          </w:p>
        </w:tc>
        <w:tc>
          <w:tcPr>
            <w:tcW w:w="1208" w:type="dxa"/>
            <w:tcBorders>
              <w:top w:val="single" w:sz="4" w:space="0" w:color="auto"/>
              <w:left w:val="nil"/>
              <w:bottom w:val="single" w:sz="4" w:space="0" w:color="auto"/>
              <w:right w:val="single" w:sz="4" w:space="0" w:color="auto"/>
            </w:tcBorders>
            <w:shd w:val="clear" w:color="000000" w:fill="FFFFFF"/>
            <w:noWrap/>
            <w:vAlign w:val="bottom"/>
            <w:hideMark/>
          </w:tcPr>
          <w:p w14:paraId="59EFE423"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2021-2023</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630FFF6F"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2024-2030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77C734AA"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2031-2040</w:t>
            </w:r>
          </w:p>
        </w:tc>
        <w:tc>
          <w:tcPr>
            <w:tcW w:w="1209" w:type="dxa"/>
            <w:tcBorders>
              <w:top w:val="single" w:sz="4" w:space="0" w:color="auto"/>
              <w:left w:val="nil"/>
              <w:bottom w:val="single" w:sz="4" w:space="0" w:color="auto"/>
              <w:right w:val="single" w:sz="4" w:space="0" w:color="auto"/>
            </w:tcBorders>
            <w:shd w:val="clear" w:color="000000" w:fill="FFFFFF"/>
            <w:noWrap/>
            <w:vAlign w:val="bottom"/>
            <w:hideMark/>
          </w:tcPr>
          <w:p w14:paraId="303C5AD0" w14:textId="77777777" w:rsidR="00B22AB4" w:rsidRPr="00121232" w:rsidRDefault="00B22AB4" w:rsidP="00680654">
            <w:pPr>
              <w:spacing w:line="240" w:lineRule="auto"/>
              <w:jc w:val="center"/>
              <w:rPr>
                <w:rFonts w:ascii="Times New Roman" w:eastAsia="Times New Roman" w:hAnsi="Times New Roman"/>
                <w:b/>
                <w:bCs/>
                <w:sz w:val="20"/>
                <w:szCs w:val="20"/>
                <w:lang w:val="en-US"/>
              </w:rPr>
            </w:pPr>
            <w:r w:rsidRPr="00121232">
              <w:rPr>
                <w:rFonts w:ascii="Times New Roman" w:eastAsia="Times New Roman" w:hAnsi="Times New Roman"/>
                <w:b/>
                <w:bCs/>
                <w:sz w:val="20"/>
                <w:szCs w:val="20"/>
                <w:lang w:val="en-US"/>
              </w:rPr>
              <w:t>2041-2050</w:t>
            </w:r>
          </w:p>
        </w:tc>
      </w:tr>
      <w:tr w:rsidR="00B22AB4" w:rsidRPr="009D2A06" w14:paraId="50329C22"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1798717D"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4E4682C7"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Savivaldybių</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0213F93E"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534D770B"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56</w:t>
            </w:r>
          </w:p>
        </w:tc>
        <w:tc>
          <w:tcPr>
            <w:tcW w:w="1209" w:type="dxa"/>
            <w:tcBorders>
              <w:top w:val="nil"/>
              <w:left w:val="nil"/>
              <w:bottom w:val="single" w:sz="4" w:space="0" w:color="auto"/>
              <w:right w:val="single" w:sz="4" w:space="0" w:color="auto"/>
            </w:tcBorders>
            <w:shd w:val="clear" w:color="000000" w:fill="FFFFFF"/>
            <w:noWrap/>
            <w:vAlign w:val="bottom"/>
            <w:hideMark/>
          </w:tcPr>
          <w:p w14:paraId="5DDCD1B0"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343</w:t>
            </w:r>
          </w:p>
        </w:tc>
        <w:tc>
          <w:tcPr>
            <w:tcW w:w="1209" w:type="dxa"/>
            <w:tcBorders>
              <w:top w:val="nil"/>
              <w:left w:val="nil"/>
              <w:bottom w:val="single" w:sz="4" w:space="0" w:color="auto"/>
              <w:right w:val="single" w:sz="4" w:space="0" w:color="auto"/>
            </w:tcBorders>
            <w:shd w:val="clear" w:color="000000" w:fill="FFFFFF"/>
            <w:noWrap/>
            <w:vAlign w:val="bottom"/>
            <w:hideMark/>
          </w:tcPr>
          <w:p w14:paraId="7B6544F8"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1204</w:t>
            </w:r>
          </w:p>
        </w:tc>
        <w:tc>
          <w:tcPr>
            <w:tcW w:w="1209" w:type="dxa"/>
            <w:tcBorders>
              <w:top w:val="nil"/>
              <w:left w:val="nil"/>
              <w:bottom w:val="single" w:sz="4" w:space="0" w:color="auto"/>
              <w:right w:val="single" w:sz="4" w:space="0" w:color="auto"/>
            </w:tcBorders>
            <w:shd w:val="clear" w:color="000000" w:fill="FFFFFF"/>
            <w:noWrap/>
            <w:vAlign w:val="bottom"/>
            <w:hideMark/>
          </w:tcPr>
          <w:p w14:paraId="7713DDD8"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1960</w:t>
            </w:r>
          </w:p>
        </w:tc>
      </w:tr>
      <w:tr w:rsidR="00B22AB4" w:rsidRPr="009D2A06" w14:paraId="4BA2116A"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409C9726" w14:textId="77777777" w:rsidR="00B22AB4" w:rsidRPr="009D2A06" w:rsidRDefault="00B22AB4" w:rsidP="00680654">
            <w:pPr>
              <w:spacing w:line="240" w:lineRule="auto"/>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Kiti</w:t>
            </w:r>
            <w:proofErr w:type="spellEnd"/>
            <w:r w:rsidRPr="009D2A06">
              <w:rPr>
                <w:rFonts w:ascii="Times New Roman" w:eastAsia="Times New Roman" w:hAnsi="Times New Roman"/>
                <w:sz w:val="20"/>
                <w:szCs w:val="20"/>
                <w:lang w:val="en-US"/>
              </w:rPr>
              <w:t xml:space="preserve"> </w:t>
            </w:r>
            <w:proofErr w:type="spellStart"/>
            <w:r w:rsidRPr="009D2A06">
              <w:rPr>
                <w:rFonts w:ascii="Times New Roman" w:eastAsia="Times New Roman" w:hAnsi="Times New Roman"/>
                <w:sz w:val="20"/>
                <w:szCs w:val="20"/>
                <w:lang w:val="en-US"/>
              </w:rPr>
              <w:t>negyvenamieji</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525F5BA1"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Valstybės</w:t>
            </w:r>
            <w:proofErr w:type="spellEnd"/>
          </w:p>
        </w:tc>
        <w:tc>
          <w:tcPr>
            <w:tcW w:w="1735" w:type="dxa"/>
            <w:tcBorders>
              <w:top w:val="nil"/>
              <w:left w:val="nil"/>
              <w:bottom w:val="single" w:sz="4" w:space="0" w:color="auto"/>
              <w:right w:val="single" w:sz="4" w:space="0" w:color="auto"/>
            </w:tcBorders>
            <w:shd w:val="clear" w:color="000000" w:fill="FFFFFF"/>
            <w:noWrap/>
            <w:vAlign w:val="bottom"/>
            <w:hideMark/>
          </w:tcPr>
          <w:p w14:paraId="2F4B0CA0" w14:textId="77777777" w:rsidR="00B22AB4" w:rsidRPr="009D2A06" w:rsidRDefault="00B22AB4" w:rsidP="00680654">
            <w:pPr>
              <w:spacing w:line="240" w:lineRule="auto"/>
              <w:jc w:val="center"/>
              <w:rPr>
                <w:rFonts w:ascii="Times New Roman" w:eastAsia="Times New Roman" w:hAnsi="Times New Roman"/>
                <w:sz w:val="20"/>
                <w:szCs w:val="20"/>
                <w:lang w:val="en-US"/>
              </w:rPr>
            </w:pPr>
            <w:proofErr w:type="spellStart"/>
            <w:r w:rsidRPr="009D2A06">
              <w:rPr>
                <w:rFonts w:ascii="Times New Roman" w:eastAsia="Times New Roman" w:hAnsi="Times New Roman"/>
                <w:sz w:val="20"/>
                <w:szCs w:val="20"/>
                <w:lang w:val="en-US"/>
              </w:rPr>
              <w:t>mln</w:t>
            </w:r>
            <w:proofErr w:type="spellEnd"/>
            <w:r w:rsidRPr="009D2A06">
              <w:rPr>
                <w:rFonts w:ascii="Times New Roman" w:eastAsia="Times New Roman" w:hAnsi="Times New Roman"/>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6D30277F"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145</w:t>
            </w:r>
          </w:p>
        </w:tc>
        <w:tc>
          <w:tcPr>
            <w:tcW w:w="1209" w:type="dxa"/>
            <w:tcBorders>
              <w:top w:val="nil"/>
              <w:left w:val="nil"/>
              <w:bottom w:val="single" w:sz="4" w:space="0" w:color="auto"/>
              <w:right w:val="single" w:sz="4" w:space="0" w:color="auto"/>
            </w:tcBorders>
            <w:shd w:val="clear" w:color="000000" w:fill="FFFFFF"/>
            <w:noWrap/>
            <w:vAlign w:val="bottom"/>
            <w:hideMark/>
          </w:tcPr>
          <w:p w14:paraId="6B681704"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382</w:t>
            </w:r>
          </w:p>
        </w:tc>
        <w:tc>
          <w:tcPr>
            <w:tcW w:w="1209" w:type="dxa"/>
            <w:tcBorders>
              <w:top w:val="nil"/>
              <w:left w:val="nil"/>
              <w:bottom w:val="single" w:sz="4" w:space="0" w:color="auto"/>
              <w:right w:val="single" w:sz="4" w:space="0" w:color="auto"/>
            </w:tcBorders>
            <w:shd w:val="clear" w:color="000000" w:fill="FFFFFF"/>
            <w:noWrap/>
            <w:vAlign w:val="bottom"/>
            <w:hideMark/>
          </w:tcPr>
          <w:p w14:paraId="1347D33E"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754</w:t>
            </w:r>
          </w:p>
        </w:tc>
        <w:tc>
          <w:tcPr>
            <w:tcW w:w="1209" w:type="dxa"/>
            <w:tcBorders>
              <w:top w:val="nil"/>
              <w:left w:val="nil"/>
              <w:bottom w:val="single" w:sz="4" w:space="0" w:color="auto"/>
              <w:right w:val="single" w:sz="4" w:space="0" w:color="auto"/>
            </w:tcBorders>
            <w:shd w:val="clear" w:color="000000" w:fill="FFFFFF"/>
            <w:noWrap/>
            <w:vAlign w:val="bottom"/>
            <w:hideMark/>
          </w:tcPr>
          <w:p w14:paraId="457F9C75" w14:textId="77777777" w:rsidR="00B22AB4" w:rsidRPr="009D2A06" w:rsidRDefault="00B22AB4" w:rsidP="00680654">
            <w:pPr>
              <w:spacing w:line="240" w:lineRule="auto"/>
              <w:jc w:val="center"/>
              <w:rPr>
                <w:rFonts w:ascii="Times New Roman" w:eastAsia="Times New Roman" w:hAnsi="Times New Roman"/>
                <w:sz w:val="20"/>
                <w:szCs w:val="20"/>
                <w:lang w:val="en-US"/>
              </w:rPr>
            </w:pPr>
            <w:r w:rsidRPr="009D2A06">
              <w:rPr>
                <w:rFonts w:ascii="Times New Roman" w:eastAsia="Times New Roman" w:hAnsi="Times New Roman"/>
                <w:sz w:val="20"/>
                <w:szCs w:val="20"/>
                <w:lang w:val="en-US"/>
              </w:rPr>
              <w:t>876</w:t>
            </w:r>
          </w:p>
        </w:tc>
      </w:tr>
      <w:tr w:rsidR="00B22AB4" w:rsidRPr="009D2A06" w14:paraId="4D29AED9" w14:textId="77777777" w:rsidTr="00680654">
        <w:trPr>
          <w:trHeight w:val="188"/>
        </w:trPr>
        <w:tc>
          <w:tcPr>
            <w:tcW w:w="2046" w:type="dxa"/>
            <w:tcBorders>
              <w:top w:val="nil"/>
              <w:left w:val="single" w:sz="4" w:space="0" w:color="auto"/>
              <w:bottom w:val="single" w:sz="4" w:space="0" w:color="auto"/>
              <w:right w:val="single" w:sz="4" w:space="0" w:color="auto"/>
            </w:tcBorders>
            <w:shd w:val="clear" w:color="000000" w:fill="FFFFFF"/>
            <w:noWrap/>
            <w:vAlign w:val="bottom"/>
            <w:hideMark/>
          </w:tcPr>
          <w:p w14:paraId="2382F257" w14:textId="77777777" w:rsidR="00B22AB4" w:rsidRPr="009D2A06" w:rsidRDefault="00B22AB4" w:rsidP="00680654">
            <w:pPr>
              <w:spacing w:line="240" w:lineRule="auto"/>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Iš</w:t>
            </w:r>
            <w:proofErr w:type="spellEnd"/>
            <w:r w:rsidRPr="009D2A06">
              <w:rPr>
                <w:rFonts w:ascii="Times New Roman" w:eastAsia="Times New Roman" w:hAnsi="Times New Roman"/>
                <w:b/>
                <w:bCs/>
                <w:sz w:val="20"/>
                <w:szCs w:val="20"/>
                <w:lang w:val="en-US"/>
              </w:rPr>
              <w:t xml:space="preserve"> </w:t>
            </w:r>
            <w:proofErr w:type="spellStart"/>
            <w:r w:rsidRPr="009D2A06">
              <w:rPr>
                <w:rFonts w:ascii="Times New Roman" w:eastAsia="Times New Roman" w:hAnsi="Times New Roman"/>
                <w:b/>
                <w:bCs/>
                <w:sz w:val="20"/>
                <w:szCs w:val="20"/>
                <w:lang w:val="en-US"/>
              </w:rPr>
              <w:t>viso</w:t>
            </w:r>
            <w:proofErr w:type="spellEnd"/>
          </w:p>
        </w:tc>
        <w:tc>
          <w:tcPr>
            <w:tcW w:w="1578" w:type="dxa"/>
            <w:tcBorders>
              <w:top w:val="nil"/>
              <w:left w:val="nil"/>
              <w:bottom w:val="single" w:sz="4" w:space="0" w:color="auto"/>
              <w:right w:val="single" w:sz="4" w:space="0" w:color="auto"/>
            </w:tcBorders>
            <w:shd w:val="clear" w:color="000000" w:fill="FFFFFF"/>
            <w:noWrap/>
            <w:vAlign w:val="bottom"/>
            <w:hideMark/>
          </w:tcPr>
          <w:p w14:paraId="7197BD7B"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 </w:t>
            </w:r>
          </w:p>
        </w:tc>
        <w:tc>
          <w:tcPr>
            <w:tcW w:w="1735" w:type="dxa"/>
            <w:tcBorders>
              <w:top w:val="nil"/>
              <w:left w:val="nil"/>
              <w:bottom w:val="single" w:sz="4" w:space="0" w:color="auto"/>
              <w:right w:val="single" w:sz="4" w:space="0" w:color="auto"/>
            </w:tcBorders>
            <w:shd w:val="clear" w:color="000000" w:fill="FFFFFF"/>
            <w:noWrap/>
            <w:vAlign w:val="bottom"/>
            <w:hideMark/>
          </w:tcPr>
          <w:p w14:paraId="654D1BA1"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proofErr w:type="spellStart"/>
            <w:r w:rsidRPr="009D2A06">
              <w:rPr>
                <w:rFonts w:ascii="Times New Roman" w:eastAsia="Times New Roman" w:hAnsi="Times New Roman"/>
                <w:b/>
                <w:bCs/>
                <w:sz w:val="20"/>
                <w:szCs w:val="20"/>
                <w:lang w:val="en-US"/>
              </w:rPr>
              <w:t>mln</w:t>
            </w:r>
            <w:proofErr w:type="spellEnd"/>
            <w:r w:rsidRPr="009D2A06">
              <w:rPr>
                <w:rFonts w:ascii="Times New Roman" w:eastAsia="Times New Roman" w:hAnsi="Times New Roman"/>
                <w:b/>
                <w:bCs/>
                <w:sz w:val="20"/>
                <w:szCs w:val="20"/>
                <w:lang w:val="en-US"/>
              </w:rPr>
              <w:t>. €</w:t>
            </w:r>
          </w:p>
        </w:tc>
        <w:tc>
          <w:tcPr>
            <w:tcW w:w="1208" w:type="dxa"/>
            <w:tcBorders>
              <w:top w:val="nil"/>
              <w:left w:val="nil"/>
              <w:bottom w:val="single" w:sz="4" w:space="0" w:color="auto"/>
              <w:right w:val="single" w:sz="4" w:space="0" w:color="auto"/>
            </w:tcBorders>
            <w:shd w:val="clear" w:color="000000" w:fill="FFFFFF"/>
            <w:noWrap/>
            <w:vAlign w:val="bottom"/>
            <w:hideMark/>
          </w:tcPr>
          <w:p w14:paraId="5A29EABE"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201</w:t>
            </w:r>
          </w:p>
        </w:tc>
        <w:tc>
          <w:tcPr>
            <w:tcW w:w="1209" w:type="dxa"/>
            <w:tcBorders>
              <w:top w:val="nil"/>
              <w:left w:val="nil"/>
              <w:bottom w:val="single" w:sz="4" w:space="0" w:color="auto"/>
              <w:right w:val="single" w:sz="4" w:space="0" w:color="auto"/>
            </w:tcBorders>
            <w:shd w:val="clear" w:color="000000" w:fill="FFFFFF"/>
            <w:noWrap/>
            <w:vAlign w:val="bottom"/>
            <w:hideMark/>
          </w:tcPr>
          <w:p w14:paraId="151F7383"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725</w:t>
            </w:r>
          </w:p>
        </w:tc>
        <w:tc>
          <w:tcPr>
            <w:tcW w:w="1209" w:type="dxa"/>
            <w:tcBorders>
              <w:top w:val="nil"/>
              <w:left w:val="nil"/>
              <w:bottom w:val="single" w:sz="4" w:space="0" w:color="auto"/>
              <w:right w:val="single" w:sz="4" w:space="0" w:color="auto"/>
            </w:tcBorders>
            <w:shd w:val="clear" w:color="000000" w:fill="FFFFFF"/>
            <w:noWrap/>
            <w:vAlign w:val="bottom"/>
            <w:hideMark/>
          </w:tcPr>
          <w:p w14:paraId="729F1F0F"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1958</w:t>
            </w:r>
          </w:p>
        </w:tc>
        <w:tc>
          <w:tcPr>
            <w:tcW w:w="1209" w:type="dxa"/>
            <w:tcBorders>
              <w:top w:val="nil"/>
              <w:left w:val="nil"/>
              <w:bottom w:val="single" w:sz="4" w:space="0" w:color="auto"/>
              <w:right w:val="single" w:sz="4" w:space="0" w:color="auto"/>
            </w:tcBorders>
            <w:shd w:val="clear" w:color="000000" w:fill="FFFFFF"/>
            <w:noWrap/>
            <w:vAlign w:val="bottom"/>
            <w:hideMark/>
          </w:tcPr>
          <w:p w14:paraId="5D7784AC" w14:textId="77777777" w:rsidR="00B22AB4" w:rsidRPr="009D2A06" w:rsidRDefault="00B22AB4" w:rsidP="00680654">
            <w:pPr>
              <w:spacing w:line="240" w:lineRule="auto"/>
              <w:jc w:val="center"/>
              <w:rPr>
                <w:rFonts w:ascii="Times New Roman" w:eastAsia="Times New Roman" w:hAnsi="Times New Roman"/>
                <w:b/>
                <w:bCs/>
                <w:sz w:val="20"/>
                <w:szCs w:val="20"/>
                <w:lang w:val="en-US"/>
              </w:rPr>
            </w:pPr>
            <w:r w:rsidRPr="009D2A06">
              <w:rPr>
                <w:rFonts w:ascii="Times New Roman" w:eastAsia="Times New Roman" w:hAnsi="Times New Roman"/>
                <w:b/>
                <w:bCs/>
                <w:sz w:val="20"/>
                <w:szCs w:val="20"/>
                <w:lang w:val="en-US"/>
              </w:rPr>
              <w:t>2837</w:t>
            </w:r>
          </w:p>
        </w:tc>
      </w:tr>
    </w:tbl>
    <w:p w14:paraId="589979FF" w14:textId="77777777" w:rsidR="00F6511E" w:rsidRPr="00F6511E" w:rsidRDefault="00F6511E" w:rsidP="00F6511E">
      <w:pPr>
        <w:spacing w:after="240"/>
        <w:rPr>
          <w:lang w:eastAsia="lt-LT"/>
        </w:rPr>
      </w:pPr>
    </w:p>
    <w:bookmarkEnd w:id="222"/>
    <w:p w14:paraId="12E9FF1C" w14:textId="77777777" w:rsidR="00F6511E" w:rsidRDefault="00F6511E" w:rsidP="00F6511E">
      <w:pPr>
        <w:spacing w:before="60" w:line="240" w:lineRule="auto"/>
        <w:jc w:val="both"/>
        <w:rPr>
          <w:rFonts w:ascii="Times New Roman" w:hAnsi="Times New Roman"/>
          <w:color w:val="000000" w:themeColor="text1"/>
          <w:szCs w:val="22"/>
        </w:rPr>
      </w:pPr>
    </w:p>
    <w:p w14:paraId="564EA371" w14:textId="4DF5F307" w:rsidR="005E6DD9" w:rsidRDefault="005E6DD9">
      <w:pPr>
        <w:spacing w:after="240"/>
        <w:rPr>
          <w:rFonts w:ascii="Times New Roman" w:hAnsi="Times New Roman"/>
          <w:color w:val="000000" w:themeColor="text1"/>
          <w:szCs w:val="22"/>
        </w:rPr>
      </w:pPr>
      <w:r>
        <w:rPr>
          <w:rFonts w:ascii="Times New Roman" w:hAnsi="Times New Roman"/>
          <w:color w:val="000000" w:themeColor="text1"/>
          <w:szCs w:val="22"/>
        </w:rPr>
        <w:br w:type="page"/>
      </w:r>
    </w:p>
    <w:p w14:paraId="191C1FC4" w14:textId="0D29B01C" w:rsidR="005E6DD9" w:rsidRDefault="005E6DD9" w:rsidP="005E6DD9">
      <w:pPr>
        <w:pStyle w:val="Nenumeruojamosantrastes"/>
        <w:pageBreakBefore w:val="0"/>
        <w:pBdr>
          <w:bottom w:val="single" w:sz="4" w:space="1" w:color="auto"/>
        </w:pBdr>
        <w:spacing w:before="0"/>
        <w:outlineLvl w:val="0"/>
        <w:rPr>
          <w:rFonts w:ascii="Times New Roman" w:hAnsi="Times New Roman"/>
          <w:color w:val="002060"/>
          <w:sz w:val="24"/>
          <w:szCs w:val="24"/>
        </w:rPr>
      </w:pPr>
      <w:bookmarkStart w:id="224" w:name="_Toc59107582"/>
      <w:r>
        <w:rPr>
          <w:rFonts w:ascii="Times New Roman" w:hAnsi="Times New Roman"/>
          <w:color w:val="002060"/>
          <w:sz w:val="24"/>
          <w:szCs w:val="24"/>
          <w:lang w:val="en-GB"/>
        </w:rPr>
        <w:lastRenderedPageBreak/>
        <w:t>3</w:t>
      </w:r>
      <w:r>
        <w:rPr>
          <w:rFonts w:ascii="Times New Roman" w:hAnsi="Times New Roman"/>
          <w:color w:val="002060"/>
          <w:sz w:val="24"/>
          <w:szCs w:val="24"/>
        </w:rPr>
        <w:t xml:space="preserve"> priedas. Viešųjų konsultacijų santrauka</w:t>
      </w:r>
      <w:bookmarkEnd w:id="224"/>
      <w:r w:rsidRPr="00650EE4">
        <w:rPr>
          <w:rFonts w:ascii="Times New Roman" w:hAnsi="Times New Roman"/>
          <w:color w:val="002060"/>
          <w:sz w:val="24"/>
          <w:szCs w:val="24"/>
        </w:rPr>
        <w:t xml:space="preserve"> </w:t>
      </w:r>
    </w:p>
    <w:p w14:paraId="7D68700C" w14:textId="0BEE4C9A" w:rsidR="003B5E7C" w:rsidRPr="003B5E7C" w:rsidRDefault="003B5E7C" w:rsidP="003B5E7C">
      <w:pPr>
        <w:pStyle w:val="Text"/>
        <w:spacing w:after="120"/>
        <w:ind w:left="0" w:right="0"/>
        <w:rPr>
          <w:rFonts w:ascii="Times New Roman" w:hAnsi="Times New Roman" w:cs="Times New Roman"/>
          <w:bCs/>
          <w:color w:val="000000" w:themeColor="text1"/>
          <w:sz w:val="22"/>
        </w:rPr>
      </w:pPr>
      <w:r w:rsidRPr="00650EE4">
        <w:rPr>
          <w:rFonts w:ascii="Times New Roman" w:hAnsi="Times New Roman"/>
          <w:color w:val="000000" w:themeColor="text1"/>
          <w:szCs w:val="24"/>
        </w:rPr>
        <mc:AlternateContent>
          <mc:Choice Requires="wps">
            <w:drawing>
              <wp:inline distT="0" distB="0" distL="0" distR="0" wp14:anchorId="02D44F64" wp14:editId="6E00ACAB">
                <wp:extent cx="6479540" cy="771277"/>
                <wp:effectExtent l="0" t="0" r="0" b="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771277"/>
                        </a:xfrm>
                        <a:prstGeom prst="rect">
                          <a:avLst/>
                        </a:prstGeom>
                        <a:solidFill>
                          <a:schemeClr val="bg1">
                            <a:lumMod val="85000"/>
                          </a:schemeClr>
                        </a:solidFill>
                        <a:ln>
                          <a:noFill/>
                        </a:ln>
                      </wps:spPr>
                      <wps:txbx>
                        <w:txbxContent>
                          <w:p w14:paraId="2829778D" w14:textId="76D576CE" w:rsidR="003E0C4E" w:rsidRPr="00650EE4" w:rsidRDefault="003E0C4E" w:rsidP="003B5E7C">
                            <w:pPr>
                              <w:spacing w:before="60" w:line="240" w:lineRule="auto"/>
                              <w:jc w:val="both"/>
                              <w:rPr>
                                <w:rFonts w:ascii="Times New Roman" w:hAnsi="Times New Roman"/>
                                <w:color w:val="000000" w:themeColor="text1"/>
                                <w:szCs w:val="22"/>
                              </w:rPr>
                            </w:pPr>
                            <w:r>
                              <w:rPr>
                                <w:rFonts w:ascii="Times New Roman" w:hAnsi="Times New Roman"/>
                                <w:bCs/>
                                <w:color w:val="000000" w:themeColor="text1"/>
                              </w:rPr>
                              <w:t xml:space="preserve">PEND 2a straipsnio </w:t>
                            </w:r>
                            <w:r>
                              <w:rPr>
                                <w:rFonts w:ascii="Times New Roman" w:hAnsi="Times New Roman"/>
                                <w:bCs/>
                                <w:color w:val="000000" w:themeColor="text1"/>
                                <w:lang w:val="en-GB"/>
                              </w:rPr>
                              <w:t>5</w:t>
                            </w:r>
                            <w:r w:rsidRPr="00315966">
                              <w:rPr>
                                <w:rFonts w:ascii="Times New Roman" w:hAnsi="Times New Roman"/>
                                <w:bCs/>
                                <w:color w:val="000000" w:themeColor="text1"/>
                              </w:rPr>
                              <w:t xml:space="preserve"> </w:t>
                            </w:r>
                            <w:r>
                              <w:rPr>
                                <w:rFonts w:ascii="Times New Roman" w:hAnsi="Times New Roman"/>
                                <w:bCs/>
                                <w:color w:val="000000" w:themeColor="text1"/>
                              </w:rPr>
                              <w:t>dalyje</w:t>
                            </w:r>
                            <w:r w:rsidRPr="00315966">
                              <w:rPr>
                                <w:rFonts w:ascii="Times New Roman" w:hAnsi="Times New Roman"/>
                                <w:bCs/>
                                <w:color w:val="000000" w:themeColor="text1"/>
                              </w:rPr>
                              <w:t xml:space="preserve"> nustatyta, kad </w:t>
                            </w:r>
                            <w:r>
                              <w:rPr>
                                <w:rFonts w:ascii="Times New Roman" w:hAnsi="Times New Roman"/>
                                <w:bCs/>
                                <w:color w:val="000000" w:themeColor="text1"/>
                              </w:rPr>
                              <w:t>s</w:t>
                            </w:r>
                            <w:r w:rsidRPr="003B5E7C">
                              <w:rPr>
                                <w:rFonts w:ascii="Times New Roman" w:hAnsi="Times New Roman"/>
                                <w:color w:val="000000" w:themeColor="text1"/>
                                <w:szCs w:val="22"/>
                              </w:rPr>
                              <w:t>iekdama remti savo ilgalaikės renovacijos strategijos plėtojimą, kiekviena valstybė narė, prieš pateikdama Komisijai savo ilgalaikę renovacijos strategiją, surengia dėl jos viešas konsultacijas. Kiekviena valstybė narė savo surengtų viešų konsultacijų rezultatų santrauką prideda prie savo ilg</w:t>
                            </w:r>
                            <w:r>
                              <w:rPr>
                                <w:rFonts w:ascii="Times New Roman" w:hAnsi="Times New Roman"/>
                                <w:color w:val="000000" w:themeColor="text1"/>
                                <w:szCs w:val="22"/>
                              </w:rPr>
                              <w:t>alaikės renovacijos strategijos.</w:t>
                            </w:r>
                          </w:p>
                          <w:p w14:paraId="7C2C911F" w14:textId="000A59F3" w:rsidR="003E0C4E" w:rsidRPr="00315966" w:rsidRDefault="003E0C4E" w:rsidP="003B5E7C">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w:t>
                            </w:r>
                          </w:p>
                        </w:txbxContent>
                      </wps:txbx>
                      <wps:bodyPr rot="0" vert="horz" wrap="square" lIns="91440" tIns="45720" rIns="91440" bIns="45720" anchor="t" anchorCtr="0" upright="1">
                        <a:noAutofit/>
                      </wps:bodyPr>
                    </wps:wsp>
                  </a:graphicData>
                </a:graphic>
              </wp:inline>
            </w:drawing>
          </mc:Choice>
          <mc:Fallback>
            <w:pict>
              <v:shape id="Text Box 6" o:spid="_x0000_s1040" type="#_x0000_t202" style="width:510.2pt;height:6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" fillcolor="#d8d8d8 [2732]" stroked="f">
                <v:textbox>
                  <w:txbxContent>
                    <w:p w14:paraId="2829778D" w14:textId="76D576CE" w:rsidR="003E0C4E" w:rsidRPr="00650EE4" w:rsidRDefault="003E0C4E" w:rsidP="003B5E7C">
                      <w:pPr>
                        <w:spacing w:before="60" w:line="240" w:lineRule="auto"/>
                        <w:jc w:val="both"/>
                        <w:rPr>
                          <w:rFonts w:ascii="Times New Roman" w:hAnsi="Times New Roman"/>
                          <w:color w:val="000000" w:themeColor="text1"/>
                          <w:szCs w:val="22"/>
                        </w:rPr>
                      </w:pPr>
                      <w:r>
                        <w:rPr>
                          <w:rFonts w:ascii="Times New Roman" w:hAnsi="Times New Roman"/>
                          <w:bCs/>
                          <w:color w:val="000000" w:themeColor="text1"/>
                        </w:rPr>
                        <w:t xml:space="preserve">PEND 2a straipsnio </w:t>
                      </w:r>
                      <w:r>
                        <w:rPr>
                          <w:rFonts w:ascii="Times New Roman" w:hAnsi="Times New Roman"/>
                          <w:bCs/>
                          <w:color w:val="000000" w:themeColor="text1"/>
                          <w:lang w:val="en-GB"/>
                        </w:rPr>
                        <w:t>5</w:t>
                      </w:r>
                      <w:r w:rsidRPr="00315966">
                        <w:rPr>
                          <w:rFonts w:ascii="Times New Roman" w:hAnsi="Times New Roman"/>
                          <w:bCs/>
                          <w:color w:val="000000" w:themeColor="text1"/>
                        </w:rPr>
                        <w:t xml:space="preserve"> </w:t>
                      </w:r>
                      <w:r>
                        <w:rPr>
                          <w:rFonts w:ascii="Times New Roman" w:hAnsi="Times New Roman"/>
                          <w:bCs/>
                          <w:color w:val="000000" w:themeColor="text1"/>
                        </w:rPr>
                        <w:t>dalyje</w:t>
                      </w:r>
                      <w:r w:rsidRPr="00315966">
                        <w:rPr>
                          <w:rFonts w:ascii="Times New Roman" w:hAnsi="Times New Roman"/>
                          <w:bCs/>
                          <w:color w:val="000000" w:themeColor="text1"/>
                        </w:rPr>
                        <w:t xml:space="preserve"> nustatyta, kad </w:t>
                      </w:r>
                      <w:r>
                        <w:rPr>
                          <w:rFonts w:ascii="Times New Roman" w:hAnsi="Times New Roman"/>
                          <w:bCs/>
                          <w:color w:val="000000" w:themeColor="text1"/>
                        </w:rPr>
                        <w:t>s</w:t>
                      </w:r>
                      <w:r w:rsidRPr="003B5E7C">
                        <w:rPr>
                          <w:rFonts w:ascii="Times New Roman" w:hAnsi="Times New Roman"/>
                          <w:color w:val="000000" w:themeColor="text1"/>
                          <w:szCs w:val="22"/>
                        </w:rPr>
                        <w:t>iekdama remti savo ilgalaikės renovacijos strategijos plėtojimą, kiekviena valstybė narė, prieš pateikdama Komisijai savo ilgalaikę renovacijos strategiją, surengia dėl jos viešas konsultacijas. Kiekviena valstybė narė savo surengtų viešų konsultacijų rezultatų santrauką prideda prie savo ilg</w:t>
                      </w:r>
                      <w:r>
                        <w:rPr>
                          <w:rFonts w:ascii="Times New Roman" w:hAnsi="Times New Roman"/>
                          <w:color w:val="000000" w:themeColor="text1"/>
                          <w:szCs w:val="22"/>
                        </w:rPr>
                        <w:t>alaikės renovacijos strategijos.</w:t>
                      </w:r>
                    </w:p>
                    <w:p w14:paraId="7C2C911F" w14:textId="000A59F3" w:rsidR="003E0C4E" w:rsidRPr="00315966" w:rsidRDefault="003E0C4E" w:rsidP="003B5E7C">
                      <w:pPr>
                        <w:pStyle w:val="Text"/>
                        <w:spacing w:after="120"/>
                        <w:ind w:left="0" w:right="0"/>
                        <w:rPr>
                          <w:rFonts w:ascii="Times New Roman" w:hAnsi="Times New Roman" w:cs="Times New Roman"/>
                          <w:bCs/>
                          <w:color w:val="000000" w:themeColor="text1"/>
                          <w:sz w:val="22"/>
                        </w:rPr>
                      </w:pPr>
                      <w:r w:rsidRPr="00315966">
                        <w:rPr>
                          <w:rFonts w:ascii="Times New Roman" w:hAnsi="Times New Roman" w:cs="Times New Roman"/>
                          <w:bCs/>
                          <w:color w:val="000000" w:themeColor="text1"/>
                          <w:sz w:val="22"/>
                        </w:rPr>
                        <w:t>“.</w:t>
                      </w:r>
                    </w:p>
                  </w:txbxContent>
                </v:textbox>
                <w10:anchorlock/>
              </v:shape>
            </w:pict>
          </mc:Fallback>
        </mc:AlternateContent>
      </w:r>
    </w:p>
    <w:p w14:paraId="68B8DB32" w14:textId="77777777" w:rsidR="006205C4" w:rsidRDefault="00D71780" w:rsidP="0076741D">
      <w:pPr>
        <w:jc w:val="both"/>
        <w:rPr>
          <w:rFonts w:ascii="Times New Roman" w:hAnsi="Times New Roman"/>
          <w:szCs w:val="22"/>
        </w:rPr>
      </w:pPr>
      <w:r>
        <w:rPr>
          <w:rFonts w:ascii="Times New Roman" w:hAnsi="Times New Roman"/>
          <w:szCs w:val="22"/>
        </w:rPr>
        <w:t>Rengiant ilgalaikę renovacijos strategiją</w:t>
      </w:r>
      <w:r w:rsidR="003B5E7C">
        <w:rPr>
          <w:rFonts w:ascii="Times New Roman" w:hAnsi="Times New Roman"/>
          <w:szCs w:val="22"/>
        </w:rPr>
        <w:t xml:space="preserve"> konsultuotasi su suinteresuotomis institucijomis ir visuomene rengiant susitikimus, pristatant ir diskutuojant apie strategiją renginiuose</w:t>
      </w:r>
      <w:r w:rsidR="006205C4">
        <w:rPr>
          <w:rFonts w:ascii="Times New Roman" w:hAnsi="Times New Roman"/>
          <w:szCs w:val="22"/>
        </w:rPr>
        <w:t xml:space="preserve">. </w:t>
      </w:r>
    </w:p>
    <w:p w14:paraId="592DDE1E" w14:textId="77777777" w:rsidR="006205C4" w:rsidRDefault="006205C4" w:rsidP="0076741D">
      <w:pPr>
        <w:jc w:val="both"/>
        <w:rPr>
          <w:rFonts w:ascii="Times New Roman" w:hAnsi="Times New Roman"/>
          <w:szCs w:val="22"/>
        </w:rPr>
      </w:pPr>
    </w:p>
    <w:p w14:paraId="47A27ED1" w14:textId="02D902ED" w:rsidR="0076741D" w:rsidRDefault="006205C4" w:rsidP="0076741D">
      <w:pPr>
        <w:jc w:val="both"/>
        <w:rPr>
          <w:rFonts w:ascii="Times New Roman" w:hAnsi="Times New Roman"/>
          <w:szCs w:val="22"/>
        </w:rPr>
      </w:pPr>
      <w:r>
        <w:rPr>
          <w:rFonts w:ascii="Times New Roman" w:hAnsi="Times New Roman"/>
          <w:szCs w:val="22"/>
        </w:rPr>
        <w:t xml:space="preserve">Taip pat siekiant įtraukti gyventojus į sprendimų priėmimą, </w:t>
      </w:r>
      <w:r w:rsidR="003B5E7C">
        <w:rPr>
          <w:rFonts w:ascii="Times New Roman" w:hAnsi="Times New Roman"/>
          <w:szCs w:val="22"/>
        </w:rPr>
        <w:t xml:space="preserve">naudojantis </w:t>
      </w:r>
      <w:r w:rsidR="0076741D">
        <w:rPr>
          <w:rFonts w:ascii="Times New Roman" w:hAnsi="Times New Roman"/>
          <w:szCs w:val="22"/>
        </w:rPr>
        <w:t>„E-pilietis“ portalu</w:t>
      </w:r>
      <w:r>
        <w:rPr>
          <w:rFonts w:ascii="Times New Roman" w:hAnsi="Times New Roman"/>
          <w:szCs w:val="22"/>
        </w:rPr>
        <w:t xml:space="preserve"> buvo vykdomos viešosios konsultacijos </w:t>
      </w:r>
      <w:r w:rsidR="001B4A79">
        <w:rPr>
          <w:rFonts w:ascii="Times New Roman" w:hAnsi="Times New Roman"/>
          <w:szCs w:val="22"/>
        </w:rPr>
        <w:t>(</w:t>
      </w:r>
      <w:hyperlink r:id="rId70" w:history="1">
        <w:r w:rsidRPr="007F6EE3">
          <w:rPr>
            <w:rStyle w:val="Hyperlink"/>
            <w:rFonts w:ascii="Times New Roman" w:hAnsi="Times New Roman"/>
            <w:szCs w:val="22"/>
          </w:rPr>
          <w:t>https://epilietis.lrv.lt/lt/konsultacijos/viesoji-konsultacija-del-lietuvos-ilgalaikes-renovacijos-strategijos</w:t>
        </w:r>
      </w:hyperlink>
      <w:r>
        <w:rPr>
          <w:rFonts w:ascii="Times New Roman" w:hAnsi="Times New Roman"/>
          <w:szCs w:val="22"/>
        </w:rPr>
        <w:t>)</w:t>
      </w:r>
      <w:r w:rsidR="00900606">
        <w:rPr>
          <w:rFonts w:ascii="Times New Roman" w:hAnsi="Times New Roman"/>
          <w:szCs w:val="22"/>
        </w:rPr>
        <w:t xml:space="preserve"> (</w:t>
      </w:r>
      <w:hyperlink r:id="rId71" w:history="1">
        <w:r w:rsidR="00900606" w:rsidRPr="00EC49AE">
          <w:rPr>
            <w:rStyle w:val="Hyperlink"/>
            <w:rFonts w:ascii="Times New Roman" w:hAnsi="Times New Roman"/>
            <w:szCs w:val="22"/>
          </w:rPr>
          <w:t>https://epilietis.lrv.lt/lt/konsultacijos/viesoji-konsultacija-gauti-pasiulymus-lietuvos-ilgalaikei-renovacijos-strategijai</w:t>
        </w:r>
      </w:hyperlink>
      <w:r w:rsidR="00900606">
        <w:rPr>
          <w:rFonts w:ascii="Times New Roman" w:hAnsi="Times New Roman"/>
          <w:szCs w:val="22"/>
        </w:rPr>
        <w:t>)</w:t>
      </w:r>
      <w:r w:rsidR="003B5E7C">
        <w:rPr>
          <w:rFonts w:ascii="Times New Roman" w:hAnsi="Times New Roman"/>
          <w:szCs w:val="22"/>
        </w:rPr>
        <w:t>.</w:t>
      </w:r>
      <w:r w:rsidR="00900606">
        <w:rPr>
          <w:rFonts w:ascii="Times New Roman" w:hAnsi="Times New Roman"/>
          <w:szCs w:val="22"/>
        </w:rPr>
        <w:t xml:space="preserve"> </w:t>
      </w:r>
    </w:p>
    <w:p w14:paraId="409A3938" w14:textId="77777777" w:rsidR="0076741D" w:rsidRDefault="0076741D" w:rsidP="0076741D">
      <w:pPr>
        <w:jc w:val="both"/>
        <w:rPr>
          <w:rFonts w:ascii="Times New Roman" w:hAnsi="Times New Roman"/>
          <w:szCs w:val="22"/>
        </w:rPr>
      </w:pPr>
    </w:p>
    <w:p w14:paraId="7AFE6FBC" w14:textId="77777777" w:rsidR="0076741D" w:rsidRDefault="0076741D" w:rsidP="0076741D">
      <w:pPr>
        <w:jc w:val="both"/>
        <w:rPr>
          <w:rFonts w:ascii="Times New Roman" w:hAnsi="Times New Roman"/>
          <w:szCs w:val="22"/>
        </w:rPr>
      </w:pPr>
      <w:r>
        <w:rPr>
          <w:rFonts w:ascii="Times New Roman" w:hAnsi="Times New Roman"/>
          <w:szCs w:val="22"/>
        </w:rPr>
        <w:t xml:space="preserve">Strategija </w:t>
      </w:r>
      <w:r>
        <w:rPr>
          <w:rFonts w:ascii="Times New Roman" w:hAnsi="Times New Roman"/>
          <w:szCs w:val="22"/>
          <w:lang w:val="en-GB"/>
        </w:rPr>
        <w:t xml:space="preserve">2020 m. </w:t>
      </w:r>
      <w:r w:rsidRPr="0076741D">
        <w:rPr>
          <w:rFonts w:ascii="Times New Roman" w:hAnsi="Times New Roman"/>
          <w:szCs w:val="22"/>
        </w:rPr>
        <w:t>spalio</w:t>
      </w:r>
      <w:r>
        <w:rPr>
          <w:rFonts w:ascii="Times New Roman" w:hAnsi="Times New Roman"/>
          <w:szCs w:val="22"/>
          <w:lang w:val="en-GB"/>
        </w:rPr>
        <w:t xml:space="preserve"> 1 d. </w:t>
      </w:r>
      <w:r>
        <w:rPr>
          <w:rFonts w:ascii="Times New Roman" w:hAnsi="Times New Roman"/>
          <w:szCs w:val="22"/>
        </w:rPr>
        <w:t>buvo pristatyta Lietuvos Respublikos aplinkos ministerijos, Lietuvos būsto rūmų, asociacijos</w:t>
      </w:r>
      <w:r w:rsidRPr="0076741D">
        <w:rPr>
          <w:rFonts w:ascii="Times New Roman" w:hAnsi="Times New Roman"/>
          <w:szCs w:val="22"/>
        </w:rPr>
        <w:t xml:space="preserve"> „Lietuvos butų ūkis“</w:t>
      </w:r>
      <w:r>
        <w:rPr>
          <w:rFonts w:ascii="Times New Roman" w:hAnsi="Times New Roman"/>
          <w:szCs w:val="22"/>
        </w:rPr>
        <w:t xml:space="preserve"> ir viešosios įstaigos „</w:t>
      </w:r>
      <w:r w:rsidRPr="0076741D">
        <w:rPr>
          <w:rFonts w:ascii="Times New Roman" w:hAnsi="Times New Roman"/>
          <w:szCs w:val="22"/>
        </w:rPr>
        <w:t>Būsto energijos taupymo agentūra</w:t>
      </w:r>
      <w:r>
        <w:rPr>
          <w:rFonts w:ascii="Times New Roman" w:hAnsi="Times New Roman"/>
          <w:szCs w:val="22"/>
        </w:rPr>
        <w:t xml:space="preserve">“ organizuotoje konferencijoje  </w:t>
      </w:r>
      <w:r w:rsidRPr="0076741D">
        <w:rPr>
          <w:rFonts w:ascii="Times New Roman" w:hAnsi="Times New Roman"/>
          <w:szCs w:val="22"/>
        </w:rPr>
        <w:t>„Būsto sektoriaus perspektyvos. Pastatų energinio efektyvumo didinimas“.</w:t>
      </w:r>
      <w:r w:rsidR="003B5E7C">
        <w:rPr>
          <w:rFonts w:ascii="Times New Roman" w:hAnsi="Times New Roman"/>
          <w:szCs w:val="22"/>
        </w:rPr>
        <w:t xml:space="preserve"> </w:t>
      </w:r>
    </w:p>
    <w:p w14:paraId="515E6C48" w14:textId="77777777" w:rsidR="0076741D" w:rsidRDefault="0076741D" w:rsidP="0076741D">
      <w:pPr>
        <w:jc w:val="both"/>
        <w:rPr>
          <w:rFonts w:ascii="Times New Roman" w:hAnsi="Times New Roman"/>
          <w:szCs w:val="22"/>
        </w:rPr>
      </w:pPr>
    </w:p>
    <w:p w14:paraId="66317DB7" w14:textId="0B9F569D" w:rsidR="00177A81" w:rsidRDefault="0076741D" w:rsidP="0076741D">
      <w:pPr>
        <w:jc w:val="both"/>
        <w:rPr>
          <w:rFonts w:ascii="Times New Roman" w:hAnsi="Times New Roman"/>
          <w:szCs w:val="22"/>
        </w:rPr>
      </w:pPr>
      <w:r>
        <w:rPr>
          <w:rFonts w:ascii="Times New Roman" w:hAnsi="Times New Roman"/>
          <w:szCs w:val="22"/>
        </w:rPr>
        <w:t xml:space="preserve">2020 m. spalio </w:t>
      </w:r>
      <w:r w:rsidRPr="0076741D">
        <w:rPr>
          <w:rFonts w:ascii="Times New Roman" w:hAnsi="Times New Roman"/>
          <w:szCs w:val="22"/>
        </w:rPr>
        <w:t>–</w:t>
      </w:r>
      <w:r>
        <w:rPr>
          <w:rFonts w:ascii="Times New Roman" w:hAnsi="Times New Roman"/>
          <w:szCs w:val="22"/>
        </w:rPr>
        <w:t xml:space="preserve"> lapkričio mėn. vyko susitikimai su </w:t>
      </w:r>
      <w:r w:rsidR="00177A81">
        <w:rPr>
          <w:rFonts w:ascii="Times New Roman" w:hAnsi="Times New Roman"/>
          <w:szCs w:val="22"/>
        </w:rPr>
        <w:t xml:space="preserve">Lietuvos Respublikos energetikos ministerija, Lietuvos Respublikos finansų ministerija, Europos investicijų banko atstovybe Lietuvoje, Kauno technologijos universitetu, </w:t>
      </w:r>
      <w:r w:rsidR="00177A81" w:rsidRPr="00177A81">
        <w:rPr>
          <w:rFonts w:ascii="Times New Roman" w:hAnsi="Times New Roman"/>
          <w:szCs w:val="22"/>
        </w:rPr>
        <w:t>Lietuvos atsinaujinančių išteklių energetikos konfederacija</w:t>
      </w:r>
      <w:r w:rsidR="001B4A79">
        <w:rPr>
          <w:rFonts w:ascii="Times New Roman" w:hAnsi="Times New Roman"/>
          <w:szCs w:val="22"/>
        </w:rPr>
        <w:t xml:space="preserve">, </w:t>
      </w:r>
      <w:r w:rsidR="00177A81">
        <w:rPr>
          <w:rFonts w:ascii="Times New Roman" w:hAnsi="Times New Roman"/>
          <w:szCs w:val="22"/>
        </w:rPr>
        <w:t>Lietuvos energetikos institutu</w:t>
      </w:r>
      <w:r w:rsidR="001B4A79">
        <w:rPr>
          <w:rFonts w:ascii="Times New Roman" w:hAnsi="Times New Roman"/>
          <w:szCs w:val="22"/>
        </w:rPr>
        <w:t xml:space="preserve">, </w:t>
      </w:r>
      <w:r w:rsidR="00177A81" w:rsidRPr="00177A81">
        <w:rPr>
          <w:rFonts w:ascii="Times New Roman" w:hAnsi="Times New Roman"/>
          <w:szCs w:val="22"/>
        </w:rPr>
        <w:t>Lietuvos respublikiniai</w:t>
      </w:r>
      <w:r w:rsidR="00177A81">
        <w:rPr>
          <w:rFonts w:ascii="Times New Roman" w:hAnsi="Times New Roman"/>
          <w:szCs w:val="22"/>
        </w:rPr>
        <w:t>s</w:t>
      </w:r>
      <w:r w:rsidR="00177A81" w:rsidRPr="00177A81">
        <w:rPr>
          <w:rFonts w:ascii="Times New Roman" w:hAnsi="Times New Roman"/>
          <w:szCs w:val="22"/>
        </w:rPr>
        <w:t xml:space="preserve"> būsto valdymo ir priežiūros rūmai</w:t>
      </w:r>
      <w:r w:rsidR="00177A81">
        <w:rPr>
          <w:rFonts w:ascii="Times New Roman" w:hAnsi="Times New Roman"/>
          <w:szCs w:val="22"/>
        </w:rPr>
        <w:t>s</w:t>
      </w:r>
      <w:r w:rsidR="001B4A79">
        <w:rPr>
          <w:rFonts w:ascii="Times New Roman" w:hAnsi="Times New Roman"/>
          <w:szCs w:val="22"/>
        </w:rPr>
        <w:t xml:space="preserve">, </w:t>
      </w:r>
      <w:r w:rsidR="00177A81">
        <w:rPr>
          <w:rFonts w:ascii="Times New Roman" w:hAnsi="Times New Roman"/>
          <w:szCs w:val="22"/>
        </w:rPr>
        <w:t>Lietuvos saulės energijos asociacija</w:t>
      </w:r>
      <w:r w:rsidR="001B4A79">
        <w:rPr>
          <w:rFonts w:ascii="Times New Roman" w:hAnsi="Times New Roman"/>
          <w:szCs w:val="22"/>
        </w:rPr>
        <w:t xml:space="preserve">, </w:t>
      </w:r>
      <w:r w:rsidR="00177A81">
        <w:rPr>
          <w:rFonts w:ascii="Times New Roman" w:hAnsi="Times New Roman"/>
          <w:szCs w:val="22"/>
        </w:rPr>
        <w:t>Lietuvos savivaldybių asociacija</w:t>
      </w:r>
      <w:r w:rsidR="001B4A79">
        <w:rPr>
          <w:rFonts w:ascii="Times New Roman" w:hAnsi="Times New Roman"/>
          <w:szCs w:val="22"/>
        </w:rPr>
        <w:t xml:space="preserve">, </w:t>
      </w:r>
      <w:r w:rsidR="00177A81">
        <w:rPr>
          <w:rFonts w:ascii="Times New Roman" w:hAnsi="Times New Roman"/>
          <w:szCs w:val="22"/>
        </w:rPr>
        <w:t>Lietuvos statybininkų asociacija</w:t>
      </w:r>
      <w:r w:rsidR="001B4A79">
        <w:rPr>
          <w:rFonts w:ascii="Times New Roman" w:hAnsi="Times New Roman"/>
          <w:szCs w:val="22"/>
        </w:rPr>
        <w:t xml:space="preserve">, </w:t>
      </w:r>
      <w:r w:rsidR="00177A81">
        <w:rPr>
          <w:rFonts w:ascii="Times New Roman" w:hAnsi="Times New Roman"/>
          <w:szCs w:val="22"/>
        </w:rPr>
        <w:t>Lietuvos šilumos tiekėjų asociacija</w:t>
      </w:r>
      <w:r w:rsidR="001B4A79">
        <w:rPr>
          <w:rFonts w:ascii="Times New Roman" w:hAnsi="Times New Roman"/>
          <w:szCs w:val="22"/>
        </w:rPr>
        <w:t xml:space="preserve">, </w:t>
      </w:r>
      <w:r w:rsidR="00177A81">
        <w:rPr>
          <w:rFonts w:ascii="Times New Roman" w:hAnsi="Times New Roman"/>
          <w:szCs w:val="22"/>
        </w:rPr>
        <w:t>Lietuvos vartotojų organizacijų aljansu</w:t>
      </w:r>
      <w:r w:rsidR="001B4A79">
        <w:rPr>
          <w:rFonts w:ascii="Times New Roman" w:hAnsi="Times New Roman"/>
          <w:szCs w:val="22"/>
        </w:rPr>
        <w:t xml:space="preserve">, </w:t>
      </w:r>
      <w:r w:rsidR="00177A81">
        <w:rPr>
          <w:rFonts w:ascii="Times New Roman" w:hAnsi="Times New Roman"/>
          <w:szCs w:val="22"/>
        </w:rPr>
        <w:t>Mineralinės vatos gamintojų asociacija</w:t>
      </w:r>
      <w:r w:rsidR="001B4A79">
        <w:rPr>
          <w:rFonts w:ascii="Times New Roman" w:hAnsi="Times New Roman"/>
          <w:szCs w:val="22"/>
        </w:rPr>
        <w:t xml:space="preserve">, </w:t>
      </w:r>
      <w:r w:rsidR="00177A81">
        <w:rPr>
          <w:rFonts w:ascii="Times New Roman" w:hAnsi="Times New Roman"/>
          <w:szCs w:val="22"/>
        </w:rPr>
        <w:t>Nacionaline pasyvaus namo asociacija</w:t>
      </w:r>
      <w:r w:rsidR="001B4A79">
        <w:rPr>
          <w:rFonts w:ascii="Times New Roman" w:hAnsi="Times New Roman"/>
          <w:szCs w:val="22"/>
        </w:rPr>
        <w:t xml:space="preserve">, </w:t>
      </w:r>
      <w:r w:rsidR="00177A81" w:rsidRPr="00177A81">
        <w:rPr>
          <w:rFonts w:ascii="Times New Roman" w:hAnsi="Times New Roman"/>
          <w:szCs w:val="22"/>
        </w:rPr>
        <w:t xml:space="preserve">UAB </w:t>
      </w:r>
      <w:r w:rsidR="00177A81">
        <w:rPr>
          <w:rFonts w:ascii="Times New Roman" w:hAnsi="Times New Roman"/>
          <w:szCs w:val="22"/>
        </w:rPr>
        <w:t>„</w:t>
      </w:r>
      <w:r w:rsidR="00177A81" w:rsidRPr="00177A81">
        <w:rPr>
          <w:rFonts w:ascii="Times New Roman" w:hAnsi="Times New Roman"/>
          <w:szCs w:val="22"/>
        </w:rPr>
        <w:t>Viešųjų investicijų plėtros agentūra</w:t>
      </w:r>
      <w:r w:rsidR="00177A81">
        <w:rPr>
          <w:rFonts w:ascii="Times New Roman" w:hAnsi="Times New Roman"/>
          <w:szCs w:val="22"/>
        </w:rPr>
        <w:t>“</w:t>
      </w:r>
      <w:r w:rsidR="001B4A79">
        <w:rPr>
          <w:rFonts w:ascii="Times New Roman" w:hAnsi="Times New Roman"/>
          <w:szCs w:val="22"/>
        </w:rPr>
        <w:t xml:space="preserve">, </w:t>
      </w:r>
    </w:p>
    <w:p w14:paraId="1AA06657" w14:textId="6F8C9B3E" w:rsidR="00177A81" w:rsidRDefault="00177A81" w:rsidP="0076741D">
      <w:pPr>
        <w:jc w:val="both"/>
        <w:rPr>
          <w:rFonts w:ascii="Times New Roman" w:hAnsi="Times New Roman"/>
          <w:szCs w:val="22"/>
        </w:rPr>
      </w:pPr>
      <w:r>
        <w:rPr>
          <w:rFonts w:ascii="Times New Roman" w:hAnsi="Times New Roman"/>
          <w:szCs w:val="22"/>
        </w:rPr>
        <w:t>Viešąja įstaiga „Būsto energijos taupymo agentūra“</w:t>
      </w:r>
      <w:r w:rsidR="001B4A79">
        <w:rPr>
          <w:rFonts w:ascii="Times New Roman" w:hAnsi="Times New Roman"/>
          <w:szCs w:val="22"/>
        </w:rPr>
        <w:t xml:space="preserve">, </w:t>
      </w:r>
      <w:r>
        <w:rPr>
          <w:rFonts w:ascii="Times New Roman" w:hAnsi="Times New Roman"/>
          <w:szCs w:val="22"/>
        </w:rPr>
        <w:t>Viešąja įstaiga „Lietuvos energetikos agentūra“</w:t>
      </w:r>
      <w:r w:rsidR="001B4A79">
        <w:rPr>
          <w:rFonts w:ascii="Times New Roman" w:hAnsi="Times New Roman"/>
          <w:szCs w:val="22"/>
        </w:rPr>
        <w:t xml:space="preserve">, </w:t>
      </w:r>
      <w:r>
        <w:rPr>
          <w:rFonts w:ascii="Times New Roman" w:hAnsi="Times New Roman"/>
          <w:szCs w:val="22"/>
        </w:rPr>
        <w:t>Vilniaus Gedimino technikos universitetu</w:t>
      </w:r>
      <w:r w:rsidR="001B4A79">
        <w:rPr>
          <w:rFonts w:ascii="Times New Roman" w:hAnsi="Times New Roman"/>
          <w:szCs w:val="22"/>
        </w:rPr>
        <w:t>.</w:t>
      </w:r>
    </w:p>
    <w:p w14:paraId="387FE0BD" w14:textId="77777777" w:rsidR="00CB6A63" w:rsidRDefault="00CB6A63" w:rsidP="0076741D">
      <w:pPr>
        <w:jc w:val="both"/>
        <w:rPr>
          <w:rFonts w:ascii="Times New Roman" w:hAnsi="Times New Roman"/>
          <w:szCs w:val="22"/>
        </w:rPr>
      </w:pPr>
    </w:p>
    <w:p w14:paraId="1CDD71AD" w14:textId="3A97A5A8" w:rsidR="00CB6A63" w:rsidRDefault="006269D7" w:rsidP="0076741D">
      <w:pPr>
        <w:jc w:val="both"/>
        <w:rPr>
          <w:rFonts w:ascii="Times New Roman" w:hAnsi="Times New Roman"/>
          <w:szCs w:val="22"/>
        </w:rPr>
      </w:pPr>
      <w:r>
        <w:rPr>
          <w:rFonts w:ascii="Times New Roman" w:hAnsi="Times New Roman"/>
          <w:szCs w:val="22"/>
        </w:rPr>
        <w:t xml:space="preserve">Žemiau lentelėje pateikiamos apibendrintos gautos </w:t>
      </w:r>
      <w:r w:rsidR="00CB6A63">
        <w:rPr>
          <w:rFonts w:ascii="Times New Roman" w:hAnsi="Times New Roman"/>
          <w:szCs w:val="22"/>
        </w:rPr>
        <w:t>pastabos</w:t>
      </w:r>
      <w:r w:rsidR="0038571C">
        <w:rPr>
          <w:rFonts w:ascii="Times New Roman" w:hAnsi="Times New Roman"/>
          <w:szCs w:val="22"/>
        </w:rPr>
        <w:t xml:space="preserve"> </w:t>
      </w:r>
      <w:r>
        <w:rPr>
          <w:rFonts w:ascii="Times New Roman" w:hAnsi="Times New Roman"/>
          <w:szCs w:val="22"/>
        </w:rPr>
        <w:t>ir pasiūlymai.</w:t>
      </w:r>
      <w:r w:rsidR="0038571C">
        <w:rPr>
          <w:rFonts w:ascii="Times New Roman" w:hAnsi="Times New Roman"/>
          <w:szCs w:val="22"/>
        </w:rPr>
        <w:t xml:space="preserve"> </w:t>
      </w:r>
    </w:p>
    <w:p w14:paraId="7E53353A" w14:textId="77777777" w:rsidR="006205C4" w:rsidRDefault="006205C4" w:rsidP="0076741D">
      <w:pPr>
        <w:jc w:val="both"/>
        <w:rPr>
          <w:rFonts w:ascii="Times New Roman" w:hAnsi="Times New Roman"/>
          <w:szCs w:val="22"/>
        </w:rPr>
      </w:pPr>
    </w:p>
    <w:tbl>
      <w:tblPr>
        <w:tblStyle w:val="TableGrid"/>
        <w:tblW w:w="0" w:type="auto"/>
        <w:tblLook w:val="04A0" w:firstRow="1" w:lastRow="0" w:firstColumn="1" w:lastColumn="0" w:noHBand="0" w:noVBand="1"/>
      </w:tblPr>
      <w:tblGrid>
        <w:gridCol w:w="2802"/>
        <w:gridCol w:w="7618"/>
      </w:tblGrid>
      <w:tr w:rsidR="0038571C" w14:paraId="21818C1A" w14:textId="77777777" w:rsidTr="00CB6A63">
        <w:tc>
          <w:tcPr>
            <w:tcW w:w="2802" w:type="dxa"/>
          </w:tcPr>
          <w:p w14:paraId="54F1D5FB" w14:textId="7FF13D9B" w:rsidR="0038571C" w:rsidRPr="0038571C" w:rsidRDefault="0038571C" w:rsidP="0076741D">
            <w:pPr>
              <w:jc w:val="both"/>
              <w:rPr>
                <w:rFonts w:ascii="Times New Roman" w:hAnsi="Times New Roman"/>
                <w:b/>
                <w:szCs w:val="22"/>
              </w:rPr>
            </w:pPr>
            <w:r w:rsidRPr="0038571C">
              <w:rPr>
                <w:rFonts w:ascii="Times New Roman" w:hAnsi="Times New Roman"/>
                <w:b/>
                <w:szCs w:val="22"/>
              </w:rPr>
              <w:t>Strategijos dalis</w:t>
            </w:r>
          </w:p>
        </w:tc>
        <w:tc>
          <w:tcPr>
            <w:tcW w:w="7618" w:type="dxa"/>
          </w:tcPr>
          <w:p w14:paraId="5CAADA32" w14:textId="03E83558" w:rsidR="0038571C" w:rsidRPr="0038571C" w:rsidRDefault="006205C4" w:rsidP="0076741D">
            <w:pPr>
              <w:jc w:val="both"/>
              <w:rPr>
                <w:rFonts w:ascii="Times New Roman" w:hAnsi="Times New Roman"/>
                <w:b/>
                <w:szCs w:val="22"/>
              </w:rPr>
            </w:pPr>
            <w:r>
              <w:rPr>
                <w:rFonts w:ascii="Times New Roman" w:hAnsi="Times New Roman"/>
                <w:b/>
                <w:szCs w:val="22"/>
              </w:rPr>
              <w:t>Pas</w:t>
            </w:r>
            <w:r w:rsidR="0038571C" w:rsidRPr="0038571C">
              <w:rPr>
                <w:rFonts w:ascii="Times New Roman" w:hAnsi="Times New Roman"/>
                <w:b/>
                <w:szCs w:val="22"/>
              </w:rPr>
              <w:t>iūlymai / pastabos</w:t>
            </w:r>
          </w:p>
        </w:tc>
      </w:tr>
      <w:tr w:rsidR="0038571C" w14:paraId="1D1D0F2D" w14:textId="77777777" w:rsidTr="00CB6A63">
        <w:tc>
          <w:tcPr>
            <w:tcW w:w="2802" w:type="dxa"/>
            <w:vMerge w:val="restart"/>
          </w:tcPr>
          <w:p w14:paraId="76D3CA11" w14:textId="0E679C2D" w:rsidR="0038571C" w:rsidRDefault="0038571C" w:rsidP="0076741D">
            <w:pPr>
              <w:jc w:val="both"/>
              <w:rPr>
                <w:rFonts w:ascii="Times New Roman" w:hAnsi="Times New Roman"/>
                <w:szCs w:val="22"/>
              </w:rPr>
            </w:pPr>
            <w:r>
              <w:rPr>
                <w:rFonts w:ascii="Times New Roman" w:hAnsi="Times New Roman"/>
                <w:szCs w:val="22"/>
              </w:rPr>
              <w:t xml:space="preserve">Dėl strategijos krypties </w:t>
            </w:r>
          </w:p>
        </w:tc>
        <w:tc>
          <w:tcPr>
            <w:tcW w:w="7618" w:type="dxa"/>
          </w:tcPr>
          <w:p w14:paraId="35FBEF6E" w14:textId="20A3A7DF" w:rsidR="0038571C" w:rsidRPr="00CB6A63" w:rsidRDefault="0038571C" w:rsidP="0076741D">
            <w:pPr>
              <w:jc w:val="both"/>
              <w:rPr>
                <w:rFonts w:ascii="Times New Roman" w:hAnsi="Times New Roman"/>
                <w:szCs w:val="22"/>
              </w:rPr>
            </w:pPr>
            <w:r>
              <w:rPr>
                <w:rFonts w:ascii="Times New Roman" w:hAnsi="Times New Roman"/>
                <w:szCs w:val="22"/>
              </w:rPr>
              <w:t>Ar energinis efektyvumas yra savaiminis tikslas ar priemonė CO</w:t>
            </w:r>
            <w:r w:rsidRPr="00900606">
              <w:rPr>
                <w:rFonts w:ascii="Times New Roman" w:hAnsi="Times New Roman"/>
                <w:szCs w:val="22"/>
                <w:vertAlign w:val="subscript"/>
                <w:lang w:val="en-GB"/>
              </w:rPr>
              <w:t>2</w:t>
            </w:r>
            <w:r>
              <w:rPr>
                <w:rFonts w:ascii="Times New Roman" w:hAnsi="Times New Roman"/>
                <w:szCs w:val="22"/>
                <w:lang w:val="en-GB"/>
              </w:rPr>
              <w:t xml:space="preserve"> ma</w:t>
            </w:r>
            <w:r>
              <w:rPr>
                <w:rFonts w:ascii="Times New Roman" w:hAnsi="Times New Roman"/>
                <w:szCs w:val="22"/>
              </w:rPr>
              <w:t>žinimui</w:t>
            </w:r>
          </w:p>
        </w:tc>
      </w:tr>
      <w:tr w:rsidR="0038571C" w14:paraId="04A30A56" w14:textId="77777777" w:rsidTr="00CB6A63">
        <w:tc>
          <w:tcPr>
            <w:tcW w:w="2802" w:type="dxa"/>
            <w:vMerge/>
          </w:tcPr>
          <w:p w14:paraId="7EDBFE5F" w14:textId="77777777" w:rsidR="0038571C" w:rsidRDefault="0038571C" w:rsidP="0076741D">
            <w:pPr>
              <w:jc w:val="both"/>
              <w:rPr>
                <w:rFonts w:ascii="Times New Roman" w:hAnsi="Times New Roman"/>
                <w:szCs w:val="22"/>
              </w:rPr>
            </w:pPr>
          </w:p>
        </w:tc>
        <w:tc>
          <w:tcPr>
            <w:tcW w:w="7618" w:type="dxa"/>
          </w:tcPr>
          <w:p w14:paraId="58BA7839" w14:textId="32464005" w:rsidR="0038571C" w:rsidRPr="00CB6A63" w:rsidRDefault="0038571C" w:rsidP="0076741D">
            <w:pPr>
              <w:jc w:val="both"/>
              <w:rPr>
                <w:rFonts w:ascii="Times New Roman" w:hAnsi="Times New Roman"/>
                <w:szCs w:val="22"/>
                <w:lang w:val="en-GB"/>
              </w:rPr>
            </w:pPr>
            <w:r>
              <w:rPr>
                <w:rFonts w:ascii="Times New Roman" w:hAnsi="Times New Roman"/>
                <w:szCs w:val="22"/>
              </w:rPr>
              <w:t xml:space="preserve">Ar nepriklausomybė nuo iškastinio kuro reiškia </w:t>
            </w:r>
            <w:r>
              <w:rPr>
                <w:rFonts w:ascii="Times New Roman" w:hAnsi="Times New Roman"/>
                <w:szCs w:val="22"/>
                <w:lang w:val="en-GB"/>
              </w:rPr>
              <w:t>100 proc. AEI</w:t>
            </w:r>
          </w:p>
        </w:tc>
      </w:tr>
      <w:tr w:rsidR="0038571C" w14:paraId="58E72FB8" w14:textId="77777777" w:rsidTr="00CB6A63">
        <w:tc>
          <w:tcPr>
            <w:tcW w:w="2802" w:type="dxa"/>
            <w:vMerge w:val="restart"/>
          </w:tcPr>
          <w:p w14:paraId="7DD040BB" w14:textId="062CE223" w:rsidR="0038571C" w:rsidRDefault="0038571C" w:rsidP="0076741D">
            <w:pPr>
              <w:jc w:val="both"/>
              <w:rPr>
                <w:rFonts w:ascii="Times New Roman" w:hAnsi="Times New Roman"/>
                <w:szCs w:val="22"/>
              </w:rPr>
            </w:pPr>
            <w:r>
              <w:rPr>
                <w:rFonts w:ascii="Times New Roman" w:hAnsi="Times New Roman"/>
                <w:szCs w:val="22"/>
              </w:rPr>
              <w:t>Dėl pastatų fondo</w:t>
            </w:r>
          </w:p>
        </w:tc>
        <w:tc>
          <w:tcPr>
            <w:tcW w:w="7618" w:type="dxa"/>
          </w:tcPr>
          <w:p w14:paraId="39504EAE" w14:textId="4823CA80" w:rsidR="0038571C" w:rsidRDefault="0038571C" w:rsidP="0076741D">
            <w:pPr>
              <w:jc w:val="both"/>
              <w:rPr>
                <w:rFonts w:ascii="Times New Roman" w:hAnsi="Times New Roman"/>
                <w:szCs w:val="22"/>
              </w:rPr>
            </w:pPr>
            <w:r>
              <w:rPr>
                <w:rFonts w:ascii="Times New Roman" w:hAnsi="Times New Roman"/>
                <w:szCs w:val="22"/>
              </w:rPr>
              <w:t>Ar pastatų fondas tikrai vartoja tiek energijos</w:t>
            </w:r>
          </w:p>
        </w:tc>
      </w:tr>
      <w:tr w:rsidR="0038571C" w14:paraId="4BE1DE8A" w14:textId="77777777" w:rsidTr="00CB6A63">
        <w:tc>
          <w:tcPr>
            <w:tcW w:w="2802" w:type="dxa"/>
            <w:vMerge/>
          </w:tcPr>
          <w:p w14:paraId="381E7CC3" w14:textId="77777777" w:rsidR="0038571C" w:rsidRDefault="0038571C" w:rsidP="0076741D">
            <w:pPr>
              <w:jc w:val="both"/>
              <w:rPr>
                <w:rFonts w:ascii="Times New Roman" w:hAnsi="Times New Roman"/>
                <w:szCs w:val="22"/>
              </w:rPr>
            </w:pPr>
          </w:p>
        </w:tc>
        <w:tc>
          <w:tcPr>
            <w:tcW w:w="7618" w:type="dxa"/>
          </w:tcPr>
          <w:p w14:paraId="04A5134B" w14:textId="7B3153E8" w:rsidR="0038571C" w:rsidRDefault="0038571C" w:rsidP="0076741D">
            <w:pPr>
              <w:jc w:val="both"/>
              <w:rPr>
                <w:rFonts w:ascii="Times New Roman" w:hAnsi="Times New Roman"/>
                <w:szCs w:val="22"/>
              </w:rPr>
            </w:pPr>
            <w:r>
              <w:rPr>
                <w:rFonts w:ascii="Times New Roman" w:hAnsi="Times New Roman"/>
                <w:szCs w:val="22"/>
              </w:rPr>
              <w:t>Prašymas pateikti informaciją detaliau</w:t>
            </w:r>
          </w:p>
        </w:tc>
      </w:tr>
      <w:tr w:rsidR="0038571C" w14:paraId="67BA7CAA" w14:textId="77777777" w:rsidTr="00CB6A63">
        <w:tc>
          <w:tcPr>
            <w:tcW w:w="2802" w:type="dxa"/>
            <w:vMerge/>
          </w:tcPr>
          <w:p w14:paraId="33233A1C" w14:textId="77777777" w:rsidR="0038571C" w:rsidRDefault="0038571C" w:rsidP="0076741D">
            <w:pPr>
              <w:jc w:val="both"/>
              <w:rPr>
                <w:rFonts w:ascii="Times New Roman" w:hAnsi="Times New Roman"/>
                <w:szCs w:val="22"/>
              </w:rPr>
            </w:pPr>
          </w:p>
        </w:tc>
        <w:tc>
          <w:tcPr>
            <w:tcW w:w="7618" w:type="dxa"/>
          </w:tcPr>
          <w:p w14:paraId="6979262D" w14:textId="225973D1" w:rsidR="0038571C" w:rsidRDefault="0038571C" w:rsidP="0076741D">
            <w:pPr>
              <w:jc w:val="both"/>
              <w:rPr>
                <w:rFonts w:ascii="Times New Roman" w:hAnsi="Times New Roman"/>
                <w:szCs w:val="22"/>
              </w:rPr>
            </w:pPr>
            <w:r>
              <w:rPr>
                <w:rFonts w:ascii="Times New Roman" w:hAnsi="Times New Roman"/>
                <w:szCs w:val="22"/>
              </w:rPr>
              <w:t>Akcentuoti duomenų nepakankamumo situaciją ir pateikti siūlomus sprendimus</w:t>
            </w:r>
          </w:p>
        </w:tc>
      </w:tr>
      <w:tr w:rsidR="0038571C" w14:paraId="53A4B771" w14:textId="77777777" w:rsidTr="00CB6A63">
        <w:tc>
          <w:tcPr>
            <w:tcW w:w="2802" w:type="dxa"/>
            <w:vMerge w:val="restart"/>
          </w:tcPr>
          <w:p w14:paraId="784D6A4F" w14:textId="3607DB25" w:rsidR="0038571C" w:rsidRDefault="0038571C" w:rsidP="0076741D">
            <w:pPr>
              <w:jc w:val="both"/>
              <w:rPr>
                <w:rFonts w:ascii="Times New Roman" w:hAnsi="Times New Roman"/>
                <w:szCs w:val="22"/>
              </w:rPr>
            </w:pPr>
            <w:r>
              <w:rPr>
                <w:rFonts w:ascii="Times New Roman" w:hAnsi="Times New Roman"/>
                <w:szCs w:val="22"/>
              </w:rPr>
              <w:t>Dėl racionalaus tikslo</w:t>
            </w:r>
          </w:p>
        </w:tc>
        <w:tc>
          <w:tcPr>
            <w:tcW w:w="7618" w:type="dxa"/>
          </w:tcPr>
          <w:p w14:paraId="4CF44FC3" w14:textId="3BD3D45F" w:rsidR="0038571C" w:rsidRDefault="0038571C" w:rsidP="0076741D">
            <w:pPr>
              <w:jc w:val="both"/>
              <w:rPr>
                <w:rFonts w:ascii="Times New Roman" w:hAnsi="Times New Roman"/>
                <w:szCs w:val="22"/>
              </w:rPr>
            </w:pPr>
            <w:r>
              <w:rPr>
                <w:rFonts w:ascii="Times New Roman" w:hAnsi="Times New Roman"/>
                <w:szCs w:val="22"/>
              </w:rPr>
              <w:t>Dėl investicijų kainų</w:t>
            </w:r>
          </w:p>
        </w:tc>
      </w:tr>
      <w:tr w:rsidR="0038571C" w14:paraId="569B818C" w14:textId="77777777" w:rsidTr="00CB6A63">
        <w:tc>
          <w:tcPr>
            <w:tcW w:w="2802" w:type="dxa"/>
            <w:vMerge/>
          </w:tcPr>
          <w:p w14:paraId="711E4E74" w14:textId="77777777" w:rsidR="0038571C" w:rsidRDefault="0038571C" w:rsidP="0076741D">
            <w:pPr>
              <w:jc w:val="both"/>
              <w:rPr>
                <w:rFonts w:ascii="Times New Roman" w:hAnsi="Times New Roman"/>
                <w:szCs w:val="22"/>
              </w:rPr>
            </w:pPr>
          </w:p>
        </w:tc>
        <w:tc>
          <w:tcPr>
            <w:tcW w:w="7618" w:type="dxa"/>
          </w:tcPr>
          <w:p w14:paraId="32B4A144" w14:textId="4269FF07" w:rsidR="0038571C" w:rsidRDefault="0038571C" w:rsidP="0076741D">
            <w:pPr>
              <w:jc w:val="both"/>
              <w:rPr>
                <w:rFonts w:ascii="Times New Roman" w:hAnsi="Times New Roman"/>
                <w:szCs w:val="22"/>
              </w:rPr>
            </w:pPr>
            <w:r>
              <w:rPr>
                <w:rFonts w:ascii="Times New Roman" w:hAnsi="Times New Roman"/>
                <w:szCs w:val="22"/>
              </w:rPr>
              <w:t>Dėl techninių rodiklių nustatymo</w:t>
            </w:r>
          </w:p>
        </w:tc>
      </w:tr>
      <w:tr w:rsidR="0038571C" w14:paraId="3CD36918" w14:textId="77777777" w:rsidTr="00CB6A63">
        <w:tc>
          <w:tcPr>
            <w:tcW w:w="2802" w:type="dxa"/>
            <w:vMerge w:val="restart"/>
          </w:tcPr>
          <w:p w14:paraId="26C5BB84" w14:textId="24294FFC" w:rsidR="0038571C" w:rsidRDefault="0038571C" w:rsidP="0076741D">
            <w:pPr>
              <w:jc w:val="both"/>
              <w:rPr>
                <w:rFonts w:ascii="Times New Roman" w:hAnsi="Times New Roman"/>
                <w:szCs w:val="22"/>
              </w:rPr>
            </w:pPr>
            <w:r>
              <w:rPr>
                <w:rFonts w:ascii="Times New Roman" w:hAnsi="Times New Roman"/>
                <w:szCs w:val="22"/>
              </w:rPr>
              <w:t>Dėl siektinų rodiklių</w:t>
            </w:r>
          </w:p>
        </w:tc>
        <w:tc>
          <w:tcPr>
            <w:tcW w:w="7618" w:type="dxa"/>
          </w:tcPr>
          <w:p w14:paraId="0AB780C3" w14:textId="53864389" w:rsidR="0038571C" w:rsidRDefault="0038571C" w:rsidP="0076741D">
            <w:pPr>
              <w:jc w:val="both"/>
              <w:rPr>
                <w:rFonts w:ascii="Times New Roman" w:hAnsi="Times New Roman"/>
                <w:szCs w:val="22"/>
              </w:rPr>
            </w:pPr>
            <w:r>
              <w:rPr>
                <w:rFonts w:ascii="Times New Roman" w:hAnsi="Times New Roman"/>
                <w:szCs w:val="22"/>
              </w:rPr>
              <w:t>Ar tikslai pakankamai ambicingi</w:t>
            </w:r>
          </w:p>
        </w:tc>
      </w:tr>
      <w:tr w:rsidR="0038571C" w14:paraId="74148C1B" w14:textId="77777777" w:rsidTr="00CB6A63">
        <w:tc>
          <w:tcPr>
            <w:tcW w:w="2802" w:type="dxa"/>
            <w:vMerge/>
          </w:tcPr>
          <w:p w14:paraId="5B4DBDF6" w14:textId="77777777" w:rsidR="0038571C" w:rsidRDefault="0038571C" w:rsidP="0076741D">
            <w:pPr>
              <w:jc w:val="both"/>
              <w:rPr>
                <w:rFonts w:ascii="Times New Roman" w:hAnsi="Times New Roman"/>
                <w:szCs w:val="22"/>
              </w:rPr>
            </w:pPr>
          </w:p>
        </w:tc>
        <w:tc>
          <w:tcPr>
            <w:tcW w:w="7618" w:type="dxa"/>
          </w:tcPr>
          <w:p w14:paraId="507D5AE3" w14:textId="25B438D7" w:rsidR="0038571C" w:rsidRDefault="0038571C" w:rsidP="0076741D">
            <w:pPr>
              <w:jc w:val="both"/>
              <w:rPr>
                <w:rFonts w:ascii="Times New Roman" w:hAnsi="Times New Roman"/>
                <w:szCs w:val="22"/>
              </w:rPr>
            </w:pPr>
            <w:r>
              <w:rPr>
                <w:rFonts w:ascii="Times New Roman" w:hAnsi="Times New Roman"/>
                <w:szCs w:val="22"/>
              </w:rPr>
              <w:t>Ar „įsibėgėjimo“ periodas ne per ilgas</w:t>
            </w:r>
          </w:p>
        </w:tc>
      </w:tr>
      <w:tr w:rsidR="0038571C" w14:paraId="0AE971C6" w14:textId="77777777" w:rsidTr="00CB6A63">
        <w:tc>
          <w:tcPr>
            <w:tcW w:w="2802" w:type="dxa"/>
            <w:vMerge/>
          </w:tcPr>
          <w:p w14:paraId="534FD940" w14:textId="77777777" w:rsidR="0038571C" w:rsidRDefault="0038571C" w:rsidP="0076741D">
            <w:pPr>
              <w:jc w:val="both"/>
              <w:rPr>
                <w:rFonts w:ascii="Times New Roman" w:hAnsi="Times New Roman"/>
                <w:szCs w:val="22"/>
              </w:rPr>
            </w:pPr>
          </w:p>
        </w:tc>
        <w:tc>
          <w:tcPr>
            <w:tcW w:w="7618" w:type="dxa"/>
          </w:tcPr>
          <w:p w14:paraId="394E463D" w14:textId="15352AC6" w:rsidR="0038571C" w:rsidRDefault="0038571C" w:rsidP="0076741D">
            <w:pPr>
              <w:jc w:val="both"/>
              <w:rPr>
                <w:rFonts w:ascii="Times New Roman" w:hAnsi="Times New Roman"/>
                <w:szCs w:val="22"/>
              </w:rPr>
            </w:pPr>
            <w:r>
              <w:rPr>
                <w:rFonts w:ascii="Times New Roman" w:hAnsi="Times New Roman"/>
                <w:szCs w:val="22"/>
              </w:rPr>
              <w:t>Jau renovuotų (C energinio naudingumo klasės) pastatų pakartotinė renovacija</w:t>
            </w:r>
          </w:p>
        </w:tc>
      </w:tr>
      <w:tr w:rsidR="0038571C" w14:paraId="1189F0C0" w14:textId="77777777" w:rsidTr="00CB6A63">
        <w:tc>
          <w:tcPr>
            <w:tcW w:w="2802" w:type="dxa"/>
            <w:vMerge/>
          </w:tcPr>
          <w:p w14:paraId="6B107736" w14:textId="77777777" w:rsidR="0038571C" w:rsidRDefault="0038571C" w:rsidP="0076741D">
            <w:pPr>
              <w:jc w:val="both"/>
              <w:rPr>
                <w:rFonts w:ascii="Times New Roman" w:hAnsi="Times New Roman"/>
                <w:szCs w:val="22"/>
              </w:rPr>
            </w:pPr>
          </w:p>
        </w:tc>
        <w:tc>
          <w:tcPr>
            <w:tcW w:w="7618" w:type="dxa"/>
          </w:tcPr>
          <w:p w14:paraId="71BA422F" w14:textId="205A6A2C" w:rsidR="0038571C" w:rsidRDefault="0038571C" w:rsidP="007A3F45">
            <w:pPr>
              <w:jc w:val="both"/>
              <w:rPr>
                <w:rFonts w:ascii="Times New Roman" w:hAnsi="Times New Roman"/>
                <w:szCs w:val="22"/>
              </w:rPr>
            </w:pPr>
            <w:r>
              <w:rPr>
                <w:rFonts w:ascii="Times New Roman" w:hAnsi="Times New Roman"/>
                <w:szCs w:val="22"/>
              </w:rPr>
              <w:t xml:space="preserve">„Atšokimo efekto“ įtaka. </w:t>
            </w:r>
          </w:p>
        </w:tc>
      </w:tr>
      <w:tr w:rsidR="0038571C" w14:paraId="161C6053" w14:textId="77777777" w:rsidTr="00CB6A63">
        <w:tc>
          <w:tcPr>
            <w:tcW w:w="2802" w:type="dxa"/>
            <w:vMerge w:val="restart"/>
          </w:tcPr>
          <w:p w14:paraId="73E5A9F9" w14:textId="01CDB3C6" w:rsidR="0038571C" w:rsidRDefault="0038571C" w:rsidP="0076741D">
            <w:pPr>
              <w:jc w:val="both"/>
              <w:rPr>
                <w:rFonts w:ascii="Times New Roman" w:hAnsi="Times New Roman"/>
                <w:szCs w:val="22"/>
              </w:rPr>
            </w:pPr>
            <w:r>
              <w:rPr>
                <w:rFonts w:ascii="Times New Roman" w:hAnsi="Times New Roman"/>
                <w:szCs w:val="22"/>
              </w:rPr>
              <w:t>Dėl priemonių</w:t>
            </w:r>
          </w:p>
        </w:tc>
        <w:tc>
          <w:tcPr>
            <w:tcW w:w="7618" w:type="dxa"/>
          </w:tcPr>
          <w:p w14:paraId="4CB6A673" w14:textId="1B222120" w:rsidR="0038571C" w:rsidRDefault="0038571C" w:rsidP="007A3F45">
            <w:pPr>
              <w:jc w:val="both"/>
              <w:rPr>
                <w:rFonts w:ascii="Times New Roman" w:hAnsi="Times New Roman"/>
                <w:szCs w:val="22"/>
              </w:rPr>
            </w:pPr>
            <w:r>
              <w:rPr>
                <w:rFonts w:ascii="Times New Roman" w:hAnsi="Times New Roman"/>
                <w:szCs w:val="22"/>
              </w:rPr>
              <w:t>Strategijos įgyvendinimo laiko juosta</w:t>
            </w:r>
          </w:p>
        </w:tc>
      </w:tr>
      <w:tr w:rsidR="0038571C" w14:paraId="64AAD4C3" w14:textId="77777777" w:rsidTr="00CB6A63">
        <w:tc>
          <w:tcPr>
            <w:tcW w:w="2802" w:type="dxa"/>
            <w:vMerge/>
          </w:tcPr>
          <w:p w14:paraId="59A7FBC2" w14:textId="77777777" w:rsidR="0038571C" w:rsidRDefault="0038571C" w:rsidP="0076741D">
            <w:pPr>
              <w:jc w:val="both"/>
              <w:rPr>
                <w:rFonts w:ascii="Times New Roman" w:hAnsi="Times New Roman"/>
                <w:szCs w:val="22"/>
              </w:rPr>
            </w:pPr>
          </w:p>
        </w:tc>
        <w:tc>
          <w:tcPr>
            <w:tcW w:w="7618" w:type="dxa"/>
          </w:tcPr>
          <w:p w14:paraId="1C7236BE" w14:textId="284F248B" w:rsidR="0038571C" w:rsidRDefault="0038571C" w:rsidP="007A3F45">
            <w:pPr>
              <w:jc w:val="both"/>
              <w:rPr>
                <w:rFonts w:ascii="Times New Roman" w:hAnsi="Times New Roman"/>
                <w:szCs w:val="22"/>
              </w:rPr>
            </w:pPr>
            <w:r>
              <w:rPr>
                <w:rFonts w:ascii="Times New Roman" w:hAnsi="Times New Roman"/>
                <w:szCs w:val="22"/>
              </w:rPr>
              <w:t>Veiksmai trumpuoju laikotarpiu</w:t>
            </w:r>
          </w:p>
        </w:tc>
      </w:tr>
      <w:tr w:rsidR="0038571C" w14:paraId="670E1BE1" w14:textId="77777777" w:rsidTr="00CB6A63">
        <w:tc>
          <w:tcPr>
            <w:tcW w:w="2802" w:type="dxa"/>
            <w:vMerge/>
          </w:tcPr>
          <w:p w14:paraId="08B13075" w14:textId="77777777" w:rsidR="0038571C" w:rsidRDefault="0038571C" w:rsidP="0076741D">
            <w:pPr>
              <w:jc w:val="both"/>
              <w:rPr>
                <w:rFonts w:ascii="Times New Roman" w:hAnsi="Times New Roman"/>
                <w:szCs w:val="22"/>
              </w:rPr>
            </w:pPr>
          </w:p>
        </w:tc>
        <w:tc>
          <w:tcPr>
            <w:tcW w:w="7618" w:type="dxa"/>
          </w:tcPr>
          <w:p w14:paraId="109CB666" w14:textId="43959343" w:rsidR="0038571C" w:rsidRDefault="0038571C" w:rsidP="0076741D">
            <w:pPr>
              <w:jc w:val="both"/>
              <w:rPr>
                <w:rFonts w:ascii="Times New Roman" w:hAnsi="Times New Roman"/>
                <w:szCs w:val="22"/>
              </w:rPr>
            </w:pPr>
            <w:r>
              <w:rPr>
                <w:rFonts w:ascii="Times New Roman" w:hAnsi="Times New Roman"/>
                <w:szCs w:val="22"/>
              </w:rPr>
              <w:t>Įgyvendinimo modelis apjungiant priemones</w:t>
            </w:r>
          </w:p>
        </w:tc>
      </w:tr>
      <w:tr w:rsidR="0038571C" w14:paraId="2EAD6EFA" w14:textId="77777777" w:rsidTr="00CB6A63">
        <w:tc>
          <w:tcPr>
            <w:tcW w:w="2802" w:type="dxa"/>
            <w:vMerge w:val="restart"/>
          </w:tcPr>
          <w:p w14:paraId="77EBD4F0" w14:textId="4F0AAB74" w:rsidR="0038571C" w:rsidRDefault="0038571C" w:rsidP="0076741D">
            <w:pPr>
              <w:jc w:val="both"/>
              <w:rPr>
                <w:rFonts w:ascii="Times New Roman" w:hAnsi="Times New Roman"/>
                <w:szCs w:val="22"/>
              </w:rPr>
            </w:pPr>
            <w:r>
              <w:rPr>
                <w:rFonts w:ascii="Times New Roman" w:hAnsi="Times New Roman"/>
                <w:szCs w:val="22"/>
              </w:rPr>
              <w:t>Dėl integruoto planavimo</w:t>
            </w:r>
          </w:p>
        </w:tc>
        <w:tc>
          <w:tcPr>
            <w:tcW w:w="7618" w:type="dxa"/>
          </w:tcPr>
          <w:p w14:paraId="2D54F0FA" w14:textId="11D97C1E" w:rsidR="0038571C" w:rsidRDefault="0038571C" w:rsidP="0076741D">
            <w:pPr>
              <w:jc w:val="both"/>
              <w:rPr>
                <w:rFonts w:ascii="Times New Roman" w:hAnsi="Times New Roman"/>
                <w:szCs w:val="22"/>
              </w:rPr>
            </w:pPr>
            <w:r>
              <w:rPr>
                <w:rFonts w:ascii="Times New Roman" w:hAnsi="Times New Roman"/>
                <w:szCs w:val="22"/>
              </w:rPr>
              <w:t>CŠT vaidmens ir integracijos į strategiją detalizavimas</w:t>
            </w:r>
          </w:p>
        </w:tc>
      </w:tr>
      <w:tr w:rsidR="0038571C" w14:paraId="7AA9A125" w14:textId="77777777" w:rsidTr="00CB6A63">
        <w:tc>
          <w:tcPr>
            <w:tcW w:w="2802" w:type="dxa"/>
            <w:vMerge/>
          </w:tcPr>
          <w:p w14:paraId="182E552F" w14:textId="77777777" w:rsidR="0038571C" w:rsidRDefault="0038571C" w:rsidP="0076741D">
            <w:pPr>
              <w:jc w:val="both"/>
              <w:rPr>
                <w:rFonts w:ascii="Times New Roman" w:hAnsi="Times New Roman"/>
                <w:szCs w:val="22"/>
              </w:rPr>
            </w:pPr>
          </w:p>
        </w:tc>
        <w:tc>
          <w:tcPr>
            <w:tcW w:w="7618" w:type="dxa"/>
          </w:tcPr>
          <w:p w14:paraId="44869908" w14:textId="176DAB08" w:rsidR="0038571C" w:rsidRDefault="0038571C" w:rsidP="0076741D">
            <w:pPr>
              <w:jc w:val="both"/>
              <w:rPr>
                <w:rFonts w:ascii="Times New Roman" w:hAnsi="Times New Roman"/>
                <w:szCs w:val="22"/>
              </w:rPr>
            </w:pPr>
            <w:r>
              <w:rPr>
                <w:rFonts w:ascii="Times New Roman" w:hAnsi="Times New Roman"/>
                <w:szCs w:val="22"/>
              </w:rPr>
              <w:t>Konkretesni siūlymai, įpareigojimai dėl duomenų inventorizacijos ir kaupimo</w:t>
            </w:r>
          </w:p>
        </w:tc>
      </w:tr>
      <w:tr w:rsidR="0038571C" w14:paraId="2ACEDFA7" w14:textId="77777777" w:rsidTr="00CB6A63">
        <w:tc>
          <w:tcPr>
            <w:tcW w:w="2802" w:type="dxa"/>
            <w:vMerge/>
          </w:tcPr>
          <w:p w14:paraId="6BE51AB5" w14:textId="77777777" w:rsidR="0038571C" w:rsidRDefault="0038571C" w:rsidP="0076741D">
            <w:pPr>
              <w:jc w:val="both"/>
              <w:rPr>
                <w:rFonts w:ascii="Times New Roman" w:hAnsi="Times New Roman"/>
                <w:szCs w:val="22"/>
              </w:rPr>
            </w:pPr>
          </w:p>
        </w:tc>
        <w:tc>
          <w:tcPr>
            <w:tcW w:w="7618" w:type="dxa"/>
          </w:tcPr>
          <w:p w14:paraId="4F3E79AE" w14:textId="04279544" w:rsidR="0038571C" w:rsidRDefault="0038571C" w:rsidP="0076741D">
            <w:pPr>
              <w:jc w:val="both"/>
              <w:rPr>
                <w:rFonts w:ascii="Times New Roman" w:hAnsi="Times New Roman"/>
                <w:szCs w:val="22"/>
              </w:rPr>
            </w:pPr>
            <w:r>
              <w:rPr>
                <w:rFonts w:ascii="Times New Roman" w:hAnsi="Times New Roman"/>
                <w:szCs w:val="22"/>
              </w:rPr>
              <w:t>Lietuvos Respublikos vietos savivaldos įstatyme nenumatyta funkcija (įpareigojimas ir įgyvendinimui reikalingas finansavimas)</w:t>
            </w:r>
          </w:p>
        </w:tc>
      </w:tr>
      <w:tr w:rsidR="0038571C" w14:paraId="4FFEC75D" w14:textId="77777777" w:rsidTr="00CB6A63">
        <w:tc>
          <w:tcPr>
            <w:tcW w:w="2802" w:type="dxa"/>
            <w:vMerge w:val="restart"/>
          </w:tcPr>
          <w:p w14:paraId="5D66E288" w14:textId="7FC48235" w:rsidR="0038571C" w:rsidRPr="00B32888" w:rsidRDefault="0038571C" w:rsidP="0076741D">
            <w:pPr>
              <w:jc w:val="both"/>
              <w:rPr>
                <w:rFonts w:ascii="Times New Roman" w:hAnsi="Times New Roman"/>
                <w:szCs w:val="22"/>
                <w:lang w:val="en-GB"/>
              </w:rPr>
            </w:pPr>
            <w:r>
              <w:rPr>
                <w:rFonts w:ascii="Times New Roman" w:hAnsi="Times New Roman"/>
                <w:szCs w:val="22"/>
              </w:rPr>
              <w:t>Dėl kompleksinio priemonių paketo</w:t>
            </w:r>
          </w:p>
        </w:tc>
        <w:tc>
          <w:tcPr>
            <w:tcW w:w="7618" w:type="dxa"/>
          </w:tcPr>
          <w:p w14:paraId="4F0D6594" w14:textId="6EFDCDAE" w:rsidR="0038571C" w:rsidRDefault="0038571C" w:rsidP="0076741D">
            <w:pPr>
              <w:jc w:val="both"/>
              <w:rPr>
                <w:rFonts w:ascii="Times New Roman" w:hAnsi="Times New Roman"/>
                <w:szCs w:val="22"/>
              </w:rPr>
            </w:pPr>
            <w:r>
              <w:rPr>
                <w:rFonts w:ascii="Times New Roman" w:hAnsi="Times New Roman"/>
                <w:szCs w:val="22"/>
              </w:rPr>
              <w:t>Pilnos energijos kaina įtaka energetiniam skurdui</w:t>
            </w:r>
          </w:p>
        </w:tc>
      </w:tr>
      <w:tr w:rsidR="0038571C" w14:paraId="06CA2D13" w14:textId="77777777" w:rsidTr="00CB6A63">
        <w:tc>
          <w:tcPr>
            <w:tcW w:w="2802" w:type="dxa"/>
            <w:vMerge/>
          </w:tcPr>
          <w:p w14:paraId="5BDAA692" w14:textId="77777777" w:rsidR="0038571C" w:rsidRDefault="0038571C" w:rsidP="0076741D">
            <w:pPr>
              <w:jc w:val="both"/>
              <w:rPr>
                <w:rFonts w:ascii="Times New Roman" w:hAnsi="Times New Roman"/>
                <w:szCs w:val="22"/>
              </w:rPr>
            </w:pPr>
          </w:p>
        </w:tc>
        <w:tc>
          <w:tcPr>
            <w:tcW w:w="7618" w:type="dxa"/>
          </w:tcPr>
          <w:p w14:paraId="6E351DEE" w14:textId="59479E6C" w:rsidR="0038571C" w:rsidRDefault="0038571C" w:rsidP="0076741D">
            <w:pPr>
              <w:jc w:val="both"/>
              <w:rPr>
                <w:rFonts w:ascii="Times New Roman" w:hAnsi="Times New Roman"/>
                <w:szCs w:val="22"/>
              </w:rPr>
            </w:pPr>
            <w:r>
              <w:rPr>
                <w:rFonts w:ascii="Times New Roman" w:hAnsi="Times New Roman"/>
                <w:szCs w:val="22"/>
              </w:rPr>
              <w:t>Siūlymai dėl atskirų paskatų mechanizmų (nekilnojamojo turto mokestis, PVM lengvata ir pan.)</w:t>
            </w:r>
          </w:p>
        </w:tc>
      </w:tr>
      <w:tr w:rsidR="0038571C" w14:paraId="49A5E5F8" w14:textId="77777777" w:rsidTr="00CB6A63">
        <w:tc>
          <w:tcPr>
            <w:tcW w:w="2802" w:type="dxa"/>
            <w:vMerge/>
          </w:tcPr>
          <w:p w14:paraId="152FDDE3" w14:textId="77777777" w:rsidR="0038571C" w:rsidRDefault="0038571C" w:rsidP="0076741D">
            <w:pPr>
              <w:jc w:val="both"/>
              <w:rPr>
                <w:rFonts w:ascii="Times New Roman" w:hAnsi="Times New Roman"/>
                <w:szCs w:val="22"/>
              </w:rPr>
            </w:pPr>
          </w:p>
        </w:tc>
        <w:tc>
          <w:tcPr>
            <w:tcW w:w="7618" w:type="dxa"/>
          </w:tcPr>
          <w:p w14:paraId="686018D7" w14:textId="62683FA0" w:rsidR="0038571C" w:rsidRDefault="0038571C" w:rsidP="0076741D">
            <w:pPr>
              <w:jc w:val="both"/>
              <w:rPr>
                <w:rFonts w:ascii="Times New Roman" w:hAnsi="Times New Roman"/>
                <w:szCs w:val="22"/>
              </w:rPr>
            </w:pPr>
            <w:r>
              <w:rPr>
                <w:rFonts w:ascii="Times New Roman" w:hAnsi="Times New Roman"/>
                <w:szCs w:val="22"/>
              </w:rPr>
              <w:t>Siūlymai dėl atskirų techninių aspektų didinančių renovacijos naudą (vėdinimas, vėsinimas, aplinka ir pan.) akcentuojant privalomus sprendimus</w:t>
            </w:r>
          </w:p>
        </w:tc>
      </w:tr>
      <w:tr w:rsidR="0038571C" w14:paraId="6822693C" w14:textId="77777777" w:rsidTr="00CB6A63">
        <w:tc>
          <w:tcPr>
            <w:tcW w:w="2802" w:type="dxa"/>
            <w:vMerge/>
          </w:tcPr>
          <w:p w14:paraId="7C742A37" w14:textId="77777777" w:rsidR="0038571C" w:rsidRDefault="0038571C" w:rsidP="0076741D">
            <w:pPr>
              <w:jc w:val="both"/>
              <w:rPr>
                <w:rFonts w:ascii="Times New Roman" w:hAnsi="Times New Roman"/>
                <w:szCs w:val="22"/>
              </w:rPr>
            </w:pPr>
          </w:p>
        </w:tc>
        <w:tc>
          <w:tcPr>
            <w:tcW w:w="7618" w:type="dxa"/>
          </w:tcPr>
          <w:p w14:paraId="0F8478FE" w14:textId="2C3DBC83" w:rsidR="0038571C" w:rsidRDefault="0038571C" w:rsidP="0076741D">
            <w:pPr>
              <w:jc w:val="both"/>
              <w:rPr>
                <w:rFonts w:ascii="Times New Roman" w:hAnsi="Times New Roman"/>
                <w:szCs w:val="22"/>
              </w:rPr>
            </w:pPr>
            <w:r>
              <w:rPr>
                <w:rFonts w:ascii="Times New Roman" w:hAnsi="Times New Roman"/>
                <w:szCs w:val="22"/>
              </w:rPr>
              <w:t>Paskata vartotojui siekti didesnių sutaupymų</w:t>
            </w:r>
          </w:p>
        </w:tc>
      </w:tr>
      <w:tr w:rsidR="0038571C" w14:paraId="276F6ADA" w14:textId="77777777" w:rsidTr="00CB6A63">
        <w:tc>
          <w:tcPr>
            <w:tcW w:w="2802" w:type="dxa"/>
            <w:vMerge/>
          </w:tcPr>
          <w:p w14:paraId="0B2C0F26" w14:textId="77777777" w:rsidR="0038571C" w:rsidRDefault="0038571C" w:rsidP="0076741D">
            <w:pPr>
              <w:jc w:val="both"/>
              <w:rPr>
                <w:rFonts w:ascii="Times New Roman" w:hAnsi="Times New Roman"/>
                <w:szCs w:val="22"/>
              </w:rPr>
            </w:pPr>
          </w:p>
        </w:tc>
        <w:tc>
          <w:tcPr>
            <w:tcW w:w="7618" w:type="dxa"/>
          </w:tcPr>
          <w:p w14:paraId="344DCAF2" w14:textId="6C11FE1C" w:rsidR="0038571C" w:rsidRDefault="0038571C" w:rsidP="0076741D">
            <w:pPr>
              <w:jc w:val="both"/>
              <w:rPr>
                <w:rFonts w:ascii="Times New Roman" w:hAnsi="Times New Roman"/>
                <w:szCs w:val="22"/>
              </w:rPr>
            </w:pPr>
            <w:r>
              <w:rPr>
                <w:rFonts w:ascii="Times New Roman" w:hAnsi="Times New Roman"/>
                <w:szCs w:val="22"/>
              </w:rPr>
              <w:t>Daugiau akcentuoti AEI priemones</w:t>
            </w:r>
          </w:p>
        </w:tc>
      </w:tr>
      <w:tr w:rsidR="0038571C" w14:paraId="30220BC9" w14:textId="77777777" w:rsidTr="00CB6A63">
        <w:tc>
          <w:tcPr>
            <w:tcW w:w="2802" w:type="dxa"/>
            <w:vMerge/>
          </w:tcPr>
          <w:p w14:paraId="771119CB" w14:textId="77777777" w:rsidR="0038571C" w:rsidRDefault="0038571C" w:rsidP="0076741D">
            <w:pPr>
              <w:jc w:val="both"/>
              <w:rPr>
                <w:rFonts w:ascii="Times New Roman" w:hAnsi="Times New Roman"/>
                <w:szCs w:val="22"/>
              </w:rPr>
            </w:pPr>
          </w:p>
        </w:tc>
        <w:tc>
          <w:tcPr>
            <w:tcW w:w="7618" w:type="dxa"/>
          </w:tcPr>
          <w:p w14:paraId="66178A50" w14:textId="4F5EDF54" w:rsidR="0038571C" w:rsidRDefault="0038571C" w:rsidP="0076741D">
            <w:pPr>
              <w:jc w:val="both"/>
              <w:rPr>
                <w:rFonts w:ascii="Times New Roman" w:hAnsi="Times New Roman"/>
                <w:szCs w:val="22"/>
              </w:rPr>
            </w:pPr>
            <w:r>
              <w:rPr>
                <w:rFonts w:ascii="Times New Roman" w:hAnsi="Times New Roman"/>
                <w:szCs w:val="22"/>
              </w:rPr>
              <w:t>Pastatų griovimas (kaip vienas iš renovacijos būdų)</w:t>
            </w:r>
          </w:p>
        </w:tc>
      </w:tr>
      <w:tr w:rsidR="0038571C" w14:paraId="0ACF8336" w14:textId="77777777" w:rsidTr="00CB6A63">
        <w:tc>
          <w:tcPr>
            <w:tcW w:w="2802" w:type="dxa"/>
            <w:vMerge w:val="restart"/>
          </w:tcPr>
          <w:p w14:paraId="252AE700" w14:textId="76044825" w:rsidR="0038571C" w:rsidRDefault="0038571C" w:rsidP="0076741D">
            <w:pPr>
              <w:jc w:val="both"/>
              <w:rPr>
                <w:rFonts w:ascii="Times New Roman" w:hAnsi="Times New Roman"/>
                <w:szCs w:val="22"/>
              </w:rPr>
            </w:pPr>
            <w:r>
              <w:rPr>
                <w:rFonts w:ascii="Times New Roman" w:hAnsi="Times New Roman"/>
                <w:szCs w:val="22"/>
              </w:rPr>
              <w:t>Dėl finansavimo</w:t>
            </w:r>
          </w:p>
        </w:tc>
        <w:tc>
          <w:tcPr>
            <w:tcW w:w="7618" w:type="dxa"/>
          </w:tcPr>
          <w:p w14:paraId="79ECC1B0" w14:textId="04FD7D96" w:rsidR="0038571C" w:rsidRDefault="0038571C" w:rsidP="0076741D">
            <w:pPr>
              <w:jc w:val="both"/>
              <w:rPr>
                <w:rFonts w:ascii="Times New Roman" w:hAnsi="Times New Roman"/>
                <w:szCs w:val="22"/>
              </w:rPr>
            </w:pPr>
            <w:r>
              <w:rPr>
                <w:rFonts w:ascii="Times New Roman" w:hAnsi="Times New Roman"/>
                <w:szCs w:val="22"/>
              </w:rPr>
              <w:t>Finansavimo poreikio detalizavimas (šaltiniai, komponentai ir pan.)</w:t>
            </w:r>
          </w:p>
        </w:tc>
      </w:tr>
      <w:tr w:rsidR="0038571C" w14:paraId="05D02DBB" w14:textId="77777777" w:rsidTr="00CB6A63">
        <w:tc>
          <w:tcPr>
            <w:tcW w:w="2802" w:type="dxa"/>
            <w:vMerge/>
          </w:tcPr>
          <w:p w14:paraId="55E97546" w14:textId="77777777" w:rsidR="0038571C" w:rsidRDefault="0038571C" w:rsidP="0076741D">
            <w:pPr>
              <w:jc w:val="both"/>
              <w:rPr>
                <w:rFonts w:ascii="Times New Roman" w:hAnsi="Times New Roman"/>
                <w:szCs w:val="22"/>
              </w:rPr>
            </w:pPr>
          </w:p>
        </w:tc>
        <w:tc>
          <w:tcPr>
            <w:tcW w:w="7618" w:type="dxa"/>
          </w:tcPr>
          <w:p w14:paraId="7844E348" w14:textId="030B98DD" w:rsidR="0038571C" w:rsidRDefault="0038571C" w:rsidP="0076741D">
            <w:pPr>
              <w:jc w:val="both"/>
              <w:rPr>
                <w:rFonts w:ascii="Times New Roman" w:hAnsi="Times New Roman"/>
                <w:szCs w:val="22"/>
              </w:rPr>
            </w:pPr>
            <w:r>
              <w:rPr>
                <w:rFonts w:ascii="Times New Roman" w:hAnsi="Times New Roman"/>
                <w:szCs w:val="22"/>
              </w:rPr>
              <w:t>ESCO kaip vienas iš finansavimo šaltinių</w:t>
            </w:r>
          </w:p>
        </w:tc>
      </w:tr>
      <w:tr w:rsidR="0038571C" w14:paraId="634EB729" w14:textId="77777777" w:rsidTr="00CB6A63">
        <w:tc>
          <w:tcPr>
            <w:tcW w:w="2802" w:type="dxa"/>
            <w:vMerge w:val="restart"/>
          </w:tcPr>
          <w:p w14:paraId="1E771A0E" w14:textId="24831FDE" w:rsidR="0038571C" w:rsidRDefault="0038571C" w:rsidP="0076741D">
            <w:pPr>
              <w:jc w:val="both"/>
              <w:rPr>
                <w:rFonts w:ascii="Times New Roman" w:hAnsi="Times New Roman"/>
                <w:szCs w:val="22"/>
              </w:rPr>
            </w:pPr>
            <w:r>
              <w:rPr>
                <w:rFonts w:ascii="Times New Roman" w:hAnsi="Times New Roman"/>
                <w:szCs w:val="22"/>
              </w:rPr>
              <w:t>Dėl įgyvendinimo sistemos</w:t>
            </w:r>
          </w:p>
        </w:tc>
        <w:tc>
          <w:tcPr>
            <w:tcW w:w="7618" w:type="dxa"/>
          </w:tcPr>
          <w:p w14:paraId="5A2F4AA0" w14:textId="27D483FB" w:rsidR="0038571C" w:rsidRDefault="0038571C" w:rsidP="0076741D">
            <w:pPr>
              <w:jc w:val="both"/>
              <w:rPr>
                <w:rFonts w:ascii="Times New Roman" w:hAnsi="Times New Roman"/>
                <w:szCs w:val="22"/>
              </w:rPr>
            </w:pPr>
            <w:r>
              <w:rPr>
                <w:rFonts w:ascii="Times New Roman" w:hAnsi="Times New Roman"/>
                <w:szCs w:val="22"/>
              </w:rPr>
              <w:t>Sistemos paprastumo poreikis</w:t>
            </w:r>
          </w:p>
        </w:tc>
      </w:tr>
      <w:tr w:rsidR="0038571C" w14:paraId="0839C4AC" w14:textId="77777777" w:rsidTr="00CB6A63">
        <w:tc>
          <w:tcPr>
            <w:tcW w:w="2802" w:type="dxa"/>
            <w:vMerge/>
          </w:tcPr>
          <w:p w14:paraId="5DD59455" w14:textId="77777777" w:rsidR="0038571C" w:rsidRDefault="0038571C" w:rsidP="0076741D">
            <w:pPr>
              <w:jc w:val="both"/>
              <w:rPr>
                <w:rFonts w:ascii="Times New Roman" w:hAnsi="Times New Roman"/>
                <w:szCs w:val="22"/>
              </w:rPr>
            </w:pPr>
          </w:p>
        </w:tc>
        <w:tc>
          <w:tcPr>
            <w:tcW w:w="7618" w:type="dxa"/>
          </w:tcPr>
          <w:p w14:paraId="65A8650E" w14:textId="5F996521" w:rsidR="0038571C" w:rsidRDefault="0038571C" w:rsidP="0076741D">
            <w:pPr>
              <w:jc w:val="both"/>
              <w:rPr>
                <w:rFonts w:ascii="Times New Roman" w:hAnsi="Times New Roman"/>
                <w:szCs w:val="22"/>
              </w:rPr>
            </w:pPr>
            <w:r>
              <w:rPr>
                <w:rFonts w:ascii="Times New Roman" w:hAnsi="Times New Roman"/>
                <w:szCs w:val="22"/>
              </w:rPr>
              <w:t>Garantijų vartotojui mechanizmo sukūrimas</w:t>
            </w:r>
          </w:p>
        </w:tc>
      </w:tr>
      <w:tr w:rsidR="0038571C" w14:paraId="60FA7FD6" w14:textId="77777777" w:rsidTr="00CB6A63">
        <w:tc>
          <w:tcPr>
            <w:tcW w:w="2802" w:type="dxa"/>
            <w:vMerge/>
          </w:tcPr>
          <w:p w14:paraId="2B3AB441" w14:textId="77777777" w:rsidR="0038571C" w:rsidRDefault="0038571C" w:rsidP="0076741D">
            <w:pPr>
              <w:jc w:val="both"/>
              <w:rPr>
                <w:rFonts w:ascii="Times New Roman" w:hAnsi="Times New Roman"/>
                <w:szCs w:val="22"/>
              </w:rPr>
            </w:pPr>
          </w:p>
        </w:tc>
        <w:tc>
          <w:tcPr>
            <w:tcW w:w="7618" w:type="dxa"/>
          </w:tcPr>
          <w:p w14:paraId="0621FD2E" w14:textId="40D82B08" w:rsidR="0038571C" w:rsidRDefault="0038571C" w:rsidP="0076741D">
            <w:pPr>
              <w:jc w:val="both"/>
              <w:rPr>
                <w:rFonts w:ascii="Times New Roman" w:hAnsi="Times New Roman"/>
                <w:szCs w:val="22"/>
              </w:rPr>
            </w:pPr>
            <w:r>
              <w:rPr>
                <w:rFonts w:ascii="Times New Roman" w:hAnsi="Times New Roman"/>
                <w:szCs w:val="22"/>
              </w:rPr>
              <w:t>Atliktų darbų kontrolės didinimas (atliktų darbų dokumentacija, techninių sprendinių keitimo statybų eigoje valdymas, įgaliojimų ir atsakomybės didinimas)</w:t>
            </w:r>
          </w:p>
        </w:tc>
      </w:tr>
    </w:tbl>
    <w:p w14:paraId="6F793CBD" w14:textId="46289CB6" w:rsidR="006E13C0" w:rsidRPr="00650EE4" w:rsidRDefault="006E13C0" w:rsidP="0076741D">
      <w:pPr>
        <w:jc w:val="both"/>
        <w:rPr>
          <w:rFonts w:ascii="Times New Roman" w:hAnsi="Times New Roman"/>
          <w:color w:val="000000" w:themeColor="text1"/>
          <w:szCs w:val="22"/>
        </w:rPr>
      </w:pPr>
    </w:p>
    <w:sectPr w:rsidR="006E13C0" w:rsidRPr="00650EE4" w:rsidSect="0078046E">
      <w:headerReference w:type="default" r:id="rId72"/>
      <w:pgSz w:w="11906" w:h="16838" w:code="9"/>
      <w:pgMar w:top="1560" w:right="851" w:bottom="851" w:left="851" w:header="567" w:footer="56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B892D4" w14:textId="77777777" w:rsidR="003E0C4E" w:rsidRDefault="003E0C4E">
      <w:pPr>
        <w:spacing w:line="240" w:lineRule="auto"/>
      </w:pPr>
      <w:r>
        <w:separator/>
      </w:r>
    </w:p>
  </w:endnote>
  <w:endnote w:type="continuationSeparator" w:id="0">
    <w:p w14:paraId="1DD1562B" w14:textId="77777777" w:rsidR="003E0C4E" w:rsidRDefault="003E0C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00000000" w:usb2="00000000"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20002A87" w:usb1="00000000" w:usb2="00000000" w:usb3="00000000" w:csb0="000001FF" w:csb1="00000000"/>
  </w:font>
  <w:font w:name="Georgia">
    <w:altName w:val="Georgia"/>
    <w:panose1 w:val="02040502050405020303"/>
    <w:charset w:val="BA"/>
    <w:family w:val="roman"/>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Miriam">
    <w:altName w:val="Arial"/>
    <w:charset w:val="B1"/>
    <w:family w:val="swiss"/>
    <w:pitch w:val="variable"/>
    <w:sig w:usb0="00000803" w:usb1="00000000" w:usb2="00000000" w:usb3="00000000" w:csb0="00000021" w:csb1="00000000"/>
  </w:font>
  <w:font w:name="Marlett">
    <w:panose1 w:val="00000000000000000000"/>
    <w:charset w:val="02"/>
    <w:family w:val="auto"/>
    <w:pitch w:val="variable"/>
    <w:sig w:usb0="00000000" w:usb1="10000000" w:usb2="00000000" w:usb3="00000000" w:csb0="80000000" w:csb1="00000000"/>
  </w:font>
  <w:font w:name="EUAlbertina">
    <w:altName w:val="Times New Roman"/>
    <w:panose1 w:val="00000000000000000000"/>
    <w:charset w:val="00"/>
    <w:family w:val="roman"/>
    <w:notTrueType/>
    <w:pitch w:val="default"/>
    <w:sig w:usb0="00000005"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FC424" w14:textId="77777777" w:rsidR="003E0C4E" w:rsidRDefault="003E0C4E">
    <w:pPr>
      <w:pStyle w:val="Footer"/>
    </w:pPr>
    <w:r>
      <w:t>Footer text goes here</w:t>
    </w:r>
  </w:p>
  <w:p w14:paraId="25644523" w14:textId="77777777" w:rsidR="003E0C4E" w:rsidRDefault="003E0C4E">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Pr>
        <w:noProof/>
      </w:rPr>
      <w:fldChar w:fldCharType="begin"/>
    </w:r>
    <w:r>
      <w:rPr>
        <w:noProof/>
      </w:rPr>
      <w:instrText xml:space="preserve"> NUMPAGES   \* MERGEFORMAT </w:instrText>
    </w:r>
    <w:r>
      <w:rPr>
        <w:noProof/>
      </w:rPr>
      <w:fldChar w:fldCharType="separate"/>
    </w:r>
    <w:r>
      <w:rPr>
        <w:noProof/>
      </w:rPr>
      <w:t>127</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 w:val="20"/>
        <w:szCs w:val="24"/>
      </w:rPr>
      <w:id w:val="1525059344"/>
      <w:docPartObj>
        <w:docPartGallery w:val="Page Numbers (Bottom of Page)"/>
        <w:docPartUnique/>
      </w:docPartObj>
    </w:sdtPr>
    <w:sdtEndPr>
      <w:rPr>
        <w:noProof/>
        <w:szCs w:val="20"/>
      </w:rPr>
    </w:sdtEndPr>
    <w:sdtContent>
      <w:p w14:paraId="7CD08B30" w14:textId="3AE84CB0" w:rsidR="003E0C4E" w:rsidRPr="00E13F28" w:rsidRDefault="003E0C4E" w:rsidP="00A03DB6">
        <w:pPr>
          <w:pStyle w:val="Footer"/>
          <w:jc w:val="right"/>
          <w:rPr>
            <w:color w:val="auto"/>
            <w:sz w:val="20"/>
            <w:szCs w:val="20"/>
          </w:rPr>
        </w:pPr>
        <w:r w:rsidRPr="00E13F28">
          <w:rPr>
            <w:rFonts w:ascii="Times New Roman" w:hAnsi="Times New Roman"/>
            <w:color w:val="auto"/>
            <w:sz w:val="20"/>
            <w:szCs w:val="20"/>
          </w:rPr>
          <w:fldChar w:fldCharType="begin"/>
        </w:r>
        <w:r w:rsidRPr="00E13F28">
          <w:rPr>
            <w:rFonts w:ascii="Times New Roman" w:hAnsi="Times New Roman"/>
            <w:color w:val="auto"/>
            <w:sz w:val="20"/>
            <w:szCs w:val="20"/>
          </w:rPr>
          <w:instrText xml:space="preserve"> PAGE   \* MERGEFORMAT </w:instrText>
        </w:r>
        <w:r w:rsidRPr="00E13F28">
          <w:rPr>
            <w:rFonts w:ascii="Times New Roman" w:hAnsi="Times New Roman"/>
            <w:color w:val="auto"/>
            <w:sz w:val="20"/>
            <w:szCs w:val="20"/>
          </w:rPr>
          <w:fldChar w:fldCharType="separate"/>
        </w:r>
        <w:r w:rsidR="00166683">
          <w:rPr>
            <w:rFonts w:ascii="Times New Roman" w:hAnsi="Times New Roman"/>
            <w:noProof/>
            <w:color w:val="auto"/>
            <w:sz w:val="20"/>
            <w:szCs w:val="20"/>
          </w:rPr>
          <w:t>8</w:t>
        </w:r>
        <w:r w:rsidRPr="00E13F28">
          <w:rPr>
            <w:rFonts w:ascii="Times New Roman" w:hAnsi="Times New Roman"/>
            <w:noProof/>
            <w:color w:val="auto"/>
            <w:sz w:val="20"/>
            <w:szCs w:val="20"/>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6713353"/>
      <w:docPartObj>
        <w:docPartGallery w:val="Page Numbers (Bottom of Page)"/>
        <w:docPartUnique/>
      </w:docPartObj>
    </w:sdtPr>
    <w:sdtEndPr>
      <w:rPr>
        <w:noProof/>
      </w:rPr>
    </w:sdtEndPr>
    <w:sdtContent>
      <w:p w14:paraId="4EBDA7DF" w14:textId="0C0DF4E5" w:rsidR="003E0C4E" w:rsidRDefault="00166683" w:rsidP="00A74C24">
        <w:pPr>
          <w:pStyle w:val="Footer"/>
          <w:jc w:val="right"/>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909194"/>
      <w:docPartObj>
        <w:docPartGallery w:val="Page Numbers (Bottom of Page)"/>
        <w:docPartUnique/>
      </w:docPartObj>
    </w:sdtPr>
    <w:sdtEndPr>
      <w:rPr>
        <w:rFonts w:ascii="Times New Roman" w:hAnsi="Times New Roman"/>
        <w:noProof/>
        <w:szCs w:val="18"/>
      </w:rPr>
    </w:sdtEndPr>
    <w:sdtContent>
      <w:p w14:paraId="7DA068A8" w14:textId="348E65AF" w:rsidR="003E0C4E" w:rsidRPr="00802B39" w:rsidRDefault="003E0C4E" w:rsidP="00496A5B">
        <w:pPr>
          <w:pStyle w:val="Footer"/>
          <w:jc w:val="right"/>
          <w:rPr>
            <w:rFonts w:ascii="Times New Roman" w:hAnsi="Times New Roman"/>
            <w:szCs w:val="18"/>
          </w:rPr>
        </w:pPr>
        <w:r w:rsidRPr="00802B39">
          <w:rPr>
            <w:rFonts w:ascii="Times New Roman" w:hAnsi="Times New Roman"/>
            <w:szCs w:val="18"/>
          </w:rPr>
          <w:fldChar w:fldCharType="begin"/>
        </w:r>
        <w:r w:rsidRPr="00802B39">
          <w:rPr>
            <w:rFonts w:ascii="Times New Roman" w:hAnsi="Times New Roman"/>
            <w:szCs w:val="18"/>
          </w:rPr>
          <w:instrText xml:space="preserve"> PAGE   \* MERGEFORMAT </w:instrText>
        </w:r>
        <w:r w:rsidRPr="00802B39">
          <w:rPr>
            <w:rFonts w:ascii="Times New Roman" w:hAnsi="Times New Roman"/>
            <w:szCs w:val="18"/>
          </w:rPr>
          <w:fldChar w:fldCharType="separate"/>
        </w:r>
        <w:r w:rsidR="00166683">
          <w:rPr>
            <w:rFonts w:ascii="Times New Roman" w:hAnsi="Times New Roman"/>
            <w:noProof/>
            <w:szCs w:val="18"/>
          </w:rPr>
          <w:t>2</w:t>
        </w:r>
        <w:r w:rsidRPr="00802B39">
          <w:rPr>
            <w:rFonts w:ascii="Times New Roman" w:hAnsi="Times New Roman"/>
            <w:noProof/>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F47A0B" w14:textId="77777777" w:rsidR="003E0C4E" w:rsidRDefault="003E0C4E">
      <w:pPr>
        <w:spacing w:line="240" w:lineRule="auto"/>
      </w:pPr>
      <w:r>
        <w:separator/>
      </w:r>
    </w:p>
  </w:footnote>
  <w:footnote w:type="continuationSeparator" w:id="0">
    <w:p w14:paraId="1A36F195" w14:textId="77777777" w:rsidR="003E0C4E" w:rsidRDefault="003E0C4E">
      <w:pPr>
        <w:spacing w:line="240" w:lineRule="auto"/>
      </w:pPr>
      <w:r>
        <w:continuationSeparator/>
      </w:r>
    </w:p>
  </w:footnote>
  <w:footnote w:id="1">
    <w:p w14:paraId="1D8F063B" w14:textId="77777777" w:rsidR="003E0C4E" w:rsidRPr="007A304F" w:rsidRDefault="003E0C4E" w:rsidP="001358F8">
      <w:pPr>
        <w:jc w:val="both"/>
        <w:rPr>
          <w:rFonts w:ascii="Times New Roman" w:hAnsi="Times New Roman"/>
          <w:color w:val="000000" w:themeColor="text1"/>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sidRPr="007A304F">
        <w:rPr>
          <w:rFonts w:ascii="Times New Roman" w:hAnsi="Times New Roman"/>
          <w:color w:val="000000" w:themeColor="text1"/>
          <w:sz w:val="18"/>
          <w:szCs w:val="18"/>
        </w:rPr>
        <w:t>Daugiabučių namų renovacijoje šiuo metu kuriami instrumentai su 1:5 sverto efektu, t.y. siekiama, kad kiekvienas viešų finansų euras,  pritrauktų 5 eurus iš privataus sektoriaus ar kitų trečiųjų šalių.</w:t>
      </w:r>
    </w:p>
  </w:footnote>
  <w:footnote w:id="2">
    <w:p w14:paraId="59186B88" w14:textId="77777777" w:rsidR="003E0C4E" w:rsidRPr="004E2CC4" w:rsidRDefault="003E0C4E" w:rsidP="00E60DE6">
      <w:pPr>
        <w:jc w:val="both"/>
        <w:rPr>
          <w:rFonts w:ascii="Times New Roman" w:hAnsi="Times New Roman"/>
          <w:color w:val="000000" w:themeColor="text1"/>
          <w:sz w:val="18"/>
          <w:szCs w:val="22"/>
        </w:rPr>
      </w:pPr>
      <w:r w:rsidRPr="0065297E">
        <w:rPr>
          <w:rStyle w:val="FootnoteReference"/>
          <w:rFonts w:ascii="Times New Roman" w:hAnsi="Times New Roman"/>
        </w:rPr>
        <w:footnoteRef/>
      </w:r>
      <w:r>
        <w:t xml:space="preserve"> </w:t>
      </w:r>
      <w:r w:rsidRPr="004E2CC4">
        <w:rPr>
          <w:rFonts w:ascii="Times New Roman" w:hAnsi="Times New Roman"/>
          <w:color w:val="000000" w:themeColor="text1"/>
          <w:sz w:val="18"/>
          <w:szCs w:val="22"/>
        </w:rPr>
        <w:t xml:space="preserve">IRS apimtyje </w:t>
      </w:r>
      <w:r>
        <w:rPr>
          <w:rFonts w:ascii="Times New Roman" w:hAnsi="Times New Roman"/>
          <w:color w:val="000000" w:themeColor="text1"/>
          <w:sz w:val="18"/>
          <w:szCs w:val="22"/>
        </w:rPr>
        <w:t>vertinama</w:t>
      </w:r>
      <w:r w:rsidRPr="004E2CC4">
        <w:rPr>
          <w:rFonts w:ascii="Times New Roman" w:hAnsi="Times New Roman"/>
          <w:color w:val="000000" w:themeColor="text1"/>
          <w:sz w:val="18"/>
          <w:szCs w:val="22"/>
        </w:rPr>
        <w:t xml:space="preserve">, kad </w:t>
      </w:r>
      <w:r>
        <w:rPr>
          <w:rFonts w:ascii="Times New Roman" w:hAnsi="Times New Roman"/>
          <w:color w:val="000000" w:themeColor="text1"/>
          <w:sz w:val="18"/>
          <w:szCs w:val="22"/>
        </w:rPr>
        <w:t>elektros ir CŠT</w:t>
      </w:r>
      <w:r w:rsidRPr="004E2CC4">
        <w:rPr>
          <w:rFonts w:ascii="Times New Roman" w:hAnsi="Times New Roman"/>
          <w:color w:val="000000" w:themeColor="text1"/>
          <w:sz w:val="18"/>
          <w:szCs w:val="22"/>
        </w:rPr>
        <w:t xml:space="preserve"> sektoriai vystysis iškastinio kuro atsisa</w:t>
      </w:r>
      <w:r>
        <w:rPr>
          <w:rFonts w:ascii="Times New Roman" w:hAnsi="Times New Roman"/>
          <w:color w:val="000000" w:themeColor="text1"/>
          <w:sz w:val="18"/>
          <w:szCs w:val="22"/>
        </w:rPr>
        <w:t>kymo kryptimi (remiantis NENS)</w:t>
      </w:r>
    </w:p>
    <w:p w14:paraId="18E2276F" w14:textId="77777777" w:rsidR="003E0C4E" w:rsidRDefault="003E0C4E" w:rsidP="00E60DE6">
      <w:pPr>
        <w:pStyle w:val="FootnoteText"/>
      </w:pPr>
    </w:p>
  </w:footnote>
  <w:footnote w:id="3">
    <w:p w14:paraId="09FAFBFD" w14:textId="77777777" w:rsidR="003E0C4E" w:rsidRPr="000C0E81" w:rsidRDefault="003E0C4E" w:rsidP="00E60DE6">
      <w:pPr>
        <w:pStyle w:val="FootnoteText"/>
        <w:rPr>
          <w:rFonts w:ascii="Times New Roman" w:hAnsi="Times New Roman" w:cs="Times New Roman"/>
          <w:sz w:val="18"/>
          <w:szCs w:val="18"/>
        </w:rPr>
      </w:pPr>
      <w:r w:rsidRPr="000C0E81">
        <w:rPr>
          <w:rStyle w:val="FootnoteReference"/>
          <w:rFonts w:ascii="Times New Roman" w:hAnsi="Times New Roman" w:cs="Times New Roman"/>
          <w:sz w:val="18"/>
          <w:szCs w:val="18"/>
        </w:rPr>
        <w:footnoteRef/>
      </w:r>
      <w:r w:rsidRPr="000C0E81">
        <w:rPr>
          <w:rFonts w:ascii="Times New Roman" w:hAnsi="Times New Roman" w:cs="Times New Roman"/>
          <w:sz w:val="18"/>
          <w:szCs w:val="18"/>
        </w:rPr>
        <w:t xml:space="preserve"> Iki NECP 2040 parengimo ir IRS atnaujinimo (žr. 14 etapą)</w:t>
      </w:r>
    </w:p>
  </w:footnote>
  <w:footnote w:id="4">
    <w:p w14:paraId="052C35BA" w14:textId="2B5D15A2" w:rsidR="003E0C4E" w:rsidRPr="00C93E38" w:rsidRDefault="003E0C4E">
      <w:pPr>
        <w:pStyle w:val="FootnoteText"/>
        <w:rPr>
          <w:rFonts w:ascii="Times New Roman" w:hAnsi="Times New Roman" w:cs="Times New Roman"/>
          <w:sz w:val="20"/>
        </w:rPr>
      </w:pPr>
      <w:r w:rsidRPr="00C93E38">
        <w:rPr>
          <w:rStyle w:val="FootnoteReference"/>
          <w:rFonts w:ascii="Times New Roman" w:hAnsi="Times New Roman" w:cs="Times New Roman"/>
          <w:sz w:val="20"/>
        </w:rPr>
        <w:footnoteRef/>
      </w:r>
      <w:r w:rsidRPr="00C93E38">
        <w:rPr>
          <w:rFonts w:ascii="Times New Roman" w:hAnsi="Times New Roman" w:cs="Times New Roman"/>
          <w:sz w:val="20"/>
        </w:rPr>
        <w:t xml:space="preserve"> STR 2.01.02:2016 “Pastatų energinio naudingumo projektavimas ir sertifikavimas”</w:t>
      </w:r>
    </w:p>
  </w:footnote>
  <w:footnote w:id="5">
    <w:p w14:paraId="7AF16CBC" w14:textId="77777777" w:rsidR="003E0C4E" w:rsidRPr="00BF69D3" w:rsidRDefault="003E0C4E" w:rsidP="00CC439B">
      <w:pPr>
        <w:pStyle w:val="FootnoteText"/>
        <w:rPr>
          <w:rFonts w:ascii="Times New Roman" w:hAnsi="Times New Roman" w:cs="Times New Roman"/>
          <w:sz w:val="18"/>
          <w:szCs w:val="18"/>
        </w:rPr>
      </w:pPr>
      <w:r w:rsidRPr="00BF69D3">
        <w:rPr>
          <w:rStyle w:val="FootnoteReference"/>
          <w:rFonts w:ascii="Times New Roman" w:hAnsi="Times New Roman" w:cs="Times New Roman"/>
          <w:sz w:val="18"/>
          <w:szCs w:val="18"/>
        </w:rPr>
        <w:footnoteRef/>
      </w:r>
      <w:r w:rsidRPr="00BF69D3">
        <w:rPr>
          <w:rFonts w:ascii="Times New Roman" w:hAnsi="Times New Roman" w:cs="Times New Roman"/>
          <w:sz w:val="18"/>
          <w:szCs w:val="18"/>
        </w:rPr>
        <w:t xml:space="preserve"> </w:t>
      </w:r>
      <w:hyperlink r:id="rId1" w:history="1">
        <w:r w:rsidRPr="00BF69D3">
          <w:rPr>
            <w:rStyle w:val="Hyperlink"/>
            <w:rFonts w:ascii="Times New Roman" w:hAnsi="Times New Roman" w:cs="Times New Roman"/>
            <w:color w:val="0070C0"/>
            <w:sz w:val="18"/>
            <w:szCs w:val="18"/>
          </w:rPr>
          <w:t>https://www.spsc.lt/cms/index.php?option=com_wrapper&amp;view=wrapper&amp;Itemid=288&amp;lang=lt</w:t>
        </w:r>
      </w:hyperlink>
      <w:r w:rsidRPr="00BF69D3">
        <w:rPr>
          <w:rFonts w:ascii="Times New Roman" w:hAnsi="Times New Roman" w:cs="Times New Roman"/>
          <w:color w:val="0070C0"/>
          <w:sz w:val="18"/>
          <w:szCs w:val="18"/>
        </w:rPr>
        <w:t xml:space="preserve"> </w:t>
      </w:r>
    </w:p>
  </w:footnote>
  <w:footnote w:id="6">
    <w:p w14:paraId="1FB4419B" w14:textId="094B39A3" w:rsidR="003E0C4E" w:rsidRPr="0088190D" w:rsidRDefault="003E0C4E">
      <w:pPr>
        <w:pStyle w:val="FootnoteText"/>
        <w:rPr>
          <w:rFonts w:ascii="Times New Roman" w:hAnsi="Times New Roman" w:cs="Times New Roman"/>
          <w:sz w:val="18"/>
          <w:szCs w:val="18"/>
        </w:rPr>
      </w:pPr>
      <w:r w:rsidRPr="0088190D">
        <w:rPr>
          <w:rStyle w:val="FootnoteReference"/>
          <w:rFonts w:ascii="Times New Roman" w:hAnsi="Times New Roman" w:cs="Times New Roman"/>
          <w:sz w:val="18"/>
          <w:szCs w:val="18"/>
        </w:rPr>
        <w:footnoteRef/>
      </w:r>
      <w:r w:rsidRPr="0088190D">
        <w:rPr>
          <w:rFonts w:ascii="Times New Roman" w:hAnsi="Times New Roman" w:cs="Times New Roman"/>
          <w:sz w:val="18"/>
          <w:szCs w:val="18"/>
        </w:rPr>
        <w:t xml:space="preserve"> PEND I priedas, 1 dalies antroji pastraipa</w:t>
      </w:r>
    </w:p>
  </w:footnote>
  <w:footnote w:id="7">
    <w:p w14:paraId="49EBCB63" w14:textId="77777777" w:rsidR="003E0C4E" w:rsidRPr="00023B00" w:rsidRDefault="003E0C4E" w:rsidP="00FC50F8">
      <w:pPr>
        <w:pStyle w:val="FootnoteText"/>
        <w:rPr>
          <w:rFonts w:ascii="Times New Roman" w:hAnsi="Times New Roman" w:cs="Times New Roman"/>
          <w:sz w:val="18"/>
          <w:szCs w:val="18"/>
        </w:rPr>
      </w:pPr>
      <w:r w:rsidRPr="00577D04">
        <w:rPr>
          <w:rStyle w:val="FootnoteReference"/>
          <w:rFonts w:ascii="Times New Roman" w:hAnsi="Times New Roman" w:cs="Times New Roman"/>
          <w:sz w:val="18"/>
          <w:szCs w:val="18"/>
        </w:rPr>
        <w:footnoteRef/>
      </w:r>
      <w:r w:rsidRPr="00577D04">
        <w:rPr>
          <w:rFonts w:ascii="Times New Roman" w:hAnsi="Times New Roman" w:cs="Times New Roman"/>
          <w:sz w:val="18"/>
          <w:szCs w:val="18"/>
        </w:rPr>
        <w:t xml:space="preserve"> Tyrimas „Dėl ilgalaikės strategijos, skirtos investicijų telkimui tiek viešos, tiek privačios nuosavybės formos gyvenamųjų ir komercinės paskirties pastatų nacionalinio fondo renovacijos srityje, sudarymo“</w:t>
      </w:r>
    </w:p>
  </w:footnote>
  <w:footnote w:id="8">
    <w:p w14:paraId="2E8326C4" w14:textId="21F42AE8" w:rsidR="003E0C4E" w:rsidRPr="00CE15D6" w:rsidRDefault="003E0C4E" w:rsidP="00BD47DB">
      <w:pPr>
        <w:pStyle w:val="FootnoteText"/>
        <w:rPr>
          <w:rFonts w:ascii="Times New Roman" w:hAnsi="Times New Roman" w:cs="Times New Roman"/>
          <w:sz w:val="18"/>
          <w:szCs w:val="18"/>
        </w:rPr>
      </w:pPr>
      <w:r w:rsidRPr="00CE15D6">
        <w:rPr>
          <w:rStyle w:val="FootnoteReference"/>
          <w:rFonts w:ascii="Times New Roman" w:hAnsi="Times New Roman" w:cs="Times New Roman"/>
          <w:sz w:val="18"/>
          <w:szCs w:val="18"/>
        </w:rPr>
        <w:footnoteRef/>
      </w:r>
      <w:r w:rsidRPr="00CE15D6">
        <w:rPr>
          <w:rFonts w:ascii="Times New Roman" w:hAnsi="Times New Roman" w:cs="Times New Roman"/>
          <w:sz w:val="18"/>
          <w:szCs w:val="18"/>
        </w:rPr>
        <w:t xml:space="preserve"> Statybos techninio reglamento STR 2.01.02:2016 „Pastatų energinio naudingumo projektavimas ir sertifikavimas“, 2.</w:t>
      </w:r>
      <w:r>
        <w:rPr>
          <w:rFonts w:ascii="Times New Roman" w:hAnsi="Times New Roman" w:cs="Times New Roman"/>
          <w:sz w:val="18"/>
          <w:szCs w:val="18"/>
        </w:rPr>
        <w:t>18</w:t>
      </w:r>
      <w:r w:rsidRPr="00CE15D6">
        <w:rPr>
          <w:rFonts w:ascii="Times New Roman" w:hAnsi="Times New Roman" w:cs="Times New Roman"/>
          <w:sz w:val="18"/>
          <w:szCs w:val="18"/>
        </w:rPr>
        <w:t>. lentelė</w:t>
      </w:r>
    </w:p>
  </w:footnote>
  <w:footnote w:id="9">
    <w:p w14:paraId="4DFE8172" w14:textId="01B37481" w:rsidR="003E0C4E" w:rsidRPr="00B6738C" w:rsidRDefault="003E0C4E">
      <w:pPr>
        <w:pStyle w:val="FootnoteText"/>
        <w:rPr>
          <w:rFonts w:ascii="Times New Roman" w:hAnsi="Times New Roman" w:cs="Times New Roman"/>
          <w:sz w:val="18"/>
          <w:szCs w:val="18"/>
        </w:rPr>
      </w:pPr>
      <w:r w:rsidRPr="00B6738C">
        <w:rPr>
          <w:rStyle w:val="FootnoteReference"/>
          <w:rFonts w:ascii="Times New Roman" w:hAnsi="Times New Roman" w:cs="Times New Roman"/>
          <w:sz w:val="18"/>
          <w:szCs w:val="18"/>
        </w:rPr>
        <w:footnoteRef/>
      </w:r>
      <w:r w:rsidRPr="00B6738C">
        <w:rPr>
          <w:rFonts w:ascii="Times New Roman" w:hAnsi="Times New Roman" w:cs="Times New Roman"/>
          <w:sz w:val="18"/>
          <w:szCs w:val="18"/>
        </w:rPr>
        <w:t xml:space="preserve"> Gamtinės dujos</w:t>
      </w:r>
    </w:p>
  </w:footnote>
  <w:footnote w:id="10">
    <w:p w14:paraId="61ED25C8" w14:textId="6908027A" w:rsidR="003E0C4E" w:rsidRPr="00A64EDC" w:rsidRDefault="003E0C4E">
      <w:pPr>
        <w:pStyle w:val="FootnoteText"/>
        <w:rPr>
          <w:rFonts w:ascii="Times New Roman" w:hAnsi="Times New Roman" w:cs="Times New Roman"/>
          <w:sz w:val="18"/>
          <w:szCs w:val="18"/>
        </w:rPr>
      </w:pPr>
      <w:r w:rsidRPr="00A64EDC">
        <w:rPr>
          <w:rStyle w:val="FootnoteReference"/>
          <w:rFonts w:ascii="Times New Roman" w:hAnsi="Times New Roman" w:cs="Times New Roman"/>
          <w:sz w:val="18"/>
          <w:szCs w:val="18"/>
        </w:rPr>
        <w:footnoteRef/>
      </w:r>
      <w:r w:rsidRPr="00A64EDC">
        <w:rPr>
          <w:rFonts w:ascii="Times New Roman" w:hAnsi="Times New Roman" w:cs="Times New Roman"/>
          <w:sz w:val="18"/>
          <w:szCs w:val="18"/>
        </w:rPr>
        <w:t xml:space="preserve"> </w:t>
      </w:r>
      <w:r w:rsidRPr="00A64EDC">
        <w:rPr>
          <w:rFonts w:ascii="Times New Roman" w:hAnsi="Times New Roman" w:cs="Times New Roman"/>
          <w:color w:val="000000" w:themeColor="text1"/>
          <w:sz w:val="18"/>
          <w:szCs w:val="18"/>
        </w:rPr>
        <w:t>Lietuvos Respublikos Vyriausybės  2004 m. gegužės 26 d. nutarimas Nr. 634</w:t>
      </w:r>
    </w:p>
  </w:footnote>
  <w:footnote w:id="11">
    <w:p w14:paraId="1CAD82C7" w14:textId="02502BA1" w:rsidR="003E0C4E" w:rsidRPr="00E67601" w:rsidRDefault="003E0C4E">
      <w:pPr>
        <w:pStyle w:val="FootnoteText"/>
        <w:rPr>
          <w:rFonts w:ascii="Times New Roman" w:hAnsi="Times New Roman" w:cs="Times New Roman"/>
          <w:sz w:val="18"/>
          <w:szCs w:val="18"/>
        </w:rPr>
      </w:pPr>
      <w:r w:rsidRPr="00E67601">
        <w:rPr>
          <w:rStyle w:val="FootnoteReference"/>
          <w:rFonts w:ascii="Times New Roman" w:hAnsi="Times New Roman" w:cs="Times New Roman"/>
          <w:sz w:val="18"/>
          <w:szCs w:val="18"/>
        </w:rPr>
        <w:footnoteRef/>
      </w:r>
      <w:r w:rsidRPr="00E67601">
        <w:rPr>
          <w:rFonts w:ascii="Times New Roman" w:hAnsi="Times New Roman" w:cs="Times New Roman"/>
          <w:sz w:val="18"/>
          <w:szCs w:val="18"/>
        </w:rPr>
        <w:t xml:space="preserve"> </w:t>
      </w:r>
      <w:hyperlink r:id="rId2" w:history="1">
        <w:r w:rsidRPr="00154F55">
          <w:rPr>
            <w:rStyle w:val="Hyperlink"/>
            <w:rFonts w:ascii="Times New Roman" w:hAnsi="Times New Roman" w:cs="Times New Roman"/>
            <w:color w:val="0070C0"/>
            <w:sz w:val="18"/>
            <w:szCs w:val="18"/>
          </w:rPr>
          <w:t>https://www.spsc.lt/cms/index.php?option=com_content&amp;view=article&amp;id=57&amp;Itemid=331&amp;lang=lt</w:t>
        </w:r>
      </w:hyperlink>
      <w:r w:rsidRPr="00154F55">
        <w:rPr>
          <w:rFonts w:ascii="Times New Roman" w:hAnsi="Times New Roman" w:cs="Times New Roman"/>
          <w:color w:val="0070C0"/>
          <w:sz w:val="18"/>
          <w:szCs w:val="18"/>
        </w:rPr>
        <w:t xml:space="preserve"> </w:t>
      </w:r>
    </w:p>
  </w:footnote>
  <w:footnote w:id="12">
    <w:p w14:paraId="414F0708" w14:textId="77777777" w:rsidR="003E0C4E" w:rsidRPr="004E6893" w:rsidRDefault="003E0C4E" w:rsidP="007C4A64">
      <w:pPr>
        <w:pStyle w:val="FootnoteText"/>
        <w:rPr>
          <w:rFonts w:ascii="Times New Roman" w:hAnsi="Times New Roman" w:cs="Times New Roman"/>
          <w:sz w:val="18"/>
          <w:szCs w:val="18"/>
        </w:rPr>
      </w:pPr>
      <w:r w:rsidRPr="006C7945">
        <w:rPr>
          <w:rStyle w:val="FootnoteReference"/>
          <w:rFonts w:ascii="Times New Roman" w:hAnsi="Times New Roman" w:cs="Times New Roman"/>
          <w:sz w:val="18"/>
          <w:szCs w:val="18"/>
        </w:rPr>
        <w:footnoteRef/>
      </w:r>
      <w:r w:rsidRPr="006C7945">
        <w:rPr>
          <w:rFonts w:ascii="Times New Roman" w:hAnsi="Times New Roman" w:cs="Times New Roman"/>
          <w:sz w:val="18"/>
          <w:szCs w:val="18"/>
        </w:rPr>
        <w:t xml:space="preserve"> Pastato energijos vartojimo efektyvumo rodiklius </w:t>
      </w:r>
      <w:r w:rsidRPr="004E6893">
        <w:rPr>
          <w:rFonts w:ascii="Times New Roman" w:hAnsi="Times New Roman" w:cs="Times New Roman"/>
          <w:sz w:val="18"/>
          <w:szCs w:val="18"/>
        </w:rPr>
        <w:t>C1 ir C2, šiluminės energijos sąnaudas pastatui šildyti, pastato atitvarų skaičiuojamųjų savitųjų šilumos nuostolius, pastato sandarumo rodiklį, mechaninio vėdinimo su rekuperacija sistemos techninius rodiklius, pastato (jo dalies) su autonominėmis šildymo sistemomis pertvarų ir tarpaukštinių perdenginių šilumines savybes.</w:t>
      </w:r>
    </w:p>
  </w:footnote>
  <w:footnote w:id="13">
    <w:p w14:paraId="7998BB53" w14:textId="77777777" w:rsidR="003E0C4E" w:rsidRPr="009274FB" w:rsidRDefault="003E0C4E" w:rsidP="00B4765E">
      <w:pPr>
        <w:pStyle w:val="FootnoteText"/>
        <w:rPr>
          <w:rFonts w:ascii="Times New Roman" w:hAnsi="Times New Roman" w:cs="Times New Roman"/>
          <w:sz w:val="18"/>
          <w:szCs w:val="18"/>
        </w:rPr>
      </w:pPr>
      <w:r w:rsidRPr="009274FB">
        <w:rPr>
          <w:rStyle w:val="FootnoteReference"/>
          <w:rFonts w:ascii="Times New Roman" w:hAnsi="Times New Roman" w:cs="Times New Roman"/>
          <w:sz w:val="18"/>
          <w:szCs w:val="18"/>
        </w:rPr>
        <w:footnoteRef/>
      </w:r>
      <w:r w:rsidRPr="009274FB">
        <w:rPr>
          <w:rFonts w:ascii="Times New Roman" w:hAnsi="Times New Roman" w:cs="Times New Roman"/>
          <w:sz w:val="18"/>
          <w:szCs w:val="18"/>
        </w:rPr>
        <w:t xml:space="preserve"> Europos komisijos rekomenduojama reikšmė, žr. </w:t>
      </w:r>
      <w:r w:rsidRPr="009274FB">
        <w:rPr>
          <w:rFonts w:ascii="Times New Roman" w:hAnsi="Times New Roman" w:cs="Times New Roman"/>
          <w:sz w:val="18"/>
          <w:szCs w:val="18"/>
          <w:shd w:val="clear" w:color="auto" w:fill="FFFFFF"/>
        </w:rPr>
        <w:t>Komisijos deleguotasis reglamentas (ES) Nr. 480/2014</w:t>
      </w:r>
    </w:p>
  </w:footnote>
  <w:footnote w:id="14">
    <w:p w14:paraId="5C9F8706" w14:textId="77777777" w:rsidR="003E0C4E" w:rsidRPr="0090037C" w:rsidRDefault="003E0C4E" w:rsidP="002B3426">
      <w:pPr>
        <w:pStyle w:val="FootnoteText"/>
        <w:rPr>
          <w:rFonts w:ascii="Times New Roman" w:hAnsi="Times New Roman" w:cs="Times New Roman"/>
          <w:sz w:val="18"/>
          <w:szCs w:val="18"/>
        </w:rPr>
      </w:pPr>
      <w:r w:rsidRPr="0090037C">
        <w:rPr>
          <w:rStyle w:val="FootnoteReference"/>
          <w:rFonts w:ascii="Times New Roman" w:hAnsi="Times New Roman" w:cs="Times New Roman"/>
          <w:sz w:val="18"/>
          <w:szCs w:val="18"/>
        </w:rPr>
        <w:footnoteRef/>
      </w:r>
      <w:r w:rsidRPr="0090037C">
        <w:rPr>
          <w:rFonts w:ascii="Times New Roman" w:hAnsi="Times New Roman" w:cs="Times New Roman"/>
          <w:sz w:val="18"/>
          <w:szCs w:val="18"/>
        </w:rPr>
        <w:t xml:space="preserve"> </w:t>
      </w:r>
      <w:hyperlink r:id="rId3" w:history="1">
        <w:r w:rsidRPr="00D56794">
          <w:rPr>
            <w:rStyle w:val="Hyperlink"/>
            <w:rFonts w:ascii="Times New Roman" w:hAnsi="Times New Roman" w:cs="Times New Roman"/>
            <w:color w:val="0070C0"/>
            <w:sz w:val="18"/>
            <w:szCs w:val="18"/>
          </w:rPr>
          <w:t>https://ec.europa.eu/energy/studies/comprehensive-study-building-energy-renovation-activities-and-uptake-nearly-zero-energy_en</w:t>
        </w:r>
      </w:hyperlink>
      <w:r w:rsidRPr="00D56794">
        <w:rPr>
          <w:rFonts w:ascii="Times New Roman" w:hAnsi="Times New Roman" w:cs="Times New Roman"/>
          <w:color w:val="0070C0"/>
          <w:sz w:val="18"/>
          <w:szCs w:val="18"/>
        </w:rPr>
        <w:t xml:space="preserve">  </w:t>
      </w:r>
    </w:p>
  </w:footnote>
  <w:footnote w:id="15">
    <w:p w14:paraId="6A20B8FB" w14:textId="667ED695" w:rsidR="003E0C4E" w:rsidRPr="00193698" w:rsidRDefault="003E0C4E" w:rsidP="00240506">
      <w:pPr>
        <w:pStyle w:val="FootnoteText"/>
        <w:rPr>
          <w:rFonts w:ascii="Times New Roman" w:hAnsi="Times New Roman" w:cs="Times New Roman"/>
          <w:sz w:val="18"/>
          <w:szCs w:val="18"/>
        </w:rPr>
      </w:pPr>
      <w:r w:rsidRPr="00193698">
        <w:rPr>
          <w:rStyle w:val="FootnoteReference"/>
          <w:rFonts w:ascii="Times New Roman" w:hAnsi="Times New Roman" w:cs="Times New Roman"/>
          <w:sz w:val="18"/>
          <w:szCs w:val="18"/>
        </w:rPr>
        <w:footnoteRef/>
      </w:r>
      <w:r w:rsidRPr="00193698">
        <w:rPr>
          <w:rFonts w:ascii="Times New Roman" w:hAnsi="Times New Roman" w:cs="Times New Roman"/>
          <w:sz w:val="18"/>
          <w:szCs w:val="18"/>
        </w:rPr>
        <w:t xml:space="preserve"> </w:t>
      </w:r>
      <w:r>
        <w:rPr>
          <w:rFonts w:ascii="Times New Roman" w:hAnsi="Times New Roman" w:cs="Times New Roman"/>
          <w:sz w:val="18"/>
          <w:szCs w:val="18"/>
        </w:rPr>
        <w:t>V</w:t>
      </w:r>
      <w:r w:rsidRPr="00193698">
        <w:rPr>
          <w:rFonts w:ascii="Times New Roman" w:hAnsi="Times New Roman" w:cs="Times New Roman"/>
          <w:sz w:val="18"/>
          <w:szCs w:val="18"/>
        </w:rPr>
        <w:t>alstybinio audito ataskaita „</w:t>
      </w:r>
      <w:r>
        <w:rPr>
          <w:rFonts w:ascii="Times New Roman" w:hAnsi="Times New Roman" w:cs="Times New Roman"/>
          <w:sz w:val="18"/>
          <w:szCs w:val="18"/>
        </w:rPr>
        <w:t>D</w:t>
      </w:r>
      <w:r w:rsidRPr="00193698">
        <w:rPr>
          <w:rFonts w:ascii="Times New Roman" w:hAnsi="Times New Roman" w:cs="Times New Roman"/>
          <w:sz w:val="18"/>
          <w:szCs w:val="18"/>
        </w:rPr>
        <w:t>augiabučių namų atnaujinimas (modernizavimas)“</w:t>
      </w:r>
      <w:r>
        <w:rPr>
          <w:rFonts w:ascii="Times New Roman" w:hAnsi="Times New Roman" w:cs="Times New Roman"/>
          <w:sz w:val="18"/>
          <w:szCs w:val="18"/>
        </w:rPr>
        <w:t>, Valstybės kontrolė</w:t>
      </w:r>
    </w:p>
  </w:footnote>
  <w:footnote w:id="16">
    <w:p w14:paraId="4221967A" w14:textId="77777777" w:rsidR="003E0C4E" w:rsidRPr="00D56794" w:rsidRDefault="003E0C4E" w:rsidP="00240506">
      <w:pPr>
        <w:pStyle w:val="FootnoteText"/>
        <w:rPr>
          <w:rFonts w:ascii="Times New Roman" w:hAnsi="Times New Roman" w:cs="Times New Roman"/>
          <w:color w:val="0070C0"/>
          <w:sz w:val="18"/>
          <w:szCs w:val="18"/>
        </w:rPr>
      </w:pPr>
      <w:r w:rsidRPr="00082B36">
        <w:rPr>
          <w:rStyle w:val="FootnoteReference"/>
          <w:rFonts w:ascii="Times New Roman" w:hAnsi="Times New Roman" w:cs="Times New Roman"/>
          <w:sz w:val="18"/>
          <w:szCs w:val="18"/>
        </w:rPr>
        <w:footnoteRef/>
      </w:r>
      <w:r w:rsidRPr="00082B36">
        <w:rPr>
          <w:rFonts w:ascii="Times New Roman" w:hAnsi="Times New Roman" w:cs="Times New Roman"/>
          <w:sz w:val="18"/>
          <w:szCs w:val="18"/>
        </w:rPr>
        <w:t xml:space="preserve"> </w:t>
      </w:r>
      <w:hyperlink r:id="rId4" w:history="1">
        <w:r w:rsidRPr="00D56794">
          <w:rPr>
            <w:rStyle w:val="Hyperlink"/>
            <w:rFonts w:ascii="Times New Roman" w:hAnsi="Times New Roman" w:cs="Times New Roman"/>
            <w:color w:val="0070C0"/>
            <w:sz w:val="18"/>
            <w:szCs w:val="18"/>
          </w:rPr>
          <w:t>https://appsso.eurostat.ec.europa.eu/nui/submitViewTableAction.do</w:t>
        </w:r>
      </w:hyperlink>
    </w:p>
  </w:footnote>
  <w:footnote w:id="17">
    <w:p w14:paraId="1D968C4E" w14:textId="77777777" w:rsidR="003E0C4E" w:rsidRPr="00D56794" w:rsidRDefault="003E0C4E" w:rsidP="00240506">
      <w:pPr>
        <w:pStyle w:val="FootnoteText"/>
        <w:rPr>
          <w:rFonts w:ascii="Times New Roman" w:hAnsi="Times New Roman" w:cs="Times New Roman"/>
          <w:color w:val="0070C0"/>
          <w:sz w:val="18"/>
          <w:szCs w:val="18"/>
        </w:rPr>
      </w:pPr>
      <w:r w:rsidRPr="00082B36">
        <w:rPr>
          <w:rStyle w:val="FootnoteReference"/>
          <w:rFonts w:ascii="Times New Roman" w:hAnsi="Times New Roman" w:cs="Times New Roman"/>
          <w:sz w:val="18"/>
          <w:szCs w:val="18"/>
        </w:rPr>
        <w:footnoteRef/>
      </w:r>
      <w:r w:rsidRPr="00082B36">
        <w:rPr>
          <w:rFonts w:ascii="Times New Roman" w:hAnsi="Times New Roman" w:cs="Times New Roman"/>
          <w:sz w:val="18"/>
          <w:szCs w:val="18"/>
        </w:rPr>
        <w:t xml:space="preserve"> </w:t>
      </w:r>
      <w:hyperlink r:id="rId5" w:history="1">
        <w:r w:rsidRPr="00D56794">
          <w:rPr>
            <w:rStyle w:val="Hyperlink"/>
            <w:rFonts w:ascii="Times New Roman" w:hAnsi="Times New Roman" w:cs="Times New Roman"/>
            <w:color w:val="0070C0"/>
            <w:sz w:val="18"/>
            <w:szCs w:val="18"/>
          </w:rPr>
          <w:t>https://www.vkontrole.lt/pranesimas_spaudai.aspx?id=25019</w:t>
        </w:r>
      </w:hyperlink>
    </w:p>
  </w:footnote>
  <w:footnote w:id="18">
    <w:p w14:paraId="339158D7" w14:textId="77777777" w:rsidR="003E0C4E" w:rsidRPr="00082B36" w:rsidRDefault="003E0C4E" w:rsidP="00240506">
      <w:pPr>
        <w:pStyle w:val="FootnoteText"/>
        <w:rPr>
          <w:rFonts w:ascii="Times New Roman" w:hAnsi="Times New Roman" w:cs="Times New Roman"/>
          <w:sz w:val="18"/>
          <w:szCs w:val="18"/>
        </w:rPr>
      </w:pPr>
      <w:r w:rsidRPr="00082B36">
        <w:rPr>
          <w:rStyle w:val="FootnoteReference"/>
          <w:rFonts w:ascii="Times New Roman" w:hAnsi="Times New Roman" w:cs="Times New Roman"/>
          <w:sz w:val="18"/>
          <w:szCs w:val="18"/>
        </w:rPr>
        <w:footnoteRef/>
      </w:r>
      <w:r w:rsidRPr="00D56794">
        <w:rPr>
          <w:rFonts w:ascii="Times New Roman" w:hAnsi="Times New Roman" w:cs="Times New Roman"/>
          <w:color w:val="0070C0"/>
          <w:sz w:val="18"/>
          <w:szCs w:val="18"/>
        </w:rPr>
        <w:t xml:space="preserve"> </w:t>
      </w:r>
      <w:hyperlink r:id="rId6" w:history="1">
        <w:r w:rsidRPr="00D56794">
          <w:rPr>
            <w:rStyle w:val="Hyperlink"/>
            <w:rFonts w:ascii="Times New Roman" w:hAnsi="Times New Roman" w:cs="Times New Roman"/>
            <w:color w:val="0070C0"/>
            <w:sz w:val="18"/>
            <w:szCs w:val="18"/>
          </w:rPr>
          <w:t>http://www.betalt.lt/doclib/eqs6hohgh1wu2ebycsbsmtbg9f2xmspu</w:t>
        </w:r>
      </w:hyperlink>
    </w:p>
  </w:footnote>
  <w:footnote w:id="19">
    <w:p w14:paraId="174409B2" w14:textId="6EB03F4A" w:rsidR="003E0C4E" w:rsidRPr="00793531" w:rsidRDefault="003E0C4E">
      <w:pPr>
        <w:pStyle w:val="FootnoteText"/>
        <w:rPr>
          <w:rFonts w:ascii="Times New Roman" w:hAnsi="Times New Roman" w:cs="Times New Roman"/>
          <w:sz w:val="18"/>
          <w:szCs w:val="18"/>
        </w:rPr>
      </w:pPr>
      <w:r w:rsidRPr="00793531">
        <w:rPr>
          <w:rStyle w:val="FootnoteReference"/>
          <w:rFonts w:ascii="Times New Roman" w:hAnsi="Times New Roman" w:cs="Times New Roman"/>
          <w:sz w:val="18"/>
          <w:szCs w:val="18"/>
        </w:rPr>
        <w:footnoteRef/>
      </w:r>
      <w:r w:rsidRPr="00793531">
        <w:rPr>
          <w:rFonts w:ascii="Times New Roman" w:hAnsi="Times New Roman" w:cs="Times New Roman"/>
          <w:sz w:val="18"/>
          <w:szCs w:val="18"/>
        </w:rPr>
        <w:t xml:space="preserve"> </w:t>
      </w:r>
      <w:hyperlink r:id="rId7" w:history="1">
        <w:r w:rsidRPr="00D56794">
          <w:rPr>
            <w:rStyle w:val="Hyperlink"/>
            <w:rFonts w:ascii="Times New Roman" w:hAnsi="Times New Roman" w:cs="Times New Roman"/>
            <w:color w:val="0070C0"/>
            <w:sz w:val="18"/>
            <w:szCs w:val="18"/>
          </w:rPr>
          <w:t>https://eur-lex.europa.eu/legal-content/EN/TXT/PDF/?uri=CELEX:52016SC0414&amp;from=EN</w:t>
        </w:r>
      </w:hyperlink>
      <w:r w:rsidRPr="00D56794">
        <w:rPr>
          <w:rFonts w:ascii="Times New Roman" w:hAnsi="Times New Roman" w:cs="Times New Roman"/>
          <w:color w:val="0070C0"/>
          <w:sz w:val="18"/>
          <w:szCs w:val="18"/>
        </w:rPr>
        <w:t xml:space="preserve"> </w:t>
      </w:r>
    </w:p>
  </w:footnote>
  <w:footnote w:id="20">
    <w:p w14:paraId="4746A96A" w14:textId="09F45195" w:rsidR="003E0C4E" w:rsidRPr="00793531" w:rsidRDefault="003E0C4E">
      <w:pPr>
        <w:pStyle w:val="FootnoteText"/>
        <w:rPr>
          <w:rFonts w:ascii="Times New Roman" w:hAnsi="Times New Roman" w:cs="Times New Roman"/>
          <w:sz w:val="18"/>
          <w:szCs w:val="18"/>
        </w:rPr>
      </w:pPr>
      <w:r w:rsidRPr="00793531">
        <w:rPr>
          <w:rStyle w:val="FootnoteReference"/>
          <w:rFonts w:ascii="Times New Roman" w:hAnsi="Times New Roman" w:cs="Times New Roman"/>
          <w:sz w:val="18"/>
          <w:szCs w:val="18"/>
        </w:rPr>
        <w:footnoteRef/>
      </w:r>
      <w:r w:rsidRPr="00793531">
        <w:rPr>
          <w:rFonts w:ascii="Times New Roman" w:hAnsi="Times New Roman" w:cs="Times New Roman"/>
          <w:sz w:val="18"/>
          <w:szCs w:val="18"/>
        </w:rPr>
        <w:t xml:space="preserve"> Finansų ministerijos užsakymu 2018 m. gegužę atliktas vertinimas, „Energijos efektyvumo išankstinis (ex-ante) vertinimas“</w:t>
      </w:r>
    </w:p>
  </w:footnote>
  <w:footnote w:id="21">
    <w:p w14:paraId="64487A3C" w14:textId="54EBC3B5" w:rsidR="003E0C4E" w:rsidRPr="004D36EF" w:rsidRDefault="003E0C4E">
      <w:pPr>
        <w:pStyle w:val="FootnoteText"/>
        <w:rPr>
          <w:rFonts w:ascii="Times New Roman" w:hAnsi="Times New Roman" w:cs="Times New Roman"/>
          <w:sz w:val="18"/>
          <w:szCs w:val="18"/>
        </w:rPr>
      </w:pPr>
      <w:r w:rsidRPr="004D36EF">
        <w:rPr>
          <w:rStyle w:val="FootnoteReference"/>
          <w:rFonts w:ascii="Times New Roman" w:hAnsi="Times New Roman" w:cs="Times New Roman"/>
          <w:sz w:val="18"/>
          <w:szCs w:val="18"/>
        </w:rPr>
        <w:footnoteRef/>
      </w:r>
      <w:r w:rsidRPr="004D36EF">
        <w:rPr>
          <w:rFonts w:ascii="Times New Roman" w:hAnsi="Times New Roman" w:cs="Times New Roman"/>
          <w:sz w:val="18"/>
          <w:szCs w:val="18"/>
        </w:rPr>
        <w:t xml:space="preserve"> </w:t>
      </w:r>
      <w:hyperlink r:id="rId8" w:history="1">
        <w:r w:rsidRPr="00D53D3B">
          <w:rPr>
            <w:rStyle w:val="Hyperlink"/>
            <w:rFonts w:ascii="Times New Roman" w:hAnsi="Times New Roman" w:cs="Times New Roman"/>
            <w:color w:val="0070C0"/>
            <w:sz w:val="18"/>
            <w:szCs w:val="18"/>
          </w:rPr>
          <w:t>https://op.europa.eu/webpub/eca/special-reports/energy-efficiency-11-2020/lt/index.html</w:t>
        </w:r>
      </w:hyperlink>
      <w:r w:rsidRPr="00D53D3B">
        <w:rPr>
          <w:rFonts w:ascii="Times New Roman" w:hAnsi="Times New Roman" w:cs="Times New Roman"/>
          <w:color w:val="0070C0"/>
          <w:sz w:val="18"/>
          <w:szCs w:val="18"/>
        </w:rPr>
        <w:t xml:space="preserve"> </w:t>
      </w:r>
    </w:p>
  </w:footnote>
  <w:footnote w:id="22">
    <w:p w14:paraId="61AA35BE" w14:textId="77777777" w:rsidR="003E0C4E" w:rsidRPr="00AA2CEC" w:rsidRDefault="003E0C4E" w:rsidP="001C4035">
      <w:pPr>
        <w:pStyle w:val="FootnoteText"/>
        <w:rPr>
          <w:rStyle w:val="Hyperlink"/>
          <w:rFonts w:ascii="Times New Roman" w:hAnsi="Times New Roman" w:cs="Times New Roman"/>
          <w:color w:val="auto"/>
          <w:sz w:val="18"/>
          <w:szCs w:val="18"/>
        </w:rPr>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9" w:history="1">
        <w:r w:rsidRPr="00C77E70">
          <w:rPr>
            <w:rStyle w:val="Hyperlink"/>
            <w:rFonts w:ascii="Times New Roman" w:hAnsi="Times New Roman" w:cs="Times New Roman"/>
            <w:color w:val="0070C0"/>
            <w:sz w:val="18"/>
            <w:szCs w:val="18"/>
          </w:rPr>
          <w:t>https://am.lrv.lt/uploads/am/documents/files/KLIMATO%20KAITA/Integruotas%20planas/Final%20NECP.pdf</w:t>
        </w:r>
      </w:hyperlink>
    </w:p>
  </w:footnote>
  <w:footnote w:id="23">
    <w:p w14:paraId="59DCB415" w14:textId="77777777" w:rsidR="003E0C4E" w:rsidRPr="00C77E70" w:rsidRDefault="003E0C4E" w:rsidP="001C4035">
      <w:pPr>
        <w:pStyle w:val="FootnoteText"/>
        <w:rPr>
          <w:rFonts w:ascii="Times New Roman" w:hAnsi="Times New Roman" w:cs="Times New Roman"/>
          <w:color w:val="0070C0"/>
          <w:sz w:val="18"/>
          <w:szCs w:val="18"/>
        </w:rPr>
      </w:pPr>
      <w:r w:rsidRPr="00C77E70">
        <w:rPr>
          <w:rStyle w:val="Hyperlink"/>
          <w:rFonts w:ascii="Times New Roman" w:hAnsi="Times New Roman" w:cs="Times New Roman"/>
          <w:color w:val="auto"/>
          <w:sz w:val="18"/>
          <w:szCs w:val="18"/>
          <w:vertAlign w:val="superscript"/>
        </w:rPr>
        <w:footnoteRef/>
      </w:r>
      <w:r w:rsidRPr="00AA2CEC">
        <w:rPr>
          <w:rStyle w:val="Hyperlink"/>
          <w:rFonts w:ascii="Times New Roman" w:hAnsi="Times New Roman" w:cs="Times New Roman"/>
          <w:color w:val="auto"/>
          <w:sz w:val="18"/>
          <w:szCs w:val="18"/>
        </w:rPr>
        <w:t xml:space="preserve"> </w:t>
      </w:r>
      <w:hyperlink r:id="rId10" w:history="1">
        <w:r w:rsidRPr="00C77E70">
          <w:rPr>
            <w:rStyle w:val="Hyperlink"/>
            <w:rFonts w:ascii="Times New Roman" w:hAnsi="Times New Roman" w:cs="Times New Roman"/>
            <w:color w:val="0070C0"/>
            <w:sz w:val="18"/>
            <w:szCs w:val="18"/>
          </w:rPr>
          <w:t>https://e-seimas.lrs.lt/portal/legalAct/lt/TAD/TAIS.429490/asr</w:t>
        </w:r>
      </w:hyperlink>
    </w:p>
  </w:footnote>
  <w:footnote w:id="24">
    <w:p w14:paraId="02F55F5A" w14:textId="77777777" w:rsidR="003E0C4E" w:rsidRPr="00AA2CEC" w:rsidRDefault="003E0C4E" w:rsidP="001C4035">
      <w:pPr>
        <w:pStyle w:val="FootnoteText"/>
        <w:rPr>
          <w:rStyle w:val="Hyperlink"/>
          <w:rFonts w:ascii="Times New Roman" w:hAnsi="Times New Roman" w:cs="Times New Roman"/>
          <w:color w:val="auto"/>
          <w:sz w:val="18"/>
          <w:szCs w:val="18"/>
        </w:rPr>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11" w:history="1">
        <w:r w:rsidRPr="00C77E70">
          <w:rPr>
            <w:rStyle w:val="Hyperlink"/>
            <w:rFonts w:ascii="Times New Roman" w:hAnsi="Times New Roman" w:cs="Times New Roman"/>
            <w:color w:val="0070C0"/>
            <w:sz w:val="18"/>
            <w:szCs w:val="18"/>
          </w:rPr>
          <w:t>https://strata.gov.lt/lt/sumani-specializacija/apie</w:t>
        </w:r>
      </w:hyperlink>
      <w:r w:rsidRPr="00C77E70">
        <w:rPr>
          <w:rStyle w:val="Hyperlink"/>
          <w:rFonts w:ascii="Times New Roman" w:hAnsi="Times New Roman" w:cs="Times New Roman"/>
          <w:color w:val="0070C0"/>
          <w:sz w:val="18"/>
          <w:szCs w:val="18"/>
        </w:rPr>
        <w:t xml:space="preserve"> </w:t>
      </w:r>
    </w:p>
  </w:footnote>
  <w:footnote w:id="25">
    <w:p w14:paraId="1A57AB62" w14:textId="31DD226C" w:rsidR="003E0C4E" w:rsidRDefault="003E0C4E" w:rsidP="001C4035">
      <w:pPr>
        <w:pStyle w:val="FootnoteText"/>
      </w:pPr>
      <w:r w:rsidRPr="00AA2CEC">
        <w:rPr>
          <w:rStyle w:val="FootnoteReference"/>
          <w:rFonts w:ascii="Times New Roman" w:hAnsi="Times New Roman" w:cs="Times New Roman"/>
          <w:sz w:val="18"/>
          <w:szCs w:val="18"/>
        </w:rPr>
        <w:footnoteRef/>
      </w:r>
      <w:r w:rsidRPr="00AA2CEC">
        <w:rPr>
          <w:rFonts w:ascii="Times New Roman" w:hAnsi="Times New Roman" w:cs="Times New Roman"/>
          <w:sz w:val="18"/>
          <w:szCs w:val="18"/>
        </w:rPr>
        <w:t xml:space="preserve"> </w:t>
      </w:r>
      <w:hyperlink r:id="rId12" w:history="1">
        <w:r w:rsidR="007B0BAC" w:rsidRPr="00EC7A9C">
          <w:rPr>
            <w:rStyle w:val="Hyperlink"/>
            <w:rFonts w:ascii="Times New Roman" w:hAnsi="Times New Roman" w:cs="Times New Roman"/>
            <w:sz w:val="18"/>
            <w:szCs w:val="18"/>
          </w:rPr>
          <w:t>https://e-seimas.lrs.lt/portal/legalAct/lt/TAD/c1259440f7dd11eab72ddb4a109da1b5?jfwid=-whxwii77y</w:t>
        </w:r>
      </w:hyperlink>
      <w:r w:rsidR="007B0BAC">
        <w:rPr>
          <w:rFonts w:ascii="Times New Roman" w:hAnsi="Times New Roman" w:cs="Times New Roman"/>
          <w:sz w:val="18"/>
          <w:szCs w:val="18"/>
        </w:rPr>
        <w:t xml:space="preserve"> </w:t>
      </w:r>
    </w:p>
  </w:footnote>
  <w:footnote w:id="26">
    <w:p w14:paraId="30567E1C" w14:textId="77777777" w:rsidR="003E0C4E" w:rsidRPr="00EC58FF" w:rsidRDefault="003E0C4E"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w:t>
      </w:r>
      <w:hyperlink r:id="rId13" w:history="1">
        <w:r w:rsidRPr="00B56633">
          <w:rPr>
            <w:rStyle w:val="Hyperlink"/>
            <w:rFonts w:ascii="Times New Roman" w:hAnsi="Times New Roman" w:cs="Times New Roman"/>
            <w:color w:val="0070C0"/>
            <w:sz w:val="18"/>
            <w:szCs w:val="18"/>
          </w:rPr>
          <w:t>https://www.lzpt.lt/</w:t>
        </w:r>
      </w:hyperlink>
    </w:p>
  </w:footnote>
  <w:footnote w:id="27">
    <w:p w14:paraId="0130C8CD" w14:textId="77777777" w:rsidR="003E0C4E" w:rsidRPr="00EC58FF" w:rsidRDefault="003E0C4E"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NCEP naudojamas priemonės kodas</w:t>
      </w:r>
    </w:p>
  </w:footnote>
  <w:footnote w:id="28">
    <w:p w14:paraId="4793FEAB" w14:textId="77777777" w:rsidR="003E0C4E" w:rsidRPr="00EC58FF" w:rsidRDefault="003E0C4E"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w:t>
      </w:r>
      <w:hyperlink r:id="rId14" w:history="1">
        <w:r w:rsidRPr="00B56633">
          <w:rPr>
            <w:rStyle w:val="Hyperlink"/>
            <w:rFonts w:ascii="Times New Roman" w:hAnsi="Times New Roman" w:cs="Times New Roman"/>
            <w:color w:val="0070C0"/>
            <w:sz w:val="18"/>
            <w:szCs w:val="18"/>
          </w:rPr>
          <w:t>https://e-seimas.lrs.lt/portal/legalAct/lt/TAD/TAIS.439448</w:t>
        </w:r>
      </w:hyperlink>
    </w:p>
  </w:footnote>
  <w:footnote w:id="29">
    <w:p w14:paraId="139DC7AF" w14:textId="77777777" w:rsidR="003E0C4E" w:rsidRPr="00EC58FF" w:rsidRDefault="003E0C4E" w:rsidP="001C4035">
      <w:pPr>
        <w:pStyle w:val="FootnoteText"/>
        <w:rPr>
          <w:rFonts w:ascii="Times New Roman" w:hAnsi="Times New Roman" w:cs="Times New Roman"/>
          <w:sz w:val="18"/>
          <w:szCs w:val="18"/>
        </w:rPr>
      </w:pPr>
      <w:r w:rsidRPr="00EC58FF">
        <w:rPr>
          <w:rStyle w:val="FootnoteReference"/>
          <w:rFonts w:ascii="Times New Roman" w:hAnsi="Times New Roman" w:cs="Times New Roman"/>
          <w:sz w:val="18"/>
          <w:szCs w:val="18"/>
        </w:rPr>
        <w:footnoteRef/>
      </w:r>
      <w:r w:rsidRPr="00EC58FF">
        <w:rPr>
          <w:rFonts w:ascii="Times New Roman" w:hAnsi="Times New Roman" w:cs="Times New Roman"/>
          <w:sz w:val="18"/>
          <w:szCs w:val="18"/>
        </w:rPr>
        <w:t xml:space="preserve"> NCEP naudojamas priemonės kodas</w:t>
      </w:r>
    </w:p>
  </w:footnote>
  <w:footnote w:id="30">
    <w:p w14:paraId="2702302F" w14:textId="77777777" w:rsidR="003E0C4E" w:rsidRPr="004050A9" w:rsidRDefault="003E0C4E" w:rsidP="001C4035">
      <w:pPr>
        <w:pStyle w:val="FootnoteText"/>
        <w:rPr>
          <w:rFonts w:ascii="Times New Roman" w:hAnsi="Times New Roman" w:cs="Times New Roman"/>
          <w:color w:val="0070C0"/>
          <w:sz w:val="18"/>
          <w:szCs w:val="18"/>
        </w:rPr>
      </w:pPr>
      <w:r w:rsidRPr="00920141">
        <w:rPr>
          <w:rStyle w:val="FootnoteReference"/>
          <w:rFonts w:ascii="Times New Roman" w:hAnsi="Times New Roman" w:cs="Times New Roman"/>
          <w:sz w:val="18"/>
          <w:szCs w:val="18"/>
        </w:rPr>
        <w:footnoteRef/>
      </w:r>
      <w:r w:rsidRPr="00920141">
        <w:rPr>
          <w:rFonts w:ascii="Times New Roman" w:hAnsi="Times New Roman" w:cs="Times New Roman"/>
          <w:sz w:val="18"/>
          <w:szCs w:val="18"/>
        </w:rPr>
        <w:t xml:space="preserve"> </w:t>
      </w:r>
      <w:hyperlink r:id="rId15" w:history="1">
        <w:r w:rsidRPr="004050A9">
          <w:rPr>
            <w:rStyle w:val="Hyperlink"/>
            <w:rFonts w:ascii="Times New Roman" w:hAnsi="Times New Roman" w:cs="Times New Roman"/>
            <w:color w:val="0070C0"/>
            <w:sz w:val="18"/>
            <w:szCs w:val="18"/>
          </w:rPr>
          <w:t>https://strata.gov.lt/images/tyrimai/2020-metai/inovaciju-politika/2020-03-13_Inovaciju_apzvalga.pdf</w:t>
        </w:r>
      </w:hyperlink>
    </w:p>
  </w:footnote>
  <w:footnote w:id="31">
    <w:p w14:paraId="19FF49FA" w14:textId="77777777" w:rsidR="003E0C4E" w:rsidRPr="004050A9" w:rsidRDefault="003E0C4E" w:rsidP="001C4035">
      <w:pPr>
        <w:pStyle w:val="FootnoteText"/>
        <w:rPr>
          <w:rFonts w:ascii="Times New Roman" w:hAnsi="Times New Roman" w:cs="Times New Roman"/>
          <w:color w:val="0070C0"/>
          <w:sz w:val="18"/>
          <w:szCs w:val="18"/>
        </w:rPr>
      </w:pPr>
      <w:r w:rsidRPr="00920141">
        <w:rPr>
          <w:rStyle w:val="FootnoteReference"/>
          <w:rFonts w:ascii="Times New Roman" w:hAnsi="Times New Roman" w:cs="Times New Roman"/>
          <w:sz w:val="18"/>
          <w:szCs w:val="18"/>
        </w:rPr>
        <w:footnoteRef/>
      </w:r>
      <w:r w:rsidRPr="00920141">
        <w:rPr>
          <w:rFonts w:ascii="Times New Roman" w:hAnsi="Times New Roman" w:cs="Times New Roman"/>
          <w:sz w:val="18"/>
          <w:szCs w:val="18"/>
        </w:rPr>
        <w:t xml:space="preserve"> </w:t>
      </w:r>
      <w:hyperlink r:id="rId16" w:history="1">
        <w:r w:rsidRPr="004050A9">
          <w:rPr>
            <w:rStyle w:val="Hyperlink"/>
            <w:rFonts w:ascii="Times New Roman" w:hAnsi="Times New Roman" w:cs="Times New Roman"/>
            <w:color w:val="0070C0"/>
            <w:sz w:val="18"/>
            <w:szCs w:val="18"/>
          </w:rPr>
          <w:t>http://www.nmva.smm.lt/wp-content/uploads/2019/10/Svietimo-bukles-apzvalga-2019-web.pdf</w:t>
        </w:r>
      </w:hyperlink>
    </w:p>
  </w:footnote>
  <w:footnote w:id="32">
    <w:p w14:paraId="71C5B98F" w14:textId="77777777" w:rsidR="003E0C4E" w:rsidRPr="004050A9" w:rsidRDefault="003E0C4E" w:rsidP="001C4035">
      <w:pPr>
        <w:pStyle w:val="FootnoteText"/>
        <w:rPr>
          <w:rFonts w:ascii="Times New Roman" w:hAnsi="Times New Roman" w:cs="Times New Roman"/>
          <w:color w:val="0070C0"/>
          <w:sz w:val="18"/>
          <w:szCs w:val="18"/>
        </w:rPr>
      </w:pPr>
      <w:r w:rsidRPr="000579FE">
        <w:rPr>
          <w:rStyle w:val="FootnoteReference"/>
          <w:rFonts w:ascii="Times New Roman" w:hAnsi="Times New Roman" w:cs="Times New Roman"/>
          <w:sz w:val="18"/>
          <w:szCs w:val="18"/>
        </w:rPr>
        <w:footnoteRef/>
      </w:r>
      <w:r w:rsidRPr="000579FE">
        <w:rPr>
          <w:rFonts w:ascii="Times New Roman" w:hAnsi="Times New Roman" w:cs="Times New Roman"/>
          <w:sz w:val="18"/>
          <w:szCs w:val="18"/>
        </w:rPr>
        <w:t xml:space="preserve"> </w:t>
      </w:r>
      <w:hyperlink r:id="rId17" w:history="1">
        <w:r w:rsidRPr="004050A9">
          <w:rPr>
            <w:rStyle w:val="Hyperlink"/>
            <w:rFonts w:ascii="Times New Roman" w:hAnsi="Times New Roman" w:cs="Times New Roman"/>
            <w:color w:val="0070C0"/>
            <w:sz w:val="18"/>
            <w:szCs w:val="18"/>
          </w:rPr>
          <w:t>https://webgate.ec.europa.eu/dashboard/sense/app/a976d168-2023-41d8-acec-e77640154726/sheet/0c8af38b-b73c-4da2-ba41-73ea34ab7ac4/state/0</w:t>
        </w:r>
      </w:hyperlink>
    </w:p>
  </w:footnote>
  <w:footnote w:id="33">
    <w:p w14:paraId="496C9690" w14:textId="77777777" w:rsidR="003E0C4E" w:rsidRPr="004050A9" w:rsidRDefault="003E0C4E" w:rsidP="001C4035">
      <w:pPr>
        <w:pStyle w:val="FootnoteText"/>
        <w:rPr>
          <w:rFonts w:ascii="Times New Roman" w:hAnsi="Times New Roman" w:cs="Times New Roman"/>
          <w:color w:val="0070C0"/>
          <w:sz w:val="18"/>
          <w:szCs w:val="18"/>
        </w:rPr>
      </w:pPr>
      <w:r w:rsidRPr="000579FE">
        <w:rPr>
          <w:rStyle w:val="FootnoteReference"/>
          <w:rFonts w:ascii="Times New Roman" w:hAnsi="Times New Roman" w:cs="Times New Roman"/>
          <w:sz w:val="18"/>
          <w:szCs w:val="18"/>
        </w:rPr>
        <w:footnoteRef/>
      </w:r>
      <w:r w:rsidRPr="000579FE">
        <w:rPr>
          <w:rFonts w:ascii="Times New Roman" w:hAnsi="Times New Roman" w:cs="Times New Roman"/>
          <w:sz w:val="18"/>
          <w:szCs w:val="18"/>
        </w:rPr>
        <w:t xml:space="preserve"> </w:t>
      </w:r>
      <w:hyperlink r:id="rId18" w:history="1">
        <w:r w:rsidRPr="004050A9">
          <w:rPr>
            <w:rStyle w:val="Hyperlink"/>
            <w:rFonts w:ascii="Times New Roman" w:hAnsi="Times New Roman" w:cs="Times New Roman"/>
            <w:color w:val="0070C0"/>
            <w:sz w:val="18"/>
            <w:szCs w:val="18"/>
          </w:rPr>
          <w:t>http://kurklt.lt/wp-content/uploads/2019/04/DI_strategija_LT_koreguota.pdf</w:t>
        </w:r>
      </w:hyperlink>
    </w:p>
  </w:footnote>
  <w:footnote w:id="34">
    <w:p w14:paraId="65D8F6A4" w14:textId="77777777" w:rsidR="003E0C4E" w:rsidRPr="00D94B4C" w:rsidRDefault="003E0C4E" w:rsidP="001C4035">
      <w:pPr>
        <w:pStyle w:val="FootnoteText"/>
        <w:rPr>
          <w:rFonts w:ascii="Times New Roman" w:hAnsi="Times New Roman" w:cs="Times New Roman"/>
          <w:sz w:val="18"/>
          <w:szCs w:val="18"/>
        </w:rPr>
      </w:pPr>
      <w:r w:rsidRPr="00D94B4C">
        <w:rPr>
          <w:rStyle w:val="FootnoteReference"/>
          <w:rFonts w:ascii="Times New Roman" w:hAnsi="Times New Roman" w:cs="Times New Roman"/>
          <w:sz w:val="18"/>
          <w:szCs w:val="18"/>
        </w:rPr>
        <w:footnoteRef/>
      </w:r>
      <w:r w:rsidRPr="00D94B4C">
        <w:rPr>
          <w:rFonts w:ascii="Times New Roman" w:hAnsi="Times New Roman" w:cs="Times New Roman"/>
          <w:sz w:val="18"/>
          <w:szCs w:val="18"/>
        </w:rPr>
        <w:t xml:space="preserve"> </w:t>
      </w:r>
      <w:hyperlink r:id="rId19" w:history="1">
        <w:r w:rsidRPr="004050A9">
          <w:rPr>
            <w:rStyle w:val="Hyperlink"/>
            <w:rFonts w:ascii="Times New Roman" w:hAnsi="Times New Roman" w:cs="Times New Roman"/>
            <w:color w:val="0070C0"/>
            <w:sz w:val="18"/>
            <w:szCs w:val="18"/>
          </w:rPr>
          <w:t>https://lsta.lt/wp-content/uploads/2019/10/LSTA_apzvalga_2018.pdf</w:t>
        </w:r>
      </w:hyperlink>
    </w:p>
  </w:footnote>
  <w:footnote w:id="35">
    <w:p w14:paraId="332AE09D" w14:textId="57921264" w:rsidR="003E0C4E" w:rsidRPr="0029539E" w:rsidRDefault="003E0C4E">
      <w:pPr>
        <w:pStyle w:val="FootnoteText"/>
        <w:rPr>
          <w:rFonts w:ascii="Times New Roman" w:hAnsi="Times New Roman" w:cs="Times New Roman"/>
          <w:sz w:val="18"/>
          <w:szCs w:val="18"/>
        </w:rPr>
      </w:pPr>
      <w:r w:rsidRPr="0029539E">
        <w:rPr>
          <w:rStyle w:val="FootnoteReference"/>
          <w:rFonts w:ascii="Times New Roman" w:hAnsi="Times New Roman" w:cs="Times New Roman"/>
          <w:sz w:val="18"/>
          <w:szCs w:val="18"/>
        </w:rPr>
        <w:footnoteRef/>
      </w:r>
      <w:r w:rsidRPr="0029539E">
        <w:rPr>
          <w:rFonts w:ascii="Times New Roman" w:hAnsi="Times New Roman" w:cs="Times New Roman"/>
          <w:sz w:val="18"/>
          <w:szCs w:val="18"/>
        </w:rPr>
        <w:t xml:space="preserve"> BETA Lietuvos renovacijos žemėlapio duomenys</w:t>
      </w:r>
    </w:p>
  </w:footnote>
  <w:footnote w:id="36">
    <w:p w14:paraId="0A65DE47" w14:textId="48BA67FE" w:rsidR="003E0C4E" w:rsidRPr="009B3FA5" w:rsidRDefault="003E0C4E">
      <w:pPr>
        <w:pStyle w:val="FootnoteText"/>
        <w:rPr>
          <w:rFonts w:ascii="Times New Roman" w:hAnsi="Times New Roman" w:cs="Times New Roman"/>
          <w:sz w:val="18"/>
          <w:szCs w:val="18"/>
        </w:rPr>
      </w:pPr>
      <w:r w:rsidRPr="009B3FA5">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Lietuvos būsto rūmų asociacijos vykdytos apklausos duomenimis,</w:t>
      </w:r>
      <w:r w:rsidRPr="009B3FA5">
        <w:rPr>
          <w:rFonts w:ascii="Times New Roman" w:hAnsi="Times New Roman" w:cs="Times New Roman"/>
          <w:sz w:val="18"/>
          <w:szCs w:val="18"/>
        </w:rPr>
        <w:t xml:space="preserve"> </w:t>
      </w:r>
      <w:r w:rsidRPr="009B3FA5">
        <w:rPr>
          <w:rFonts w:ascii="Times New Roman" w:hAnsi="Times New Roman" w:cs="Times New Roman"/>
          <w:color w:val="333333"/>
          <w:sz w:val="18"/>
          <w:szCs w:val="18"/>
          <w:shd w:val="clear" w:color="auto" w:fill="FFFFFF"/>
        </w:rPr>
        <w:t>93 proc. gyventojų yra svar</w:t>
      </w:r>
      <w:r>
        <w:rPr>
          <w:rFonts w:ascii="Times New Roman" w:hAnsi="Times New Roman" w:cs="Times New Roman"/>
          <w:color w:val="333333"/>
          <w:sz w:val="18"/>
          <w:szCs w:val="18"/>
          <w:shd w:val="clear" w:color="auto" w:fill="FFFFFF"/>
        </w:rPr>
        <w:t>bu</w:t>
      </w:r>
      <w:r w:rsidRPr="009B3FA5">
        <w:rPr>
          <w:rFonts w:ascii="Times New Roman" w:hAnsi="Times New Roman" w:cs="Times New Roman"/>
          <w:color w:val="333333"/>
          <w:sz w:val="18"/>
          <w:szCs w:val="18"/>
          <w:shd w:val="clear" w:color="auto" w:fill="FFFFFF"/>
        </w:rPr>
        <w:t xml:space="preserve"> tai, kokioje aplinkoje jie gyvena</w:t>
      </w:r>
      <w:r w:rsidRPr="009B3FA5">
        <w:rPr>
          <w:rFonts w:ascii="Times New Roman" w:hAnsi="Times New Roman" w:cs="Times New Roman"/>
          <w:color w:val="333333"/>
          <w:sz w:val="18"/>
          <w:szCs w:val="18"/>
        </w:rPr>
        <w:br/>
      </w:r>
    </w:p>
  </w:footnote>
  <w:footnote w:id="37">
    <w:p w14:paraId="05147392" w14:textId="52D2FA4C" w:rsidR="003E0C4E" w:rsidRPr="006D7499" w:rsidRDefault="003E0C4E">
      <w:pPr>
        <w:pStyle w:val="FootnoteText"/>
        <w:rPr>
          <w:rFonts w:ascii="Times New Roman" w:hAnsi="Times New Roman" w:cs="Times New Roman"/>
          <w:sz w:val="18"/>
          <w:szCs w:val="18"/>
        </w:rPr>
      </w:pPr>
      <w:r w:rsidRPr="005223A5">
        <w:rPr>
          <w:rStyle w:val="FootnoteReference"/>
          <w:rFonts w:ascii="Times New Roman" w:hAnsi="Times New Roman" w:cs="Times New Roman"/>
          <w:sz w:val="20"/>
          <w:szCs w:val="18"/>
        </w:rPr>
        <w:footnoteRef/>
      </w:r>
      <w:r w:rsidRPr="005223A5">
        <w:rPr>
          <w:rFonts w:ascii="Times New Roman" w:hAnsi="Times New Roman" w:cs="Times New Roman"/>
          <w:sz w:val="20"/>
          <w:szCs w:val="18"/>
        </w:rPr>
        <w:t xml:space="preserve"> Ex-ante ataskaitos duomenys</w:t>
      </w:r>
    </w:p>
  </w:footnote>
  <w:footnote w:id="38">
    <w:p w14:paraId="3ACF847F" w14:textId="5F288681" w:rsidR="003E0C4E" w:rsidRPr="008967B7" w:rsidRDefault="003E0C4E">
      <w:pPr>
        <w:pStyle w:val="FootnoteText"/>
        <w:rPr>
          <w:rFonts w:ascii="Times New Roman" w:hAnsi="Times New Roman" w:cs="Times New Roman"/>
          <w:sz w:val="18"/>
          <w:szCs w:val="18"/>
        </w:rPr>
      </w:pPr>
      <w:r w:rsidRPr="008967B7">
        <w:rPr>
          <w:rStyle w:val="FootnoteReference"/>
          <w:rFonts w:ascii="Times New Roman" w:hAnsi="Times New Roman" w:cs="Times New Roman"/>
          <w:sz w:val="18"/>
          <w:szCs w:val="18"/>
        </w:rPr>
        <w:footnoteRef/>
      </w:r>
      <w:r w:rsidRPr="008967B7">
        <w:rPr>
          <w:rFonts w:ascii="Times New Roman" w:hAnsi="Times New Roman" w:cs="Times New Roman"/>
          <w:sz w:val="18"/>
          <w:szCs w:val="18"/>
        </w:rPr>
        <w:t xml:space="preserve"> Energijos efektyvumo ūkio subjektams ir atsinaujinančių energijos išteklių plėtros skatinamojo finansavimo poreikio vertinimas, VIPA</w:t>
      </w:r>
    </w:p>
  </w:footnote>
  <w:footnote w:id="39">
    <w:p w14:paraId="339A237E" w14:textId="380DD8F1" w:rsidR="003E0C4E" w:rsidRPr="00052C8C" w:rsidRDefault="003E0C4E" w:rsidP="000E7641">
      <w:pPr>
        <w:pStyle w:val="FootnoteText"/>
        <w:rPr>
          <w:rFonts w:ascii="Times New Roman" w:hAnsi="Times New Roman" w:cs="Times New Roman"/>
          <w:sz w:val="18"/>
          <w:szCs w:val="18"/>
        </w:rPr>
      </w:pPr>
      <w:r w:rsidRPr="00052C8C">
        <w:rPr>
          <w:rStyle w:val="FootnoteReference"/>
          <w:rFonts w:ascii="Times New Roman" w:hAnsi="Times New Roman" w:cs="Times New Roman"/>
          <w:sz w:val="18"/>
          <w:szCs w:val="18"/>
        </w:rPr>
        <w:footnoteRef/>
      </w:r>
      <w:r w:rsidRPr="00052C8C">
        <w:rPr>
          <w:rFonts w:ascii="Times New Roman" w:hAnsi="Times New Roman" w:cs="Times New Roman"/>
          <w:sz w:val="18"/>
          <w:szCs w:val="18"/>
        </w:rPr>
        <w:t xml:space="preserve"> Valstybinio audito ataskaita „Daugiabučių namų atnaujinimas (modernizavimas)“, Valstybės kontrolė</w:t>
      </w:r>
    </w:p>
  </w:footnote>
  <w:footnote w:id="40">
    <w:p w14:paraId="7DDBFF21" w14:textId="497BCC77" w:rsidR="003E0C4E" w:rsidRPr="00AF1FE7" w:rsidRDefault="003E0C4E">
      <w:pPr>
        <w:pStyle w:val="FootnoteText"/>
        <w:rPr>
          <w:rFonts w:ascii="Times New Roman" w:hAnsi="Times New Roman" w:cs="Times New Roman"/>
          <w:sz w:val="20"/>
        </w:rPr>
      </w:pPr>
      <w:r w:rsidRPr="00AF1FE7">
        <w:rPr>
          <w:rStyle w:val="FootnoteReference"/>
          <w:rFonts w:ascii="Times New Roman" w:hAnsi="Times New Roman" w:cs="Times New Roman"/>
          <w:sz w:val="20"/>
        </w:rPr>
        <w:footnoteRef/>
      </w:r>
      <w:r w:rsidRPr="00AF1FE7">
        <w:rPr>
          <w:rFonts w:ascii="Times New Roman" w:hAnsi="Times New Roman" w:cs="Times New Roman"/>
          <w:sz w:val="20"/>
        </w:rPr>
        <w:t xml:space="preserve"> </w:t>
      </w:r>
      <w:hyperlink r:id="rId20" w:anchor="policy-areas" w:history="1">
        <w:r w:rsidRPr="00C7715B">
          <w:rPr>
            <w:rStyle w:val="Hyperlink"/>
            <w:rFonts w:ascii="Times New Roman" w:hAnsi="Times New Roman" w:cs="Times New Roman"/>
            <w:color w:val="0070C0"/>
            <w:sz w:val="18"/>
          </w:rPr>
          <w:t>https://ec.europa.eu/info/strategy/priorities-2019-2024/european-green-deal_en#policy-areas</w:t>
        </w:r>
      </w:hyperlink>
      <w:r w:rsidRPr="00C7715B">
        <w:rPr>
          <w:rFonts w:ascii="Times New Roman" w:hAnsi="Times New Roman" w:cs="Times New Roman"/>
          <w:color w:val="0070C0"/>
          <w:sz w:val="18"/>
        </w:rPr>
        <w:t xml:space="preserve"> </w:t>
      </w:r>
    </w:p>
  </w:footnote>
  <w:footnote w:id="41">
    <w:p w14:paraId="2A627123" w14:textId="113459A0" w:rsidR="003E0C4E" w:rsidRPr="004349AF" w:rsidRDefault="003E0C4E" w:rsidP="006866B5">
      <w:pPr>
        <w:pStyle w:val="FootnoteText"/>
        <w:rPr>
          <w:rFonts w:ascii="Times New Roman" w:hAnsi="Times New Roman" w:cs="Times New Roman"/>
          <w:sz w:val="18"/>
          <w:szCs w:val="18"/>
        </w:rPr>
      </w:pPr>
      <w:r w:rsidRPr="004349AF">
        <w:rPr>
          <w:rStyle w:val="FootnoteReference"/>
          <w:rFonts w:ascii="Times New Roman" w:hAnsi="Times New Roman" w:cs="Times New Roman"/>
          <w:sz w:val="18"/>
          <w:szCs w:val="18"/>
        </w:rPr>
        <w:footnoteRef/>
      </w:r>
      <w:r w:rsidRPr="004349AF">
        <w:rPr>
          <w:rFonts w:ascii="Times New Roman" w:hAnsi="Times New Roman" w:cs="Times New Roman"/>
          <w:sz w:val="18"/>
          <w:szCs w:val="18"/>
        </w:rPr>
        <w:t xml:space="preserve"> </w:t>
      </w:r>
      <w:r>
        <w:rPr>
          <w:rFonts w:ascii="Times New Roman" w:hAnsi="Times New Roman" w:cs="Times New Roman"/>
          <w:sz w:val="18"/>
          <w:szCs w:val="18"/>
        </w:rPr>
        <w:t xml:space="preserve">Esamą pastatų fondą sudaro </w:t>
      </w:r>
      <w:r>
        <w:rPr>
          <w:rFonts w:ascii="Times New Roman" w:hAnsi="Times New Roman" w:cs="Times New Roman"/>
          <w:color w:val="000000" w:themeColor="text1"/>
          <w:sz w:val="18"/>
          <w:szCs w:val="18"/>
        </w:rPr>
        <w:t>iki 2020 m. pabaigos pastatyti pastatai</w:t>
      </w:r>
    </w:p>
  </w:footnote>
  <w:footnote w:id="42">
    <w:p w14:paraId="77DDF765" w14:textId="733BE7EB" w:rsidR="003E0C4E" w:rsidRPr="002D2026" w:rsidRDefault="003E0C4E">
      <w:pPr>
        <w:pStyle w:val="FootnoteText"/>
        <w:rPr>
          <w:rFonts w:ascii="Times New Roman" w:hAnsi="Times New Roman" w:cs="Times New Roman"/>
          <w:sz w:val="18"/>
          <w:szCs w:val="18"/>
        </w:rPr>
      </w:pPr>
      <w:r w:rsidRPr="002D2026">
        <w:rPr>
          <w:rStyle w:val="FootnoteReference"/>
          <w:rFonts w:ascii="Times New Roman" w:hAnsi="Times New Roman" w:cs="Times New Roman"/>
          <w:sz w:val="18"/>
          <w:szCs w:val="18"/>
        </w:rPr>
        <w:footnoteRef/>
      </w:r>
      <w:r w:rsidRPr="002D2026">
        <w:rPr>
          <w:rFonts w:ascii="Times New Roman" w:hAnsi="Times New Roman" w:cs="Times New Roman"/>
          <w:sz w:val="18"/>
          <w:szCs w:val="18"/>
        </w:rPr>
        <w:t xml:space="preserve"> Investicijų skaičiavimai apima tik pastatuose taikomas priemones, t.y. neapima investicijų</w:t>
      </w:r>
      <w:r>
        <w:rPr>
          <w:rFonts w:ascii="Times New Roman" w:hAnsi="Times New Roman" w:cs="Times New Roman"/>
          <w:sz w:val="18"/>
          <w:szCs w:val="18"/>
        </w:rPr>
        <w:t xml:space="preserve"> energetikos</w:t>
      </w:r>
      <w:r w:rsidRPr="002D2026">
        <w:rPr>
          <w:rFonts w:ascii="Times New Roman" w:hAnsi="Times New Roman" w:cs="Times New Roman"/>
          <w:sz w:val="18"/>
          <w:szCs w:val="18"/>
        </w:rPr>
        <w:t xml:space="preserve"> sektori</w:t>
      </w:r>
      <w:r>
        <w:rPr>
          <w:rFonts w:ascii="Times New Roman" w:hAnsi="Times New Roman" w:cs="Times New Roman"/>
          <w:sz w:val="18"/>
          <w:szCs w:val="18"/>
        </w:rPr>
        <w:t>aus</w:t>
      </w:r>
      <w:r w:rsidRPr="002D2026">
        <w:rPr>
          <w:rFonts w:ascii="Times New Roman" w:hAnsi="Times New Roman" w:cs="Times New Roman"/>
          <w:sz w:val="18"/>
          <w:szCs w:val="18"/>
        </w:rPr>
        <w:t xml:space="preserve"> transformacijai.</w:t>
      </w:r>
    </w:p>
  </w:footnote>
  <w:footnote w:id="43">
    <w:p w14:paraId="0BCEB51A" w14:textId="2E422EA7" w:rsidR="003E0C4E" w:rsidRDefault="003E0C4E" w:rsidP="00771A41">
      <w:pPr>
        <w:jc w:val="both"/>
        <w:rPr>
          <w:rFonts w:ascii="Times New Roman" w:hAnsi="Times New Roman"/>
          <w:color w:val="000000" w:themeColor="text1"/>
          <w:szCs w:val="22"/>
        </w:rPr>
      </w:pPr>
      <w:r>
        <w:rPr>
          <w:rStyle w:val="FootnoteReference"/>
        </w:rPr>
        <w:footnoteRef/>
      </w:r>
      <w:r>
        <w:t xml:space="preserve"> </w:t>
      </w:r>
      <w:r w:rsidRPr="00771A41">
        <w:rPr>
          <w:rFonts w:ascii="Times New Roman" w:hAnsi="Times New Roman"/>
          <w:color w:val="000000" w:themeColor="text1"/>
          <w:sz w:val="18"/>
          <w:szCs w:val="22"/>
        </w:rPr>
        <w:t xml:space="preserve">Daugiabučių namų renovacijoje šiuo metu kuriami instrumentai </w:t>
      </w:r>
      <w:r>
        <w:rPr>
          <w:rFonts w:ascii="Times New Roman" w:hAnsi="Times New Roman"/>
          <w:color w:val="000000" w:themeColor="text1"/>
          <w:sz w:val="18"/>
          <w:szCs w:val="22"/>
        </w:rPr>
        <w:t>su 1:5 sverto efektu</w:t>
      </w:r>
      <w:r w:rsidRPr="00771A41">
        <w:rPr>
          <w:rFonts w:ascii="Times New Roman" w:hAnsi="Times New Roman"/>
          <w:color w:val="000000" w:themeColor="text1"/>
          <w:sz w:val="18"/>
          <w:szCs w:val="22"/>
        </w:rPr>
        <w:t xml:space="preserve">, t.y. </w:t>
      </w:r>
      <w:r>
        <w:rPr>
          <w:rFonts w:ascii="Times New Roman" w:hAnsi="Times New Roman"/>
          <w:color w:val="000000" w:themeColor="text1"/>
          <w:sz w:val="18"/>
          <w:szCs w:val="22"/>
        </w:rPr>
        <w:t xml:space="preserve">siekiama, kad </w:t>
      </w:r>
      <w:r w:rsidRPr="00771A41">
        <w:rPr>
          <w:rFonts w:ascii="Times New Roman" w:hAnsi="Times New Roman"/>
          <w:color w:val="000000" w:themeColor="text1"/>
          <w:sz w:val="18"/>
          <w:szCs w:val="22"/>
        </w:rPr>
        <w:t>kiekvienas</w:t>
      </w:r>
      <w:r>
        <w:rPr>
          <w:rFonts w:ascii="Times New Roman" w:hAnsi="Times New Roman"/>
          <w:color w:val="000000" w:themeColor="text1"/>
          <w:sz w:val="18"/>
          <w:szCs w:val="22"/>
        </w:rPr>
        <w:t xml:space="preserve"> viešų finansų</w:t>
      </w:r>
      <w:r w:rsidRPr="00771A41">
        <w:rPr>
          <w:rFonts w:ascii="Times New Roman" w:hAnsi="Times New Roman"/>
          <w:color w:val="000000" w:themeColor="text1"/>
          <w:sz w:val="18"/>
          <w:szCs w:val="22"/>
        </w:rPr>
        <w:t xml:space="preserve"> euras, </w:t>
      </w:r>
      <w:r>
        <w:rPr>
          <w:rFonts w:ascii="Times New Roman" w:hAnsi="Times New Roman"/>
          <w:color w:val="000000" w:themeColor="text1"/>
          <w:sz w:val="18"/>
          <w:szCs w:val="22"/>
        </w:rPr>
        <w:t xml:space="preserve"> </w:t>
      </w:r>
      <w:r w:rsidRPr="00771A41">
        <w:rPr>
          <w:rFonts w:ascii="Times New Roman" w:hAnsi="Times New Roman"/>
          <w:color w:val="000000" w:themeColor="text1"/>
          <w:sz w:val="18"/>
          <w:szCs w:val="22"/>
        </w:rPr>
        <w:t>pritrauk</w:t>
      </w:r>
      <w:r>
        <w:rPr>
          <w:rFonts w:ascii="Times New Roman" w:hAnsi="Times New Roman"/>
          <w:color w:val="000000" w:themeColor="text1"/>
          <w:sz w:val="18"/>
          <w:szCs w:val="22"/>
        </w:rPr>
        <w:t>tų</w:t>
      </w:r>
      <w:r w:rsidRPr="00771A41">
        <w:rPr>
          <w:rFonts w:ascii="Times New Roman" w:hAnsi="Times New Roman"/>
          <w:color w:val="000000" w:themeColor="text1"/>
          <w:sz w:val="18"/>
          <w:szCs w:val="22"/>
        </w:rPr>
        <w:t xml:space="preserve"> 5 eurus iš privataus sektoriaus ar kitų trečiųjų šalių.</w:t>
      </w:r>
    </w:p>
    <w:p w14:paraId="56ACCCAB" w14:textId="02475198" w:rsidR="003E0C4E" w:rsidRDefault="003E0C4E">
      <w:pPr>
        <w:pStyle w:val="FootnoteText"/>
      </w:pPr>
    </w:p>
  </w:footnote>
  <w:footnote w:id="44">
    <w:p w14:paraId="466AB0D7" w14:textId="77777777" w:rsidR="003E0C4E" w:rsidRPr="00B2654A" w:rsidRDefault="003E0C4E" w:rsidP="003A0129">
      <w:pPr>
        <w:pStyle w:val="FootnoteText"/>
        <w:rPr>
          <w:rFonts w:ascii="Times New Roman" w:hAnsi="Times New Roman" w:cs="Times New Roman"/>
          <w:color w:val="0070C0"/>
          <w:sz w:val="18"/>
          <w:szCs w:val="18"/>
        </w:rPr>
      </w:pPr>
      <w:r w:rsidRPr="00E51347">
        <w:rPr>
          <w:rStyle w:val="FootnoteReference"/>
          <w:rFonts w:ascii="Times New Roman" w:hAnsi="Times New Roman" w:cs="Times New Roman"/>
          <w:sz w:val="18"/>
          <w:szCs w:val="18"/>
        </w:rPr>
        <w:footnoteRef/>
      </w:r>
      <w:r w:rsidRPr="00E51347">
        <w:rPr>
          <w:rFonts w:ascii="Times New Roman" w:hAnsi="Times New Roman" w:cs="Times New Roman"/>
          <w:sz w:val="18"/>
          <w:szCs w:val="18"/>
        </w:rPr>
        <w:t xml:space="preserve"> </w:t>
      </w:r>
      <w:hyperlink r:id="rId21" w:history="1">
        <w:r w:rsidRPr="00B2654A">
          <w:rPr>
            <w:rStyle w:val="Hyperlink"/>
            <w:rFonts w:ascii="Times New Roman" w:hAnsi="Times New Roman" w:cs="Times New Roman"/>
            <w:color w:val="0070C0"/>
            <w:sz w:val="18"/>
            <w:szCs w:val="18"/>
          </w:rPr>
          <w:t>https://www.embuild.eu/knowledge-center/wider-benefits/</w:t>
        </w:r>
      </w:hyperlink>
      <w:r w:rsidRPr="00B2654A">
        <w:rPr>
          <w:rFonts w:ascii="Times New Roman" w:hAnsi="Times New Roman" w:cs="Times New Roman"/>
          <w:color w:val="0070C0"/>
          <w:sz w:val="18"/>
          <w:szCs w:val="18"/>
        </w:rPr>
        <w:t xml:space="preserve"> </w:t>
      </w:r>
    </w:p>
  </w:footnote>
  <w:footnote w:id="45">
    <w:p w14:paraId="0D5BB303" w14:textId="50AFD857" w:rsidR="003E0C4E" w:rsidRPr="00E51347" w:rsidRDefault="003E0C4E">
      <w:pPr>
        <w:pStyle w:val="FootnoteText"/>
        <w:rPr>
          <w:sz w:val="18"/>
          <w:szCs w:val="18"/>
        </w:rPr>
      </w:pPr>
      <w:r w:rsidRPr="00E51347">
        <w:rPr>
          <w:rStyle w:val="FootnoteReference"/>
          <w:rFonts w:ascii="Times New Roman" w:hAnsi="Times New Roman" w:cs="Times New Roman"/>
          <w:sz w:val="18"/>
          <w:szCs w:val="18"/>
        </w:rPr>
        <w:footnoteRef/>
      </w:r>
      <w:r w:rsidRPr="00E51347">
        <w:rPr>
          <w:rFonts w:ascii="Times New Roman" w:hAnsi="Times New Roman" w:cs="Times New Roman"/>
          <w:sz w:val="18"/>
          <w:szCs w:val="18"/>
        </w:rPr>
        <w:t xml:space="preserve"> Nediskontuota vertė</w:t>
      </w:r>
      <w:r w:rsidRPr="00E51347">
        <w:rPr>
          <w:sz w:val="18"/>
          <w:szCs w:val="18"/>
        </w:rPr>
        <w:t xml:space="preserve"> </w:t>
      </w:r>
    </w:p>
  </w:footnote>
  <w:footnote w:id="46">
    <w:p w14:paraId="4E5A73D4" w14:textId="69F52675" w:rsidR="003E0C4E" w:rsidRDefault="003E0C4E">
      <w:pPr>
        <w:pStyle w:val="FootnoteText"/>
      </w:pPr>
      <w:r>
        <w:rPr>
          <w:rStyle w:val="FootnoteReference"/>
        </w:rPr>
        <w:footnoteRef/>
      </w:r>
      <w:r>
        <w:t xml:space="preserve"> </w:t>
      </w:r>
      <w:hyperlink r:id="rId22" w:history="1">
        <w:r w:rsidRPr="00B2654A">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p>
  </w:footnote>
  <w:footnote w:id="47">
    <w:p w14:paraId="7EB1C335" w14:textId="77777777" w:rsidR="003E0C4E" w:rsidRPr="00D30415" w:rsidRDefault="003E0C4E" w:rsidP="00DD52F8">
      <w:pPr>
        <w:pStyle w:val="FootnoteText"/>
        <w:rPr>
          <w:rFonts w:ascii="Times New Roman" w:hAnsi="Times New Roman" w:cs="Times New Roman"/>
          <w:sz w:val="18"/>
          <w:szCs w:val="18"/>
        </w:rPr>
      </w:pPr>
      <w:r w:rsidRPr="00D30415">
        <w:rPr>
          <w:rStyle w:val="FootnoteReference"/>
          <w:rFonts w:ascii="Times New Roman" w:hAnsi="Times New Roman" w:cs="Times New Roman"/>
          <w:sz w:val="18"/>
          <w:szCs w:val="18"/>
        </w:rPr>
        <w:footnoteRef/>
      </w:r>
      <w:r w:rsidRPr="00D30415">
        <w:rPr>
          <w:rFonts w:ascii="Times New Roman" w:hAnsi="Times New Roman" w:cs="Times New Roman"/>
          <w:sz w:val="18"/>
          <w:szCs w:val="18"/>
        </w:rPr>
        <w:t xml:space="preserve"> </w:t>
      </w:r>
      <w:hyperlink r:id="rId23" w:history="1">
        <w:r w:rsidRPr="00B2654A">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p>
  </w:footnote>
  <w:footnote w:id="48">
    <w:p w14:paraId="5A8C3177" w14:textId="77777777" w:rsidR="003E0C4E" w:rsidRPr="00FB1A03" w:rsidRDefault="003E0C4E" w:rsidP="005E7B75">
      <w:pPr>
        <w:pStyle w:val="FootnoteText"/>
        <w:rPr>
          <w:rFonts w:ascii="Times New Roman" w:hAnsi="Times New Roman" w:cs="Times New Roman"/>
          <w:sz w:val="18"/>
          <w:szCs w:val="18"/>
        </w:rPr>
      </w:pPr>
      <w:r w:rsidRPr="00FB1A03">
        <w:rPr>
          <w:rStyle w:val="FootnoteReference"/>
          <w:rFonts w:ascii="Times New Roman" w:hAnsi="Times New Roman" w:cs="Times New Roman"/>
          <w:sz w:val="18"/>
          <w:szCs w:val="18"/>
        </w:rPr>
        <w:footnoteRef/>
      </w:r>
      <w:r w:rsidRPr="00FB1A03">
        <w:rPr>
          <w:rFonts w:ascii="Times New Roman" w:hAnsi="Times New Roman" w:cs="Times New Roman"/>
          <w:sz w:val="18"/>
          <w:szCs w:val="18"/>
        </w:rPr>
        <w:t xml:space="preserve"> </w:t>
      </w:r>
      <w:hyperlink r:id="rId24" w:history="1">
        <w:r w:rsidRPr="00B2654A">
          <w:rPr>
            <w:rStyle w:val="Hyperlink"/>
            <w:rFonts w:ascii="Times New Roman" w:hAnsi="Times New Roman" w:cs="Times New Roman"/>
            <w:color w:val="0070C0"/>
            <w:sz w:val="18"/>
            <w:szCs w:val="18"/>
          </w:rPr>
          <w:t>http://www.bpie.eu/publication/policy-paper-how-to-integrate-indoor-environmental-quality-within-national-long-term-renovation-strategies/</w:t>
        </w:r>
      </w:hyperlink>
      <w:r w:rsidRPr="00B2654A">
        <w:rPr>
          <w:rFonts w:ascii="Times New Roman" w:hAnsi="Times New Roman" w:cs="Times New Roman"/>
          <w:color w:val="0070C0"/>
          <w:sz w:val="18"/>
          <w:szCs w:val="18"/>
        </w:rPr>
        <w:t xml:space="preserve"> </w:t>
      </w:r>
    </w:p>
  </w:footnote>
  <w:footnote w:id="49">
    <w:p w14:paraId="4F528702" w14:textId="77777777" w:rsidR="003E0C4E" w:rsidRPr="009549D5" w:rsidRDefault="003E0C4E" w:rsidP="005E7B75">
      <w:pPr>
        <w:pStyle w:val="FootnoteText"/>
        <w:rPr>
          <w:rFonts w:ascii="Times New Roman" w:hAnsi="Times New Roman" w:cs="Times New Roman"/>
          <w:sz w:val="18"/>
          <w:szCs w:val="18"/>
        </w:rPr>
      </w:pPr>
      <w:r w:rsidRPr="009549D5">
        <w:rPr>
          <w:rStyle w:val="FootnoteReference"/>
          <w:rFonts w:ascii="Times New Roman" w:hAnsi="Times New Roman" w:cs="Times New Roman"/>
          <w:sz w:val="18"/>
          <w:szCs w:val="18"/>
        </w:rPr>
        <w:footnoteRef/>
      </w:r>
      <w:r w:rsidRPr="009549D5">
        <w:rPr>
          <w:rFonts w:ascii="Times New Roman" w:hAnsi="Times New Roman" w:cs="Times New Roman"/>
          <w:sz w:val="18"/>
          <w:szCs w:val="18"/>
        </w:rPr>
        <w:t xml:space="preserve"> </w:t>
      </w:r>
      <w:hyperlink r:id="rId25" w:history="1">
        <w:r w:rsidRPr="00E74393">
          <w:rPr>
            <w:rStyle w:val="Hyperlink"/>
            <w:rFonts w:ascii="Times New Roman" w:hAnsi="Times New Roman" w:cs="Times New Roman"/>
            <w:color w:val="0070C0"/>
            <w:sz w:val="18"/>
            <w:szCs w:val="18"/>
          </w:rPr>
          <w:t>https://www.copenhageneconomics.com/publications/publication/multiple-benefits-of-investing-in-energy-efficient-renovation-of-buildings</w:t>
        </w:r>
      </w:hyperlink>
      <w:r w:rsidRPr="00E74393">
        <w:rPr>
          <w:rFonts w:ascii="Times New Roman" w:hAnsi="Times New Roman" w:cs="Times New Roman"/>
          <w:color w:val="0070C0"/>
          <w:sz w:val="18"/>
          <w:szCs w:val="18"/>
        </w:rPr>
        <w:t xml:space="preserve"> </w:t>
      </w:r>
    </w:p>
  </w:footnote>
  <w:footnote w:id="50">
    <w:p w14:paraId="7C9D6D09" w14:textId="77777777" w:rsidR="003E0C4E" w:rsidRPr="00AB394F" w:rsidRDefault="003E0C4E" w:rsidP="00F36EC7">
      <w:pPr>
        <w:pStyle w:val="FootnoteText"/>
        <w:rPr>
          <w:rFonts w:ascii="Times New Roman" w:hAnsi="Times New Roman" w:cs="Times New Roman"/>
          <w:sz w:val="18"/>
          <w:szCs w:val="18"/>
        </w:rPr>
      </w:pPr>
      <w:r w:rsidRPr="00AB394F">
        <w:rPr>
          <w:rStyle w:val="FootnoteReference"/>
          <w:rFonts w:ascii="Times New Roman" w:hAnsi="Times New Roman" w:cs="Times New Roman"/>
          <w:sz w:val="18"/>
          <w:szCs w:val="18"/>
        </w:rPr>
        <w:footnoteRef/>
      </w:r>
      <w:r w:rsidRPr="00AB394F">
        <w:rPr>
          <w:rFonts w:ascii="Times New Roman" w:hAnsi="Times New Roman" w:cs="Times New Roman"/>
          <w:sz w:val="18"/>
          <w:szCs w:val="18"/>
        </w:rPr>
        <w:t xml:space="preserve"> </w:t>
      </w:r>
      <w:hyperlink r:id="rId26" w:history="1">
        <w:r w:rsidRPr="00E74393">
          <w:rPr>
            <w:rStyle w:val="Hyperlink"/>
            <w:rFonts w:ascii="Times New Roman" w:hAnsi="Times New Roman" w:cs="Times New Roman"/>
            <w:color w:val="0070C0"/>
            <w:sz w:val="18"/>
            <w:szCs w:val="18"/>
          </w:rPr>
          <w:t>https://www.ober-haus.lt/rinkos_apzvalga/nekilnojamojo-turto-kainos-2020-m-geguzes-men/</w:t>
        </w:r>
      </w:hyperlink>
      <w:r w:rsidRPr="00E74393">
        <w:rPr>
          <w:rFonts w:ascii="Times New Roman" w:hAnsi="Times New Roman" w:cs="Times New Roman"/>
          <w:color w:val="0070C0"/>
          <w:sz w:val="18"/>
          <w:szCs w:val="18"/>
        </w:rPr>
        <w:t xml:space="preserve"> </w:t>
      </w:r>
    </w:p>
  </w:footnote>
  <w:footnote w:id="51">
    <w:p w14:paraId="3E6CE642" w14:textId="77777777" w:rsidR="003E0C4E" w:rsidRPr="00AB394F" w:rsidRDefault="003E0C4E" w:rsidP="00F36EC7">
      <w:pPr>
        <w:pStyle w:val="FootnoteText"/>
        <w:rPr>
          <w:rFonts w:ascii="Times New Roman" w:hAnsi="Times New Roman" w:cs="Times New Roman"/>
          <w:sz w:val="18"/>
          <w:szCs w:val="18"/>
        </w:rPr>
      </w:pPr>
      <w:r w:rsidRPr="00AB394F">
        <w:rPr>
          <w:rStyle w:val="FootnoteReference"/>
          <w:rFonts w:ascii="Times New Roman" w:hAnsi="Times New Roman" w:cs="Times New Roman"/>
          <w:sz w:val="18"/>
          <w:szCs w:val="18"/>
        </w:rPr>
        <w:footnoteRef/>
      </w:r>
      <w:r w:rsidRPr="00AB394F">
        <w:rPr>
          <w:rFonts w:ascii="Times New Roman" w:hAnsi="Times New Roman" w:cs="Times New Roman"/>
          <w:sz w:val="18"/>
          <w:szCs w:val="18"/>
        </w:rPr>
        <w:t xml:space="preserve"> </w:t>
      </w:r>
      <w:hyperlink r:id="rId27" w:history="1">
        <w:r w:rsidRPr="00E74393">
          <w:rPr>
            <w:rStyle w:val="Hyperlink"/>
            <w:rFonts w:ascii="Times New Roman" w:hAnsi="Times New Roman" w:cs="Times New Roman"/>
            <w:color w:val="0070C0"/>
            <w:sz w:val="18"/>
            <w:szCs w:val="18"/>
          </w:rPr>
          <w:t>http://www.betalt.lt/veiklos-sritys/programos/daugiabuciu-namu-atnaujinimo-modernizavimo-programa/102?c-19/t-46</w:t>
        </w:r>
      </w:hyperlink>
      <w:r w:rsidRPr="00E74393">
        <w:rPr>
          <w:rFonts w:ascii="Times New Roman" w:hAnsi="Times New Roman" w:cs="Times New Roman"/>
          <w:color w:val="0070C0"/>
          <w:sz w:val="18"/>
          <w:szCs w:val="18"/>
        </w:rPr>
        <w:t xml:space="preserve"> </w:t>
      </w:r>
    </w:p>
  </w:footnote>
  <w:footnote w:id="52">
    <w:p w14:paraId="2365F14E" w14:textId="337DF5D1" w:rsidR="003E0C4E" w:rsidRPr="00BE115F" w:rsidRDefault="003E0C4E">
      <w:pPr>
        <w:pStyle w:val="FootnoteText"/>
        <w:rPr>
          <w:rFonts w:ascii="Times New Roman" w:hAnsi="Times New Roman" w:cs="Times New Roman"/>
          <w:i/>
          <w:iCs/>
          <w:color w:val="000000" w:themeColor="text1"/>
          <w:sz w:val="18"/>
          <w:szCs w:val="18"/>
          <w:lang w:val="en-US"/>
        </w:rPr>
      </w:pPr>
      <w:r w:rsidRPr="00BE115F">
        <w:rPr>
          <w:rStyle w:val="FootnoteReference"/>
          <w:rFonts w:ascii="Times New Roman" w:hAnsi="Times New Roman" w:cs="Times New Roman"/>
          <w:i/>
          <w:iCs/>
          <w:color w:val="000000" w:themeColor="text1"/>
          <w:sz w:val="18"/>
          <w:szCs w:val="18"/>
        </w:rPr>
        <w:footnoteRef/>
      </w:r>
      <w:r w:rsidRPr="00BE115F">
        <w:rPr>
          <w:rFonts w:ascii="Times New Roman" w:hAnsi="Times New Roman" w:cs="Times New Roman"/>
          <w:i/>
          <w:iCs/>
          <w:color w:val="000000" w:themeColor="text1"/>
          <w:sz w:val="18"/>
          <w:szCs w:val="18"/>
        </w:rPr>
        <w:t xml:space="preserve"> (</w:t>
      </w:r>
      <w:r w:rsidRPr="00BE115F">
        <w:rPr>
          <w:rStyle w:val="Emphasis"/>
          <w:rFonts w:ascii="Times New Roman" w:hAnsi="Times New Roman" w:cs="Times New Roman"/>
          <w:i w:val="0"/>
          <w:iCs w:val="0"/>
          <w:color w:val="000000" w:themeColor="text1"/>
          <w:spacing w:val="2"/>
          <w:sz w:val="18"/>
          <w:szCs w:val="18"/>
          <w:shd w:val="clear" w:color="auto" w:fill="FFFFFF"/>
        </w:rPr>
        <w:t>800 Eur - (122 Eur x 4)) x 10% = 31,2 Eur. Šią sumą viršijančios išlaidos bus kompensuojamos.</w:t>
      </w:r>
    </w:p>
  </w:footnote>
  <w:footnote w:id="53">
    <w:p w14:paraId="46D2EA36" w14:textId="77777777" w:rsidR="003E0C4E" w:rsidRPr="00D5468F" w:rsidRDefault="003E0C4E" w:rsidP="00DD1817">
      <w:pPr>
        <w:pStyle w:val="FootnoteText"/>
        <w:rPr>
          <w:rFonts w:ascii="Times New Roman" w:hAnsi="Times New Roman" w:cs="Times New Roman"/>
          <w:sz w:val="18"/>
          <w:szCs w:val="18"/>
        </w:rPr>
      </w:pPr>
      <w:r w:rsidRPr="00D5468F">
        <w:rPr>
          <w:rStyle w:val="FootnoteReference"/>
          <w:rFonts w:ascii="Times New Roman" w:hAnsi="Times New Roman" w:cs="Times New Roman"/>
          <w:sz w:val="18"/>
          <w:szCs w:val="18"/>
        </w:rPr>
        <w:footnoteRef/>
      </w:r>
      <w:r w:rsidRPr="00D5468F">
        <w:rPr>
          <w:rFonts w:ascii="Times New Roman" w:hAnsi="Times New Roman" w:cs="Times New Roman"/>
          <w:sz w:val="18"/>
          <w:szCs w:val="18"/>
        </w:rPr>
        <w:t xml:space="preserve"> </w:t>
      </w:r>
      <w:hyperlink r:id="rId28" w:history="1">
        <w:r w:rsidRPr="0050214C">
          <w:rPr>
            <w:rStyle w:val="Hyperlink"/>
            <w:rFonts w:ascii="Times New Roman" w:hAnsi="Times New Roman" w:cs="Times New Roman"/>
            <w:color w:val="0070C0"/>
            <w:sz w:val="18"/>
            <w:szCs w:val="18"/>
          </w:rPr>
          <w:t>http://bpie.eu/wp-content/uploads/2020/04/An-action-plan-for-the-renovation-wave_DIGITAL_final.pdf</w:t>
        </w:r>
      </w:hyperlink>
    </w:p>
  </w:footnote>
  <w:footnote w:id="54">
    <w:p w14:paraId="6444B493" w14:textId="77777777" w:rsidR="003E0C4E" w:rsidRPr="00917F11" w:rsidRDefault="003E0C4E" w:rsidP="00E37ED8">
      <w:pPr>
        <w:pStyle w:val="FootnoteText"/>
        <w:rPr>
          <w:rFonts w:ascii="Times New Roman" w:hAnsi="Times New Roman" w:cs="Times New Roman"/>
          <w:sz w:val="18"/>
          <w:szCs w:val="18"/>
        </w:rPr>
      </w:pPr>
      <w:r w:rsidRPr="00917F11">
        <w:rPr>
          <w:rStyle w:val="FootnoteReference"/>
          <w:rFonts w:ascii="Times New Roman" w:hAnsi="Times New Roman" w:cs="Times New Roman"/>
          <w:sz w:val="18"/>
          <w:szCs w:val="18"/>
        </w:rPr>
        <w:footnoteRef/>
      </w:r>
      <w:r w:rsidRPr="00917F11">
        <w:rPr>
          <w:rFonts w:ascii="Times New Roman" w:hAnsi="Times New Roman" w:cs="Times New Roman"/>
          <w:sz w:val="18"/>
          <w:szCs w:val="18"/>
        </w:rPr>
        <w:t xml:space="preserve"> Atskirai numatant jo įgyvendinimo</w:t>
      </w:r>
      <w:r>
        <w:rPr>
          <w:rFonts w:ascii="Times New Roman" w:hAnsi="Times New Roman" w:cs="Times New Roman"/>
          <w:sz w:val="18"/>
          <w:szCs w:val="18"/>
        </w:rPr>
        <w:t xml:space="preserve"> priemones.</w:t>
      </w:r>
    </w:p>
  </w:footnote>
  <w:footnote w:id="55">
    <w:p w14:paraId="41A21BB7" w14:textId="77777777" w:rsidR="003E0C4E" w:rsidRPr="00FA1F5A" w:rsidRDefault="003E0C4E" w:rsidP="00E00C6E">
      <w:pPr>
        <w:pStyle w:val="FootnoteText"/>
        <w:rPr>
          <w:rFonts w:ascii="Times New Roman" w:hAnsi="Times New Roman" w:cs="Times New Roman"/>
          <w:sz w:val="18"/>
          <w:szCs w:val="18"/>
        </w:rPr>
      </w:pPr>
      <w:r w:rsidRPr="00E02199">
        <w:rPr>
          <w:rStyle w:val="FootnoteReference"/>
          <w:rFonts w:ascii="Times New Roman" w:hAnsi="Times New Roman" w:cs="Times New Roman"/>
          <w:sz w:val="18"/>
          <w:szCs w:val="18"/>
        </w:rPr>
        <w:footnoteRef/>
      </w:r>
      <w:r w:rsidRPr="00E02199">
        <w:rPr>
          <w:rFonts w:ascii="Times New Roman" w:hAnsi="Times New Roman" w:cs="Times New Roman"/>
          <w:sz w:val="18"/>
          <w:szCs w:val="18"/>
        </w:rPr>
        <w:t xml:space="preserve"> PEND </w:t>
      </w:r>
      <w:r w:rsidRPr="00FA1F5A">
        <w:rPr>
          <w:rFonts w:ascii="Times New Roman" w:hAnsi="Times New Roman" w:cs="Times New Roman"/>
          <w:sz w:val="18"/>
          <w:szCs w:val="18"/>
        </w:rPr>
        <w:t>10 straipsnis.</w:t>
      </w:r>
    </w:p>
  </w:footnote>
  <w:footnote w:id="56">
    <w:p w14:paraId="1FFAB9C9" w14:textId="77777777" w:rsidR="003E0C4E" w:rsidRDefault="003E0C4E" w:rsidP="00E00C6E">
      <w:pPr>
        <w:pStyle w:val="FootnoteText"/>
      </w:pPr>
      <w:r w:rsidRPr="009A0B03">
        <w:rPr>
          <w:rStyle w:val="FootnoteReference"/>
          <w:rFonts w:ascii="Times New Roman" w:hAnsi="Times New Roman" w:cs="Times New Roman"/>
          <w:sz w:val="18"/>
        </w:rPr>
        <w:footnoteRef/>
      </w:r>
      <w:r w:rsidRPr="009A0B03">
        <w:rPr>
          <w:rFonts w:ascii="Times New Roman" w:hAnsi="Times New Roman" w:cs="Times New Roman"/>
          <w:sz w:val="18"/>
        </w:rPr>
        <w:t xml:space="preserve"> </w:t>
      </w:r>
      <w:r w:rsidRPr="009A0B03">
        <w:rPr>
          <w:rFonts w:ascii="Times New Roman" w:hAnsi="Times New Roman" w:cs="Times New Roman"/>
          <w:bCs/>
          <w:color w:val="000000" w:themeColor="text1"/>
          <w:sz w:val="18"/>
        </w:rPr>
        <w:t>PEND</w:t>
      </w:r>
      <w:r>
        <w:rPr>
          <w:rFonts w:ascii="Times New Roman" w:hAnsi="Times New Roman" w:cs="Times New Roman"/>
          <w:bCs/>
          <w:color w:val="000000" w:themeColor="text1"/>
          <w:sz w:val="18"/>
        </w:rPr>
        <w:t xml:space="preserve"> 2a straipsnio 1 dalies b, c punktai</w:t>
      </w:r>
    </w:p>
  </w:footnote>
  <w:footnote w:id="57">
    <w:p w14:paraId="3E31086F" w14:textId="3FBB6520" w:rsidR="008F114A" w:rsidRPr="008F114A" w:rsidRDefault="008F114A">
      <w:pPr>
        <w:pStyle w:val="FootnoteText"/>
        <w:rPr>
          <w:lang w:val="en-GB"/>
        </w:rPr>
      </w:pPr>
      <w:r>
        <w:rPr>
          <w:rStyle w:val="FootnoteReference"/>
        </w:rPr>
        <w:footnoteRef/>
      </w:r>
      <w:r>
        <w:t xml:space="preserve"> </w:t>
      </w:r>
      <w:hyperlink r:id="rId29" w:history="1">
        <w:r w:rsidRPr="00C075C1">
          <w:rPr>
            <w:rStyle w:val="Hyperlink"/>
            <w:sz w:val="18"/>
          </w:rPr>
          <w:t>Aplinkosaugininkai prašo renovuojant daugiabučius išsaugoti čiurlius | Lietuvos Respublikos aplinkos ministerija (lrv.lt)</w:t>
        </w:r>
      </w:hyperlink>
    </w:p>
  </w:footnote>
  <w:footnote w:id="58">
    <w:p w14:paraId="397FCFE2" w14:textId="77777777" w:rsidR="003E0C4E" w:rsidRPr="002569F6" w:rsidRDefault="003E0C4E" w:rsidP="007E0569">
      <w:pPr>
        <w:pStyle w:val="FootnoteText"/>
        <w:rPr>
          <w:rFonts w:ascii="Times New Roman" w:hAnsi="Times New Roman" w:cs="Times New Roman"/>
          <w:sz w:val="18"/>
          <w:szCs w:val="18"/>
        </w:rPr>
      </w:pPr>
      <w:r w:rsidRPr="002569F6">
        <w:rPr>
          <w:rStyle w:val="FootnoteReference"/>
          <w:rFonts w:ascii="Times New Roman" w:hAnsi="Times New Roman" w:cs="Times New Roman"/>
          <w:sz w:val="18"/>
          <w:szCs w:val="18"/>
        </w:rPr>
        <w:footnoteRef/>
      </w:r>
      <w:r w:rsidRPr="002569F6">
        <w:rPr>
          <w:rFonts w:ascii="Times New Roman" w:hAnsi="Times New Roman" w:cs="Times New Roman"/>
          <w:sz w:val="18"/>
          <w:szCs w:val="18"/>
        </w:rPr>
        <w:t xml:space="preserve"> Reglamentas (ES) Nr. 305/2011, kuriuo nustatomos suderintos statybos produktų rinkodaros sąlygos ir panaikinama Tarybos direktyva 89/106/EEB</w:t>
      </w:r>
    </w:p>
  </w:footnote>
  <w:footnote w:id="59">
    <w:p w14:paraId="4AC8A952" w14:textId="77777777" w:rsidR="003E0C4E" w:rsidRPr="007A304F" w:rsidRDefault="003E0C4E" w:rsidP="00C81905">
      <w:pPr>
        <w:jc w:val="both"/>
        <w:rPr>
          <w:rFonts w:ascii="Times New Roman" w:hAnsi="Times New Roman"/>
          <w:color w:val="000000" w:themeColor="text1"/>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sidRPr="007A304F">
        <w:rPr>
          <w:rFonts w:ascii="Times New Roman" w:hAnsi="Times New Roman"/>
          <w:color w:val="000000" w:themeColor="text1"/>
          <w:sz w:val="18"/>
          <w:szCs w:val="18"/>
        </w:rPr>
        <w:t>Daugiabučių namų renovacijoje šiuo metu kuriami instrumentai su 1:5 sverto efektu, t.y. siekiama, kad kiekvienas viešų finansų euras,  pritrauktų 5 eurus iš privataus sektoriaus ar kitų trečiųjų šalių.</w:t>
      </w:r>
    </w:p>
  </w:footnote>
  <w:footnote w:id="60">
    <w:p w14:paraId="0F147BD2" w14:textId="77777777" w:rsidR="003E0C4E" w:rsidRDefault="003E0C4E" w:rsidP="00C81905">
      <w:pPr>
        <w:pStyle w:val="FootnoteText"/>
      </w:pPr>
      <w:r w:rsidRPr="00642DB0">
        <w:rPr>
          <w:rStyle w:val="FootnoteReference"/>
          <w:rFonts w:ascii="Times New Roman" w:hAnsi="Times New Roman" w:cs="Times New Roman"/>
          <w:sz w:val="18"/>
        </w:rPr>
        <w:footnoteRef/>
      </w:r>
      <w:r w:rsidRPr="00642DB0">
        <w:rPr>
          <w:sz w:val="18"/>
        </w:rPr>
        <w:t xml:space="preserve"> </w:t>
      </w:r>
      <w:r w:rsidRPr="00642DB0">
        <w:rPr>
          <w:rFonts w:ascii="Times New Roman" w:eastAsia="Times New Roman" w:hAnsi="Times New Roman"/>
          <w:sz w:val="18"/>
          <w:szCs w:val="22"/>
          <w:lang w:eastAsia="lt-LT"/>
        </w:rPr>
        <w:t xml:space="preserve">Pakeitimo direktyvos 18 straipsnis įpareigoja valstybes nares kurti ESCO modelį įgalinančią įstatyminę ir informacinę aplinką ir gerinti mažo ir vidutinio dydžio įmonių įtraukimą į šią rinką. </w:t>
      </w:r>
    </w:p>
  </w:footnote>
  <w:footnote w:id="61">
    <w:p w14:paraId="1FDED047" w14:textId="77777777" w:rsidR="003E0C4E" w:rsidRPr="007A304F" w:rsidRDefault="003E0C4E" w:rsidP="00C81905">
      <w:pPr>
        <w:rPr>
          <w:rFonts w:ascii="Times New Roman" w:hAnsi="Times New Roman"/>
          <w:sz w:val="18"/>
          <w:szCs w:val="18"/>
        </w:rPr>
      </w:pPr>
      <w:r w:rsidRPr="00FA1F5A">
        <w:rPr>
          <w:rFonts w:ascii="Times New Roman" w:hAnsi="Times New Roman"/>
          <w:sz w:val="18"/>
          <w:szCs w:val="18"/>
          <w:vertAlign w:val="superscript"/>
        </w:rPr>
        <w:footnoteRef/>
      </w:r>
      <w:r w:rsidRPr="007A304F">
        <w:rPr>
          <w:rFonts w:ascii="Times New Roman" w:hAnsi="Times New Roman"/>
          <w:sz w:val="18"/>
          <w:szCs w:val="18"/>
        </w:rPr>
        <w:t xml:space="preserve"> </w:t>
      </w:r>
      <w:r>
        <w:rPr>
          <w:rFonts w:ascii="Times New Roman" w:hAnsi="Times New Roman"/>
          <w:sz w:val="18"/>
          <w:szCs w:val="18"/>
        </w:rPr>
        <w:t>EK</w:t>
      </w:r>
      <w:r w:rsidRPr="007A304F">
        <w:rPr>
          <w:rFonts w:ascii="Times New Roman" w:hAnsi="Times New Roman"/>
          <w:sz w:val="18"/>
          <w:szCs w:val="18"/>
        </w:rPr>
        <w:t xml:space="preserve"> Jungtinių tyrimų centr</w:t>
      </w:r>
      <w:r>
        <w:rPr>
          <w:rFonts w:ascii="Times New Roman" w:hAnsi="Times New Roman"/>
          <w:sz w:val="18"/>
          <w:szCs w:val="18"/>
        </w:rPr>
        <w:t>o</w:t>
      </w:r>
      <w:r w:rsidRPr="007A304F">
        <w:rPr>
          <w:rFonts w:ascii="Times New Roman" w:hAnsi="Times New Roman"/>
          <w:sz w:val="18"/>
          <w:szCs w:val="18"/>
        </w:rPr>
        <w:t xml:space="preserve"> (JRC) </w:t>
      </w:r>
      <w:r>
        <w:rPr>
          <w:rFonts w:ascii="Times New Roman" w:hAnsi="Times New Roman"/>
          <w:sz w:val="18"/>
          <w:szCs w:val="18"/>
        </w:rPr>
        <w:t xml:space="preserve">2019 m. </w:t>
      </w:r>
      <w:r w:rsidRPr="007A304F">
        <w:rPr>
          <w:rFonts w:ascii="Times New Roman" w:hAnsi="Times New Roman"/>
          <w:sz w:val="18"/>
          <w:szCs w:val="18"/>
        </w:rPr>
        <w:t>pareng</w:t>
      </w:r>
      <w:r>
        <w:rPr>
          <w:rFonts w:ascii="Times New Roman" w:hAnsi="Times New Roman"/>
          <w:sz w:val="18"/>
          <w:szCs w:val="18"/>
        </w:rPr>
        <w:t>tas</w:t>
      </w:r>
      <w:r w:rsidRPr="007A304F">
        <w:rPr>
          <w:rFonts w:ascii="Times New Roman" w:hAnsi="Times New Roman"/>
          <w:sz w:val="18"/>
          <w:szCs w:val="18"/>
        </w:rPr>
        <w:t xml:space="preserve"> Europos energetinių paslaugų rinkos įvertinimo ataskait</w:t>
      </w:r>
      <w:r>
        <w:rPr>
          <w:rFonts w:ascii="Times New Roman" w:hAnsi="Times New Roman"/>
          <w:sz w:val="18"/>
          <w:szCs w:val="18"/>
        </w:rPr>
        <w:t>a:</w:t>
      </w:r>
      <w:r>
        <w:rPr>
          <w:rFonts w:ascii="Times New Roman" w:hAnsi="Times New Roman"/>
          <w:sz w:val="18"/>
          <w:szCs w:val="18"/>
        </w:rPr>
        <w:br/>
      </w:r>
      <w:hyperlink r:id="rId30" w:history="1">
        <w:r w:rsidRPr="00B45D47">
          <w:rPr>
            <w:rStyle w:val="Hyperlink"/>
            <w:rFonts w:ascii="Times New Roman" w:hAnsi="Times New Roman"/>
            <w:sz w:val="18"/>
            <w:szCs w:val="18"/>
          </w:rPr>
          <w:t>http://publications.jrc.ec.europa.eu/repository/bitstream/JRC118815/jrc118815.pdf</w:t>
        </w:r>
      </w:hyperlink>
      <w:r>
        <w:rPr>
          <w:rFonts w:ascii="Times New Roman" w:hAnsi="Times New Roman"/>
          <w:sz w:val="18"/>
          <w:szCs w:val="18"/>
        </w:rPr>
        <w:t xml:space="preserve"> </w:t>
      </w:r>
    </w:p>
  </w:footnote>
  <w:footnote w:id="62">
    <w:p w14:paraId="3EABCD4A" w14:textId="77777777" w:rsidR="003E0C4E" w:rsidRPr="005431BB" w:rsidRDefault="003E0C4E" w:rsidP="005A0A11">
      <w:pPr>
        <w:pStyle w:val="FootnoteText"/>
        <w:rPr>
          <w:rFonts w:ascii="Times New Roman" w:hAnsi="Times New Roman" w:cs="Times New Roman"/>
          <w:sz w:val="18"/>
          <w:szCs w:val="18"/>
        </w:rPr>
      </w:pPr>
      <w:r w:rsidRPr="005431BB">
        <w:rPr>
          <w:rStyle w:val="FootnoteReference"/>
          <w:rFonts w:ascii="Times New Roman" w:hAnsi="Times New Roman" w:cs="Times New Roman"/>
          <w:sz w:val="18"/>
          <w:szCs w:val="18"/>
        </w:rPr>
        <w:footnoteRef/>
      </w:r>
      <w:r>
        <w:rPr>
          <w:rFonts w:ascii="Times New Roman" w:hAnsi="Times New Roman" w:cs="Times New Roman"/>
          <w:sz w:val="18"/>
          <w:szCs w:val="18"/>
        </w:rPr>
        <w:t xml:space="preserve"> </w:t>
      </w:r>
      <w:r w:rsidRPr="005431BB">
        <w:rPr>
          <w:rFonts w:ascii="Times New Roman" w:hAnsi="Times New Roman" w:cs="Times New Roman"/>
          <w:sz w:val="18"/>
          <w:szCs w:val="18"/>
        </w:rPr>
        <w:t>Valstybinio audito ataskaita „Daugiabučių namų atnaujinimas (modernizavimas)“, Valstybės kontrolė</w:t>
      </w:r>
    </w:p>
  </w:footnote>
  <w:footnote w:id="63">
    <w:p w14:paraId="4F1A8239" w14:textId="49269282" w:rsidR="003E0C4E" w:rsidRPr="004E2CC4" w:rsidRDefault="003E0C4E" w:rsidP="004E2CC4">
      <w:pPr>
        <w:jc w:val="both"/>
        <w:rPr>
          <w:rFonts w:ascii="Times New Roman" w:hAnsi="Times New Roman"/>
          <w:color w:val="000000" w:themeColor="text1"/>
          <w:sz w:val="18"/>
          <w:szCs w:val="22"/>
        </w:rPr>
      </w:pPr>
      <w:r>
        <w:rPr>
          <w:rStyle w:val="FootnoteReference"/>
        </w:rPr>
        <w:footnoteRef/>
      </w:r>
      <w:r>
        <w:t xml:space="preserve"> </w:t>
      </w:r>
      <w:r w:rsidRPr="004E2CC4">
        <w:rPr>
          <w:rFonts w:ascii="Times New Roman" w:hAnsi="Times New Roman"/>
          <w:color w:val="000000" w:themeColor="text1"/>
          <w:sz w:val="18"/>
          <w:szCs w:val="22"/>
        </w:rPr>
        <w:t xml:space="preserve">IRS apimtyje </w:t>
      </w:r>
      <w:r>
        <w:rPr>
          <w:rFonts w:ascii="Times New Roman" w:hAnsi="Times New Roman"/>
          <w:color w:val="000000" w:themeColor="text1"/>
          <w:sz w:val="18"/>
          <w:szCs w:val="22"/>
        </w:rPr>
        <w:t>vertinama</w:t>
      </w:r>
      <w:r w:rsidRPr="004E2CC4">
        <w:rPr>
          <w:rFonts w:ascii="Times New Roman" w:hAnsi="Times New Roman"/>
          <w:color w:val="000000" w:themeColor="text1"/>
          <w:sz w:val="18"/>
          <w:szCs w:val="22"/>
        </w:rPr>
        <w:t xml:space="preserve">, kad </w:t>
      </w:r>
      <w:r>
        <w:rPr>
          <w:rFonts w:ascii="Times New Roman" w:hAnsi="Times New Roman"/>
          <w:color w:val="000000" w:themeColor="text1"/>
          <w:sz w:val="18"/>
          <w:szCs w:val="22"/>
        </w:rPr>
        <w:t>elektros ir CŠT</w:t>
      </w:r>
      <w:r w:rsidRPr="004E2CC4">
        <w:rPr>
          <w:rFonts w:ascii="Times New Roman" w:hAnsi="Times New Roman"/>
          <w:color w:val="000000" w:themeColor="text1"/>
          <w:sz w:val="18"/>
          <w:szCs w:val="22"/>
        </w:rPr>
        <w:t xml:space="preserve"> sektoriai vystysis iškastinio kuro atsisa</w:t>
      </w:r>
      <w:r>
        <w:rPr>
          <w:rFonts w:ascii="Times New Roman" w:hAnsi="Times New Roman"/>
          <w:color w:val="000000" w:themeColor="text1"/>
          <w:sz w:val="18"/>
          <w:szCs w:val="22"/>
        </w:rPr>
        <w:t>kymo kryptimi (remiantis NENS)</w:t>
      </w:r>
    </w:p>
    <w:p w14:paraId="3E7F91A4" w14:textId="7B838902" w:rsidR="003E0C4E" w:rsidRDefault="003E0C4E">
      <w:pPr>
        <w:pStyle w:val="FootnoteText"/>
      </w:pPr>
    </w:p>
  </w:footnote>
  <w:footnote w:id="64">
    <w:p w14:paraId="76E393EC" w14:textId="77777777" w:rsidR="003E0C4E" w:rsidRPr="000C0E81" w:rsidRDefault="003E0C4E" w:rsidP="000B7529">
      <w:pPr>
        <w:pStyle w:val="FootnoteText"/>
        <w:rPr>
          <w:rFonts w:ascii="Times New Roman" w:hAnsi="Times New Roman" w:cs="Times New Roman"/>
          <w:sz w:val="18"/>
          <w:szCs w:val="18"/>
        </w:rPr>
      </w:pPr>
      <w:r w:rsidRPr="000C0E81">
        <w:rPr>
          <w:rStyle w:val="FootnoteReference"/>
          <w:rFonts w:ascii="Times New Roman" w:hAnsi="Times New Roman" w:cs="Times New Roman"/>
          <w:sz w:val="18"/>
          <w:szCs w:val="18"/>
        </w:rPr>
        <w:footnoteRef/>
      </w:r>
      <w:r w:rsidRPr="000C0E81">
        <w:rPr>
          <w:rFonts w:ascii="Times New Roman" w:hAnsi="Times New Roman" w:cs="Times New Roman"/>
          <w:sz w:val="18"/>
          <w:szCs w:val="18"/>
        </w:rPr>
        <w:t xml:space="preserve"> Iki NECP 2040 parengimo ir IRS atnaujinimo (žr. 14 etapą)</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pPr w:vertAnchor="page" w:horzAnchor="margin" w:tblpY="1248"/>
      <w:tblOverlap w:val="never"/>
      <w:tblW w:w="5000" w:type="pct"/>
      <w:tblBorders>
        <w:top w:val="single" w:sz="6" w:space="0" w:color="DC6900" w:themeColor="text2"/>
        <w:left w:val="single" w:sz="6" w:space="0" w:color="DC690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9298"/>
    </w:tblGrid>
    <w:tr w:rsidR="003E0C4E" w14:paraId="5D4A3D69" w14:textId="77777777">
      <w:trPr>
        <w:trHeight w:hRule="exact" w:val="227"/>
      </w:trPr>
      <w:tc>
        <w:tcPr>
          <w:tcW w:w="5000" w:type="pct"/>
        </w:tcPr>
        <w:p w14:paraId="4273532A" w14:textId="77777777" w:rsidR="003E0C4E" w:rsidRDefault="003E0C4E">
          <w:pPr>
            <w:rPr>
              <w:sz w:val="14"/>
              <w:szCs w:val="14"/>
            </w:rPr>
          </w:pPr>
        </w:p>
      </w:tc>
    </w:tr>
  </w:tbl>
  <w:p w14:paraId="0422C61B" w14:textId="77777777" w:rsidR="003E0C4E" w:rsidRDefault="003E0C4E">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72B35A" w14:textId="6B9956D7" w:rsidR="003E0C4E" w:rsidRDefault="003E0C4E" w:rsidP="009E357F">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3E0C4E" w14:paraId="74E7A159" w14:textId="77777777" w:rsidTr="00B12BA5">
      <w:tc>
        <w:tcPr>
          <w:tcW w:w="4941" w:type="dxa"/>
        </w:tcPr>
        <w:p w14:paraId="255746FC" w14:textId="1F388493" w:rsidR="003E0C4E" w:rsidRDefault="003E0C4E" w:rsidP="009E357F">
          <w:pPr>
            <w:tabs>
              <w:tab w:val="right" w:pos="4725"/>
            </w:tabs>
          </w:pPr>
          <w:r>
            <w:tab/>
          </w:r>
        </w:p>
      </w:tc>
      <w:tc>
        <w:tcPr>
          <w:tcW w:w="4942" w:type="dxa"/>
          <w:vAlign w:val="center"/>
        </w:tcPr>
        <w:p w14:paraId="204AE95F" w14:textId="3CDD97DD" w:rsidR="003E0C4E" w:rsidRDefault="003E0C4E" w:rsidP="009E357F"/>
      </w:tc>
    </w:tr>
  </w:tbl>
  <w:p w14:paraId="7525CA3E" w14:textId="77777777" w:rsidR="003E0C4E" w:rsidRDefault="003E0C4E" w:rsidP="009E357F">
    <w:pPr>
      <w:spacing w:line="240" w:lineRule="auto"/>
    </w:pPr>
    <w:r>
      <w:rPr>
        <w:noProof/>
        <w:lang w:eastAsia="lt-LT"/>
      </w:rPr>
      <mc:AlternateContent>
        <mc:Choice Requires="wps">
          <w:drawing>
            <wp:anchor distT="0" distB="0" distL="114300" distR="114300" simplePos="0" relativeHeight="251683328" behindDoc="1" locked="0" layoutInCell="1" allowOverlap="1" wp14:anchorId="1B8B07C0" wp14:editId="3FB50F3E">
              <wp:simplePos x="0" y="0"/>
              <wp:positionH relativeFrom="column">
                <wp:posOffset>940</wp:posOffset>
              </wp:positionH>
              <wp:positionV relativeFrom="paragraph">
                <wp:posOffset>102337</wp:posOffset>
              </wp:positionV>
              <wp:extent cx="6488582" cy="0"/>
              <wp:effectExtent l="0" t="0" r="0" b="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6DD0211B" id="_x0000_t32" coordsize="21600,21600" o:spt="32" o:oned="t" path="m,l21600,21600e" filled="f">
              <v:path arrowok="t" fillok="f" o:connecttype="none"/>
              <o:lock v:ext="edit" shapetype="t"/>
            </v:shapetype>
            <v:shape id="Straight Arrow Connector 85" o:spid="_x0000_s1026" type="#_x0000_t32" style="position:absolute;margin-left:.05pt;margin-top:8.05pt;width:510.9pt;height:0;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" strokecolor="gray [1629]"/>
          </w:pict>
        </mc:Fallback>
      </mc:AlternateContent>
    </w:r>
  </w:p>
  <w:p w14:paraId="0403D489" w14:textId="380F882A" w:rsidR="003E0C4E" w:rsidRPr="009E357F" w:rsidRDefault="003E0C4E" w:rsidP="009E357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6A1C99" w14:textId="77777777" w:rsidR="003E0C4E" w:rsidRDefault="003E0C4E" w:rsidP="00294B14">
    <w:pPr>
      <w:pStyle w:val="Header"/>
      <w:rPr>
        <w:rFonts w:ascii="Georgia" w:hAnsi="Georgia"/>
      </w:rPr>
    </w:pPr>
  </w:p>
  <w:p w14:paraId="13D7FCB7" w14:textId="77777777" w:rsidR="003E0C4E" w:rsidRDefault="003E0C4E" w:rsidP="00294B14">
    <w:pPr>
      <w:pStyle w:val="Header"/>
      <w:rPr>
        <w:rFonts w:ascii="Georgia" w:hAnsi="Georg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AA0BF" w14:textId="7DE98004" w:rsidR="003E0C4E" w:rsidRDefault="003E0C4E" w:rsidP="009D6E71">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3E0C4E" w14:paraId="10B9E9F9" w14:textId="77777777" w:rsidTr="00B12BA5">
      <w:tc>
        <w:tcPr>
          <w:tcW w:w="4941" w:type="dxa"/>
        </w:tcPr>
        <w:p w14:paraId="65558B23" w14:textId="0FA30469" w:rsidR="003E0C4E" w:rsidRDefault="003E0C4E" w:rsidP="009E357F">
          <w:pPr>
            <w:tabs>
              <w:tab w:val="right" w:pos="4725"/>
            </w:tabs>
          </w:pPr>
          <w:r>
            <w:tab/>
          </w:r>
        </w:p>
      </w:tc>
      <w:tc>
        <w:tcPr>
          <w:tcW w:w="4942" w:type="dxa"/>
          <w:vAlign w:val="center"/>
        </w:tcPr>
        <w:p w14:paraId="1DC7B00F" w14:textId="5A613429" w:rsidR="003E0C4E" w:rsidRDefault="003E0C4E" w:rsidP="009D6E71"/>
      </w:tc>
    </w:tr>
  </w:tbl>
  <w:p w14:paraId="4751A39D" w14:textId="77777777" w:rsidR="003E0C4E" w:rsidRDefault="003E0C4E" w:rsidP="009D6E71">
    <w:pPr>
      <w:spacing w:line="240" w:lineRule="auto"/>
    </w:pPr>
    <w:r>
      <w:rPr>
        <w:noProof/>
        <w:lang w:eastAsia="lt-LT"/>
      </w:rPr>
      <mc:AlternateContent>
        <mc:Choice Requires="wps">
          <w:drawing>
            <wp:anchor distT="0" distB="0" distL="114300" distR="114300" simplePos="0" relativeHeight="251679232" behindDoc="1" locked="0" layoutInCell="1" allowOverlap="1" wp14:anchorId="11786C9F" wp14:editId="53EBD478">
              <wp:simplePos x="0" y="0"/>
              <wp:positionH relativeFrom="column">
                <wp:posOffset>940</wp:posOffset>
              </wp:positionH>
              <wp:positionV relativeFrom="paragraph">
                <wp:posOffset>102337</wp:posOffset>
              </wp:positionV>
              <wp:extent cx="6488582" cy="0"/>
              <wp:effectExtent l="0" t="0" r="0" b="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7DD6DBFF" id="_x0000_t32" coordsize="21600,21600" o:spt="32" o:oned="t" path="m,l21600,21600e" filled="f">
              <v:path arrowok="t" fillok="f" o:connecttype="none"/>
              <o:lock v:ext="edit" shapetype="t"/>
            </v:shapetype>
            <v:shape id="Straight Arrow Connector 82" o:spid="_x0000_s1026" type="#_x0000_t32" style="position:absolute;margin-left:.05pt;margin-top:8.05pt;width:510.9pt;height:0;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" strokecolor="gray [1629]"/>
          </w:pict>
        </mc:Fallback>
      </mc:AlternateContent>
    </w:r>
  </w:p>
  <w:p w14:paraId="21FE93AE" w14:textId="77777777" w:rsidR="003E0C4E" w:rsidRPr="00C57850" w:rsidRDefault="003E0C4E" w:rsidP="009D6E7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FACAF4" w14:textId="77777777" w:rsidR="003E0C4E" w:rsidRDefault="003E0C4E" w:rsidP="00DD69C9">
    <w:pPr>
      <w:spacing w:line="240" w:lineRule="auto"/>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941"/>
      <w:gridCol w:w="4942"/>
    </w:tblGrid>
    <w:tr w:rsidR="003E0C4E" w14:paraId="402587F2" w14:textId="77777777" w:rsidTr="00E83496">
      <w:tc>
        <w:tcPr>
          <w:tcW w:w="4941" w:type="dxa"/>
        </w:tcPr>
        <w:p w14:paraId="6D48CB81" w14:textId="62577F10" w:rsidR="003E0C4E" w:rsidRDefault="003E0C4E" w:rsidP="00DD69C9">
          <w:pPr>
            <w:tabs>
              <w:tab w:val="right" w:pos="4725"/>
            </w:tabs>
          </w:pPr>
          <w:r>
            <w:tab/>
          </w:r>
        </w:p>
      </w:tc>
      <w:tc>
        <w:tcPr>
          <w:tcW w:w="4942" w:type="dxa"/>
          <w:vAlign w:val="center"/>
        </w:tcPr>
        <w:p w14:paraId="1CB3FE0A" w14:textId="1AE87183" w:rsidR="003E0C4E" w:rsidRDefault="003E0C4E" w:rsidP="00DD69C9"/>
      </w:tc>
    </w:tr>
  </w:tbl>
  <w:p w14:paraId="7ADD1F3C" w14:textId="77777777" w:rsidR="003E0C4E" w:rsidRDefault="003E0C4E" w:rsidP="00DD69C9">
    <w:pPr>
      <w:spacing w:line="240" w:lineRule="auto"/>
    </w:pPr>
    <w:r>
      <w:rPr>
        <w:noProof/>
        <w:lang w:eastAsia="lt-LT"/>
      </w:rPr>
      <mc:AlternateContent>
        <mc:Choice Requires="wps">
          <w:drawing>
            <wp:anchor distT="0" distB="0" distL="114300" distR="114300" simplePos="0" relativeHeight="251693568" behindDoc="1" locked="0" layoutInCell="1" allowOverlap="1" wp14:anchorId="4C2356D9" wp14:editId="02C78DEA">
              <wp:simplePos x="0" y="0"/>
              <wp:positionH relativeFrom="column">
                <wp:posOffset>940</wp:posOffset>
              </wp:positionH>
              <wp:positionV relativeFrom="paragraph">
                <wp:posOffset>102337</wp:posOffset>
              </wp:positionV>
              <wp:extent cx="6488582" cy="0"/>
              <wp:effectExtent l="0" t="0" r="0" b="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8582" cy="0"/>
                      </a:xfrm>
                      <a:prstGeom prst="straightConnector1">
                        <a:avLst/>
                      </a:prstGeom>
                      <a:noFill/>
                      <a:ln w="9525">
                        <a:solidFill>
                          <a:schemeClr val="tx1">
                            <a:lumMod val="50000"/>
                            <a:lumOff val="50000"/>
                          </a:schemeClr>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338B7D3D" id="_x0000_t32" coordsize="21600,21600" o:spt="32" o:oned="t" path="m,l21600,21600e" filled="f">
              <v:path arrowok="t" fillok="f" o:connecttype="none"/>
              <o:lock v:ext="edit" shapetype="t"/>
            </v:shapetype>
            <v:shape id="Straight Arrow Connector 50" o:spid="_x0000_s1026" type="#_x0000_t32" style="position:absolute;margin-left:.05pt;margin-top:8.05pt;width:510.9pt;height:0;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" strokecolor="gray [1629]"/>
          </w:pict>
        </mc:Fallback>
      </mc:AlternateContent>
    </w:r>
  </w:p>
  <w:p w14:paraId="43FC0863" w14:textId="4C15235F" w:rsidR="003E0C4E" w:rsidRPr="00DD69C9" w:rsidRDefault="003E0C4E" w:rsidP="00DD69C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D343C8" w14:textId="2A6D442F" w:rsidR="003E0C4E" w:rsidRDefault="003E0C4E" w:rsidP="00C57850">
    <w:pPr>
      <w:spacing w:line="240" w:lineRule="auto"/>
    </w:pPr>
    <w:bookmarkStart w:id="225" w:name="_Hlk51919088"/>
    <w:bookmarkStart w:id="226" w:name="_Hlk51919089"/>
  </w:p>
  <w:bookmarkEnd w:id="225"/>
  <w:bookmarkEnd w:id="226"/>
  <w:p w14:paraId="7478F2F3" w14:textId="27F27AD4" w:rsidR="003E0C4E" w:rsidRDefault="003E0C4E" w:rsidP="00FE28A3">
    <w:pPr>
      <w:spacing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894"/>
    <w:multiLevelType w:val="multilevel"/>
    <w:tmpl w:val="3A82E796"/>
    <w:styleLink w:val="Style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2D12C22"/>
    <w:multiLevelType w:val="hybridMultilevel"/>
    <w:tmpl w:val="CD2CC4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04125B66"/>
    <w:multiLevelType w:val="hybridMultilevel"/>
    <w:tmpl w:val="21F882FA"/>
    <w:lvl w:ilvl="0" w:tplc="04270001">
      <w:start w:val="1"/>
      <w:numFmt w:val="bullet"/>
      <w:lvlText w:val=""/>
      <w:lvlJc w:val="left"/>
      <w:pPr>
        <w:ind w:left="771" w:hanging="360"/>
      </w:pPr>
      <w:rPr>
        <w:rFonts w:ascii="Symbol" w:hAnsi="Symbol" w:hint="default"/>
      </w:rPr>
    </w:lvl>
    <w:lvl w:ilvl="1" w:tplc="04270003" w:tentative="1">
      <w:start w:val="1"/>
      <w:numFmt w:val="bullet"/>
      <w:lvlText w:val="o"/>
      <w:lvlJc w:val="left"/>
      <w:pPr>
        <w:ind w:left="1491" w:hanging="360"/>
      </w:pPr>
      <w:rPr>
        <w:rFonts w:ascii="Courier New" w:hAnsi="Courier New" w:cs="Courier New" w:hint="default"/>
      </w:rPr>
    </w:lvl>
    <w:lvl w:ilvl="2" w:tplc="04270005" w:tentative="1">
      <w:start w:val="1"/>
      <w:numFmt w:val="bullet"/>
      <w:lvlText w:val=""/>
      <w:lvlJc w:val="left"/>
      <w:pPr>
        <w:ind w:left="2211" w:hanging="360"/>
      </w:pPr>
      <w:rPr>
        <w:rFonts w:ascii="Wingdings" w:hAnsi="Wingdings" w:hint="default"/>
      </w:rPr>
    </w:lvl>
    <w:lvl w:ilvl="3" w:tplc="04270001" w:tentative="1">
      <w:start w:val="1"/>
      <w:numFmt w:val="bullet"/>
      <w:lvlText w:val=""/>
      <w:lvlJc w:val="left"/>
      <w:pPr>
        <w:ind w:left="2931" w:hanging="360"/>
      </w:pPr>
      <w:rPr>
        <w:rFonts w:ascii="Symbol" w:hAnsi="Symbol" w:hint="default"/>
      </w:rPr>
    </w:lvl>
    <w:lvl w:ilvl="4" w:tplc="04270003" w:tentative="1">
      <w:start w:val="1"/>
      <w:numFmt w:val="bullet"/>
      <w:lvlText w:val="o"/>
      <w:lvlJc w:val="left"/>
      <w:pPr>
        <w:ind w:left="3651" w:hanging="360"/>
      </w:pPr>
      <w:rPr>
        <w:rFonts w:ascii="Courier New" w:hAnsi="Courier New" w:cs="Courier New" w:hint="default"/>
      </w:rPr>
    </w:lvl>
    <w:lvl w:ilvl="5" w:tplc="04270005" w:tentative="1">
      <w:start w:val="1"/>
      <w:numFmt w:val="bullet"/>
      <w:lvlText w:val=""/>
      <w:lvlJc w:val="left"/>
      <w:pPr>
        <w:ind w:left="4371" w:hanging="360"/>
      </w:pPr>
      <w:rPr>
        <w:rFonts w:ascii="Wingdings" w:hAnsi="Wingdings" w:hint="default"/>
      </w:rPr>
    </w:lvl>
    <w:lvl w:ilvl="6" w:tplc="04270001" w:tentative="1">
      <w:start w:val="1"/>
      <w:numFmt w:val="bullet"/>
      <w:lvlText w:val=""/>
      <w:lvlJc w:val="left"/>
      <w:pPr>
        <w:ind w:left="5091" w:hanging="360"/>
      </w:pPr>
      <w:rPr>
        <w:rFonts w:ascii="Symbol" w:hAnsi="Symbol" w:hint="default"/>
      </w:rPr>
    </w:lvl>
    <w:lvl w:ilvl="7" w:tplc="04270003" w:tentative="1">
      <w:start w:val="1"/>
      <w:numFmt w:val="bullet"/>
      <w:lvlText w:val="o"/>
      <w:lvlJc w:val="left"/>
      <w:pPr>
        <w:ind w:left="5811" w:hanging="360"/>
      </w:pPr>
      <w:rPr>
        <w:rFonts w:ascii="Courier New" w:hAnsi="Courier New" w:cs="Courier New" w:hint="default"/>
      </w:rPr>
    </w:lvl>
    <w:lvl w:ilvl="8" w:tplc="04270005" w:tentative="1">
      <w:start w:val="1"/>
      <w:numFmt w:val="bullet"/>
      <w:lvlText w:val=""/>
      <w:lvlJc w:val="left"/>
      <w:pPr>
        <w:ind w:left="6531" w:hanging="360"/>
      </w:pPr>
      <w:rPr>
        <w:rFonts w:ascii="Wingdings" w:hAnsi="Wingdings" w:hint="default"/>
      </w:rPr>
    </w:lvl>
  </w:abstractNum>
  <w:abstractNum w:abstractNumId="3">
    <w:nsid w:val="0546097D"/>
    <w:multiLevelType w:val="hybridMultilevel"/>
    <w:tmpl w:val="5B706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B467E7"/>
    <w:multiLevelType w:val="multilevel"/>
    <w:tmpl w:val="E104EA06"/>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930" w:hanging="504"/>
      </w:pPr>
      <w:rPr>
        <w:sz w:val="24"/>
        <w:szCs w:val="24"/>
      </w:rPr>
    </w:lvl>
    <w:lvl w:ilvl="3">
      <w:start w:val="1"/>
      <w:numFmt w:val="decimal"/>
      <w:lvlText w:val="%1.%2.%3.%4."/>
      <w:lvlJc w:val="left"/>
      <w:pPr>
        <w:ind w:left="1728" w:hanging="648"/>
      </w:pPr>
      <w:rPr>
        <w:sz w:val="24"/>
        <w:szCs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0707442E"/>
    <w:multiLevelType w:val="hybridMultilevel"/>
    <w:tmpl w:val="A79A6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07D530AE"/>
    <w:multiLevelType w:val="hybridMultilevel"/>
    <w:tmpl w:val="93BC249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7E51A22"/>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nsid w:val="0984408E"/>
    <w:multiLevelType w:val="multilevel"/>
    <w:tmpl w:val="EE3860A0"/>
    <w:name w:val="PwCListNumbers1"/>
    <w:styleLink w:val="PwCListNumbers1"/>
    <w:lvl w:ilvl="0">
      <w:start w:val="1"/>
      <w:numFmt w:val="decimal"/>
      <w:pStyle w:val="ListNumber"/>
      <w:lvlText w:val="%1."/>
      <w:lvlJc w:val="left"/>
      <w:pPr>
        <w:tabs>
          <w:tab w:val="num" w:pos="567"/>
        </w:tabs>
        <w:ind w:left="567" w:hanging="567"/>
      </w:pPr>
      <w:rPr>
        <w:rFonts w:hint="default"/>
      </w:rPr>
    </w:lvl>
    <w:lvl w:ilvl="1">
      <w:start w:val="1"/>
      <w:numFmt w:val="lowerLetter"/>
      <w:pStyle w:val="ListNumber2"/>
      <w:lvlText w:val="%2."/>
      <w:lvlJc w:val="left"/>
      <w:pPr>
        <w:tabs>
          <w:tab w:val="num" w:pos="1134"/>
        </w:tabs>
        <w:ind w:left="1134" w:hanging="567"/>
      </w:pPr>
      <w:rPr>
        <w:rFonts w:hint="default"/>
      </w:rPr>
    </w:lvl>
    <w:lvl w:ilvl="2">
      <w:start w:val="1"/>
      <w:numFmt w:val="lowerRoman"/>
      <w:pStyle w:val="ListNumber3"/>
      <w:lvlText w:val="%3."/>
      <w:lvlJc w:val="left"/>
      <w:pPr>
        <w:tabs>
          <w:tab w:val="num" w:pos="1701"/>
        </w:tabs>
        <w:ind w:left="1701" w:hanging="567"/>
      </w:pPr>
      <w:rPr>
        <w:rFonts w:hint="default"/>
      </w:rPr>
    </w:lvl>
    <w:lvl w:ilvl="3">
      <w:start w:val="1"/>
      <w:numFmt w:val="decimal"/>
      <w:pStyle w:val="ListNumber4"/>
      <w:lvlText w:val="%4."/>
      <w:lvlJc w:val="left"/>
      <w:pPr>
        <w:tabs>
          <w:tab w:val="num" w:pos="2268"/>
        </w:tabs>
        <w:ind w:left="2268" w:hanging="567"/>
      </w:pPr>
      <w:rPr>
        <w:rFonts w:hint="default"/>
      </w:rPr>
    </w:lvl>
    <w:lvl w:ilvl="4">
      <w:start w:val="1"/>
      <w:numFmt w:val="lowerLetter"/>
      <w:pStyle w:val="ListNumber5"/>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9">
    <w:nsid w:val="0BFB406B"/>
    <w:multiLevelType w:val="hybridMultilevel"/>
    <w:tmpl w:val="0AAEF84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0E2B2BAD"/>
    <w:multiLevelType w:val="hybridMultilevel"/>
    <w:tmpl w:val="A84A910C"/>
    <w:lvl w:ilvl="0" w:tplc="08090001">
      <w:start w:val="1"/>
      <w:numFmt w:val="bullet"/>
      <w:lvlText w:val=""/>
      <w:lvlJc w:val="left"/>
      <w:pPr>
        <w:ind w:left="720" w:hanging="360"/>
      </w:pPr>
      <w:rPr>
        <w:rFonts w:ascii="Symbol" w:hAnsi="Symbol" w:hint="default"/>
      </w:rPr>
    </w:lvl>
    <w:lvl w:ilvl="1" w:tplc="80CA5FB0">
      <w:start w:val="1"/>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0664857"/>
    <w:multiLevelType w:val="hybridMultilevel"/>
    <w:tmpl w:val="A91405F4"/>
    <w:lvl w:ilvl="0" w:tplc="0427000F">
      <w:start w:val="1"/>
      <w:numFmt w:val="decimal"/>
      <w:lvlText w:val="%1."/>
      <w:lvlJc w:val="left"/>
      <w:pPr>
        <w:ind w:left="720" w:hanging="360"/>
      </w:pPr>
    </w:lvl>
    <w:lvl w:ilvl="1" w:tplc="04270001">
      <w:start w:val="1"/>
      <w:numFmt w:val="bullet"/>
      <w:lvlText w:val=""/>
      <w:lvlJc w:val="left"/>
      <w:pPr>
        <w:ind w:left="1440" w:hanging="360"/>
      </w:pPr>
      <w:rPr>
        <w:rFonts w:ascii="Symbol" w:hAnsi="Symbol" w:hint="default"/>
      </w:rPr>
    </w:lvl>
    <w:lvl w:ilvl="2" w:tplc="0427001B">
      <w:start w:val="1"/>
      <w:numFmt w:val="lowerRoman"/>
      <w:lvlText w:val="%3."/>
      <w:lvlJc w:val="right"/>
      <w:pPr>
        <w:ind w:left="2160" w:hanging="180"/>
      </w:pPr>
    </w:lvl>
    <w:lvl w:ilvl="3" w:tplc="ABA69246">
      <w:start w:val="1"/>
      <w:numFmt w:val="lowerLetter"/>
      <w:lvlText w:val="%4)"/>
      <w:lvlJc w:val="left"/>
      <w:pPr>
        <w:ind w:left="2880" w:hanging="360"/>
      </w:pPr>
      <w:rPr>
        <w:rFonts w:hint="default"/>
      </w:rPr>
    </w:lvl>
    <w:lvl w:ilvl="4" w:tplc="DB84DC32">
      <w:start w:val="1"/>
      <w:numFmt w:val="upperLetter"/>
      <w:lvlText w:val="%5."/>
      <w:lvlJc w:val="left"/>
      <w:pPr>
        <w:ind w:left="3600" w:hanging="360"/>
      </w:pPr>
      <w:rPr>
        <w:rFonts w:hint="default"/>
        <w:color w:val="000000" w:themeColor="text1"/>
        <w:sz w:val="22"/>
      </w:r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nsid w:val="119C48A0"/>
    <w:multiLevelType w:val="hybridMultilevel"/>
    <w:tmpl w:val="F2CC3258"/>
    <w:lvl w:ilvl="0" w:tplc="2DA8D286">
      <w:start w:val="1"/>
      <w:numFmt w:val="lowerLetter"/>
      <w:lvlText w:val="%1)"/>
      <w:lvlJc w:val="left"/>
      <w:pPr>
        <w:ind w:left="411" w:hanging="360"/>
      </w:pPr>
      <w:rPr>
        <w:rFonts w:hint="default"/>
      </w:rPr>
    </w:lvl>
    <w:lvl w:ilvl="1" w:tplc="04270019" w:tentative="1">
      <w:start w:val="1"/>
      <w:numFmt w:val="lowerLetter"/>
      <w:lvlText w:val="%2."/>
      <w:lvlJc w:val="left"/>
      <w:pPr>
        <w:ind w:left="1131" w:hanging="360"/>
      </w:pPr>
    </w:lvl>
    <w:lvl w:ilvl="2" w:tplc="0427001B" w:tentative="1">
      <w:start w:val="1"/>
      <w:numFmt w:val="lowerRoman"/>
      <w:lvlText w:val="%3."/>
      <w:lvlJc w:val="right"/>
      <w:pPr>
        <w:ind w:left="1851" w:hanging="180"/>
      </w:pPr>
    </w:lvl>
    <w:lvl w:ilvl="3" w:tplc="0427000F" w:tentative="1">
      <w:start w:val="1"/>
      <w:numFmt w:val="decimal"/>
      <w:lvlText w:val="%4."/>
      <w:lvlJc w:val="left"/>
      <w:pPr>
        <w:ind w:left="2571" w:hanging="360"/>
      </w:pPr>
    </w:lvl>
    <w:lvl w:ilvl="4" w:tplc="04270019" w:tentative="1">
      <w:start w:val="1"/>
      <w:numFmt w:val="lowerLetter"/>
      <w:lvlText w:val="%5."/>
      <w:lvlJc w:val="left"/>
      <w:pPr>
        <w:ind w:left="3291" w:hanging="360"/>
      </w:pPr>
    </w:lvl>
    <w:lvl w:ilvl="5" w:tplc="0427001B" w:tentative="1">
      <w:start w:val="1"/>
      <w:numFmt w:val="lowerRoman"/>
      <w:lvlText w:val="%6."/>
      <w:lvlJc w:val="right"/>
      <w:pPr>
        <w:ind w:left="4011" w:hanging="180"/>
      </w:pPr>
    </w:lvl>
    <w:lvl w:ilvl="6" w:tplc="0427000F" w:tentative="1">
      <w:start w:val="1"/>
      <w:numFmt w:val="decimal"/>
      <w:lvlText w:val="%7."/>
      <w:lvlJc w:val="left"/>
      <w:pPr>
        <w:ind w:left="4731" w:hanging="360"/>
      </w:pPr>
    </w:lvl>
    <w:lvl w:ilvl="7" w:tplc="04270019" w:tentative="1">
      <w:start w:val="1"/>
      <w:numFmt w:val="lowerLetter"/>
      <w:lvlText w:val="%8."/>
      <w:lvlJc w:val="left"/>
      <w:pPr>
        <w:ind w:left="5451" w:hanging="360"/>
      </w:pPr>
    </w:lvl>
    <w:lvl w:ilvl="8" w:tplc="0427001B" w:tentative="1">
      <w:start w:val="1"/>
      <w:numFmt w:val="lowerRoman"/>
      <w:lvlText w:val="%9."/>
      <w:lvlJc w:val="right"/>
      <w:pPr>
        <w:ind w:left="6171" w:hanging="180"/>
      </w:pPr>
    </w:lvl>
  </w:abstractNum>
  <w:abstractNum w:abstractNumId="13">
    <w:nsid w:val="1394477F"/>
    <w:multiLevelType w:val="hybridMultilevel"/>
    <w:tmpl w:val="11043B76"/>
    <w:lvl w:ilvl="0" w:tplc="0409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nsid w:val="166849C4"/>
    <w:multiLevelType w:val="multilevel"/>
    <w:tmpl w:val="CD4C98AE"/>
    <w:name w:val="PwCListBullets12"/>
    <w:numStyleLink w:val="PwCListBullets1"/>
  </w:abstractNum>
  <w:abstractNum w:abstractNumId="15">
    <w:nsid w:val="16DB162E"/>
    <w:multiLevelType w:val="hybridMultilevel"/>
    <w:tmpl w:val="1160DDDA"/>
    <w:lvl w:ilvl="0" w:tplc="93AEE260">
      <w:start w:val="1"/>
      <w:numFmt w:val="decimal"/>
      <w:lvlText w:val="%1."/>
      <w:lvlJc w:val="left"/>
      <w:pPr>
        <w:ind w:left="720"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183C7397"/>
    <w:multiLevelType w:val="hybridMultilevel"/>
    <w:tmpl w:val="6F1C075C"/>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17">
    <w:nsid w:val="19022160"/>
    <w:multiLevelType w:val="hybridMultilevel"/>
    <w:tmpl w:val="2586E7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A695BCF"/>
    <w:multiLevelType w:val="hybridMultilevel"/>
    <w:tmpl w:val="C2FA9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B1C29D9"/>
    <w:multiLevelType w:val="hybridMultilevel"/>
    <w:tmpl w:val="440255F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1E0849F5"/>
    <w:multiLevelType w:val="multilevel"/>
    <w:tmpl w:val="EE3860A0"/>
    <w:name w:val="PwCListNumbers12"/>
    <w:numStyleLink w:val="PwCListNumbers1"/>
  </w:abstractNum>
  <w:abstractNum w:abstractNumId="21">
    <w:nsid w:val="1E637605"/>
    <w:multiLevelType w:val="hybridMultilevel"/>
    <w:tmpl w:val="CBDC55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EBD6E38"/>
    <w:multiLevelType w:val="hybridMultilevel"/>
    <w:tmpl w:val="6F6287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F4562F2"/>
    <w:multiLevelType w:val="hybridMultilevel"/>
    <w:tmpl w:val="30908D0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239D7C86"/>
    <w:multiLevelType w:val="hybridMultilevel"/>
    <w:tmpl w:val="D4F8C65E"/>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8442F5"/>
    <w:multiLevelType w:val="hybridMultilevel"/>
    <w:tmpl w:val="4176E00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28FD271E"/>
    <w:multiLevelType w:val="hybridMultilevel"/>
    <w:tmpl w:val="AC9A21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nsid w:val="2BAD542B"/>
    <w:multiLevelType w:val="hybridMultilevel"/>
    <w:tmpl w:val="9BEAC992"/>
    <w:lvl w:ilvl="0" w:tplc="04270001">
      <w:start w:val="1"/>
      <w:numFmt w:val="bullet"/>
      <w:lvlText w:val=""/>
      <w:lvlJc w:val="left"/>
      <w:pPr>
        <w:ind w:left="770" w:hanging="360"/>
      </w:pPr>
      <w:rPr>
        <w:rFonts w:ascii="Symbol" w:hAnsi="Symbol" w:hint="default"/>
      </w:rPr>
    </w:lvl>
    <w:lvl w:ilvl="1" w:tplc="04270003" w:tentative="1">
      <w:start w:val="1"/>
      <w:numFmt w:val="bullet"/>
      <w:lvlText w:val="o"/>
      <w:lvlJc w:val="left"/>
      <w:pPr>
        <w:ind w:left="1490" w:hanging="360"/>
      </w:pPr>
      <w:rPr>
        <w:rFonts w:ascii="Courier New" w:hAnsi="Courier New" w:cs="Courier New" w:hint="default"/>
      </w:rPr>
    </w:lvl>
    <w:lvl w:ilvl="2" w:tplc="04270005">
      <w:start w:val="1"/>
      <w:numFmt w:val="bullet"/>
      <w:lvlText w:val=""/>
      <w:lvlJc w:val="left"/>
      <w:pPr>
        <w:ind w:left="2210" w:hanging="360"/>
      </w:pPr>
      <w:rPr>
        <w:rFonts w:ascii="Wingdings" w:hAnsi="Wingdings" w:hint="default"/>
      </w:rPr>
    </w:lvl>
    <w:lvl w:ilvl="3" w:tplc="04270001" w:tentative="1">
      <w:start w:val="1"/>
      <w:numFmt w:val="bullet"/>
      <w:lvlText w:val=""/>
      <w:lvlJc w:val="left"/>
      <w:pPr>
        <w:ind w:left="2930" w:hanging="360"/>
      </w:pPr>
      <w:rPr>
        <w:rFonts w:ascii="Symbol" w:hAnsi="Symbol" w:hint="default"/>
      </w:rPr>
    </w:lvl>
    <w:lvl w:ilvl="4" w:tplc="04270003" w:tentative="1">
      <w:start w:val="1"/>
      <w:numFmt w:val="bullet"/>
      <w:lvlText w:val="o"/>
      <w:lvlJc w:val="left"/>
      <w:pPr>
        <w:ind w:left="3650" w:hanging="360"/>
      </w:pPr>
      <w:rPr>
        <w:rFonts w:ascii="Courier New" w:hAnsi="Courier New" w:cs="Courier New" w:hint="default"/>
      </w:rPr>
    </w:lvl>
    <w:lvl w:ilvl="5" w:tplc="04270005" w:tentative="1">
      <w:start w:val="1"/>
      <w:numFmt w:val="bullet"/>
      <w:lvlText w:val=""/>
      <w:lvlJc w:val="left"/>
      <w:pPr>
        <w:ind w:left="4370" w:hanging="360"/>
      </w:pPr>
      <w:rPr>
        <w:rFonts w:ascii="Wingdings" w:hAnsi="Wingdings" w:hint="default"/>
      </w:rPr>
    </w:lvl>
    <w:lvl w:ilvl="6" w:tplc="04270001" w:tentative="1">
      <w:start w:val="1"/>
      <w:numFmt w:val="bullet"/>
      <w:lvlText w:val=""/>
      <w:lvlJc w:val="left"/>
      <w:pPr>
        <w:ind w:left="5090" w:hanging="360"/>
      </w:pPr>
      <w:rPr>
        <w:rFonts w:ascii="Symbol" w:hAnsi="Symbol" w:hint="default"/>
      </w:rPr>
    </w:lvl>
    <w:lvl w:ilvl="7" w:tplc="04270003" w:tentative="1">
      <w:start w:val="1"/>
      <w:numFmt w:val="bullet"/>
      <w:lvlText w:val="o"/>
      <w:lvlJc w:val="left"/>
      <w:pPr>
        <w:ind w:left="5810" w:hanging="360"/>
      </w:pPr>
      <w:rPr>
        <w:rFonts w:ascii="Courier New" w:hAnsi="Courier New" w:cs="Courier New" w:hint="default"/>
      </w:rPr>
    </w:lvl>
    <w:lvl w:ilvl="8" w:tplc="04270005" w:tentative="1">
      <w:start w:val="1"/>
      <w:numFmt w:val="bullet"/>
      <w:lvlText w:val=""/>
      <w:lvlJc w:val="left"/>
      <w:pPr>
        <w:ind w:left="6530" w:hanging="360"/>
      </w:pPr>
      <w:rPr>
        <w:rFonts w:ascii="Wingdings" w:hAnsi="Wingdings" w:hint="default"/>
      </w:rPr>
    </w:lvl>
  </w:abstractNum>
  <w:abstractNum w:abstractNumId="28">
    <w:nsid w:val="2C0F644F"/>
    <w:multiLevelType w:val="hybridMultilevel"/>
    <w:tmpl w:val="DA86F4F6"/>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nsid w:val="2CB004C1"/>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34AD15BF"/>
    <w:multiLevelType w:val="hybridMultilevel"/>
    <w:tmpl w:val="C6CAE7E0"/>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352E56BF"/>
    <w:multiLevelType w:val="hybridMultilevel"/>
    <w:tmpl w:val="2F8C64A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nsid w:val="35B17E77"/>
    <w:multiLevelType w:val="hybridMultilevel"/>
    <w:tmpl w:val="E4726A3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37E46CF1"/>
    <w:multiLevelType w:val="hybridMultilevel"/>
    <w:tmpl w:val="3CC22838"/>
    <w:lvl w:ilvl="0" w:tplc="04270001">
      <w:start w:val="1"/>
      <w:numFmt w:val="bullet"/>
      <w:lvlText w:val=""/>
      <w:lvlJc w:val="left"/>
      <w:pPr>
        <w:ind w:left="720" w:hanging="360"/>
      </w:pPr>
      <w:rPr>
        <w:rFonts w:ascii="Symbol" w:hAnsi="Symbol"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4">
    <w:nsid w:val="38CE70EE"/>
    <w:multiLevelType w:val="hybridMultilevel"/>
    <w:tmpl w:val="61C8D1E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3A0504E6"/>
    <w:multiLevelType w:val="hybridMultilevel"/>
    <w:tmpl w:val="2C229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A4D572D"/>
    <w:multiLevelType w:val="hybridMultilevel"/>
    <w:tmpl w:val="48DED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3A57486E"/>
    <w:multiLevelType w:val="multilevel"/>
    <w:tmpl w:val="EE3860A0"/>
    <w:name w:val="PwCListNumbers13"/>
    <w:numStyleLink w:val="PwCListNumbers1"/>
  </w:abstractNum>
  <w:abstractNum w:abstractNumId="38">
    <w:nsid w:val="3B090AFF"/>
    <w:multiLevelType w:val="hybridMultilevel"/>
    <w:tmpl w:val="4D0AE918"/>
    <w:lvl w:ilvl="0" w:tplc="FFFFFFFF">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nsid w:val="3C3E5E6A"/>
    <w:multiLevelType w:val="hybridMultilevel"/>
    <w:tmpl w:val="B5A6280C"/>
    <w:lvl w:ilvl="0" w:tplc="467EE538">
      <w:start w:val="1"/>
      <w:numFmt w:val="bullet"/>
      <w:pStyle w:val="bullettrumpi"/>
      <w:lvlText w:val=""/>
      <w:lvlJc w:val="left"/>
      <w:pPr>
        <w:tabs>
          <w:tab w:val="num" w:pos="1003"/>
        </w:tabs>
        <w:ind w:left="1003" w:hanging="283"/>
      </w:pPr>
      <w:rPr>
        <w:rFonts w:ascii="Symbol" w:hAnsi="Symbol" w:hint="default"/>
        <w:color w:val="auto"/>
      </w:rPr>
    </w:lvl>
    <w:lvl w:ilvl="1" w:tplc="4A308060">
      <w:start w:val="1"/>
      <w:numFmt w:val="bullet"/>
      <w:lvlText w:val=""/>
      <w:lvlJc w:val="left"/>
      <w:pPr>
        <w:tabs>
          <w:tab w:val="num" w:pos="-77"/>
        </w:tabs>
        <w:ind w:left="-77" w:hanging="283"/>
      </w:pPr>
      <w:rPr>
        <w:rFonts w:ascii="Symbol" w:hAnsi="Symbol" w:hint="default"/>
        <w:color w:val="auto"/>
      </w:rPr>
    </w:lvl>
    <w:lvl w:ilvl="2" w:tplc="73B6A7C2">
      <w:start w:val="1"/>
      <w:numFmt w:val="lowerRoman"/>
      <w:pStyle w:val="Antrastes31"/>
      <w:lvlText w:val="%3."/>
      <w:lvlJc w:val="right"/>
      <w:pPr>
        <w:tabs>
          <w:tab w:val="num" w:pos="720"/>
        </w:tabs>
        <w:ind w:left="720" w:hanging="180"/>
      </w:pPr>
    </w:lvl>
    <w:lvl w:ilvl="3" w:tplc="2E62D1E0">
      <w:start w:val="1"/>
      <w:numFmt w:val="decimal"/>
      <w:lvlText w:val="%4."/>
      <w:lvlJc w:val="left"/>
      <w:pPr>
        <w:tabs>
          <w:tab w:val="num" w:pos="1440"/>
        </w:tabs>
        <w:ind w:left="1440" w:hanging="360"/>
      </w:pPr>
    </w:lvl>
    <w:lvl w:ilvl="4" w:tplc="37146030" w:tentative="1">
      <w:start w:val="1"/>
      <w:numFmt w:val="lowerLetter"/>
      <w:lvlText w:val="%5."/>
      <w:lvlJc w:val="left"/>
      <w:pPr>
        <w:tabs>
          <w:tab w:val="num" w:pos="2160"/>
        </w:tabs>
        <w:ind w:left="2160" w:hanging="360"/>
      </w:pPr>
    </w:lvl>
    <w:lvl w:ilvl="5" w:tplc="7D1C381A" w:tentative="1">
      <w:start w:val="1"/>
      <w:numFmt w:val="lowerRoman"/>
      <w:lvlText w:val="%6."/>
      <w:lvlJc w:val="right"/>
      <w:pPr>
        <w:tabs>
          <w:tab w:val="num" w:pos="2880"/>
        </w:tabs>
        <w:ind w:left="2880" w:hanging="180"/>
      </w:pPr>
    </w:lvl>
    <w:lvl w:ilvl="6" w:tplc="9BCE9652" w:tentative="1">
      <w:start w:val="1"/>
      <w:numFmt w:val="decimal"/>
      <w:lvlText w:val="%7."/>
      <w:lvlJc w:val="left"/>
      <w:pPr>
        <w:tabs>
          <w:tab w:val="num" w:pos="3600"/>
        </w:tabs>
        <w:ind w:left="3600" w:hanging="360"/>
      </w:pPr>
    </w:lvl>
    <w:lvl w:ilvl="7" w:tplc="74D6CB38" w:tentative="1">
      <w:start w:val="1"/>
      <w:numFmt w:val="lowerLetter"/>
      <w:lvlText w:val="%8."/>
      <w:lvlJc w:val="left"/>
      <w:pPr>
        <w:tabs>
          <w:tab w:val="num" w:pos="4320"/>
        </w:tabs>
        <w:ind w:left="4320" w:hanging="360"/>
      </w:pPr>
    </w:lvl>
    <w:lvl w:ilvl="8" w:tplc="AB0A1424" w:tentative="1">
      <w:start w:val="1"/>
      <w:numFmt w:val="lowerRoman"/>
      <w:lvlText w:val="%9."/>
      <w:lvlJc w:val="right"/>
      <w:pPr>
        <w:tabs>
          <w:tab w:val="num" w:pos="5040"/>
        </w:tabs>
        <w:ind w:left="5040" w:hanging="180"/>
      </w:pPr>
    </w:lvl>
  </w:abstractNum>
  <w:abstractNum w:abstractNumId="40">
    <w:nsid w:val="3D6F7DDE"/>
    <w:multiLevelType w:val="hybridMultilevel"/>
    <w:tmpl w:val="062C23DA"/>
    <w:lvl w:ilvl="0" w:tplc="3A8C66CC">
      <w:start w:val="1"/>
      <w:numFmt w:val="decimal"/>
      <w:lvlText w:val="%1."/>
      <w:lvlJc w:val="left"/>
      <w:pPr>
        <w:ind w:left="1431" w:hanging="360"/>
      </w:pPr>
      <w:rPr>
        <w:rFonts w:hint="default"/>
      </w:rPr>
    </w:lvl>
    <w:lvl w:ilvl="1" w:tplc="04270019" w:tentative="1">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41">
    <w:nsid w:val="3DDD1522"/>
    <w:multiLevelType w:val="hybridMultilevel"/>
    <w:tmpl w:val="B94640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nsid w:val="3DE409FA"/>
    <w:multiLevelType w:val="hybridMultilevel"/>
    <w:tmpl w:val="C5B2D4C0"/>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43">
    <w:nsid w:val="3F4C0DFD"/>
    <w:multiLevelType w:val="hybridMultilevel"/>
    <w:tmpl w:val="C1B4C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409436E2"/>
    <w:multiLevelType w:val="hybridMultilevel"/>
    <w:tmpl w:val="5BCADB2C"/>
    <w:lvl w:ilvl="0" w:tplc="04270001">
      <w:start w:val="1"/>
      <w:numFmt w:val="bullet"/>
      <w:lvlText w:val=""/>
      <w:lvlJc w:val="left"/>
      <w:pPr>
        <w:ind w:left="720" w:hanging="360"/>
      </w:pPr>
      <w:rPr>
        <w:rFonts w:ascii="Symbol" w:hAnsi="Symbol"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nsid w:val="40D160B4"/>
    <w:multiLevelType w:val="hybridMultilevel"/>
    <w:tmpl w:val="310E2E2A"/>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nsid w:val="419700EA"/>
    <w:multiLevelType w:val="hybridMultilevel"/>
    <w:tmpl w:val="63ECC0C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3717B09"/>
    <w:multiLevelType w:val="hybridMultilevel"/>
    <w:tmpl w:val="935E00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nsid w:val="44F35CF1"/>
    <w:multiLevelType w:val="hybridMultilevel"/>
    <w:tmpl w:val="B7AA9C4A"/>
    <w:lvl w:ilvl="0" w:tplc="0427000F">
      <w:start w:val="1"/>
      <w:numFmt w:val="decimal"/>
      <w:lvlText w:val="%1."/>
      <w:lvlJc w:val="left"/>
      <w:pPr>
        <w:ind w:left="1077" w:hanging="360"/>
      </w:pPr>
      <w:rPr>
        <w:rFont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9">
    <w:nsid w:val="45074E1B"/>
    <w:multiLevelType w:val="hybridMultilevel"/>
    <w:tmpl w:val="E5F6C92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0">
    <w:nsid w:val="45B20E47"/>
    <w:multiLevelType w:val="hybridMultilevel"/>
    <w:tmpl w:val="B31A901C"/>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463F34FC"/>
    <w:multiLevelType w:val="hybridMultilevel"/>
    <w:tmpl w:val="CD280B8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nsid w:val="48162C87"/>
    <w:multiLevelType w:val="hybridMultilevel"/>
    <w:tmpl w:val="5CF80D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3">
    <w:nsid w:val="48471322"/>
    <w:multiLevelType w:val="hybridMultilevel"/>
    <w:tmpl w:val="7124D20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4">
    <w:nsid w:val="4F7758AA"/>
    <w:multiLevelType w:val="hybridMultilevel"/>
    <w:tmpl w:val="92C04DA6"/>
    <w:lvl w:ilvl="0" w:tplc="04270001">
      <w:start w:val="1"/>
      <w:numFmt w:val="bullet"/>
      <w:lvlText w:val=""/>
      <w:lvlJc w:val="left"/>
      <w:pPr>
        <w:ind w:left="410" w:hanging="360"/>
      </w:pPr>
      <w:rPr>
        <w:rFonts w:ascii="Symbol" w:hAnsi="Symbol"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55">
    <w:nsid w:val="4F7920F2"/>
    <w:multiLevelType w:val="hybridMultilevel"/>
    <w:tmpl w:val="3F88BD1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6">
    <w:nsid w:val="504C37EF"/>
    <w:multiLevelType w:val="hybridMultilevel"/>
    <w:tmpl w:val="FA147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50D5548A"/>
    <w:multiLevelType w:val="hybridMultilevel"/>
    <w:tmpl w:val="12F0E366"/>
    <w:lvl w:ilvl="0" w:tplc="04090001">
      <w:start w:val="1"/>
      <w:numFmt w:val="bullet"/>
      <w:lvlText w:val=""/>
      <w:lvlJc w:val="left"/>
      <w:pPr>
        <w:ind w:left="720" w:hanging="360"/>
      </w:pPr>
      <w:rPr>
        <w:rFonts w:ascii="Symbol" w:hAnsi="Symbol" w:hint="default"/>
      </w:rPr>
    </w:lvl>
    <w:lvl w:ilvl="1" w:tplc="80CA5FB0">
      <w:start w:val="1"/>
      <w:numFmt w:val="bullet"/>
      <w:lvlText w:val="-"/>
      <w:lvlJc w:val="left"/>
      <w:pPr>
        <w:ind w:left="1440" w:hanging="360"/>
      </w:pPr>
      <w:rPr>
        <w:rFonts w:ascii="Calibri" w:eastAsiaTheme="minorHAnsi" w:hAnsi="Calibri" w:cs="Calibri"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5145794B"/>
    <w:multiLevelType w:val="hybridMultilevel"/>
    <w:tmpl w:val="E64EC24E"/>
    <w:lvl w:ilvl="0" w:tplc="04270001">
      <w:start w:val="1"/>
      <w:numFmt w:val="bullet"/>
      <w:lvlText w:val=""/>
      <w:lvlJc w:val="left"/>
      <w:pPr>
        <w:ind w:left="1080" w:hanging="360"/>
      </w:pPr>
      <w:rPr>
        <w:rFonts w:ascii="Symbol" w:hAnsi="Symbol"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59">
    <w:nsid w:val="51601A9C"/>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0">
    <w:nsid w:val="51D10236"/>
    <w:multiLevelType w:val="hybridMultilevel"/>
    <w:tmpl w:val="1004CFF6"/>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61">
    <w:nsid w:val="5DB71292"/>
    <w:multiLevelType w:val="hybridMultilevel"/>
    <w:tmpl w:val="1A14EA5C"/>
    <w:lvl w:ilvl="0" w:tplc="80CA5FB0">
      <w:start w:val="1"/>
      <w:numFmt w:val="bullet"/>
      <w:lvlText w:val="-"/>
      <w:lvlJc w:val="left"/>
      <w:pPr>
        <w:ind w:left="1431" w:hanging="360"/>
      </w:pPr>
      <w:rPr>
        <w:rFonts w:ascii="Calibri" w:eastAsiaTheme="minorHAnsi" w:hAnsi="Calibri" w:cs="Calibri" w:hint="default"/>
      </w:rPr>
    </w:lvl>
    <w:lvl w:ilvl="1" w:tplc="04270019">
      <w:start w:val="1"/>
      <w:numFmt w:val="lowerLetter"/>
      <w:lvlText w:val="%2."/>
      <w:lvlJc w:val="left"/>
      <w:pPr>
        <w:ind w:left="2151" w:hanging="360"/>
      </w:pPr>
    </w:lvl>
    <w:lvl w:ilvl="2" w:tplc="0427001B" w:tentative="1">
      <w:start w:val="1"/>
      <w:numFmt w:val="lowerRoman"/>
      <w:lvlText w:val="%3."/>
      <w:lvlJc w:val="right"/>
      <w:pPr>
        <w:ind w:left="2871" w:hanging="180"/>
      </w:pPr>
    </w:lvl>
    <w:lvl w:ilvl="3" w:tplc="0427000F" w:tentative="1">
      <w:start w:val="1"/>
      <w:numFmt w:val="decimal"/>
      <w:lvlText w:val="%4."/>
      <w:lvlJc w:val="left"/>
      <w:pPr>
        <w:ind w:left="3591" w:hanging="360"/>
      </w:pPr>
    </w:lvl>
    <w:lvl w:ilvl="4" w:tplc="04270019" w:tentative="1">
      <w:start w:val="1"/>
      <w:numFmt w:val="lowerLetter"/>
      <w:lvlText w:val="%5."/>
      <w:lvlJc w:val="left"/>
      <w:pPr>
        <w:ind w:left="4311" w:hanging="360"/>
      </w:pPr>
    </w:lvl>
    <w:lvl w:ilvl="5" w:tplc="0427001B" w:tentative="1">
      <w:start w:val="1"/>
      <w:numFmt w:val="lowerRoman"/>
      <w:lvlText w:val="%6."/>
      <w:lvlJc w:val="right"/>
      <w:pPr>
        <w:ind w:left="5031" w:hanging="180"/>
      </w:pPr>
    </w:lvl>
    <w:lvl w:ilvl="6" w:tplc="0427000F" w:tentative="1">
      <w:start w:val="1"/>
      <w:numFmt w:val="decimal"/>
      <w:lvlText w:val="%7."/>
      <w:lvlJc w:val="left"/>
      <w:pPr>
        <w:ind w:left="5751" w:hanging="360"/>
      </w:pPr>
    </w:lvl>
    <w:lvl w:ilvl="7" w:tplc="04270019" w:tentative="1">
      <w:start w:val="1"/>
      <w:numFmt w:val="lowerLetter"/>
      <w:lvlText w:val="%8."/>
      <w:lvlJc w:val="left"/>
      <w:pPr>
        <w:ind w:left="6471" w:hanging="360"/>
      </w:pPr>
    </w:lvl>
    <w:lvl w:ilvl="8" w:tplc="0427001B" w:tentative="1">
      <w:start w:val="1"/>
      <w:numFmt w:val="lowerRoman"/>
      <w:lvlText w:val="%9."/>
      <w:lvlJc w:val="right"/>
      <w:pPr>
        <w:ind w:left="7191" w:hanging="180"/>
      </w:pPr>
    </w:lvl>
  </w:abstractNum>
  <w:abstractNum w:abstractNumId="62">
    <w:nsid w:val="5E9252AF"/>
    <w:multiLevelType w:val="hybridMultilevel"/>
    <w:tmpl w:val="81FE4F7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3">
    <w:nsid w:val="60264DE1"/>
    <w:multiLevelType w:val="hybridMultilevel"/>
    <w:tmpl w:val="DCF8A18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A868C5"/>
    <w:multiLevelType w:val="multilevel"/>
    <w:tmpl w:val="49300BB8"/>
    <w:styleLink w:val="StyleBulleted7pt"/>
    <w:lvl w:ilvl="0">
      <w:start w:val="1"/>
      <w:numFmt w:val="bullet"/>
      <w:lvlText w:val=""/>
      <w:lvlJc w:val="left"/>
      <w:pPr>
        <w:tabs>
          <w:tab w:val="num" w:pos="397"/>
        </w:tabs>
        <w:ind w:left="397" w:hanging="397"/>
      </w:pPr>
      <w:rPr>
        <w:rFonts w:ascii="Symbol" w:hAnsi="Symbol" w:hint="default"/>
        <w:sz w:val="20"/>
      </w:rPr>
    </w:lvl>
    <w:lvl w:ilvl="1">
      <w:start w:val="1"/>
      <w:numFmt w:val="bullet"/>
      <w:lvlText w:val="o"/>
      <w:lvlJc w:val="left"/>
      <w:pPr>
        <w:tabs>
          <w:tab w:val="num" w:pos="567"/>
        </w:tabs>
        <w:ind w:left="567" w:hanging="283"/>
      </w:pPr>
      <w:rPr>
        <w:rFonts w:ascii="Courier New" w:hAnsi="Courier New" w:hint="default"/>
        <w:sz w:val="16"/>
      </w:rPr>
    </w:lvl>
    <w:lvl w:ilvl="2">
      <w:start w:val="1"/>
      <w:numFmt w:val="bullet"/>
      <w:lvlText w:val=""/>
      <w:lvlJc w:val="left"/>
      <w:pPr>
        <w:tabs>
          <w:tab w:val="num" w:pos="1134"/>
        </w:tabs>
        <w:ind w:left="1134" w:hanging="17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5">
    <w:nsid w:val="61D62A24"/>
    <w:multiLevelType w:val="hybridMultilevel"/>
    <w:tmpl w:val="B4BC35BE"/>
    <w:lvl w:ilvl="0" w:tplc="04270001">
      <w:start w:val="1"/>
      <w:numFmt w:val="bullet"/>
      <w:lvlText w:val=""/>
      <w:lvlJc w:val="left"/>
      <w:pPr>
        <w:ind w:left="771" w:hanging="360"/>
      </w:pPr>
      <w:rPr>
        <w:rFonts w:ascii="Symbol" w:hAnsi="Symbol" w:hint="default"/>
      </w:rPr>
    </w:lvl>
    <w:lvl w:ilvl="1" w:tplc="04270003" w:tentative="1">
      <w:start w:val="1"/>
      <w:numFmt w:val="bullet"/>
      <w:lvlText w:val="o"/>
      <w:lvlJc w:val="left"/>
      <w:pPr>
        <w:ind w:left="1491" w:hanging="360"/>
      </w:pPr>
      <w:rPr>
        <w:rFonts w:ascii="Courier New" w:hAnsi="Courier New" w:cs="Courier New" w:hint="default"/>
      </w:rPr>
    </w:lvl>
    <w:lvl w:ilvl="2" w:tplc="04270005" w:tentative="1">
      <w:start w:val="1"/>
      <w:numFmt w:val="bullet"/>
      <w:lvlText w:val=""/>
      <w:lvlJc w:val="left"/>
      <w:pPr>
        <w:ind w:left="2211" w:hanging="360"/>
      </w:pPr>
      <w:rPr>
        <w:rFonts w:ascii="Wingdings" w:hAnsi="Wingdings" w:hint="default"/>
      </w:rPr>
    </w:lvl>
    <w:lvl w:ilvl="3" w:tplc="04270001" w:tentative="1">
      <w:start w:val="1"/>
      <w:numFmt w:val="bullet"/>
      <w:lvlText w:val=""/>
      <w:lvlJc w:val="left"/>
      <w:pPr>
        <w:ind w:left="2931" w:hanging="360"/>
      </w:pPr>
      <w:rPr>
        <w:rFonts w:ascii="Symbol" w:hAnsi="Symbol" w:hint="default"/>
      </w:rPr>
    </w:lvl>
    <w:lvl w:ilvl="4" w:tplc="04270003" w:tentative="1">
      <w:start w:val="1"/>
      <w:numFmt w:val="bullet"/>
      <w:lvlText w:val="o"/>
      <w:lvlJc w:val="left"/>
      <w:pPr>
        <w:ind w:left="3651" w:hanging="360"/>
      </w:pPr>
      <w:rPr>
        <w:rFonts w:ascii="Courier New" w:hAnsi="Courier New" w:cs="Courier New" w:hint="default"/>
      </w:rPr>
    </w:lvl>
    <w:lvl w:ilvl="5" w:tplc="04270005" w:tentative="1">
      <w:start w:val="1"/>
      <w:numFmt w:val="bullet"/>
      <w:lvlText w:val=""/>
      <w:lvlJc w:val="left"/>
      <w:pPr>
        <w:ind w:left="4371" w:hanging="360"/>
      </w:pPr>
      <w:rPr>
        <w:rFonts w:ascii="Wingdings" w:hAnsi="Wingdings" w:hint="default"/>
      </w:rPr>
    </w:lvl>
    <w:lvl w:ilvl="6" w:tplc="04270001" w:tentative="1">
      <w:start w:val="1"/>
      <w:numFmt w:val="bullet"/>
      <w:lvlText w:val=""/>
      <w:lvlJc w:val="left"/>
      <w:pPr>
        <w:ind w:left="5091" w:hanging="360"/>
      </w:pPr>
      <w:rPr>
        <w:rFonts w:ascii="Symbol" w:hAnsi="Symbol" w:hint="default"/>
      </w:rPr>
    </w:lvl>
    <w:lvl w:ilvl="7" w:tplc="04270003" w:tentative="1">
      <w:start w:val="1"/>
      <w:numFmt w:val="bullet"/>
      <w:lvlText w:val="o"/>
      <w:lvlJc w:val="left"/>
      <w:pPr>
        <w:ind w:left="5811" w:hanging="360"/>
      </w:pPr>
      <w:rPr>
        <w:rFonts w:ascii="Courier New" w:hAnsi="Courier New" w:cs="Courier New" w:hint="default"/>
      </w:rPr>
    </w:lvl>
    <w:lvl w:ilvl="8" w:tplc="04270005" w:tentative="1">
      <w:start w:val="1"/>
      <w:numFmt w:val="bullet"/>
      <w:lvlText w:val=""/>
      <w:lvlJc w:val="left"/>
      <w:pPr>
        <w:ind w:left="6531" w:hanging="360"/>
      </w:pPr>
      <w:rPr>
        <w:rFonts w:ascii="Wingdings" w:hAnsi="Wingdings" w:hint="default"/>
      </w:rPr>
    </w:lvl>
  </w:abstractNum>
  <w:abstractNum w:abstractNumId="66">
    <w:nsid w:val="627B66B2"/>
    <w:multiLevelType w:val="hybridMultilevel"/>
    <w:tmpl w:val="18F00C9E"/>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63271D01"/>
    <w:multiLevelType w:val="hybridMultilevel"/>
    <w:tmpl w:val="DD8CD5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8">
    <w:nsid w:val="644E514E"/>
    <w:multiLevelType w:val="hybridMultilevel"/>
    <w:tmpl w:val="A66A9964"/>
    <w:lvl w:ilvl="0" w:tplc="04270017">
      <w:start w:val="1"/>
      <w:numFmt w:val="lowerLetter"/>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665E6323"/>
    <w:multiLevelType w:val="hybridMultilevel"/>
    <w:tmpl w:val="FFCE27F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6D1F07FB"/>
    <w:multiLevelType w:val="hybridMultilevel"/>
    <w:tmpl w:val="929280FE"/>
    <w:lvl w:ilvl="0" w:tplc="0409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nsid w:val="6D9F47B6"/>
    <w:multiLevelType w:val="hybridMultilevel"/>
    <w:tmpl w:val="C750E0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718A1C7E"/>
    <w:multiLevelType w:val="hybridMultilevel"/>
    <w:tmpl w:val="6AE2E176"/>
    <w:lvl w:ilvl="0" w:tplc="0409000F">
      <w:start w:val="1"/>
      <w:numFmt w:val="decimal"/>
      <w:lvlText w:val="%1."/>
      <w:lvlJc w:val="left"/>
      <w:pPr>
        <w:ind w:left="720" w:hanging="360"/>
      </w:pPr>
      <w:rPr>
        <w:rFonts w:hint="default"/>
      </w:rPr>
    </w:lvl>
    <w:lvl w:ilvl="1" w:tplc="80CA5FB0">
      <w:start w:val="1"/>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2591CA9"/>
    <w:multiLevelType w:val="multilevel"/>
    <w:tmpl w:val="CD4C98AE"/>
    <w:name w:val="PwCListBullets1"/>
    <w:styleLink w:val="PwCListBullets1"/>
    <w:lvl w:ilvl="0">
      <w:start w:val="1"/>
      <w:numFmt w:val="bullet"/>
      <w:pStyle w:val="ListBullet"/>
      <w:lvlText w:val=""/>
      <w:lvlJc w:val="left"/>
      <w:pPr>
        <w:tabs>
          <w:tab w:val="num" w:pos="567"/>
        </w:tabs>
        <w:ind w:left="567" w:hanging="567"/>
      </w:pPr>
      <w:rPr>
        <w:rFonts w:ascii="Symbol" w:hAnsi="Symbol" w:hint="default"/>
      </w:rPr>
    </w:lvl>
    <w:lvl w:ilvl="1">
      <w:start w:val="1"/>
      <w:numFmt w:val="bullet"/>
      <w:pStyle w:val="ListBullet2"/>
      <w:lvlText w:val=""/>
      <w:lvlJc w:val="left"/>
      <w:pPr>
        <w:tabs>
          <w:tab w:val="num" w:pos="1134"/>
        </w:tabs>
        <w:ind w:left="1134" w:hanging="567"/>
      </w:pPr>
      <w:rPr>
        <w:rFonts w:ascii="Symbol" w:hAnsi="Symbol" w:hint="default"/>
      </w:rPr>
    </w:lvl>
    <w:lvl w:ilvl="2">
      <w:start w:val="1"/>
      <w:numFmt w:val="bullet"/>
      <w:pStyle w:val="ListBullet3"/>
      <w:lvlText w:val=""/>
      <w:lvlJc w:val="left"/>
      <w:pPr>
        <w:tabs>
          <w:tab w:val="num" w:pos="1701"/>
        </w:tabs>
        <w:ind w:left="1701" w:hanging="567"/>
      </w:pPr>
      <w:rPr>
        <w:rFonts w:ascii="Symbol" w:hAnsi="Symbol" w:hint="default"/>
      </w:rPr>
    </w:lvl>
    <w:lvl w:ilvl="3">
      <w:start w:val="1"/>
      <w:numFmt w:val="bullet"/>
      <w:pStyle w:val="ListBullet4"/>
      <w:lvlText w:val=""/>
      <w:lvlJc w:val="left"/>
      <w:pPr>
        <w:tabs>
          <w:tab w:val="num" w:pos="2268"/>
        </w:tabs>
        <w:ind w:left="2268" w:hanging="567"/>
      </w:pPr>
      <w:rPr>
        <w:rFonts w:ascii="Symbol" w:hAnsi="Symbol" w:hint="default"/>
      </w:rPr>
    </w:lvl>
    <w:lvl w:ilvl="4">
      <w:start w:val="1"/>
      <w:numFmt w:val="bullet"/>
      <w:pStyle w:val="ListBullet5"/>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74">
    <w:nsid w:val="74460280"/>
    <w:multiLevelType w:val="hybridMultilevel"/>
    <w:tmpl w:val="2002763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7454184B"/>
    <w:multiLevelType w:val="hybridMultilevel"/>
    <w:tmpl w:val="43C438A6"/>
    <w:lvl w:ilvl="0" w:tplc="0427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6AB55C2"/>
    <w:multiLevelType w:val="hybridMultilevel"/>
    <w:tmpl w:val="7156622A"/>
    <w:lvl w:ilvl="0" w:tplc="0427000F">
      <w:start w:val="1"/>
      <w:numFmt w:val="decimal"/>
      <w:lvlText w:val="%1."/>
      <w:lvlJc w:val="left"/>
      <w:pPr>
        <w:ind w:left="720" w:hanging="360"/>
      </w:pPr>
      <w:rPr>
        <w:rFont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7EFF4EDA"/>
    <w:multiLevelType w:val="hybridMultilevel"/>
    <w:tmpl w:val="880A6FA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73"/>
  </w:num>
  <w:num w:numId="2">
    <w:abstractNumId w:val="8"/>
  </w:num>
  <w:num w:numId="3">
    <w:abstractNumId w:val="37"/>
  </w:num>
  <w:num w:numId="4">
    <w:abstractNumId w:val="4"/>
  </w:num>
  <w:num w:numId="5">
    <w:abstractNumId w:val="39"/>
  </w:num>
  <w:num w:numId="6">
    <w:abstractNumId w:val="64"/>
  </w:num>
  <w:num w:numId="7">
    <w:abstractNumId w:val="38"/>
  </w:num>
  <w:num w:numId="8">
    <w:abstractNumId w:val="0"/>
  </w:num>
  <w:num w:numId="9">
    <w:abstractNumId w:val="3"/>
  </w:num>
  <w:num w:numId="10">
    <w:abstractNumId w:val="13"/>
  </w:num>
  <w:num w:numId="11">
    <w:abstractNumId w:val="63"/>
  </w:num>
  <w:num w:numId="12">
    <w:abstractNumId w:val="21"/>
  </w:num>
  <w:num w:numId="13">
    <w:abstractNumId w:val="36"/>
  </w:num>
  <w:num w:numId="14">
    <w:abstractNumId w:val="43"/>
  </w:num>
  <w:num w:numId="15">
    <w:abstractNumId w:val="7"/>
  </w:num>
  <w:num w:numId="16">
    <w:abstractNumId w:val="51"/>
  </w:num>
  <w:num w:numId="17">
    <w:abstractNumId w:val="35"/>
  </w:num>
  <w:num w:numId="18">
    <w:abstractNumId w:val="53"/>
  </w:num>
  <w:num w:numId="19">
    <w:abstractNumId w:val="48"/>
  </w:num>
  <w:num w:numId="20">
    <w:abstractNumId w:val="75"/>
  </w:num>
  <w:num w:numId="21">
    <w:abstractNumId w:val="76"/>
  </w:num>
  <w:num w:numId="22">
    <w:abstractNumId w:val="66"/>
  </w:num>
  <w:num w:numId="23">
    <w:abstractNumId w:val="15"/>
  </w:num>
  <w:num w:numId="24">
    <w:abstractNumId w:val="11"/>
  </w:num>
  <w:num w:numId="25">
    <w:abstractNumId w:val="33"/>
  </w:num>
  <w:num w:numId="26">
    <w:abstractNumId w:val="5"/>
  </w:num>
  <w:num w:numId="27">
    <w:abstractNumId w:val="45"/>
  </w:num>
  <w:num w:numId="28">
    <w:abstractNumId w:val="52"/>
  </w:num>
  <w:num w:numId="29">
    <w:abstractNumId w:val="19"/>
  </w:num>
  <w:num w:numId="30">
    <w:abstractNumId w:val="12"/>
  </w:num>
  <w:num w:numId="31">
    <w:abstractNumId w:val="24"/>
  </w:num>
  <w:num w:numId="32">
    <w:abstractNumId w:val="29"/>
  </w:num>
  <w:num w:numId="33">
    <w:abstractNumId w:val="34"/>
  </w:num>
  <w:num w:numId="34">
    <w:abstractNumId w:val="54"/>
  </w:num>
  <w:num w:numId="35">
    <w:abstractNumId w:val="2"/>
  </w:num>
  <w:num w:numId="36">
    <w:abstractNumId w:val="65"/>
  </w:num>
  <w:num w:numId="37">
    <w:abstractNumId w:val="27"/>
  </w:num>
  <w:num w:numId="38">
    <w:abstractNumId w:val="1"/>
  </w:num>
  <w:num w:numId="39">
    <w:abstractNumId w:val="22"/>
  </w:num>
  <w:num w:numId="40">
    <w:abstractNumId w:val="71"/>
  </w:num>
  <w:num w:numId="41">
    <w:abstractNumId w:val="62"/>
  </w:num>
  <w:num w:numId="42">
    <w:abstractNumId w:val="6"/>
  </w:num>
  <w:num w:numId="43">
    <w:abstractNumId w:val="50"/>
  </w:num>
  <w:num w:numId="44">
    <w:abstractNumId w:val="77"/>
  </w:num>
  <w:num w:numId="45">
    <w:abstractNumId w:val="69"/>
  </w:num>
  <w:num w:numId="46">
    <w:abstractNumId w:val="10"/>
  </w:num>
  <w:num w:numId="47">
    <w:abstractNumId w:val="41"/>
  </w:num>
  <w:num w:numId="48">
    <w:abstractNumId w:val="67"/>
  </w:num>
  <w:num w:numId="49">
    <w:abstractNumId w:val="68"/>
  </w:num>
  <w:num w:numId="50">
    <w:abstractNumId w:val="46"/>
  </w:num>
  <w:num w:numId="51">
    <w:abstractNumId w:val="56"/>
  </w:num>
  <w:num w:numId="52">
    <w:abstractNumId w:val="47"/>
  </w:num>
  <w:num w:numId="53">
    <w:abstractNumId w:val="72"/>
  </w:num>
  <w:num w:numId="54">
    <w:abstractNumId w:val="40"/>
  </w:num>
  <w:num w:numId="55">
    <w:abstractNumId w:val="49"/>
  </w:num>
  <w:num w:numId="56">
    <w:abstractNumId w:val="17"/>
  </w:num>
  <w:num w:numId="57">
    <w:abstractNumId w:val="74"/>
  </w:num>
  <w:num w:numId="58">
    <w:abstractNumId w:val="31"/>
  </w:num>
  <w:num w:numId="59">
    <w:abstractNumId w:val="9"/>
  </w:num>
  <w:num w:numId="60">
    <w:abstractNumId w:val="58"/>
  </w:num>
  <w:num w:numId="61">
    <w:abstractNumId w:val="57"/>
  </w:num>
  <w:num w:numId="62">
    <w:abstractNumId w:val="61"/>
  </w:num>
  <w:num w:numId="63">
    <w:abstractNumId w:val="42"/>
  </w:num>
  <w:num w:numId="64">
    <w:abstractNumId w:val="16"/>
  </w:num>
  <w:num w:numId="65">
    <w:abstractNumId w:val="60"/>
  </w:num>
  <w:num w:numId="66">
    <w:abstractNumId w:val="30"/>
  </w:num>
  <w:num w:numId="67">
    <w:abstractNumId w:val="59"/>
  </w:num>
  <w:num w:numId="68">
    <w:abstractNumId w:val="44"/>
  </w:num>
  <w:num w:numId="69">
    <w:abstractNumId w:val="18"/>
  </w:num>
  <w:num w:numId="70">
    <w:abstractNumId w:val="32"/>
  </w:num>
  <w:num w:numId="71">
    <w:abstractNumId w:val="28"/>
  </w:num>
  <w:num w:numId="72">
    <w:abstractNumId w:val="26"/>
  </w:num>
  <w:num w:numId="73">
    <w:abstractNumId w:val="55"/>
  </w:num>
  <w:num w:numId="74">
    <w:abstractNumId w:val="23"/>
  </w:num>
  <w:num w:numId="75">
    <w:abstractNumId w:val="70"/>
  </w:num>
  <w:num w:numId="76">
    <w:abstractNumId w:val="25"/>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284"/>
  <w:hyphenationZone w:val="396"/>
  <w:drawingGridHorizontalSpacing w:val="100"/>
  <w:displayHorizontalDrawingGridEvery w:val="2"/>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202"/>
    <w:rsid w:val="00000817"/>
    <w:rsid w:val="00000F72"/>
    <w:rsid w:val="000011BC"/>
    <w:rsid w:val="000011E5"/>
    <w:rsid w:val="000015EC"/>
    <w:rsid w:val="000018BE"/>
    <w:rsid w:val="00001D19"/>
    <w:rsid w:val="00001D44"/>
    <w:rsid w:val="00002865"/>
    <w:rsid w:val="00002C2C"/>
    <w:rsid w:val="000037C9"/>
    <w:rsid w:val="0000393E"/>
    <w:rsid w:val="0000395B"/>
    <w:rsid w:val="00003CFF"/>
    <w:rsid w:val="00004785"/>
    <w:rsid w:val="00004863"/>
    <w:rsid w:val="00004F84"/>
    <w:rsid w:val="00005489"/>
    <w:rsid w:val="00005D97"/>
    <w:rsid w:val="00005E86"/>
    <w:rsid w:val="00006196"/>
    <w:rsid w:val="000063A2"/>
    <w:rsid w:val="000066A8"/>
    <w:rsid w:val="000068D2"/>
    <w:rsid w:val="000068D7"/>
    <w:rsid w:val="00006AEC"/>
    <w:rsid w:val="00007025"/>
    <w:rsid w:val="000070FA"/>
    <w:rsid w:val="000075BF"/>
    <w:rsid w:val="000076BF"/>
    <w:rsid w:val="00007811"/>
    <w:rsid w:val="00007A33"/>
    <w:rsid w:val="00007C48"/>
    <w:rsid w:val="00007CA0"/>
    <w:rsid w:val="00007E8C"/>
    <w:rsid w:val="00010161"/>
    <w:rsid w:val="000104BB"/>
    <w:rsid w:val="00010773"/>
    <w:rsid w:val="00010D07"/>
    <w:rsid w:val="000112EE"/>
    <w:rsid w:val="00011822"/>
    <w:rsid w:val="0001199C"/>
    <w:rsid w:val="00011D83"/>
    <w:rsid w:val="0001270B"/>
    <w:rsid w:val="00013155"/>
    <w:rsid w:val="00013C34"/>
    <w:rsid w:val="000146E7"/>
    <w:rsid w:val="00014E3D"/>
    <w:rsid w:val="00015142"/>
    <w:rsid w:val="00015227"/>
    <w:rsid w:val="00015244"/>
    <w:rsid w:val="00015896"/>
    <w:rsid w:val="00015BB7"/>
    <w:rsid w:val="00015FD1"/>
    <w:rsid w:val="00016190"/>
    <w:rsid w:val="00016352"/>
    <w:rsid w:val="00016518"/>
    <w:rsid w:val="000166C9"/>
    <w:rsid w:val="00016C04"/>
    <w:rsid w:val="00017447"/>
    <w:rsid w:val="000174FA"/>
    <w:rsid w:val="0001761E"/>
    <w:rsid w:val="000201B3"/>
    <w:rsid w:val="0002023E"/>
    <w:rsid w:val="00020566"/>
    <w:rsid w:val="00020645"/>
    <w:rsid w:val="00020826"/>
    <w:rsid w:val="00020B51"/>
    <w:rsid w:val="00020E4E"/>
    <w:rsid w:val="000210A3"/>
    <w:rsid w:val="0002180A"/>
    <w:rsid w:val="00021866"/>
    <w:rsid w:val="00021A4C"/>
    <w:rsid w:val="00021AC0"/>
    <w:rsid w:val="00021C76"/>
    <w:rsid w:val="00021E2E"/>
    <w:rsid w:val="000223EF"/>
    <w:rsid w:val="00022554"/>
    <w:rsid w:val="0002262B"/>
    <w:rsid w:val="0002277B"/>
    <w:rsid w:val="0002298E"/>
    <w:rsid w:val="00023242"/>
    <w:rsid w:val="000232BA"/>
    <w:rsid w:val="000235D5"/>
    <w:rsid w:val="000236DB"/>
    <w:rsid w:val="00023B00"/>
    <w:rsid w:val="00023F82"/>
    <w:rsid w:val="000241B7"/>
    <w:rsid w:val="000242C6"/>
    <w:rsid w:val="00024300"/>
    <w:rsid w:val="00024A52"/>
    <w:rsid w:val="00024E82"/>
    <w:rsid w:val="00024F67"/>
    <w:rsid w:val="00025050"/>
    <w:rsid w:val="0002515A"/>
    <w:rsid w:val="0002566D"/>
    <w:rsid w:val="000256DD"/>
    <w:rsid w:val="00025A8F"/>
    <w:rsid w:val="00025ED9"/>
    <w:rsid w:val="000261AF"/>
    <w:rsid w:val="000262BC"/>
    <w:rsid w:val="000263F7"/>
    <w:rsid w:val="00026628"/>
    <w:rsid w:val="000266B3"/>
    <w:rsid w:val="0002692F"/>
    <w:rsid w:val="00026A47"/>
    <w:rsid w:val="00026AF1"/>
    <w:rsid w:val="00026DD0"/>
    <w:rsid w:val="00026FE6"/>
    <w:rsid w:val="00027125"/>
    <w:rsid w:val="00027296"/>
    <w:rsid w:val="000274F5"/>
    <w:rsid w:val="0002751D"/>
    <w:rsid w:val="000300AC"/>
    <w:rsid w:val="000301E4"/>
    <w:rsid w:val="00030D17"/>
    <w:rsid w:val="00030DA0"/>
    <w:rsid w:val="0003114B"/>
    <w:rsid w:val="0003143F"/>
    <w:rsid w:val="00031A33"/>
    <w:rsid w:val="00031B10"/>
    <w:rsid w:val="00031D28"/>
    <w:rsid w:val="00031E55"/>
    <w:rsid w:val="00032762"/>
    <w:rsid w:val="00032EC0"/>
    <w:rsid w:val="00032F3C"/>
    <w:rsid w:val="0003335A"/>
    <w:rsid w:val="00033B40"/>
    <w:rsid w:val="00034697"/>
    <w:rsid w:val="000346CA"/>
    <w:rsid w:val="000347EC"/>
    <w:rsid w:val="00034831"/>
    <w:rsid w:val="000348B2"/>
    <w:rsid w:val="000349CD"/>
    <w:rsid w:val="00034AB8"/>
    <w:rsid w:val="00034D89"/>
    <w:rsid w:val="0003524C"/>
    <w:rsid w:val="00035CB3"/>
    <w:rsid w:val="000369B1"/>
    <w:rsid w:val="00036A6A"/>
    <w:rsid w:val="000377AF"/>
    <w:rsid w:val="00037D2C"/>
    <w:rsid w:val="000404F6"/>
    <w:rsid w:val="0004075D"/>
    <w:rsid w:val="0004084C"/>
    <w:rsid w:val="00040B2F"/>
    <w:rsid w:val="00040F34"/>
    <w:rsid w:val="00041334"/>
    <w:rsid w:val="00041550"/>
    <w:rsid w:val="00041569"/>
    <w:rsid w:val="00041738"/>
    <w:rsid w:val="00041E14"/>
    <w:rsid w:val="00041E83"/>
    <w:rsid w:val="000420F7"/>
    <w:rsid w:val="0004282B"/>
    <w:rsid w:val="000430ED"/>
    <w:rsid w:val="00043413"/>
    <w:rsid w:val="000436F2"/>
    <w:rsid w:val="00043764"/>
    <w:rsid w:val="00043785"/>
    <w:rsid w:val="00043D5C"/>
    <w:rsid w:val="0004409F"/>
    <w:rsid w:val="0004428E"/>
    <w:rsid w:val="0004456D"/>
    <w:rsid w:val="000447E9"/>
    <w:rsid w:val="00044845"/>
    <w:rsid w:val="00044C67"/>
    <w:rsid w:val="0004518A"/>
    <w:rsid w:val="0004576F"/>
    <w:rsid w:val="000459C6"/>
    <w:rsid w:val="00045A46"/>
    <w:rsid w:val="00045B7E"/>
    <w:rsid w:val="000466CB"/>
    <w:rsid w:val="0004674B"/>
    <w:rsid w:val="00046845"/>
    <w:rsid w:val="00046954"/>
    <w:rsid w:val="00046B60"/>
    <w:rsid w:val="00046D2E"/>
    <w:rsid w:val="0004751F"/>
    <w:rsid w:val="00047695"/>
    <w:rsid w:val="00047747"/>
    <w:rsid w:val="00047AFB"/>
    <w:rsid w:val="00047CE6"/>
    <w:rsid w:val="00047E72"/>
    <w:rsid w:val="00047FB4"/>
    <w:rsid w:val="0005004F"/>
    <w:rsid w:val="00050116"/>
    <w:rsid w:val="00050384"/>
    <w:rsid w:val="00050512"/>
    <w:rsid w:val="00050AD5"/>
    <w:rsid w:val="00050C2F"/>
    <w:rsid w:val="00050ED5"/>
    <w:rsid w:val="00051661"/>
    <w:rsid w:val="000519A1"/>
    <w:rsid w:val="00051C38"/>
    <w:rsid w:val="00051E2B"/>
    <w:rsid w:val="000521C9"/>
    <w:rsid w:val="000523F8"/>
    <w:rsid w:val="0005296C"/>
    <w:rsid w:val="00052972"/>
    <w:rsid w:val="00052B45"/>
    <w:rsid w:val="00052BC0"/>
    <w:rsid w:val="00052C8C"/>
    <w:rsid w:val="00052CF3"/>
    <w:rsid w:val="00052D62"/>
    <w:rsid w:val="00052DAE"/>
    <w:rsid w:val="00053189"/>
    <w:rsid w:val="00053698"/>
    <w:rsid w:val="0005372E"/>
    <w:rsid w:val="00053783"/>
    <w:rsid w:val="000538E6"/>
    <w:rsid w:val="000543F9"/>
    <w:rsid w:val="00054408"/>
    <w:rsid w:val="00054CD9"/>
    <w:rsid w:val="00054E26"/>
    <w:rsid w:val="00054ECF"/>
    <w:rsid w:val="0005554E"/>
    <w:rsid w:val="00055924"/>
    <w:rsid w:val="0005593B"/>
    <w:rsid w:val="00055C01"/>
    <w:rsid w:val="00055DBF"/>
    <w:rsid w:val="000562C3"/>
    <w:rsid w:val="00056485"/>
    <w:rsid w:val="00056A48"/>
    <w:rsid w:val="00056BB8"/>
    <w:rsid w:val="00057738"/>
    <w:rsid w:val="00057984"/>
    <w:rsid w:val="000579FE"/>
    <w:rsid w:val="00060892"/>
    <w:rsid w:val="0006097D"/>
    <w:rsid w:val="00060E6B"/>
    <w:rsid w:val="000615B1"/>
    <w:rsid w:val="00061D0D"/>
    <w:rsid w:val="00062031"/>
    <w:rsid w:val="000622B0"/>
    <w:rsid w:val="000624FA"/>
    <w:rsid w:val="000628AB"/>
    <w:rsid w:val="00062A5D"/>
    <w:rsid w:val="00062AF6"/>
    <w:rsid w:val="00062BEF"/>
    <w:rsid w:val="00063100"/>
    <w:rsid w:val="00063D58"/>
    <w:rsid w:val="00063DE5"/>
    <w:rsid w:val="00064053"/>
    <w:rsid w:val="00064C5C"/>
    <w:rsid w:val="00065499"/>
    <w:rsid w:val="00065739"/>
    <w:rsid w:val="000657D6"/>
    <w:rsid w:val="00065C4B"/>
    <w:rsid w:val="00065DE8"/>
    <w:rsid w:val="00066535"/>
    <w:rsid w:val="000666AF"/>
    <w:rsid w:val="000668CA"/>
    <w:rsid w:val="00066A55"/>
    <w:rsid w:val="00066A6B"/>
    <w:rsid w:val="00066BA5"/>
    <w:rsid w:val="00066CDB"/>
    <w:rsid w:val="00067AEE"/>
    <w:rsid w:val="00067ED3"/>
    <w:rsid w:val="00067EDD"/>
    <w:rsid w:val="00070159"/>
    <w:rsid w:val="00070294"/>
    <w:rsid w:val="000702CB"/>
    <w:rsid w:val="00070A89"/>
    <w:rsid w:val="00070ABF"/>
    <w:rsid w:val="00070D05"/>
    <w:rsid w:val="00070E54"/>
    <w:rsid w:val="000711D8"/>
    <w:rsid w:val="000716A8"/>
    <w:rsid w:val="00071B37"/>
    <w:rsid w:val="0007211F"/>
    <w:rsid w:val="000721EB"/>
    <w:rsid w:val="000722DD"/>
    <w:rsid w:val="0007244F"/>
    <w:rsid w:val="0007299C"/>
    <w:rsid w:val="00073199"/>
    <w:rsid w:val="0007355D"/>
    <w:rsid w:val="00073C56"/>
    <w:rsid w:val="000742B9"/>
    <w:rsid w:val="00075170"/>
    <w:rsid w:val="0007545E"/>
    <w:rsid w:val="00075708"/>
    <w:rsid w:val="00075968"/>
    <w:rsid w:val="00075EB2"/>
    <w:rsid w:val="00076688"/>
    <w:rsid w:val="00076758"/>
    <w:rsid w:val="00076CAB"/>
    <w:rsid w:val="00076D9C"/>
    <w:rsid w:val="00076ED6"/>
    <w:rsid w:val="000772EA"/>
    <w:rsid w:val="00077799"/>
    <w:rsid w:val="00077E8A"/>
    <w:rsid w:val="00077F9C"/>
    <w:rsid w:val="0008004B"/>
    <w:rsid w:val="000802B5"/>
    <w:rsid w:val="00080879"/>
    <w:rsid w:val="0008098D"/>
    <w:rsid w:val="000809AA"/>
    <w:rsid w:val="00080FEC"/>
    <w:rsid w:val="0008122F"/>
    <w:rsid w:val="00081615"/>
    <w:rsid w:val="000818F4"/>
    <w:rsid w:val="00081E97"/>
    <w:rsid w:val="00082949"/>
    <w:rsid w:val="00082976"/>
    <w:rsid w:val="00082B36"/>
    <w:rsid w:val="00083225"/>
    <w:rsid w:val="00083372"/>
    <w:rsid w:val="00083399"/>
    <w:rsid w:val="000833E4"/>
    <w:rsid w:val="0008347B"/>
    <w:rsid w:val="0008367D"/>
    <w:rsid w:val="00083697"/>
    <w:rsid w:val="00083A7E"/>
    <w:rsid w:val="000840F2"/>
    <w:rsid w:val="0008438D"/>
    <w:rsid w:val="000843CB"/>
    <w:rsid w:val="0008453F"/>
    <w:rsid w:val="0008511A"/>
    <w:rsid w:val="00085638"/>
    <w:rsid w:val="0008579A"/>
    <w:rsid w:val="000857FB"/>
    <w:rsid w:val="0008596A"/>
    <w:rsid w:val="00085A6E"/>
    <w:rsid w:val="00085AEE"/>
    <w:rsid w:val="00085C7D"/>
    <w:rsid w:val="000862DB"/>
    <w:rsid w:val="000866CE"/>
    <w:rsid w:val="00086991"/>
    <w:rsid w:val="00086DC2"/>
    <w:rsid w:val="00087A7F"/>
    <w:rsid w:val="00087ECA"/>
    <w:rsid w:val="0009004D"/>
    <w:rsid w:val="00090123"/>
    <w:rsid w:val="000903A3"/>
    <w:rsid w:val="000903D0"/>
    <w:rsid w:val="0009056E"/>
    <w:rsid w:val="00090659"/>
    <w:rsid w:val="00090C2E"/>
    <w:rsid w:val="000910B9"/>
    <w:rsid w:val="000911F8"/>
    <w:rsid w:val="00091563"/>
    <w:rsid w:val="000917B6"/>
    <w:rsid w:val="0009189B"/>
    <w:rsid w:val="0009287A"/>
    <w:rsid w:val="00093499"/>
    <w:rsid w:val="0009394A"/>
    <w:rsid w:val="00093DA9"/>
    <w:rsid w:val="00093DEA"/>
    <w:rsid w:val="00093E62"/>
    <w:rsid w:val="000941F6"/>
    <w:rsid w:val="000942E4"/>
    <w:rsid w:val="00094827"/>
    <w:rsid w:val="00094AF5"/>
    <w:rsid w:val="00094BCA"/>
    <w:rsid w:val="00094BE7"/>
    <w:rsid w:val="00094CE5"/>
    <w:rsid w:val="00094FD2"/>
    <w:rsid w:val="000951BF"/>
    <w:rsid w:val="00095424"/>
    <w:rsid w:val="00095453"/>
    <w:rsid w:val="00095945"/>
    <w:rsid w:val="00095B18"/>
    <w:rsid w:val="00095B93"/>
    <w:rsid w:val="00095DF4"/>
    <w:rsid w:val="0009606D"/>
    <w:rsid w:val="000960DB"/>
    <w:rsid w:val="00096584"/>
    <w:rsid w:val="000969C3"/>
    <w:rsid w:val="000972D2"/>
    <w:rsid w:val="00097316"/>
    <w:rsid w:val="00097707"/>
    <w:rsid w:val="000979AE"/>
    <w:rsid w:val="000979B6"/>
    <w:rsid w:val="00097AFD"/>
    <w:rsid w:val="00097C34"/>
    <w:rsid w:val="00097F65"/>
    <w:rsid w:val="000A008D"/>
    <w:rsid w:val="000A0431"/>
    <w:rsid w:val="000A077D"/>
    <w:rsid w:val="000A0900"/>
    <w:rsid w:val="000A0925"/>
    <w:rsid w:val="000A1216"/>
    <w:rsid w:val="000A123C"/>
    <w:rsid w:val="000A19B1"/>
    <w:rsid w:val="000A1B4B"/>
    <w:rsid w:val="000A1C76"/>
    <w:rsid w:val="000A1ECE"/>
    <w:rsid w:val="000A1EFD"/>
    <w:rsid w:val="000A23D0"/>
    <w:rsid w:val="000A24D5"/>
    <w:rsid w:val="000A27AC"/>
    <w:rsid w:val="000A2BF9"/>
    <w:rsid w:val="000A3F0B"/>
    <w:rsid w:val="000A4099"/>
    <w:rsid w:val="000A4A5C"/>
    <w:rsid w:val="000A4C07"/>
    <w:rsid w:val="000A50C6"/>
    <w:rsid w:val="000A517A"/>
    <w:rsid w:val="000A5494"/>
    <w:rsid w:val="000A6599"/>
    <w:rsid w:val="000A694F"/>
    <w:rsid w:val="000A6BC3"/>
    <w:rsid w:val="000A6DA1"/>
    <w:rsid w:val="000A6FD7"/>
    <w:rsid w:val="000A7181"/>
    <w:rsid w:val="000A71F0"/>
    <w:rsid w:val="000A757D"/>
    <w:rsid w:val="000B03CD"/>
    <w:rsid w:val="000B040E"/>
    <w:rsid w:val="000B046C"/>
    <w:rsid w:val="000B0A36"/>
    <w:rsid w:val="000B0D0F"/>
    <w:rsid w:val="000B0D5C"/>
    <w:rsid w:val="000B0F9E"/>
    <w:rsid w:val="000B12A0"/>
    <w:rsid w:val="000B148A"/>
    <w:rsid w:val="000B16A6"/>
    <w:rsid w:val="000B16F2"/>
    <w:rsid w:val="000B1823"/>
    <w:rsid w:val="000B1D58"/>
    <w:rsid w:val="000B1D75"/>
    <w:rsid w:val="000B1DD4"/>
    <w:rsid w:val="000B1DFD"/>
    <w:rsid w:val="000B1FD9"/>
    <w:rsid w:val="000B2608"/>
    <w:rsid w:val="000B2698"/>
    <w:rsid w:val="000B2A8E"/>
    <w:rsid w:val="000B2BA9"/>
    <w:rsid w:val="000B30A7"/>
    <w:rsid w:val="000B343E"/>
    <w:rsid w:val="000B389E"/>
    <w:rsid w:val="000B38E4"/>
    <w:rsid w:val="000B393D"/>
    <w:rsid w:val="000B3D89"/>
    <w:rsid w:val="000B41E9"/>
    <w:rsid w:val="000B4207"/>
    <w:rsid w:val="000B42CB"/>
    <w:rsid w:val="000B4447"/>
    <w:rsid w:val="000B5848"/>
    <w:rsid w:val="000B667B"/>
    <w:rsid w:val="000B6A4A"/>
    <w:rsid w:val="000B6FBD"/>
    <w:rsid w:val="000B7032"/>
    <w:rsid w:val="000B722E"/>
    <w:rsid w:val="000B7488"/>
    <w:rsid w:val="000B7529"/>
    <w:rsid w:val="000B7614"/>
    <w:rsid w:val="000B77A3"/>
    <w:rsid w:val="000B7C7B"/>
    <w:rsid w:val="000B7D91"/>
    <w:rsid w:val="000C010E"/>
    <w:rsid w:val="000C02FC"/>
    <w:rsid w:val="000C03E0"/>
    <w:rsid w:val="000C0C95"/>
    <w:rsid w:val="000C0DF2"/>
    <w:rsid w:val="000C0E81"/>
    <w:rsid w:val="000C151D"/>
    <w:rsid w:val="000C1B61"/>
    <w:rsid w:val="000C1D71"/>
    <w:rsid w:val="000C1DED"/>
    <w:rsid w:val="000C1FD1"/>
    <w:rsid w:val="000C2517"/>
    <w:rsid w:val="000C2DE8"/>
    <w:rsid w:val="000C2F10"/>
    <w:rsid w:val="000C2FFA"/>
    <w:rsid w:val="000C360F"/>
    <w:rsid w:val="000C37B0"/>
    <w:rsid w:val="000C3F1E"/>
    <w:rsid w:val="000C41FB"/>
    <w:rsid w:val="000C465F"/>
    <w:rsid w:val="000C4B27"/>
    <w:rsid w:val="000C517D"/>
    <w:rsid w:val="000C5E07"/>
    <w:rsid w:val="000C6150"/>
    <w:rsid w:val="000C689B"/>
    <w:rsid w:val="000C6AD7"/>
    <w:rsid w:val="000C6BF3"/>
    <w:rsid w:val="000C6E20"/>
    <w:rsid w:val="000C6F94"/>
    <w:rsid w:val="000C733D"/>
    <w:rsid w:val="000C746B"/>
    <w:rsid w:val="000C7474"/>
    <w:rsid w:val="000C7816"/>
    <w:rsid w:val="000C7AE5"/>
    <w:rsid w:val="000C7BDB"/>
    <w:rsid w:val="000C7BFA"/>
    <w:rsid w:val="000C7F85"/>
    <w:rsid w:val="000D069C"/>
    <w:rsid w:val="000D0CC1"/>
    <w:rsid w:val="000D0E09"/>
    <w:rsid w:val="000D0FC3"/>
    <w:rsid w:val="000D1124"/>
    <w:rsid w:val="000D12B2"/>
    <w:rsid w:val="000D12F5"/>
    <w:rsid w:val="000D178F"/>
    <w:rsid w:val="000D17AF"/>
    <w:rsid w:val="000D18E7"/>
    <w:rsid w:val="000D1D14"/>
    <w:rsid w:val="000D209C"/>
    <w:rsid w:val="000D259B"/>
    <w:rsid w:val="000D293E"/>
    <w:rsid w:val="000D2A77"/>
    <w:rsid w:val="000D2B92"/>
    <w:rsid w:val="000D2BCD"/>
    <w:rsid w:val="000D2C4F"/>
    <w:rsid w:val="000D2E77"/>
    <w:rsid w:val="000D30FE"/>
    <w:rsid w:val="000D34EF"/>
    <w:rsid w:val="000D4347"/>
    <w:rsid w:val="000D457C"/>
    <w:rsid w:val="000D4A7D"/>
    <w:rsid w:val="000D4B11"/>
    <w:rsid w:val="000D4FA9"/>
    <w:rsid w:val="000D5202"/>
    <w:rsid w:val="000D53DA"/>
    <w:rsid w:val="000D5C8D"/>
    <w:rsid w:val="000D60E4"/>
    <w:rsid w:val="000D66AF"/>
    <w:rsid w:val="000D66CF"/>
    <w:rsid w:val="000D6B84"/>
    <w:rsid w:val="000D7C99"/>
    <w:rsid w:val="000E0004"/>
    <w:rsid w:val="000E02D4"/>
    <w:rsid w:val="000E04E9"/>
    <w:rsid w:val="000E0890"/>
    <w:rsid w:val="000E0B57"/>
    <w:rsid w:val="000E0B80"/>
    <w:rsid w:val="000E102F"/>
    <w:rsid w:val="000E1104"/>
    <w:rsid w:val="000E110E"/>
    <w:rsid w:val="000E12CF"/>
    <w:rsid w:val="000E15EE"/>
    <w:rsid w:val="000E1BC6"/>
    <w:rsid w:val="000E1C17"/>
    <w:rsid w:val="000E2048"/>
    <w:rsid w:val="000E2049"/>
    <w:rsid w:val="000E2397"/>
    <w:rsid w:val="000E2415"/>
    <w:rsid w:val="000E2473"/>
    <w:rsid w:val="000E2597"/>
    <w:rsid w:val="000E2622"/>
    <w:rsid w:val="000E2D23"/>
    <w:rsid w:val="000E2E3E"/>
    <w:rsid w:val="000E30A7"/>
    <w:rsid w:val="000E346E"/>
    <w:rsid w:val="000E354F"/>
    <w:rsid w:val="000E3935"/>
    <w:rsid w:val="000E3B69"/>
    <w:rsid w:val="000E3E12"/>
    <w:rsid w:val="000E3FC3"/>
    <w:rsid w:val="000E401D"/>
    <w:rsid w:val="000E40ED"/>
    <w:rsid w:val="000E4414"/>
    <w:rsid w:val="000E4A49"/>
    <w:rsid w:val="000E4D3F"/>
    <w:rsid w:val="000E4F63"/>
    <w:rsid w:val="000E51BE"/>
    <w:rsid w:val="000E5264"/>
    <w:rsid w:val="000E565D"/>
    <w:rsid w:val="000E6560"/>
    <w:rsid w:val="000E6AC5"/>
    <w:rsid w:val="000E6E95"/>
    <w:rsid w:val="000E7236"/>
    <w:rsid w:val="000E7641"/>
    <w:rsid w:val="000E772A"/>
    <w:rsid w:val="000E7B0F"/>
    <w:rsid w:val="000F0013"/>
    <w:rsid w:val="000F01AD"/>
    <w:rsid w:val="000F0420"/>
    <w:rsid w:val="000F059F"/>
    <w:rsid w:val="000F086A"/>
    <w:rsid w:val="000F0FF9"/>
    <w:rsid w:val="000F1356"/>
    <w:rsid w:val="000F1FD1"/>
    <w:rsid w:val="000F2086"/>
    <w:rsid w:val="000F2523"/>
    <w:rsid w:val="000F2532"/>
    <w:rsid w:val="000F253C"/>
    <w:rsid w:val="000F28AE"/>
    <w:rsid w:val="000F2CB4"/>
    <w:rsid w:val="000F2CD7"/>
    <w:rsid w:val="000F2E0A"/>
    <w:rsid w:val="000F308C"/>
    <w:rsid w:val="000F3117"/>
    <w:rsid w:val="000F3557"/>
    <w:rsid w:val="000F390D"/>
    <w:rsid w:val="000F3DEA"/>
    <w:rsid w:val="000F3EFB"/>
    <w:rsid w:val="000F406A"/>
    <w:rsid w:val="000F4097"/>
    <w:rsid w:val="000F425B"/>
    <w:rsid w:val="000F4494"/>
    <w:rsid w:val="000F47DC"/>
    <w:rsid w:val="000F4D67"/>
    <w:rsid w:val="000F4DCB"/>
    <w:rsid w:val="000F4E68"/>
    <w:rsid w:val="000F548F"/>
    <w:rsid w:val="000F5A00"/>
    <w:rsid w:val="000F60FD"/>
    <w:rsid w:val="000F6643"/>
    <w:rsid w:val="000F67EC"/>
    <w:rsid w:val="000F6888"/>
    <w:rsid w:val="000F68BD"/>
    <w:rsid w:val="000F6A26"/>
    <w:rsid w:val="000F6F24"/>
    <w:rsid w:val="000F70E7"/>
    <w:rsid w:val="000F721B"/>
    <w:rsid w:val="000F7355"/>
    <w:rsid w:val="000F7576"/>
    <w:rsid w:val="000F7625"/>
    <w:rsid w:val="000F7B0A"/>
    <w:rsid w:val="000F7DC1"/>
    <w:rsid w:val="000F7E08"/>
    <w:rsid w:val="00100058"/>
    <w:rsid w:val="001000DB"/>
    <w:rsid w:val="00100674"/>
    <w:rsid w:val="001008EE"/>
    <w:rsid w:val="00100D3E"/>
    <w:rsid w:val="0010127C"/>
    <w:rsid w:val="001012EE"/>
    <w:rsid w:val="0010134D"/>
    <w:rsid w:val="0010190A"/>
    <w:rsid w:val="00101D6C"/>
    <w:rsid w:val="00101FAE"/>
    <w:rsid w:val="00102720"/>
    <w:rsid w:val="00103678"/>
    <w:rsid w:val="001037E1"/>
    <w:rsid w:val="001038B9"/>
    <w:rsid w:val="00103908"/>
    <w:rsid w:val="00103A8F"/>
    <w:rsid w:val="00103ADD"/>
    <w:rsid w:val="00103CEF"/>
    <w:rsid w:val="00103EF7"/>
    <w:rsid w:val="00103FD7"/>
    <w:rsid w:val="0010405A"/>
    <w:rsid w:val="0010414E"/>
    <w:rsid w:val="00104174"/>
    <w:rsid w:val="00104658"/>
    <w:rsid w:val="00104B68"/>
    <w:rsid w:val="00104E38"/>
    <w:rsid w:val="0010530A"/>
    <w:rsid w:val="001053F9"/>
    <w:rsid w:val="00105499"/>
    <w:rsid w:val="00105736"/>
    <w:rsid w:val="00105D1A"/>
    <w:rsid w:val="00105E32"/>
    <w:rsid w:val="00106007"/>
    <w:rsid w:val="00106229"/>
    <w:rsid w:val="001062B1"/>
    <w:rsid w:val="00106533"/>
    <w:rsid w:val="0010654F"/>
    <w:rsid w:val="001066DE"/>
    <w:rsid w:val="0010735A"/>
    <w:rsid w:val="001073B9"/>
    <w:rsid w:val="00107414"/>
    <w:rsid w:val="0010763D"/>
    <w:rsid w:val="00107DA3"/>
    <w:rsid w:val="001100DA"/>
    <w:rsid w:val="00110303"/>
    <w:rsid w:val="00110A4F"/>
    <w:rsid w:val="00110DEE"/>
    <w:rsid w:val="00110ED7"/>
    <w:rsid w:val="0011105F"/>
    <w:rsid w:val="001110AC"/>
    <w:rsid w:val="00111184"/>
    <w:rsid w:val="00111537"/>
    <w:rsid w:val="001115ED"/>
    <w:rsid w:val="00111714"/>
    <w:rsid w:val="00111DCA"/>
    <w:rsid w:val="00112170"/>
    <w:rsid w:val="001122F3"/>
    <w:rsid w:val="00112439"/>
    <w:rsid w:val="00112D24"/>
    <w:rsid w:val="00112E6B"/>
    <w:rsid w:val="00112E6C"/>
    <w:rsid w:val="00112ED3"/>
    <w:rsid w:val="00113100"/>
    <w:rsid w:val="001138A5"/>
    <w:rsid w:val="00113AB5"/>
    <w:rsid w:val="0011436F"/>
    <w:rsid w:val="00114622"/>
    <w:rsid w:val="0011475D"/>
    <w:rsid w:val="00114870"/>
    <w:rsid w:val="0011544A"/>
    <w:rsid w:val="00115A00"/>
    <w:rsid w:val="00115A43"/>
    <w:rsid w:val="00115CBF"/>
    <w:rsid w:val="00116B36"/>
    <w:rsid w:val="00116DFE"/>
    <w:rsid w:val="00117186"/>
    <w:rsid w:val="001179ED"/>
    <w:rsid w:val="00117C6E"/>
    <w:rsid w:val="00117D03"/>
    <w:rsid w:val="00117F5B"/>
    <w:rsid w:val="001202F5"/>
    <w:rsid w:val="00120382"/>
    <w:rsid w:val="00120B4D"/>
    <w:rsid w:val="00120FAF"/>
    <w:rsid w:val="00121072"/>
    <w:rsid w:val="00121BB6"/>
    <w:rsid w:val="00122019"/>
    <w:rsid w:val="001223A0"/>
    <w:rsid w:val="0012282D"/>
    <w:rsid w:val="00122936"/>
    <w:rsid w:val="00122C88"/>
    <w:rsid w:val="00122FB7"/>
    <w:rsid w:val="0012372B"/>
    <w:rsid w:val="00123E5D"/>
    <w:rsid w:val="00124001"/>
    <w:rsid w:val="00124244"/>
    <w:rsid w:val="001245A2"/>
    <w:rsid w:val="001248CB"/>
    <w:rsid w:val="00125068"/>
    <w:rsid w:val="00125939"/>
    <w:rsid w:val="00125AA8"/>
    <w:rsid w:val="00125BBB"/>
    <w:rsid w:val="00125CAE"/>
    <w:rsid w:val="00125CF4"/>
    <w:rsid w:val="00125EA0"/>
    <w:rsid w:val="0012644B"/>
    <w:rsid w:val="001269D2"/>
    <w:rsid w:val="00126FB2"/>
    <w:rsid w:val="00127AB5"/>
    <w:rsid w:val="00127B90"/>
    <w:rsid w:val="00127E37"/>
    <w:rsid w:val="00127EC7"/>
    <w:rsid w:val="00127F9D"/>
    <w:rsid w:val="00130145"/>
    <w:rsid w:val="00130AC6"/>
    <w:rsid w:val="00130BA6"/>
    <w:rsid w:val="00130BC6"/>
    <w:rsid w:val="00131723"/>
    <w:rsid w:val="00131811"/>
    <w:rsid w:val="00131B42"/>
    <w:rsid w:val="00131BA2"/>
    <w:rsid w:val="00131E0E"/>
    <w:rsid w:val="001324F8"/>
    <w:rsid w:val="001333C7"/>
    <w:rsid w:val="00133771"/>
    <w:rsid w:val="00133AA0"/>
    <w:rsid w:val="00133F2A"/>
    <w:rsid w:val="00133FDA"/>
    <w:rsid w:val="001340F2"/>
    <w:rsid w:val="001342A5"/>
    <w:rsid w:val="0013484C"/>
    <w:rsid w:val="00134A83"/>
    <w:rsid w:val="001357F3"/>
    <w:rsid w:val="00135844"/>
    <w:rsid w:val="001358D7"/>
    <w:rsid w:val="001358F8"/>
    <w:rsid w:val="00135F82"/>
    <w:rsid w:val="001360C7"/>
    <w:rsid w:val="00136230"/>
    <w:rsid w:val="0013623E"/>
    <w:rsid w:val="00136B31"/>
    <w:rsid w:val="00136D9B"/>
    <w:rsid w:val="001371B7"/>
    <w:rsid w:val="0013761E"/>
    <w:rsid w:val="00137705"/>
    <w:rsid w:val="001378D9"/>
    <w:rsid w:val="00137E0D"/>
    <w:rsid w:val="00137F73"/>
    <w:rsid w:val="001400E6"/>
    <w:rsid w:val="00140475"/>
    <w:rsid w:val="0014058A"/>
    <w:rsid w:val="00140790"/>
    <w:rsid w:val="00140808"/>
    <w:rsid w:val="00140A43"/>
    <w:rsid w:val="001417A8"/>
    <w:rsid w:val="00141E76"/>
    <w:rsid w:val="00141FAE"/>
    <w:rsid w:val="001420EF"/>
    <w:rsid w:val="0014229B"/>
    <w:rsid w:val="00142372"/>
    <w:rsid w:val="001429D3"/>
    <w:rsid w:val="001447D2"/>
    <w:rsid w:val="00144A9C"/>
    <w:rsid w:val="001451E1"/>
    <w:rsid w:val="0014544B"/>
    <w:rsid w:val="001454FC"/>
    <w:rsid w:val="00145537"/>
    <w:rsid w:val="00145906"/>
    <w:rsid w:val="00145A39"/>
    <w:rsid w:val="00145B2C"/>
    <w:rsid w:val="00145B9B"/>
    <w:rsid w:val="001462EC"/>
    <w:rsid w:val="00146366"/>
    <w:rsid w:val="00146F4B"/>
    <w:rsid w:val="001479CD"/>
    <w:rsid w:val="00147A5A"/>
    <w:rsid w:val="00147FA6"/>
    <w:rsid w:val="0015035A"/>
    <w:rsid w:val="00151441"/>
    <w:rsid w:val="00151AC3"/>
    <w:rsid w:val="00151EAA"/>
    <w:rsid w:val="00152392"/>
    <w:rsid w:val="001523F2"/>
    <w:rsid w:val="0015267D"/>
    <w:rsid w:val="00152AB2"/>
    <w:rsid w:val="00153666"/>
    <w:rsid w:val="00153AF6"/>
    <w:rsid w:val="00153EDE"/>
    <w:rsid w:val="00154127"/>
    <w:rsid w:val="0015420E"/>
    <w:rsid w:val="00154677"/>
    <w:rsid w:val="0015495E"/>
    <w:rsid w:val="0015496B"/>
    <w:rsid w:val="00154D3B"/>
    <w:rsid w:val="00154F55"/>
    <w:rsid w:val="0015556B"/>
    <w:rsid w:val="001559C6"/>
    <w:rsid w:val="00155D61"/>
    <w:rsid w:val="001560D5"/>
    <w:rsid w:val="001564E8"/>
    <w:rsid w:val="001566E1"/>
    <w:rsid w:val="0015695D"/>
    <w:rsid w:val="00156AB0"/>
    <w:rsid w:val="00156ACB"/>
    <w:rsid w:val="0015719B"/>
    <w:rsid w:val="00157B41"/>
    <w:rsid w:val="00157E2E"/>
    <w:rsid w:val="00157FCE"/>
    <w:rsid w:val="00157FF4"/>
    <w:rsid w:val="001602B4"/>
    <w:rsid w:val="001609AA"/>
    <w:rsid w:val="00160ABC"/>
    <w:rsid w:val="00160B4C"/>
    <w:rsid w:val="001613F3"/>
    <w:rsid w:val="001615E0"/>
    <w:rsid w:val="0016170B"/>
    <w:rsid w:val="00161CAB"/>
    <w:rsid w:val="00161D10"/>
    <w:rsid w:val="00162926"/>
    <w:rsid w:val="00163054"/>
    <w:rsid w:val="001630DA"/>
    <w:rsid w:val="00163773"/>
    <w:rsid w:val="00163947"/>
    <w:rsid w:val="00163AD8"/>
    <w:rsid w:val="0016441B"/>
    <w:rsid w:val="00164B8D"/>
    <w:rsid w:val="00164E73"/>
    <w:rsid w:val="0016519E"/>
    <w:rsid w:val="00165713"/>
    <w:rsid w:val="001657FA"/>
    <w:rsid w:val="00165856"/>
    <w:rsid w:val="00165BC1"/>
    <w:rsid w:val="00165EB7"/>
    <w:rsid w:val="00165F91"/>
    <w:rsid w:val="00166049"/>
    <w:rsid w:val="00166114"/>
    <w:rsid w:val="00166298"/>
    <w:rsid w:val="00166683"/>
    <w:rsid w:val="001666B0"/>
    <w:rsid w:val="00166AA0"/>
    <w:rsid w:val="00166C44"/>
    <w:rsid w:val="001671A4"/>
    <w:rsid w:val="001676A7"/>
    <w:rsid w:val="00167946"/>
    <w:rsid w:val="00167D85"/>
    <w:rsid w:val="0017011C"/>
    <w:rsid w:val="00170543"/>
    <w:rsid w:val="001705CE"/>
    <w:rsid w:val="00170825"/>
    <w:rsid w:val="001708D4"/>
    <w:rsid w:val="00170C38"/>
    <w:rsid w:val="00171034"/>
    <w:rsid w:val="00171553"/>
    <w:rsid w:val="00171709"/>
    <w:rsid w:val="00171B61"/>
    <w:rsid w:val="00171CE3"/>
    <w:rsid w:val="001727DF"/>
    <w:rsid w:val="001729FD"/>
    <w:rsid w:val="00172C26"/>
    <w:rsid w:val="00172D2F"/>
    <w:rsid w:val="00172DB8"/>
    <w:rsid w:val="00172FE8"/>
    <w:rsid w:val="001735A7"/>
    <w:rsid w:val="00173BCF"/>
    <w:rsid w:val="00173C03"/>
    <w:rsid w:val="00173CBE"/>
    <w:rsid w:val="0017547D"/>
    <w:rsid w:val="00175A5A"/>
    <w:rsid w:val="00175B85"/>
    <w:rsid w:val="00175EFC"/>
    <w:rsid w:val="0017670E"/>
    <w:rsid w:val="00176991"/>
    <w:rsid w:val="00176FAE"/>
    <w:rsid w:val="0017756B"/>
    <w:rsid w:val="00177A81"/>
    <w:rsid w:val="00177DF7"/>
    <w:rsid w:val="001800E8"/>
    <w:rsid w:val="00180659"/>
    <w:rsid w:val="0018082D"/>
    <w:rsid w:val="00180A6F"/>
    <w:rsid w:val="00180A88"/>
    <w:rsid w:val="00180B47"/>
    <w:rsid w:val="001810C1"/>
    <w:rsid w:val="00181620"/>
    <w:rsid w:val="00181630"/>
    <w:rsid w:val="00181699"/>
    <w:rsid w:val="00181B32"/>
    <w:rsid w:val="0018236D"/>
    <w:rsid w:val="001825DA"/>
    <w:rsid w:val="00182939"/>
    <w:rsid w:val="001829AF"/>
    <w:rsid w:val="001829DA"/>
    <w:rsid w:val="0018335C"/>
    <w:rsid w:val="0018397D"/>
    <w:rsid w:val="00184706"/>
    <w:rsid w:val="001848BA"/>
    <w:rsid w:val="001848D0"/>
    <w:rsid w:val="00184915"/>
    <w:rsid w:val="00184F12"/>
    <w:rsid w:val="00185270"/>
    <w:rsid w:val="00185F32"/>
    <w:rsid w:val="00186A86"/>
    <w:rsid w:val="00187427"/>
    <w:rsid w:val="001875A0"/>
    <w:rsid w:val="00187800"/>
    <w:rsid w:val="00187A95"/>
    <w:rsid w:val="00187BC8"/>
    <w:rsid w:val="00187F50"/>
    <w:rsid w:val="001900D3"/>
    <w:rsid w:val="001901E8"/>
    <w:rsid w:val="001909FC"/>
    <w:rsid w:val="00190E7A"/>
    <w:rsid w:val="00191194"/>
    <w:rsid w:val="00191641"/>
    <w:rsid w:val="0019166B"/>
    <w:rsid w:val="00191886"/>
    <w:rsid w:val="00191935"/>
    <w:rsid w:val="00191AAE"/>
    <w:rsid w:val="0019233C"/>
    <w:rsid w:val="0019241D"/>
    <w:rsid w:val="00192576"/>
    <w:rsid w:val="00192A19"/>
    <w:rsid w:val="00192B7F"/>
    <w:rsid w:val="00192D95"/>
    <w:rsid w:val="00192F2F"/>
    <w:rsid w:val="00193152"/>
    <w:rsid w:val="00193161"/>
    <w:rsid w:val="00193184"/>
    <w:rsid w:val="001934CA"/>
    <w:rsid w:val="001935EE"/>
    <w:rsid w:val="00193618"/>
    <w:rsid w:val="00193620"/>
    <w:rsid w:val="00193698"/>
    <w:rsid w:val="001936E1"/>
    <w:rsid w:val="001937B8"/>
    <w:rsid w:val="00193DD3"/>
    <w:rsid w:val="00193DFF"/>
    <w:rsid w:val="001942C9"/>
    <w:rsid w:val="00194832"/>
    <w:rsid w:val="0019486B"/>
    <w:rsid w:val="001948DE"/>
    <w:rsid w:val="00194B9B"/>
    <w:rsid w:val="00194D9A"/>
    <w:rsid w:val="00195067"/>
    <w:rsid w:val="001950D9"/>
    <w:rsid w:val="00195100"/>
    <w:rsid w:val="00195125"/>
    <w:rsid w:val="00195386"/>
    <w:rsid w:val="00196396"/>
    <w:rsid w:val="00196535"/>
    <w:rsid w:val="001965EF"/>
    <w:rsid w:val="001966E8"/>
    <w:rsid w:val="00196709"/>
    <w:rsid w:val="0019694C"/>
    <w:rsid w:val="00196B04"/>
    <w:rsid w:val="00196EAE"/>
    <w:rsid w:val="00196EBD"/>
    <w:rsid w:val="00197293"/>
    <w:rsid w:val="00197887"/>
    <w:rsid w:val="001A006D"/>
    <w:rsid w:val="001A020A"/>
    <w:rsid w:val="001A0915"/>
    <w:rsid w:val="001A09DD"/>
    <w:rsid w:val="001A0F0E"/>
    <w:rsid w:val="001A174C"/>
    <w:rsid w:val="001A18A0"/>
    <w:rsid w:val="001A1B7A"/>
    <w:rsid w:val="001A1CC7"/>
    <w:rsid w:val="001A209D"/>
    <w:rsid w:val="001A20D0"/>
    <w:rsid w:val="001A20E7"/>
    <w:rsid w:val="001A399E"/>
    <w:rsid w:val="001A3A21"/>
    <w:rsid w:val="001A3C23"/>
    <w:rsid w:val="001A3D51"/>
    <w:rsid w:val="001A3FBD"/>
    <w:rsid w:val="001A4A4D"/>
    <w:rsid w:val="001A4C6D"/>
    <w:rsid w:val="001A4EBA"/>
    <w:rsid w:val="001A5408"/>
    <w:rsid w:val="001A6139"/>
    <w:rsid w:val="001A6A05"/>
    <w:rsid w:val="001A7178"/>
    <w:rsid w:val="001A75A5"/>
    <w:rsid w:val="001A75CB"/>
    <w:rsid w:val="001A77D5"/>
    <w:rsid w:val="001A7F2D"/>
    <w:rsid w:val="001A7FAE"/>
    <w:rsid w:val="001B00B7"/>
    <w:rsid w:val="001B09DE"/>
    <w:rsid w:val="001B0B4D"/>
    <w:rsid w:val="001B1307"/>
    <w:rsid w:val="001B13B9"/>
    <w:rsid w:val="001B165D"/>
    <w:rsid w:val="001B1683"/>
    <w:rsid w:val="001B1AE4"/>
    <w:rsid w:val="001B1B79"/>
    <w:rsid w:val="001B1BCD"/>
    <w:rsid w:val="001B1FC4"/>
    <w:rsid w:val="001B2394"/>
    <w:rsid w:val="001B2591"/>
    <w:rsid w:val="001B268D"/>
    <w:rsid w:val="001B29F8"/>
    <w:rsid w:val="001B2C05"/>
    <w:rsid w:val="001B2F10"/>
    <w:rsid w:val="001B3FA2"/>
    <w:rsid w:val="001B42DA"/>
    <w:rsid w:val="001B45AE"/>
    <w:rsid w:val="001B4A79"/>
    <w:rsid w:val="001B4F5D"/>
    <w:rsid w:val="001B4FD2"/>
    <w:rsid w:val="001B5551"/>
    <w:rsid w:val="001B5968"/>
    <w:rsid w:val="001B5AA4"/>
    <w:rsid w:val="001B5C7B"/>
    <w:rsid w:val="001B5EAA"/>
    <w:rsid w:val="001B5EB2"/>
    <w:rsid w:val="001B6097"/>
    <w:rsid w:val="001B6A9C"/>
    <w:rsid w:val="001B6C63"/>
    <w:rsid w:val="001B70AE"/>
    <w:rsid w:val="001B7619"/>
    <w:rsid w:val="001B7724"/>
    <w:rsid w:val="001B7877"/>
    <w:rsid w:val="001C0863"/>
    <w:rsid w:val="001C0BBE"/>
    <w:rsid w:val="001C16C5"/>
    <w:rsid w:val="001C1908"/>
    <w:rsid w:val="001C1973"/>
    <w:rsid w:val="001C1ED0"/>
    <w:rsid w:val="001C2381"/>
    <w:rsid w:val="001C2761"/>
    <w:rsid w:val="001C29DF"/>
    <w:rsid w:val="001C3060"/>
    <w:rsid w:val="001C310B"/>
    <w:rsid w:val="001C36DF"/>
    <w:rsid w:val="001C38C8"/>
    <w:rsid w:val="001C391F"/>
    <w:rsid w:val="001C3E4A"/>
    <w:rsid w:val="001C4035"/>
    <w:rsid w:val="001C447D"/>
    <w:rsid w:val="001C4533"/>
    <w:rsid w:val="001C4831"/>
    <w:rsid w:val="001C489C"/>
    <w:rsid w:val="001C4978"/>
    <w:rsid w:val="001C50D0"/>
    <w:rsid w:val="001C5B11"/>
    <w:rsid w:val="001C61F5"/>
    <w:rsid w:val="001C6A7D"/>
    <w:rsid w:val="001C6C87"/>
    <w:rsid w:val="001C6FBE"/>
    <w:rsid w:val="001C72E3"/>
    <w:rsid w:val="001C72E7"/>
    <w:rsid w:val="001C799D"/>
    <w:rsid w:val="001C7E30"/>
    <w:rsid w:val="001C7F4C"/>
    <w:rsid w:val="001D0213"/>
    <w:rsid w:val="001D0261"/>
    <w:rsid w:val="001D038F"/>
    <w:rsid w:val="001D03A0"/>
    <w:rsid w:val="001D07DB"/>
    <w:rsid w:val="001D0D12"/>
    <w:rsid w:val="001D0ED3"/>
    <w:rsid w:val="001D167A"/>
    <w:rsid w:val="001D1719"/>
    <w:rsid w:val="001D1D67"/>
    <w:rsid w:val="001D1EA8"/>
    <w:rsid w:val="001D203B"/>
    <w:rsid w:val="001D2113"/>
    <w:rsid w:val="001D2B2B"/>
    <w:rsid w:val="001D2D04"/>
    <w:rsid w:val="001D3066"/>
    <w:rsid w:val="001D345C"/>
    <w:rsid w:val="001D3753"/>
    <w:rsid w:val="001D3C6C"/>
    <w:rsid w:val="001D4135"/>
    <w:rsid w:val="001D48C4"/>
    <w:rsid w:val="001D4D2F"/>
    <w:rsid w:val="001D510E"/>
    <w:rsid w:val="001D5727"/>
    <w:rsid w:val="001D5775"/>
    <w:rsid w:val="001D5975"/>
    <w:rsid w:val="001D5CC8"/>
    <w:rsid w:val="001D5DBE"/>
    <w:rsid w:val="001D68B4"/>
    <w:rsid w:val="001D6BDF"/>
    <w:rsid w:val="001D74DB"/>
    <w:rsid w:val="001D7ABC"/>
    <w:rsid w:val="001D7B59"/>
    <w:rsid w:val="001D7BD6"/>
    <w:rsid w:val="001D7FEC"/>
    <w:rsid w:val="001E0012"/>
    <w:rsid w:val="001E0044"/>
    <w:rsid w:val="001E0237"/>
    <w:rsid w:val="001E070B"/>
    <w:rsid w:val="001E0903"/>
    <w:rsid w:val="001E0D7B"/>
    <w:rsid w:val="001E10AF"/>
    <w:rsid w:val="001E10CA"/>
    <w:rsid w:val="001E1247"/>
    <w:rsid w:val="001E13DD"/>
    <w:rsid w:val="001E13F6"/>
    <w:rsid w:val="001E15B2"/>
    <w:rsid w:val="001E237B"/>
    <w:rsid w:val="001E287D"/>
    <w:rsid w:val="001E2B51"/>
    <w:rsid w:val="001E2E7E"/>
    <w:rsid w:val="001E30D1"/>
    <w:rsid w:val="001E341C"/>
    <w:rsid w:val="001E353D"/>
    <w:rsid w:val="001E3742"/>
    <w:rsid w:val="001E37AC"/>
    <w:rsid w:val="001E3A37"/>
    <w:rsid w:val="001E3AAD"/>
    <w:rsid w:val="001E3C57"/>
    <w:rsid w:val="001E3CD5"/>
    <w:rsid w:val="001E48F8"/>
    <w:rsid w:val="001E4CD1"/>
    <w:rsid w:val="001E4D80"/>
    <w:rsid w:val="001E4DFD"/>
    <w:rsid w:val="001E5771"/>
    <w:rsid w:val="001E58FB"/>
    <w:rsid w:val="001E5C98"/>
    <w:rsid w:val="001E614D"/>
    <w:rsid w:val="001E6DEB"/>
    <w:rsid w:val="001E6F43"/>
    <w:rsid w:val="001E6FA3"/>
    <w:rsid w:val="001E6FD4"/>
    <w:rsid w:val="001E70D5"/>
    <w:rsid w:val="001E72AF"/>
    <w:rsid w:val="001E76DE"/>
    <w:rsid w:val="001E7C24"/>
    <w:rsid w:val="001F01CD"/>
    <w:rsid w:val="001F0491"/>
    <w:rsid w:val="001F1219"/>
    <w:rsid w:val="001F1382"/>
    <w:rsid w:val="001F1698"/>
    <w:rsid w:val="001F1ABA"/>
    <w:rsid w:val="001F1C02"/>
    <w:rsid w:val="001F1F91"/>
    <w:rsid w:val="001F212A"/>
    <w:rsid w:val="001F248A"/>
    <w:rsid w:val="001F2689"/>
    <w:rsid w:val="001F299C"/>
    <w:rsid w:val="001F3162"/>
    <w:rsid w:val="001F3A89"/>
    <w:rsid w:val="001F3D0A"/>
    <w:rsid w:val="001F465B"/>
    <w:rsid w:val="001F4F54"/>
    <w:rsid w:val="001F4F63"/>
    <w:rsid w:val="001F522D"/>
    <w:rsid w:val="001F5414"/>
    <w:rsid w:val="001F577F"/>
    <w:rsid w:val="001F5792"/>
    <w:rsid w:val="001F5D19"/>
    <w:rsid w:val="001F5E57"/>
    <w:rsid w:val="001F5F3C"/>
    <w:rsid w:val="001F5FA9"/>
    <w:rsid w:val="001F627C"/>
    <w:rsid w:val="001F66FF"/>
    <w:rsid w:val="001F6DFA"/>
    <w:rsid w:val="001F6F42"/>
    <w:rsid w:val="001F6F58"/>
    <w:rsid w:val="001F707F"/>
    <w:rsid w:val="001F7241"/>
    <w:rsid w:val="001F77B3"/>
    <w:rsid w:val="00200069"/>
    <w:rsid w:val="0020088D"/>
    <w:rsid w:val="00200CD4"/>
    <w:rsid w:val="00200DA8"/>
    <w:rsid w:val="00200FC3"/>
    <w:rsid w:val="00201227"/>
    <w:rsid w:val="0020165E"/>
    <w:rsid w:val="002017EA"/>
    <w:rsid w:val="002018DF"/>
    <w:rsid w:val="00201913"/>
    <w:rsid w:val="00201B2B"/>
    <w:rsid w:val="00201E9E"/>
    <w:rsid w:val="00201EF5"/>
    <w:rsid w:val="002021F0"/>
    <w:rsid w:val="002026AC"/>
    <w:rsid w:val="00202E71"/>
    <w:rsid w:val="00202E90"/>
    <w:rsid w:val="0020308A"/>
    <w:rsid w:val="002032A5"/>
    <w:rsid w:val="002039D8"/>
    <w:rsid w:val="00203B29"/>
    <w:rsid w:val="00203D3E"/>
    <w:rsid w:val="00204033"/>
    <w:rsid w:val="002040DA"/>
    <w:rsid w:val="00204658"/>
    <w:rsid w:val="00204A07"/>
    <w:rsid w:val="00205236"/>
    <w:rsid w:val="00205993"/>
    <w:rsid w:val="00205C40"/>
    <w:rsid w:val="00205E78"/>
    <w:rsid w:val="00206096"/>
    <w:rsid w:val="002061A6"/>
    <w:rsid w:val="00206424"/>
    <w:rsid w:val="0020651B"/>
    <w:rsid w:val="002072C2"/>
    <w:rsid w:val="002079FD"/>
    <w:rsid w:val="00207B0A"/>
    <w:rsid w:val="00210132"/>
    <w:rsid w:val="002103F8"/>
    <w:rsid w:val="0021044B"/>
    <w:rsid w:val="00210551"/>
    <w:rsid w:val="00210F67"/>
    <w:rsid w:val="00211246"/>
    <w:rsid w:val="00211301"/>
    <w:rsid w:val="002113E4"/>
    <w:rsid w:val="002116B8"/>
    <w:rsid w:val="00211DA7"/>
    <w:rsid w:val="00211E23"/>
    <w:rsid w:val="00211EA8"/>
    <w:rsid w:val="0021235F"/>
    <w:rsid w:val="00212381"/>
    <w:rsid w:val="002129F2"/>
    <w:rsid w:val="00212AC1"/>
    <w:rsid w:val="00212F3D"/>
    <w:rsid w:val="0021317A"/>
    <w:rsid w:val="0021324E"/>
    <w:rsid w:val="002139B7"/>
    <w:rsid w:val="00213BD7"/>
    <w:rsid w:val="00213F70"/>
    <w:rsid w:val="00214065"/>
    <w:rsid w:val="00214467"/>
    <w:rsid w:val="00214502"/>
    <w:rsid w:val="00214513"/>
    <w:rsid w:val="002146C3"/>
    <w:rsid w:val="00214DBC"/>
    <w:rsid w:val="00214F45"/>
    <w:rsid w:val="00215693"/>
    <w:rsid w:val="002156D0"/>
    <w:rsid w:val="002157D3"/>
    <w:rsid w:val="00215AC8"/>
    <w:rsid w:val="00215D1E"/>
    <w:rsid w:val="00215E0B"/>
    <w:rsid w:val="00215F6E"/>
    <w:rsid w:val="00216710"/>
    <w:rsid w:val="00217298"/>
    <w:rsid w:val="002178D5"/>
    <w:rsid w:val="00217A04"/>
    <w:rsid w:val="00217A42"/>
    <w:rsid w:val="00217B0B"/>
    <w:rsid w:val="00217FE9"/>
    <w:rsid w:val="00220040"/>
    <w:rsid w:val="002201ED"/>
    <w:rsid w:val="0022053E"/>
    <w:rsid w:val="00220922"/>
    <w:rsid w:val="00220E4D"/>
    <w:rsid w:val="00220E8D"/>
    <w:rsid w:val="00220F71"/>
    <w:rsid w:val="002218AB"/>
    <w:rsid w:val="00221AA1"/>
    <w:rsid w:val="00221F19"/>
    <w:rsid w:val="00222643"/>
    <w:rsid w:val="002226B0"/>
    <w:rsid w:val="00222B2F"/>
    <w:rsid w:val="00223323"/>
    <w:rsid w:val="002236ED"/>
    <w:rsid w:val="0022372B"/>
    <w:rsid w:val="002238FC"/>
    <w:rsid w:val="00223CDB"/>
    <w:rsid w:val="00223D0A"/>
    <w:rsid w:val="00223D27"/>
    <w:rsid w:val="00224070"/>
    <w:rsid w:val="002241CF"/>
    <w:rsid w:val="002245F3"/>
    <w:rsid w:val="002246F0"/>
    <w:rsid w:val="00224C19"/>
    <w:rsid w:val="00224E78"/>
    <w:rsid w:val="002251AB"/>
    <w:rsid w:val="00225396"/>
    <w:rsid w:val="00225561"/>
    <w:rsid w:val="002257C8"/>
    <w:rsid w:val="00225824"/>
    <w:rsid w:val="00225EA7"/>
    <w:rsid w:val="00226469"/>
    <w:rsid w:val="00226660"/>
    <w:rsid w:val="002267D0"/>
    <w:rsid w:val="0022695A"/>
    <w:rsid w:val="00226D29"/>
    <w:rsid w:val="00227038"/>
    <w:rsid w:val="002278EA"/>
    <w:rsid w:val="002278FB"/>
    <w:rsid w:val="002279EC"/>
    <w:rsid w:val="00227B07"/>
    <w:rsid w:val="00227BE4"/>
    <w:rsid w:val="002300F6"/>
    <w:rsid w:val="00230294"/>
    <w:rsid w:val="00230451"/>
    <w:rsid w:val="002305DB"/>
    <w:rsid w:val="00230751"/>
    <w:rsid w:val="002308C4"/>
    <w:rsid w:val="00230A1D"/>
    <w:rsid w:val="00230A7B"/>
    <w:rsid w:val="00230B8F"/>
    <w:rsid w:val="00230F0C"/>
    <w:rsid w:val="00231172"/>
    <w:rsid w:val="002315E6"/>
    <w:rsid w:val="002316A4"/>
    <w:rsid w:val="0023171E"/>
    <w:rsid w:val="002318B0"/>
    <w:rsid w:val="00231A25"/>
    <w:rsid w:val="00231A98"/>
    <w:rsid w:val="00232050"/>
    <w:rsid w:val="00232815"/>
    <w:rsid w:val="00232EC4"/>
    <w:rsid w:val="002332A6"/>
    <w:rsid w:val="00233C32"/>
    <w:rsid w:val="00234179"/>
    <w:rsid w:val="00234367"/>
    <w:rsid w:val="002344F8"/>
    <w:rsid w:val="00234B93"/>
    <w:rsid w:val="002351C8"/>
    <w:rsid w:val="002353C9"/>
    <w:rsid w:val="00235869"/>
    <w:rsid w:val="002359AA"/>
    <w:rsid w:val="002359BB"/>
    <w:rsid w:val="00235C4D"/>
    <w:rsid w:val="00235C69"/>
    <w:rsid w:val="00235DAD"/>
    <w:rsid w:val="0023674D"/>
    <w:rsid w:val="0023687E"/>
    <w:rsid w:val="00236AFB"/>
    <w:rsid w:val="00236CB0"/>
    <w:rsid w:val="00236E56"/>
    <w:rsid w:val="00237A76"/>
    <w:rsid w:val="00237DCB"/>
    <w:rsid w:val="002401F1"/>
    <w:rsid w:val="00240369"/>
    <w:rsid w:val="00240506"/>
    <w:rsid w:val="00241449"/>
    <w:rsid w:val="002414D0"/>
    <w:rsid w:val="00241A12"/>
    <w:rsid w:val="002420F8"/>
    <w:rsid w:val="00242210"/>
    <w:rsid w:val="00242C29"/>
    <w:rsid w:val="00242DBD"/>
    <w:rsid w:val="00242FFC"/>
    <w:rsid w:val="00243043"/>
    <w:rsid w:val="002430BE"/>
    <w:rsid w:val="0024319A"/>
    <w:rsid w:val="002431D8"/>
    <w:rsid w:val="00243659"/>
    <w:rsid w:val="00243755"/>
    <w:rsid w:val="00243A74"/>
    <w:rsid w:val="00243BC3"/>
    <w:rsid w:val="00243FFE"/>
    <w:rsid w:val="00244269"/>
    <w:rsid w:val="002446D7"/>
    <w:rsid w:val="0024481B"/>
    <w:rsid w:val="00244EA4"/>
    <w:rsid w:val="00244F38"/>
    <w:rsid w:val="0024507F"/>
    <w:rsid w:val="002450BA"/>
    <w:rsid w:val="00245466"/>
    <w:rsid w:val="00245979"/>
    <w:rsid w:val="00245AD3"/>
    <w:rsid w:val="00246317"/>
    <w:rsid w:val="0024666C"/>
    <w:rsid w:val="00246A18"/>
    <w:rsid w:val="00246DA1"/>
    <w:rsid w:val="0024738A"/>
    <w:rsid w:val="00247D7B"/>
    <w:rsid w:val="00247E05"/>
    <w:rsid w:val="0025047E"/>
    <w:rsid w:val="00250A84"/>
    <w:rsid w:val="00250CBB"/>
    <w:rsid w:val="00250FFD"/>
    <w:rsid w:val="00251263"/>
    <w:rsid w:val="00251A74"/>
    <w:rsid w:val="00251A89"/>
    <w:rsid w:val="00251C77"/>
    <w:rsid w:val="0025223A"/>
    <w:rsid w:val="002522BF"/>
    <w:rsid w:val="00252AA6"/>
    <w:rsid w:val="00252B05"/>
    <w:rsid w:val="00252CEF"/>
    <w:rsid w:val="0025326D"/>
    <w:rsid w:val="0025362F"/>
    <w:rsid w:val="00253D2E"/>
    <w:rsid w:val="00253E79"/>
    <w:rsid w:val="00253F0F"/>
    <w:rsid w:val="00254150"/>
    <w:rsid w:val="002542CF"/>
    <w:rsid w:val="002543B6"/>
    <w:rsid w:val="00254438"/>
    <w:rsid w:val="00254794"/>
    <w:rsid w:val="00254A0E"/>
    <w:rsid w:val="002552F0"/>
    <w:rsid w:val="00255656"/>
    <w:rsid w:val="002556E2"/>
    <w:rsid w:val="002557F9"/>
    <w:rsid w:val="00255828"/>
    <w:rsid w:val="00255CF1"/>
    <w:rsid w:val="00256078"/>
    <w:rsid w:val="00256A9B"/>
    <w:rsid w:val="0025701E"/>
    <w:rsid w:val="00257134"/>
    <w:rsid w:val="0025714B"/>
    <w:rsid w:val="00257927"/>
    <w:rsid w:val="00257B61"/>
    <w:rsid w:val="00260078"/>
    <w:rsid w:val="00260986"/>
    <w:rsid w:val="00260AF0"/>
    <w:rsid w:val="00261273"/>
    <w:rsid w:val="00261275"/>
    <w:rsid w:val="00261448"/>
    <w:rsid w:val="002616CA"/>
    <w:rsid w:val="002617F1"/>
    <w:rsid w:val="0026182D"/>
    <w:rsid w:val="002619A4"/>
    <w:rsid w:val="00262180"/>
    <w:rsid w:val="00262416"/>
    <w:rsid w:val="00262686"/>
    <w:rsid w:val="00262784"/>
    <w:rsid w:val="002629E0"/>
    <w:rsid w:val="00262C85"/>
    <w:rsid w:val="00262D3F"/>
    <w:rsid w:val="00262E40"/>
    <w:rsid w:val="00262EDC"/>
    <w:rsid w:val="0026345A"/>
    <w:rsid w:val="00263C6A"/>
    <w:rsid w:val="00263D54"/>
    <w:rsid w:val="00263FCC"/>
    <w:rsid w:val="0026569F"/>
    <w:rsid w:val="00265EC2"/>
    <w:rsid w:val="00266222"/>
    <w:rsid w:val="00266242"/>
    <w:rsid w:val="0026639F"/>
    <w:rsid w:val="0026669B"/>
    <w:rsid w:val="002666B1"/>
    <w:rsid w:val="00267335"/>
    <w:rsid w:val="0026739A"/>
    <w:rsid w:val="00267581"/>
    <w:rsid w:val="00267B1D"/>
    <w:rsid w:val="00270141"/>
    <w:rsid w:val="002708C7"/>
    <w:rsid w:val="00270AF5"/>
    <w:rsid w:val="0027125D"/>
    <w:rsid w:val="002712E2"/>
    <w:rsid w:val="002717C9"/>
    <w:rsid w:val="00271E19"/>
    <w:rsid w:val="00271E99"/>
    <w:rsid w:val="00271F93"/>
    <w:rsid w:val="002720C9"/>
    <w:rsid w:val="002724C1"/>
    <w:rsid w:val="00272678"/>
    <w:rsid w:val="0027277A"/>
    <w:rsid w:val="00272910"/>
    <w:rsid w:val="00273C1B"/>
    <w:rsid w:val="0027417A"/>
    <w:rsid w:val="00274A2E"/>
    <w:rsid w:val="00274A9F"/>
    <w:rsid w:val="00274CFA"/>
    <w:rsid w:val="00274E02"/>
    <w:rsid w:val="00275597"/>
    <w:rsid w:val="0027593A"/>
    <w:rsid w:val="00275A26"/>
    <w:rsid w:val="00275D1E"/>
    <w:rsid w:val="00276198"/>
    <w:rsid w:val="00276453"/>
    <w:rsid w:val="002768A6"/>
    <w:rsid w:val="002768FC"/>
    <w:rsid w:val="00276A09"/>
    <w:rsid w:val="00276CEA"/>
    <w:rsid w:val="00276E63"/>
    <w:rsid w:val="002770BB"/>
    <w:rsid w:val="002770C4"/>
    <w:rsid w:val="00277823"/>
    <w:rsid w:val="002778D2"/>
    <w:rsid w:val="00277A57"/>
    <w:rsid w:val="00277E3B"/>
    <w:rsid w:val="00277E9F"/>
    <w:rsid w:val="00280130"/>
    <w:rsid w:val="002802CF"/>
    <w:rsid w:val="0028080A"/>
    <w:rsid w:val="00280E47"/>
    <w:rsid w:val="00280FBD"/>
    <w:rsid w:val="0028115F"/>
    <w:rsid w:val="00281409"/>
    <w:rsid w:val="00281FFE"/>
    <w:rsid w:val="002820C9"/>
    <w:rsid w:val="002821CC"/>
    <w:rsid w:val="00282314"/>
    <w:rsid w:val="002829CA"/>
    <w:rsid w:val="002829CB"/>
    <w:rsid w:val="00282BD1"/>
    <w:rsid w:val="0028350D"/>
    <w:rsid w:val="0028364E"/>
    <w:rsid w:val="00283744"/>
    <w:rsid w:val="00283C2E"/>
    <w:rsid w:val="002840D4"/>
    <w:rsid w:val="00284923"/>
    <w:rsid w:val="00284AC8"/>
    <w:rsid w:val="00284BCA"/>
    <w:rsid w:val="00285003"/>
    <w:rsid w:val="002856D6"/>
    <w:rsid w:val="002859E3"/>
    <w:rsid w:val="00285B3C"/>
    <w:rsid w:val="00285C1C"/>
    <w:rsid w:val="00285FB3"/>
    <w:rsid w:val="00286400"/>
    <w:rsid w:val="0028646A"/>
    <w:rsid w:val="002869E9"/>
    <w:rsid w:val="00286AC1"/>
    <w:rsid w:val="00286D8C"/>
    <w:rsid w:val="00286DC7"/>
    <w:rsid w:val="002870C6"/>
    <w:rsid w:val="002878D7"/>
    <w:rsid w:val="00287BDC"/>
    <w:rsid w:val="00290040"/>
    <w:rsid w:val="0029004F"/>
    <w:rsid w:val="00290204"/>
    <w:rsid w:val="00290511"/>
    <w:rsid w:val="0029097D"/>
    <w:rsid w:val="002909D4"/>
    <w:rsid w:val="0029159F"/>
    <w:rsid w:val="00291BF7"/>
    <w:rsid w:val="00291C60"/>
    <w:rsid w:val="00291CB5"/>
    <w:rsid w:val="002921CF"/>
    <w:rsid w:val="00292E5A"/>
    <w:rsid w:val="00292E5B"/>
    <w:rsid w:val="00293068"/>
    <w:rsid w:val="00293344"/>
    <w:rsid w:val="002933A8"/>
    <w:rsid w:val="002935B4"/>
    <w:rsid w:val="0029385A"/>
    <w:rsid w:val="002938F5"/>
    <w:rsid w:val="0029395C"/>
    <w:rsid w:val="00294279"/>
    <w:rsid w:val="002942F9"/>
    <w:rsid w:val="002946C8"/>
    <w:rsid w:val="00294B14"/>
    <w:rsid w:val="00294C43"/>
    <w:rsid w:val="002952DD"/>
    <w:rsid w:val="0029539E"/>
    <w:rsid w:val="0029561C"/>
    <w:rsid w:val="002957B8"/>
    <w:rsid w:val="0029583B"/>
    <w:rsid w:val="00295912"/>
    <w:rsid w:val="00295942"/>
    <w:rsid w:val="00295968"/>
    <w:rsid w:val="00295CB7"/>
    <w:rsid w:val="00295F54"/>
    <w:rsid w:val="002962AE"/>
    <w:rsid w:val="00296C0B"/>
    <w:rsid w:val="00297AFE"/>
    <w:rsid w:val="00297F66"/>
    <w:rsid w:val="002A02C1"/>
    <w:rsid w:val="002A0BDE"/>
    <w:rsid w:val="002A12D2"/>
    <w:rsid w:val="002A135E"/>
    <w:rsid w:val="002A1915"/>
    <w:rsid w:val="002A19CC"/>
    <w:rsid w:val="002A1A77"/>
    <w:rsid w:val="002A2E9D"/>
    <w:rsid w:val="002A32EE"/>
    <w:rsid w:val="002A372D"/>
    <w:rsid w:val="002A3ACC"/>
    <w:rsid w:val="002A424A"/>
    <w:rsid w:val="002A46BC"/>
    <w:rsid w:val="002A4F10"/>
    <w:rsid w:val="002A50C6"/>
    <w:rsid w:val="002A512B"/>
    <w:rsid w:val="002A5166"/>
    <w:rsid w:val="002A59C1"/>
    <w:rsid w:val="002A5C25"/>
    <w:rsid w:val="002A5EB3"/>
    <w:rsid w:val="002A5FDF"/>
    <w:rsid w:val="002A6440"/>
    <w:rsid w:val="002A64E2"/>
    <w:rsid w:val="002A64FA"/>
    <w:rsid w:val="002A6934"/>
    <w:rsid w:val="002A713A"/>
    <w:rsid w:val="002A72F8"/>
    <w:rsid w:val="002A7449"/>
    <w:rsid w:val="002A7C44"/>
    <w:rsid w:val="002B0414"/>
    <w:rsid w:val="002B05D1"/>
    <w:rsid w:val="002B072C"/>
    <w:rsid w:val="002B0875"/>
    <w:rsid w:val="002B0B65"/>
    <w:rsid w:val="002B0CC0"/>
    <w:rsid w:val="002B178D"/>
    <w:rsid w:val="002B1AD9"/>
    <w:rsid w:val="002B1BFC"/>
    <w:rsid w:val="002B212F"/>
    <w:rsid w:val="002B2508"/>
    <w:rsid w:val="002B2BFD"/>
    <w:rsid w:val="002B3426"/>
    <w:rsid w:val="002B3907"/>
    <w:rsid w:val="002B39D7"/>
    <w:rsid w:val="002B3C2F"/>
    <w:rsid w:val="002B3D30"/>
    <w:rsid w:val="002B4051"/>
    <w:rsid w:val="002B425F"/>
    <w:rsid w:val="002B479C"/>
    <w:rsid w:val="002B4AA9"/>
    <w:rsid w:val="002B4F0C"/>
    <w:rsid w:val="002B50B0"/>
    <w:rsid w:val="002B53AC"/>
    <w:rsid w:val="002B55F8"/>
    <w:rsid w:val="002B5B33"/>
    <w:rsid w:val="002B5BFE"/>
    <w:rsid w:val="002B5C11"/>
    <w:rsid w:val="002B5E5F"/>
    <w:rsid w:val="002B66F2"/>
    <w:rsid w:val="002B685E"/>
    <w:rsid w:val="002B6D0A"/>
    <w:rsid w:val="002B6DC5"/>
    <w:rsid w:val="002B793B"/>
    <w:rsid w:val="002B7D2A"/>
    <w:rsid w:val="002B7FCE"/>
    <w:rsid w:val="002C058E"/>
    <w:rsid w:val="002C1626"/>
    <w:rsid w:val="002C19B7"/>
    <w:rsid w:val="002C1D3F"/>
    <w:rsid w:val="002C1F28"/>
    <w:rsid w:val="002C23ED"/>
    <w:rsid w:val="002C2446"/>
    <w:rsid w:val="002C2B5D"/>
    <w:rsid w:val="002C3057"/>
    <w:rsid w:val="002C3831"/>
    <w:rsid w:val="002C3A3F"/>
    <w:rsid w:val="002C3B60"/>
    <w:rsid w:val="002C3E3C"/>
    <w:rsid w:val="002C3F3C"/>
    <w:rsid w:val="002C4196"/>
    <w:rsid w:val="002C424D"/>
    <w:rsid w:val="002C4884"/>
    <w:rsid w:val="002C4D59"/>
    <w:rsid w:val="002C4FEC"/>
    <w:rsid w:val="002C503C"/>
    <w:rsid w:val="002C50C7"/>
    <w:rsid w:val="002C549A"/>
    <w:rsid w:val="002C5585"/>
    <w:rsid w:val="002C5823"/>
    <w:rsid w:val="002C5D57"/>
    <w:rsid w:val="002C604A"/>
    <w:rsid w:val="002C60B4"/>
    <w:rsid w:val="002C61EA"/>
    <w:rsid w:val="002C637B"/>
    <w:rsid w:val="002C66D5"/>
    <w:rsid w:val="002C66F8"/>
    <w:rsid w:val="002C678B"/>
    <w:rsid w:val="002C6987"/>
    <w:rsid w:val="002C6D23"/>
    <w:rsid w:val="002C6DFE"/>
    <w:rsid w:val="002C72E8"/>
    <w:rsid w:val="002C73EA"/>
    <w:rsid w:val="002C73F1"/>
    <w:rsid w:val="002C76A7"/>
    <w:rsid w:val="002C7701"/>
    <w:rsid w:val="002C7B1E"/>
    <w:rsid w:val="002C7C66"/>
    <w:rsid w:val="002C7D82"/>
    <w:rsid w:val="002D0232"/>
    <w:rsid w:val="002D0755"/>
    <w:rsid w:val="002D0CFF"/>
    <w:rsid w:val="002D104C"/>
    <w:rsid w:val="002D1324"/>
    <w:rsid w:val="002D1CBE"/>
    <w:rsid w:val="002D1E48"/>
    <w:rsid w:val="002D2026"/>
    <w:rsid w:val="002D3230"/>
    <w:rsid w:val="002D37AB"/>
    <w:rsid w:val="002D38BB"/>
    <w:rsid w:val="002D3AAD"/>
    <w:rsid w:val="002D3E79"/>
    <w:rsid w:val="002D413F"/>
    <w:rsid w:val="002D4557"/>
    <w:rsid w:val="002D4710"/>
    <w:rsid w:val="002D4988"/>
    <w:rsid w:val="002D4DA7"/>
    <w:rsid w:val="002D50B2"/>
    <w:rsid w:val="002D520E"/>
    <w:rsid w:val="002D578F"/>
    <w:rsid w:val="002D59C6"/>
    <w:rsid w:val="002D5CC9"/>
    <w:rsid w:val="002D5FB9"/>
    <w:rsid w:val="002D6096"/>
    <w:rsid w:val="002D6154"/>
    <w:rsid w:val="002D63D8"/>
    <w:rsid w:val="002D665D"/>
    <w:rsid w:val="002D69D3"/>
    <w:rsid w:val="002D6DB2"/>
    <w:rsid w:val="002D7199"/>
    <w:rsid w:val="002D7284"/>
    <w:rsid w:val="002D7669"/>
    <w:rsid w:val="002D791D"/>
    <w:rsid w:val="002D7A64"/>
    <w:rsid w:val="002D7BD1"/>
    <w:rsid w:val="002D7BF6"/>
    <w:rsid w:val="002D7C6C"/>
    <w:rsid w:val="002D7F57"/>
    <w:rsid w:val="002E03FD"/>
    <w:rsid w:val="002E0422"/>
    <w:rsid w:val="002E0E22"/>
    <w:rsid w:val="002E0F7D"/>
    <w:rsid w:val="002E11D4"/>
    <w:rsid w:val="002E1261"/>
    <w:rsid w:val="002E1687"/>
    <w:rsid w:val="002E1893"/>
    <w:rsid w:val="002E1957"/>
    <w:rsid w:val="002E1C83"/>
    <w:rsid w:val="002E1F97"/>
    <w:rsid w:val="002E28AC"/>
    <w:rsid w:val="002E2F45"/>
    <w:rsid w:val="002E32F3"/>
    <w:rsid w:val="002E34E0"/>
    <w:rsid w:val="002E34FB"/>
    <w:rsid w:val="002E3A11"/>
    <w:rsid w:val="002E40A5"/>
    <w:rsid w:val="002E41EB"/>
    <w:rsid w:val="002E420E"/>
    <w:rsid w:val="002E4AB5"/>
    <w:rsid w:val="002E4D20"/>
    <w:rsid w:val="002E4DE3"/>
    <w:rsid w:val="002E4FB0"/>
    <w:rsid w:val="002E5201"/>
    <w:rsid w:val="002E529D"/>
    <w:rsid w:val="002E56FE"/>
    <w:rsid w:val="002E5887"/>
    <w:rsid w:val="002E5DEF"/>
    <w:rsid w:val="002E6221"/>
    <w:rsid w:val="002E6477"/>
    <w:rsid w:val="002E6614"/>
    <w:rsid w:val="002E67EE"/>
    <w:rsid w:val="002E68BC"/>
    <w:rsid w:val="002E70C9"/>
    <w:rsid w:val="002E70E5"/>
    <w:rsid w:val="002E7AFD"/>
    <w:rsid w:val="002E7C3F"/>
    <w:rsid w:val="002F0127"/>
    <w:rsid w:val="002F021C"/>
    <w:rsid w:val="002F08C5"/>
    <w:rsid w:val="002F0A70"/>
    <w:rsid w:val="002F0B4E"/>
    <w:rsid w:val="002F10A1"/>
    <w:rsid w:val="002F1881"/>
    <w:rsid w:val="002F1AD2"/>
    <w:rsid w:val="002F1F13"/>
    <w:rsid w:val="002F20D1"/>
    <w:rsid w:val="002F20F7"/>
    <w:rsid w:val="002F28BB"/>
    <w:rsid w:val="002F29FA"/>
    <w:rsid w:val="002F2A48"/>
    <w:rsid w:val="002F2CEE"/>
    <w:rsid w:val="002F3088"/>
    <w:rsid w:val="002F3428"/>
    <w:rsid w:val="002F3825"/>
    <w:rsid w:val="002F3E03"/>
    <w:rsid w:val="002F41E5"/>
    <w:rsid w:val="002F421C"/>
    <w:rsid w:val="002F426C"/>
    <w:rsid w:val="002F4A92"/>
    <w:rsid w:val="002F4BAD"/>
    <w:rsid w:val="002F5BCB"/>
    <w:rsid w:val="002F5C32"/>
    <w:rsid w:val="002F6319"/>
    <w:rsid w:val="002F655F"/>
    <w:rsid w:val="002F67B5"/>
    <w:rsid w:val="002F67E6"/>
    <w:rsid w:val="002F6834"/>
    <w:rsid w:val="002F6E9C"/>
    <w:rsid w:val="002F6F43"/>
    <w:rsid w:val="002F7091"/>
    <w:rsid w:val="002F756A"/>
    <w:rsid w:val="002F778A"/>
    <w:rsid w:val="002F79A1"/>
    <w:rsid w:val="002F7DBE"/>
    <w:rsid w:val="0030090E"/>
    <w:rsid w:val="0030110F"/>
    <w:rsid w:val="003011DB"/>
    <w:rsid w:val="00301A06"/>
    <w:rsid w:val="00301D72"/>
    <w:rsid w:val="00301E08"/>
    <w:rsid w:val="00301E43"/>
    <w:rsid w:val="00302476"/>
    <w:rsid w:val="003025DF"/>
    <w:rsid w:val="003029E1"/>
    <w:rsid w:val="00302C44"/>
    <w:rsid w:val="003030F9"/>
    <w:rsid w:val="00303161"/>
    <w:rsid w:val="0030329C"/>
    <w:rsid w:val="003034A8"/>
    <w:rsid w:val="003039C6"/>
    <w:rsid w:val="00304614"/>
    <w:rsid w:val="003046C4"/>
    <w:rsid w:val="00304D43"/>
    <w:rsid w:val="00304DD7"/>
    <w:rsid w:val="00304E5F"/>
    <w:rsid w:val="00305FE9"/>
    <w:rsid w:val="003065A0"/>
    <w:rsid w:val="00306979"/>
    <w:rsid w:val="00306F07"/>
    <w:rsid w:val="00307026"/>
    <w:rsid w:val="0030730D"/>
    <w:rsid w:val="003078F5"/>
    <w:rsid w:val="00307987"/>
    <w:rsid w:val="00307A4A"/>
    <w:rsid w:val="00307BAC"/>
    <w:rsid w:val="00307C6B"/>
    <w:rsid w:val="00307E49"/>
    <w:rsid w:val="00310354"/>
    <w:rsid w:val="003104F7"/>
    <w:rsid w:val="0031098D"/>
    <w:rsid w:val="00310B02"/>
    <w:rsid w:val="00310F00"/>
    <w:rsid w:val="00310FE4"/>
    <w:rsid w:val="003110E7"/>
    <w:rsid w:val="0031141F"/>
    <w:rsid w:val="003114E2"/>
    <w:rsid w:val="00311808"/>
    <w:rsid w:val="00311938"/>
    <w:rsid w:val="00312147"/>
    <w:rsid w:val="003126C5"/>
    <w:rsid w:val="00312982"/>
    <w:rsid w:val="00312DEC"/>
    <w:rsid w:val="00312E30"/>
    <w:rsid w:val="00312F96"/>
    <w:rsid w:val="00314265"/>
    <w:rsid w:val="0031444E"/>
    <w:rsid w:val="00314925"/>
    <w:rsid w:val="00314AD2"/>
    <w:rsid w:val="00314B0A"/>
    <w:rsid w:val="00314D0D"/>
    <w:rsid w:val="00314EB2"/>
    <w:rsid w:val="00315966"/>
    <w:rsid w:val="00315E44"/>
    <w:rsid w:val="00315FB5"/>
    <w:rsid w:val="0031639C"/>
    <w:rsid w:val="003165D2"/>
    <w:rsid w:val="0031673D"/>
    <w:rsid w:val="003173DA"/>
    <w:rsid w:val="003174F3"/>
    <w:rsid w:val="00317B66"/>
    <w:rsid w:val="0032051C"/>
    <w:rsid w:val="003207DC"/>
    <w:rsid w:val="003213D1"/>
    <w:rsid w:val="00321B0E"/>
    <w:rsid w:val="00322138"/>
    <w:rsid w:val="00322150"/>
    <w:rsid w:val="00322283"/>
    <w:rsid w:val="003225EA"/>
    <w:rsid w:val="00322626"/>
    <w:rsid w:val="0032267C"/>
    <w:rsid w:val="00322A76"/>
    <w:rsid w:val="00322BFC"/>
    <w:rsid w:val="00322FAA"/>
    <w:rsid w:val="0032364C"/>
    <w:rsid w:val="00323857"/>
    <w:rsid w:val="00323883"/>
    <w:rsid w:val="00323930"/>
    <w:rsid w:val="00323C85"/>
    <w:rsid w:val="00323D55"/>
    <w:rsid w:val="003240E9"/>
    <w:rsid w:val="003241C3"/>
    <w:rsid w:val="003243BF"/>
    <w:rsid w:val="0032440E"/>
    <w:rsid w:val="0032490A"/>
    <w:rsid w:val="00324944"/>
    <w:rsid w:val="00324C4A"/>
    <w:rsid w:val="00324F23"/>
    <w:rsid w:val="00325068"/>
    <w:rsid w:val="00325C51"/>
    <w:rsid w:val="00325DDA"/>
    <w:rsid w:val="00325E82"/>
    <w:rsid w:val="00325F4C"/>
    <w:rsid w:val="003260E7"/>
    <w:rsid w:val="003263BF"/>
    <w:rsid w:val="00326A67"/>
    <w:rsid w:val="00326F50"/>
    <w:rsid w:val="0032704C"/>
    <w:rsid w:val="00327222"/>
    <w:rsid w:val="0032772D"/>
    <w:rsid w:val="00327CF6"/>
    <w:rsid w:val="0033014C"/>
    <w:rsid w:val="00330335"/>
    <w:rsid w:val="00330799"/>
    <w:rsid w:val="003307F6"/>
    <w:rsid w:val="00330B3A"/>
    <w:rsid w:val="00331467"/>
    <w:rsid w:val="003318D2"/>
    <w:rsid w:val="00331CDD"/>
    <w:rsid w:val="003323E0"/>
    <w:rsid w:val="0033265E"/>
    <w:rsid w:val="003326C3"/>
    <w:rsid w:val="0033270C"/>
    <w:rsid w:val="00332888"/>
    <w:rsid w:val="00332969"/>
    <w:rsid w:val="00332BCF"/>
    <w:rsid w:val="00332E90"/>
    <w:rsid w:val="00333062"/>
    <w:rsid w:val="003331C6"/>
    <w:rsid w:val="00333CC9"/>
    <w:rsid w:val="00334133"/>
    <w:rsid w:val="00334A0A"/>
    <w:rsid w:val="00334EA6"/>
    <w:rsid w:val="003350E3"/>
    <w:rsid w:val="003353DF"/>
    <w:rsid w:val="0033593F"/>
    <w:rsid w:val="00335B44"/>
    <w:rsid w:val="00336B97"/>
    <w:rsid w:val="00336BC6"/>
    <w:rsid w:val="00337280"/>
    <w:rsid w:val="00337470"/>
    <w:rsid w:val="0033765F"/>
    <w:rsid w:val="003379FB"/>
    <w:rsid w:val="00337A13"/>
    <w:rsid w:val="00340746"/>
    <w:rsid w:val="003407D7"/>
    <w:rsid w:val="0034085F"/>
    <w:rsid w:val="00340BE9"/>
    <w:rsid w:val="00340E09"/>
    <w:rsid w:val="00341007"/>
    <w:rsid w:val="00341154"/>
    <w:rsid w:val="003411A7"/>
    <w:rsid w:val="00341527"/>
    <w:rsid w:val="0034168D"/>
    <w:rsid w:val="003417D1"/>
    <w:rsid w:val="003418DB"/>
    <w:rsid w:val="003419AD"/>
    <w:rsid w:val="00342238"/>
    <w:rsid w:val="0034238C"/>
    <w:rsid w:val="00342458"/>
    <w:rsid w:val="00342B2E"/>
    <w:rsid w:val="00342BA4"/>
    <w:rsid w:val="00342E55"/>
    <w:rsid w:val="00342E70"/>
    <w:rsid w:val="00343C6C"/>
    <w:rsid w:val="00343F2C"/>
    <w:rsid w:val="003442B6"/>
    <w:rsid w:val="003445F7"/>
    <w:rsid w:val="0034475F"/>
    <w:rsid w:val="00344880"/>
    <w:rsid w:val="00344BEC"/>
    <w:rsid w:val="003454F4"/>
    <w:rsid w:val="003456CC"/>
    <w:rsid w:val="00345EB2"/>
    <w:rsid w:val="003463E0"/>
    <w:rsid w:val="00346644"/>
    <w:rsid w:val="00346699"/>
    <w:rsid w:val="00346C61"/>
    <w:rsid w:val="00346D8D"/>
    <w:rsid w:val="00346DBB"/>
    <w:rsid w:val="00346DC1"/>
    <w:rsid w:val="00346DDF"/>
    <w:rsid w:val="00347750"/>
    <w:rsid w:val="00347830"/>
    <w:rsid w:val="00347983"/>
    <w:rsid w:val="00347C60"/>
    <w:rsid w:val="00347F81"/>
    <w:rsid w:val="00350066"/>
    <w:rsid w:val="0035007F"/>
    <w:rsid w:val="00350136"/>
    <w:rsid w:val="003501A5"/>
    <w:rsid w:val="00350400"/>
    <w:rsid w:val="00350B07"/>
    <w:rsid w:val="00350C1B"/>
    <w:rsid w:val="00350C5A"/>
    <w:rsid w:val="00350EBE"/>
    <w:rsid w:val="00350F72"/>
    <w:rsid w:val="00351038"/>
    <w:rsid w:val="0035118E"/>
    <w:rsid w:val="003519A7"/>
    <w:rsid w:val="00351B4C"/>
    <w:rsid w:val="00351C2C"/>
    <w:rsid w:val="00352097"/>
    <w:rsid w:val="00352215"/>
    <w:rsid w:val="0035233E"/>
    <w:rsid w:val="0035241E"/>
    <w:rsid w:val="00352887"/>
    <w:rsid w:val="00352D25"/>
    <w:rsid w:val="00352DA7"/>
    <w:rsid w:val="00352E5D"/>
    <w:rsid w:val="00353082"/>
    <w:rsid w:val="003531EF"/>
    <w:rsid w:val="0035355E"/>
    <w:rsid w:val="003535A4"/>
    <w:rsid w:val="003535C7"/>
    <w:rsid w:val="00353607"/>
    <w:rsid w:val="00353AFE"/>
    <w:rsid w:val="003541EB"/>
    <w:rsid w:val="003544A2"/>
    <w:rsid w:val="0035489E"/>
    <w:rsid w:val="003548B3"/>
    <w:rsid w:val="003548C6"/>
    <w:rsid w:val="00355091"/>
    <w:rsid w:val="003550E8"/>
    <w:rsid w:val="003552E0"/>
    <w:rsid w:val="00355821"/>
    <w:rsid w:val="00355DD1"/>
    <w:rsid w:val="0035719A"/>
    <w:rsid w:val="0035726E"/>
    <w:rsid w:val="003574ED"/>
    <w:rsid w:val="0035785D"/>
    <w:rsid w:val="00357980"/>
    <w:rsid w:val="00357BF9"/>
    <w:rsid w:val="00357E73"/>
    <w:rsid w:val="00360143"/>
    <w:rsid w:val="0036053B"/>
    <w:rsid w:val="003608AC"/>
    <w:rsid w:val="0036191F"/>
    <w:rsid w:val="00361D1B"/>
    <w:rsid w:val="00361D46"/>
    <w:rsid w:val="003620FD"/>
    <w:rsid w:val="00363178"/>
    <w:rsid w:val="003631F2"/>
    <w:rsid w:val="003633E7"/>
    <w:rsid w:val="00363500"/>
    <w:rsid w:val="00363ECD"/>
    <w:rsid w:val="0036434C"/>
    <w:rsid w:val="00364533"/>
    <w:rsid w:val="00364636"/>
    <w:rsid w:val="00364B81"/>
    <w:rsid w:val="00364B8F"/>
    <w:rsid w:val="00364D55"/>
    <w:rsid w:val="00364E8F"/>
    <w:rsid w:val="00365307"/>
    <w:rsid w:val="003654C2"/>
    <w:rsid w:val="003655ED"/>
    <w:rsid w:val="0036590A"/>
    <w:rsid w:val="00365CBA"/>
    <w:rsid w:val="003664B5"/>
    <w:rsid w:val="003665F5"/>
    <w:rsid w:val="00366664"/>
    <w:rsid w:val="003666B0"/>
    <w:rsid w:val="00366EEC"/>
    <w:rsid w:val="00367082"/>
    <w:rsid w:val="003674CA"/>
    <w:rsid w:val="00367EA6"/>
    <w:rsid w:val="00370231"/>
    <w:rsid w:val="003702B8"/>
    <w:rsid w:val="0037038B"/>
    <w:rsid w:val="0037040E"/>
    <w:rsid w:val="00370462"/>
    <w:rsid w:val="00370696"/>
    <w:rsid w:val="003708DD"/>
    <w:rsid w:val="00370E37"/>
    <w:rsid w:val="00370F08"/>
    <w:rsid w:val="00370FCC"/>
    <w:rsid w:val="0037105F"/>
    <w:rsid w:val="0037112E"/>
    <w:rsid w:val="003713B8"/>
    <w:rsid w:val="00371418"/>
    <w:rsid w:val="00371506"/>
    <w:rsid w:val="0037160D"/>
    <w:rsid w:val="003719EC"/>
    <w:rsid w:val="00371A1C"/>
    <w:rsid w:val="00372332"/>
    <w:rsid w:val="00372382"/>
    <w:rsid w:val="00372877"/>
    <w:rsid w:val="00372D5C"/>
    <w:rsid w:val="00372E99"/>
    <w:rsid w:val="0037329E"/>
    <w:rsid w:val="0037393B"/>
    <w:rsid w:val="00373978"/>
    <w:rsid w:val="003739A4"/>
    <w:rsid w:val="00373AA0"/>
    <w:rsid w:val="00373BA0"/>
    <w:rsid w:val="00373BC7"/>
    <w:rsid w:val="00373C31"/>
    <w:rsid w:val="00373F01"/>
    <w:rsid w:val="0037479D"/>
    <w:rsid w:val="00374951"/>
    <w:rsid w:val="00374ACE"/>
    <w:rsid w:val="00374AF0"/>
    <w:rsid w:val="00374CED"/>
    <w:rsid w:val="003750AD"/>
    <w:rsid w:val="00375291"/>
    <w:rsid w:val="003756D6"/>
    <w:rsid w:val="00375772"/>
    <w:rsid w:val="00375780"/>
    <w:rsid w:val="00375C02"/>
    <w:rsid w:val="00375C2B"/>
    <w:rsid w:val="00375EFF"/>
    <w:rsid w:val="00376626"/>
    <w:rsid w:val="0037695B"/>
    <w:rsid w:val="00376CE9"/>
    <w:rsid w:val="00377009"/>
    <w:rsid w:val="00377627"/>
    <w:rsid w:val="003776A6"/>
    <w:rsid w:val="0037789B"/>
    <w:rsid w:val="00377915"/>
    <w:rsid w:val="00377BAA"/>
    <w:rsid w:val="003802B5"/>
    <w:rsid w:val="0038049A"/>
    <w:rsid w:val="0038068E"/>
    <w:rsid w:val="00380C70"/>
    <w:rsid w:val="00380CA9"/>
    <w:rsid w:val="00381592"/>
    <w:rsid w:val="003818EE"/>
    <w:rsid w:val="00381F11"/>
    <w:rsid w:val="0038251D"/>
    <w:rsid w:val="003826CF"/>
    <w:rsid w:val="003826D0"/>
    <w:rsid w:val="003829B9"/>
    <w:rsid w:val="00382E7F"/>
    <w:rsid w:val="003833C1"/>
    <w:rsid w:val="003835A7"/>
    <w:rsid w:val="00383A5C"/>
    <w:rsid w:val="00383BA0"/>
    <w:rsid w:val="00383D6C"/>
    <w:rsid w:val="00383FA1"/>
    <w:rsid w:val="0038455B"/>
    <w:rsid w:val="003848FA"/>
    <w:rsid w:val="00385174"/>
    <w:rsid w:val="003851C2"/>
    <w:rsid w:val="003851F8"/>
    <w:rsid w:val="003852F3"/>
    <w:rsid w:val="003853BB"/>
    <w:rsid w:val="003853FC"/>
    <w:rsid w:val="003856A5"/>
    <w:rsid w:val="0038571C"/>
    <w:rsid w:val="003857B5"/>
    <w:rsid w:val="00385ACC"/>
    <w:rsid w:val="00386023"/>
    <w:rsid w:val="003862F4"/>
    <w:rsid w:val="003863EF"/>
    <w:rsid w:val="00386C5E"/>
    <w:rsid w:val="0038716D"/>
    <w:rsid w:val="0038740C"/>
    <w:rsid w:val="00387628"/>
    <w:rsid w:val="003878C1"/>
    <w:rsid w:val="00387CAD"/>
    <w:rsid w:val="003904B2"/>
    <w:rsid w:val="00390E21"/>
    <w:rsid w:val="00390FCF"/>
    <w:rsid w:val="003912AC"/>
    <w:rsid w:val="0039143D"/>
    <w:rsid w:val="00391441"/>
    <w:rsid w:val="0039200E"/>
    <w:rsid w:val="0039228F"/>
    <w:rsid w:val="00392E35"/>
    <w:rsid w:val="00392EED"/>
    <w:rsid w:val="00393024"/>
    <w:rsid w:val="003930FA"/>
    <w:rsid w:val="0039326C"/>
    <w:rsid w:val="003936C0"/>
    <w:rsid w:val="00393822"/>
    <w:rsid w:val="00393963"/>
    <w:rsid w:val="00393AEC"/>
    <w:rsid w:val="00393E8D"/>
    <w:rsid w:val="00393E9F"/>
    <w:rsid w:val="0039417B"/>
    <w:rsid w:val="00394AD8"/>
    <w:rsid w:val="00394FD6"/>
    <w:rsid w:val="0039502D"/>
    <w:rsid w:val="0039534F"/>
    <w:rsid w:val="00395A23"/>
    <w:rsid w:val="00395A26"/>
    <w:rsid w:val="00395B24"/>
    <w:rsid w:val="00395C05"/>
    <w:rsid w:val="00395C34"/>
    <w:rsid w:val="00395F24"/>
    <w:rsid w:val="003960A1"/>
    <w:rsid w:val="003960DA"/>
    <w:rsid w:val="00396146"/>
    <w:rsid w:val="0039646B"/>
    <w:rsid w:val="00396E79"/>
    <w:rsid w:val="00397495"/>
    <w:rsid w:val="00397B85"/>
    <w:rsid w:val="00397BE0"/>
    <w:rsid w:val="00397C25"/>
    <w:rsid w:val="003A0129"/>
    <w:rsid w:val="003A03D4"/>
    <w:rsid w:val="003A0725"/>
    <w:rsid w:val="003A09A5"/>
    <w:rsid w:val="003A0DBD"/>
    <w:rsid w:val="003A104D"/>
    <w:rsid w:val="003A10BE"/>
    <w:rsid w:val="003A118E"/>
    <w:rsid w:val="003A1FD3"/>
    <w:rsid w:val="003A22FF"/>
    <w:rsid w:val="003A2680"/>
    <w:rsid w:val="003A26F7"/>
    <w:rsid w:val="003A291A"/>
    <w:rsid w:val="003A2A10"/>
    <w:rsid w:val="003A2A59"/>
    <w:rsid w:val="003A2E38"/>
    <w:rsid w:val="003A30FD"/>
    <w:rsid w:val="003A334D"/>
    <w:rsid w:val="003A3357"/>
    <w:rsid w:val="003A3478"/>
    <w:rsid w:val="003A36D6"/>
    <w:rsid w:val="003A3F1F"/>
    <w:rsid w:val="003A3F5B"/>
    <w:rsid w:val="003A46C8"/>
    <w:rsid w:val="003A4750"/>
    <w:rsid w:val="003A478B"/>
    <w:rsid w:val="003A4AE8"/>
    <w:rsid w:val="003A4B98"/>
    <w:rsid w:val="003A518B"/>
    <w:rsid w:val="003A51A7"/>
    <w:rsid w:val="003A521A"/>
    <w:rsid w:val="003A549F"/>
    <w:rsid w:val="003A587C"/>
    <w:rsid w:val="003A60D6"/>
    <w:rsid w:val="003A6162"/>
    <w:rsid w:val="003A625E"/>
    <w:rsid w:val="003A65B7"/>
    <w:rsid w:val="003A6C90"/>
    <w:rsid w:val="003A6FB7"/>
    <w:rsid w:val="003A7120"/>
    <w:rsid w:val="003A73B9"/>
    <w:rsid w:val="003A76C5"/>
    <w:rsid w:val="003A77D9"/>
    <w:rsid w:val="003A7DD1"/>
    <w:rsid w:val="003B0AA3"/>
    <w:rsid w:val="003B0CBE"/>
    <w:rsid w:val="003B0FB1"/>
    <w:rsid w:val="003B10F7"/>
    <w:rsid w:val="003B21A8"/>
    <w:rsid w:val="003B22AE"/>
    <w:rsid w:val="003B23FA"/>
    <w:rsid w:val="003B2DD0"/>
    <w:rsid w:val="003B3326"/>
    <w:rsid w:val="003B3449"/>
    <w:rsid w:val="003B35E0"/>
    <w:rsid w:val="003B3863"/>
    <w:rsid w:val="003B3C61"/>
    <w:rsid w:val="003B3DBD"/>
    <w:rsid w:val="003B4536"/>
    <w:rsid w:val="003B4A80"/>
    <w:rsid w:val="003B4E6D"/>
    <w:rsid w:val="003B4F71"/>
    <w:rsid w:val="003B4FC9"/>
    <w:rsid w:val="003B507C"/>
    <w:rsid w:val="003B562C"/>
    <w:rsid w:val="003B5931"/>
    <w:rsid w:val="003B5E7C"/>
    <w:rsid w:val="003B6978"/>
    <w:rsid w:val="003B6AB0"/>
    <w:rsid w:val="003B6B27"/>
    <w:rsid w:val="003B70A3"/>
    <w:rsid w:val="003B733F"/>
    <w:rsid w:val="003B7875"/>
    <w:rsid w:val="003B7D10"/>
    <w:rsid w:val="003B7EE8"/>
    <w:rsid w:val="003C054A"/>
    <w:rsid w:val="003C078C"/>
    <w:rsid w:val="003C1215"/>
    <w:rsid w:val="003C17E7"/>
    <w:rsid w:val="003C191E"/>
    <w:rsid w:val="003C1A60"/>
    <w:rsid w:val="003C25FD"/>
    <w:rsid w:val="003C27FC"/>
    <w:rsid w:val="003C2E44"/>
    <w:rsid w:val="003C2EE9"/>
    <w:rsid w:val="003C3017"/>
    <w:rsid w:val="003C3094"/>
    <w:rsid w:val="003C33EC"/>
    <w:rsid w:val="003C340C"/>
    <w:rsid w:val="003C36C1"/>
    <w:rsid w:val="003C387C"/>
    <w:rsid w:val="003C3A6A"/>
    <w:rsid w:val="003C3C5A"/>
    <w:rsid w:val="003C3CFF"/>
    <w:rsid w:val="003C4626"/>
    <w:rsid w:val="003C4808"/>
    <w:rsid w:val="003C483C"/>
    <w:rsid w:val="003C4B03"/>
    <w:rsid w:val="003C4EB0"/>
    <w:rsid w:val="003C5816"/>
    <w:rsid w:val="003C5BE9"/>
    <w:rsid w:val="003C5DE3"/>
    <w:rsid w:val="003C6374"/>
    <w:rsid w:val="003C65BF"/>
    <w:rsid w:val="003C6AFB"/>
    <w:rsid w:val="003C6D2D"/>
    <w:rsid w:val="003C72CE"/>
    <w:rsid w:val="003C7AA2"/>
    <w:rsid w:val="003C7C50"/>
    <w:rsid w:val="003D028A"/>
    <w:rsid w:val="003D06C4"/>
    <w:rsid w:val="003D0F97"/>
    <w:rsid w:val="003D0FC8"/>
    <w:rsid w:val="003D1002"/>
    <w:rsid w:val="003D131C"/>
    <w:rsid w:val="003D194A"/>
    <w:rsid w:val="003D1E42"/>
    <w:rsid w:val="003D1F47"/>
    <w:rsid w:val="003D209F"/>
    <w:rsid w:val="003D2416"/>
    <w:rsid w:val="003D2495"/>
    <w:rsid w:val="003D24EA"/>
    <w:rsid w:val="003D2845"/>
    <w:rsid w:val="003D2AF9"/>
    <w:rsid w:val="003D2C3A"/>
    <w:rsid w:val="003D33B3"/>
    <w:rsid w:val="003D3C96"/>
    <w:rsid w:val="003D3D4B"/>
    <w:rsid w:val="003D3F10"/>
    <w:rsid w:val="003D42F9"/>
    <w:rsid w:val="003D474B"/>
    <w:rsid w:val="003D4B13"/>
    <w:rsid w:val="003D59BF"/>
    <w:rsid w:val="003D5B14"/>
    <w:rsid w:val="003D5D10"/>
    <w:rsid w:val="003D5F06"/>
    <w:rsid w:val="003D5F52"/>
    <w:rsid w:val="003D649C"/>
    <w:rsid w:val="003D6794"/>
    <w:rsid w:val="003D6C9A"/>
    <w:rsid w:val="003D6FDE"/>
    <w:rsid w:val="003D71BF"/>
    <w:rsid w:val="003D72AB"/>
    <w:rsid w:val="003D743E"/>
    <w:rsid w:val="003D796A"/>
    <w:rsid w:val="003D7CDD"/>
    <w:rsid w:val="003E012D"/>
    <w:rsid w:val="003E028C"/>
    <w:rsid w:val="003E03F8"/>
    <w:rsid w:val="003E0480"/>
    <w:rsid w:val="003E055C"/>
    <w:rsid w:val="003E08E8"/>
    <w:rsid w:val="003E0C4E"/>
    <w:rsid w:val="003E0F81"/>
    <w:rsid w:val="003E0FC5"/>
    <w:rsid w:val="003E0FE5"/>
    <w:rsid w:val="003E128C"/>
    <w:rsid w:val="003E1509"/>
    <w:rsid w:val="003E18D5"/>
    <w:rsid w:val="003E1A95"/>
    <w:rsid w:val="003E1D87"/>
    <w:rsid w:val="003E1E05"/>
    <w:rsid w:val="003E1E13"/>
    <w:rsid w:val="003E2166"/>
    <w:rsid w:val="003E239C"/>
    <w:rsid w:val="003E29D6"/>
    <w:rsid w:val="003E29F1"/>
    <w:rsid w:val="003E32CF"/>
    <w:rsid w:val="003E36C3"/>
    <w:rsid w:val="003E3C80"/>
    <w:rsid w:val="003E3C8B"/>
    <w:rsid w:val="003E3EDD"/>
    <w:rsid w:val="003E3F51"/>
    <w:rsid w:val="003E4253"/>
    <w:rsid w:val="003E46F3"/>
    <w:rsid w:val="003E4C0D"/>
    <w:rsid w:val="003E4DDB"/>
    <w:rsid w:val="003E53FA"/>
    <w:rsid w:val="003E54ED"/>
    <w:rsid w:val="003E5878"/>
    <w:rsid w:val="003E5937"/>
    <w:rsid w:val="003E5AD6"/>
    <w:rsid w:val="003E5B2C"/>
    <w:rsid w:val="003E6732"/>
    <w:rsid w:val="003E680E"/>
    <w:rsid w:val="003E6A4B"/>
    <w:rsid w:val="003E6C46"/>
    <w:rsid w:val="003E6DD0"/>
    <w:rsid w:val="003E711B"/>
    <w:rsid w:val="003E76C3"/>
    <w:rsid w:val="003E7735"/>
    <w:rsid w:val="003E782B"/>
    <w:rsid w:val="003E7AA9"/>
    <w:rsid w:val="003E7AF3"/>
    <w:rsid w:val="003E7D89"/>
    <w:rsid w:val="003F01A5"/>
    <w:rsid w:val="003F03E5"/>
    <w:rsid w:val="003F0402"/>
    <w:rsid w:val="003F0799"/>
    <w:rsid w:val="003F0BE7"/>
    <w:rsid w:val="003F0F52"/>
    <w:rsid w:val="003F19D3"/>
    <w:rsid w:val="003F1D35"/>
    <w:rsid w:val="003F20D1"/>
    <w:rsid w:val="003F2235"/>
    <w:rsid w:val="003F23D0"/>
    <w:rsid w:val="003F25E9"/>
    <w:rsid w:val="003F26C2"/>
    <w:rsid w:val="003F3B10"/>
    <w:rsid w:val="003F40B5"/>
    <w:rsid w:val="003F4105"/>
    <w:rsid w:val="003F444F"/>
    <w:rsid w:val="003F44DD"/>
    <w:rsid w:val="003F4C1A"/>
    <w:rsid w:val="003F4EA7"/>
    <w:rsid w:val="003F5172"/>
    <w:rsid w:val="003F5292"/>
    <w:rsid w:val="003F57F0"/>
    <w:rsid w:val="003F5805"/>
    <w:rsid w:val="003F6076"/>
    <w:rsid w:val="003F611F"/>
    <w:rsid w:val="003F65A3"/>
    <w:rsid w:val="003F660B"/>
    <w:rsid w:val="003F67A4"/>
    <w:rsid w:val="003F6C47"/>
    <w:rsid w:val="003F6EDD"/>
    <w:rsid w:val="003F6F32"/>
    <w:rsid w:val="003F7022"/>
    <w:rsid w:val="003F71C4"/>
    <w:rsid w:val="003F7227"/>
    <w:rsid w:val="003F738B"/>
    <w:rsid w:val="003F74C6"/>
    <w:rsid w:val="003F77CD"/>
    <w:rsid w:val="003F7952"/>
    <w:rsid w:val="003F7E15"/>
    <w:rsid w:val="003F7E3D"/>
    <w:rsid w:val="00400027"/>
    <w:rsid w:val="00400C7D"/>
    <w:rsid w:val="00400CED"/>
    <w:rsid w:val="00400D4E"/>
    <w:rsid w:val="00401381"/>
    <w:rsid w:val="00401563"/>
    <w:rsid w:val="00401D73"/>
    <w:rsid w:val="00401F67"/>
    <w:rsid w:val="00402270"/>
    <w:rsid w:val="004025D6"/>
    <w:rsid w:val="004031AB"/>
    <w:rsid w:val="004032FB"/>
    <w:rsid w:val="00403901"/>
    <w:rsid w:val="00403954"/>
    <w:rsid w:val="00403DE5"/>
    <w:rsid w:val="004042C2"/>
    <w:rsid w:val="004042D3"/>
    <w:rsid w:val="00404740"/>
    <w:rsid w:val="004050A9"/>
    <w:rsid w:val="004051B4"/>
    <w:rsid w:val="00405654"/>
    <w:rsid w:val="00405F4B"/>
    <w:rsid w:val="00406008"/>
    <w:rsid w:val="0040615A"/>
    <w:rsid w:val="004064BA"/>
    <w:rsid w:val="00406CB9"/>
    <w:rsid w:val="004070C0"/>
    <w:rsid w:val="00407142"/>
    <w:rsid w:val="004071E5"/>
    <w:rsid w:val="0040728D"/>
    <w:rsid w:val="004077CE"/>
    <w:rsid w:val="00407890"/>
    <w:rsid w:val="00407D3E"/>
    <w:rsid w:val="0041040C"/>
    <w:rsid w:val="0041074B"/>
    <w:rsid w:val="004108BA"/>
    <w:rsid w:val="00410EA6"/>
    <w:rsid w:val="004110DB"/>
    <w:rsid w:val="004113FB"/>
    <w:rsid w:val="0041260E"/>
    <w:rsid w:val="00412632"/>
    <w:rsid w:val="004127B5"/>
    <w:rsid w:val="00412B94"/>
    <w:rsid w:val="00412FC0"/>
    <w:rsid w:val="00412FF6"/>
    <w:rsid w:val="004130AA"/>
    <w:rsid w:val="00413434"/>
    <w:rsid w:val="00413BD6"/>
    <w:rsid w:val="00413D2E"/>
    <w:rsid w:val="00413DF8"/>
    <w:rsid w:val="004147B2"/>
    <w:rsid w:val="0041501B"/>
    <w:rsid w:val="004158B8"/>
    <w:rsid w:val="004160A4"/>
    <w:rsid w:val="00416B5E"/>
    <w:rsid w:val="00416BB4"/>
    <w:rsid w:val="00416E8E"/>
    <w:rsid w:val="00416FCA"/>
    <w:rsid w:val="004175CB"/>
    <w:rsid w:val="00417DBD"/>
    <w:rsid w:val="00420273"/>
    <w:rsid w:val="00420BE1"/>
    <w:rsid w:val="004211B1"/>
    <w:rsid w:val="004216CD"/>
    <w:rsid w:val="004216F4"/>
    <w:rsid w:val="0042172C"/>
    <w:rsid w:val="00421903"/>
    <w:rsid w:val="00421BC2"/>
    <w:rsid w:val="00421DA3"/>
    <w:rsid w:val="00421E44"/>
    <w:rsid w:val="00421F2F"/>
    <w:rsid w:val="00421FB1"/>
    <w:rsid w:val="0042232F"/>
    <w:rsid w:val="00422981"/>
    <w:rsid w:val="00422A3F"/>
    <w:rsid w:val="00422E8B"/>
    <w:rsid w:val="004232BD"/>
    <w:rsid w:val="004239B8"/>
    <w:rsid w:val="00423A59"/>
    <w:rsid w:val="00424441"/>
    <w:rsid w:val="00424552"/>
    <w:rsid w:val="0042477F"/>
    <w:rsid w:val="00424A35"/>
    <w:rsid w:val="00424DC9"/>
    <w:rsid w:val="00425295"/>
    <w:rsid w:val="00425408"/>
    <w:rsid w:val="004254C6"/>
    <w:rsid w:val="00425727"/>
    <w:rsid w:val="0042579A"/>
    <w:rsid w:val="00425F75"/>
    <w:rsid w:val="00426391"/>
    <w:rsid w:val="004266D8"/>
    <w:rsid w:val="00426B27"/>
    <w:rsid w:val="00426C06"/>
    <w:rsid w:val="00426FFE"/>
    <w:rsid w:val="00427252"/>
    <w:rsid w:val="00427296"/>
    <w:rsid w:val="0042753D"/>
    <w:rsid w:val="0042794E"/>
    <w:rsid w:val="00427958"/>
    <w:rsid w:val="00427AB3"/>
    <w:rsid w:val="004302FE"/>
    <w:rsid w:val="00430431"/>
    <w:rsid w:val="004308A1"/>
    <w:rsid w:val="00430CD2"/>
    <w:rsid w:val="00431140"/>
    <w:rsid w:val="004319D4"/>
    <w:rsid w:val="00431B07"/>
    <w:rsid w:val="004320AA"/>
    <w:rsid w:val="00432240"/>
    <w:rsid w:val="00432529"/>
    <w:rsid w:val="00432AF7"/>
    <w:rsid w:val="00432D9B"/>
    <w:rsid w:val="00433596"/>
    <w:rsid w:val="004349AF"/>
    <w:rsid w:val="00434A6C"/>
    <w:rsid w:val="004353F4"/>
    <w:rsid w:val="00435878"/>
    <w:rsid w:val="00435904"/>
    <w:rsid w:val="00435C55"/>
    <w:rsid w:val="00436287"/>
    <w:rsid w:val="00436406"/>
    <w:rsid w:val="00436479"/>
    <w:rsid w:val="004368E4"/>
    <w:rsid w:val="004369AC"/>
    <w:rsid w:val="00436ACB"/>
    <w:rsid w:val="00436BA6"/>
    <w:rsid w:val="00436D71"/>
    <w:rsid w:val="00436F8D"/>
    <w:rsid w:val="004370F5"/>
    <w:rsid w:val="004371CC"/>
    <w:rsid w:val="00437A9C"/>
    <w:rsid w:val="0044002F"/>
    <w:rsid w:val="0044013F"/>
    <w:rsid w:val="00440176"/>
    <w:rsid w:val="0044060B"/>
    <w:rsid w:val="004406FB"/>
    <w:rsid w:val="0044091E"/>
    <w:rsid w:val="00440D1C"/>
    <w:rsid w:val="00440F11"/>
    <w:rsid w:val="00441111"/>
    <w:rsid w:val="00441344"/>
    <w:rsid w:val="0044148C"/>
    <w:rsid w:val="004416C0"/>
    <w:rsid w:val="00441FB6"/>
    <w:rsid w:val="00442625"/>
    <w:rsid w:val="004426CB"/>
    <w:rsid w:val="004429B2"/>
    <w:rsid w:val="00442C49"/>
    <w:rsid w:val="00442FDD"/>
    <w:rsid w:val="0044329B"/>
    <w:rsid w:val="00443771"/>
    <w:rsid w:val="00443825"/>
    <w:rsid w:val="004442F2"/>
    <w:rsid w:val="0044432D"/>
    <w:rsid w:val="00444470"/>
    <w:rsid w:val="00444541"/>
    <w:rsid w:val="004446CD"/>
    <w:rsid w:val="00444837"/>
    <w:rsid w:val="00444AAE"/>
    <w:rsid w:val="00444F54"/>
    <w:rsid w:val="00445553"/>
    <w:rsid w:val="0044573C"/>
    <w:rsid w:val="00445AEC"/>
    <w:rsid w:val="00445AFB"/>
    <w:rsid w:val="0044641D"/>
    <w:rsid w:val="00446786"/>
    <w:rsid w:val="00447211"/>
    <w:rsid w:val="004479AB"/>
    <w:rsid w:val="00447B43"/>
    <w:rsid w:val="00447C84"/>
    <w:rsid w:val="00447D61"/>
    <w:rsid w:val="00447D62"/>
    <w:rsid w:val="004503FC"/>
    <w:rsid w:val="00450C29"/>
    <w:rsid w:val="0045139B"/>
    <w:rsid w:val="004513DE"/>
    <w:rsid w:val="00451569"/>
    <w:rsid w:val="00451798"/>
    <w:rsid w:val="004527E1"/>
    <w:rsid w:val="00452CD0"/>
    <w:rsid w:val="00452D47"/>
    <w:rsid w:val="004530EB"/>
    <w:rsid w:val="0045324D"/>
    <w:rsid w:val="004536FA"/>
    <w:rsid w:val="004537AC"/>
    <w:rsid w:val="004537CE"/>
    <w:rsid w:val="00453932"/>
    <w:rsid w:val="00453CBC"/>
    <w:rsid w:val="00453E86"/>
    <w:rsid w:val="00453EC7"/>
    <w:rsid w:val="00454302"/>
    <w:rsid w:val="004546D5"/>
    <w:rsid w:val="004549E1"/>
    <w:rsid w:val="004552A1"/>
    <w:rsid w:val="00455688"/>
    <w:rsid w:val="004559CA"/>
    <w:rsid w:val="0045634C"/>
    <w:rsid w:val="00456D3F"/>
    <w:rsid w:val="004574A8"/>
    <w:rsid w:val="00457691"/>
    <w:rsid w:val="0045794F"/>
    <w:rsid w:val="00457C5B"/>
    <w:rsid w:val="00457D70"/>
    <w:rsid w:val="00457F9B"/>
    <w:rsid w:val="0046000F"/>
    <w:rsid w:val="00460337"/>
    <w:rsid w:val="0046049A"/>
    <w:rsid w:val="00460701"/>
    <w:rsid w:val="00460C1B"/>
    <w:rsid w:val="004611B0"/>
    <w:rsid w:val="004614A3"/>
    <w:rsid w:val="0046182E"/>
    <w:rsid w:val="00461C1A"/>
    <w:rsid w:val="00461CE9"/>
    <w:rsid w:val="004621A6"/>
    <w:rsid w:val="00462369"/>
    <w:rsid w:val="004624BD"/>
    <w:rsid w:val="00462618"/>
    <w:rsid w:val="00462712"/>
    <w:rsid w:val="004628D8"/>
    <w:rsid w:val="00462A5D"/>
    <w:rsid w:val="00462BD8"/>
    <w:rsid w:val="00462D8C"/>
    <w:rsid w:val="00462E45"/>
    <w:rsid w:val="00462F5D"/>
    <w:rsid w:val="00463630"/>
    <w:rsid w:val="0046368F"/>
    <w:rsid w:val="004636A0"/>
    <w:rsid w:val="004639DE"/>
    <w:rsid w:val="00463B99"/>
    <w:rsid w:val="00463C01"/>
    <w:rsid w:val="00463EB7"/>
    <w:rsid w:val="00463FA2"/>
    <w:rsid w:val="00464228"/>
    <w:rsid w:val="004646C3"/>
    <w:rsid w:val="00464A5A"/>
    <w:rsid w:val="00464B09"/>
    <w:rsid w:val="00464D08"/>
    <w:rsid w:val="004655C9"/>
    <w:rsid w:val="004656E9"/>
    <w:rsid w:val="0046606F"/>
    <w:rsid w:val="004662EB"/>
    <w:rsid w:val="00466A3B"/>
    <w:rsid w:val="004672C0"/>
    <w:rsid w:val="004673FD"/>
    <w:rsid w:val="004675ED"/>
    <w:rsid w:val="00467679"/>
    <w:rsid w:val="00467834"/>
    <w:rsid w:val="00467BC7"/>
    <w:rsid w:val="00467DF7"/>
    <w:rsid w:val="00467E33"/>
    <w:rsid w:val="00467EEE"/>
    <w:rsid w:val="00470110"/>
    <w:rsid w:val="004706A3"/>
    <w:rsid w:val="00470704"/>
    <w:rsid w:val="004708B9"/>
    <w:rsid w:val="00470901"/>
    <w:rsid w:val="00470BDF"/>
    <w:rsid w:val="00470BF7"/>
    <w:rsid w:val="00470D90"/>
    <w:rsid w:val="00470DFE"/>
    <w:rsid w:val="00470EFC"/>
    <w:rsid w:val="004712F1"/>
    <w:rsid w:val="004713DF"/>
    <w:rsid w:val="00471520"/>
    <w:rsid w:val="004716B4"/>
    <w:rsid w:val="00471724"/>
    <w:rsid w:val="0047229E"/>
    <w:rsid w:val="0047236E"/>
    <w:rsid w:val="004725DB"/>
    <w:rsid w:val="00472BBA"/>
    <w:rsid w:val="00472E33"/>
    <w:rsid w:val="004731E7"/>
    <w:rsid w:val="0047350A"/>
    <w:rsid w:val="00473A9B"/>
    <w:rsid w:val="00474194"/>
    <w:rsid w:val="004743A6"/>
    <w:rsid w:val="00474663"/>
    <w:rsid w:val="00474684"/>
    <w:rsid w:val="004748E0"/>
    <w:rsid w:val="00474ADA"/>
    <w:rsid w:val="004753C6"/>
    <w:rsid w:val="0047555E"/>
    <w:rsid w:val="00475948"/>
    <w:rsid w:val="00475D42"/>
    <w:rsid w:val="00475D4C"/>
    <w:rsid w:val="00476056"/>
    <w:rsid w:val="004762C3"/>
    <w:rsid w:val="0047664C"/>
    <w:rsid w:val="004770D0"/>
    <w:rsid w:val="0047724C"/>
    <w:rsid w:val="004777C0"/>
    <w:rsid w:val="0047794A"/>
    <w:rsid w:val="00477BBC"/>
    <w:rsid w:val="00477E09"/>
    <w:rsid w:val="00477EAF"/>
    <w:rsid w:val="00480062"/>
    <w:rsid w:val="004801A6"/>
    <w:rsid w:val="00480DEC"/>
    <w:rsid w:val="00480E11"/>
    <w:rsid w:val="00481AED"/>
    <w:rsid w:val="00481F4E"/>
    <w:rsid w:val="00482031"/>
    <w:rsid w:val="00482BD0"/>
    <w:rsid w:val="004832F6"/>
    <w:rsid w:val="0048365A"/>
    <w:rsid w:val="0048394E"/>
    <w:rsid w:val="00483C78"/>
    <w:rsid w:val="00483D98"/>
    <w:rsid w:val="004847E3"/>
    <w:rsid w:val="00484F00"/>
    <w:rsid w:val="00484FE4"/>
    <w:rsid w:val="00485190"/>
    <w:rsid w:val="004855E2"/>
    <w:rsid w:val="00485A19"/>
    <w:rsid w:val="00485CC9"/>
    <w:rsid w:val="00485CDD"/>
    <w:rsid w:val="00485DFC"/>
    <w:rsid w:val="00485F0A"/>
    <w:rsid w:val="004862D7"/>
    <w:rsid w:val="004864E6"/>
    <w:rsid w:val="00486902"/>
    <w:rsid w:val="00486C82"/>
    <w:rsid w:val="00487124"/>
    <w:rsid w:val="00487711"/>
    <w:rsid w:val="00487969"/>
    <w:rsid w:val="00487DF9"/>
    <w:rsid w:val="00490830"/>
    <w:rsid w:val="00490D42"/>
    <w:rsid w:val="00490D88"/>
    <w:rsid w:val="004910BC"/>
    <w:rsid w:val="004910FC"/>
    <w:rsid w:val="004914A5"/>
    <w:rsid w:val="004915E7"/>
    <w:rsid w:val="00491617"/>
    <w:rsid w:val="004917BD"/>
    <w:rsid w:val="00491A9F"/>
    <w:rsid w:val="00492041"/>
    <w:rsid w:val="0049222F"/>
    <w:rsid w:val="0049235C"/>
    <w:rsid w:val="0049284E"/>
    <w:rsid w:val="004929F3"/>
    <w:rsid w:val="00492E96"/>
    <w:rsid w:val="004932AE"/>
    <w:rsid w:val="00493A25"/>
    <w:rsid w:val="00493FA9"/>
    <w:rsid w:val="00493FE6"/>
    <w:rsid w:val="004941DA"/>
    <w:rsid w:val="004947BC"/>
    <w:rsid w:val="00494A92"/>
    <w:rsid w:val="00495014"/>
    <w:rsid w:val="00495358"/>
    <w:rsid w:val="004953BA"/>
    <w:rsid w:val="004960CA"/>
    <w:rsid w:val="004962B1"/>
    <w:rsid w:val="004962BD"/>
    <w:rsid w:val="004965C6"/>
    <w:rsid w:val="00496712"/>
    <w:rsid w:val="00496A3E"/>
    <w:rsid w:val="00496A3F"/>
    <w:rsid w:val="00496A5B"/>
    <w:rsid w:val="00496BF9"/>
    <w:rsid w:val="00496FD8"/>
    <w:rsid w:val="004977FF"/>
    <w:rsid w:val="00497971"/>
    <w:rsid w:val="004A02C7"/>
    <w:rsid w:val="004A0385"/>
    <w:rsid w:val="004A073E"/>
    <w:rsid w:val="004A0BCB"/>
    <w:rsid w:val="004A12AA"/>
    <w:rsid w:val="004A1300"/>
    <w:rsid w:val="004A17BB"/>
    <w:rsid w:val="004A1876"/>
    <w:rsid w:val="004A1C5A"/>
    <w:rsid w:val="004A1C91"/>
    <w:rsid w:val="004A2491"/>
    <w:rsid w:val="004A2502"/>
    <w:rsid w:val="004A26BB"/>
    <w:rsid w:val="004A26F2"/>
    <w:rsid w:val="004A2969"/>
    <w:rsid w:val="004A2B29"/>
    <w:rsid w:val="004A2DF1"/>
    <w:rsid w:val="004A2E57"/>
    <w:rsid w:val="004A312F"/>
    <w:rsid w:val="004A3475"/>
    <w:rsid w:val="004A360B"/>
    <w:rsid w:val="004A3FDC"/>
    <w:rsid w:val="004A3FFD"/>
    <w:rsid w:val="004A40C2"/>
    <w:rsid w:val="004A41DA"/>
    <w:rsid w:val="004A41F4"/>
    <w:rsid w:val="004A484C"/>
    <w:rsid w:val="004A4D7B"/>
    <w:rsid w:val="004A5066"/>
    <w:rsid w:val="004A5358"/>
    <w:rsid w:val="004A55DE"/>
    <w:rsid w:val="004A56C5"/>
    <w:rsid w:val="004A56D5"/>
    <w:rsid w:val="004A56DD"/>
    <w:rsid w:val="004A58B6"/>
    <w:rsid w:val="004A5E1E"/>
    <w:rsid w:val="004A61C4"/>
    <w:rsid w:val="004A6272"/>
    <w:rsid w:val="004A636F"/>
    <w:rsid w:val="004A6414"/>
    <w:rsid w:val="004A6A25"/>
    <w:rsid w:val="004A6DD8"/>
    <w:rsid w:val="004A7396"/>
    <w:rsid w:val="004A75FA"/>
    <w:rsid w:val="004A7750"/>
    <w:rsid w:val="004A79B8"/>
    <w:rsid w:val="004A7AAF"/>
    <w:rsid w:val="004A7B7A"/>
    <w:rsid w:val="004A7C39"/>
    <w:rsid w:val="004B0384"/>
    <w:rsid w:val="004B0864"/>
    <w:rsid w:val="004B0CB1"/>
    <w:rsid w:val="004B0D6E"/>
    <w:rsid w:val="004B0F65"/>
    <w:rsid w:val="004B0F90"/>
    <w:rsid w:val="004B121E"/>
    <w:rsid w:val="004B162C"/>
    <w:rsid w:val="004B1A87"/>
    <w:rsid w:val="004B1C55"/>
    <w:rsid w:val="004B1C8D"/>
    <w:rsid w:val="004B1C94"/>
    <w:rsid w:val="004B1D14"/>
    <w:rsid w:val="004B1E86"/>
    <w:rsid w:val="004B2311"/>
    <w:rsid w:val="004B2370"/>
    <w:rsid w:val="004B27C8"/>
    <w:rsid w:val="004B2819"/>
    <w:rsid w:val="004B2835"/>
    <w:rsid w:val="004B2999"/>
    <w:rsid w:val="004B29DB"/>
    <w:rsid w:val="004B31CD"/>
    <w:rsid w:val="004B31DB"/>
    <w:rsid w:val="004B3268"/>
    <w:rsid w:val="004B339B"/>
    <w:rsid w:val="004B3933"/>
    <w:rsid w:val="004B3997"/>
    <w:rsid w:val="004B40DC"/>
    <w:rsid w:val="004B4207"/>
    <w:rsid w:val="004B42AD"/>
    <w:rsid w:val="004B43A9"/>
    <w:rsid w:val="004B544B"/>
    <w:rsid w:val="004B581E"/>
    <w:rsid w:val="004B586A"/>
    <w:rsid w:val="004B58C1"/>
    <w:rsid w:val="004B5BD2"/>
    <w:rsid w:val="004B5C57"/>
    <w:rsid w:val="004B60C3"/>
    <w:rsid w:val="004B6383"/>
    <w:rsid w:val="004B64A7"/>
    <w:rsid w:val="004B6D9F"/>
    <w:rsid w:val="004B70D4"/>
    <w:rsid w:val="004B71A9"/>
    <w:rsid w:val="004B768B"/>
    <w:rsid w:val="004B7775"/>
    <w:rsid w:val="004B7C5E"/>
    <w:rsid w:val="004C08DF"/>
    <w:rsid w:val="004C0CD4"/>
    <w:rsid w:val="004C0E1D"/>
    <w:rsid w:val="004C11DC"/>
    <w:rsid w:val="004C136C"/>
    <w:rsid w:val="004C1473"/>
    <w:rsid w:val="004C18C9"/>
    <w:rsid w:val="004C19C4"/>
    <w:rsid w:val="004C1AFC"/>
    <w:rsid w:val="004C225F"/>
    <w:rsid w:val="004C27C2"/>
    <w:rsid w:val="004C28AF"/>
    <w:rsid w:val="004C28ED"/>
    <w:rsid w:val="004C28EE"/>
    <w:rsid w:val="004C2A74"/>
    <w:rsid w:val="004C2AAE"/>
    <w:rsid w:val="004C2EC4"/>
    <w:rsid w:val="004C2FE2"/>
    <w:rsid w:val="004C3307"/>
    <w:rsid w:val="004C34FC"/>
    <w:rsid w:val="004C3958"/>
    <w:rsid w:val="004C3D8E"/>
    <w:rsid w:val="004C46DB"/>
    <w:rsid w:val="004C47AB"/>
    <w:rsid w:val="004C5495"/>
    <w:rsid w:val="004C59D8"/>
    <w:rsid w:val="004C5A2D"/>
    <w:rsid w:val="004C5AA9"/>
    <w:rsid w:val="004C61DC"/>
    <w:rsid w:val="004C632F"/>
    <w:rsid w:val="004C6541"/>
    <w:rsid w:val="004C6B6A"/>
    <w:rsid w:val="004C6C12"/>
    <w:rsid w:val="004C6F03"/>
    <w:rsid w:val="004C777D"/>
    <w:rsid w:val="004C7DC5"/>
    <w:rsid w:val="004D0159"/>
    <w:rsid w:val="004D025A"/>
    <w:rsid w:val="004D06F5"/>
    <w:rsid w:val="004D0CAC"/>
    <w:rsid w:val="004D0CCA"/>
    <w:rsid w:val="004D0DE5"/>
    <w:rsid w:val="004D1392"/>
    <w:rsid w:val="004D161A"/>
    <w:rsid w:val="004D1DE5"/>
    <w:rsid w:val="004D2457"/>
    <w:rsid w:val="004D263E"/>
    <w:rsid w:val="004D26AD"/>
    <w:rsid w:val="004D27B3"/>
    <w:rsid w:val="004D3013"/>
    <w:rsid w:val="004D33BD"/>
    <w:rsid w:val="004D36EF"/>
    <w:rsid w:val="004D3C06"/>
    <w:rsid w:val="004D3E01"/>
    <w:rsid w:val="004D3E68"/>
    <w:rsid w:val="004D4985"/>
    <w:rsid w:val="004D4DEA"/>
    <w:rsid w:val="004D4E48"/>
    <w:rsid w:val="004D4E6B"/>
    <w:rsid w:val="004D5088"/>
    <w:rsid w:val="004D5605"/>
    <w:rsid w:val="004D5613"/>
    <w:rsid w:val="004D6177"/>
    <w:rsid w:val="004D6F9E"/>
    <w:rsid w:val="004D6FA2"/>
    <w:rsid w:val="004D70B5"/>
    <w:rsid w:val="004D76D3"/>
    <w:rsid w:val="004E0049"/>
    <w:rsid w:val="004E02B9"/>
    <w:rsid w:val="004E0805"/>
    <w:rsid w:val="004E0946"/>
    <w:rsid w:val="004E0DFB"/>
    <w:rsid w:val="004E127F"/>
    <w:rsid w:val="004E1943"/>
    <w:rsid w:val="004E1EEA"/>
    <w:rsid w:val="004E21C6"/>
    <w:rsid w:val="004E2A8C"/>
    <w:rsid w:val="004E2B90"/>
    <w:rsid w:val="004E2CC4"/>
    <w:rsid w:val="004E2CFA"/>
    <w:rsid w:val="004E2EDC"/>
    <w:rsid w:val="004E39DF"/>
    <w:rsid w:val="004E3C36"/>
    <w:rsid w:val="004E3C8B"/>
    <w:rsid w:val="004E3E29"/>
    <w:rsid w:val="004E4086"/>
    <w:rsid w:val="004E40D5"/>
    <w:rsid w:val="004E418F"/>
    <w:rsid w:val="004E43AF"/>
    <w:rsid w:val="004E44E9"/>
    <w:rsid w:val="004E4A61"/>
    <w:rsid w:val="004E5345"/>
    <w:rsid w:val="004E54CA"/>
    <w:rsid w:val="004E5854"/>
    <w:rsid w:val="004E5C04"/>
    <w:rsid w:val="004E5D90"/>
    <w:rsid w:val="004E5E5A"/>
    <w:rsid w:val="004E61CB"/>
    <w:rsid w:val="004E6202"/>
    <w:rsid w:val="004E6473"/>
    <w:rsid w:val="004E6761"/>
    <w:rsid w:val="004E6826"/>
    <w:rsid w:val="004E6D80"/>
    <w:rsid w:val="004E71C8"/>
    <w:rsid w:val="004E75C3"/>
    <w:rsid w:val="004E763B"/>
    <w:rsid w:val="004E771C"/>
    <w:rsid w:val="004E7891"/>
    <w:rsid w:val="004E7BD4"/>
    <w:rsid w:val="004F0624"/>
    <w:rsid w:val="004F09A1"/>
    <w:rsid w:val="004F09F9"/>
    <w:rsid w:val="004F0ACC"/>
    <w:rsid w:val="004F0C8D"/>
    <w:rsid w:val="004F0F3B"/>
    <w:rsid w:val="004F1490"/>
    <w:rsid w:val="004F1542"/>
    <w:rsid w:val="004F1910"/>
    <w:rsid w:val="004F19AF"/>
    <w:rsid w:val="004F1E1C"/>
    <w:rsid w:val="004F21B8"/>
    <w:rsid w:val="004F22A3"/>
    <w:rsid w:val="004F2B7D"/>
    <w:rsid w:val="004F2CDE"/>
    <w:rsid w:val="004F2CF2"/>
    <w:rsid w:val="004F2E97"/>
    <w:rsid w:val="004F314B"/>
    <w:rsid w:val="004F31B7"/>
    <w:rsid w:val="004F3710"/>
    <w:rsid w:val="004F372E"/>
    <w:rsid w:val="004F3A8B"/>
    <w:rsid w:val="004F3D85"/>
    <w:rsid w:val="004F3F15"/>
    <w:rsid w:val="004F3F19"/>
    <w:rsid w:val="004F40D8"/>
    <w:rsid w:val="004F413E"/>
    <w:rsid w:val="004F417A"/>
    <w:rsid w:val="004F4DDF"/>
    <w:rsid w:val="004F5218"/>
    <w:rsid w:val="004F554D"/>
    <w:rsid w:val="004F567F"/>
    <w:rsid w:val="004F6509"/>
    <w:rsid w:val="004F65F8"/>
    <w:rsid w:val="004F66D8"/>
    <w:rsid w:val="004F6871"/>
    <w:rsid w:val="004F6A83"/>
    <w:rsid w:val="004F6C73"/>
    <w:rsid w:val="004F6C95"/>
    <w:rsid w:val="004F7761"/>
    <w:rsid w:val="004F77F5"/>
    <w:rsid w:val="004F7BB8"/>
    <w:rsid w:val="004F7BD9"/>
    <w:rsid w:val="004F7E40"/>
    <w:rsid w:val="00500402"/>
    <w:rsid w:val="00500A3D"/>
    <w:rsid w:val="00500BB6"/>
    <w:rsid w:val="00500EE7"/>
    <w:rsid w:val="00500F25"/>
    <w:rsid w:val="00501580"/>
    <w:rsid w:val="00501B06"/>
    <w:rsid w:val="00501E00"/>
    <w:rsid w:val="00502090"/>
    <w:rsid w:val="00502147"/>
    <w:rsid w:val="0050214C"/>
    <w:rsid w:val="0050227E"/>
    <w:rsid w:val="005022C8"/>
    <w:rsid w:val="00502641"/>
    <w:rsid w:val="00502A80"/>
    <w:rsid w:val="00502B4F"/>
    <w:rsid w:val="00502D8E"/>
    <w:rsid w:val="00502E7E"/>
    <w:rsid w:val="00502EEC"/>
    <w:rsid w:val="0050305C"/>
    <w:rsid w:val="0050334A"/>
    <w:rsid w:val="0050374E"/>
    <w:rsid w:val="005037EE"/>
    <w:rsid w:val="005039FA"/>
    <w:rsid w:val="00503A2C"/>
    <w:rsid w:val="00503E4E"/>
    <w:rsid w:val="00503FF0"/>
    <w:rsid w:val="00504216"/>
    <w:rsid w:val="0050438F"/>
    <w:rsid w:val="0050475A"/>
    <w:rsid w:val="0050479C"/>
    <w:rsid w:val="00504ABC"/>
    <w:rsid w:val="0050552E"/>
    <w:rsid w:val="005057F6"/>
    <w:rsid w:val="005059A9"/>
    <w:rsid w:val="00505C1C"/>
    <w:rsid w:val="00506162"/>
    <w:rsid w:val="00506173"/>
    <w:rsid w:val="0050644F"/>
    <w:rsid w:val="0050668F"/>
    <w:rsid w:val="00506813"/>
    <w:rsid w:val="00506834"/>
    <w:rsid w:val="005069B2"/>
    <w:rsid w:val="005070F1"/>
    <w:rsid w:val="00507AC9"/>
    <w:rsid w:val="00507CBC"/>
    <w:rsid w:val="005100AC"/>
    <w:rsid w:val="005100F7"/>
    <w:rsid w:val="005103BA"/>
    <w:rsid w:val="0051073D"/>
    <w:rsid w:val="00510C34"/>
    <w:rsid w:val="00510E01"/>
    <w:rsid w:val="00512894"/>
    <w:rsid w:val="00512A01"/>
    <w:rsid w:val="00512B53"/>
    <w:rsid w:val="00512CCE"/>
    <w:rsid w:val="00512FB4"/>
    <w:rsid w:val="005134BA"/>
    <w:rsid w:val="00513CDD"/>
    <w:rsid w:val="00514104"/>
    <w:rsid w:val="005143AD"/>
    <w:rsid w:val="00514518"/>
    <w:rsid w:val="0051469C"/>
    <w:rsid w:val="00514BE5"/>
    <w:rsid w:val="00514DF3"/>
    <w:rsid w:val="00514E8E"/>
    <w:rsid w:val="00514F1B"/>
    <w:rsid w:val="00514FBC"/>
    <w:rsid w:val="0051502C"/>
    <w:rsid w:val="00515036"/>
    <w:rsid w:val="005151B3"/>
    <w:rsid w:val="005151D5"/>
    <w:rsid w:val="0051561A"/>
    <w:rsid w:val="0051572C"/>
    <w:rsid w:val="005158A4"/>
    <w:rsid w:val="005159A9"/>
    <w:rsid w:val="00515D28"/>
    <w:rsid w:val="00516884"/>
    <w:rsid w:val="00516B48"/>
    <w:rsid w:val="00517271"/>
    <w:rsid w:val="0051748D"/>
    <w:rsid w:val="00517FD5"/>
    <w:rsid w:val="005202B5"/>
    <w:rsid w:val="00520A74"/>
    <w:rsid w:val="00521006"/>
    <w:rsid w:val="0052186A"/>
    <w:rsid w:val="00521C50"/>
    <w:rsid w:val="00521D81"/>
    <w:rsid w:val="00522144"/>
    <w:rsid w:val="0052232A"/>
    <w:rsid w:val="005223A5"/>
    <w:rsid w:val="005223C6"/>
    <w:rsid w:val="0052254D"/>
    <w:rsid w:val="00522599"/>
    <w:rsid w:val="00522C53"/>
    <w:rsid w:val="0052317A"/>
    <w:rsid w:val="005236C1"/>
    <w:rsid w:val="00523751"/>
    <w:rsid w:val="00523807"/>
    <w:rsid w:val="00523BC8"/>
    <w:rsid w:val="00523DB9"/>
    <w:rsid w:val="00524642"/>
    <w:rsid w:val="005247F7"/>
    <w:rsid w:val="00524C56"/>
    <w:rsid w:val="005251B7"/>
    <w:rsid w:val="005256AF"/>
    <w:rsid w:val="00525A5A"/>
    <w:rsid w:val="00526022"/>
    <w:rsid w:val="005260E3"/>
    <w:rsid w:val="005264A2"/>
    <w:rsid w:val="00526609"/>
    <w:rsid w:val="00526623"/>
    <w:rsid w:val="005268CE"/>
    <w:rsid w:val="00526AF5"/>
    <w:rsid w:val="00526B23"/>
    <w:rsid w:val="00526CA4"/>
    <w:rsid w:val="00526F99"/>
    <w:rsid w:val="005270FF"/>
    <w:rsid w:val="0052739D"/>
    <w:rsid w:val="00527476"/>
    <w:rsid w:val="005274F6"/>
    <w:rsid w:val="005274FD"/>
    <w:rsid w:val="00527844"/>
    <w:rsid w:val="00527B9F"/>
    <w:rsid w:val="00527D59"/>
    <w:rsid w:val="00527E0D"/>
    <w:rsid w:val="005309E5"/>
    <w:rsid w:val="00530E73"/>
    <w:rsid w:val="00530F05"/>
    <w:rsid w:val="00531460"/>
    <w:rsid w:val="0053170A"/>
    <w:rsid w:val="005317AA"/>
    <w:rsid w:val="00531921"/>
    <w:rsid w:val="00531A4C"/>
    <w:rsid w:val="005325FE"/>
    <w:rsid w:val="00532E07"/>
    <w:rsid w:val="00532F43"/>
    <w:rsid w:val="00533974"/>
    <w:rsid w:val="00533A9D"/>
    <w:rsid w:val="00533F52"/>
    <w:rsid w:val="00534AF8"/>
    <w:rsid w:val="00534DB5"/>
    <w:rsid w:val="0053529F"/>
    <w:rsid w:val="0053541D"/>
    <w:rsid w:val="00535886"/>
    <w:rsid w:val="00535E30"/>
    <w:rsid w:val="00535F07"/>
    <w:rsid w:val="00536088"/>
    <w:rsid w:val="005363F8"/>
    <w:rsid w:val="005365A9"/>
    <w:rsid w:val="00536AC6"/>
    <w:rsid w:val="00536BF2"/>
    <w:rsid w:val="00536F8B"/>
    <w:rsid w:val="00537836"/>
    <w:rsid w:val="00540382"/>
    <w:rsid w:val="00540ADF"/>
    <w:rsid w:val="00540C82"/>
    <w:rsid w:val="00540D1E"/>
    <w:rsid w:val="00540DBD"/>
    <w:rsid w:val="005410F1"/>
    <w:rsid w:val="005415FA"/>
    <w:rsid w:val="00541672"/>
    <w:rsid w:val="00541B66"/>
    <w:rsid w:val="00541C1F"/>
    <w:rsid w:val="00541FC6"/>
    <w:rsid w:val="005420C3"/>
    <w:rsid w:val="00542306"/>
    <w:rsid w:val="00542C99"/>
    <w:rsid w:val="00542FF5"/>
    <w:rsid w:val="005431C3"/>
    <w:rsid w:val="0054351D"/>
    <w:rsid w:val="00543736"/>
    <w:rsid w:val="0054399F"/>
    <w:rsid w:val="00543E4E"/>
    <w:rsid w:val="00544533"/>
    <w:rsid w:val="005445E7"/>
    <w:rsid w:val="005450E4"/>
    <w:rsid w:val="005454E3"/>
    <w:rsid w:val="00545535"/>
    <w:rsid w:val="005457CB"/>
    <w:rsid w:val="00545D7E"/>
    <w:rsid w:val="00545E1E"/>
    <w:rsid w:val="00545E23"/>
    <w:rsid w:val="0054606D"/>
    <w:rsid w:val="00546388"/>
    <w:rsid w:val="00546500"/>
    <w:rsid w:val="00546716"/>
    <w:rsid w:val="00546B29"/>
    <w:rsid w:val="00546E8F"/>
    <w:rsid w:val="0054729F"/>
    <w:rsid w:val="0054795B"/>
    <w:rsid w:val="00547A22"/>
    <w:rsid w:val="005500E4"/>
    <w:rsid w:val="005504CD"/>
    <w:rsid w:val="00551049"/>
    <w:rsid w:val="00551698"/>
    <w:rsid w:val="005518CA"/>
    <w:rsid w:val="00552B33"/>
    <w:rsid w:val="00552DDD"/>
    <w:rsid w:val="00553033"/>
    <w:rsid w:val="005536B8"/>
    <w:rsid w:val="00553B0D"/>
    <w:rsid w:val="005542DD"/>
    <w:rsid w:val="00554606"/>
    <w:rsid w:val="005547A4"/>
    <w:rsid w:val="00554C08"/>
    <w:rsid w:val="00554E4D"/>
    <w:rsid w:val="00554ED4"/>
    <w:rsid w:val="00554F57"/>
    <w:rsid w:val="005550E1"/>
    <w:rsid w:val="005557EB"/>
    <w:rsid w:val="00555E23"/>
    <w:rsid w:val="005567C4"/>
    <w:rsid w:val="00556D88"/>
    <w:rsid w:val="00556EA2"/>
    <w:rsid w:val="0055751D"/>
    <w:rsid w:val="005575A4"/>
    <w:rsid w:val="005579F7"/>
    <w:rsid w:val="00557CA6"/>
    <w:rsid w:val="00557D5D"/>
    <w:rsid w:val="00557E55"/>
    <w:rsid w:val="00560163"/>
    <w:rsid w:val="00560258"/>
    <w:rsid w:val="0056044B"/>
    <w:rsid w:val="00560CD8"/>
    <w:rsid w:val="00560D32"/>
    <w:rsid w:val="0056156B"/>
    <w:rsid w:val="0056162E"/>
    <w:rsid w:val="00561648"/>
    <w:rsid w:val="00561BDC"/>
    <w:rsid w:val="00561FB8"/>
    <w:rsid w:val="00562523"/>
    <w:rsid w:val="00562685"/>
    <w:rsid w:val="005626EA"/>
    <w:rsid w:val="00562751"/>
    <w:rsid w:val="00562E41"/>
    <w:rsid w:val="00562F61"/>
    <w:rsid w:val="0056326A"/>
    <w:rsid w:val="0056370E"/>
    <w:rsid w:val="00563DEF"/>
    <w:rsid w:val="00563EC0"/>
    <w:rsid w:val="00563F00"/>
    <w:rsid w:val="00564A64"/>
    <w:rsid w:val="00564ADD"/>
    <w:rsid w:val="00564E7D"/>
    <w:rsid w:val="00564EEC"/>
    <w:rsid w:val="00565000"/>
    <w:rsid w:val="005655C1"/>
    <w:rsid w:val="0056591C"/>
    <w:rsid w:val="00565DCF"/>
    <w:rsid w:val="00566366"/>
    <w:rsid w:val="005668A6"/>
    <w:rsid w:val="00566B4B"/>
    <w:rsid w:val="00566C32"/>
    <w:rsid w:val="00566C6C"/>
    <w:rsid w:val="00566DC3"/>
    <w:rsid w:val="00566FDF"/>
    <w:rsid w:val="005673D4"/>
    <w:rsid w:val="00567A05"/>
    <w:rsid w:val="00567DB2"/>
    <w:rsid w:val="00567E3C"/>
    <w:rsid w:val="00570058"/>
    <w:rsid w:val="005700D3"/>
    <w:rsid w:val="0057166D"/>
    <w:rsid w:val="00571708"/>
    <w:rsid w:val="00571B22"/>
    <w:rsid w:val="00571ECF"/>
    <w:rsid w:val="00571EF6"/>
    <w:rsid w:val="00572267"/>
    <w:rsid w:val="00572E42"/>
    <w:rsid w:val="005731C3"/>
    <w:rsid w:val="005731FD"/>
    <w:rsid w:val="00573667"/>
    <w:rsid w:val="00573D4F"/>
    <w:rsid w:val="00573F22"/>
    <w:rsid w:val="005750CC"/>
    <w:rsid w:val="00575586"/>
    <w:rsid w:val="00575679"/>
    <w:rsid w:val="0057632F"/>
    <w:rsid w:val="00576350"/>
    <w:rsid w:val="00576E41"/>
    <w:rsid w:val="00576EDC"/>
    <w:rsid w:val="00576FF6"/>
    <w:rsid w:val="00577456"/>
    <w:rsid w:val="0057781D"/>
    <w:rsid w:val="00577A28"/>
    <w:rsid w:val="00577B76"/>
    <w:rsid w:val="00577D04"/>
    <w:rsid w:val="00580105"/>
    <w:rsid w:val="005802BA"/>
    <w:rsid w:val="005802F9"/>
    <w:rsid w:val="00580621"/>
    <w:rsid w:val="005807DE"/>
    <w:rsid w:val="00580E2C"/>
    <w:rsid w:val="00581414"/>
    <w:rsid w:val="0058184A"/>
    <w:rsid w:val="00581E8F"/>
    <w:rsid w:val="00582169"/>
    <w:rsid w:val="00582235"/>
    <w:rsid w:val="005834DC"/>
    <w:rsid w:val="0058355D"/>
    <w:rsid w:val="00583593"/>
    <w:rsid w:val="005835F9"/>
    <w:rsid w:val="00583CCD"/>
    <w:rsid w:val="00583EF7"/>
    <w:rsid w:val="005841CC"/>
    <w:rsid w:val="00584889"/>
    <w:rsid w:val="00584B5A"/>
    <w:rsid w:val="00584C58"/>
    <w:rsid w:val="00585219"/>
    <w:rsid w:val="00585471"/>
    <w:rsid w:val="00585477"/>
    <w:rsid w:val="005854CE"/>
    <w:rsid w:val="0058602A"/>
    <w:rsid w:val="00586056"/>
    <w:rsid w:val="00586165"/>
    <w:rsid w:val="005862E4"/>
    <w:rsid w:val="0058656D"/>
    <w:rsid w:val="005865D2"/>
    <w:rsid w:val="005865EE"/>
    <w:rsid w:val="0058683B"/>
    <w:rsid w:val="00586A52"/>
    <w:rsid w:val="00586DBA"/>
    <w:rsid w:val="00586E6D"/>
    <w:rsid w:val="00587195"/>
    <w:rsid w:val="00587289"/>
    <w:rsid w:val="00587606"/>
    <w:rsid w:val="005878F6"/>
    <w:rsid w:val="00587F8B"/>
    <w:rsid w:val="00587FFA"/>
    <w:rsid w:val="00590293"/>
    <w:rsid w:val="005905D7"/>
    <w:rsid w:val="005908CA"/>
    <w:rsid w:val="0059110E"/>
    <w:rsid w:val="00591469"/>
    <w:rsid w:val="005915EA"/>
    <w:rsid w:val="00591671"/>
    <w:rsid w:val="00591A4D"/>
    <w:rsid w:val="00592580"/>
    <w:rsid w:val="005925D7"/>
    <w:rsid w:val="0059294B"/>
    <w:rsid w:val="00592A89"/>
    <w:rsid w:val="005931C0"/>
    <w:rsid w:val="005934F8"/>
    <w:rsid w:val="00593543"/>
    <w:rsid w:val="00593BF6"/>
    <w:rsid w:val="00593D4E"/>
    <w:rsid w:val="00593DD2"/>
    <w:rsid w:val="00593E58"/>
    <w:rsid w:val="00593F7E"/>
    <w:rsid w:val="00594934"/>
    <w:rsid w:val="005956E8"/>
    <w:rsid w:val="00595752"/>
    <w:rsid w:val="00595DE4"/>
    <w:rsid w:val="00595E94"/>
    <w:rsid w:val="005962B4"/>
    <w:rsid w:val="0059632D"/>
    <w:rsid w:val="00596836"/>
    <w:rsid w:val="00596A4A"/>
    <w:rsid w:val="00596B40"/>
    <w:rsid w:val="005974E1"/>
    <w:rsid w:val="005977D9"/>
    <w:rsid w:val="00597B3D"/>
    <w:rsid w:val="00597FAC"/>
    <w:rsid w:val="005A008F"/>
    <w:rsid w:val="005A02EB"/>
    <w:rsid w:val="005A05C9"/>
    <w:rsid w:val="005A068F"/>
    <w:rsid w:val="005A0A11"/>
    <w:rsid w:val="005A1578"/>
    <w:rsid w:val="005A164D"/>
    <w:rsid w:val="005A1D4A"/>
    <w:rsid w:val="005A207A"/>
    <w:rsid w:val="005A21EF"/>
    <w:rsid w:val="005A243C"/>
    <w:rsid w:val="005A2552"/>
    <w:rsid w:val="005A25D4"/>
    <w:rsid w:val="005A2833"/>
    <w:rsid w:val="005A2837"/>
    <w:rsid w:val="005A284C"/>
    <w:rsid w:val="005A2942"/>
    <w:rsid w:val="005A2B93"/>
    <w:rsid w:val="005A2C05"/>
    <w:rsid w:val="005A32D5"/>
    <w:rsid w:val="005A3507"/>
    <w:rsid w:val="005A3527"/>
    <w:rsid w:val="005A369A"/>
    <w:rsid w:val="005A3789"/>
    <w:rsid w:val="005A3CDC"/>
    <w:rsid w:val="005A420B"/>
    <w:rsid w:val="005A499D"/>
    <w:rsid w:val="005A4AAC"/>
    <w:rsid w:val="005A4B42"/>
    <w:rsid w:val="005A55AD"/>
    <w:rsid w:val="005A5722"/>
    <w:rsid w:val="005A5F46"/>
    <w:rsid w:val="005A62E5"/>
    <w:rsid w:val="005A695B"/>
    <w:rsid w:val="005A6A1A"/>
    <w:rsid w:val="005A6BD6"/>
    <w:rsid w:val="005A6D98"/>
    <w:rsid w:val="005A6EC9"/>
    <w:rsid w:val="005A702D"/>
    <w:rsid w:val="005A7400"/>
    <w:rsid w:val="005A78D1"/>
    <w:rsid w:val="005A7BF1"/>
    <w:rsid w:val="005A7F39"/>
    <w:rsid w:val="005B07B7"/>
    <w:rsid w:val="005B08AE"/>
    <w:rsid w:val="005B0AF9"/>
    <w:rsid w:val="005B0BD8"/>
    <w:rsid w:val="005B0C8A"/>
    <w:rsid w:val="005B100D"/>
    <w:rsid w:val="005B140F"/>
    <w:rsid w:val="005B14CD"/>
    <w:rsid w:val="005B1780"/>
    <w:rsid w:val="005B1B29"/>
    <w:rsid w:val="005B222B"/>
    <w:rsid w:val="005B268B"/>
    <w:rsid w:val="005B2929"/>
    <w:rsid w:val="005B2D0C"/>
    <w:rsid w:val="005B3239"/>
    <w:rsid w:val="005B33D5"/>
    <w:rsid w:val="005B3444"/>
    <w:rsid w:val="005B35A1"/>
    <w:rsid w:val="005B37EA"/>
    <w:rsid w:val="005B3CAC"/>
    <w:rsid w:val="005B3F8B"/>
    <w:rsid w:val="005B4036"/>
    <w:rsid w:val="005B4399"/>
    <w:rsid w:val="005B43B3"/>
    <w:rsid w:val="005B4738"/>
    <w:rsid w:val="005B491F"/>
    <w:rsid w:val="005B4EA3"/>
    <w:rsid w:val="005B5209"/>
    <w:rsid w:val="005B5436"/>
    <w:rsid w:val="005B5705"/>
    <w:rsid w:val="005B5897"/>
    <w:rsid w:val="005B5CA8"/>
    <w:rsid w:val="005B5D4E"/>
    <w:rsid w:val="005B5E79"/>
    <w:rsid w:val="005B64AB"/>
    <w:rsid w:val="005B720D"/>
    <w:rsid w:val="005B753F"/>
    <w:rsid w:val="005B76F6"/>
    <w:rsid w:val="005B7819"/>
    <w:rsid w:val="005B7C71"/>
    <w:rsid w:val="005C0212"/>
    <w:rsid w:val="005C0389"/>
    <w:rsid w:val="005C050E"/>
    <w:rsid w:val="005C06D5"/>
    <w:rsid w:val="005C09DC"/>
    <w:rsid w:val="005C0C59"/>
    <w:rsid w:val="005C0C68"/>
    <w:rsid w:val="005C1B4E"/>
    <w:rsid w:val="005C1B8C"/>
    <w:rsid w:val="005C1D61"/>
    <w:rsid w:val="005C2AEE"/>
    <w:rsid w:val="005C2B7F"/>
    <w:rsid w:val="005C2D9F"/>
    <w:rsid w:val="005C2EED"/>
    <w:rsid w:val="005C304F"/>
    <w:rsid w:val="005C314E"/>
    <w:rsid w:val="005C31E4"/>
    <w:rsid w:val="005C31F5"/>
    <w:rsid w:val="005C3A2B"/>
    <w:rsid w:val="005C3BC6"/>
    <w:rsid w:val="005C3EED"/>
    <w:rsid w:val="005C42BB"/>
    <w:rsid w:val="005C4454"/>
    <w:rsid w:val="005C448B"/>
    <w:rsid w:val="005C4691"/>
    <w:rsid w:val="005C48F4"/>
    <w:rsid w:val="005C4B8F"/>
    <w:rsid w:val="005C4FD5"/>
    <w:rsid w:val="005C5142"/>
    <w:rsid w:val="005C55D6"/>
    <w:rsid w:val="005C56B6"/>
    <w:rsid w:val="005C58D9"/>
    <w:rsid w:val="005C5970"/>
    <w:rsid w:val="005C5972"/>
    <w:rsid w:val="005C5BD8"/>
    <w:rsid w:val="005C6714"/>
    <w:rsid w:val="005C6B39"/>
    <w:rsid w:val="005C6ED6"/>
    <w:rsid w:val="005C6FD7"/>
    <w:rsid w:val="005C7021"/>
    <w:rsid w:val="005C736B"/>
    <w:rsid w:val="005C74CD"/>
    <w:rsid w:val="005C750C"/>
    <w:rsid w:val="005C77BA"/>
    <w:rsid w:val="005C7943"/>
    <w:rsid w:val="005C7C5C"/>
    <w:rsid w:val="005C7E0C"/>
    <w:rsid w:val="005C7E50"/>
    <w:rsid w:val="005C7EA4"/>
    <w:rsid w:val="005C7FDA"/>
    <w:rsid w:val="005D0117"/>
    <w:rsid w:val="005D0162"/>
    <w:rsid w:val="005D032A"/>
    <w:rsid w:val="005D0957"/>
    <w:rsid w:val="005D09E4"/>
    <w:rsid w:val="005D0F47"/>
    <w:rsid w:val="005D0FB3"/>
    <w:rsid w:val="005D1318"/>
    <w:rsid w:val="005D13D9"/>
    <w:rsid w:val="005D16AB"/>
    <w:rsid w:val="005D16B8"/>
    <w:rsid w:val="005D1F65"/>
    <w:rsid w:val="005D2277"/>
    <w:rsid w:val="005D32E4"/>
    <w:rsid w:val="005D351E"/>
    <w:rsid w:val="005D3673"/>
    <w:rsid w:val="005D36B2"/>
    <w:rsid w:val="005D379F"/>
    <w:rsid w:val="005D38FB"/>
    <w:rsid w:val="005D39D5"/>
    <w:rsid w:val="005D39EB"/>
    <w:rsid w:val="005D3A0F"/>
    <w:rsid w:val="005D3AAE"/>
    <w:rsid w:val="005D3B0B"/>
    <w:rsid w:val="005D3D6F"/>
    <w:rsid w:val="005D589D"/>
    <w:rsid w:val="005D5D7F"/>
    <w:rsid w:val="005D5F67"/>
    <w:rsid w:val="005D5FC8"/>
    <w:rsid w:val="005D64A5"/>
    <w:rsid w:val="005D6B96"/>
    <w:rsid w:val="005D6CC9"/>
    <w:rsid w:val="005D6F1F"/>
    <w:rsid w:val="005D795A"/>
    <w:rsid w:val="005D7DFB"/>
    <w:rsid w:val="005D7FB4"/>
    <w:rsid w:val="005E0214"/>
    <w:rsid w:val="005E03D3"/>
    <w:rsid w:val="005E045B"/>
    <w:rsid w:val="005E0A26"/>
    <w:rsid w:val="005E0E13"/>
    <w:rsid w:val="005E1282"/>
    <w:rsid w:val="005E215B"/>
    <w:rsid w:val="005E247E"/>
    <w:rsid w:val="005E35A3"/>
    <w:rsid w:val="005E39B5"/>
    <w:rsid w:val="005E3F12"/>
    <w:rsid w:val="005E4473"/>
    <w:rsid w:val="005E497E"/>
    <w:rsid w:val="005E4A86"/>
    <w:rsid w:val="005E4C96"/>
    <w:rsid w:val="005E54C7"/>
    <w:rsid w:val="005E54E4"/>
    <w:rsid w:val="005E54EA"/>
    <w:rsid w:val="005E5B11"/>
    <w:rsid w:val="005E67FE"/>
    <w:rsid w:val="005E6929"/>
    <w:rsid w:val="005E6AAD"/>
    <w:rsid w:val="005E6BBF"/>
    <w:rsid w:val="005E6DD9"/>
    <w:rsid w:val="005E6F79"/>
    <w:rsid w:val="005E70F9"/>
    <w:rsid w:val="005E7191"/>
    <w:rsid w:val="005E71F4"/>
    <w:rsid w:val="005E79BE"/>
    <w:rsid w:val="005E7B75"/>
    <w:rsid w:val="005E7DD0"/>
    <w:rsid w:val="005F0060"/>
    <w:rsid w:val="005F0259"/>
    <w:rsid w:val="005F094D"/>
    <w:rsid w:val="005F0CE7"/>
    <w:rsid w:val="005F0D4C"/>
    <w:rsid w:val="005F1063"/>
    <w:rsid w:val="005F10DE"/>
    <w:rsid w:val="005F11AA"/>
    <w:rsid w:val="005F133B"/>
    <w:rsid w:val="005F13AF"/>
    <w:rsid w:val="005F1556"/>
    <w:rsid w:val="005F197E"/>
    <w:rsid w:val="005F1ED8"/>
    <w:rsid w:val="005F258E"/>
    <w:rsid w:val="005F29B7"/>
    <w:rsid w:val="005F2C6D"/>
    <w:rsid w:val="005F317E"/>
    <w:rsid w:val="005F32E5"/>
    <w:rsid w:val="005F3717"/>
    <w:rsid w:val="005F3732"/>
    <w:rsid w:val="005F3845"/>
    <w:rsid w:val="005F38FD"/>
    <w:rsid w:val="005F397D"/>
    <w:rsid w:val="005F3C24"/>
    <w:rsid w:val="005F3CEB"/>
    <w:rsid w:val="005F3D92"/>
    <w:rsid w:val="005F4C9D"/>
    <w:rsid w:val="005F4E6E"/>
    <w:rsid w:val="005F52C9"/>
    <w:rsid w:val="005F56C6"/>
    <w:rsid w:val="005F5BE1"/>
    <w:rsid w:val="005F5C3E"/>
    <w:rsid w:val="005F5C42"/>
    <w:rsid w:val="005F5C92"/>
    <w:rsid w:val="005F5D8A"/>
    <w:rsid w:val="005F5E09"/>
    <w:rsid w:val="005F6136"/>
    <w:rsid w:val="005F63D6"/>
    <w:rsid w:val="005F748A"/>
    <w:rsid w:val="005F74A8"/>
    <w:rsid w:val="005F7720"/>
    <w:rsid w:val="005F7759"/>
    <w:rsid w:val="005F7BF1"/>
    <w:rsid w:val="005F7D2A"/>
    <w:rsid w:val="006003FE"/>
    <w:rsid w:val="00600B72"/>
    <w:rsid w:val="00600C44"/>
    <w:rsid w:val="006012B8"/>
    <w:rsid w:val="006013CC"/>
    <w:rsid w:val="00601879"/>
    <w:rsid w:val="00601969"/>
    <w:rsid w:val="00601B42"/>
    <w:rsid w:val="00601D03"/>
    <w:rsid w:val="00601F95"/>
    <w:rsid w:val="00602078"/>
    <w:rsid w:val="006024BB"/>
    <w:rsid w:val="006024FF"/>
    <w:rsid w:val="00602517"/>
    <w:rsid w:val="0060283A"/>
    <w:rsid w:val="0060287F"/>
    <w:rsid w:val="00602AAF"/>
    <w:rsid w:val="00602BCB"/>
    <w:rsid w:val="00602EF6"/>
    <w:rsid w:val="00602FEA"/>
    <w:rsid w:val="00603459"/>
    <w:rsid w:val="0060350C"/>
    <w:rsid w:val="00603702"/>
    <w:rsid w:val="00603E61"/>
    <w:rsid w:val="00604318"/>
    <w:rsid w:val="00604358"/>
    <w:rsid w:val="006043D7"/>
    <w:rsid w:val="006045E5"/>
    <w:rsid w:val="00604AA7"/>
    <w:rsid w:val="00604D7A"/>
    <w:rsid w:val="00604FB3"/>
    <w:rsid w:val="006051E1"/>
    <w:rsid w:val="00605C38"/>
    <w:rsid w:val="00605C66"/>
    <w:rsid w:val="00605D27"/>
    <w:rsid w:val="00605E95"/>
    <w:rsid w:val="00605E9A"/>
    <w:rsid w:val="00605F10"/>
    <w:rsid w:val="0060604C"/>
    <w:rsid w:val="006061EB"/>
    <w:rsid w:val="006065A8"/>
    <w:rsid w:val="00606C9C"/>
    <w:rsid w:val="006071EE"/>
    <w:rsid w:val="006075B1"/>
    <w:rsid w:val="00607EE3"/>
    <w:rsid w:val="00607F3D"/>
    <w:rsid w:val="00610319"/>
    <w:rsid w:val="006105D1"/>
    <w:rsid w:val="00610B51"/>
    <w:rsid w:val="00610D9A"/>
    <w:rsid w:val="00610E82"/>
    <w:rsid w:val="0061117F"/>
    <w:rsid w:val="00611388"/>
    <w:rsid w:val="0061185E"/>
    <w:rsid w:val="00611C14"/>
    <w:rsid w:val="00611FA0"/>
    <w:rsid w:val="00612397"/>
    <w:rsid w:val="00612862"/>
    <w:rsid w:val="00612D43"/>
    <w:rsid w:val="006132DE"/>
    <w:rsid w:val="0061337D"/>
    <w:rsid w:val="00613581"/>
    <w:rsid w:val="0061397C"/>
    <w:rsid w:val="00613E0A"/>
    <w:rsid w:val="00613E6D"/>
    <w:rsid w:val="0061497C"/>
    <w:rsid w:val="00614AC7"/>
    <w:rsid w:val="00614C34"/>
    <w:rsid w:val="00614E40"/>
    <w:rsid w:val="00614F8D"/>
    <w:rsid w:val="00614F97"/>
    <w:rsid w:val="006153AF"/>
    <w:rsid w:val="006159FC"/>
    <w:rsid w:val="00615AB3"/>
    <w:rsid w:val="00615FD1"/>
    <w:rsid w:val="00616ADD"/>
    <w:rsid w:val="00616C1D"/>
    <w:rsid w:val="0061751C"/>
    <w:rsid w:val="0061785C"/>
    <w:rsid w:val="006178D0"/>
    <w:rsid w:val="00617BD3"/>
    <w:rsid w:val="00620042"/>
    <w:rsid w:val="006201C1"/>
    <w:rsid w:val="00620431"/>
    <w:rsid w:val="0062054B"/>
    <w:rsid w:val="006205C4"/>
    <w:rsid w:val="0062064A"/>
    <w:rsid w:val="00620FEF"/>
    <w:rsid w:val="00621124"/>
    <w:rsid w:val="0062194C"/>
    <w:rsid w:val="0062194F"/>
    <w:rsid w:val="00621D99"/>
    <w:rsid w:val="00621FDF"/>
    <w:rsid w:val="00622871"/>
    <w:rsid w:val="0062315B"/>
    <w:rsid w:val="006231D8"/>
    <w:rsid w:val="00623426"/>
    <w:rsid w:val="00623698"/>
    <w:rsid w:val="00623AAA"/>
    <w:rsid w:val="00623C1D"/>
    <w:rsid w:val="00623CCC"/>
    <w:rsid w:val="00623D20"/>
    <w:rsid w:val="0062408F"/>
    <w:rsid w:val="0062410C"/>
    <w:rsid w:val="00624379"/>
    <w:rsid w:val="00624465"/>
    <w:rsid w:val="0062469A"/>
    <w:rsid w:val="0062471B"/>
    <w:rsid w:val="006247D0"/>
    <w:rsid w:val="00624892"/>
    <w:rsid w:val="006248AC"/>
    <w:rsid w:val="00625082"/>
    <w:rsid w:val="006250ED"/>
    <w:rsid w:val="0062523C"/>
    <w:rsid w:val="00625337"/>
    <w:rsid w:val="006253E6"/>
    <w:rsid w:val="00625BA3"/>
    <w:rsid w:val="00625E9C"/>
    <w:rsid w:val="006267CD"/>
    <w:rsid w:val="0062681C"/>
    <w:rsid w:val="006269AD"/>
    <w:rsid w:val="006269D7"/>
    <w:rsid w:val="00626AB8"/>
    <w:rsid w:val="00626FEF"/>
    <w:rsid w:val="006270D0"/>
    <w:rsid w:val="006270F3"/>
    <w:rsid w:val="00627206"/>
    <w:rsid w:val="006274F1"/>
    <w:rsid w:val="0062767D"/>
    <w:rsid w:val="00627EE3"/>
    <w:rsid w:val="00627EF5"/>
    <w:rsid w:val="00630116"/>
    <w:rsid w:val="006302A5"/>
    <w:rsid w:val="00630585"/>
    <w:rsid w:val="00630AD4"/>
    <w:rsid w:val="00630E18"/>
    <w:rsid w:val="00630E65"/>
    <w:rsid w:val="00631115"/>
    <w:rsid w:val="006312D2"/>
    <w:rsid w:val="006314F9"/>
    <w:rsid w:val="0063173D"/>
    <w:rsid w:val="006319A3"/>
    <w:rsid w:val="00631B4A"/>
    <w:rsid w:val="00631BA6"/>
    <w:rsid w:val="00631C7A"/>
    <w:rsid w:val="00632090"/>
    <w:rsid w:val="006320F1"/>
    <w:rsid w:val="006321DC"/>
    <w:rsid w:val="0063231C"/>
    <w:rsid w:val="00632505"/>
    <w:rsid w:val="00632BD2"/>
    <w:rsid w:val="00632C0B"/>
    <w:rsid w:val="00632C9E"/>
    <w:rsid w:val="00632F64"/>
    <w:rsid w:val="00633779"/>
    <w:rsid w:val="00633E31"/>
    <w:rsid w:val="0063401F"/>
    <w:rsid w:val="0063447B"/>
    <w:rsid w:val="006348FB"/>
    <w:rsid w:val="00634991"/>
    <w:rsid w:val="00634ABF"/>
    <w:rsid w:val="00634BB3"/>
    <w:rsid w:val="00634D38"/>
    <w:rsid w:val="006351C2"/>
    <w:rsid w:val="00635798"/>
    <w:rsid w:val="006358B7"/>
    <w:rsid w:val="0063592A"/>
    <w:rsid w:val="00635CF6"/>
    <w:rsid w:val="006360EC"/>
    <w:rsid w:val="0063656B"/>
    <w:rsid w:val="00636924"/>
    <w:rsid w:val="00636C8F"/>
    <w:rsid w:val="00636E78"/>
    <w:rsid w:val="00637A5A"/>
    <w:rsid w:val="00637C43"/>
    <w:rsid w:val="00637E41"/>
    <w:rsid w:val="006402CB"/>
    <w:rsid w:val="00640A54"/>
    <w:rsid w:val="00640CCE"/>
    <w:rsid w:val="00640FE5"/>
    <w:rsid w:val="0064125B"/>
    <w:rsid w:val="0064148C"/>
    <w:rsid w:val="00641C82"/>
    <w:rsid w:val="006421B1"/>
    <w:rsid w:val="00642928"/>
    <w:rsid w:val="00642974"/>
    <w:rsid w:val="006429F0"/>
    <w:rsid w:val="00642CCD"/>
    <w:rsid w:val="006435CA"/>
    <w:rsid w:val="0064368D"/>
    <w:rsid w:val="00643819"/>
    <w:rsid w:val="00643941"/>
    <w:rsid w:val="00643B3D"/>
    <w:rsid w:val="00643EB0"/>
    <w:rsid w:val="0064426D"/>
    <w:rsid w:val="00644441"/>
    <w:rsid w:val="0064447C"/>
    <w:rsid w:val="0064454B"/>
    <w:rsid w:val="00644645"/>
    <w:rsid w:val="00644AC2"/>
    <w:rsid w:val="00644F4F"/>
    <w:rsid w:val="00645420"/>
    <w:rsid w:val="00645DE0"/>
    <w:rsid w:val="00645E61"/>
    <w:rsid w:val="00645E70"/>
    <w:rsid w:val="006466EA"/>
    <w:rsid w:val="006468A6"/>
    <w:rsid w:val="00646A98"/>
    <w:rsid w:val="0064715E"/>
    <w:rsid w:val="00647207"/>
    <w:rsid w:val="00647375"/>
    <w:rsid w:val="006474CA"/>
    <w:rsid w:val="0064768D"/>
    <w:rsid w:val="00647722"/>
    <w:rsid w:val="0064779E"/>
    <w:rsid w:val="006478CA"/>
    <w:rsid w:val="00647F58"/>
    <w:rsid w:val="00647F84"/>
    <w:rsid w:val="00650161"/>
    <w:rsid w:val="006501A4"/>
    <w:rsid w:val="00650597"/>
    <w:rsid w:val="00650715"/>
    <w:rsid w:val="0065080C"/>
    <w:rsid w:val="00650BAF"/>
    <w:rsid w:val="00650DB4"/>
    <w:rsid w:val="00650EE4"/>
    <w:rsid w:val="00651102"/>
    <w:rsid w:val="006511CE"/>
    <w:rsid w:val="0065140D"/>
    <w:rsid w:val="006517C5"/>
    <w:rsid w:val="006519FD"/>
    <w:rsid w:val="00652099"/>
    <w:rsid w:val="006524EE"/>
    <w:rsid w:val="00652A09"/>
    <w:rsid w:val="00652CDC"/>
    <w:rsid w:val="006532B6"/>
    <w:rsid w:val="00653323"/>
    <w:rsid w:val="006535FF"/>
    <w:rsid w:val="00653E45"/>
    <w:rsid w:val="00653E75"/>
    <w:rsid w:val="00653EEF"/>
    <w:rsid w:val="0065440B"/>
    <w:rsid w:val="00654941"/>
    <w:rsid w:val="00654BD2"/>
    <w:rsid w:val="00654C9E"/>
    <w:rsid w:val="0065533A"/>
    <w:rsid w:val="00655602"/>
    <w:rsid w:val="006558D8"/>
    <w:rsid w:val="00655AE6"/>
    <w:rsid w:val="00655E7F"/>
    <w:rsid w:val="006560B4"/>
    <w:rsid w:val="006561B6"/>
    <w:rsid w:val="00656323"/>
    <w:rsid w:val="00656373"/>
    <w:rsid w:val="006566BF"/>
    <w:rsid w:val="00656D8B"/>
    <w:rsid w:val="00656D9A"/>
    <w:rsid w:val="00656DAF"/>
    <w:rsid w:val="00657353"/>
    <w:rsid w:val="0065749A"/>
    <w:rsid w:val="006576CE"/>
    <w:rsid w:val="00657EE4"/>
    <w:rsid w:val="00657FE6"/>
    <w:rsid w:val="00660195"/>
    <w:rsid w:val="006601F9"/>
    <w:rsid w:val="00660938"/>
    <w:rsid w:val="00660964"/>
    <w:rsid w:val="00660E42"/>
    <w:rsid w:val="006623A8"/>
    <w:rsid w:val="00662AD8"/>
    <w:rsid w:val="00662B0B"/>
    <w:rsid w:val="00662D40"/>
    <w:rsid w:val="00662D63"/>
    <w:rsid w:val="006633DD"/>
    <w:rsid w:val="0066377A"/>
    <w:rsid w:val="006637EF"/>
    <w:rsid w:val="00663A67"/>
    <w:rsid w:val="00663E18"/>
    <w:rsid w:val="00663E1C"/>
    <w:rsid w:val="0066407D"/>
    <w:rsid w:val="00664346"/>
    <w:rsid w:val="00664674"/>
    <w:rsid w:val="00664803"/>
    <w:rsid w:val="00664B16"/>
    <w:rsid w:val="00664F63"/>
    <w:rsid w:val="00665B21"/>
    <w:rsid w:val="00665F02"/>
    <w:rsid w:val="006662D9"/>
    <w:rsid w:val="006666D2"/>
    <w:rsid w:val="00666B58"/>
    <w:rsid w:val="00666ECB"/>
    <w:rsid w:val="006674E6"/>
    <w:rsid w:val="00667878"/>
    <w:rsid w:val="00667B92"/>
    <w:rsid w:val="00667C23"/>
    <w:rsid w:val="00667FDB"/>
    <w:rsid w:val="006701C6"/>
    <w:rsid w:val="006707C4"/>
    <w:rsid w:val="0067096F"/>
    <w:rsid w:val="00670C65"/>
    <w:rsid w:val="00670EFD"/>
    <w:rsid w:val="006715CD"/>
    <w:rsid w:val="006718F6"/>
    <w:rsid w:val="006719BF"/>
    <w:rsid w:val="00671A3C"/>
    <w:rsid w:val="00671B05"/>
    <w:rsid w:val="00671DE5"/>
    <w:rsid w:val="00671E3D"/>
    <w:rsid w:val="0067202C"/>
    <w:rsid w:val="00672172"/>
    <w:rsid w:val="006721DD"/>
    <w:rsid w:val="00672385"/>
    <w:rsid w:val="00672472"/>
    <w:rsid w:val="006725C8"/>
    <w:rsid w:val="0067275A"/>
    <w:rsid w:val="006728E0"/>
    <w:rsid w:val="00673B88"/>
    <w:rsid w:val="00673EF0"/>
    <w:rsid w:val="00673FDD"/>
    <w:rsid w:val="006743E4"/>
    <w:rsid w:val="006744D9"/>
    <w:rsid w:val="006745C0"/>
    <w:rsid w:val="006747EA"/>
    <w:rsid w:val="00674E5A"/>
    <w:rsid w:val="00674EAC"/>
    <w:rsid w:val="006750AB"/>
    <w:rsid w:val="00675920"/>
    <w:rsid w:val="00675A31"/>
    <w:rsid w:val="00675DCB"/>
    <w:rsid w:val="00675F66"/>
    <w:rsid w:val="00675FBF"/>
    <w:rsid w:val="0067625C"/>
    <w:rsid w:val="0067696A"/>
    <w:rsid w:val="00676B66"/>
    <w:rsid w:val="00676BD5"/>
    <w:rsid w:val="00677614"/>
    <w:rsid w:val="00677620"/>
    <w:rsid w:val="0067799D"/>
    <w:rsid w:val="00677B2E"/>
    <w:rsid w:val="00677BD2"/>
    <w:rsid w:val="00677C04"/>
    <w:rsid w:val="00677C88"/>
    <w:rsid w:val="00677D45"/>
    <w:rsid w:val="00677FE7"/>
    <w:rsid w:val="00680041"/>
    <w:rsid w:val="006805FB"/>
    <w:rsid w:val="00680C71"/>
    <w:rsid w:val="0068110E"/>
    <w:rsid w:val="00681794"/>
    <w:rsid w:val="006818B2"/>
    <w:rsid w:val="00681A10"/>
    <w:rsid w:val="00681A96"/>
    <w:rsid w:val="00681C8F"/>
    <w:rsid w:val="00682075"/>
    <w:rsid w:val="00682940"/>
    <w:rsid w:val="00682A6C"/>
    <w:rsid w:val="00682B9E"/>
    <w:rsid w:val="00683050"/>
    <w:rsid w:val="00683529"/>
    <w:rsid w:val="00684112"/>
    <w:rsid w:val="006848B5"/>
    <w:rsid w:val="00684A3D"/>
    <w:rsid w:val="0068531B"/>
    <w:rsid w:val="00685437"/>
    <w:rsid w:val="00685460"/>
    <w:rsid w:val="006854D6"/>
    <w:rsid w:val="006858F1"/>
    <w:rsid w:val="00685DE8"/>
    <w:rsid w:val="00685E98"/>
    <w:rsid w:val="006861B9"/>
    <w:rsid w:val="006864EF"/>
    <w:rsid w:val="006866B5"/>
    <w:rsid w:val="0068697D"/>
    <w:rsid w:val="00686D06"/>
    <w:rsid w:val="0068790A"/>
    <w:rsid w:val="0068792B"/>
    <w:rsid w:val="00687BEA"/>
    <w:rsid w:val="00687CA9"/>
    <w:rsid w:val="00687D64"/>
    <w:rsid w:val="006902AD"/>
    <w:rsid w:val="006902B1"/>
    <w:rsid w:val="006902B3"/>
    <w:rsid w:val="00690876"/>
    <w:rsid w:val="00690BDC"/>
    <w:rsid w:val="00690D36"/>
    <w:rsid w:val="0069106E"/>
    <w:rsid w:val="0069137C"/>
    <w:rsid w:val="00691464"/>
    <w:rsid w:val="006918C6"/>
    <w:rsid w:val="006918F0"/>
    <w:rsid w:val="00691B80"/>
    <w:rsid w:val="00691F79"/>
    <w:rsid w:val="00692576"/>
    <w:rsid w:val="00692903"/>
    <w:rsid w:val="00692D0E"/>
    <w:rsid w:val="00692D87"/>
    <w:rsid w:val="00692FBE"/>
    <w:rsid w:val="00693152"/>
    <w:rsid w:val="0069323F"/>
    <w:rsid w:val="006935E5"/>
    <w:rsid w:val="00693938"/>
    <w:rsid w:val="00693B77"/>
    <w:rsid w:val="00693D4D"/>
    <w:rsid w:val="00693D7B"/>
    <w:rsid w:val="00693DE0"/>
    <w:rsid w:val="006944E3"/>
    <w:rsid w:val="00694541"/>
    <w:rsid w:val="006946CC"/>
    <w:rsid w:val="00694760"/>
    <w:rsid w:val="006948CD"/>
    <w:rsid w:val="00694BA0"/>
    <w:rsid w:val="00694D6E"/>
    <w:rsid w:val="00695143"/>
    <w:rsid w:val="00695358"/>
    <w:rsid w:val="0069578D"/>
    <w:rsid w:val="00695BA7"/>
    <w:rsid w:val="00696030"/>
    <w:rsid w:val="00696058"/>
    <w:rsid w:val="00696488"/>
    <w:rsid w:val="00696526"/>
    <w:rsid w:val="006967B4"/>
    <w:rsid w:val="00696922"/>
    <w:rsid w:val="006969F1"/>
    <w:rsid w:val="00696A8E"/>
    <w:rsid w:val="00696BA5"/>
    <w:rsid w:val="0069724C"/>
    <w:rsid w:val="006973E8"/>
    <w:rsid w:val="00697510"/>
    <w:rsid w:val="00697803"/>
    <w:rsid w:val="00697C1C"/>
    <w:rsid w:val="00697E6B"/>
    <w:rsid w:val="006A018B"/>
    <w:rsid w:val="006A04D1"/>
    <w:rsid w:val="006A05E5"/>
    <w:rsid w:val="006A06F0"/>
    <w:rsid w:val="006A0956"/>
    <w:rsid w:val="006A0CFB"/>
    <w:rsid w:val="006A12EC"/>
    <w:rsid w:val="006A1A78"/>
    <w:rsid w:val="006A1ACE"/>
    <w:rsid w:val="006A1C1D"/>
    <w:rsid w:val="006A1DF0"/>
    <w:rsid w:val="006A2292"/>
    <w:rsid w:val="006A22B7"/>
    <w:rsid w:val="006A25C5"/>
    <w:rsid w:val="006A2623"/>
    <w:rsid w:val="006A278B"/>
    <w:rsid w:val="006A2C33"/>
    <w:rsid w:val="006A302C"/>
    <w:rsid w:val="006A3264"/>
    <w:rsid w:val="006A32E7"/>
    <w:rsid w:val="006A363F"/>
    <w:rsid w:val="006A3AED"/>
    <w:rsid w:val="006A4241"/>
    <w:rsid w:val="006A470E"/>
    <w:rsid w:val="006A47C9"/>
    <w:rsid w:val="006A4F6A"/>
    <w:rsid w:val="006A54C1"/>
    <w:rsid w:val="006A585B"/>
    <w:rsid w:val="006A58D6"/>
    <w:rsid w:val="006A5A8F"/>
    <w:rsid w:val="006A5B6F"/>
    <w:rsid w:val="006A60B7"/>
    <w:rsid w:val="006A62ED"/>
    <w:rsid w:val="006A62FF"/>
    <w:rsid w:val="006A642F"/>
    <w:rsid w:val="006A6463"/>
    <w:rsid w:val="006A663D"/>
    <w:rsid w:val="006A724E"/>
    <w:rsid w:val="006A732F"/>
    <w:rsid w:val="006A7407"/>
    <w:rsid w:val="006A7650"/>
    <w:rsid w:val="006A7879"/>
    <w:rsid w:val="006A78E7"/>
    <w:rsid w:val="006A7B22"/>
    <w:rsid w:val="006A7BC5"/>
    <w:rsid w:val="006A7ED1"/>
    <w:rsid w:val="006B03EA"/>
    <w:rsid w:val="006B04B6"/>
    <w:rsid w:val="006B0625"/>
    <w:rsid w:val="006B07BC"/>
    <w:rsid w:val="006B0C3C"/>
    <w:rsid w:val="006B0D8C"/>
    <w:rsid w:val="006B0FC0"/>
    <w:rsid w:val="006B116F"/>
    <w:rsid w:val="006B187F"/>
    <w:rsid w:val="006B1C87"/>
    <w:rsid w:val="006B1E82"/>
    <w:rsid w:val="006B2026"/>
    <w:rsid w:val="006B24F8"/>
    <w:rsid w:val="006B2C9D"/>
    <w:rsid w:val="006B2E7D"/>
    <w:rsid w:val="006B2E96"/>
    <w:rsid w:val="006B3008"/>
    <w:rsid w:val="006B3075"/>
    <w:rsid w:val="006B340F"/>
    <w:rsid w:val="006B35D4"/>
    <w:rsid w:val="006B35DC"/>
    <w:rsid w:val="006B3661"/>
    <w:rsid w:val="006B3C20"/>
    <w:rsid w:val="006B3CAE"/>
    <w:rsid w:val="006B3D08"/>
    <w:rsid w:val="006B3EBF"/>
    <w:rsid w:val="006B4069"/>
    <w:rsid w:val="006B4073"/>
    <w:rsid w:val="006B41C5"/>
    <w:rsid w:val="006B44E1"/>
    <w:rsid w:val="006B45F4"/>
    <w:rsid w:val="006B482A"/>
    <w:rsid w:val="006B49CA"/>
    <w:rsid w:val="006B4E41"/>
    <w:rsid w:val="006B4E83"/>
    <w:rsid w:val="006B4F07"/>
    <w:rsid w:val="006B52E7"/>
    <w:rsid w:val="006B5448"/>
    <w:rsid w:val="006B5AC8"/>
    <w:rsid w:val="006B5B67"/>
    <w:rsid w:val="006B5CAA"/>
    <w:rsid w:val="006B5D6B"/>
    <w:rsid w:val="006B5DCC"/>
    <w:rsid w:val="006B5DD8"/>
    <w:rsid w:val="006B5EA7"/>
    <w:rsid w:val="006B5FBC"/>
    <w:rsid w:val="006B6101"/>
    <w:rsid w:val="006B64C4"/>
    <w:rsid w:val="006B64D2"/>
    <w:rsid w:val="006B69B2"/>
    <w:rsid w:val="006B6D9B"/>
    <w:rsid w:val="006B6E10"/>
    <w:rsid w:val="006B73D0"/>
    <w:rsid w:val="006B7809"/>
    <w:rsid w:val="006B7871"/>
    <w:rsid w:val="006B799F"/>
    <w:rsid w:val="006B7A81"/>
    <w:rsid w:val="006B7B1A"/>
    <w:rsid w:val="006B7C09"/>
    <w:rsid w:val="006B7C8D"/>
    <w:rsid w:val="006C0505"/>
    <w:rsid w:val="006C15DD"/>
    <w:rsid w:val="006C170C"/>
    <w:rsid w:val="006C173C"/>
    <w:rsid w:val="006C1782"/>
    <w:rsid w:val="006C18AF"/>
    <w:rsid w:val="006C19A6"/>
    <w:rsid w:val="006C22CF"/>
    <w:rsid w:val="006C240C"/>
    <w:rsid w:val="006C2623"/>
    <w:rsid w:val="006C2AC6"/>
    <w:rsid w:val="006C2D5B"/>
    <w:rsid w:val="006C30A0"/>
    <w:rsid w:val="006C3154"/>
    <w:rsid w:val="006C3380"/>
    <w:rsid w:val="006C340A"/>
    <w:rsid w:val="006C3467"/>
    <w:rsid w:val="006C3641"/>
    <w:rsid w:val="006C3A33"/>
    <w:rsid w:val="006C3B91"/>
    <w:rsid w:val="006C3F29"/>
    <w:rsid w:val="006C3FAA"/>
    <w:rsid w:val="006C402C"/>
    <w:rsid w:val="006C4053"/>
    <w:rsid w:val="006C44C3"/>
    <w:rsid w:val="006C467B"/>
    <w:rsid w:val="006C489E"/>
    <w:rsid w:val="006C4B4D"/>
    <w:rsid w:val="006C4B77"/>
    <w:rsid w:val="006C5250"/>
    <w:rsid w:val="006C590E"/>
    <w:rsid w:val="006C5F59"/>
    <w:rsid w:val="006C6775"/>
    <w:rsid w:val="006C6D49"/>
    <w:rsid w:val="006C6D6A"/>
    <w:rsid w:val="006C714B"/>
    <w:rsid w:val="006C76FD"/>
    <w:rsid w:val="006C7874"/>
    <w:rsid w:val="006C78BE"/>
    <w:rsid w:val="006C7CE6"/>
    <w:rsid w:val="006C7F95"/>
    <w:rsid w:val="006C7FEF"/>
    <w:rsid w:val="006D0165"/>
    <w:rsid w:val="006D02E1"/>
    <w:rsid w:val="006D08AE"/>
    <w:rsid w:val="006D08FE"/>
    <w:rsid w:val="006D0A5A"/>
    <w:rsid w:val="006D0C50"/>
    <w:rsid w:val="006D0F70"/>
    <w:rsid w:val="006D1293"/>
    <w:rsid w:val="006D180C"/>
    <w:rsid w:val="006D1BEC"/>
    <w:rsid w:val="006D1EFC"/>
    <w:rsid w:val="006D2878"/>
    <w:rsid w:val="006D2AC0"/>
    <w:rsid w:val="006D36F8"/>
    <w:rsid w:val="006D3D87"/>
    <w:rsid w:val="006D3FAD"/>
    <w:rsid w:val="006D4190"/>
    <w:rsid w:val="006D43F0"/>
    <w:rsid w:val="006D48F9"/>
    <w:rsid w:val="006D48FC"/>
    <w:rsid w:val="006D4B4E"/>
    <w:rsid w:val="006D4D04"/>
    <w:rsid w:val="006D4E28"/>
    <w:rsid w:val="006D54DF"/>
    <w:rsid w:val="006D57E0"/>
    <w:rsid w:val="006D5BE9"/>
    <w:rsid w:val="006D5D38"/>
    <w:rsid w:val="006D5FD1"/>
    <w:rsid w:val="006D61E0"/>
    <w:rsid w:val="006D6387"/>
    <w:rsid w:val="006D65CB"/>
    <w:rsid w:val="006D6E86"/>
    <w:rsid w:val="006D6F26"/>
    <w:rsid w:val="006D71BB"/>
    <w:rsid w:val="006D7499"/>
    <w:rsid w:val="006E011D"/>
    <w:rsid w:val="006E01D1"/>
    <w:rsid w:val="006E02D8"/>
    <w:rsid w:val="006E037C"/>
    <w:rsid w:val="006E067C"/>
    <w:rsid w:val="006E0686"/>
    <w:rsid w:val="006E0E2C"/>
    <w:rsid w:val="006E13C0"/>
    <w:rsid w:val="006E18C5"/>
    <w:rsid w:val="006E1A31"/>
    <w:rsid w:val="006E2046"/>
    <w:rsid w:val="006E23E1"/>
    <w:rsid w:val="006E2619"/>
    <w:rsid w:val="006E2841"/>
    <w:rsid w:val="006E3242"/>
    <w:rsid w:val="006E3312"/>
    <w:rsid w:val="006E3554"/>
    <w:rsid w:val="006E3D5C"/>
    <w:rsid w:val="006E44C6"/>
    <w:rsid w:val="006E4707"/>
    <w:rsid w:val="006E47E4"/>
    <w:rsid w:val="006E48B6"/>
    <w:rsid w:val="006E4ECF"/>
    <w:rsid w:val="006E4F73"/>
    <w:rsid w:val="006E507E"/>
    <w:rsid w:val="006E5504"/>
    <w:rsid w:val="006E57E3"/>
    <w:rsid w:val="006E57FE"/>
    <w:rsid w:val="006E5850"/>
    <w:rsid w:val="006E5AFA"/>
    <w:rsid w:val="006E606E"/>
    <w:rsid w:val="006E6BD8"/>
    <w:rsid w:val="006E6D96"/>
    <w:rsid w:val="006E7177"/>
    <w:rsid w:val="006E723A"/>
    <w:rsid w:val="006E7861"/>
    <w:rsid w:val="006F0849"/>
    <w:rsid w:val="006F0991"/>
    <w:rsid w:val="006F09D2"/>
    <w:rsid w:val="006F0BC4"/>
    <w:rsid w:val="006F0F58"/>
    <w:rsid w:val="006F1166"/>
    <w:rsid w:val="006F12DF"/>
    <w:rsid w:val="006F1395"/>
    <w:rsid w:val="006F1937"/>
    <w:rsid w:val="006F1CDA"/>
    <w:rsid w:val="006F1D05"/>
    <w:rsid w:val="006F1DFE"/>
    <w:rsid w:val="006F22AA"/>
    <w:rsid w:val="006F24F0"/>
    <w:rsid w:val="006F266D"/>
    <w:rsid w:val="006F281C"/>
    <w:rsid w:val="006F2C3A"/>
    <w:rsid w:val="006F3312"/>
    <w:rsid w:val="006F3854"/>
    <w:rsid w:val="006F3BD2"/>
    <w:rsid w:val="006F4397"/>
    <w:rsid w:val="006F45B5"/>
    <w:rsid w:val="006F46B7"/>
    <w:rsid w:val="006F4FD3"/>
    <w:rsid w:val="006F5072"/>
    <w:rsid w:val="006F56A0"/>
    <w:rsid w:val="006F5CB0"/>
    <w:rsid w:val="006F5F85"/>
    <w:rsid w:val="006F6006"/>
    <w:rsid w:val="006F601F"/>
    <w:rsid w:val="006F606B"/>
    <w:rsid w:val="006F6370"/>
    <w:rsid w:val="006F645E"/>
    <w:rsid w:val="006F66F3"/>
    <w:rsid w:val="006F6744"/>
    <w:rsid w:val="006F6774"/>
    <w:rsid w:val="006F6780"/>
    <w:rsid w:val="006F6B56"/>
    <w:rsid w:val="006F6CA0"/>
    <w:rsid w:val="006F6D40"/>
    <w:rsid w:val="006F6E6F"/>
    <w:rsid w:val="006F6F43"/>
    <w:rsid w:val="006F6FB5"/>
    <w:rsid w:val="006F75EE"/>
    <w:rsid w:val="006F76D3"/>
    <w:rsid w:val="006F7EC1"/>
    <w:rsid w:val="00700226"/>
    <w:rsid w:val="00700C47"/>
    <w:rsid w:val="007013A3"/>
    <w:rsid w:val="00701856"/>
    <w:rsid w:val="00701B95"/>
    <w:rsid w:val="00701C36"/>
    <w:rsid w:val="00701D2B"/>
    <w:rsid w:val="00701EA8"/>
    <w:rsid w:val="00702094"/>
    <w:rsid w:val="0070226F"/>
    <w:rsid w:val="007024B3"/>
    <w:rsid w:val="0070297E"/>
    <w:rsid w:val="00702ED5"/>
    <w:rsid w:val="0070356F"/>
    <w:rsid w:val="0070362C"/>
    <w:rsid w:val="00703CBE"/>
    <w:rsid w:val="00704081"/>
    <w:rsid w:val="007042F2"/>
    <w:rsid w:val="00704474"/>
    <w:rsid w:val="0070458C"/>
    <w:rsid w:val="00704592"/>
    <w:rsid w:val="007047D4"/>
    <w:rsid w:val="00704B35"/>
    <w:rsid w:val="00704E4E"/>
    <w:rsid w:val="00705150"/>
    <w:rsid w:val="007053D7"/>
    <w:rsid w:val="00705451"/>
    <w:rsid w:val="007054AA"/>
    <w:rsid w:val="0070585A"/>
    <w:rsid w:val="00705A2F"/>
    <w:rsid w:val="007061DE"/>
    <w:rsid w:val="007065D7"/>
    <w:rsid w:val="0070685C"/>
    <w:rsid w:val="00706A0F"/>
    <w:rsid w:val="00706C9F"/>
    <w:rsid w:val="00706E3E"/>
    <w:rsid w:val="0070727B"/>
    <w:rsid w:val="007078F6"/>
    <w:rsid w:val="00707D18"/>
    <w:rsid w:val="00707D83"/>
    <w:rsid w:val="007101F7"/>
    <w:rsid w:val="00710357"/>
    <w:rsid w:val="00710445"/>
    <w:rsid w:val="00710572"/>
    <w:rsid w:val="00710585"/>
    <w:rsid w:val="0071063F"/>
    <w:rsid w:val="00710CA0"/>
    <w:rsid w:val="00710CF2"/>
    <w:rsid w:val="00710FEE"/>
    <w:rsid w:val="007113A8"/>
    <w:rsid w:val="007116FE"/>
    <w:rsid w:val="00711B91"/>
    <w:rsid w:val="00711CDB"/>
    <w:rsid w:val="00711D8B"/>
    <w:rsid w:val="00711D96"/>
    <w:rsid w:val="00711ED7"/>
    <w:rsid w:val="0071203B"/>
    <w:rsid w:val="0071226A"/>
    <w:rsid w:val="0071239C"/>
    <w:rsid w:val="007123B4"/>
    <w:rsid w:val="0071275F"/>
    <w:rsid w:val="00712A4C"/>
    <w:rsid w:val="00713128"/>
    <w:rsid w:val="0071313B"/>
    <w:rsid w:val="00713AD4"/>
    <w:rsid w:val="00713D73"/>
    <w:rsid w:val="00713FF7"/>
    <w:rsid w:val="00714851"/>
    <w:rsid w:val="00714BEA"/>
    <w:rsid w:val="0071518A"/>
    <w:rsid w:val="00715616"/>
    <w:rsid w:val="00715686"/>
    <w:rsid w:val="00715C53"/>
    <w:rsid w:val="00716262"/>
    <w:rsid w:val="00716403"/>
    <w:rsid w:val="007167EF"/>
    <w:rsid w:val="007168C8"/>
    <w:rsid w:val="00716EF4"/>
    <w:rsid w:val="00717037"/>
    <w:rsid w:val="00717132"/>
    <w:rsid w:val="00717418"/>
    <w:rsid w:val="0071757D"/>
    <w:rsid w:val="00717843"/>
    <w:rsid w:val="007178C0"/>
    <w:rsid w:val="00717B91"/>
    <w:rsid w:val="00717F59"/>
    <w:rsid w:val="00720169"/>
    <w:rsid w:val="0072064F"/>
    <w:rsid w:val="007207B8"/>
    <w:rsid w:val="00720953"/>
    <w:rsid w:val="00720C26"/>
    <w:rsid w:val="00720E01"/>
    <w:rsid w:val="00721174"/>
    <w:rsid w:val="00721513"/>
    <w:rsid w:val="0072195F"/>
    <w:rsid w:val="00721974"/>
    <w:rsid w:val="00721A8E"/>
    <w:rsid w:val="00721AE9"/>
    <w:rsid w:val="00721DCE"/>
    <w:rsid w:val="00722269"/>
    <w:rsid w:val="00722932"/>
    <w:rsid w:val="00722D14"/>
    <w:rsid w:val="00723226"/>
    <w:rsid w:val="007233D6"/>
    <w:rsid w:val="00723BC7"/>
    <w:rsid w:val="00723CB6"/>
    <w:rsid w:val="00723D07"/>
    <w:rsid w:val="007243A3"/>
    <w:rsid w:val="007243CA"/>
    <w:rsid w:val="007243EB"/>
    <w:rsid w:val="007245BA"/>
    <w:rsid w:val="007246B9"/>
    <w:rsid w:val="00724A38"/>
    <w:rsid w:val="00724C15"/>
    <w:rsid w:val="00724D08"/>
    <w:rsid w:val="00724FD7"/>
    <w:rsid w:val="00725057"/>
    <w:rsid w:val="00725391"/>
    <w:rsid w:val="007255C3"/>
    <w:rsid w:val="007256B1"/>
    <w:rsid w:val="00725973"/>
    <w:rsid w:val="00725C32"/>
    <w:rsid w:val="007263C8"/>
    <w:rsid w:val="00726435"/>
    <w:rsid w:val="00726580"/>
    <w:rsid w:val="007265E5"/>
    <w:rsid w:val="007269C0"/>
    <w:rsid w:val="007269F8"/>
    <w:rsid w:val="00726A37"/>
    <w:rsid w:val="00726BE1"/>
    <w:rsid w:val="00726D0B"/>
    <w:rsid w:val="00726DAB"/>
    <w:rsid w:val="00726E32"/>
    <w:rsid w:val="00726FB2"/>
    <w:rsid w:val="007271AA"/>
    <w:rsid w:val="007271BF"/>
    <w:rsid w:val="0072724D"/>
    <w:rsid w:val="00727312"/>
    <w:rsid w:val="007274E6"/>
    <w:rsid w:val="0072775D"/>
    <w:rsid w:val="0072798C"/>
    <w:rsid w:val="00727994"/>
    <w:rsid w:val="00727C94"/>
    <w:rsid w:val="00730122"/>
    <w:rsid w:val="00730479"/>
    <w:rsid w:val="0073069E"/>
    <w:rsid w:val="007308AC"/>
    <w:rsid w:val="00730F78"/>
    <w:rsid w:val="00731513"/>
    <w:rsid w:val="00731B40"/>
    <w:rsid w:val="00731DB0"/>
    <w:rsid w:val="007322B7"/>
    <w:rsid w:val="007322DA"/>
    <w:rsid w:val="00732E7F"/>
    <w:rsid w:val="00732FB5"/>
    <w:rsid w:val="0073368B"/>
    <w:rsid w:val="00733898"/>
    <w:rsid w:val="00733985"/>
    <w:rsid w:val="007339AE"/>
    <w:rsid w:val="00733AC1"/>
    <w:rsid w:val="00733E98"/>
    <w:rsid w:val="0073422A"/>
    <w:rsid w:val="007345FB"/>
    <w:rsid w:val="007350CE"/>
    <w:rsid w:val="0073527C"/>
    <w:rsid w:val="0073556D"/>
    <w:rsid w:val="007356DC"/>
    <w:rsid w:val="00735E8E"/>
    <w:rsid w:val="0073605D"/>
    <w:rsid w:val="0073638A"/>
    <w:rsid w:val="007366EA"/>
    <w:rsid w:val="00736E30"/>
    <w:rsid w:val="00736F13"/>
    <w:rsid w:val="0073748A"/>
    <w:rsid w:val="00737E4A"/>
    <w:rsid w:val="0074018C"/>
    <w:rsid w:val="00740268"/>
    <w:rsid w:val="00740380"/>
    <w:rsid w:val="0074044A"/>
    <w:rsid w:val="00740775"/>
    <w:rsid w:val="00740F77"/>
    <w:rsid w:val="00740F8B"/>
    <w:rsid w:val="00741600"/>
    <w:rsid w:val="00741D6A"/>
    <w:rsid w:val="00741FEF"/>
    <w:rsid w:val="0074237E"/>
    <w:rsid w:val="00743357"/>
    <w:rsid w:val="00743380"/>
    <w:rsid w:val="007436B7"/>
    <w:rsid w:val="007436D8"/>
    <w:rsid w:val="00743B39"/>
    <w:rsid w:val="00744C97"/>
    <w:rsid w:val="00745014"/>
    <w:rsid w:val="007450C8"/>
    <w:rsid w:val="0074524A"/>
    <w:rsid w:val="00745288"/>
    <w:rsid w:val="00745537"/>
    <w:rsid w:val="00745850"/>
    <w:rsid w:val="007460BC"/>
    <w:rsid w:val="007467AF"/>
    <w:rsid w:val="00746ADD"/>
    <w:rsid w:val="00746E46"/>
    <w:rsid w:val="00746EA6"/>
    <w:rsid w:val="00747020"/>
    <w:rsid w:val="007470A4"/>
    <w:rsid w:val="00747100"/>
    <w:rsid w:val="007472D1"/>
    <w:rsid w:val="0074751E"/>
    <w:rsid w:val="007475D5"/>
    <w:rsid w:val="00747700"/>
    <w:rsid w:val="00747987"/>
    <w:rsid w:val="00747A06"/>
    <w:rsid w:val="00747D9E"/>
    <w:rsid w:val="00747F06"/>
    <w:rsid w:val="007503DA"/>
    <w:rsid w:val="00750A3B"/>
    <w:rsid w:val="00750A90"/>
    <w:rsid w:val="00750ABE"/>
    <w:rsid w:val="00751462"/>
    <w:rsid w:val="0075161C"/>
    <w:rsid w:val="007516FC"/>
    <w:rsid w:val="00751A07"/>
    <w:rsid w:val="00751BAA"/>
    <w:rsid w:val="00751D2E"/>
    <w:rsid w:val="00751F8C"/>
    <w:rsid w:val="00752022"/>
    <w:rsid w:val="007520D1"/>
    <w:rsid w:val="00752C10"/>
    <w:rsid w:val="00752EB9"/>
    <w:rsid w:val="00752FA0"/>
    <w:rsid w:val="00753120"/>
    <w:rsid w:val="007532F6"/>
    <w:rsid w:val="00753AD5"/>
    <w:rsid w:val="00753EB5"/>
    <w:rsid w:val="007540E6"/>
    <w:rsid w:val="00754200"/>
    <w:rsid w:val="00754289"/>
    <w:rsid w:val="00754327"/>
    <w:rsid w:val="00754CBF"/>
    <w:rsid w:val="0075552F"/>
    <w:rsid w:val="00755975"/>
    <w:rsid w:val="00755B14"/>
    <w:rsid w:val="00755BDC"/>
    <w:rsid w:val="00755CF1"/>
    <w:rsid w:val="007562CF"/>
    <w:rsid w:val="0075630F"/>
    <w:rsid w:val="007564BD"/>
    <w:rsid w:val="0075668B"/>
    <w:rsid w:val="00756692"/>
    <w:rsid w:val="00756801"/>
    <w:rsid w:val="00757102"/>
    <w:rsid w:val="007572BC"/>
    <w:rsid w:val="0075792C"/>
    <w:rsid w:val="00757983"/>
    <w:rsid w:val="00757CB7"/>
    <w:rsid w:val="007605F2"/>
    <w:rsid w:val="00760975"/>
    <w:rsid w:val="00761ECA"/>
    <w:rsid w:val="007623F5"/>
    <w:rsid w:val="007624F3"/>
    <w:rsid w:val="007626FC"/>
    <w:rsid w:val="007628AF"/>
    <w:rsid w:val="00762B3F"/>
    <w:rsid w:val="00762F57"/>
    <w:rsid w:val="0076322F"/>
    <w:rsid w:val="0076339F"/>
    <w:rsid w:val="0076375D"/>
    <w:rsid w:val="00763A69"/>
    <w:rsid w:val="00763AEC"/>
    <w:rsid w:val="00763FB5"/>
    <w:rsid w:val="00764187"/>
    <w:rsid w:val="007641C7"/>
    <w:rsid w:val="007644B7"/>
    <w:rsid w:val="007646DB"/>
    <w:rsid w:val="007649A3"/>
    <w:rsid w:val="00764C7E"/>
    <w:rsid w:val="00764D8F"/>
    <w:rsid w:val="00764F0C"/>
    <w:rsid w:val="00764F0E"/>
    <w:rsid w:val="007653A6"/>
    <w:rsid w:val="007653CF"/>
    <w:rsid w:val="00765C27"/>
    <w:rsid w:val="00765CBD"/>
    <w:rsid w:val="007660B1"/>
    <w:rsid w:val="007660F7"/>
    <w:rsid w:val="0076610A"/>
    <w:rsid w:val="007668B4"/>
    <w:rsid w:val="00766CBE"/>
    <w:rsid w:val="0076741D"/>
    <w:rsid w:val="007674F6"/>
    <w:rsid w:val="00767540"/>
    <w:rsid w:val="00767684"/>
    <w:rsid w:val="00767887"/>
    <w:rsid w:val="00767B6B"/>
    <w:rsid w:val="00767D78"/>
    <w:rsid w:val="007704C1"/>
    <w:rsid w:val="00770E5F"/>
    <w:rsid w:val="00771369"/>
    <w:rsid w:val="0077148E"/>
    <w:rsid w:val="00771744"/>
    <w:rsid w:val="0077199C"/>
    <w:rsid w:val="00771A41"/>
    <w:rsid w:val="00771AD4"/>
    <w:rsid w:val="00771B46"/>
    <w:rsid w:val="007723BD"/>
    <w:rsid w:val="007726ED"/>
    <w:rsid w:val="00772ABB"/>
    <w:rsid w:val="00772CE8"/>
    <w:rsid w:val="00773265"/>
    <w:rsid w:val="007732EC"/>
    <w:rsid w:val="0077392B"/>
    <w:rsid w:val="0077411B"/>
    <w:rsid w:val="00774427"/>
    <w:rsid w:val="0077461A"/>
    <w:rsid w:val="007746CB"/>
    <w:rsid w:val="007748F7"/>
    <w:rsid w:val="0077505B"/>
    <w:rsid w:val="0077510A"/>
    <w:rsid w:val="007753D3"/>
    <w:rsid w:val="00775642"/>
    <w:rsid w:val="007759F5"/>
    <w:rsid w:val="00775C0C"/>
    <w:rsid w:val="00775C15"/>
    <w:rsid w:val="007762A7"/>
    <w:rsid w:val="007762F3"/>
    <w:rsid w:val="007769A9"/>
    <w:rsid w:val="00776B22"/>
    <w:rsid w:val="00776CA7"/>
    <w:rsid w:val="00776D09"/>
    <w:rsid w:val="00776DA2"/>
    <w:rsid w:val="007770D5"/>
    <w:rsid w:val="0077718A"/>
    <w:rsid w:val="00777489"/>
    <w:rsid w:val="00777679"/>
    <w:rsid w:val="007776C1"/>
    <w:rsid w:val="00777810"/>
    <w:rsid w:val="007778C6"/>
    <w:rsid w:val="00777F91"/>
    <w:rsid w:val="0078046E"/>
    <w:rsid w:val="00780473"/>
    <w:rsid w:val="007806AC"/>
    <w:rsid w:val="00780A35"/>
    <w:rsid w:val="00780C37"/>
    <w:rsid w:val="00780ED3"/>
    <w:rsid w:val="007810E4"/>
    <w:rsid w:val="00781149"/>
    <w:rsid w:val="00781599"/>
    <w:rsid w:val="007818D1"/>
    <w:rsid w:val="00781AEC"/>
    <w:rsid w:val="00781CEA"/>
    <w:rsid w:val="007820BE"/>
    <w:rsid w:val="00782242"/>
    <w:rsid w:val="0078279F"/>
    <w:rsid w:val="00782EE8"/>
    <w:rsid w:val="0078334D"/>
    <w:rsid w:val="007833AF"/>
    <w:rsid w:val="00783761"/>
    <w:rsid w:val="00783A09"/>
    <w:rsid w:val="00783FA0"/>
    <w:rsid w:val="007844F8"/>
    <w:rsid w:val="007846AC"/>
    <w:rsid w:val="00784757"/>
    <w:rsid w:val="00784AD9"/>
    <w:rsid w:val="00784FE0"/>
    <w:rsid w:val="00785090"/>
    <w:rsid w:val="0078535E"/>
    <w:rsid w:val="0078600D"/>
    <w:rsid w:val="0078619D"/>
    <w:rsid w:val="00786B52"/>
    <w:rsid w:val="00786B85"/>
    <w:rsid w:val="00786CD3"/>
    <w:rsid w:val="00787028"/>
    <w:rsid w:val="00787152"/>
    <w:rsid w:val="0078725B"/>
    <w:rsid w:val="0078764A"/>
    <w:rsid w:val="00787819"/>
    <w:rsid w:val="007878E3"/>
    <w:rsid w:val="00787F91"/>
    <w:rsid w:val="00787FB4"/>
    <w:rsid w:val="007901DB"/>
    <w:rsid w:val="007902FA"/>
    <w:rsid w:val="007908AA"/>
    <w:rsid w:val="00790DA2"/>
    <w:rsid w:val="00790E7D"/>
    <w:rsid w:val="00791400"/>
    <w:rsid w:val="007919BB"/>
    <w:rsid w:val="00791A76"/>
    <w:rsid w:val="00791C03"/>
    <w:rsid w:val="007924E9"/>
    <w:rsid w:val="00792527"/>
    <w:rsid w:val="00792678"/>
    <w:rsid w:val="00792CF8"/>
    <w:rsid w:val="00793199"/>
    <w:rsid w:val="00793531"/>
    <w:rsid w:val="007936E1"/>
    <w:rsid w:val="00793855"/>
    <w:rsid w:val="00793BA1"/>
    <w:rsid w:val="00794808"/>
    <w:rsid w:val="00794E9B"/>
    <w:rsid w:val="00794F24"/>
    <w:rsid w:val="00795028"/>
    <w:rsid w:val="00795160"/>
    <w:rsid w:val="00795586"/>
    <w:rsid w:val="007955A4"/>
    <w:rsid w:val="00795943"/>
    <w:rsid w:val="00795A59"/>
    <w:rsid w:val="00795E68"/>
    <w:rsid w:val="00795E82"/>
    <w:rsid w:val="00795FD1"/>
    <w:rsid w:val="0079660D"/>
    <w:rsid w:val="00796DF1"/>
    <w:rsid w:val="00796E56"/>
    <w:rsid w:val="00796EE3"/>
    <w:rsid w:val="00796F7B"/>
    <w:rsid w:val="00797349"/>
    <w:rsid w:val="00797630"/>
    <w:rsid w:val="007A14CE"/>
    <w:rsid w:val="007A151B"/>
    <w:rsid w:val="007A172F"/>
    <w:rsid w:val="007A1A53"/>
    <w:rsid w:val="007A1D68"/>
    <w:rsid w:val="007A2C29"/>
    <w:rsid w:val="007A2D74"/>
    <w:rsid w:val="007A2E3D"/>
    <w:rsid w:val="007A343A"/>
    <w:rsid w:val="007A3B70"/>
    <w:rsid w:val="007A3F45"/>
    <w:rsid w:val="007A3F67"/>
    <w:rsid w:val="007A3F87"/>
    <w:rsid w:val="007A45C5"/>
    <w:rsid w:val="007A464F"/>
    <w:rsid w:val="007A4910"/>
    <w:rsid w:val="007A4F1F"/>
    <w:rsid w:val="007A52B6"/>
    <w:rsid w:val="007A5341"/>
    <w:rsid w:val="007A591B"/>
    <w:rsid w:val="007A5BBF"/>
    <w:rsid w:val="007A5E17"/>
    <w:rsid w:val="007A61CE"/>
    <w:rsid w:val="007A6800"/>
    <w:rsid w:val="007A6A33"/>
    <w:rsid w:val="007A7059"/>
    <w:rsid w:val="007A715D"/>
    <w:rsid w:val="007A7C99"/>
    <w:rsid w:val="007B00C1"/>
    <w:rsid w:val="007B026B"/>
    <w:rsid w:val="007B03EA"/>
    <w:rsid w:val="007B078C"/>
    <w:rsid w:val="007B0886"/>
    <w:rsid w:val="007B0B57"/>
    <w:rsid w:val="007B0BAC"/>
    <w:rsid w:val="007B103B"/>
    <w:rsid w:val="007B154C"/>
    <w:rsid w:val="007B1678"/>
    <w:rsid w:val="007B16A7"/>
    <w:rsid w:val="007B1CEC"/>
    <w:rsid w:val="007B1CF7"/>
    <w:rsid w:val="007B1EDC"/>
    <w:rsid w:val="007B1EF2"/>
    <w:rsid w:val="007B22DB"/>
    <w:rsid w:val="007B28AD"/>
    <w:rsid w:val="007B2CE0"/>
    <w:rsid w:val="007B32FC"/>
    <w:rsid w:val="007B341A"/>
    <w:rsid w:val="007B34F5"/>
    <w:rsid w:val="007B35BC"/>
    <w:rsid w:val="007B3E5C"/>
    <w:rsid w:val="007B40EC"/>
    <w:rsid w:val="007B414B"/>
    <w:rsid w:val="007B4493"/>
    <w:rsid w:val="007B463E"/>
    <w:rsid w:val="007B46E4"/>
    <w:rsid w:val="007B470C"/>
    <w:rsid w:val="007B485D"/>
    <w:rsid w:val="007B4A0A"/>
    <w:rsid w:val="007B4A42"/>
    <w:rsid w:val="007B4B53"/>
    <w:rsid w:val="007B4D55"/>
    <w:rsid w:val="007B4D67"/>
    <w:rsid w:val="007B5194"/>
    <w:rsid w:val="007B51D7"/>
    <w:rsid w:val="007B566A"/>
    <w:rsid w:val="007B6664"/>
    <w:rsid w:val="007B66F6"/>
    <w:rsid w:val="007B6A08"/>
    <w:rsid w:val="007B6D97"/>
    <w:rsid w:val="007B70F9"/>
    <w:rsid w:val="007B7517"/>
    <w:rsid w:val="007B7670"/>
    <w:rsid w:val="007B7DDA"/>
    <w:rsid w:val="007B7EDA"/>
    <w:rsid w:val="007C09BC"/>
    <w:rsid w:val="007C1221"/>
    <w:rsid w:val="007C135E"/>
    <w:rsid w:val="007C141C"/>
    <w:rsid w:val="007C17D5"/>
    <w:rsid w:val="007C1883"/>
    <w:rsid w:val="007C1ABD"/>
    <w:rsid w:val="007C1C6C"/>
    <w:rsid w:val="007C1E08"/>
    <w:rsid w:val="007C25DD"/>
    <w:rsid w:val="007C2839"/>
    <w:rsid w:val="007C28D4"/>
    <w:rsid w:val="007C2BA8"/>
    <w:rsid w:val="007C2F3A"/>
    <w:rsid w:val="007C33E0"/>
    <w:rsid w:val="007C349E"/>
    <w:rsid w:val="007C34A4"/>
    <w:rsid w:val="007C3D24"/>
    <w:rsid w:val="007C44EC"/>
    <w:rsid w:val="007C4782"/>
    <w:rsid w:val="007C4A64"/>
    <w:rsid w:val="007C4BD3"/>
    <w:rsid w:val="007C555D"/>
    <w:rsid w:val="007C661D"/>
    <w:rsid w:val="007C691E"/>
    <w:rsid w:val="007C69F7"/>
    <w:rsid w:val="007C7403"/>
    <w:rsid w:val="007C7F99"/>
    <w:rsid w:val="007D051E"/>
    <w:rsid w:val="007D0861"/>
    <w:rsid w:val="007D0C22"/>
    <w:rsid w:val="007D103C"/>
    <w:rsid w:val="007D200E"/>
    <w:rsid w:val="007D211A"/>
    <w:rsid w:val="007D27A0"/>
    <w:rsid w:val="007D2A86"/>
    <w:rsid w:val="007D2AC1"/>
    <w:rsid w:val="007D2EF4"/>
    <w:rsid w:val="007D3224"/>
    <w:rsid w:val="007D3639"/>
    <w:rsid w:val="007D36BE"/>
    <w:rsid w:val="007D3BF1"/>
    <w:rsid w:val="007D3F49"/>
    <w:rsid w:val="007D4082"/>
    <w:rsid w:val="007D42C0"/>
    <w:rsid w:val="007D449F"/>
    <w:rsid w:val="007D455F"/>
    <w:rsid w:val="007D46DB"/>
    <w:rsid w:val="007D475C"/>
    <w:rsid w:val="007D4820"/>
    <w:rsid w:val="007D500D"/>
    <w:rsid w:val="007D53B9"/>
    <w:rsid w:val="007D5924"/>
    <w:rsid w:val="007D592E"/>
    <w:rsid w:val="007D59CC"/>
    <w:rsid w:val="007D620B"/>
    <w:rsid w:val="007D6260"/>
    <w:rsid w:val="007D67C5"/>
    <w:rsid w:val="007D6C60"/>
    <w:rsid w:val="007D712B"/>
    <w:rsid w:val="007D7592"/>
    <w:rsid w:val="007D76A3"/>
    <w:rsid w:val="007D7822"/>
    <w:rsid w:val="007D78E8"/>
    <w:rsid w:val="007D7914"/>
    <w:rsid w:val="007D7A1F"/>
    <w:rsid w:val="007D7ED7"/>
    <w:rsid w:val="007E0569"/>
    <w:rsid w:val="007E0D20"/>
    <w:rsid w:val="007E115B"/>
    <w:rsid w:val="007E178E"/>
    <w:rsid w:val="007E1898"/>
    <w:rsid w:val="007E1992"/>
    <w:rsid w:val="007E1EFA"/>
    <w:rsid w:val="007E257E"/>
    <w:rsid w:val="007E2637"/>
    <w:rsid w:val="007E2A6A"/>
    <w:rsid w:val="007E2B40"/>
    <w:rsid w:val="007E337B"/>
    <w:rsid w:val="007E3B55"/>
    <w:rsid w:val="007E42EB"/>
    <w:rsid w:val="007E46ED"/>
    <w:rsid w:val="007E4803"/>
    <w:rsid w:val="007E53CA"/>
    <w:rsid w:val="007E54A4"/>
    <w:rsid w:val="007E54EF"/>
    <w:rsid w:val="007E5E4F"/>
    <w:rsid w:val="007E5F61"/>
    <w:rsid w:val="007E6721"/>
    <w:rsid w:val="007E6740"/>
    <w:rsid w:val="007E6C4C"/>
    <w:rsid w:val="007E6E92"/>
    <w:rsid w:val="007E7263"/>
    <w:rsid w:val="007E77C1"/>
    <w:rsid w:val="007E7C93"/>
    <w:rsid w:val="007E7CA1"/>
    <w:rsid w:val="007E7DBC"/>
    <w:rsid w:val="007E7F7C"/>
    <w:rsid w:val="007E7FA6"/>
    <w:rsid w:val="007F00DD"/>
    <w:rsid w:val="007F0640"/>
    <w:rsid w:val="007F087C"/>
    <w:rsid w:val="007F0DE3"/>
    <w:rsid w:val="007F0E78"/>
    <w:rsid w:val="007F1575"/>
    <w:rsid w:val="007F1827"/>
    <w:rsid w:val="007F1AD5"/>
    <w:rsid w:val="007F1C2A"/>
    <w:rsid w:val="007F2772"/>
    <w:rsid w:val="007F278F"/>
    <w:rsid w:val="007F2E97"/>
    <w:rsid w:val="007F3167"/>
    <w:rsid w:val="007F325C"/>
    <w:rsid w:val="007F357E"/>
    <w:rsid w:val="007F3B8F"/>
    <w:rsid w:val="007F3C1B"/>
    <w:rsid w:val="007F3C6A"/>
    <w:rsid w:val="007F3CCD"/>
    <w:rsid w:val="007F3DC8"/>
    <w:rsid w:val="007F439B"/>
    <w:rsid w:val="007F44F7"/>
    <w:rsid w:val="007F4530"/>
    <w:rsid w:val="007F457A"/>
    <w:rsid w:val="007F488F"/>
    <w:rsid w:val="007F4B8E"/>
    <w:rsid w:val="007F4D8C"/>
    <w:rsid w:val="007F4F59"/>
    <w:rsid w:val="007F53A0"/>
    <w:rsid w:val="007F560E"/>
    <w:rsid w:val="007F5AA8"/>
    <w:rsid w:val="007F5B01"/>
    <w:rsid w:val="007F5BFA"/>
    <w:rsid w:val="007F5FFB"/>
    <w:rsid w:val="007F6DDD"/>
    <w:rsid w:val="007F6E29"/>
    <w:rsid w:val="007F6FD7"/>
    <w:rsid w:val="007F7636"/>
    <w:rsid w:val="007F79E4"/>
    <w:rsid w:val="007F7CE3"/>
    <w:rsid w:val="008006C2"/>
    <w:rsid w:val="00800A4A"/>
    <w:rsid w:val="008012AA"/>
    <w:rsid w:val="00801701"/>
    <w:rsid w:val="00801AD6"/>
    <w:rsid w:val="00801F48"/>
    <w:rsid w:val="008028CD"/>
    <w:rsid w:val="00802B07"/>
    <w:rsid w:val="00802B39"/>
    <w:rsid w:val="00802D27"/>
    <w:rsid w:val="00803356"/>
    <w:rsid w:val="0080374A"/>
    <w:rsid w:val="00803781"/>
    <w:rsid w:val="00803953"/>
    <w:rsid w:val="0080451F"/>
    <w:rsid w:val="00804C20"/>
    <w:rsid w:val="00804CC2"/>
    <w:rsid w:val="00804F61"/>
    <w:rsid w:val="008057E2"/>
    <w:rsid w:val="00805847"/>
    <w:rsid w:val="008060B1"/>
    <w:rsid w:val="0080624B"/>
    <w:rsid w:val="008063AC"/>
    <w:rsid w:val="00806442"/>
    <w:rsid w:val="00806722"/>
    <w:rsid w:val="008069C8"/>
    <w:rsid w:val="00806BF7"/>
    <w:rsid w:val="00806F6C"/>
    <w:rsid w:val="008072DC"/>
    <w:rsid w:val="008078BC"/>
    <w:rsid w:val="00807EF4"/>
    <w:rsid w:val="00810270"/>
    <w:rsid w:val="00810379"/>
    <w:rsid w:val="008106E3"/>
    <w:rsid w:val="00810955"/>
    <w:rsid w:val="00810AE8"/>
    <w:rsid w:val="00810E9C"/>
    <w:rsid w:val="008112F4"/>
    <w:rsid w:val="0081145E"/>
    <w:rsid w:val="008114B9"/>
    <w:rsid w:val="008115B5"/>
    <w:rsid w:val="00811DB4"/>
    <w:rsid w:val="00812095"/>
    <w:rsid w:val="008123B2"/>
    <w:rsid w:val="008124DB"/>
    <w:rsid w:val="00812A38"/>
    <w:rsid w:val="00812FD1"/>
    <w:rsid w:val="00813049"/>
    <w:rsid w:val="008130B2"/>
    <w:rsid w:val="008131FD"/>
    <w:rsid w:val="008133AE"/>
    <w:rsid w:val="008133D1"/>
    <w:rsid w:val="0081363E"/>
    <w:rsid w:val="00813A33"/>
    <w:rsid w:val="00813BD4"/>
    <w:rsid w:val="00813CF9"/>
    <w:rsid w:val="00814005"/>
    <w:rsid w:val="008141D6"/>
    <w:rsid w:val="008143FF"/>
    <w:rsid w:val="00814943"/>
    <w:rsid w:val="008149F4"/>
    <w:rsid w:val="00814CA9"/>
    <w:rsid w:val="00814EFB"/>
    <w:rsid w:val="008153AD"/>
    <w:rsid w:val="00815AF1"/>
    <w:rsid w:val="00815D02"/>
    <w:rsid w:val="00815E34"/>
    <w:rsid w:val="008163CA"/>
    <w:rsid w:val="00816783"/>
    <w:rsid w:val="008168BE"/>
    <w:rsid w:val="00816E45"/>
    <w:rsid w:val="00816F7E"/>
    <w:rsid w:val="00816FD0"/>
    <w:rsid w:val="00817275"/>
    <w:rsid w:val="00817310"/>
    <w:rsid w:val="008178E7"/>
    <w:rsid w:val="00817DFD"/>
    <w:rsid w:val="00817E4D"/>
    <w:rsid w:val="008200DD"/>
    <w:rsid w:val="0082024F"/>
    <w:rsid w:val="008202F9"/>
    <w:rsid w:val="008204EF"/>
    <w:rsid w:val="0082065C"/>
    <w:rsid w:val="00820B1A"/>
    <w:rsid w:val="0082142A"/>
    <w:rsid w:val="0082156F"/>
    <w:rsid w:val="00821590"/>
    <w:rsid w:val="00821708"/>
    <w:rsid w:val="0082183C"/>
    <w:rsid w:val="00821C39"/>
    <w:rsid w:val="008221A4"/>
    <w:rsid w:val="0082262E"/>
    <w:rsid w:val="00822674"/>
    <w:rsid w:val="0082293E"/>
    <w:rsid w:val="008229B3"/>
    <w:rsid w:val="00822B5B"/>
    <w:rsid w:val="00822BB8"/>
    <w:rsid w:val="00822C35"/>
    <w:rsid w:val="00823070"/>
    <w:rsid w:val="008231A8"/>
    <w:rsid w:val="008231BF"/>
    <w:rsid w:val="008232B6"/>
    <w:rsid w:val="008237AB"/>
    <w:rsid w:val="00823E99"/>
    <w:rsid w:val="008241F1"/>
    <w:rsid w:val="0082427B"/>
    <w:rsid w:val="008244FC"/>
    <w:rsid w:val="008247AF"/>
    <w:rsid w:val="008247E3"/>
    <w:rsid w:val="00824948"/>
    <w:rsid w:val="00824C75"/>
    <w:rsid w:val="00824F9F"/>
    <w:rsid w:val="0082501E"/>
    <w:rsid w:val="00825221"/>
    <w:rsid w:val="00825663"/>
    <w:rsid w:val="0082590F"/>
    <w:rsid w:val="00825C96"/>
    <w:rsid w:val="00825D28"/>
    <w:rsid w:val="008260D0"/>
    <w:rsid w:val="00826155"/>
    <w:rsid w:val="00826BF5"/>
    <w:rsid w:val="00826D56"/>
    <w:rsid w:val="00826EEF"/>
    <w:rsid w:val="0082765D"/>
    <w:rsid w:val="00827A0A"/>
    <w:rsid w:val="0083001E"/>
    <w:rsid w:val="008300B2"/>
    <w:rsid w:val="008300C7"/>
    <w:rsid w:val="008305A1"/>
    <w:rsid w:val="008306BF"/>
    <w:rsid w:val="008308D6"/>
    <w:rsid w:val="008308FF"/>
    <w:rsid w:val="00830E97"/>
    <w:rsid w:val="00831147"/>
    <w:rsid w:val="00831294"/>
    <w:rsid w:val="00831631"/>
    <w:rsid w:val="008316A2"/>
    <w:rsid w:val="008316EA"/>
    <w:rsid w:val="00831CC1"/>
    <w:rsid w:val="00831CC9"/>
    <w:rsid w:val="00832366"/>
    <w:rsid w:val="00832662"/>
    <w:rsid w:val="00832AEA"/>
    <w:rsid w:val="00832D10"/>
    <w:rsid w:val="00833834"/>
    <w:rsid w:val="0083400D"/>
    <w:rsid w:val="00834257"/>
    <w:rsid w:val="00834A2A"/>
    <w:rsid w:val="0083568F"/>
    <w:rsid w:val="008356B1"/>
    <w:rsid w:val="0083576F"/>
    <w:rsid w:val="00835DB0"/>
    <w:rsid w:val="00835DE7"/>
    <w:rsid w:val="00835F0F"/>
    <w:rsid w:val="00835F43"/>
    <w:rsid w:val="00835F88"/>
    <w:rsid w:val="008366D1"/>
    <w:rsid w:val="00836948"/>
    <w:rsid w:val="00837314"/>
    <w:rsid w:val="00837EE3"/>
    <w:rsid w:val="00840231"/>
    <w:rsid w:val="008403AA"/>
    <w:rsid w:val="00840ABE"/>
    <w:rsid w:val="00840C5C"/>
    <w:rsid w:val="00840D72"/>
    <w:rsid w:val="0084133D"/>
    <w:rsid w:val="008413A0"/>
    <w:rsid w:val="008418D9"/>
    <w:rsid w:val="00841A09"/>
    <w:rsid w:val="00842079"/>
    <w:rsid w:val="008424CB"/>
    <w:rsid w:val="00842927"/>
    <w:rsid w:val="00842E19"/>
    <w:rsid w:val="0084304C"/>
    <w:rsid w:val="0084309E"/>
    <w:rsid w:val="008430D8"/>
    <w:rsid w:val="0084324F"/>
    <w:rsid w:val="0084335E"/>
    <w:rsid w:val="008438B5"/>
    <w:rsid w:val="00843BCA"/>
    <w:rsid w:val="0084488F"/>
    <w:rsid w:val="008449B2"/>
    <w:rsid w:val="008449C6"/>
    <w:rsid w:val="00844B44"/>
    <w:rsid w:val="008451A0"/>
    <w:rsid w:val="008451D7"/>
    <w:rsid w:val="0084525F"/>
    <w:rsid w:val="008453A5"/>
    <w:rsid w:val="008456FD"/>
    <w:rsid w:val="00846002"/>
    <w:rsid w:val="0084604D"/>
    <w:rsid w:val="0084620A"/>
    <w:rsid w:val="0084659C"/>
    <w:rsid w:val="00846928"/>
    <w:rsid w:val="0084695F"/>
    <w:rsid w:val="008469DD"/>
    <w:rsid w:val="00846C6B"/>
    <w:rsid w:val="00846CBB"/>
    <w:rsid w:val="00846EAE"/>
    <w:rsid w:val="00847572"/>
    <w:rsid w:val="00847590"/>
    <w:rsid w:val="0084776C"/>
    <w:rsid w:val="00847912"/>
    <w:rsid w:val="0084791C"/>
    <w:rsid w:val="00847BE4"/>
    <w:rsid w:val="00847E0A"/>
    <w:rsid w:val="008501A5"/>
    <w:rsid w:val="0085022B"/>
    <w:rsid w:val="008506E9"/>
    <w:rsid w:val="00850AE9"/>
    <w:rsid w:val="00850D32"/>
    <w:rsid w:val="00850FC1"/>
    <w:rsid w:val="008510C5"/>
    <w:rsid w:val="0085135C"/>
    <w:rsid w:val="00851C75"/>
    <w:rsid w:val="008522C3"/>
    <w:rsid w:val="00852373"/>
    <w:rsid w:val="00852665"/>
    <w:rsid w:val="00852A0A"/>
    <w:rsid w:val="00852ADB"/>
    <w:rsid w:val="0085303C"/>
    <w:rsid w:val="008530D6"/>
    <w:rsid w:val="00853459"/>
    <w:rsid w:val="008535C0"/>
    <w:rsid w:val="008537DD"/>
    <w:rsid w:val="00853868"/>
    <w:rsid w:val="00853B5F"/>
    <w:rsid w:val="00853EBD"/>
    <w:rsid w:val="0085443A"/>
    <w:rsid w:val="0085450B"/>
    <w:rsid w:val="00854870"/>
    <w:rsid w:val="00854A33"/>
    <w:rsid w:val="00854BCC"/>
    <w:rsid w:val="00854BF5"/>
    <w:rsid w:val="00854C8D"/>
    <w:rsid w:val="00855226"/>
    <w:rsid w:val="00855628"/>
    <w:rsid w:val="00855739"/>
    <w:rsid w:val="00855B87"/>
    <w:rsid w:val="00855F98"/>
    <w:rsid w:val="00856389"/>
    <w:rsid w:val="00856BF7"/>
    <w:rsid w:val="00856D9C"/>
    <w:rsid w:val="00857658"/>
    <w:rsid w:val="00857718"/>
    <w:rsid w:val="00857806"/>
    <w:rsid w:val="00857969"/>
    <w:rsid w:val="00857D23"/>
    <w:rsid w:val="00857EDE"/>
    <w:rsid w:val="0086014F"/>
    <w:rsid w:val="00860467"/>
    <w:rsid w:val="008609A8"/>
    <w:rsid w:val="00860BF3"/>
    <w:rsid w:val="00860D01"/>
    <w:rsid w:val="00860E93"/>
    <w:rsid w:val="00860FE4"/>
    <w:rsid w:val="0086113D"/>
    <w:rsid w:val="00861425"/>
    <w:rsid w:val="00861759"/>
    <w:rsid w:val="00861CBA"/>
    <w:rsid w:val="00861E34"/>
    <w:rsid w:val="00862397"/>
    <w:rsid w:val="0086262B"/>
    <w:rsid w:val="00862B87"/>
    <w:rsid w:val="00862E2C"/>
    <w:rsid w:val="008635EA"/>
    <w:rsid w:val="008638EE"/>
    <w:rsid w:val="00863A71"/>
    <w:rsid w:val="008640CA"/>
    <w:rsid w:val="008640CF"/>
    <w:rsid w:val="00864305"/>
    <w:rsid w:val="0086444E"/>
    <w:rsid w:val="008644DD"/>
    <w:rsid w:val="008646A4"/>
    <w:rsid w:val="00864714"/>
    <w:rsid w:val="008647C3"/>
    <w:rsid w:val="00864CAD"/>
    <w:rsid w:val="00864E3D"/>
    <w:rsid w:val="0086555A"/>
    <w:rsid w:val="00865933"/>
    <w:rsid w:val="00865E12"/>
    <w:rsid w:val="00865FF6"/>
    <w:rsid w:val="008661B9"/>
    <w:rsid w:val="00866210"/>
    <w:rsid w:val="00866358"/>
    <w:rsid w:val="008663F0"/>
    <w:rsid w:val="00866E4A"/>
    <w:rsid w:val="00867561"/>
    <w:rsid w:val="0086762D"/>
    <w:rsid w:val="008679B4"/>
    <w:rsid w:val="00867C1A"/>
    <w:rsid w:val="00867D4F"/>
    <w:rsid w:val="008705B3"/>
    <w:rsid w:val="0087085E"/>
    <w:rsid w:val="008708B7"/>
    <w:rsid w:val="00870DB8"/>
    <w:rsid w:val="00870F95"/>
    <w:rsid w:val="00870FA3"/>
    <w:rsid w:val="00871215"/>
    <w:rsid w:val="0087155C"/>
    <w:rsid w:val="0087169C"/>
    <w:rsid w:val="008717C8"/>
    <w:rsid w:val="00871A3E"/>
    <w:rsid w:val="0087218A"/>
    <w:rsid w:val="00872709"/>
    <w:rsid w:val="008727AA"/>
    <w:rsid w:val="00872997"/>
    <w:rsid w:val="00873573"/>
    <w:rsid w:val="00873861"/>
    <w:rsid w:val="008739A1"/>
    <w:rsid w:val="008739AA"/>
    <w:rsid w:val="00873A05"/>
    <w:rsid w:val="00873D14"/>
    <w:rsid w:val="008740C4"/>
    <w:rsid w:val="0087465B"/>
    <w:rsid w:val="00874B76"/>
    <w:rsid w:val="00874EAF"/>
    <w:rsid w:val="008751BE"/>
    <w:rsid w:val="008754B1"/>
    <w:rsid w:val="00875585"/>
    <w:rsid w:val="00875EFE"/>
    <w:rsid w:val="008760BD"/>
    <w:rsid w:val="00876A19"/>
    <w:rsid w:val="00876B6C"/>
    <w:rsid w:val="00876E97"/>
    <w:rsid w:val="00876F62"/>
    <w:rsid w:val="008772A0"/>
    <w:rsid w:val="00877BD5"/>
    <w:rsid w:val="008800F5"/>
    <w:rsid w:val="00880751"/>
    <w:rsid w:val="008807E6"/>
    <w:rsid w:val="00880C2E"/>
    <w:rsid w:val="00880CBB"/>
    <w:rsid w:val="00880E1D"/>
    <w:rsid w:val="00881029"/>
    <w:rsid w:val="00881066"/>
    <w:rsid w:val="008812B5"/>
    <w:rsid w:val="00881505"/>
    <w:rsid w:val="0088159D"/>
    <w:rsid w:val="00881769"/>
    <w:rsid w:val="008817DF"/>
    <w:rsid w:val="0088185F"/>
    <w:rsid w:val="0088190D"/>
    <w:rsid w:val="00881ACD"/>
    <w:rsid w:val="00882041"/>
    <w:rsid w:val="0088207D"/>
    <w:rsid w:val="008827F1"/>
    <w:rsid w:val="0088289F"/>
    <w:rsid w:val="00882B87"/>
    <w:rsid w:val="00882CFC"/>
    <w:rsid w:val="00883776"/>
    <w:rsid w:val="008839A0"/>
    <w:rsid w:val="00883C9E"/>
    <w:rsid w:val="00883E7F"/>
    <w:rsid w:val="00883EAD"/>
    <w:rsid w:val="00883EED"/>
    <w:rsid w:val="0088407D"/>
    <w:rsid w:val="00884A9E"/>
    <w:rsid w:val="00884B2C"/>
    <w:rsid w:val="00884BA6"/>
    <w:rsid w:val="00884D29"/>
    <w:rsid w:val="008850BB"/>
    <w:rsid w:val="008855A2"/>
    <w:rsid w:val="00885C16"/>
    <w:rsid w:val="00885F3D"/>
    <w:rsid w:val="00886010"/>
    <w:rsid w:val="0088653E"/>
    <w:rsid w:val="008865D1"/>
    <w:rsid w:val="0088677D"/>
    <w:rsid w:val="00887266"/>
    <w:rsid w:val="00887A80"/>
    <w:rsid w:val="00887A86"/>
    <w:rsid w:val="00887D3E"/>
    <w:rsid w:val="00887E16"/>
    <w:rsid w:val="00887E89"/>
    <w:rsid w:val="00890194"/>
    <w:rsid w:val="00890498"/>
    <w:rsid w:val="00890A4A"/>
    <w:rsid w:val="00891169"/>
    <w:rsid w:val="00891550"/>
    <w:rsid w:val="008915B2"/>
    <w:rsid w:val="008916A8"/>
    <w:rsid w:val="00891B02"/>
    <w:rsid w:val="00892029"/>
    <w:rsid w:val="00893065"/>
    <w:rsid w:val="00893107"/>
    <w:rsid w:val="00893B6D"/>
    <w:rsid w:val="00893CD8"/>
    <w:rsid w:val="00894851"/>
    <w:rsid w:val="00894D51"/>
    <w:rsid w:val="00895348"/>
    <w:rsid w:val="008955BB"/>
    <w:rsid w:val="00895743"/>
    <w:rsid w:val="00895864"/>
    <w:rsid w:val="00895DBD"/>
    <w:rsid w:val="00896362"/>
    <w:rsid w:val="008966F3"/>
    <w:rsid w:val="008967B7"/>
    <w:rsid w:val="00896879"/>
    <w:rsid w:val="00897109"/>
    <w:rsid w:val="00897345"/>
    <w:rsid w:val="00897B5E"/>
    <w:rsid w:val="00897C64"/>
    <w:rsid w:val="008A0053"/>
    <w:rsid w:val="008A09E4"/>
    <w:rsid w:val="008A1098"/>
    <w:rsid w:val="008A12FC"/>
    <w:rsid w:val="008A1554"/>
    <w:rsid w:val="008A162F"/>
    <w:rsid w:val="008A16EB"/>
    <w:rsid w:val="008A1754"/>
    <w:rsid w:val="008A1B9E"/>
    <w:rsid w:val="008A1E6C"/>
    <w:rsid w:val="008A20E6"/>
    <w:rsid w:val="008A21C5"/>
    <w:rsid w:val="008A2610"/>
    <w:rsid w:val="008A2AC3"/>
    <w:rsid w:val="008A39D8"/>
    <w:rsid w:val="008A3BDE"/>
    <w:rsid w:val="008A3BE6"/>
    <w:rsid w:val="008A3F7D"/>
    <w:rsid w:val="008A411B"/>
    <w:rsid w:val="008A434A"/>
    <w:rsid w:val="008A448C"/>
    <w:rsid w:val="008A45A4"/>
    <w:rsid w:val="008A4A80"/>
    <w:rsid w:val="008A4C86"/>
    <w:rsid w:val="008A4DDD"/>
    <w:rsid w:val="008A544A"/>
    <w:rsid w:val="008A553C"/>
    <w:rsid w:val="008A593F"/>
    <w:rsid w:val="008A5AB9"/>
    <w:rsid w:val="008A5C8A"/>
    <w:rsid w:val="008A600C"/>
    <w:rsid w:val="008A6200"/>
    <w:rsid w:val="008A647E"/>
    <w:rsid w:val="008A655B"/>
    <w:rsid w:val="008A6679"/>
    <w:rsid w:val="008A6707"/>
    <w:rsid w:val="008A6924"/>
    <w:rsid w:val="008A6BA6"/>
    <w:rsid w:val="008A6E45"/>
    <w:rsid w:val="008B053F"/>
    <w:rsid w:val="008B0B66"/>
    <w:rsid w:val="008B11EE"/>
    <w:rsid w:val="008B14A6"/>
    <w:rsid w:val="008B14A8"/>
    <w:rsid w:val="008B166B"/>
    <w:rsid w:val="008B20A7"/>
    <w:rsid w:val="008B2252"/>
    <w:rsid w:val="008B22A7"/>
    <w:rsid w:val="008B2344"/>
    <w:rsid w:val="008B286E"/>
    <w:rsid w:val="008B2C05"/>
    <w:rsid w:val="008B3611"/>
    <w:rsid w:val="008B3805"/>
    <w:rsid w:val="008B3ACD"/>
    <w:rsid w:val="008B3BB7"/>
    <w:rsid w:val="008B3BC5"/>
    <w:rsid w:val="008B3CA8"/>
    <w:rsid w:val="008B4044"/>
    <w:rsid w:val="008B41F1"/>
    <w:rsid w:val="008B45F4"/>
    <w:rsid w:val="008B4642"/>
    <w:rsid w:val="008B46BE"/>
    <w:rsid w:val="008B4C83"/>
    <w:rsid w:val="008B4D46"/>
    <w:rsid w:val="008B585A"/>
    <w:rsid w:val="008B5A42"/>
    <w:rsid w:val="008B5B07"/>
    <w:rsid w:val="008B5C5D"/>
    <w:rsid w:val="008B611A"/>
    <w:rsid w:val="008B6657"/>
    <w:rsid w:val="008B6755"/>
    <w:rsid w:val="008B6B3B"/>
    <w:rsid w:val="008B6D91"/>
    <w:rsid w:val="008B6EC6"/>
    <w:rsid w:val="008B6EF2"/>
    <w:rsid w:val="008B7A01"/>
    <w:rsid w:val="008B7B06"/>
    <w:rsid w:val="008B7BB5"/>
    <w:rsid w:val="008B7CB5"/>
    <w:rsid w:val="008B7DB7"/>
    <w:rsid w:val="008B7ECA"/>
    <w:rsid w:val="008C00D0"/>
    <w:rsid w:val="008C0694"/>
    <w:rsid w:val="008C06B1"/>
    <w:rsid w:val="008C0743"/>
    <w:rsid w:val="008C0964"/>
    <w:rsid w:val="008C0A32"/>
    <w:rsid w:val="008C0F85"/>
    <w:rsid w:val="008C0FBC"/>
    <w:rsid w:val="008C17C2"/>
    <w:rsid w:val="008C1AC4"/>
    <w:rsid w:val="008C23CD"/>
    <w:rsid w:val="008C2832"/>
    <w:rsid w:val="008C2A2C"/>
    <w:rsid w:val="008C31E2"/>
    <w:rsid w:val="008C322F"/>
    <w:rsid w:val="008C342A"/>
    <w:rsid w:val="008C3EDB"/>
    <w:rsid w:val="008C3F27"/>
    <w:rsid w:val="008C42D5"/>
    <w:rsid w:val="008C465F"/>
    <w:rsid w:val="008C4B2E"/>
    <w:rsid w:val="008C4B54"/>
    <w:rsid w:val="008C571C"/>
    <w:rsid w:val="008C5A41"/>
    <w:rsid w:val="008C5A93"/>
    <w:rsid w:val="008C5F1F"/>
    <w:rsid w:val="008C5FA9"/>
    <w:rsid w:val="008C6307"/>
    <w:rsid w:val="008C75D3"/>
    <w:rsid w:val="008C77D6"/>
    <w:rsid w:val="008C7E57"/>
    <w:rsid w:val="008C7E9A"/>
    <w:rsid w:val="008C7F82"/>
    <w:rsid w:val="008D043E"/>
    <w:rsid w:val="008D0462"/>
    <w:rsid w:val="008D0970"/>
    <w:rsid w:val="008D0AC7"/>
    <w:rsid w:val="008D12FF"/>
    <w:rsid w:val="008D15E4"/>
    <w:rsid w:val="008D1D86"/>
    <w:rsid w:val="008D20C3"/>
    <w:rsid w:val="008D26C6"/>
    <w:rsid w:val="008D2CF7"/>
    <w:rsid w:val="008D337F"/>
    <w:rsid w:val="008D33D2"/>
    <w:rsid w:val="008D357D"/>
    <w:rsid w:val="008D394C"/>
    <w:rsid w:val="008D3E9E"/>
    <w:rsid w:val="008D442E"/>
    <w:rsid w:val="008D4AC2"/>
    <w:rsid w:val="008D4D5F"/>
    <w:rsid w:val="008D4F9B"/>
    <w:rsid w:val="008D502E"/>
    <w:rsid w:val="008D5036"/>
    <w:rsid w:val="008D50D4"/>
    <w:rsid w:val="008D52D4"/>
    <w:rsid w:val="008D54A5"/>
    <w:rsid w:val="008D5711"/>
    <w:rsid w:val="008D5C0B"/>
    <w:rsid w:val="008D5DFA"/>
    <w:rsid w:val="008D5EEC"/>
    <w:rsid w:val="008D63DE"/>
    <w:rsid w:val="008D6A48"/>
    <w:rsid w:val="008D6E04"/>
    <w:rsid w:val="008D7359"/>
    <w:rsid w:val="008D7534"/>
    <w:rsid w:val="008D75B0"/>
    <w:rsid w:val="008D766A"/>
    <w:rsid w:val="008D77D8"/>
    <w:rsid w:val="008D79B8"/>
    <w:rsid w:val="008D79D6"/>
    <w:rsid w:val="008E0075"/>
    <w:rsid w:val="008E0191"/>
    <w:rsid w:val="008E042C"/>
    <w:rsid w:val="008E0962"/>
    <w:rsid w:val="008E0A61"/>
    <w:rsid w:val="008E1069"/>
    <w:rsid w:val="008E1310"/>
    <w:rsid w:val="008E14A3"/>
    <w:rsid w:val="008E1514"/>
    <w:rsid w:val="008E1815"/>
    <w:rsid w:val="008E1985"/>
    <w:rsid w:val="008E1F13"/>
    <w:rsid w:val="008E204E"/>
    <w:rsid w:val="008E28F1"/>
    <w:rsid w:val="008E2BAC"/>
    <w:rsid w:val="008E2C7D"/>
    <w:rsid w:val="008E2EA8"/>
    <w:rsid w:val="008E30A3"/>
    <w:rsid w:val="008E30E1"/>
    <w:rsid w:val="008E30F3"/>
    <w:rsid w:val="008E3137"/>
    <w:rsid w:val="008E3229"/>
    <w:rsid w:val="008E36D3"/>
    <w:rsid w:val="008E3809"/>
    <w:rsid w:val="008E42DB"/>
    <w:rsid w:val="008E491F"/>
    <w:rsid w:val="008E4B4F"/>
    <w:rsid w:val="008E50FD"/>
    <w:rsid w:val="008E5274"/>
    <w:rsid w:val="008E5C50"/>
    <w:rsid w:val="008E5D23"/>
    <w:rsid w:val="008E5F37"/>
    <w:rsid w:val="008E5F7F"/>
    <w:rsid w:val="008E604F"/>
    <w:rsid w:val="008E641D"/>
    <w:rsid w:val="008E687E"/>
    <w:rsid w:val="008E68C5"/>
    <w:rsid w:val="008E6925"/>
    <w:rsid w:val="008E6AE7"/>
    <w:rsid w:val="008E6DAF"/>
    <w:rsid w:val="008E6E64"/>
    <w:rsid w:val="008E6EE7"/>
    <w:rsid w:val="008E72B0"/>
    <w:rsid w:val="008E7791"/>
    <w:rsid w:val="008E7CB2"/>
    <w:rsid w:val="008E7EE4"/>
    <w:rsid w:val="008F0486"/>
    <w:rsid w:val="008F06D8"/>
    <w:rsid w:val="008F0C40"/>
    <w:rsid w:val="008F0CFC"/>
    <w:rsid w:val="008F10B7"/>
    <w:rsid w:val="008F10CE"/>
    <w:rsid w:val="008F114A"/>
    <w:rsid w:val="008F29BC"/>
    <w:rsid w:val="008F2B43"/>
    <w:rsid w:val="008F2C71"/>
    <w:rsid w:val="008F2C78"/>
    <w:rsid w:val="008F3EF7"/>
    <w:rsid w:val="008F44F1"/>
    <w:rsid w:val="008F4C12"/>
    <w:rsid w:val="008F4D87"/>
    <w:rsid w:val="008F5303"/>
    <w:rsid w:val="008F530B"/>
    <w:rsid w:val="008F56E2"/>
    <w:rsid w:val="008F5841"/>
    <w:rsid w:val="008F5A3B"/>
    <w:rsid w:val="008F5A3C"/>
    <w:rsid w:val="008F5F9B"/>
    <w:rsid w:val="008F6042"/>
    <w:rsid w:val="008F60A9"/>
    <w:rsid w:val="008F6593"/>
    <w:rsid w:val="008F671E"/>
    <w:rsid w:val="008F676A"/>
    <w:rsid w:val="008F6987"/>
    <w:rsid w:val="008F709D"/>
    <w:rsid w:val="008F70D1"/>
    <w:rsid w:val="008F754F"/>
    <w:rsid w:val="008F7572"/>
    <w:rsid w:val="008F75A0"/>
    <w:rsid w:val="008F7890"/>
    <w:rsid w:val="008F79D4"/>
    <w:rsid w:val="008F7CA8"/>
    <w:rsid w:val="008F7E5C"/>
    <w:rsid w:val="00900606"/>
    <w:rsid w:val="00900709"/>
    <w:rsid w:val="00900B9F"/>
    <w:rsid w:val="00900EE8"/>
    <w:rsid w:val="009019E3"/>
    <w:rsid w:val="00901F13"/>
    <w:rsid w:val="00901FB9"/>
    <w:rsid w:val="0090216F"/>
    <w:rsid w:val="0090224D"/>
    <w:rsid w:val="0090232A"/>
    <w:rsid w:val="009024C0"/>
    <w:rsid w:val="00902576"/>
    <w:rsid w:val="00902CFD"/>
    <w:rsid w:val="009032A2"/>
    <w:rsid w:val="00903322"/>
    <w:rsid w:val="009037EF"/>
    <w:rsid w:val="009041CD"/>
    <w:rsid w:val="00904299"/>
    <w:rsid w:val="00904334"/>
    <w:rsid w:val="009056A5"/>
    <w:rsid w:val="00905E24"/>
    <w:rsid w:val="00905EBE"/>
    <w:rsid w:val="0090649C"/>
    <w:rsid w:val="009064F5"/>
    <w:rsid w:val="0090655E"/>
    <w:rsid w:val="009065F5"/>
    <w:rsid w:val="009066A8"/>
    <w:rsid w:val="00906778"/>
    <w:rsid w:val="00907082"/>
    <w:rsid w:val="00907098"/>
    <w:rsid w:val="009070E8"/>
    <w:rsid w:val="0090713C"/>
    <w:rsid w:val="00907354"/>
    <w:rsid w:val="00907400"/>
    <w:rsid w:val="00910411"/>
    <w:rsid w:val="009104A6"/>
    <w:rsid w:val="00910761"/>
    <w:rsid w:val="00910936"/>
    <w:rsid w:val="00910ACC"/>
    <w:rsid w:val="00910C03"/>
    <w:rsid w:val="00910C68"/>
    <w:rsid w:val="00910E06"/>
    <w:rsid w:val="00910E7F"/>
    <w:rsid w:val="009119A4"/>
    <w:rsid w:val="00911A21"/>
    <w:rsid w:val="00911BE5"/>
    <w:rsid w:val="00911BE8"/>
    <w:rsid w:val="009127DA"/>
    <w:rsid w:val="0091288C"/>
    <w:rsid w:val="009128D6"/>
    <w:rsid w:val="00912E33"/>
    <w:rsid w:val="009135F2"/>
    <w:rsid w:val="00913672"/>
    <w:rsid w:val="00913D44"/>
    <w:rsid w:val="00914174"/>
    <w:rsid w:val="009144AF"/>
    <w:rsid w:val="00914A61"/>
    <w:rsid w:val="00914D2A"/>
    <w:rsid w:val="009153FB"/>
    <w:rsid w:val="00915763"/>
    <w:rsid w:val="009157E0"/>
    <w:rsid w:val="00915BEF"/>
    <w:rsid w:val="00915CF1"/>
    <w:rsid w:val="00915D6D"/>
    <w:rsid w:val="00915E6D"/>
    <w:rsid w:val="009163C8"/>
    <w:rsid w:val="00916640"/>
    <w:rsid w:val="00916648"/>
    <w:rsid w:val="009166A7"/>
    <w:rsid w:val="00916CE0"/>
    <w:rsid w:val="00916E28"/>
    <w:rsid w:val="00916E29"/>
    <w:rsid w:val="00917260"/>
    <w:rsid w:val="009174BA"/>
    <w:rsid w:val="00917F11"/>
    <w:rsid w:val="00920141"/>
    <w:rsid w:val="00920209"/>
    <w:rsid w:val="00920385"/>
    <w:rsid w:val="00920623"/>
    <w:rsid w:val="00920875"/>
    <w:rsid w:val="009209CF"/>
    <w:rsid w:val="00920EB2"/>
    <w:rsid w:val="0092133F"/>
    <w:rsid w:val="00921CCB"/>
    <w:rsid w:val="0092211C"/>
    <w:rsid w:val="0092257F"/>
    <w:rsid w:val="009227DD"/>
    <w:rsid w:val="00923A35"/>
    <w:rsid w:val="00923B1D"/>
    <w:rsid w:val="00923E90"/>
    <w:rsid w:val="00924107"/>
    <w:rsid w:val="00924217"/>
    <w:rsid w:val="0092448C"/>
    <w:rsid w:val="009246E0"/>
    <w:rsid w:val="009246E6"/>
    <w:rsid w:val="00924D3F"/>
    <w:rsid w:val="00924DAC"/>
    <w:rsid w:val="00924FE0"/>
    <w:rsid w:val="00925124"/>
    <w:rsid w:val="00925751"/>
    <w:rsid w:val="00925AE9"/>
    <w:rsid w:val="00925B3F"/>
    <w:rsid w:val="00926290"/>
    <w:rsid w:val="0092694F"/>
    <w:rsid w:val="00927035"/>
    <w:rsid w:val="00927057"/>
    <w:rsid w:val="0092744F"/>
    <w:rsid w:val="009274E3"/>
    <w:rsid w:val="009274FB"/>
    <w:rsid w:val="00927714"/>
    <w:rsid w:val="0092787E"/>
    <w:rsid w:val="00927BC1"/>
    <w:rsid w:val="00927C96"/>
    <w:rsid w:val="00927D57"/>
    <w:rsid w:val="00927EA7"/>
    <w:rsid w:val="00930154"/>
    <w:rsid w:val="009302A7"/>
    <w:rsid w:val="009304B9"/>
    <w:rsid w:val="00930517"/>
    <w:rsid w:val="00930AC0"/>
    <w:rsid w:val="00930E5D"/>
    <w:rsid w:val="009310BC"/>
    <w:rsid w:val="00931262"/>
    <w:rsid w:val="009315B8"/>
    <w:rsid w:val="00931CDC"/>
    <w:rsid w:val="00931DDA"/>
    <w:rsid w:val="00931FE4"/>
    <w:rsid w:val="00932150"/>
    <w:rsid w:val="00932597"/>
    <w:rsid w:val="00932636"/>
    <w:rsid w:val="00932C09"/>
    <w:rsid w:val="00932D4D"/>
    <w:rsid w:val="009335F0"/>
    <w:rsid w:val="009335FF"/>
    <w:rsid w:val="0093400B"/>
    <w:rsid w:val="009344A8"/>
    <w:rsid w:val="0093468A"/>
    <w:rsid w:val="00934E16"/>
    <w:rsid w:val="00934FC8"/>
    <w:rsid w:val="00935070"/>
    <w:rsid w:val="00935B2A"/>
    <w:rsid w:val="00935DD2"/>
    <w:rsid w:val="00935ECB"/>
    <w:rsid w:val="00935EF6"/>
    <w:rsid w:val="00935F80"/>
    <w:rsid w:val="009366F9"/>
    <w:rsid w:val="00936968"/>
    <w:rsid w:val="0093700B"/>
    <w:rsid w:val="0093718B"/>
    <w:rsid w:val="009373CB"/>
    <w:rsid w:val="009375C9"/>
    <w:rsid w:val="0093792E"/>
    <w:rsid w:val="009379AD"/>
    <w:rsid w:val="00937CAD"/>
    <w:rsid w:val="009403AC"/>
    <w:rsid w:val="009405A6"/>
    <w:rsid w:val="009409CB"/>
    <w:rsid w:val="00940A88"/>
    <w:rsid w:val="00940E08"/>
    <w:rsid w:val="00941128"/>
    <w:rsid w:val="00941C9F"/>
    <w:rsid w:val="00942109"/>
    <w:rsid w:val="009424A0"/>
    <w:rsid w:val="00942709"/>
    <w:rsid w:val="00942AAC"/>
    <w:rsid w:val="00942CD4"/>
    <w:rsid w:val="00942F96"/>
    <w:rsid w:val="009432C5"/>
    <w:rsid w:val="009436DC"/>
    <w:rsid w:val="00943A7D"/>
    <w:rsid w:val="00943DE6"/>
    <w:rsid w:val="009440A6"/>
    <w:rsid w:val="00944100"/>
    <w:rsid w:val="00944104"/>
    <w:rsid w:val="00944576"/>
    <w:rsid w:val="009445CA"/>
    <w:rsid w:val="009450D6"/>
    <w:rsid w:val="0094512C"/>
    <w:rsid w:val="00946296"/>
    <w:rsid w:val="00946323"/>
    <w:rsid w:val="009465F6"/>
    <w:rsid w:val="00946D38"/>
    <w:rsid w:val="0094741E"/>
    <w:rsid w:val="00947F53"/>
    <w:rsid w:val="009501DA"/>
    <w:rsid w:val="009509C3"/>
    <w:rsid w:val="00950D1A"/>
    <w:rsid w:val="009510D1"/>
    <w:rsid w:val="0095159B"/>
    <w:rsid w:val="00951B7E"/>
    <w:rsid w:val="00951E9F"/>
    <w:rsid w:val="00951F72"/>
    <w:rsid w:val="00951FBE"/>
    <w:rsid w:val="0095243B"/>
    <w:rsid w:val="00952E21"/>
    <w:rsid w:val="0095324D"/>
    <w:rsid w:val="009534A1"/>
    <w:rsid w:val="009535EE"/>
    <w:rsid w:val="00953D57"/>
    <w:rsid w:val="0095413E"/>
    <w:rsid w:val="00954775"/>
    <w:rsid w:val="00954850"/>
    <w:rsid w:val="00954A85"/>
    <w:rsid w:val="00954D06"/>
    <w:rsid w:val="00954E34"/>
    <w:rsid w:val="00954F88"/>
    <w:rsid w:val="00954FA7"/>
    <w:rsid w:val="00954FB6"/>
    <w:rsid w:val="009550CE"/>
    <w:rsid w:val="009553FD"/>
    <w:rsid w:val="0095580D"/>
    <w:rsid w:val="00955890"/>
    <w:rsid w:val="00955B86"/>
    <w:rsid w:val="00955EA7"/>
    <w:rsid w:val="00955FD4"/>
    <w:rsid w:val="009566F2"/>
    <w:rsid w:val="009569B5"/>
    <w:rsid w:val="00956BF4"/>
    <w:rsid w:val="00957265"/>
    <w:rsid w:val="009572F6"/>
    <w:rsid w:val="009574CB"/>
    <w:rsid w:val="009577FB"/>
    <w:rsid w:val="009579A4"/>
    <w:rsid w:val="00957A18"/>
    <w:rsid w:val="00957BEB"/>
    <w:rsid w:val="009600E2"/>
    <w:rsid w:val="00960339"/>
    <w:rsid w:val="009604A1"/>
    <w:rsid w:val="0096058C"/>
    <w:rsid w:val="0096079F"/>
    <w:rsid w:val="00960938"/>
    <w:rsid w:val="00960B7E"/>
    <w:rsid w:val="00961239"/>
    <w:rsid w:val="009612A9"/>
    <w:rsid w:val="00961533"/>
    <w:rsid w:val="0096171B"/>
    <w:rsid w:val="00961968"/>
    <w:rsid w:val="00961F37"/>
    <w:rsid w:val="00962327"/>
    <w:rsid w:val="009626B7"/>
    <w:rsid w:val="00962852"/>
    <w:rsid w:val="00962E3D"/>
    <w:rsid w:val="00962F27"/>
    <w:rsid w:val="00963049"/>
    <w:rsid w:val="009638F3"/>
    <w:rsid w:val="00963966"/>
    <w:rsid w:val="0096431B"/>
    <w:rsid w:val="00964E67"/>
    <w:rsid w:val="009651A3"/>
    <w:rsid w:val="009657B5"/>
    <w:rsid w:val="00965862"/>
    <w:rsid w:val="00965939"/>
    <w:rsid w:val="0096651B"/>
    <w:rsid w:val="009666AB"/>
    <w:rsid w:val="009668ED"/>
    <w:rsid w:val="00966B12"/>
    <w:rsid w:val="00966E90"/>
    <w:rsid w:val="00966EFF"/>
    <w:rsid w:val="009670E0"/>
    <w:rsid w:val="00967718"/>
    <w:rsid w:val="00967721"/>
    <w:rsid w:val="009677EA"/>
    <w:rsid w:val="00967AA2"/>
    <w:rsid w:val="00967B59"/>
    <w:rsid w:val="00967BA4"/>
    <w:rsid w:val="009703CC"/>
    <w:rsid w:val="0097136D"/>
    <w:rsid w:val="00971643"/>
    <w:rsid w:val="00971AFD"/>
    <w:rsid w:val="00971C06"/>
    <w:rsid w:val="00971CAD"/>
    <w:rsid w:val="00971D55"/>
    <w:rsid w:val="00972B0B"/>
    <w:rsid w:val="00972FF7"/>
    <w:rsid w:val="0097315B"/>
    <w:rsid w:val="009733F5"/>
    <w:rsid w:val="0097340E"/>
    <w:rsid w:val="009734B1"/>
    <w:rsid w:val="00973739"/>
    <w:rsid w:val="00973926"/>
    <w:rsid w:val="00973B8F"/>
    <w:rsid w:val="00973F1A"/>
    <w:rsid w:val="009741B3"/>
    <w:rsid w:val="009742CC"/>
    <w:rsid w:val="0097436F"/>
    <w:rsid w:val="00974DFD"/>
    <w:rsid w:val="00974F3C"/>
    <w:rsid w:val="00974FBA"/>
    <w:rsid w:val="00974FC4"/>
    <w:rsid w:val="00974FD1"/>
    <w:rsid w:val="0097501E"/>
    <w:rsid w:val="0097513A"/>
    <w:rsid w:val="009756A2"/>
    <w:rsid w:val="00975BDE"/>
    <w:rsid w:val="009766F9"/>
    <w:rsid w:val="00976A60"/>
    <w:rsid w:val="00976B8D"/>
    <w:rsid w:val="0097720C"/>
    <w:rsid w:val="0097764B"/>
    <w:rsid w:val="00977B82"/>
    <w:rsid w:val="00977C8A"/>
    <w:rsid w:val="00977CF3"/>
    <w:rsid w:val="00977E19"/>
    <w:rsid w:val="00977E1F"/>
    <w:rsid w:val="009815EF"/>
    <w:rsid w:val="00981805"/>
    <w:rsid w:val="00981A94"/>
    <w:rsid w:val="00981EE7"/>
    <w:rsid w:val="00982203"/>
    <w:rsid w:val="00982326"/>
    <w:rsid w:val="009824CB"/>
    <w:rsid w:val="009825B0"/>
    <w:rsid w:val="00982C29"/>
    <w:rsid w:val="0098340A"/>
    <w:rsid w:val="009839FE"/>
    <w:rsid w:val="00983EDE"/>
    <w:rsid w:val="00984057"/>
    <w:rsid w:val="009840DB"/>
    <w:rsid w:val="00984459"/>
    <w:rsid w:val="009844B4"/>
    <w:rsid w:val="00984524"/>
    <w:rsid w:val="0098475F"/>
    <w:rsid w:val="00984D90"/>
    <w:rsid w:val="009855EE"/>
    <w:rsid w:val="00985892"/>
    <w:rsid w:val="009859BE"/>
    <w:rsid w:val="00985AE4"/>
    <w:rsid w:val="00986444"/>
    <w:rsid w:val="009868A0"/>
    <w:rsid w:val="0098796F"/>
    <w:rsid w:val="00987C33"/>
    <w:rsid w:val="00987CE7"/>
    <w:rsid w:val="00987F11"/>
    <w:rsid w:val="00987F41"/>
    <w:rsid w:val="009901B0"/>
    <w:rsid w:val="009901D2"/>
    <w:rsid w:val="0099057C"/>
    <w:rsid w:val="00990882"/>
    <w:rsid w:val="00990CE2"/>
    <w:rsid w:val="00991029"/>
    <w:rsid w:val="009910FE"/>
    <w:rsid w:val="009916FB"/>
    <w:rsid w:val="00991895"/>
    <w:rsid w:val="00992298"/>
    <w:rsid w:val="009922DC"/>
    <w:rsid w:val="0099230C"/>
    <w:rsid w:val="009925F5"/>
    <w:rsid w:val="00992918"/>
    <w:rsid w:val="00992A56"/>
    <w:rsid w:val="00993638"/>
    <w:rsid w:val="009936C8"/>
    <w:rsid w:val="00993870"/>
    <w:rsid w:val="009939E3"/>
    <w:rsid w:val="009939F7"/>
    <w:rsid w:val="00993B87"/>
    <w:rsid w:val="00994156"/>
    <w:rsid w:val="0099427B"/>
    <w:rsid w:val="0099482E"/>
    <w:rsid w:val="00994FBC"/>
    <w:rsid w:val="0099518F"/>
    <w:rsid w:val="00995560"/>
    <w:rsid w:val="009955BE"/>
    <w:rsid w:val="009955F1"/>
    <w:rsid w:val="009956C4"/>
    <w:rsid w:val="00995DCB"/>
    <w:rsid w:val="00995F9C"/>
    <w:rsid w:val="00996614"/>
    <w:rsid w:val="00996814"/>
    <w:rsid w:val="00996D88"/>
    <w:rsid w:val="00997405"/>
    <w:rsid w:val="00997489"/>
    <w:rsid w:val="0099750D"/>
    <w:rsid w:val="009A0151"/>
    <w:rsid w:val="009A069B"/>
    <w:rsid w:val="009A06F8"/>
    <w:rsid w:val="009A0701"/>
    <w:rsid w:val="009A07E1"/>
    <w:rsid w:val="009A1141"/>
    <w:rsid w:val="009A116B"/>
    <w:rsid w:val="009A1468"/>
    <w:rsid w:val="009A1548"/>
    <w:rsid w:val="009A16C1"/>
    <w:rsid w:val="009A1FAD"/>
    <w:rsid w:val="009A25EC"/>
    <w:rsid w:val="009A2B15"/>
    <w:rsid w:val="009A2C78"/>
    <w:rsid w:val="009A3087"/>
    <w:rsid w:val="009A30E5"/>
    <w:rsid w:val="009A32AE"/>
    <w:rsid w:val="009A32B6"/>
    <w:rsid w:val="009A3BBE"/>
    <w:rsid w:val="009A3C67"/>
    <w:rsid w:val="009A3D12"/>
    <w:rsid w:val="009A3E75"/>
    <w:rsid w:val="009A3F18"/>
    <w:rsid w:val="009A422E"/>
    <w:rsid w:val="009A4519"/>
    <w:rsid w:val="009A4600"/>
    <w:rsid w:val="009A475B"/>
    <w:rsid w:val="009A511C"/>
    <w:rsid w:val="009A56D1"/>
    <w:rsid w:val="009A5871"/>
    <w:rsid w:val="009A5F77"/>
    <w:rsid w:val="009A64F8"/>
    <w:rsid w:val="009A672D"/>
    <w:rsid w:val="009A6A00"/>
    <w:rsid w:val="009A6B42"/>
    <w:rsid w:val="009A6D53"/>
    <w:rsid w:val="009A6F49"/>
    <w:rsid w:val="009A7656"/>
    <w:rsid w:val="009A79EA"/>
    <w:rsid w:val="009B0854"/>
    <w:rsid w:val="009B0A7B"/>
    <w:rsid w:val="009B0C4E"/>
    <w:rsid w:val="009B0EA1"/>
    <w:rsid w:val="009B1399"/>
    <w:rsid w:val="009B1442"/>
    <w:rsid w:val="009B167B"/>
    <w:rsid w:val="009B2C95"/>
    <w:rsid w:val="009B3303"/>
    <w:rsid w:val="009B33CD"/>
    <w:rsid w:val="009B35F5"/>
    <w:rsid w:val="009B371D"/>
    <w:rsid w:val="009B3A40"/>
    <w:rsid w:val="009B3D08"/>
    <w:rsid w:val="009B3FA1"/>
    <w:rsid w:val="009B3FA5"/>
    <w:rsid w:val="009B4174"/>
    <w:rsid w:val="009B41E8"/>
    <w:rsid w:val="009B4974"/>
    <w:rsid w:val="009B54EF"/>
    <w:rsid w:val="009B5756"/>
    <w:rsid w:val="009B57FF"/>
    <w:rsid w:val="009B5860"/>
    <w:rsid w:val="009B5E7E"/>
    <w:rsid w:val="009B6037"/>
    <w:rsid w:val="009B6456"/>
    <w:rsid w:val="009B64EF"/>
    <w:rsid w:val="009B65A0"/>
    <w:rsid w:val="009B67DE"/>
    <w:rsid w:val="009B68CF"/>
    <w:rsid w:val="009B68DA"/>
    <w:rsid w:val="009B6AAC"/>
    <w:rsid w:val="009B6D8F"/>
    <w:rsid w:val="009B6FE8"/>
    <w:rsid w:val="009B7163"/>
    <w:rsid w:val="009B74D7"/>
    <w:rsid w:val="009B7533"/>
    <w:rsid w:val="009B777F"/>
    <w:rsid w:val="009B7A6A"/>
    <w:rsid w:val="009B7B1B"/>
    <w:rsid w:val="009B7E0A"/>
    <w:rsid w:val="009C00C7"/>
    <w:rsid w:val="009C01B8"/>
    <w:rsid w:val="009C0652"/>
    <w:rsid w:val="009C069B"/>
    <w:rsid w:val="009C0D95"/>
    <w:rsid w:val="009C1335"/>
    <w:rsid w:val="009C1468"/>
    <w:rsid w:val="009C1493"/>
    <w:rsid w:val="009C1750"/>
    <w:rsid w:val="009C1DC5"/>
    <w:rsid w:val="009C1E06"/>
    <w:rsid w:val="009C20AB"/>
    <w:rsid w:val="009C26E9"/>
    <w:rsid w:val="009C2980"/>
    <w:rsid w:val="009C2C05"/>
    <w:rsid w:val="009C2E6A"/>
    <w:rsid w:val="009C3007"/>
    <w:rsid w:val="009C31D5"/>
    <w:rsid w:val="009C345B"/>
    <w:rsid w:val="009C3571"/>
    <w:rsid w:val="009C3991"/>
    <w:rsid w:val="009C3AFC"/>
    <w:rsid w:val="009C3BCE"/>
    <w:rsid w:val="009C3CE1"/>
    <w:rsid w:val="009C3E6D"/>
    <w:rsid w:val="009C3EA6"/>
    <w:rsid w:val="009C5216"/>
    <w:rsid w:val="009C5269"/>
    <w:rsid w:val="009C5845"/>
    <w:rsid w:val="009C59CE"/>
    <w:rsid w:val="009C5A28"/>
    <w:rsid w:val="009C5BEC"/>
    <w:rsid w:val="009C5DC3"/>
    <w:rsid w:val="009C648D"/>
    <w:rsid w:val="009C6A7C"/>
    <w:rsid w:val="009C6CAC"/>
    <w:rsid w:val="009C7481"/>
    <w:rsid w:val="009C74F6"/>
    <w:rsid w:val="009D02F0"/>
    <w:rsid w:val="009D062A"/>
    <w:rsid w:val="009D0EA5"/>
    <w:rsid w:val="009D0EDD"/>
    <w:rsid w:val="009D10D9"/>
    <w:rsid w:val="009D10F8"/>
    <w:rsid w:val="009D11BA"/>
    <w:rsid w:val="009D11DA"/>
    <w:rsid w:val="009D154B"/>
    <w:rsid w:val="009D155F"/>
    <w:rsid w:val="009D1634"/>
    <w:rsid w:val="009D1D1C"/>
    <w:rsid w:val="009D2078"/>
    <w:rsid w:val="009D2A90"/>
    <w:rsid w:val="009D30C9"/>
    <w:rsid w:val="009D35DD"/>
    <w:rsid w:val="009D35DF"/>
    <w:rsid w:val="009D40C5"/>
    <w:rsid w:val="009D471B"/>
    <w:rsid w:val="009D4798"/>
    <w:rsid w:val="009D4AE5"/>
    <w:rsid w:val="009D53B9"/>
    <w:rsid w:val="009D53D1"/>
    <w:rsid w:val="009D5637"/>
    <w:rsid w:val="009D585D"/>
    <w:rsid w:val="009D62B6"/>
    <w:rsid w:val="009D68D2"/>
    <w:rsid w:val="009D68D3"/>
    <w:rsid w:val="009D6975"/>
    <w:rsid w:val="009D6DB7"/>
    <w:rsid w:val="009D6DC5"/>
    <w:rsid w:val="009D6E71"/>
    <w:rsid w:val="009D71AB"/>
    <w:rsid w:val="009D721C"/>
    <w:rsid w:val="009D73E0"/>
    <w:rsid w:val="009D7555"/>
    <w:rsid w:val="009D76CF"/>
    <w:rsid w:val="009D78A9"/>
    <w:rsid w:val="009D7BB8"/>
    <w:rsid w:val="009E05EB"/>
    <w:rsid w:val="009E0949"/>
    <w:rsid w:val="009E0A0F"/>
    <w:rsid w:val="009E0F51"/>
    <w:rsid w:val="009E138F"/>
    <w:rsid w:val="009E1411"/>
    <w:rsid w:val="009E18D1"/>
    <w:rsid w:val="009E1946"/>
    <w:rsid w:val="009E1AAF"/>
    <w:rsid w:val="009E1B50"/>
    <w:rsid w:val="009E2025"/>
    <w:rsid w:val="009E22C4"/>
    <w:rsid w:val="009E2A1B"/>
    <w:rsid w:val="009E2CC8"/>
    <w:rsid w:val="009E3017"/>
    <w:rsid w:val="009E309D"/>
    <w:rsid w:val="009E31A8"/>
    <w:rsid w:val="009E32A5"/>
    <w:rsid w:val="009E357F"/>
    <w:rsid w:val="009E3D51"/>
    <w:rsid w:val="009E3E86"/>
    <w:rsid w:val="009E3FFB"/>
    <w:rsid w:val="009E4265"/>
    <w:rsid w:val="009E47E5"/>
    <w:rsid w:val="009E4A24"/>
    <w:rsid w:val="009E4B9B"/>
    <w:rsid w:val="009E4FBE"/>
    <w:rsid w:val="009E5313"/>
    <w:rsid w:val="009E5804"/>
    <w:rsid w:val="009E5C33"/>
    <w:rsid w:val="009E5E2B"/>
    <w:rsid w:val="009E5F41"/>
    <w:rsid w:val="009E60E3"/>
    <w:rsid w:val="009E63F4"/>
    <w:rsid w:val="009E65D9"/>
    <w:rsid w:val="009E66EB"/>
    <w:rsid w:val="009E697A"/>
    <w:rsid w:val="009E6D66"/>
    <w:rsid w:val="009E6F60"/>
    <w:rsid w:val="009E74CF"/>
    <w:rsid w:val="009E7755"/>
    <w:rsid w:val="009E7901"/>
    <w:rsid w:val="009E7A85"/>
    <w:rsid w:val="009E7DF4"/>
    <w:rsid w:val="009E7F3D"/>
    <w:rsid w:val="009E7FC4"/>
    <w:rsid w:val="009F07F6"/>
    <w:rsid w:val="009F0A0A"/>
    <w:rsid w:val="009F0E41"/>
    <w:rsid w:val="009F0FE9"/>
    <w:rsid w:val="009F1685"/>
    <w:rsid w:val="009F192B"/>
    <w:rsid w:val="009F1E57"/>
    <w:rsid w:val="009F25C2"/>
    <w:rsid w:val="009F2A45"/>
    <w:rsid w:val="009F2ACB"/>
    <w:rsid w:val="009F329A"/>
    <w:rsid w:val="009F348E"/>
    <w:rsid w:val="009F3631"/>
    <w:rsid w:val="009F3795"/>
    <w:rsid w:val="009F3915"/>
    <w:rsid w:val="009F3DF8"/>
    <w:rsid w:val="009F41C0"/>
    <w:rsid w:val="009F4270"/>
    <w:rsid w:val="009F4805"/>
    <w:rsid w:val="009F48F7"/>
    <w:rsid w:val="009F4D3D"/>
    <w:rsid w:val="009F4DC4"/>
    <w:rsid w:val="009F54BF"/>
    <w:rsid w:val="009F55E4"/>
    <w:rsid w:val="009F5D7B"/>
    <w:rsid w:val="009F5E16"/>
    <w:rsid w:val="009F5E9B"/>
    <w:rsid w:val="009F605D"/>
    <w:rsid w:val="009F6208"/>
    <w:rsid w:val="009F63EC"/>
    <w:rsid w:val="009F6538"/>
    <w:rsid w:val="009F679E"/>
    <w:rsid w:val="009F68EF"/>
    <w:rsid w:val="009F6B61"/>
    <w:rsid w:val="009F6BF9"/>
    <w:rsid w:val="009F6F45"/>
    <w:rsid w:val="009F7007"/>
    <w:rsid w:val="009F746F"/>
    <w:rsid w:val="009F75AE"/>
    <w:rsid w:val="009F776D"/>
    <w:rsid w:val="00A002A7"/>
    <w:rsid w:val="00A00435"/>
    <w:rsid w:val="00A00957"/>
    <w:rsid w:val="00A00A2D"/>
    <w:rsid w:val="00A00D35"/>
    <w:rsid w:val="00A00F17"/>
    <w:rsid w:val="00A016BA"/>
    <w:rsid w:val="00A01AF5"/>
    <w:rsid w:val="00A01C81"/>
    <w:rsid w:val="00A02321"/>
    <w:rsid w:val="00A028C8"/>
    <w:rsid w:val="00A02AD1"/>
    <w:rsid w:val="00A02D16"/>
    <w:rsid w:val="00A03234"/>
    <w:rsid w:val="00A034E1"/>
    <w:rsid w:val="00A0370E"/>
    <w:rsid w:val="00A037CB"/>
    <w:rsid w:val="00A03881"/>
    <w:rsid w:val="00A0388B"/>
    <w:rsid w:val="00A038A1"/>
    <w:rsid w:val="00A03B86"/>
    <w:rsid w:val="00A03B9D"/>
    <w:rsid w:val="00A03DB6"/>
    <w:rsid w:val="00A043A6"/>
    <w:rsid w:val="00A043AF"/>
    <w:rsid w:val="00A04692"/>
    <w:rsid w:val="00A04B97"/>
    <w:rsid w:val="00A052AA"/>
    <w:rsid w:val="00A05346"/>
    <w:rsid w:val="00A05A25"/>
    <w:rsid w:val="00A05E6B"/>
    <w:rsid w:val="00A06011"/>
    <w:rsid w:val="00A06517"/>
    <w:rsid w:val="00A065F5"/>
    <w:rsid w:val="00A0696E"/>
    <w:rsid w:val="00A06D88"/>
    <w:rsid w:val="00A06E00"/>
    <w:rsid w:val="00A07274"/>
    <w:rsid w:val="00A07595"/>
    <w:rsid w:val="00A07928"/>
    <w:rsid w:val="00A1087E"/>
    <w:rsid w:val="00A10964"/>
    <w:rsid w:val="00A109D0"/>
    <w:rsid w:val="00A10AD3"/>
    <w:rsid w:val="00A10F68"/>
    <w:rsid w:val="00A1131C"/>
    <w:rsid w:val="00A11885"/>
    <w:rsid w:val="00A11C62"/>
    <w:rsid w:val="00A11D16"/>
    <w:rsid w:val="00A11D62"/>
    <w:rsid w:val="00A127EF"/>
    <w:rsid w:val="00A12E7D"/>
    <w:rsid w:val="00A13288"/>
    <w:rsid w:val="00A1331B"/>
    <w:rsid w:val="00A13977"/>
    <w:rsid w:val="00A141FC"/>
    <w:rsid w:val="00A1445A"/>
    <w:rsid w:val="00A15376"/>
    <w:rsid w:val="00A153DA"/>
    <w:rsid w:val="00A159D1"/>
    <w:rsid w:val="00A15CCE"/>
    <w:rsid w:val="00A16077"/>
    <w:rsid w:val="00A16227"/>
    <w:rsid w:val="00A16301"/>
    <w:rsid w:val="00A16334"/>
    <w:rsid w:val="00A16555"/>
    <w:rsid w:val="00A1707A"/>
    <w:rsid w:val="00A17484"/>
    <w:rsid w:val="00A17817"/>
    <w:rsid w:val="00A1795C"/>
    <w:rsid w:val="00A17ACA"/>
    <w:rsid w:val="00A20082"/>
    <w:rsid w:val="00A20458"/>
    <w:rsid w:val="00A2095E"/>
    <w:rsid w:val="00A20AAC"/>
    <w:rsid w:val="00A20B7E"/>
    <w:rsid w:val="00A20E03"/>
    <w:rsid w:val="00A20F6C"/>
    <w:rsid w:val="00A2118A"/>
    <w:rsid w:val="00A2164A"/>
    <w:rsid w:val="00A21705"/>
    <w:rsid w:val="00A21814"/>
    <w:rsid w:val="00A2189E"/>
    <w:rsid w:val="00A21ADC"/>
    <w:rsid w:val="00A21C44"/>
    <w:rsid w:val="00A21D5A"/>
    <w:rsid w:val="00A2231B"/>
    <w:rsid w:val="00A22331"/>
    <w:rsid w:val="00A22441"/>
    <w:rsid w:val="00A22CD8"/>
    <w:rsid w:val="00A22EEC"/>
    <w:rsid w:val="00A230C6"/>
    <w:rsid w:val="00A23285"/>
    <w:rsid w:val="00A233E5"/>
    <w:rsid w:val="00A24318"/>
    <w:rsid w:val="00A24B66"/>
    <w:rsid w:val="00A24BAD"/>
    <w:rsid w:val="00A24D03"/>
    <w:rsid w:val="00A24DF1"/>
    <w:rsid w:val="00A251CF"/>
    <w:rsid w:val="00A26274"/>
    <w:rsid w:val="00A26352"/>
    <w:rsid w:val="00A26729"/>
    <w:rsid w:val="00A26A7E"/>
    <w:rsid w:val="00A26F98"/>
    <w:rsid w:val="00A27129"/>
    <w:rsid w:val="00A27919"/>
    <w:rsid w:val="00A27B3B"/>
    <w:rsid w:val="00A27C99"/>
    <w:rsid w:val="00A27DFF"/>
    <w:rsid w:val="00A27E00"/>
    <w:rsid w:val="00A27E0A"/>
    <w:rsid w:val="00A30133"/>
    <w:rsid w:val="00A306BC"/>
    <w:rsid w:val="00A309E6"/>
    <w:rsid w:val="00A30D30"/>
    <w:rsid w:val="00A31056"/>
    <w:rsid w:val="00A3107B"/>
    <w:rsid w:val="00A32009"/>
    <w:rsid w:val="00A3204F"/>
    <w:rsid w:val="00A32183"/>
    <w:rsid w:val="00A3234E"/>
    <w:rsid w:val="00A3273D"/>
    <w:rsid w:val="00A32888"/>
    <w:rsid w:val="00A3293C"/>
    <w:rsid w:val="00A32F94"/>
    <w:rsid w:val="00A3300E"/>
    <w:rsid w:val="00A336F1"/>
    <w:rsid w:val="00A33AB0"/>
    <w:rsid w:val="00A33FD0"/>
    <w:rsid w:val="00A3407D"/>
    <w:rsid w:val="00A3410C"/>
    <w:rsid w:val="00A34224"/>
    <w:rsid w:val="00A342EA"/>
    <w:rsid w:val="00A34425"/>
    <w:rsid w:val="00A344DD"/>
    <w:rsid w:val="00A3485B"/>
    <w:rsid w:val="00A34EDC"/>
    <w:rsid w:val="00A35093"/>
    <w:rsid w:val="00A350F0"/>
    <w:rsid w:val="00A358AE"/>
    <w:rsid w:val="00A3621E"/>
    <w:rsid w:val="00A362DD"/>
    <w:rsid w:val="00A36DD2"/>
    <w:rsid w:val="00A36E02"/>
    <w:rsid w:val="00A3703A"/>
    <w:rsid w:val="00A37789"/>
    <w:rsid w:val="00A37E18"/>
    <w:rsid w:val="00A4003D"/>
    <w:rsid w:val="00A402E6"/>
    <w:rsid w:val="00A4070B"/>
    <w:rsid w:val="00A408F6"/>
    <w:rsid w:val="00A40B44"/>
    <w:rsid w:val="00A40DE6"/>
    <w:rsid w:val="00A40EB6"/>
    <w:rsid w:val="00A40F80"/>
    <w:rsid w:val="00A41E21"/>
    <w:rsid w:val="00A421B3"/>
    <w:rsid w:val="00A42365"/>
    <w:rsid w:val="00A42464"/>
    <w:rsid w:val="00A4286A"/>
    <w:rsid w:val="00A42DAE"/>
    <w:rsid w:val="00A44394"/>
    <w:rsid w:val="00A4470C"/>
    <w:rsid w:val="00A44826"/>
    <w:rsid w:val="00A45646"/>
    <w:rsid w:val="00A45682"/>
    <w:rsid w:val="00A45C59"/>
    <w:rsid w:val="00A45F84"/>
    <w:rsid w:val="00A46227"/>
    <w:rsid w:val="00A46638"/>
    <w:rsid w:val="00A46779"/>
    <w:rsid w:val="00A473D3"/>
    <w:rsid w:val="00A473D5"/>
    <w:rsid w:val="00A474C1"/>
    <w:rsid w:val="00A47610"/>
    <w:rsid w:val="00A477AE"/>
    <w:rsid w:val="00A477EF"/>
    <w:rsid w:val="00A478BF"/>
    <w:rsid w:val="00A47972"/>
    <w:rsid w:val="00A47A27"/>
    <w:rsid w:val="00A50014"/>
    <w:rsid w:val="00A50086"/>
    <w:rsid w:val="00A50197"/>
    <w:rsid w:val="00A50AC4"/>
    <w:rsid w:val="00A512BA"/>
    <w:rsid w:val="00A5141D"/>
    <w:rsid w:val="00A514C7"/>
    <w:rsid w:val="00A51B7C"/>
    <w:rsid w:val="00A521F4"/>
    <w:rsid w:val="00A52564"/>
    <w:rsid w:val="00A528FE"/>
    <w:rsid w:val="00A52AF9"/>
    <w:rsid w:val="00A52F9E"/>
    <w:rsid w:val="00A5308B"/>
    <w:rsid w:val="00A53604"/>
    <w:rsid w:val="00A53675"/>
    <w:rsid w:val="00A53B42"/>
    <w:rsid w:val="00A53BCD"/>
    <w:rsid w:val="00A53F46"/>
    <w:rsid w:val="00A544B7"/>
    <w:rsid w:val="00A545CC"/>
    <w:rsid w:val="00A54BAF"/>
    <w:rsid w:val="00A551A2"/>
    <w:rsid w:val="00A55CFB"/>
    <w:rsid w:val="00A55E41"/>
    <w:rsid w:val="00A560D7"/>
    <w:rsid w:val="00A563C0"/>
    <w:rsid w:val="00A5641B"/>
    <w:rsid w:val="00A56546"/>
    <w:rsid w:val="00A56B2F"/>
    <w:rsid w:val="00A5707C"/>
    <w:rsid w:val="00A57169"/>
    <w:rsid w:val="00A572EF"/>
    <w:rsid w:val="00A573FA"/>
    <w:rsid w:val="00A57495"/>
    <w:rsid w:val="00A5755A"/>
    <w:rsid w:val="00A57697"/>
    <w:rsid w:val="00A576B2"/>
    <w:rsid w:val="00A603F1"/>
    <w:rsid w:val="00A605FA"/>
    <w:rsid w:val="00A60BF6"/>
    <w:rsid w:val="00A60D44"/>
    <w:rsid w:val="00A60E4A"/>
    <w:rsid w:val="00A60EC8"/>
    <w:rsid w:val="00A61664"/>
    <w:rsid w:val="00A61DBF"/>
    <w:rsid w:val="00A61F1E"/>
    <w:rsid w:val="00A61F9F"/>
    <w:rsid w:val="00A62BBF"/>
    <w:rsid w:val="00A62BD5"/>
    <w:rsid w:val="00A632BF"/>
    <w:rsid w:val="00A63A45"/>
    <w:rsid w:val="00A6432B"/>
    <w:rsid w:val="00A6452B"/>
    <w:rsid w:val="00A64582"/>
    <w:rsid w:val="00A64635"/>
    <w:rsid w:val="00A64779"/>
    <w:rsid w:val="00A64A71"/>
    <w:rsid w:val="00A64EDC"/>
    <w:rsid w:val="00A65010"/>
    <w:rsid w:val="00A6533D"/>
    <w:rsid w:val="00A65705"/>
    <w:rsid w:val="00A65A9B"/>
    <w:rsid w:val="00A667FA"/>
    <w:rsid w:val="00A66A09"/>
    <w:rsid w:val="00A66A61"/>
    <w:rsid w:val="00A66BCF"/>
    <w:rsid w:val="00A66E7E"/>
    <w:rsid w:val="00A66FC9"/>
    <w:rsid w:val="00A671E2"/>
    <w:rsid w:val="00A6726D"/>
    <w:rsid w:val="00A67A01"/>
    <w:rsid w:val="00A67C41"/>
    <w:rsid w:val="00A67E8F"/>
    <w:rsid w:val="00A67F43"/>
    <w:rsid w:val="00A703C4"/>
    <w:rsid w:val="00A7059F"/>
    <w:rsid w:val="00A70B9B"/>
    <w:rsid w:val="00A70E95"/>
    <w:rsid w:val="00A710D4"/>
    <w:rsid w:val="00A71AC4"/>
    <w:rsid w:val="00A71B95"/>
    <w:rsid w:val="00A71C10"/>
    <w:rsid w:val="00A71D84"/>
    <w:rsid w:val="00A728F3"/>
    <w:rsid w:val="00A72CCB"/>
    <w:rsid w:val="00A72E75"/>
    <w:rsid w:val="00A736BD"/>
    <w:rsid w:val="00A73A8F"/>
    <w:rsid w:val="00A73C0E"/>
    <w:rsid w:val="00A73C66"/>
    <w:rsid w:val="00A7404D"/>
    <w:rsid w:val="00A741A4"/>
    <w:rsid w:val="00A745B7"/>
    <w:rsid w:val="00A74C24"/>
    <w:rsid w:val="00A750D6"/>
    <w:rsid w:val="00A757EA"/>
    <w:rsid w:val="00A75893"/>
    <w:rsid w:val="00A75DD7"/>
    <w:rsid w:val="00A75F7E"/>
    <w:rsid w:val="00A76168"/>
    <w:rsid w:val="00A76293"/>
    <w:rsid w:val="00A763BC"/>
    <w:rsid w:val="00A77091"/>
    <w:rsid w:val="00A7746E"/>
    <w:rsid w:val="00A77B3A"/>
    <w:rsid w:val="00A8081F"/>
    <w:rsid w:val="00A80879"/>
    <w:rsid w:val="00A816AA"/>
    <w:rsid w:val="00A81B2E"/>
    <w:rsid w:val="00A81EA9"/>
    <w:rsid w:val="00A81F5E"/>
    <w:rsid w:val="00A82048"/>
    <w:rsid w:val="00A82147"/>
    <w:rsid w:val="00A82824"/>
    <w:rsid w:val="00A82910"/>
    <w:rsid w:val="00A82F0D"/>
    <w:rsid w:val="00A83445"/>
    <w:rsid w:val="00A835C0"/>
    <w:rsid w:val="00A83979"/>
    <w:rsid w:val="00A83F74"/>
    <w:rsid w:val="00A84215"/>
    <w:rsid w:val="00A8428D"/>
    <w:rsid w:val="00A842F0"/>
    <w:rsid w:val="00A843B5"/>
    <w:rsid w:val="00A84841"/>
    <w:rsid w:val="00A84E25"/>
    <w:rsid w:val="00A84F0E"/>
    <w:rsid w:val="00A8508B"/>
    <w:rsid w:val="00A853EA"/>
    <w:rsid w:val="00A85466"/>
    <w:rsid w:val="00A85EE9"/>
    <w:rsid w:val="00A860C3"/>
    <w:rsid w:val="00A86136"/>
    <w:rsid w:val="00A8616C"/>
    <w:rsid w:val="00A86571"/>
    <w:rsid w:val="00A86870"/>
    <w:rsid w:val="00A86AB0"/>
    <w:rsid w:val="00A86BA0"/>
    <w:rsid w:val="00A86EA1"/>
    <w:rsid w:val="00A86FC5"/>
    <w:rsid w:val="00A87159"/>
    <w:rsid w:val="00A874D1"/>
    <w:rsid w:val="00A8764F"/>
    <w:rsid w:val="00A87BCF"/>
    <w:rsid w:val="00A87BE3"/>
    <w:rsid w:val="00A90895"/>
    <w:rsid w:val="00A90C27"/>
    <w:rsid w:val="00A917FC"/>
    <w:rsid w:val="00A9222E"/>
    <w:rsid w:val="00A922F6"/>
    <w:rsid w:val="00A923E2"/>
    <w:rsid w:val="00A92611"/>
    <w:rsid w:val="00A9264F"/>
    <w:rsid w:val="00A928CA"/>
    <w:rsid w:val="00A94037"/>
    <w:rsid w:val="00A942BD"/>
    <w:rsid w:val="00A94980"/>
    <w:rsid w:val="00A94BD1"/>
    <w:rsid w:val="00A95172"/>
    <w:rsid w:val="00A951DB"/>
    <w:rsid w:val="00A95FE5"/>
    <w:rsid w:val="00A96311"/>
    <w:rsid w:val="00A96547"/>
    <w:rsid w:val="00A968DD"/>
    <w:rsid w:val="00A972A1"/>
    <w:rsid w:val="00A97F1B"/>
    <w:rsid w:val="00AA0003"/>
    <w:rsid w:val="00AA0066"/>
    <w:rsid w:val="00AA040F"/>
    <w:rsid w:val="00AA07E0"/>
    <w:rsid w:val="00AA0841"/>
    <w:rsid w:val="00AA0D43"/>
    <w:rsid w:val="00AA1089"/>
    <w:rsid w:val="00AA1510"/>
    <w:rsid w:val="00AA17DB"/>
    <w:rsid w:val="00AA1ACD"/>
    <w:rsid w:val="00AA1B86"/>
    <w:rsid w:val="00AA1DDB"/>
    <w:rsid w:val="00AA1F13"/>
    <w:rsid w:val="00AA2772"/>
    <w:rsid w:val="00AA2C8B"/>
    <w:rsid w:val="00AA2C9F"/>
    <w:rsid w:val="00AA2CEC"/>
    <w:rsid w:val="00AA300E"/>
    <w:rsid w:val="00AA3440"/>
    <w:rsid w:val="00AA3926"/>
    <w:rsid w:val="00AA3E38"/>
    <w:rsid w:val="00AA418B"/>
    <w:rsid w:val="00AA44D3"/>
    <w:rsid w:val="00AA4710"/>
    <w:rsid w:val="00AA48CB"/>
    <w:rsid w:val="00AA4A63"/>
    <w:rsid w:val="00AA4B78"/>
    <w:rsid w:val="00AA516F"/>
    <w:rsid w:val="00AA522F"/>
    <w:rsid w:val="00AA5541"/>
    <w:rsid w:val="00AA59D4"/>
    <w:rsid w:val="00AA5A0E"/>
    <w:rsid w:val="00AA5AE1"/>
    <w:rsid w:val="00AA5ECD"/>
    <w:rsid w:val="00AA645C"/>
    <w:rsid w:val="00AA711D"/>
    <w:rsid w:val="00AA726D"/>
    <w:rsid w:val="00AA7EAF"/>
    <w:rsid w:val="00AB006D"/>
    <w:rsid w:val="00AB030B"/>
    <w:rsid w:val="00AB060C"/>
    <w:rsid w:val="00AB08B4"/>
    <w:rsid w:val="00AB0BF6"/>
    <w:rsid w:val="00AB17D3"/>
    <w:rsid w:val="00AB1A8A"/>
    <w:rsid w:val="00AB1AD9"/>
    <w:rsid w:val="00AB1E0E"/>
    <w:rsid w:val="00AB1E35"/>
    <w:rsid w:val="00AB1E65"/>
    <w:rsid w:val="00AB2152"/>
    <w:rsid w:val="00AB217C"/>
    <w:rsid w:val="00AB23D5"/>
    <w:rsid w:val="00AB285B"/>
    <w:rsid w:val="00AB29A1"/>
    <w:rsid w:val="00AB2CFB"/>
    <w:rsid w:val="00AB31CE"/>
    <w:rsid w:val="00AB34ED"/>
    <w:rsid w:val="00AB3631"/>
    <w:rsid w:val="00AB36F1"/>
    <w:rsid w:val="00AB3A2F"/>
    <w:rsid w:val="00AB3AFA"/>
    <w:rsid w:val="00AB3BB1"/>
    <w:rsid w:val="00AB4528"/>
    <w:rsid w:val="00AB49F4"/>
    <w:rsid w:val="00AB4B09"/>
    <w:rsid w:val="00AB5144"/>
    <w:rsid w:val="00AB523A"/>
    <w:rsid w:val="00AB564C"/>
    <w:rsid w:val="00AB5655"/>
    <w:rsid w:val="00AB622D"/>
    <w:rsid w:val="00AB622E"/>
    <w:rsid w:val="00AB62B1"/>
    <w:rsid w:val="00AB630F"/>
    <w:rsid w:val="00AB66CF"/>
    <w:rsid w:val="00AB6771"/>
    <w:rsid w:val="00AB695C"/>
    <w:rsid w:val="00AB6B58"/>
    <w:rsid w:val="00AB7218"/>
    <w:rsid w:val="00AB7311"/>
    <w:rsid w:val="00AB75F3"/>
    <w:rsid w:val="00AB777F"/>
    <w:rsid w:val="00AB7A0C"/>
    <w:rsid w:val="00AB7A75"/>
    <w:rsid w:val="00AB7E6F"/>
    <w:rsid w:val="00AB7FBF"/>
    <w:rsid w:val="00AC0163"/>
    <w:rsid w:val="00AC0284"/>
    <w:rsid w:val="00AC0392"/>
    <w:rsid w:val="00AC078A"/>
    <w:rsid w:val="00AC09D8"/>
    <w:rsid w:val="00AC0AC3"/>
    <w:rsid w:val="00AC0C3F"/>
    <w:rsid w:val="00AC1783"/>
    <w:rsid w:val="00AC1A6F"/>
    <w:rsid w:val="00AC1B3B"/>
    <w:rsid w:val="00AC22AE"/>
    <w:rsid w:val="00AC2E87"/>
    <w:rsid w:val="00AC3443"/>
    <w:rsid w:val="00AC346A"/>
    <w:rsid w:val="00AC3852"/>
    <w:rsid w:val="00AC3DBD"/>
    <w:rsid w:val="00AC3FE4"/>
    <w:rsid w:val="00AC4945"/>
    <w:rsid w:val="00AC4AA8"/>
    <w:rsid w:val="00AC4D00"/>
    <w:rsid w:val="00AC4D90"/>
    <w:rsid w:val="00AC5175"/>
    <w:rsid w:val="00AC5437"/>
    <w:rsid w:val="00AC5498"/>
    <w:rsid w:val="00AC569D"/>
    <w:rsid w:val="00AC57F5"/>
    <w:rsid w:val="00AC6012"/>
    <w:rsid w:val="00AC60B3"/>
    <w:rsid w:val="00AC67DC"/>
    <w:rsid w:val="00AC6AB8"/>
    <w:rsid w:val="00AC6C9F"/>
    <w:rsid w:val="00AC6D4E"/>
    <w:rsid w:val="00AC6F20"/>
    <w:rsid w:val="00AC76D1"/>
    <w:rsid w:val="00AC7A12"/>
    <w:rsid w:val="00AD0223"/>
    <w:rsid w:val="00AD027D"/>
    <w:rsid w:val="00AD02E0"/>
    <w:rsid w:val="00AD0547"/>
    <w:rsid w:val="00AD09F1"/>
    <w:rsid w:val="00AD0B95"/>
    <w:rsid w:val="00AD0BFA"/>
    <w:rsid w:val="00AD0FD1"/>
    <w:rsid w:val="00AD1328"/>
    <w:rsid w:val="00AD1500"/>
    <w:rsid w:val="00AD21F4"/>
    <w:rsid w:val="00AD2298"/>
    <w:rsid w:val="00AD2414"/>
    <w:rsid w:val="00AD2477"/>
    <w:rsid w:val="00AD2D47"/>
    <w:rsid w:val="00AD2E08"/>
    <w:rsid w:val="00AD2FDE"/>
    <w:rsid w:val="00AD33FE"/>
    <w:rsid w:val="00AD36A4"/>
    <w:rsid w:val="00AD37A4"/>
    <w:rsid w:val="00AD387E"/>
    <w:rsid w:val="00AD3A59"/>
    <w:rsid w:val="00AD3C76"/>
    <w:rsid w:val="00AD3E87"/>
    <w:rsid w:val="00AD3FCE"/>
    <w:rsid w:val="00AD4016"/>
    <w:rsid w:val="00AD487D"/>
    <w:rsid w:val="00AD4D3C"/>
    <w:rsid w:val="00AD510E"/>
    <w:rsid w:val="00AD5116"/>
    <w:rsid w:val="00AD537A"/>
    <w:rsid w:val="00AD5A19"/>
    <w:rsid w:val="00AD5D89"/>
    <w:rsid w:val="00AD6274"/>
    <w:rsid w:val="00AD63FF"/>
    <w:rsid w:val="00AD64BD"/>
    <w:rsid w:val="00AD64DA"/>
    <w:rsid w:val="00AD6967"/>
    <w:rsid w:val="00AD69D2"/>
    <w:rsid w:val="00AD6D86"/>
    <w:rsid w:val="00AD6DA0"/>
    <w:rsid w:val="00AD6E4F"/>
    <w:rsid w:val="00AD6E89"/>
    <w:rsid w:val="00AD737C"/>
    <w:rsid w:val="00AD76A7"/>
    <w:rsid w:val="00AD774C"/>
    <w:rsid w:val="00AD79E1"/>
    <w:rsid w:val="00AD7CCE"/>
    <w:rsid w:val="00AE012A"/>
    <w:rsid w:val="00AE0270"/>
    <w:rsid w:val="00AE0609"/>
    <w:rsid w:val="00AE07A9"/>
    <w:rsid w:val="00AE0A4B"/>
    <w:rsid w:val="00AE1150"/>
    <w:rsid w:val="00AE1217"/>
    <w:rsid w:val="00AE1646"/>
    <w:rsid w:val="00AE1878"/>
    <w:rsid w:val="00AE1B1D"/>
    <w:rsid w:val="00AE1D1C"/>
    <w:rsid w:val="00AE1DDE"/>
    <w:rsid w:val="00AE1F43"/>
    <w:rsid w:val="00AE20AB"/>
    <w:rsid w:val="00AE24C7"/>
    <w:rsid w:val="00AE2BFB"/>
    <w:rsid w:val="00AE2E78"/>
    <w:rsid w:val="00AE2F01"/>
    <w:rsid w:val="00AE32F7"/>
    <w:rsid w:val="00AE36A4"/>
    <w:rsid w:val="00AE3E81"/>
    <w:rsid w:val="00AE4304"/>
    <w:rsid w:val="00AE4402"/>
    <w:rsid w:val="00AE44DB"/>
    <w:rsid w:val="00AE4CFD"/>
    <w:rsid w:val="00AE5433"/>
    <w:rsid w:val="00AE5E51"/>
    <w:rsid w:val="00AE5FEA"/>
    <w:rsid w:val="00AE61E9"/>
    <w:rsid w:val="00AE63B2"/>
    <w:rsid w:val="00AE6A35"/>
    <w:rsid w:val="00AE6D11"/>
    <w:rsid w:val="00AE6EE3"/>
    <w:rsid w:val="00AE70FB"/>
    <w:rsid w:val="00AE728C"/>
    <w:rsid w:val="00AE74D8"/>
    <w:rsid w:val="00AE74F4"/>
    <w:rsid w:val="00AE772E"/>
    <w:rsid w:val="00AE7CA9"/>
    <w:rsid w:val="00AF012F"/>
    <w:rsid w:val="00AF03E9"/>
    <w:rsid w:val="00AF0810"/>
    <w:rsid w:val="00AF0F35"/>
    <w:rsid w:val="00AF0F95"/>
    <w:rsid w:val="00AF108B"/>
    <w:rsid w:val="00AF1264"/>
    <w:rsid w:val="00AF14ED"/>
    <w:rsid w:val="00AF1678"/>
    <w:rsid w:val="00AF18C2"/>
    <w:rsid w:val="00AF18C6"/>
    <w:rsid w:val="00AF1C5E"/>
    <w:rsid w:val="00AF1E06"/>
    <w:rsid w:val="00AF1FE7"/>
    <w:rsid w:val="00AF268B"/>
    <w:rsid w:val="00AF27DC"/>
    <w:rsid w:val="00AF29F4"/>
    <w:rsid w:val="00AF2C73"/>
    <w:rsid w:val="00AF30B4"/>
    <w:rsid w:val="00AF3210"/>
    <w:rsid w:val="00AF3316"/>
    <w:rsid w:val="00AF35D9"/>
    <w:rsid w:val="00AF389D"/>
    <w:rsid w:val="00AF3B69"/>
    <w:rsid w:val="00AF3C63"/>
    <w:rsid w:val="00AF42B3"/>
    <w:rsid w:val="00AF4354"/>
    <w:rsid w:val="00AF43B3"/>
    <w:rsid w:val="00AF43CF"/>
    <w:rsid w:val="00AF46C6"/>
    <w:rsid w:val="00AF48F2"/>
    <w:rsid w:val="00AF4DE7"/>
    <w:rsid w:val="00AF4E21"/>
    <w:rsid w:val="00AF4F86"/>
    <w:rsid w:val="00AF527B"/>
    <w:rsid w:val="00AF582B"/>
    <w:rsid w:val="00AF5D2C"/>
    <w:rsid w:val="00AF5D76"/>
    <w:rsid w:val="00AF5FAB"/>
    <w:rsid w:val="00AF6187"/>
    <w:rsid w:val="00AF61A8"/>
    <w:rsid w:val="00AF6B52"/>
    <w:rsid w:val="00AF7019"/>
    <w:rsid w:val="00AF7804"/>
    <w:rsid w:val="00B00237"/>
    <w:rsid w:val="00B003D9"/>
    <w:rsid w:val="00B00460"/>
    <w:rsid w:val="00B005F1"/>
    <w:rsid w:val="00B008C2"/>
    <w:rsid w:val="00B01172"/>
    <w:rsid w:val="00B012A2"/>
    <w:rsid w:val="00B01C76"/>
    <w:rsid w:val="00B01D07"/>
    <w:rsid w:val="00B021F7"/>
    <w:rsid w:val="00B02278"/>
    <w:rsid w:val="00B02E33"/>
    <w:rsid w:val="00B02F57"/>
    <w:rsid w:val="00B0319A"/>
    <w:rsid w:val="00B032BD"/>
    <w:rsid w:val="00B03573"/>
    <w:rsid w:val="00B036DD"/>
    <w:rsid w:val="00B03836"/>
    <w:rsid w:val="00B03C1D"/>
    <w:rsid w:val="00B03D41"/>
    <w:rsid w:val="00B03EED"/>
    <w:rsid w:val="00B03F56"/>
    <w:rsid w:val="00B04137"/>
    <w:rsid w:val="00B04368"/>
    <w:rsid w:val="00B04D2B"/>
    <w:rsid w:val="00B04E73"/>
    <w:rsid w:val="00B04FC7"/>
    <w:rsid w:val="00B0505D"/>
    <w:rsid w:val="00B05707"/>
    <w:rsid w:val="00B05816"/>
    <w:rsid w:val="00B05874"/>
    <w:rsid w:val="00B05C61"/>
    <w:rsid w:val="00B05FD8"/>
    <w:rsid w:val="00B0601C"/>
    <w:rsid w:val="00B062FD"/>
    <w:rsid w:val="00B06856"/>
    <w:rsid w:val="00B06B5E"/>
    <w:rsid w:val="00B06CCB"/>
    <w:rsid w:val="00B06DE3"/>
    <w:rsid w:val="00B06EF8"/>
    <w:rsid w:val="00B070CC"/>
    <w:rsid w:val="00B077B8"/>
    <w:rsid w:val="00B078B4"/>
    <w:rsid w:val="00B07F06"/>
    <w:rsid w:val="00B10241"/>
    <w:rsid w:val="00B10428"/>
    <w:rsid w:val="00B1084F"/>
    <w:rsid w:val="00B109E8"/>
    <w:rsid w:val="00B11251"/>
    <w:rsid w:val="00B114C2"/>
    <w:rsid w:val="00B114FA"/>
    <w:rsid w:val="00B11607"/>
    <w:rsid w:val="00B1192A"/>
    <w:rsid w:val="00B11BE0"/>
    <w:rsid w:val="00B12156"/>
    <w:rsid w:val="00B1268A"/>
    <w:rsid w:val="00B128E5"/>
    <w:rsid w:val="00B12A3E"/>
    <w:rsid w:val="00B12AF3"/>
    <w:rsid w:val="00B12B3A"/>
    <w:rsid w:val="00B12BA5"/>
    <w:rsid w:val="00B135CD"/>
    <w:rsid w:val="00B1368E"/>
    <w:rsid w:val="00B1385C"/>
    <w:rsid w:val="00B13C11"/>
    <w:rsid w:val="00B13DEF"/>
    <w:rsid w:val="00B14025"/>
    <w:rsid w:val="00B140EB"/>
    <w:rsid w:val="00B143E5"/>
    <w:rsid w:val="00B149D5"/>
    <w:rsid w:val="00B14D2E"/>
    <w:rsid w:val="00B14E8D"/>
    <w:rsid w:val="00B15197"/>
    <w:rsid w:val="00B1525D"/>
    <w:rsid w:val="00B155D3"/>
    <w:rsid w:val="00B15776"/>
    <w:rsid w:val="00B15BDC"/>
    <w:rsid w:val="00B16086"/>
    <w:rsid w:val="00B16366"/>
    <w:rsid w:val="00B16541"/>
    <w:rsid w:val="00B16574"/>
    <w:rsid w:val="00B16C22"/>
    <w:rsid w:val="00B16C50"/>
    <w:rsid w:val="00B16CC3"/>
    <w:rsid w:val="00B16E3E"/>
    <w:rsid w:val="00B17095"/>
    <w:rsid w:val="00B170C3"/>
    <w:rsid w:val="00B171A2"/>
    <w:rsid w:val="00B171C1"/>
    <w:rsid w:val="00B1723C"/>
    <w:rsid w:val="00B17A93"/>
    <w:rsid w:val="00B17CD0"/>
    <w:rsid w:val="00B17E61"/>
    <w:rsid w:val="00B20125"/>
    <w:rsid w:val="00B20C0D"/>
    <w:rsid w:val="00B20E27"/>
    <w:rsid w:val="00B20F78"/>
    <w:rsid w:val="00B2113E"/>
    <w:rsid w:val="00B212EA"/>
    <w:rsid w:val="00B213A6"/>
    <w:rsid w:val="00B219C4"/>
    <w:rsid w:val="00B21BAA"/>
    <w:rsid w:val="00B21DC4"/>
    <w:rsid w:val="00B22024"/>
    <w:rsid w:val="00B222EA"/>
    <w:rsid w:val="00B22481"/>
    <w:rsid w:val="00B22AB4"/>
    <w:rsid w:val="00B22B2E"/>
    <w:rsid w:val="00B22BD3"/>
    <w:rsid w:val="00B22E7B"/>
    <w:rsid w:val="00B22EB1"/>
    <w:rsid w:val="00B22F11"/>
    <w:rsid w:val="00B22FEC"/>
    <w:rsid w:val="00B234D5"/>
    <w:rsid w:val="00B2351E"/>
    <w:rsid w:val="00B236AF"/>
    <w:rsid w:val="00B239F0"/>
    <w:rsid w:val="00B24446"/>
    <w:rsid w:val="00B24942"/>
    <w:rsid w:val="00B249EC"/>
    <w:rsid w:val="00B24E38"/>
    <w:rsid w:val="00B24F51"/>
    <w:rsid w:val="00B25D00"/>
    <w:rsid w:val="00B2601C"/>
    <w:rsid w:val="00B2654A"/>
    <w:rsid w:val="00B26989"/>
    <w:rsid w:val="00B269C6"/>
    <w:rsid w:val="00B26BAE"/>
    <w:rsid w:val="00B26DED"/>
    <w:rsid w:val="00B27407"/>
    <w:rsid w:val="00B27412"/>
    <w:rsid w:val="00B2750B"/>
    <w:rsid w:val="00B27534"/>
    <w:rsid w:val="00B279F1"/>
    <w:rsid w:val="00B27C9F"/>
    <w:rsid w:val="00B27D44"/>
    <w:rsid w:val="00B27F34"/>
    <w:rsid w:val="00B27FC3"/>
    <w:rsid w:val="00B30069"/>
    <w:rsid w:val="00B301BF"/>
    <w:rsid w:val="00B302BA"/>
    <w:rsid w:val="00B3042B"/>
    <w:rsid w:val="00B30B89"/>
    <w:rsid w:val="00B30C26"/>
    <w:rsid w:val="00B30FEA"/>
    <w:rsid w:val="00B3129E"/>
    <w:rsid w:val="00B31A6F"/>
    <w:rsid w:val="00B31C15"/>
    <w:rsid w:val="00B320E2"/>
    <w:rsid w:val="00B321C1"/>
    <w:rsid w:val="00B325F8"/>
    <w:rsid w:val="00B32888"/>
    <w:rsid w:val="00B32A6A"/>
    <w:rsid w:val="00B33095"/>
    <w:rsid w:val="00B3315A"/>
    <w:rsid w:val="00B3321A"/>
    <w:rsid w:val="00B332B7"/>
    <w:rsid w:val="00B33698"/>
    <w:rsid w:val="00B34A24"/>
    <w:rsid w:val="00B34E8E"/>
    <w:rsid w:val="00B34EE8"/>
    <w:rsid w:val="00B35016"/>
    <w:rsid w:val="00B350D4"/>
    <w:rsid w:val="00B35C41"/>
    <w:rsid w:val="00B35C78"/>
    <w:rsid w:val="00B36309"/>
    <w:rsid w:val="00B36A1E"/>
    <w:rsid w:val="00B37256"/>
    <w:rsid w:val="00B3776E"/>
    <w:rsid w:val="00B378B5"/>
    <w:rsid w:val="00B37DED"/>
    <w:rsid w:val="00B400D9"/>
    <w:rsid w:val="00B405AD"/>
    <w:rsid w:val="00B406D7"/>
    <w:rsid w:val="00B40BBF"/>
    <w:rsid w:val="00B40C48"/>
    <w:rsid w:val="00B4149C"/>
    <w:rsid w:val="00B414A4"/>
    <w:rsid w:val="00B417FE"/>
    <w:rsid w:val="00B41BDB"/>
    <w:rsid w:val="00B41FC4"/>
    <w:rsid w:val="00B4222A"/>
    <w:rsid w:val="00B42353"/>
    <w:rsid w:val="00B4254F"/>
    <w:rsid w:val="00B4287B"/>
    <w:rsid w:val="00B428A6"/>
    <w:rsid w:val="00B42F41"/>
    <w:rsid w:val="00B4319B"/>
    <w:rsid w:val="00B4333E"/>
    <w:rsid w:val="00B434B4"/>
    <w:rsid w:val="00B4395F"/>
    <w:rsid w:val="00B43B8D"/>
    <w:rsid w:val="00B43F87"/>
    <w:rsid w:val="00B44397"/>
    <w:rsid w:val="00B44543"/>
    <w:rsid w:val="00B4481E"/>
    <w:rsid w:val="00B44C27"/>
    <w:rsid w:val="00B44EA6"/>
    <w:rsid w:val="00B450A7"/>
    <w:rsid w:val="00B4512A"/>
    <w:rsid w:val="00B45168"/>
    <w:rsid w:val="00B4524E"/>
    <w:rsid w:val="00B45DCA"/>
    <w:rsid w:val="00B4622F"/>
    <w:rsid w:val="00B463FC"/>
    <w:rsid w:val="00B4649E"/>
    <w:rsid w:val="00B4675D"/>
    <w:rsid w:val="00B469BE"/>
    <w:rsid w:val="00B46B90"/>
    <w:rsid w:val="00B46EB9"/>
    <w:rsid w:val="00B47636"/>
    <w:rsid w:val="00B4763C"/>
    <w:rsid w:val="00B4765E"/>
    <w:rsid w:val="00B476A4"/>
    <w:rsid w:val="00B478BB"/>
    <w:rsid w:val="00B47943"/>
    <w:rsid w:val="00B479C7"/>
    <w:rsid w:val="00B47A8F"/>
    <w:rsid w:val="00B47FB3"/>
    <w:rsid w:val="00B50426"/>
    <w:rsid w:val="00B50A2C"/>
    <w:rsid w:val="00B50F7F"/>
    <w:rsid w:val="00B51159"/>
    <w:rsid w:val="00B51260"/>
    <w:rsid w:val="00B514D2"/>
    <w:rsid w:val="00B514D6"/>
    <w:rsid w:val="00B51879"/>
    <w:rsid w:val="00B51A86"/>
    <w:rsid w:val="00B5296B"/>
    <w:rsid w:val="00B52CC4"/>
    <w:rsid w:val="00B53634"/>
    <w:rsid w:val="00B53818"/>
    <w:rsid w:val="00B5396F"/>
    <w:rsid w:val="00B53ABA"/>
    <w:rsid w:val="00B53C7F"/>
    <w:rsid w:val="00B53C92"/>
    <w:rsid w:val="00B53E54"/>
    <w:rsid w:val="00B549C4"/>
    <w:rsid w:val="00B54BD9"/>
    <w:rsid w:val="00B54F9D"/>
    <w:rsid w:val="00B55034"/>
    <w:rsid w:val="00B555E0"/>
    <w:rsid w:val="00B55B29"/>
    <w:rsid w:val="00B55DC7"/>
    <w:rsid w:val="00B55E4F"/>
    <w:rsid w:val="00B560DC"/>
    <w:rsid w:val="00B560F8"/>
    <w:rsid w:val="00B56187"/>
    <w:rsid w:val="00B5622B"/>
    <w:rsid w:val="00B56517"/>
    <w:rsid w:val="00B56633"/>
    <w:rsid w:val="00B56760"/>
    <w:rsid w:val="00B56829"/>
    <w:rsid w:val="00B5690D"/>
    <w:rsid w:val="00B57024"/>
    <w:rsid w:val="00B57DB4"/>
    <w:rsid w:val="00B57E9C"/>
    <w:rsid w:val="00B6021F"/>
    <w:rsid w:val="00B60BD4"/>
    <w:rsid w:val="00B60C6A"/>
    <w:rsid w:val="00B60DC6"/>
    <w:rsid w:val="00B60EE3"/>
    <w:rsid w:val="00B610ED"/>
    <w:rsid w:val="00B61128"/>
    <w:rsid w:val="00B61B20"/>
    <w:rsid w:val="00B61CC9"/>
    <w:rsid w:val="00B61D06"/>
    <w:rsid w:val="00B61DFB"/>
    <w:rsid w:val="00B62276"/>
    <w:rsid w:val="00B626F1"/>
    <w:rsid w:val="00B62FD6"/>
    <w:rsid w:val="00B6316B"/>
    <w:rsid w:val="00B63760"/>
    <w:rsid w:val="00B639ED"/>
    <w:rsid w:val="00B63C6E"/>
    <w:rsid w:val="00B64449"/>
    <w:rsid w:val="00B647D2"/>
    <w:rsid w:val="00B6485D"/>
    <w:rsid w:val="00B64CCC"/>
    <w:rsid w:val="00B6550D"/>
    <w:rsid w:val="00B66166"/>
    <w:rsid w:val="00B664BB"/>
    <w:rsid w:val="00B66665"/>
    <w:rsid w:val="00B66898"/>
    <w:rsid w:val="00B66D23"/>
    <w:rsid w:val="00B66E36"/>
    <w:rsid w:val="00B66F28"/>
    <w:rsid w:val="00B6738C"/>
    <w:rsid w:val="00B67454"/>
    <w:rsid w:val="00B6760D"/>
    <w:rsid w:val="00B679C7"/>
    <w:rsid w:val="00B67A86"/>
    <w:rsid w:val="00B67AB3"/>
    <w:rsid w:val="00B67D51"/>
    <w:rsid w:val="00B70041"/>
    <w:rsid w:val="00B70495"/>
    <w:rsid w:val="00B70514"/>
    <w:rsid w:val="00B70822"/>
    <w:rsid w:val="00B718C3"/>
    <w:rsid w:val="00B71A78"/>
    <w:rsid w:val="00B71B6A"/>
    <w:rsid w:val="00B71DA2"/>
    <w:rsid w:val="00B71EE6"/>
    <w:rsid w:val="00B7203E"/>
    <w:rsid w:val="00B7241F"/>
    <w:rsid w:val="00B724E5"/>
    <w:rsid w:val="00B7287F"/>
    <w:rsid w:val="00B728B2"/>
    <w:rsid w:val="00B731E8"/>
    <w:rsid w:val="00B7342A"/>
    <w:rsid w:val="00B734E3"/>
    <w:rsid w:val="00B73854"/>
    <w:rsid w:val="00B73C62"/>
    <w:rsid w:val="00B73C84"/>
    <w:rsid w:val="00B73EAC"/>
    <w:rsid w:val="00B740F3"/>
    <w:rsid w:val="00B74158"/>
    <w:rsid w:val="00B7419B"/>
    <w:rsid w:val="00B74465"/>
    <w:rsid w:val="00B745B2"/>
    <w:rsid w:val="00B74A30"/>
    <w:rsid w:val="00B75605"/>
    <w:rsid w:val="00B75B06"/>
    <w:rsid w:val="00B762BC"/>
    <w:rsid w:val="00B762E7"/>
    <w:rsid w:val="00B76371"/>
    <w:rsid w:val="00B76572"/>
    <w:rsid w:val="00B76681"/>
    <w:rsid w:val="00B769C5"/>
    <w:rsid w:val="00B76FEA"/>
    <w:rsid w:val="00B76FEB"/>
    <w:rsid w:val="00B77060"/>
    <w:rsid w:val="00B7742F"/>
    <w:rsid w:val="00B774CD"/>
    <w:rsid w:val="00B779C3"/>
    <w:rsid w:val="00B77AD2"/>
    <w:rsid w:val="00B77BF9"/>
    <w:rsid w:val="00B77FC7"/>
    <w:rsid w:val="00B8006C"/>
    <w:rsid w:val="00B80191"/>
    <w:rsid w:val="00B801A1"/>
    <w:rsid w:val="00B802BF"/>
    <w:rsid w:val="00B8145E"/>
    <w:rsid w:val="00B8162F"/>
    <w:rsid w:val="00B81634"/>
    <w:rsid w:val="00B81A0C"/>
    <w:rsid w:val="00B81F44"/>
    <w:rsid w:val="00B81FF3"/>
    <w:rsid w:val="00B8248E"/>
    <w:rsid w:val="00B824CE"/>
    <w:rsid w:val="00B82721"/>
    <w:rsid w:val="00B82773"/>
    <w:rsid w:val="00B83136"/>
    <w:rsid w:val="00B831A7"/>
    <w:rsid w:val="00B8333F"/>
    <w:rsid w:val="00B839A0"/>
    <w:rsid w:val="00B83C2E"/>
    <w:rsid w:val="00B84243"/>
    <w:rsid w:val="00B843C3"/>
    <w:rsid w:val="00B84B61"/>
    <w:rsid w:val="00B8505F"/>
    <w:rsid w:val="00B8506E"/>
    <w:rsid w:val="00B85983"/>
    <w:rsid w:val="00B85D3D"/>
    <w:rsid w:val="00B85DDF"/>
    <w:rsid w:val="00B861D9"/>
    <w:rsid w:val="00B862BA"/>
    <w:rsid w:val="00B86400"/>
    <w:rsid w:val="00B86420"/>
    <w:rsid w:val="00B86A2E"/>
    <w:rsid w:val="00B8712F"/>
    <w:rsid w:val="00B8790F"/>
    <w:rsid w:val="00B901DA"/>
    <w:rsid w:val="00B901F8"/>
    <w:rsid w:val="00B90BA9"/>
    <w:rsid w:val="00B9105A"/>
    <w:rsid w:val="00B91547"/>
    <w:rsid w:val="00B91603"/>
    <w:rsid w:val="00B91605"/>
    <w:rsid w:val="00B91637"/>
    <w:rsid w:val="00B91790"/>
    <w:rsid w:val="00B9179B"/>
    <w:rsid w:val="00B9264C"/>
    <w:rsid w:val="00B92780"/>
    <w:rsid w:val="00B9299F"/>
    <w:rsid w:val="00B929F0"/>
    <w:rsid w:val="00B92BDF"/>
    <w:rsid w:val="00B930AF"/>
    <w:rsid w:val="00B9369C"/>
    <w:rsid w:val="00B93772"/>
    <w:rsid w:val="00B93A36"/>
    <w:rsid w:val="00B93B01"/>
    <w:rsid w:val="00B9419C"/>
    <w:rsid w:val="00B94424"/>
    <w:rsid w:val="00B948C6"/>
    <w:rsid w:val="00B94B30"/>
    <w:rsid w:val="00B94E4F"/>
    <w:rsid w:val="00B953A4"/>
    <w:rsid w:val="00B95762"/>
    <w:rsid w:val="00B95969"/>
    <w:rsid w:val="00B95CC6"/>
    <w:rsid w:val="00B95F9D"/>
    <w:rsid w:val="00B962B5"/>
    <w:rsid w:val="00B96594"/>
    <w:rsid w:val="00B965BE"/>
    <w:rsid w:val="00B96BCD"/>
    <w:rsid w:val="00B96E26"/>
    <w:rsid w:val="00B97097"/>
    <w:rsid w:val="00B97731"/>
    <w:rsid w:val="00B97778"/>
    <w:rsid w:val="00B97F95"/>
    <w:rsid w:val="00BA01E1"/>
    <w:rsid w:val="00BA09B0"/>
    <w:rsid w:val="00BA0B4D"/>
    <w:rsid w:val="00BA1385"/>
    <w:rsid w:val="00BA14B0"/>
    <w:rsid w:val="00BA15B6"/>
    <w:rsid w:val="00BA1976"/>
    <w:rsid w:val="00BA1E88"/>
    <w:rsid w:val="00BA207D"/>
    <w:rsid w:val="00BA2902"/>
    <w:rsid w:val="00BA31AA"/>
    <w:rsid w:val="00BA42D7"/>
    <w:rsid w:val="00BA4368"/>
    <w:rsid w:val="00BA4637"/>
    <w:rsid w:val="00BA49A7"/>
    <w:rsid w:val="00BA4B21"/>
    <w:rsid w:val="00BA508E"/>
    <w:rsid w:val="00BA5DCD"/>
    <w:rsid w:val="00BA68D3"/>
    <w:rsid w:val="00BA6D37"/>
    <w:rsid w:val="00BA74A2"/>
    <w:rsid w:val="00BA7AEE"/>
    <w:rsid w:val="00BA7BBF"/>
    <w:rsid w:val="00BA7D65"/>
    <w:rsid w:val="00BA7EFA"/>
    <w:rsid w:val="00BB00B3"/>
    <w:rsid w:val="00BB07CA"/>
    <w:rsid w:val="00BB09EC"/>
    <w:rsid w:val="00BB0DAB"/>
    <w:rsid w:val="00BB1115"/>
    <w:rsid w:val="00BB11FB"/>
    <w:rsid w:val="00BB13ED"/>
    <w:rsid w:val="00BB1813"/>
    <w:rsid w:val="00BB25B7"/>
    <w:rsid w:val="00BB2EA2"/>
    <w:rsid w:val="00BB3073"/>
    <w:rsid w:val="00BB3456"/>
    <w:rsid w:val="00BB3546"/>
    <w:rsid w:val="00BB3AD7"/>
    <w:rsid w:val="00BB3B8E"/>
    <w:rsid w:val="00BB3EA4"/>
    <w:rsid w:val="00BB41CF"/>
    <w:rsid w:val="00BB44F8"/>
    <w:rsid w:val="00BB45F0"/>
    <w:rsid w:val="00BB4B2D"/>
    <w:rsid w:val="00BB4D84"/>
    <w:rsid w:val="00BB50CC"/>
    <w:rsid w:val="00BB56EB"/>
    <w:rsid w:val="00BB5E09"/>
    <w:rsid w:val="00BB6091"/>
    <w:rsid w:val="00BB66E6"/>
    <w:rsid w:val="00BB6B4F"/>
    <w:rsid w:val="00BB6B75"/>
    <w:rsid w:val="00BB7210"/>
    <w:rsid w:val="00BB73C0"/>
    <w:rsid w:val="00BB74DD"/>
    <w:rsid w:val="00BB7886"/>
    <w:rsid w:val="00BB78EC"/>
    <w:rsid w:val="00BB7C7E"/>
    <w:rsid w:val="00BB7DB6"/>
    <w:rsid w:val="00BC0287"/>
    <w:rsid w:val="00BC0B5C"/>
    <w:rsid w:val="00BC0EB4"/>
    <w:rsid w:val="00BC125F"/>
    <w:rsid w:val="00BC1274"/>
    <w:rsid w:val="00BC1918"/>
    <w:rsid w:val="00BC1950"/>
    <w:rsid w:val="00BC1B97"/>
    <w:rsid w:val="00BC1DD9"/>
    <w:rsid w:val="00BC28B7"/>
    <w:rsid w:val="00BC2D25"/>
    <w:rsid w:val="00BC31B2"/>
    <w:rsid w:val="00BC322C"/>
    <w:rsid w:val="00BC33B2"/>
    <w:rsid w:val="00BC348D"/>
    <w:rsid w:val="00BC3920"/>
    <w:rsid w:val="00BC3B7C"/>
    <w:rsid w:val="00BC4165"/>
    <w:rsid w:val="00BC4B45"/>
    <w:rsid w:val="00BC53A0"/>
    <w:rsid w:val="00BC5516"/>
    <w:rsid w:val="00BC7B57"/>
    <w:rsid w:val="00BC7D20"/>
    <w:rsid w:val="00BC7D60"/>
    <w:rsid w:val="00BD0254"/>
    <w:rsid w:val="00BD05AA"/>
    <w:rsid w:val="00BD074F"/>
    <w:rsid w:val="00BD09FC"/>
    <w:rsid w:val="00BD0E01"/>
    <w:rsid w:val="00BD0EA9"/>
    <w:rsid w:val="00BD1060"/>
    <w:rsid w:val="00BD12EB"/>
    <w:rsid w:val="00BD12EF"/>
    <w:rsid w:val="00BD1866"/>
    <w:rsid w:val="00BD1E07"/>
    <w:rsid w:val="00BD200E"/>
    <w:rsid w:val="00BD2674"/>
    <w:rsid w:val="00BD2C1C"/>
    <w:rsid w:val="00BD2E66"/>
    <w:rsid w:val="00BD2E6D"/>
    <w:rsid w:val="00BD2F3C"/>
    <w:rsid w:val="00BD2FAD"/>
    <w:rsid w:val="00BD311A"/>
    <w:rsid w:val="00BD3728"/>
    <w:rsid w:val="00BD3B05"/>
    <w:rsid w:val="00BD3BD1"/>
    <w:rsid w:val="00BD3D9E"/>
    <w:rsid w:val="00BD3F80"/>
    <w:rsid w:val="00BD4072"/>
    <w:rsid w:val="00BD40A2"/>
    <w:rsid w:val="00BD4669"/>
    <w:rsid w:val="00BD47DB"/>
    <w:rsid w:val="00BD4900"/>
    <w:rsid w:val="00BD4925"/>
    <w:rsid w:val="00BD4BC8"/>
    <w:rsid w:val="00BD4F87"/>
    <w:rsid w:val="00BD5478"/>
    <w:rsid w:val="00BD591D"/>
    <w:rsid w:val="00BD5DD2"/>
    <w:rsid w:val="00BD5EC3"/>
    <w:rsid w:val="00BD5F58"/>
    <w:rsid w:val="00BD602A"/>
    <w:rsid w:val="00BD6881"/>
    <w:rsid w:val="00BD6942"/>
    <w:rsid w:val="00BD6C10"/>
    <w:rsid w:val="00BD6C42"/>
    <w:rsid w:val="00BD705A"/>
    <w:rsid w:val="00BD7F78"/>
    <w:rsid w:val="00BE069D"/>
    <w:rsid w:val="00BE0802"/>
    <w:rsid w:val="00BE0811"/>
    <w:rsid w:val="00BE097E"/>
    <w:rsid w:val="00BE115F"/>
    <w:rsid w:val="00BE194B"/>
    <w:rsid w:val="00BE19F8"/>
    <w:rsid w:val="00BE1B05"/>
    <w:rsid w:val="00BE1D73"/>
    <w:rsid w:val="00BE1DE8"/>
    <w:rsid w:val="00BE2101"/>
    <w:rsid w:val="00BE2209"/>
    <w:rsid w:val="00BE2368"/>
    <w:rsid w:val="00BE23DE"/>
    <w:rsid w:val="00BE24D7"/>
    <w:rsid w:val="00BE2F15"/>
    <w:rsid w:val="00BE32EA"/>
    <w:rsid w:val="00BE349B"/>
    <w:rsid w:val="00BE39C0"/>
    <w:rsid w:val="00BE3A06"/>
    <w:rsid w:val="00BE3D71"/>
    <w:rsid w:val="00BE4734"/>
    <w:rsid w:val="00BE49E5"/>
    <w:rsid w:val="00BE4B55"/>
    <w:rsid w:val="00BE5218"/>
    <w:rsid w:val="00BE5219"/>
    <w:rsid w:val="00BE54C9"/>
    <w:rsid w:val="00BE576D"/>
    <w:rsid w:val="00BE64CA"/>
    <w:rsid w:val="00BE66DA"/>
    <w:rsid w:val="00BE6837"/>
    <w:rsid w:val="00BE689C"/>
    <w:rsid w:val="00BE692B"/>
    <w:rsid w:val="00BE6BE4"/>
    <w:rsid w:val="00BE7110"/>
    <w:rsid w:val="00BE759A"/>
    <w:rsid w:val="00BE77AC"/>
    <w:rsid w:val="00BE7A33"/>
    <w:rsid w:val="00BE7DF4"/>
    <w:rsid w:val="00BE7E3C"/>
    <w:rsid w:val="00BE7F1F"/>
    <w:rsid w:val="00BF046E"/>
    <w:rsid w:val="00BF0903"/>
    <w:rsid w:val="00BF0E42"/>
    <w:rsid w:val="00BF11BA"/>
    <w:rsid w:val="00BF1315"/>
    <w:rsid w:val="00BF1AC5"/>
    <w:rsid w:val="00BF2411"/>
    <w:rsid w:val="00BF297E"/>
    <w:rsid w:val="00BF2CCC"/>
    <w:rsid w:val="00BF2F5D"/>
    <w:rsid w:val="00BF32B4"/>
    <w:rsid w:val="00BF35A5"/>
    <w:rsid w:val="00BF3E12"/>
    <w:rsid w:val="00BF41AF"/>
    <w:rsid w:val="00BF41F3"/>
    <w:rsid w:val="00BF41F4"/>
    <w:rsid w:val="00BF48C7"/>
    <w:rsid w:val="00BF48FC"/>
    <w:rsid w:val="00BF4F0F"/>
    <w:rsid w:val="00BF5A67"/>
    <w:rsid w:val="00BF60BE"/>
    <w:rsid w:val="00BF6330"/>
    <w:rsid w:val="00BF6547"/>
    <w:rsid w:val="00BF69D3"/>
    <w:rsid w:val="00BF6DB0"/>
    <w:rsid w:val="00BF6E72"/>
    <w:rsid w:val="00BF71AD"/>
    <w:rsid w:val="00BF7B4B"/>
    <w:rsid w:val="00BF7C8D"/>
    <w:rsid w:val="00BF7E8C"/>
    <w:rsid w:val="00C00207"/>
    <w:rsid w:val="00C0023E"/>
    <w:rsid w:val="00C00243"/>
    <w:rsid w:val="00C00322"/>
    <w:rsid w:val="00C004C1"/>
    <w:rsid w:val="00C006B2"/>
    <w:rsid w:val="00C00843"/>
    <w:rsid w:val="00C00F52"/>
    <w:rsid w:val="00C010D9"/>
    <w:rsid w:val="00C011AE"/>
    <w:rsid w:val="00C01265"/>
    <w:rsid w:val="00C0136F"/>
    <w:rsid w:val="00C01D39"/>
    <w:rsid w:val="00C01E16"/>
    <w:rsid w:val="00C0204C"/>
    <w:rsid w:val="00C0239D"/>
    <w:rsid w:val="00C023BF"/>
    <w:rsid w:val="00C02824"/>
    <w:rsid w:val="00C02B72"/>
    <w:rsid w:val="00C02F0F"/>
    <w:rsid w:val="00C02FB6"/>
    <w:rsid w:val="00C030E4"/>
    <w:rsid w:val="00C03131"/>
    <w:rsid w:val="00C032E8"/>
    <w:rsid w:val="00C03453"/>
    <w:rsid w:val="00C03529"/>
    <w:rsid w:val="00C03BFB"/>
    <w:rsid w:val="00C040A1"/>
    <w:rsid w:val="00C0437A"/>
    <w:rsid w:val="00C04796"/>
    <w:rsid w:val="00C04EA7"/>
    <w:rsid w:val="00C04F05"/>
    <w:rsid w:val="00C050E2"/>
    <w:rsid w:val="00C052A8"/>
    <w:rsid w:val="00C057A6"/>
    <w:rsid w:val="00C0598D"/>
    <w:rsid w:val="00C05B4B"/>
    <w:rsid w:val="00C061D0"/>
    <w:rsid w:val="00C061F8"/>
    <w:rsid w:val="00C06583"/>
    <w:rsid w:val="00C067C9"/>
    <w:rsid w:val="00C06E71"/>
    <w:rsid w:val="00C07425"/>
    <w:rsid w:val="00C077EE"/>
    <w:rsid w:val="00C078AA"/>
    <w:rsid w:val="00C07BBA"/>
    <w:rsid w:val="00C10097"/>
    <w:rsid w:val="00C1021B"/>
    <w:rsid w:val="00C1082B"/>
    <w:rsid w:val="00C109CF"/>
    <w:rsid w:val="00C10A86"/>
    <w:rsid w:val="00C1164A"/>
    <w:rsid w:val="00C11798"/>
    <w:rsid w:val="00C11A68"/>
    <w:rsid w:val="00C11CBC"/>
    <w:rsid w:val="00C11D61"/>
    <w:rsid w:val="00C11D62"/>
    <w:rsid w:val="00C12025"/>
    <w:rsid w:val="00C1258F"/>
    <w:rsid w:val="00C12D47"/>
    <w:rsid w:val="00C12EE4"/>
    <w:rsid w:val="00C133CB"/>
    <w:rsid w:val="00C140E7"/>
    <w:rsid w:val="00C143BB"/>
    <w:rsid w:val="00C14476"/>
    <w:rsid w:val="00C14641"/>
    <w:rsid w:val="00C146AE"/>
    <w:rsid w:val="00C1482F"/>
    <w:rsid w:val="00C1526B"/>
    <w:rsid w:val="00C15413"/>
    <w:rsid w:val="00C156B7"/>
    <w:rsid w:val="00C15CA6"/>
    <w:rsid w:val="00C15DEB"/>
    <w:rsid w:val="00C15E00"/>
    <w:rsid w:val="00C15EE3"/>
    <w:rsid w:val="00C15EF7"/>
    <w:rsid w:val="00C15F32"/>
    <w:rsid w:val="00C15F48"/>
    <w:rsid w:val="00C15F5B"/>
    <w:rsid w:val="00C160B3"/>
    <w:rsid w:val="00C162CC"/>
    <w:rsid w:val="00C16306"/>
    <w:rsid w:val="00C1640A"/>
    <w:rsid w:val="00C16773"/>
    <w:rsid w:val="00C168EA"/>
    <w:rsid w:val="00C16ADD"/>
    <w:rsid w:val="00C16BE4"/>
    <w:rsid w:val="00C16C53"/>
    <w:rsid w:val="00C1712E"/>
    <w:rsid w:val="00C171D3"/>
    <w:rsid w:val="00C177D9"/>
    <w:rsid w:val="00C17A93"/>
    <w:rsid w:val="00C17F36"/>
    <w:rsid w:val="00C20170"/>
    <w:rsid w:val="00C20808"/>
    <w:rsid w:val="00C2095B"/>
    <w:rsid w:val="00C2113C"/>
    <w:rsid w:val="00C21586"/>
    <w:rsid w:val="00C21739"/>
    <w:rsid w:val="00C21B70"/>
    <w:rsid w:val="00C22330"/>
    <w:rsid w:val="00C224C4"/>
    <w:rsid w:val="00C22825"/>
    <w:rsid w:val="00C22A29"/>
    <w:rsid w:val="00C22B0B"/>
    <w:rsid w:val="00C22D8D"/>
    <w:rsid w:val="00C22F31"/>
    <w:rsid w:val="00C22FC0"/>
    <w:rsid w:val="00C232FF"/>
    <w:rsid w:val="00C238B3"/>
    <w:rsid w:val="00C2391E"/>
    <w:rsid w:val="00C23A23"/>
    <w:rsid w:val="00C23B7D"/>
    <w:rsid w:val="00C23DDB"/>
    <w:rsid w:val="00C24376"/>
    <w:rsid w:val="00C24C8A"/>
    <w:rsid w:val="00C250FE"/>
    <w:rsid w:val="00C2535B"/>
    <w:rsid w:val="00C257C6"/>
    <w:rsid w:val="00C25861"/>
    <w:rsid w:val="00C259CA"/>
    <w:rsid w:val="00C25A69"/>
    <w:rsid w:val="00C25B94"/>
    <w:rsid w:val="00C25E4B"/>
    <w:rsid w:val="00C25FFA"/>
    <w:rsid w:val="00C26226"/>
    <w:rsid w:val="00C26377"/>
    <w:rsid w:val="00C264E6"/>
    <w:rsid w:val="00C2663A"/>
    <w:rsid w:val="00C266F6"/>
    <w:rsid w:val="00C26A1F"/>
    <w:rsid w:val="00C26E0F"/>
    <w:rsid w:val="00C273F6"/>
    <w:rsid w:val="00C27C4B"/>
    <w:rsid w:val="00C306FD"/>
    <w:rsid w:val="00C30881"/>
    <w:rsid w:val="00C31495"/>
    <w:rsid w:val="00C318A1"/>
    <w:rsid w:val="00C3193E"/>
    <w:rsid w:val="00C31955"/>
    <w:rsid w:val="00C320A9"/>
    <w:rsid w:val="00C32378"/>
    <w:rsid w:val="00C324D4"/>
    <w:rsid w:val="00C32E91"/>
    <w:rsid w:val="00C33738"/>
    <w:rsid w:val="00C338D7"/>
    <w:rsid w:val="00C33D4A"/>
    <w:rsid w:val="00C34206"/>
    <w:rsid w:val="00C34360"/>
    <w:rsid w:val="00C34798"/>
    <w:rsid w:val="00C34A7A"/>
    <w:rsid w:val="00C352AB"/>
    <w:rsid w:val="00C360DD"/>
    <w:rsid w:val="00C36145"/>
    <w:rsid w:val="00C362E3"/>
    <w:rsid w:val="00C3632D"/>
    <w:rsid w:val="00C36458"/>
    <w:rsid w:val="00C367D3"/>
    <w:rsid w:val="00C367FD"/>
    <w:rsid w:val="00C36898"/>
    <w:rsid w:val="00C36BDF"/>
    <w:rsid w:val="00C36EA4"/>
    <w:rsid w:val="00C3708F"/>
    <w:rsid w:val="00C37481"/>
    <w:rsid w:val="00C37D23"/>
    <w:rsid w:val="00C37DE4"/>
    <w:rsid w:val="00C37E05"/>
    <w:rsid w:val="00C40470"/>
    <w:rsid w:val="00C409C2"/>
    <w:rsid w:val="00C409F3"/>
    <w:rsid w:val="00C40CCB"/>
    <w:rsid w:val="00C40CE0"/>
    <w:rsid w:val="00C40EDF"/>
    <w:rsid w:val="00C41916"/>
    <w:rsid w:val="00C41A3B"/>
    <w:rsid w:val="00C42181"/>
    <w:rsid w:val="00C42194"/>
    <w:rsid w:val="00C421FC"/>
    <w:rsid w:val="00C42398"/>
    <w:rsid w:val="00C424F8"/>
    <w:rsid w:val="00C425D9"/>
    <w:rsid w:val="00C42765"/>
    <w:rsid w:val="00C429FE"/>
    <w:rsid w:val="00C42B7A"/>
    <w:rsid w:val="00C42C1C"/>
    <w:rsid w:val="00C42D6E"/>
    <w:rsid w:val="00C42E8E"/>
    <w:rsid w:val="00C43041"/>
    <w:rsid w:val="00C43070"/>
    <w:rsid w:val="00C4328B"/>
    <w:rsid w:val="00C4334A"/>
    <w:rsid w:val="00C437DC"/>
    <w:rsid w:val="00C4381E"/>
    <w:rsid w:val="00C4385D"/>
    <w:rsid w:val="00C43A41"/>
    <w:rsid w:val="00C43FDB"/>
    <w:rsid w:val="00C444CC"/>
    <w:rsid w:val="00C4471C"/>
    <w:rsid w:val="00C44EA0"/>
    <w:rsid w:val="00C44F0B"/>
    <w:rsid w:val="00C44FF9"/>
    <w:rsid w:val="00C453D9"/>
    <w:rsid w:val="00C45739"/>
    <w:rsid w:val="00C45A66"/>
    <w:rsid w:val="00C45C50"/>
    <w:rsid w:val="00C45D99"/>
    <w:rsid w:val="00C4609A"/>
    <w:rsid w:val="00C46117"/>
    <w:rsid w:val="00C4611F"/>
    <w:rsid w:val="00C462C3"/>
    <w:rsid w:val="00C462E4"/>
    <w:rsid w:val="00C46839"/>
    <w:rsid w:val="00C46AE7"/>
    <w:rsid w:val="00C470ED"/>
    <w:rsid w:val="00C47105"/>
    <w:rsid w:val="00C47366"/>
    <w:rsid w:val="00C4779B"/>
    <w:rsid w:val="00C47FFC"/>
    <w:rsid w:val="00C50335"/>
    <w:rsid w:val="00C5035E"/>
    <w:rsid w:val="00C50E15"/>
    <w:rsid w:val="00C50F8B"/>
    <w:rsid w:val="00C51202"/>
    <w:rsid w:val="00C517A4"/>
    <w:rsid w:val="00C51D93"/>
    <w:rsid w:val="00C51E12"/>
    <w:rsid w:val="00C52171"/>
    <w:rsid w:val="00C522C1"/>
    <w:rsid w:val="00C5245C"/>
    <w:rsid w:val="00C52BF4"/>
    <w:rsid w:val="00C532AB"/>
    <w:rsid w:val="00C534A0"/>
    <w:rsid w:val="00C53AE8"/>
    <w:rsid w:val="00C53BD0"/>
    <w:rsid w:val="00C53D30"/>
    <w:rsid w:val="00C53E14"/>
    <w:rsid w:val="00C543B6"/>
    <w:rsid w:val="00C546AD"/>
    <w:rsid w:val="00C5520D"/>
    <w:rsid w:val="00C55A7D"/>
    <w:rsid w:val="00C55AB3"/>
    <w:rsid w:val="00C55CE1"/>
    <w:rsid w:val="00C56794"/>
    <w:rsid w:val="00C568A3"/>
    <w:rsid w:val="00C56A63"/>
    <w:rsid w:val="00C56AC4"/>
    <w:rsid w:val="00C56C70"/>
    <w:rsid w:val="00C5705F"/>
    <w:rsid w:val="00C57351"/>
    <w:rsid w:val="00C5750D"/>
    <w:rsid w:val="00C57850"/>
    <w:rsid w:val="00C578D0"/>
    <w:rsid w:val="00C57AC0"/>
    <w:rsid w:val="00C6064A"/>
    <w:rsid w:val="00C608CE"/>
    <w:rsid w:val="00C60DDE"/>
    <w:rsid w:val="00C6109D"/>
    <w:rsid w:val="00C61614"/>
    <w:rsid w:val="00C61691"/>
    <w:rsid w:val="00C616E2"/>
    <w:rsid w:val="00C61840"/>
    <w:rsid w:val="00C61B49"/>
    <w:rsid w:val="00C62113"/>
    <w:rsid w:val="00C62134"/>
    <w:rsid w:val="00C6230D"/>
    <w:rsid w:val="00C6267A"/>
    <w:rsid w:val="00C627C5"/>
    <w:rsid w:val="00C6299D"/>
    <w:rsid w:val="00C62B07"/>
    <w:rsid w:val="00C62C14"/>
    <w:rsid w:val="00C63DD7"/>
    <w:rsid w:val="00C63DF3"/>
    <w:rsid w:val="00C64854"/>
    <w:rsid w:val="00C64B7C"/>
    <w:rsid w:val="00C65293"/>
    <w:rsid w:val="00C653A6"/>
    <w:rsid w:val="00C65C7E"/>
    <w:rsid w:val="00C65CA1"/>
    <w:rsid w:val="00C65F14"/>
    <w:rsid w:val="00C66885"/>
    <w:rsid w:val="00C66A44"/>
    <w:rsid w:val="00C66AC3"/>
    <w:rsid w:val="00C66CB6"/>
    <w:rsid w:val="00C66EED"/>
    <w:rsid w:val="00C670A2"/>
    <w:rsid w:val="00C676B5"/>
    <w:rsid w:val="00C67880"/>
    <w:rsid w:val="00C70064"/>
    <w:rsid w:val="00C703BF"/>
    <w:rsid w:val="00C70792"/>
    <w:rsid w:val="00C70C73"/>
    <w:rsid w:val="00C70D8D"/>
    <w:rsid w:val="00C70E1C"/>
    <w:rsid w:val="00C70EB6"/>
    <w:rsid w:val="00C713A0"/>
    <w:rsid w:val="00C71645"/>
    <w:rsid w:val="00C7167A"/>
    <w:rsid w:val="00C7178F"/>
    <w:rsid w:val="00C71FDC"/>
    <w:rsid w:val="00C72AE2"/>
    <w:rsid w:val="00C72C1E"/>
    <w:rsid w:val="00C732E6"/>
    <w:rsid w:val="00C73583"/>
    <w:rsid w:val="00C736F0"/>
    <w:rsid w:val="00C737B9"/>
    <w:rsid w:val="00C73A9B"/>
    <w:rsid w:val="00C744C8"/>
    <w:rsid w:val="00C74B7E"/>
    <w:rsid w:val="00C74C7D"/>
    <w:rsid w:val="00C74FE4"/>
    <w:rsid w:val="00C7551E"/>
    <w:rsid w:val="00C7561F"/>
    <w:rsid w:val="00C7569E"/>
    <w:rsid w:val="00C7569F"/>
    <w:rsid w:val="00C7573C"/>
    <w:rsid w:val="00C7579F"/>
    <w:rsid w:val="00C75C69"/>
    <w:rsid w:val="00C75E13"/>
    <w:rsid w:val="00C761DA"/>
    <w:rsid w:val="00C765CA"/>
    <w:rsid w:val="00C76AEE"/>
    <w:rsid w:val="00C76D78"/>
    <w:rsid w:val="00C7715B"/>
    <w:rsid w:val="00C775D6"/>
    <w:rsid w:val="00C776FB"/>
    <w:rsid w:val="00C7779D"/>
    <w:rsid w:val="00C77967"/>
    <w:rsid w:val="00C77A73"/>
    <w:rsid w:val="00C77E70"/>
    <w:rsid w:val="00C80590"/>
    <w:rsid w:val="00C807C0"/>
    <w:rsid w:val="00C80A11"/>
    <w:rsid w:val="00C80AF0"/>
    <w:rsid w:val="00C81035"/>
    <w:rsid w:val="00C81443"/>
    <w:rsid w:val="00C815BF"/>
    <w:rsid w:val="00C81905"/>
    <w:rsid w:val="00C81E12"/>
    <w:rsid w:val="00C82040"/>
    <w:rsid w:val="00C8205C"/>
    <w:rsid w:val="00C824DD"/>
    <w:rsid w:val="00C826CF"/>
    <w:rsid w:val="00C82B6A"/>
    <w:rsid w:val="00C83062"/>
    <w:rsid w:val="00C8349D"/>
    <w:rsid w:val="00C83948"/>
    <w:rsid w:val="00C839AC"/>
    <w:rsid w:val="00C83A9E"/>
    <w:rsid w:val="00C83C5B"/>
    <w:rsid w:val="00C83F29"/>
    <w:rsid w:val="00C840EB"/>
    <w:rsid w:val="00C84351"/>
    <w:rsid w:val="00C84465"/>
    <w:rsid w:val="00C849AD"/>
    <w:rsid w:val="00C84BB4"/>
    <w:rsid w:val="00C84ED4"/>
    <w:rsid w:val="00C85425"/>
    <w:rsid w:val="00C8548C"/>
    <w:rsid w:val="00C857C6"/>
    <w:rsid w:val="00C857EA"/>
    <w:rsid w:val="00C85B01"/>
    <w:rsid w:val="00C85FDA"/>
    <w:rsid w:val="00C86ED5"/>
    <w:rsid w:val="00C87250"/>
    <w:rsid w:val="00C87280"/>
    <w:rsid w:val="00C87314"/>
    <w:rsid w:val="00C87E93"/>
    <w:rsid w:val="00C90247"/>
    <w:rsid w:val="00C90274"/>
    <w:rsid w:val="00C903D3"/>
    <w:rsid w:val="00C90C56"/>
    <w:rsid w:val="00C90D2B"/>
    <w:rsid w:val="00C90EDF"/>
    <w:rsid w:val="00C90F6F"/>
    <w:rsid w:val="00C91125"/>
    <w:rsid w:val="00C91151"/>
    <w:rsid w:val="00C91824"/>
    <w:rsid w:val="00C91ECC"/>
    <w:rsid w:val="00C92068"/>
    <w:rsid w:val="00C924F2"/>
    <w:rsid w:val="00C927B3"/>
    <w:rsid w:val="00C928C6"/>
    <w:rsid w:val="00C92A44"/>
    <w:rsid w:val="00C92D61"/>
    <w:rsid w:val="00C93439"/>
    <w:rsid w:val="00C937BC"/>
    <w:rsid w:val="00C9398A"/>
    <w:rsid w:val="00C939BF"/>
    <w:rsid w:val="00C93BA6"/>
    <w:rsid w:val="00C93E1F"/>
    <w:rsid w:val="00C93E38"/>
    <w:rsid w:val="00C93FAF"/>
    <w:rsid w:val="00C94047"/>
    <w:rsid w:val="00C94185"/>
    <w:rsid w:val="00C94254"/>
    <w:rsid w:val="00C944D5"/>
    <w:rsid w:val="00C945BA"/>
    <w:rsid w:val="00C9477D"/>
    <w:rsid w:val="00C95417"/>
    <w:rsid w:val="00C95422"/>
    <w:rsid w:val="00C954B8"/>
    <w:rsid w:val="00C95543"/>
    <w:rsid w:val="00C9569B"/>
    <w:rsid w:val="00C95796"/>
    <w:rsid w:val="00C95834"/>
    <w:rsid w:val="00C95CC0"/>
    <w:rsid w:val="00C96177"/>
    <w:rsid w:val="00C965E1"/>
    <w:rsid w:val="00C967AF"/>
    <w:rsid w:val="00C96A4D"/>
    <w:rsid w:val="00C9700F"/>
    <w:rsid w:val="00C971A2"/>
    <w:rsid w:val="00C97227"/>
    <w:rsid w:val="00C977AF"/>
    <w:rsid w:val="00CA00ED"/>
    <w:rsid w:val="00CA05A0"/>
    <w:rsid w:val="00CA05BD"/>
    <w:rsid w:val="00CA07B0"/>
    <w:rsid w:val="00CA0890"/>
    <w:rsid w:val="00CA08EB"/>
    <w:rsid w:val="00CA09C2"/>
    <w:rsid w:val="00CA0FF0"/>
    <w:rsid w:val="00CA14A3"/>
    <w:rsid w:val="00CA1544"/>
    <w:rsid w:val="00CA1829"/>
    <w:rsid w:val="00CA195A"/>
    <w:rsid w:val="00CA1B26"/>
    <w:rsid w:val="00CA1C0A"/>
    <w:rsid w:val="00CA1E11"/>
    <w:rsid w:val="00CA1E65"/>
    <w:rsid w:val="00CA219D"/>
    <w:rsid w:val="00CA25B7"/>
    <w:rsid w:val="00CA2B30"/>
    <w:rsid w:val="00CA30B6"/>
    <w:rsid w:val="00CA31BC"/>
    <w:rsid w:val="00CA3A0A"/>
    <w:rsid w:val="00CA3D3C"/>
    <w:rsid w:val="00CA3DF9"/>
    <w:rsid w:val="00CA3F33"/>
    <w:rsid w:val="00CA49EF"/>
    <w:rsid w:val="00CA4A2B"/>
    <w:rsid w:val="00CA4BA9"/>
    <w:rsid w:val="00CA4CF7"/>
    <w:rsid w:val="00CA4CFB"/>
    <w:rsid w:val="00CA51EB"/>
    <w:rsid w:val="00CA5227"/>
    <w:rsid w:val="00CA576C"/>
    <w:rsid w:val="00CA5A61"/>
    <w:rsid w:val="00CA5DF9"/>
    <w:rsid w:val="00CA6172"/>
    <w:rsid w:val="00CA61A0"/>
    <w:rsid w:val="00CA63C3"/>
    <w:rsid w:val="00CA6415"/>
    <w:rsid w:val="00CA64E1"/>
    <w:rsid w:val="00CA690E"/>
    <w:rsid w:val="00CA6B09"/>
    <w:rsid w:val="00CA6DAD"/>
    <w:rsid w:val="00CA6F79"/>
    <w:rsid w:val="00CA77E4"/>
    <w:rsid w:val="00CA7EC7"/>
    <w:rsid w:val="00CB02C1"/>
    <w:rsid w:val="00CB0EDA"/>
    <w:rsid w:val="00CB0EFF"/>
    <w:rsid w:val="00CB1449"/>
    <w:rsid w:val="00CB1BCE"/>
    <w:rsid w:val="00CB2395"/>
    <w:rsid w:val="00CB26AF"/>
    <w:rsid w:val="00CB26FD"/>
    <w:rsid w:val="00CB2A8A"/>
    <w:rsid w:val="00CB2D29"/>
    <w:rsid w:val="00CB2D65"/>
    <w:rsid w:val="00CB2F4B"/>
    <w:rsid w:val="00CB3724"/>
    <w:rsid w:val="00CB3822"/>
    <w:rsid w:val="00CB43AA"/>
    <w:rsid w:val="00CB4A58"/>
    <w:rsid w:val="00CB543F"/>
    <w:rsid w:val="00CB5533"/>
    <w:rsid w:val="00CB5548"/>
    <w:rsid w:val="00CB5ABD"/>
    <w:rsid w:val="00CB5B40"/>
    <w:rsid w:val="00CB5D5D"/>
    <w:rsid w:val="00CB5EDB"/>
    <w:rsid w:val="00CB64C9"/>
    <w:rsid w:val="00CB64CD"/>
    <w:rsid w:val="00CB6836"/>
    <w:rsid w:val="00CB6A63"/>
    <w:rsid w:val="00CB6E4F"/>
    <w:rsid w:val="00CB6E93"/>
    <w:rsid w:val="00CB7515"/>
    <w:rsid w:val="00CB7746"/>
    <w:rsid w:val="00CB77E0"/>
    <w:rsid w:val="00CB79DC"/>
    <w:rsid w:val="00CB7BCE"/>
    <w:rsid w:val="00CB7BD9"/>
    <w:rsid w:val="00CC0340"/>
    <w:rsid w:val="00CC0393"/>
    <w:rsid w:val="00CC0816"/>
    <w:rsid w:val="00CC0B8C"/>
    <w:rsid w:val="00CC0D7C"/>
    <w:rsid w:val="00CC0F75"/>
    <w:rsid w:val="00CC1198"/>
    <w:rsid w:val="00CC13FD"/>
    <w:rsid w:val="00CC1616"/>
    <w:rsid w:val="00CC19AD"/>
    <w:rsid w:val="00CC1BB6"/>
    <w:rsid w:val="00CC1E38"/>
    <w:rsid w:val="00CC1E96"/>
    <w:rsid w:val="00CC1ED8"/>
    <w:rsid w:val="00CC1FF2"/>
    <w:rsid w:val="00CC2173"/>
    <w:rsid w:val="00CC2839"/>
    <w:rsid w:val="00CC2BDC"/>
    <w:rsid w:val="00CC2D20"/>
    <w:rsid w:val="00CC3256"/>
    <w:rsid w:val="00CC3497"/>
    <w:rsid w:val="00CC371D"/>
    <w:rsid w:val="00CC3C0C"/>
    <w:rsid w:val="00CC3E56"/>
    <w:rsid w:val="00CC411C"/>
    <w:rsid w:val="00CC423D"/>
    <w:rsid w:val="00CC4290"/>
    <w:rsid w:val="00CC439B"/>
    <w:rsid w:val="00CC4932"/>
    <w:rsid w:val="00CC4E9F"/>
    <w:rsid w:val="00CC4F9A"/>
    <w:rsid w:val="00CC50D7"/>
    <w:rsid w:val="00CC51D7"/>
    <w:rsid w:val="00CC56ED"/>
    <w:rsid w:val="00CC5A34"/>
    <w:rsid w:val="00CC5B74"/>
    <w:rsid w:val="00CC60FA"/>
    <w:rsid w:val="00CC6716"/>
    <w:rsid w:val="00CC6811"/>
    <w:rsid w:val="00CC6880"/>
    <w:rsid w:val="00CC6A71"/>
    <w:rsid w:val="00CC6FA7"/>
    <w:rsid w:val="00CC7832"/>
    <w:rsid w:val="00CC7A82"/>
    <w:rsid w:val="00CC7F9A"/>
    <w:rsid w:val="00CD0A3C"/>
    <w:rsid w:val="00CD0BF7"/>
    <w:rsid w:val="00CD11E5"/>
    <w:rsid w:val="00CD12BC"/>
    <w:rsid w:val="00CD1724"/>
    <w:rsid w:val="00CD189A"/>
    <w:rsid w:val="00CD1D46"/>
    <w:rsid w:val="00CD1F4C"/>
    <w:rsid w:val="00CD24A6"/>
    <w:rsid w:val="00CD3858"/>
    <w:rsid w:val="00CD3C53"/>
    <w:rsid w:val="00CD4619"/>
    <w:rsid w:val="00CD4824"/>
    <w:rsid w:val="00CD5486"/>
    <w:rsid w:val="00CD5AE4"/>
    <w:rsid w:val="00CD6744"/>
    <w:rsid w:val="00CD6764"/>
    <w:rsid w:val="00CD6A4B"/>
    <w:rsid w:val="00CD6A92"/>
    <w:rsid w:val="00CD6BF3"/>
    <w:rsid w:val="00CD6F57"/>
    <w:rsid w:val="00CD6FFA"/>
    <w:rsid w:val="00CD708C"/>
    <w:rsid w:val="00CD754E"/>
    <w:rsid w:val="00CD756C"/>
    <w:rsid w:val="00CD7E89"/>
    <w:rsid w:val="00CD7EA0"/>
    <w:rsid w:val="00CD7F87"/>
    <w:rsid w:val="00CE0097"/>
    <w:rsid w:val="00CE0A06"/>
    <w:rsid w:val="00CE0A42"/>
    <w:rsid w:val="00CE0C4A"/>
    <w:rsid w:val="00CE0D60"/>
    <w:rsid w:val="00CE0DDD"/>
    <w:rsid w:val="00CE15D6"/>
    <w:rsid w:val="00CE17DF"/>
    <w:rsid w:val="00CE1C20"/>
    <w:rsid w:val="00CE1D32"/>
    <w:rsid w:val="00CE2216"/>
    <w:rsid w:val="00CE2580"/>
    <w:rsid w:val="00CE2738"/>
    <w:rsid w:val="00CE2C87"/>
    <w:rsid w:val="00CE35A3"/>
    <w:rsid w:val="00CE3656"/>
    <w:rsid w:val="00CE3DDC"/>
    <w:rsid w:val="00CE404E"/>
    <w:rsid w:val="00CE4137"/>
    <w:rsid w:val="00CE41C7"/>
    <w:rsid w:val="00CE4327"/>
    <w:rsid w:val="00CE4669"/>
    <w:rsid w:val="00CE4833"/>
    <w:rsid w:val="00CE48D2"/>
    <w:rsid w:val="00CE4EAE"/>
    <w:rsid w:val="00CE534E"/>
    <w:rsid w:val="00CE56AD"/>
    <w:rsid w:val="00CE56FD"/>
    <w:rsid w:val="00CE5811"/>
    <w:rsid w:val="00CE66B8"/>
    <w:rsid w:val="00CE6CC6"/>
    <w:rsid w:val="00CE7079"/>
    <w:rsid w:val="00CE715B"/>
    <w:rsid w:val="00CE7204"/>
    <w:rsid w:val="00CE73CA"/>
    <w:rsid w:val="00CE73EE"/>
    <w:rsid w:val="00CE7A5B"/>
    <w:rsid w:val="00CE7C97"/>
    <w:rsid w:val="00CE7DD6"/>
    <w:rsid w:val="00CE7E82"/>
    <w:rsid w:val="00CF002B"/>
    <w:rsid w:val="00CF046A"/>
    <w:rsid w:val="00CF10E6"/>
    <w:rsid w:val="00CF18C4"/>
    <w:rsid w:val="00CF1A38"/>
    <w:rsid w:val="00CF1E17"/>
    <w:rsid w:val="00CF219B"/>
    <w:rsid w:val="00CF2266"/>
    <w:rsid w:val="00CF284A"/>
    <w:rsid w:val="00CF2A71"/>
    <w:rsid w:val="00CF2F3B"/>
    <w:rsid w:val="00CF3B5C"/>
    <w:rsid w:val="00CF4536"/>
    <w:rsid w:val="00CF4ABD"/>
    <w:rsid w:val="00CF4B31"/>
    <w:rsid w:val="00CF4E5E"/>
    <w:rsid w:val="00CF4F19"/>
    <w:rsid w:val="00CF4F2B"/>
    <w:rsid w:val="00CF513F"/>
    <w:rsid w:val="00CF562C"/>
    <w:rsid w:val="00CF584A"/>
    <w:rsid w:val="00CF6580"/>
    <w:rsid w:val="00CF6738"/>
    <w:rsid w:val="00CF687A"/>
    <w:rsid w:val="00CF6A15"/>
    <w:rsid w:val="00CF7109"/>
    <w:rsid w:val="00CF75E4"/>
    <w:rsid w:val="00CF78F4"/>
    <w:rsid w:val="00CF7C1F"/>
    <w:rsid w:val="00CF7FD8"/>
    <w:rsid w:val="00D005C5"/>
    <w:rsid w:val="00D006BF"/>
    <w:rsid w:val="00D0098A"/>
    <w:rsid w:val="00D00A73"/>
    <w:rsid w:val="00D00DAD"/>
    <w:rsid w:val="00D00DBA"/>
    <w:rsid w:val="00D01189"/>
    <w:rsid w:val="00D01792"/>
    <w:rsid w:val="00D01D60"/>
    <w:rsid w:val="00D02252"/>
    <w:rsid w:val="00D02574"/>
    <w:rsid w:val="00D028BA"/>
    <w:rsid w:val="00D02920"/>
    <w:rsid w:val="00D0295F"/>
    <w:rsid w:val="00D02A2B"/>
    <w:rsid w:val="00D03160"/>
    <w:rsid w:val="00D031A3"/>
    <w:rsid w:val="00D0331D"/>
    <w:rsid w:val="00D03391"/>
    <w:rsid w:val="00D0359B"/>
    <w:rsid w:val="00D03D93"/>
    <w:rsid w:val="00D03DC9"/>
    <w:rsid w:val="00D0483A"/>
    <w:rsid w:val="00D04949"/>
    <w:rsid w:val="00D04AC7"/>
    <w:rsid w:val="00D04C46"/>
    <w:rsid w:val="00D05193"/>
    <w:rsid w:val="00D0519D"/>
    <w:rsid w:val="00D0535F"/>
    <w:rsid w:val="00D05673"/>
    <w:rsid w:val="00D05A44"/>
    <w:rsid w:val="00D05EFC"/>
    <w:rsid w:val="00D06452"/>
    <w:rsid w:val="00D0650D"/>
    <w:rsid w:val="00D0699C"/>
    <w:rsid w:val="00D06BAE"/>
    <w:rsid w:val="00D06F4C"/>
    <w:rsid w:val="00D076BB"/>
    <w:rsid w:val="00D079B6"/>
    <w:rsid w:val="00D10296"/>
    <w:rsid w:val="00D10B7F"/>
    <w:rsid w:val="00D1128B"/>
    <w:rsid w:val="00D113B8"/>
    <w:rsid w:val="00D113C8"/>
    <w:rsid w:val="00D11793"/>
    <w:rsid w:val="00D11876"/>
    <w:rsid w:val="00D11AFC"/>
    <w:rsid w:val="00D11C81"/>
    <w:rsid w:val="00D11DFF"/>
    <w:rsid w:val="00D11F4B"/>
    <w:rsid w:val="00D11F65"/>
    <w:rsid w:val="00D1251C"/>
    <w:rsid w:val="00D1278A"/>
    <w:rsid w:val="00D128C2"/>
    <w:rsid w:val="00D12A4E"/>
    <w:rsid w:val="00D12DC7"/>
    <w:rsid w:val="00D131A8"/>
    <w:rsid w:val="00D1388A"/>
    <w:rsid w:val="00D13A73"/>
    <w:rsid w:val="00D13D6B"/>
    <w:rsid w:val="00D13E3C"/>
    <w:rsid w:val="00D141B4"/>
    <w:rsid w:val="00D1420C"/>
    <w:rsid w:val="00D143D9"/>
    <w:rsid w:val="00D1451D"/>
    <w:rsid w:val="00D1497A"/>
    <w:rsid w:val="00D14BAF"/>
    <w:rsid w:val="00D14BFD"/>
    <w:rsid w:val="00D14D7A"/>
    <w:rsid w:val="00D1529C"/>
    <w:rsid w:val="00D1564B"/>
    <w:rsid w:val="00D158B0"/>
    <w:rsid w:val="00D15C3B"/>
    <w:rsid w:val="00D16328"/>
    <w:rsid w:val="00D16737"/>
    <w:rsid w:val="00D16915"/>
    <w:rsid w:val="00D16D5E"/>
    <w:rsid w:val="00D16ED4"/>
    <w:rsid w:val="00D1719E"/>
    <w:rsid w:val="00D171FF"/>
    <w:rsid w:val="00D1778A"/>
    <w:rsid w:val="00D17994"/>
    <w:rsid w:val="00D17A91"/>
    <w:rsid w:val="00D17BB4"/>
    <w:rsid w:val="00D17D29"/>
    <w:rsid w:val="00D2007F"/>
    <w:rsid w:val="00D2072C"/>
    <w:rsid w:val="00D20A85"/>
    <w:rsid w:val="00D2113C"/>
    <w:rsid w:val="00D211B6"/>
    <w:rsid w:val="00D213EB"/>
    <w:rsid w:val="00D21BC5"/>
    <w:rsid w:val="00D21D37"/>
    <w:rsid w:val="00D220F9"/>
    <w:rsid w:val="00D22997"/>
    <w:rsid w:val="00D23408"/>
    <w:rsid w:val="00D234E9"/>
    <w:rsid w:val="00D235D9"/>
    <w:rsid w:val="00D2391F"/>
    <w:rsid w:val="00D23940"/>
    <w:rsid w:val="00D23C0C"/>
    <w:rsid w:val="00D23D89"/>
    <w:rsid w:val="00D2482A"/>
    <w:rsid w:val="00D24E2E"/>
    <w:rsid w:val="00D24F57"/>
    <w:rsid w:val="00D25223"/>
    <w:rsid w:val="00D25587"/>
    <w:rsid w:val="00D25BFD"/>
    <w:rsid w:val="00D25D87"/>
    <w:rsid w:val="00D26182"/>
    <w:rsid w:val="00D2630C"/>
    <w:rsid w:val="00D26549"/>
    <w:rsid w:val="00D2668D"/>
    <w:rsid w:val="00D2704D"/>
    <w:rsid w:val="00D2756C"/>
    <w:rsid w:val="00D276C3"/>
    <w:rsid w:val="00D27C62"/>
    <w:rsid w:val="00D30008"/>
    <w:rsid w:val="00D302D2"/>
    <w:rsid w:val="00D30BE0"/>
    <w:rsid w:val="00D30CAC"/>
    <w:rsid w:val="00D312D7"/>
    <w:rsid w:val="00D3144A"/>
    <w:rsid w:val="00D31618"/>
    <w:rsid w:val="00D3184F"/>
    <w:rsid w:val="00D318A9"/>
    <w:rsid w:val="00D31E1C"/>
    <w:rsid w:val="00D3255B"/>
    <w:rsid w:val="00D32570"/>
    <w:rsid w:val="00D32813"/>
    <w:rsid w:val="00D32AC8"/>
    <w:rsid w:val="00D32B77"/>
    <w:rsid w:val="00D32C26"/>
    <w:rsid w:val="00D32DB8"/>
    <w:rsid w:val="00D33146"/>
    <w:rsid w:val="00D3331A"/>
    <w:rsid w:val="00D33507"/>
    <w:rsid w:val="00D3360D"/>
    <w:rsid w:val="00D33734"/>
    <w:rsid w:val="00D33DBE"/>
    <w:rsid w:val="00D34200"/>
    <w:rsid w:val="00D34283"/>
    <w:rsid w:val="00D349A5"/>
    <w:rsid w:val="00D34A7B"/>
    <w:rsid w:val="00D3534B"/>
    <w:rsid w:val="00D354CF"/>
    <w:rsid w:val="00D3576C"/>
    <w:rsid w:val="00D357ED"/>
    <w:rsid w:val="00D35E0A"/>
    <w:rsid w:val="00D36589"/>
    <w:rsid w:val="00D367F1"/>
    <w:rsid w:val="00D36BB0"/>
    <w:rsid w:val="00D36CAF"/>
    <w:rsid w:val="00D36D86"/>
    <w:rsid w:val="00D36EEC"/>
    <w:rsid w:val="00D37763"/>
    <w:rsid w:val="00D379D6"/>
    <w:rsid w:val="00D37CAB"/>
    <w:rsid w:val="00D37DC6"/>
    <w:rsid w:val="00D4044F"/>
    <w:rsid w:val="00D40C7F"/>
    <w:rsid w:val="00D40D32"/>
    <w:rsid w:val="00D4112C"/>
    <w:rsid w:val="00D418B1"/>
    <w:rsid w:val="00D41FA2"/>
    <w:rsid w:val="00D42734"/>
    <w:rsid w:val="00D42D91"/>
    <w:rsid w:val="00D42DBD"/>
    <w:rsid w:val="00D42E68"/>
    <w:rsid w:val="00D430AF"/>
    <w:rsid w:val="00D43281"/>
    <w:rsid w:val="00D4341D"/>
    <w:rsid w:val="00D4346E"/>
    <w:rsid w:val="00D43503"/>
    <w:rsid w:val="00D4382E"/>
    <w:rsid w:val="00D43D08"/>
    <w:rsid w:val="00D440F3"/>
    <w:rsid w:val="00D44221"/>
    <w:rsid w:val="00D442FB"/>
    <w:rsid w:val="00D44356"/>
    <w:rsid w:val="00D445CB"/>
    <w:rsid w:val="00D447E3"/>
    <w:rsid w:val="00D44A83"/>
    <w:rsid w:val="00D44F5B"/>
    <w:rsid w:val="00D450FE"/>
    <w:rsid w:val="00D452C1"/>
    <w:rsid w:val="00D452D6"/>
    <w:rsid w:val="00D45697"/>
    <w:rsid w:val="00D45ED6"/>
    <w:rsid w:val="00D45F5F"/>
    <w:rsid w:val="00D464D7"/>
    <w:rsid w:val="00D464F5"/>
    <w:rsid w:val="00D47392"/>
    <w:rsid w:val="00D4764C"/>
    <w:rsid w:val="00D4783E"/>
    <w:rsid w:val="00D478B8"/>
    <w:rsid w:val="00D47C9F"/>
    <w:rsid w:val="00D47EF2"/>
    <w:rsid w:val="00D502D6"/>
    <w:rsid w:val="00D50356"/>
    <w:rsid w:val="00D5038C"/>
    <w:rsid w:val="00D504AB"/>
    <w:rsid w:val="00D50AD9"/>
    <w:rsid w:val="00D50C06"/>
    <w:rsid w:val="00D50F24"/>
    <w:rsid w:val="00D51051"/>
    <w:rsid w:val="00D51240"/>
    <w:rsid w:val="00D51542"/>
    <w:rsid w:val="00D51AB5"/>
    <w:rsid w:val="00D51DBF"/>
    <w:rsid w:val="00D51F59"/>
    <w:rsid w:val="00D521E4"/>
    <w:rsid w:val="00D52418"/>
    <w:rsid w:val="00D5268A"/>
    <w:rsid w:val="00D52C6B"/>
    <w:rsid w:val="00D53383"/>
    <w:rsid w:val="00D535EC"/>
    <w:rsid w:val="00D53602"/>
    <w:rsid w:val="00D53D3B"/>
    <w:rsid w:val="00D54064"/>
    <w:rsid w:val="00D54134"/>
    <w:rsid w:val="00D542AA"/>
    <w:rsid w:val="00D543BB"/>
    <w:rsid w:val="00D5468F"/>
    <w:rsid w:val="00D547F0"/>
    <w:rsid w:val="00D553ED"/>
    <w:rsid w:val="00D55625"/>
    <w:rsid w:val="00D55701"/>
    <w:rsid w:val="00D560E6"/>
    <w:rsid w:val="00D564B6"/>
    <w:rsid w:val="00D56794"/>
    <w:rsid w:val="00D56BB6"/>
    <w:rsid w:val="00D57186"/>
    <w:rsid w:val="00D571D3"/>
    <w:rsid w:val="00D57361"/>
    <w:rsid w:val="00D5741E"/>
    <w:rsid w:val="00D57597"/>
    <w:rsid w:val="00D57635"/>
    <w:rsid w:val="00D5779B"/>
    <w:rsid w:val="00D57B9C"/>
    <w:rsid w:val="00D57CEC"/>
    <w:rsid w:val="00D57EA7"/>
    <w:rsid w:val="00D57F48"/>
    <w:rsid w:val="00D60348"/>
    <w:rsid w:val="00D607B4"/>
    <w:rsid w:val="00D60D8D"/>
    <w:rsid w:val="00D60F66"/>
    <w:rsid w:val="00D61162"/>
    <w:rsid w:val="00D61201"/>
    <w:rsid w:val="00D612BA"/>
    <w:rsid w:val="00D61522"/>
    <w:rsid w:val="00D61776"/>
    <w:rsid w:val="00D617A3"/>
    <w:rsid w:val="00D61A7B"/>
    <w:rsid w:val="00D61C6E"/>
    <w:rsid w:val="00D61E34"/>
    <w:rsid w:val="00D622B5"/>
    <w:rsid w:val="00D62920"/>
    <w:rsid w:val="00D62927"/>
    <w:rsid w:val="00D6293B"/>
    <w:rsid w:val="00D629EA"/>
    <w:rsid w:val="00D62A63"/>
    <w:rsid w:val="00D62AD9"/>
    <w:rsid w:val="00D63055"/>
    <w:rsid w:val="00D63B4F"/>
    <w:rsid w:val="00D63BBB"/>
    <w:rsid w:val="00D63F06"/>
    <w:rsid w:val="00D64321"/>
    <w:rsid w:val="00D64355"/>
    <w:rsid w:val="00D6543B"/>
    <w:rsid w:val="00D65447"/>
    <w:rsid w:val="00D65FDF"/>
    <w:rsid w:val="00D66B1F"/>
    <w:rsid w:val="00D66C99"/>
    <w:rsid w:val="00D66D4A"/>
    <w:rsid w:val="00D66E60"/>
    <w:rsid w:val="00D66EDF"/>
    <w:rsid w:val="00D66EE0"/>
    <w:rsid w:val="00D6718B"/>
    <w:rsid w:val="00D6777C"/>
    <w:rsid w:val="00D67906"/>
    <w:rsid w:val="00D70596"/>
    <w:rsid w:val="00D70597"/>
    <w:rsid w:val="00D705EA"/>
    <w:rsid w:val="00D70BFE"/>
    <w:rsid w:val="00D7119E"/>
    <w:rsid w:val="00D714AA"/>
    <w:rsid w:val="00D714B8"/>
    <w:rsid w:val="00D715B1"/>
    <w:rsid w:val="00D7176D"/>
    <w:rsid w:val="00D71780"/>
    <w:rsid w:val="00D71809"/>
    <w:rsid w:val="00D71A35"/>
    <w:rsid w:val="00D71AEC"/>
    <w:rsid w:val="00D72569"/>
    <w:rsid w:val="00D72788"/>
    <w:rsid w:val="00D72AE9"/>
    <w:rsid w:val="00D72B2D"/>
    <w:rsid w:val="00D72F7D"/>
    <w:rsid w:val="00D72FCB"/>
    <w:rsid w:val="00D73CE9"/>
    <w:rsid w:val="00D74683"/>
    <w:rsid w:val="00D74AEF"/>
    <w:rsid w:val="00D74E1D"/>
    <w:rsid w:val="00D751A5"/>
    <w:rsid w:val="00D7554D"/>
    <w:rsid w:val="00D75652"/>
    <w:rsid w:val="00D75BBF"/>
    <w:rsid w:val="00D75C6A"/>
    <w:rsid w:val="00D75E7D"/>
    <w:rsid w:val="00D75F0A"/>
    <w:rsid w:val="00D7606E"/>
    <w:rsid w:val="00D763F6"/>
    <w:rsid w:val="00D7649F"/>
    <w:rsid w:val="00D7654D"/>
    <w:rsid w:val="00D765D7"/>
    <w:rsid w:val="00D766C9"/>
    <w:rsid w:val="00D76AFD"/>
    <w:rsid w:val="00D77405"/>
    <w:rsid w:val="00D77B8B"/>
    <w:rsid w:val="00D77C19"/>
    <w:rsid w:val="00D77E3B"/>
    <w:rsid w:val="00D8034F"/>
    <w:rsid w:val="00D80672"/>
    <w:rsid w:val="00D806E7"/>
    <w:rsid w:val="00D8081A"/>
    <w:rsid w:val="00D80982"/>
    <w:rsid w:val="00D80BBE"/>
    <w:rsid w:val="00D80FB0"/>
    <w:rsid w:val="00D81062"/>
    <w:rsid w:val="00D8133E"/>
    <w:rsid w:val="00D81E53"/>
    <w:rsid w:val="00D820D8"/>
    <w:rsid w:val="00D82369"/>
    <w:rsid w:val="00D827BD"/>
    <w:rsid w:val="00D82825"/>
    <w:rsid w:val="00D829C7"/>
    <w:rsid w:val="00D82C1A"/>
    <w:rsid w:val="00D82DDE"/>
    <w:rsid w:val="00D83061"/>
    <w:rsid w:val="00D83085"/>
    <w:rsid w:val="00D832BA"/>
    <w:rsid w:val="00D83347"/>
    <w:rsid w:val="00D838F0"/>
    <w:rsid w:val="00D83AF7"/>
    <w:rsid w:val="00D83D47"/>
    <w:rsid w:val="00D83EDA"/>
    <w:rsid w:val="00D85144"/>
    <w:rsid w:val="00D851B2"/>
    <w:rsid w:val="00D855E4"/>
    <w:rsid w:val="00D86700"/>
    <w:rsid w:val="00D867C4"/>
    <w:rsid w:val="00D869CF"/>
    <w:rsid w:val="00D86A39"/>
    <w:rsid w:val="00D86B65"/>
    <w:rsid w:val="00D86D1C"/>
    <w:rsid w:val="00D86DCC"/>
    <w:rsid w:val="00D874B9"/>
    <w:rsid w:val="00D87668"/>
    <w:rsid w:val="00D8775D"/>
    <w:rsid w:val="00D879E3"/>
    <w:rsid w:val="00D87A9A"/>
    <w:rsid w:val="00D901F4"/>
    <w:rsid w:val="00D90413"/>
    <w:rsid w:val="00D905D8"/>
    <w:rsid w:val="00D90653"/>
    <w:rsid w:val="00D917A3"/>
    <w:rsid w:val="00D91F7C"/>
    <w:rsid w:val="00D92A36"/>
    <w:rsid w:val="00D92B70"/>
    <w:rsid w:val="00D92FDA"/>
    <w:rsid w:val="00D930D4"/>
    <w:rsid w:val="00D93311"/>
    <w:rsid w:val="00D9335F"/>
    <w:rsid w:val="00D936C9"/>
    <w:rsid w:val="00D9384F"/>
    <w:rsid w:val="00D93AB4"/>
    <w:rsid w:val="00D93E8B"/>
    <w:rsid w:val="00D94126"/>
    <w:rsid w:val="00D943C5"/>
    <w:rsid w:val="00D946C1"/>
    <w:rsid w:val="00D947C2"/>
    <w:rsid w:val="00D9494D"/>
    <w:rsid w:val="00D94B4C"/>
    <w:rsid w:val="00D94E4B"/>
    <w:rsid w:val="00D956DF"/>
    <w:rsid w:val="00D95774"/>
    <w:rsid w:val="00D95926"/>
    <w:rsid w:val="00D95A6C"/>
    <w:rsid w:val="00D95B74"/>
    <w:rsid w:val="00D95B88"/>
    <w:rsid w:val="00D95D10"/>
    <w:rsid w:val="00D95E92"/>
    <w:rsid w:val="00D95FDF"/>
    <w:rsid w:val="00D967FD"/>
    <w:rsid w:val="00D969E6"/>
    <w:rsid w:val="00D969EE"/>
    <w:rsid w:val="00D974B7"/>
    <w:rsid w:val="00D97516"/>
    <w:rsid w:val="00D975D0"/>
    <w:rsid w:val="00D97CFB"/>
    <w:rsid w:val="00DA0081"/>
    <w:rsid w:val="00DA03BC"/>
    <w:rsid w:val="00DA0859"/>
    <w:rsid w:val="00DA09FB"/>
    <w:rsid w:val="00DA0B48"/>
    <w:rsid w:val="00DA0D14"/>
    <w:rsid w:val="00DA16C4"/>
    <w:rsid w:val="00DA1792"/>
    <w:rsid w:val="00DA1A2F"/>
    <w:rsid w:val="00DA1A41"/>
    <w:rsid w:val="00DA1AA5"/>
    <w:rsid w:val="00DA1D69"/>
    <w:rsid w:val="00DA1E77"/>
    <w:rsid w:val="00DA2489"/>
    <w:rsid w:val="00DA25CE"/>
    <w:rsid w:val="00DA28CE"/>
    <w:rsid w:val="00DA2B49"/>
    <w:rsid w:val="00DA30DF"/>
    <w:rsid w:val="00DA3435"/>
    <w:rsid w:val="00DA382B"/>
    <w:rsid w:val="00DA42A2"/>
    <w:rsid w:val="00DA440D"/>
    <w:rsid w:val="00DA47AD"/>
    <w:rsid w:val="00DA4857"/>
    <w:rsid w:val="00DA4A61"/>
    <w:rsid w:val="00DA4CDD"/>
    <w:rsid w:val="00DA51E3"/>
    <w:rsid w:val="00DA5461"/>
    <w:rsid w:val="00DA54A8"/>
    <w:rsid w:val="00DA5656"/>
    <w:rsid w:val="00DA5914"/>
    <w:rsid w:val="00DA5C93"/>
    <w:rsid w:val="00DA636E"/>
    <w:rsid w:val="00DA63F0"/>
    <w:rsid w:val="00DA6FEC"/>
    <w:rsid w:val="00DA72EF"/>
    <w:rsid w:val="00DA74BB"/>
    <w:rsid w:val="00DA78E5"/>
    <w:rsid w:val="00DA7A9B"/>
    <w:rsid w:val="00DA7E44"/>
    <w:rsid w:val="00DA7F81"/>
    <w:rsid w:val="00DB02B8"/>
    <w:rsid w:val="00DB063E"/>
    <w:rsid w:val="00DB0925"/>
    <w:rsid w:val="00DB093F"/>
    <w:rsid w:val="00DB0A20"/>
    <w:rsid w:val="00DB0A37"/>
    <w:rsid w:val="00DB0D67"/>
    <w:rsid w:val="00DB1243"/>
    <w:rsid w:val="00DB12DB"/>
    <w:rsid w:val="00DB147E"/>
    <w:rsid w:val="00DB1593"/>
    <w:rsid w:val="00DB17F7"/>
    <w:rsid w:val="00DB20C7"/>
    <w:rsid w:val="00DB20FF"/>
    <w:rsid w:val="00DB2198"/>
    <w:rsid w:val="00DB24E2"/>
    <w:rsid w:val="00DB2A51"/>
    <w:rsid w:val="00DB30F3"/>
    <w:rsid w:val="00DB3350"/>
    <w:rsid w:val="00DB3429"/>
    <w:rsid w:val="00DB3D84"/>
    <w:rsid w:val="00DB4168"/>
    <w:rsid w:val="00DB41F2"/>
    <w:rsid w:val="00DB4337"/>
    <w:rsid w:val="00DB48C5"/>
    <w:rsid w:val="00DB4BC7"/>
    <w:rsid w:val="00DB510C"/>
    <w:rsid w:val="00DB510F"/>
    <w:rsid w:val="00DB530C"/>
    <w:rsid w:val="00DB56C9"/>
    <w:rsid w:val="00DB5AE2"/>
    <w:rsid w:val="00DB5C91"/>
    <w:rsid w:val="00DB6C33"/>
    <w:rsid w:val="00DB74A0"/>
    <w:rsid w:val="00DB7578"/>
    <w:rsid w:val="00DB7B5E"/>
    <w:rsid w:val="00DB7D5B"/>
    <w:rsid w:val="00DB7FD4"/>
    <w:rsid w:val="00DC0BC6"/>
    <w:rsid w:val="00DC1083"/>
    <w:rsid w:val="00DC1760"/>
    <w:rsid w:val="00DC19AB"/>
    <w:rsid w:val="00DC20E0"/>
    <w:rsid w:val="00DC23D4"/>
    <w:rsid w:val="00DC2BD2"/>
    <w:rsid w:val="00DC37D6"/>
    <w:rsid w:val="00DC451C"/>
    <w:rsid w:val="00DC4783"/>
    <w:rsid w:val="00DC4BEF"/>
    <w:rsid w:val="00DC4D88"/>
    <w:rsid w:val="00DC5972"/>
    <w:rsid w:val="00DC5BAB"/>
    <w:rsid w:val="00DC5C00"/>
    <w:rsid w:val="00DC6104"/>
    <w:rsid w:val="00DC64F2"/>
    <w:rsid w:val="00DC668A"/>
    <w:rsid w:val="00DC66E9"/>
    <w:rsid w:val="00DC7148"/>
    <w:rsid w:val="00DC723F"/>
    <w:rsid w:val="00DC74F7"/>
    <w:rsid w:val="00DC7960"/>
    <w:rsid w:val="00DC79E5"/>
    <w:rsid w:val="00DD017C"/>
    <w:rsid w:val="00DD01C3"/>
    <w:rsid w:val="00DD0226"/>
    <w:rsid w:val="00DD0BC1"/>
    <w:rsid w:val="00DD0BCA"/>
    <w:rsid w:val="00DD15A3"/>
    <w:rsid w:val="00DD1817"/>
    <w:rsid w:val="00DD1B74"/>
    <w:rsid w:val="00DD1E25"/>
    <w:rsid w:val="00DD1E7E"/>
    <w:rsid w:val="00DD214F"/>
    <w:rsid w:val="00DD252F"/>
    <w:rsid w:val="00DD2752"/>
    <w:rsid w:val="00DD2B93"/>
    <w:rsid w:val="00DD2D1B"/>
    <w:rsid w:val="00DD2E12"/>
    <w:rsid w:val="00DD36F1"/>
    <w:rsid w:val="00DD3BFC"/>
    <w:rsid w:val="00DD3D07"/>
    <w:rsid w:val="00DD4128"/>
    <w:rsid w:val="00DD41B3"/>
    <w:rsid w:val="00DD453B"/>
    <w:rsid w:val="00DD4A2D"/>
    <w:rsid w:val="00DD4F62"/>
    <w:rsid w:val="00DD4FF9"/>
    <w:rsid w:val="00DD52F8"/>
    <w:rsid w:val="00DD56CF"/>
    <w:rsid w:val="00DD5878"/>
    <w:rsid w:val="00DD5AF5"/>
    <w:rsid w:val="00DD5CC1"/>
    <w:rsid w:val="00DD5E87"/>
    <w:rsid w:val="00DD600F"/>
    <w:rsid w:val="00DD601C"/>
    <w:rsid w:val="00DD6613"/>
    <w:rsid w:val="00DD69C9"/>
    <w:rsid w:val="00DD6B2A"/>
    <w:rsid w:val="00DD76A7"/>
    <w:rsid w:val="00DD791C"/>
    <w:rsid w:val="00DD7CF3"/>
    <w:rsid w:val="00DE0131"/>
    <w:rsid w:val="00DE0139"/>
    <w:rsid w:val="00DE0360"/>
    <w:rsid w:val="00DE0450"/>
    <w:rsid w:val="00DE0DFE"/>
    <w:rsid w:val="00DE0E38"/>
    <w:rsid w:val="00DE0E61"/>
    <w:rsid w:val="00DE15AF"/>
    <w:rsid w:val="00DE1844"/>
    <w:rsid w:val="00DE1921"/>
    <w:rsid w:val="00DE199B"/>
    <w:rsid w:val="00DE1BBF"/>
    <w:rsid w:val="00DE1E95"/>
    <w:rsid w:val="00DE1EA7"/>
    <w:rsid w:val="00DE220F"/>
    <w:rsid w:val="00DE2CEA"/>
    <w:rsid w:val="00DE35B2"/>
    <w:rsid w:val="00DE3621"/>
    <w:rsid w:val="00DE364B"/>
    <w:rsid w:val="00DE3912"/>
    <w:rsid w:val="00DE3DA0"/>
    <w:rsid w:val="00DE43DC"/>
    <w:rsid w:val="00DE4498"/>
    <w:rsid w:val="00DE451D"/>
    <w:rsid w:val="00DE46D0"/>
    <w:rsid w:val="00DE480C"/>
    <w:rsid w:val="00DE485C"/>
    <w:rsid w:val="00DE4A28"/>
    <w:rsid w:val="00DE4A84"/>
    <w:rsid w:val="00DE4CC0"/>
    <w:rsid w:val="00DE4FDF"/>
    <w:rsid w:val="00DE517B"/>
    <w:rsid w:val="00DE5530"/>
    <w:rsid w:val="00DE59E8"/>
    <w:rsid w:val="00DE5FA6"/>
    <w:rsid w:val="00DE6106"/>
    <w:rsid w:val="00DE643F"/>
    <w:rsid w:val="00DE6522"/>
    <w:rsid w:val="00DE6888"/>
    <w:rsid w:val="00DE6C9B"/>
    <w:rsid w:val="00DE6E8F"/>
    <w:rsid w:val="00DE75DF"/>
    <w:rsid w:val="00DE769A"/>
    <w:rsid w:val="00DE76AA"/>
    <w:rsid w:val="00DE7E68"/>
    <w:rsid w:val="00DF03E2"/>
    <w:rsid w:val="00DF0475"/>
    <w:rsid w:val="00DF04E0"/>
    <w:rsid w:val="00DF090E"/>
    <w:rsid w:val="00DF0E83"/>
    <w:rsid w:val="00DF0FC3"/>
    <w:rsid w:val="00DF12A4"/>
    <w:rsid w:val="00DF16E3"/>
    <w:rsid w:val="00DF1D03"/>
    <w:rsid w:val="00DF1EF5"/>
    <w:rsid w:val="00DF204F"/>
    <w:rsid w:val="00DF2474"/>
    <w:rsid w:val="00DF24A8"/>
    <w:rsid w:val="00DF2567"/>
    <w:rsid w:val="00DF289D"/>
    <w:rsid w:val="00DF28AA"/>
    <w:rsid w:val="00DF297A"/>
    <w:rsid w:val="00DF3011"/>
    <w:rsid w:val="00DF32CA"/>
    <w:rsid w:val="00DF3742"/>
    <w:rsid w:val="00DF3AFD"/>
    <w:rsid w:val="00DF3B2F"/>
    <w:rsid w:val="00DF3E7D"/>
    <w:rsid w:val="00DF3EA4"/>
    <w:rsid w:val="00DF3F67"/>
    <w:rsid w:val="00DF4212"/>
    <w:rsid w:val="00DF4215"/>
    <w:rsid w:val="00DF42E1"/>
    <w:rsid w:val="00DF4B0A"/>
    <w:rsid w:val="00DF4BC5"/>
    <w:rsid w:val="00DF4E56"/>
    <w:rsid w:val="00DF5228"/>
    <w:rsid w:val="00DF5451"/>
    <w:rsid w:val="00DF56FF"/>
    <w:rsid w:val="00DF5748"/>
    <w:rsid w:val="00DF5C16"/>
    <w:rsid w:val="00DF6002"/>
    <w:rsid w:val="00DF628E"/>
    <w:rsid w:val="00DF6BBD"/>
    <w:rsid w:val="00DF6BCB"/>
    <w:rsid w:val="00DF6BF2"/>
    <w:rsid w:val="00DF6E63"/>
    <w:rsid w:val="00DF7074"/>
    <w:rsid w:val="00E00990"/>
    <w:rsid w:val="00E00A1C"/>
    <w:rsid w:val="00E00AB5"/>
    <w:rsid w:val="00E00B81"/>
    <w:rsid w:val="00E00C6E"/>
    <w:rsid w:val="00E00FF8"/>
    <w:rsid w:val="00E01CD3"/>
    <w:rsid w:val="00E02199"/>
    <w:rsid w:val="00E025CB"/>
    <w:rsid w:val="00E027A5"/>
    <w:rsid w:val="00E0299D"/>
    <w:rsid w:val="00E02AF7"/>
    <w:rsid w:val="00E02F48"/>
    <w:rsid w:val="00E033AD"/>
    <w:rsid w:val="00E0385F"/>
    <w:rsid w:val="00E039C8"/>
    <w:rsid w:val="00E039D8"/>
    <w:rsid w:val="00E0431D"/>
    <w:rsid w:val="00E0464B"/>
    <w:rsid w:val="00E0481F"/>
    <w:rsid w:val="00E04AAE"/>
    <w:rsid w:val="00E04BD8"/>
    <w:rsid w:val="00E04CE3"/>
    <w:rsid w:val="00E05242"/>
    <w:rsid w:val="00E05301"/>
    <w:rsid w:val="00E05B43"/>
    <w:rsid w:val="00E05D10"/>
    <w:rsid w:val="00E05FB1"/>
    <w:rsid w:val="00E0606F"/>
    <w:rsid w:val="00E0643A"/>
    <w:rsid w:val="00E07181"/>
    <w:rsid w:val="00E07724"/>
    <w:rsid w:val="00E07840"/>
    <w:rsid w:val="00E07952"/>
    <w:rsid w:val="00E07F8C"/>
    <w:rsid w:val="00E10202"/>
    <w:rsid w:val="00E102DE"/>
    <w:rsid w:val="00E103EC"/>
    <w:rsid w:val="00E10642"/>
    <w:rsid w:val="00E10D8B"/>
    <w:rsid w:val="00E10E72"/>
    <w:rsid w:val="00E11D28"/>
    <w:rsid w:val="00E12055"/>
    <w:rsid w:val="00E128A8"/>
    <w:rsid w:val="00E12EB6"/>
    <w:rsid w:val="00E12F54"/>
    <w:rsid w:val="00E130BC"/>
    <w:rsid w:val="00E13211"/>
    <w:rsid w:val="00E132C7"/>
    <w:rsid w:val="00E1362C"/>
    <w:rsid w:val="00E13631"/>
    <w:rsid w:val="00E13CFF"/>
    <w:rsid w:val="00E13EC2"/>
    <w:rsid w:val="00E13EEB"/>
    <w:rsid w:val="00E13F28"/>
    <w:rsid w:val="00E140B0"/>
    <w:rsid w:val="00E1421A"/>
    <w:rsid w:val="00E14288"/>
    <w:rsid w:val="00E143CF"/>
    <w:rsid w:val="00E14456"/>
    <w:rsid w:val="00E1499A"/>
    <w:rsid w:val="00E14F35"/>
    <w:rsid w:val="00E157F0"/>
    <w:rsid w:val="00E16056"/>
    <w:rsid w:val="00E16363"/>
    <w:rsid w:val="00E163B1"/>
    <w:rsid w:val="00E16548"/>
    <w:rsid w:val="00E166A1"/>
    <w:rsid w:val="00E16766"/>
    <w:rsid w:val="00E16805"/>
    <w:rsid w:val="00E16CDB"/>
    <w:rsid w:val="00E16CF2"/>
    <w:rsid w:val="00E170B3"/>
    <w:rsid w:val="00E170FD"/>
    <w:rsid w:val="00E1742B"/>
    <w:rsid w:val="00E17502"/>
    <w:rsid w:val="00E17954"/>
    <w:rsid w:val="00E17BE6"/>
    <w:rsid w:val="00E17D97"/>
    <w:rsid w:val="00E2011E"/>
    <w:rsid w:val="00E20407"/>
    <w:rsid w:val="00E204B3"/>
    <w:rsid w:val="00E205BA"/>
    <w:rsid w:val="00E2097D"/>
    <w:rsid w:val="00E20988"/>
    <w:rsid w:val="00E209EF"/>
    <w:rsid w:val="00E20D27"/>
    <w:rsid w:val="00E20D2E"/>
    <w:rsid w:val="00E20EFE"/>
    <w:rsid w:val="00E210F4"/>
    <w:rsid w:val="00E215A7"/>
    <w:rsid w:val="00E2198C"/>
    <w:rsid w:val="00E21F59"/>
    <w:rsid w:val="00E22624"/>
    <w:rsid w:val="00E22669"/>
    <w:rsid w:val="00E22A36"/>
    <w:rsid w:val="00E22DB5"/>
    <w:rsid w:val="00E230C5"/>
    <w:rsid w:val="00E2321A"/>
    <w:rsid w:val="00E24296"/>
    <w:rsid w:val="00E24E6D"/>
    <w:rsid w:val="00E25E23"/>
    <w:rsid w:val="00E26274"/>
    <w:rsid w:val="00E26297"/>
    <w:rsid w:val="00E26301"/>
    <w:rsid w:val="00E263FC"/>
    <w:rsid w:val="00E266AF"/>
    <w:rsid w:val="00E2687A"/>
    <w:rsid w:val="00E2760E"/>
    <w:rsid w:val="00E27640"/>
    <w:rsid w:val="00E2796B"/>
    <w:rsid w:val="00E279BD"/>
    <w:rsid w:val="00E27E49"/>
    <w:rsid w:val="00E30117"/>
    <w:rsid w:val="00E30A67"/>
    <w:rsid w:val="00E30B1F"/>
    <w:rsid w:val="00E30B7F"/>
    <w:rsid w:val="00E30E28"/>
    <w:rsid w:val="00E310D5"/>
    <w:rsid w:val="00E311AE"/>
    <w:rsid w:val="00E313B7"/>
    <w:rsid w:val="00E3151E"/>
    <w:rsid w:val="00E3173A"/>
    <w:rsid w:val="00E318A8"/>
    <w:rsid w:val="00E31C25"/>
    <w:rsid w:val="00E31CA4"/>
    <w:rsid w:val="00E31E34"/>
    <w:rsid w:val="00E32260"/>
    <w:rsid w:val="00E322F7"/>
    <w:rsid w:val="00E3266E"/>
    <w:rsid w:val="00E32843"/>
    <w:rsid w:val="00E32B6C"/>
    <w:rsid w:val="00E33213"/>
    <w:rsid w:val="00E33245"/>
    <w:rsid w:val="00E333FC"/>
    <w:rsid w:val="00E33491"/>
    <w:rsid w:val="00E33B0D"/>
    <w:rsid w:val="00E33EEC"/>
    <w:rsid w:val="00E3440A"/>
    <w:rsid w:val="00E3482B"/>
    <w:rsid w:val="00E34F2A"/>
    <w:rsid w:val="00E34F50"/>
    <w:rsid w:val="00E35020"/>
    <w:rsid w:val="00E3547E"/>
    <w:rsid w:val="00E35784"/>
    <w:rsid w:val="00E35B18"/>
    <w:rsid w:val="00E362C0"/>
    <w:rsid w:val="00E36505"/>
    <w:rsid w:val="00E365B4"/>
    <w:rsid w:val="00E365BD"/>
    <w:rsid w:val="00E36ABB"/>
    <w:rsid w:val="00E36BA0"/>
    <w:rsid w:val="00E37420"/>
    <w:rsid w:val="00E375D0"/>
    <w:rsid w:val="00E376BA"/>
    <w:rsid w:val="00E377E7"/>
    <w:rsid w:val="00E378AD"/>
    <w:rsid w:val="00E37933"/>
    <w:rsid w:val="00E37ED8"/>
    <w:rsid w:val="00E410B0"/>
    <w:rsid w:val="00E4173C"/>
    <w:rsid w:val="00E41788"/>
    <w:rsid w:val="00E41A1F"/>
    <w:rsid w:val="00E421CA"/>
    <w:rsid w:val="00E42A0B"/>
    <w:rsid w:val="00E42A30"/>
    <w:rsid w:val="00E42C27"/>
    <w:rsid w:val="00E42C46"/>
    <w:rsid w:val="00E42ED4"/>
    <w:rsid w:val="00E437A7"/>
    <w:rsid w:val="00E43B90"/>
    <w:rsid w:val="00E448F4"/>
    <w:rsid w:val="00E45326"/>
    <w:rsid w:val="00E454B8"/>
    <w:rsid w:val="00E456EB"/>
    <w:rsid w:val="00E459E9"/>
    <w:rsid w:val="00E45D4D"/>
    <w:rsid w:val="00E45E69"/>
    <w:rsid w:val="00E46172"/>
    <w:rsid w:val="00E463C2"/>
    <w:rsid w:val="00E463CF"/>
    <w:rsid w:val="00E473EE"/>
    <w:rsid w:val="00E50184"/>
    <w:rsid w:val="00E50665"/>
    <w:rsid w:val="00E5075D"/>
    <w:rsid w:val="00E507D6"/>
    <w:rsid w:val="00E508E2"/>
    <w:rsid w:val="00E50B42"/>
    <w:rsid w:val="00E50E64"/>
    <w:rsid w:val="00E510D4"/>
    <w:rsid w:val="00E51270"/>
    <w:rsid w:val="00E5128E"/>
    <w:rsid w:val="00E51292"/>
    <w:rsid w:val="00E51347"/>
    <w:rsid w:val="00E51618"/>
    <w:rsid w:val="00E51625"/>
    <w:rsid w:val="00E5170C"/>
    <w:rsid w:val="00E51C42"/>
    <w:rsid w:val="00E52090"/>
    <w:rsid w:val="00E52557"/>
    <w:rsid w:val="00E52BCB"/>
    <w:rsid w:val="00E52BFB"/>
    <w:rsid w:val="00E52C7C"/>
    <w:rsid w:val="00E52D01"/>
    <w:rsid w:val="00E52D6B"/>
    <w:rsid w:val="00E52FE5"/>
    <w:rsid w:val="00E53451"/>
    <w:rsid w:val="00E53B58"/>
    <w:rsid w:val="00E54312"/>
    <w:rsid w:val="00E543D0"/>
    <w:rsid w:val="00E54415"/>
    <w:rsid w:val="00E547EF"/>
    <w:rsid w:val="00E55318"/>
    <w:rsid w:val="00E55CB4"/>
    <w:rsid w:val="00E55DA1"/>
    <w:rsid w:val="00E5605D"/>
    <w:rsid w:val="00E564E0"/>
    <w:rsid w:val="00E5650F"/>
    <w:rsid w:val="00E5652C"/>
    <w:rsid w:val="00E566D2"/>
    <w:rsid w:val="00E56707"/>
    <w:rsid w:val="00E56D7B"/>
    <w:rsid w:val="00E56EDE"/>
    <w:rsid w:val="00E56EFA"/>
    <w:rsid w:val="00E57214"/>
    <w:rsid w:val="00E57787"/>
    <w:rsid w:val="00E57C75"/>
    <w:rsid w:val="00E57E38"/>
    <w:rsid w:val="00E604E9"/>
    <w:rsid w:val="00E6089E"/>
    <w:rsid w:val="00E609A6"/>
    <w:rsid w:val="00E60DE6"/>
    <w:rsid w:val="00E61115"/>
    <w:rsid w:val="00E6121F"/>
    <w:rsid w:val="00E615AA"/>
    <w:rsid w:val="00E6171A"/>
    <w:rsid w:val="00E618FF"/>
    <w:rsid w:val="00E61F9C"/>
    <w:rsid w:val="00E6244F"/>
    <w:rsid w:val="00E62A5B"/>
    <w:rsid w:val="00E62B07"/>
    <w:rsid w:val="00E62FB0"/>
    <w:rsid w:val="00E63158"/>
    <w:rsid w:val="00E631F2"/>
    <w:rsid w:val="00E636D7"/>
    <w:rsid w:val="00E640D3"/>
    <w:rsid w:val="00E6452A"/>
    <w:rsid w:val="00E64710"/>
    <w:rsid w:val="00E64C30"/>
    <w:rsid w:val="00E64D1A"/>
    <w:rsid w:val="00E64DE3"/>
    <w:rsid w:val="00E6529C"/>
    <w:rsid w:val="00E6547D"/>
    <w:rsid w:val="00E65B8B"/>
    <w:rsid w:val="00E65BBA"/>
    <w:rsid w:val="00E65BCD"/>
    <w:rsid w:val="00E65E52"/>
    <w:rsid w:val="00E65ED8"/>
    <w:rsid w:val="00E66524"/>
    <w:rsid w:val="00E66D66"/>
    <w:rsid w:val="00E66D75"/>
    <w:rsid w:val="00E672FA"/>
    <w:rsid w:val="00E67360"/>
    <w:rsid w:val="00E6736A"/>
    <w:rsid w:val="00E67601"/>
    <w:rsid w:val="00E67915"/>
    <w:rsid w:val="00E67920"/>
    <w:rsid w:val="00E679FF"/>
    <w:rsid w:val="00E67BDC"/>
    <w:rsid w:val="00E67BFF"/>
    <w:rsid w:val="00E70332"/>
    <w:rsid w:val="00E70371"/>
    <w:rsid w:val="00E706C7"/>
    <w:rsid w:val="00E70981"/>
    <w:rsid w:val="00E70995"/>
    <w:rsid w:val="00E70A9B"/>
    <w:rsid w:val="00E70D97"/>
    <w:rsid w:val="00E711C0"/>
    <w:rsid w:val="00E715C8"/>
    <w:rsid w:val="00E71674"/>
    <w:rsid w:val="00E71C63"/>
    <w:rsid w:val="00E71C69"/>
    <w:rsid w:val="00E71F27"/>
    <w:rsid w:val="00E723D0"/>
    <w:rsid w:val="00E724B3"/>
    <w:rsid w:val="00E72736"/>
    <w:rsid w:val="00E727BD"/>
    <w:rsid w:val="00E728EA"/>
    <w:rsid w:val="00E7319E"/>
    <w:rsid w:val="00E736E1"/>
    <w:rsid w:val="00E73715"/>
    <w:rsid w:val="00E73DC7"/>
    <w:rsid w:val="00E7413A"/>
    <w:rsid w:val="00E7417D"/>
    <w:rsid w:val="00E7423C"/>
    <w:rsid w:val="00E74393"/>
    <w:rsid w:val="00E74553"/>
    <w:rsid w:val="00E749F8"/>
    <w:rsid w:val="00E74B31"/>
    <w:rsid w:val="00E74C1C"/>
    <w:rsid w:val="00E74E23"/>
    <w:rsid w:val="00E74FCD"/>
    <w:rsid w:val="00E7542C"/>
    <w:rsid w:val="00E75B2A"/>
    <w:rsid w:val="00E75BF2"/>
    <w:rsid w:val="00E75EED"/>
    <w:rsid w:val="00E767EB"/>
    <w:rsid w:val="00E7695C"/>
    <w:rsid w:val="00E76C55"/>
    <w:rsid w:val="00E76D60"/>
    <w:rsid w:val="00E7700D"/>
    <w:rsid w:val="00E774F1"/>
    <w:rsid w:val="00E77826"/>
    <w:rsid w:val="00E77AC1"/>
    <w:rsid w:val="00E77BF0"/>
    <w:rsid w:val="00E8039E"/>
    <w:rsid w:val="00E809AA"/>
    <w:rsid w:val="00E80D8D"/>
    <w:rsid w:val="00E80EEC"/>
    <w:rsid w:val="00E814BE"/>
    <w:rsid w:val="00E8157B"/>
    <w:rsid w:val="00E815EA"/>
    <w:rsid w:val="00E817CE"/>
    <w:rsid w:val="00E8195D"/>
    <w:rsid w:val="00E81B0B"/>
    <w:rsid w:val="00E81B83"/>
    <w:rsid w:val="00E81DEB"/>
    <w:rsid w:val="00E822E8"/>
    <w:rsid w:val="00E82AE2"/>
    <w:rsid w:val="00E82C59"/>
    <w:rsid w:val="00E831F1"/>
    <w:rsid w:val="00E832EA"/>
    <w:rsid w:val="00E83496"/>
    <w:rsid w:val="00E8379D"/>
    <w:rsid w:val="00E83ED5"/>
    <w:rsid w:val="00E8439C"/>
    <w:rsid w:val="00E84437"/>
    <w:rsid w:val="00E8455F"/>
    <w:rsid w:val="00E8489F"/>
    <w:rsid w:val="00E84FB7"/>
    <w:rsid w:val="00E85105"/>
    <w:rsid w:val="00E85391"/>
    <w:rsid w:val="00E85447"/>
    <w:rsid w:val="00E85569"/>
    <w:rsid w:val="00E85EA7"/>
    <w:rsid w:val="00E85EC2"/>
    <w:rsid w:val="00E86367"/>
    <w:rsid w:val="00E86726"/>
    <w:rsid w:val="00E86B36"/>
    <w:rsid w:val="00E87259"/>
    <w:rsid w:val="00E872AC"/>
    <w:rsid w:val="00E87578"/>
    <w:rsid w:val="00E87BCC"/>
    <w:rsid w:val="00E87C05"/>
    <w:rsid w:val="00E87E4E"/>
    <w:rsid w:val="00E904DD"/>
    <w:rsid w:val="00E9050F"/>
    <w:rsid w:val="00E906DA"/>
    <w:rsid w:val="00E908ED"/>
    <w:rsid w:val="00E90946"/>
    <w:rsid w:val="00E90B36"/>
    <w:rsid w:val="00E90CFA"/>
    <w:rsid w:val="00E90DCB"/>
    <w:rsid w:val="00E91018"/>
    <w:rsid w:val="00E91C7B"/>
    <w:rsid w:val="00E9284D"/>
    <w:rsid w:val="00E929C4"/>
    <w:rsid w:val="00E92B68"/>
    <w:rsid w:val="00E92D5B"/>
    <w:rsid w:val="00E92E44"/>
    <w:rsid w:val="00E93165"/>
    <w:rsid w:val="00E93614"/>
    <w:rsid w:val="00E94054"/>
    <w:rsid w:val="00E945B3"/>
    <w:rsid w:val="00E94DD6"/>
    <w:rsid w:val="00E94EDC"/>
    <w:rsid w:val="00E95550"/>
    <w:rsid w:val="00E95593"/>
    <w:rsid w:val="00E955BA"/>
    <w:rsid w:val="00E95690"/>
    <w:rsid w:val="00E95BB7"/>
    <w:rsid w:val="00E95DED"/>
    <w:rsid w:val="00E95FD9"/>
    <w:rsid w:val="00E96775"/>
    <w:rsid w:val="00E96A13"/>
    <w:rsid w:val="00E96B43"/>
    <w:rsid w:val="00E97DE9"/>
    <w:rsid w:val="00EA0697"/>
    <w:rsid w:val="00EA0A82"/>
    <w:rsid w:val="00EA0EEB"/>
    <w:rsid w:val="00EA1627"/>
    <w:rsid w:val="00EA18BD"/>
    <w:rsid w:val="00EA1C9D"/>
    <w:rsid w:val="00EA1ED0"/>
    <w:rsid w:val="00EA28ED"/>
    <w:rsid w:val="00EA2999"/>
    <w:rsid w:val="00EA2BFB"/>
    <w:rsid w:val="00EA30F6"/>
    <w:rsid w:val="00EA31C1"/>
    <w:rsid w:val="00EA33B8"/>
    <w:rsid w:val="00EA34CC"/>
    <w:rsid w:val="00EA3A6B"/>
    <w:rsid w:val="00EA3BEE"/>
    <w:rsid w:val="00EA43E1"/>
    <w:rsid w:val="00EA48D3"/>
    <w:rsid w:val="00EA4D81"/>
    <w:rsid w:val="00EA543C"/>
    <w:rsid w:val="00EA563E"/>
    <w:rsid w:val="00EA569F"/>
    <w:rsid w:val="00EA57FB"/>
    <w:rsid w:val="00EA5B50"/>
    <w:rsid w:val="00EA5B67"/>
    <w:rsid w:val="00EA68ED"/>
    <w:rsid w:val="00EA6A7F"/>
    <w:rsid w:val="00EA6D24"/>
    <w:rsid w:val="00EA7136"/>
    <w:rsid w:val="00EA7461"/>
    <w:rsid w:val="00EA7747"/>
    <w:rsid w:val="00EA7D98"/>
    <w:rsid w:val="00EB02C3"/>
    <w:rsid w:val="00EB073A"/>
    <w:rsid w:val="00EB076B"/>
    <w:rsid w:val="00EB10DC"/>
    <w:rsid w:val="00EB11A5"/>
    <w:rsid w:val="00EB15A0"/>
    <w:rsid w:val="00EB1639"/>
    <w:rsid w:val="00EB1AD6"/>
    <w:rsid w:val="00EB1D81"/>
    <w:rsid w:val="00EB1D90"/>
    <w:rsid w:val="00EB20A1"/>
    <w:rsid w:val="00EB30D5"/>
    <w:rsid w:val="00EB31ED"/>
    <w:rsid w:val="00EB34D6"/>
    <w:rsid w:val="00EB35A4"/>
    <w:rsid w:val="00EB375F"/>
    <w:rsid w:val="00EB3D20"/>
    <w:rsid w:val="00EB40E8"/>
    <w:rsid w:val="00EB4336"/>
    <w:rsid w:val="00EB4527"/>
    <w:rsid w:val="00EB46D8"/>
    <w:rsid w:val="00EB47CE"/>
    <w:rsid w:val="00EB47D4"/>
    <w:rsid w:val="00EB484F"/>
    <w:rsid w:val="00EB4AE5"/>
    <w:rsid w:val="00EB5660"/>
    <w:rsid w:val="00EB5ABC"/>
    <w:rsid w:val="00EB5B12"/>
    <w:rsid w:val="00EB5E43"/>
    <w:rsid w:val="00EB5EE9"/>
    <w:rsid w:val="00EB60C7"/>
    <w:rsid w:val="00EB611C"/>
    <w:rsid w:val="00EB62B0"/>
    <w:rsid w:val="00EB6376"/>
    <w:rsid w:val="00EB6456"/>
    <w:rsid w:val="00EB673F"/>
    <w:rsid w:val="00EB6892"/>
    <w:rsid w:val="00EB69E2"/>
    <w:rsid w:val="00EB6CC1"/>
    <w:rsid w:val="00EB7204"/>
    <w:rsid w:val="00EB7562"/>
    <w:rsid w:val="00EB765D"/>
    <w:rsid w:val="00EB7F10"/>
    <w:rsid w:val="00EC0E48"/>
    <w:rsid w:val="00EC1325"/>
    <w:rsid w:val="00EC148F"/>
    <w:rsid w:val="00EC14A0"/>
    <w:rsid w:val="00EC1530"/>
    <w:rsid w:val="00EC15F9"/>
    <w:rsid w:val="00EC16CD"/>
    <w:rsid w:val="00EC1911"/>
    <w:rsid w:val="00EC23BC"/>
    <w:rsid w:val="00EC23C5"/>
    <w:rsid w:val="00EC2541"/>
    <w:rsid w:val="00EC2563"/>
    <w:rsid w:val="00EC25C6"/>
    <w:rsid w:val="00EC3158"/>
    <w:rsid w:val="00EC3276"/>
    <w:rsid w:val="00EC3708"/>
    <w:rsid w:val="00EC3862"/>
    <w:rsid w:val="00EC387A"/>
    <w:rsid w:val="00EC398C"/>
    <w:rsid w:val="00EC3A17"/>
    <w:rsid w:val="00EC3EC7"/>
    <w:rsid w:val="00EC3FCD"/>
    <w:rsid w:val="00EC47A9"/>
    <w:rsid w:val="00EC4AFC"/>
    <w:rsid w:val="00EC4C16"/>
    <w:rsid w:val="00EC4FF7"/>
    <w:rsid w:val="00EC5373"/>
    <w:rsid w:val="00EC57FB"/>
    <w:rsid w:val="00EC58FF"/>
    <w:rsid w:val="00EC595D"/>
    <w:rsid w:val="00EC598D"/>
    <w:rsid w:val="00EC5FEC"/>
    <w:rsid w:val="00EC67CA"/>
    <w:rsid w:val="00EC68FF"/>
    <w:rsid w:val="00EC6A7B"/>
    <w:rsid w:val="00EC71F5"/>
    <w:rsid w:val="00ED030C"/>
    <w:rsid w:val="00ED0546"/>
    <w:rsid w:val="00ED0757"/>
    <w:rsid w:val="00ED07BC"/>
    <w:rsid w:val="00ED0B23"/>
    <w:rsid w:val="00ED0E38"/>
    <w:rsid w:val="00ED1425"/>
    <w:rsid w:val="00ED18F0"/>
    <w:rsid w:val="00ED19AD"/>
    <w:rsid w:val="00ED1FE2"/>
    <w:rsid w:val="00ED2318"/>
    <w:rsid w:val="00ED2986"/>
    <w:rsid w:val="00ED2C23"/>
    <w:rsid w:val="00ED2E55"/>
    <w:rsid w:val="00ED3074"/>
    <w:rsid w:val="00ED32C6"/>
    <w:rsid w:val="00ED357E"/>
    <w:rsid w:val="00ED3996"/>
    <w:rsid w:val="00ED3BBC"/>
    <w:rsid w:val="00ED4980"/>
    <w:rsid w:val="00ED4A0D"/>
    <w:rsid w:val="00ED5467"/>
    <w:rsid w:val="00ED573F"/>
    <w:rsid w:val="00ED60D7"/>
    <w:rsid w:val="00ED623B"/>
    <w:rsid w:val="00ED6577"/>
    <w:rsid w:val="00ED6B6B"/>
    <w:rsid w:val="00ED6C4D"/>
    <w:rsid w:val="00ED713F"/>
    <w:rsid w:val="00ED75C7"/>
    <w:rsid w:val="00ED7BCB"/>
    <w:rsid w:val="00ED7CC2"/>
    <w:rsid w:val="00ED7DBE"/>
    <w:rsid w:val="00ED7DF0"/>
    <w:rsid w:val="00EE0461"/>
    <w:rsid w:val="00EE08F3"/>
    <w:rsid w:val="00EE0A0F"/>
    <w:rsid w:val="00EE0B94"/>
    <w:rsid w:val="00EE0ED1"/>
    <w:rsid w:val="00EE0EF6"/>
    <w:rsid w:val="00EE0F84"/>
    <w:rsid w:val="00EE11AC"/>
    <w:rsid w:val="00EE17B9"/>
    <w:rsid w:val="00EE19C8"/>
    <w:rsid w:val="00EE1C9D"/>
    <w:rsid w:val="00EE23E2"/>
    <w:rsid w:val="00EE24E1"/>
    <w:rsid w:val="00EE33D9"/>
    <w:rsid w:val="00EE350D"/>
    <w:rsid w:val="00EE3944"/>
    <w:rsid w:val="00EE399F"/>
    <w:rsid w:val="00EE3AE1"/>
    <w:rsid w:val="00EE3DF2"/>
    <w:rsid w:val="00EE3F24"/>
    <w:rsid w:val="00EE4162"/>
    <w:rsid w:val="00EE450A"/>
    <w:rsid w:val="00EE4917"/>
    <w:rsid w:val="00EE4D5D"/>
    <w:rsid w:val="00EE560E"/>
    <w:rsid w:val="00EE5F06"/>
    <w:rsid w:val="00EE645D"/>
    <w:rsid w:val="00EE6477"/>
    <w:rsid w:val="00EE67A3"/>
    <w:rsid w:val="00EE73B1"/>
    <w:rsid w:val="00EE76BD"/>
    <w:rsid w:val="00EE7908"/>
    <w:rsid w:val="00EE7DDE"/>
    <w:rsid w:val="00EE7E52"/>
    <w:rsid w:val="00EF0036"/>
    <w:rsid w:val="00EF00CC"/>
    <w:rsid w:val="00EF0511"/>
    <w:rsid w:val="00EF0534"/>
    <w:rsid w:val="00EF06AF"/>
    <w:rsid w:val="00EF0A54"/>
    <w:rsid w:val="00EF11F9"/>
    <w:rsid w:val="00EF1A3F"/>
    <w:rsid w:val="00EF2024"/>
    <w:rsid w:val="00EF24E9"/>
    <w:rsid w:val="00EF26F9"/>
    <w:rsid w:val="00EF2A54"/>
    <w:rsid w:val="00EF2A6E"/>
    <w:rsid w:val="00EF2B97"/>
    <w:rsid w:val="00EF30C5"/>
    <w:rsid w:val="00EF32C9"/>
    <w:rsid w:val="00EF34A2"/>
    <w:rsid w:val="00EF3526"/>
    <w:rsid w:val="00EF3632"/>
    <w:rsid w:val="00EF3771"/>
    <w:rsid w:val="00EF3A43"/>
    <w:rsid w:val="00EF4C15"/>
    <w:rsid w:val="00EF4DE9"/>
    <w:rsid w:val="00EF5735"/>
    <w:rsid w:val="00EF58E5"/>
    <w:rsid w:val="00EF5F1B"/>
    <w:rsid w:val="00EF64EA"/>
    <w:rsid w:val="00EF66CC"/>
    <w:rsid w:val="00EF677D"/>
    <w:rsid w:val="00EF67D4"/>
    <w:rsid w:val="00EF6B3D"/>
    <w:rsid w:val="00EF6E20"/>
    <w:rsid w:val="00EF6F83"/>
    <w:rsid w:val="00EF721E"/>
    <w:rsid w:val="00EF747F"/>
    <w:rsid w:val="00EF75CD"/>
    <w:rsid w:val="00EF75CE"/>
    <w:rsid w:val="00EF7713"/>
    <w:rsid w:val="00EF7A08"/>
    <w:rsid w:val="00EF7EC3"/>
    <w:rsid w:val="00F00303"/>
    <w:rsid w:val="00F00562"/>
    <w:rsid w:val="00F00954"/>
    <w:rsid w:val="00F013FF"/>
    <w:rsid w:val="00F01BB8"/>
    <w:rsid w:val="00F01EAA"/>
    <w:rsid w:val="00F02429"/>
    <w:rsid w:val="00F02BA4"/>
    <w:rsid w:val="00F02DA1"/>
    <w:rsid w:val="00F02FE0"/>
    <w:rsid w:val="00F03545"/>
    <w:rsid w:val="00F03E7E"/>
    <w:rsid w:val="00F0403D"/>
    <w:rsid w:val="00F04088"/>
    <w:rsid w:val="00F040A1"/>
    <w:rsid w:val="00F0478A"/>
    <w:rsid w:val="00F04A89"/>
    <w:rsid w:val="00F04AB2"/>
    <w:rsid w:val="00F054AB"/>
    <w:rsid w:val="00F05803"/>
    <w:rsid w:val="00F0581D"/>
    <w:rsid w:val="00F05D91"/>
    <w:rsid w:val="00F0612C"/>
    <w:rsid w:val="00F0630E"/>
    <w:rsid w:val="00F063B9"/>
    <w:rsid w:val="00F064AB"/>
    <w:rsid w:val="00F06831"/>
    <w:rsid w:val="00F06BC7"/>
    <w:rsid w:val="00F06FA7"/>
    <w:rsid w:val="00F0764D"/>
    <w:rsid w:val="00F079B5"/>
    <w:rsid w:val="00F100F6"/>
    <w:rsid w:val="00F101FD"/>
    <w:rsid w:val="00F102E1"/>
    <w:rsid w:val="00F10330"/>
    <w:rsid w:val="00F104F2"/>
    <w:rsid w:val="00F10F43"/>
    <w:rsid w:val="00F111B4"/>
    <w:rsid w:val="00F111BF"/>
    <w:rsid w:val="00F111FF"/>
    <w:rsid w:val="00F1143C"/>
    <w:rsid w:val="00F12223"/>
    <w:rsid w:val="00F1254F"/>
    <w:rsid w:val="00F12CA3"/>
    <w:rsid w:val="00F12F90"/>
    <w:rsid w:val="00F12FB0"/>
    <w:rsid w:val="00F13241"/>
    <w:rsid w:val="00F13556"/>
    <w:rsid w:val="00F13906"/>
    <w:rsid w:val="00F13A36"/>
    <w:rsid w:val="00F13B0F"/>
    <w:rsid w:val="00F13BC0"/>
    <w:rsid w:val="00F13F22"/>
    <w:rsid w:val="00F14019"/>
    <w:rsid w:val="00F140F4"/>
    <w:rsid w:val="00F14373"/>
    <w:rsid w:val="00F143BC"/>
    <w:rsid w:val="00F14548"/>
    <w:rsid w:val="00F14682"/>
    <w:rsid w:val="00F14C22"/>
    <w:rsid w:val="00F14E77"/>
    <w:rsid w:val="00F152D9"/>
    <w:rsid w:val="00F158F6"/>
    <w:rsid w:val="00F15A21"/>
    <w:rsid w:val="00F15C57"/>
    <w:rsid w:val="00F16117"/>
    <w:rsid w:val="00F1615D"/>
    <w:rsid w:val="00F162A0"/>
    <w:rsid w:val="00F16A44"/>
    <w:rsid w:val="00F172B1"/>
    <w:rsid w:val="00F17476"/>
    <w:rsid w:val="00F17A41"/>
    <w:rsid w:val="00F17A68"/>
    <w:rsid w:val="00F17D6C"/>
    <w:rsid w:val="00F2074A"/>
    <w:rsid w:val="00F208CF"/>
    <w:rsid w:val="00F213DF"/>
    <w:rsid w:val="00F21558"/>
    <w:rsid w:val="00F21BD4"/>
    <w:rsid w:val="00F21CB2"/>
    <w:rsid w:val="00F21D9C"/>
    <w:rsid w:val="00F21F8B"/>
    <w:rsid w:val="00F22130"/>
    <w:rsid w:val="00F22BC8"/>
    <w:rsid w:val="00F22CE1"/>
    <w:rsid w:val="00F22EE5"/>
    <w:rsid w:val="00F23392"/>
    <w:rsid w:val="00F2396C"/>
    <w:rsid w:val="00F23AB7"/>
    <w:rsid w:val="00F23F68"/>
    <w:rsid w:val="00F2419E"/>
    <w:rsid w:val="00F24293"/>
    <w:rsid w:val="00F242D3"/>
    <w:rsid w:val="00F247E6"/>
    <w:rsid w:val="00F24C3B"/>
    <w:rsid w:val="00F25AEF"/>
    <w:rsid w:val="00F25B72"/>
    <w:rsid w:val="00F25BB0"/>
    <w:rsid w:val="00F25C65"/>
    <w:rsid w:val="00F25C75"/>
    <w:rsid w:val="00F25C7B"/>
    <w:rsid w:val="00F26210"/>
    <w:rsid w:val="00F26348"/>
    <w:rsid w:val="00F26633"/>
    <w:rsid w:val="00F268D3"/>
    <w:rsid w:val="00F269D5"/>
    <w:rsid w:val="00F26A0B"/>
    <w:rsid w:val="00F2758E"/>
    <w:rsid w:val="00F30227"/>
    <w:rsid w:val="00F302D1"/>
    <w:rsid w:val="00F30F1D"/>
    <w:rsid w:val="00F30F2B"/>
    <w:rsid w:val="00F3116E"/>
    <w:rsid w:val="00F318B8"/>
    <w:rsid w:val="00F31A0A"/>
    <w:rsid w:val="00F31D8C"/>
    <w:rsid w:val="00F31E4C"/>
    <w:rsid w:val="00F31FE8"/>
    <w:rsid w:val="00F322D7"/>
    <w:rsid w:val="00F323C5"/>
    <w:rsid w:val="00F32C43"/>
    <w:rsid w:val="00F331BF"/>
    <w:rsid w:val="00F33F2E"/>
    <w:rsid w:val="00F3442C"/>
    <w:rsid w:val="00F345E6"/>
    <w:rsid w:val="00F34702"/>
    <w:rsid w:val="00F3470D"/>
    <w:rsid w:val="00F34973"/>
    <w:rsid w:val="00F34B3B"/>
    <w:rsid w:val="00F3508F"/>
    <w:rsid w:val="00F352FB"/>
    <w:rsid w:val="00F353BD"/>
    <w:rsid w:val="00F354F9"/>
    <w:rsid w:val="00F357C8"/>
    <w:rsid w:val="00F35819"/>
    <w:rsid w:val="00F35BE0"/>
    <w:rsid w:val="00F3635E"/>
    <w:rsid w:val="00F3653A"/>
    <w:rsid w:val="00F36960"/>
    <w:rsid w:val="00F36C5C"/>
    <w:rsid w:val="00F36DBF"/>
    <w:rsid w:val="00F36E8D"/>
    <w:rsid w:val="00F36EC7"/>
    <w:rsid w:val="00F375B0"/>
    <w:rsid w:val="00F37640"/>
    <w:rsid w:val="00F37C71"/>
    <w:rsid w:val="00F37E35"/>
    <w:rsid w:val="00F37EB4"/>
    <w:rsid w:val="00F401A9"/>
    <w:rsid w:val="00F404E3"/>
    <w:rsid w:val="00F4081D"/>
    <w:rsid w:val="00F40BBD"/>
    <w:rsid w:val="00F4105A"/>
    <w:rsid w:val="00F41386"/>
    <w:rsid w:val="00F419E9"/>
    <w:rsid w:val="00F41B32"/>
    <w:rsid w:val="00F4258F"/>
    <w:rsid w:val="00F428C2"/>
    <w:rsid w:val="00F42AE4"/>
    <w:rsid w:val="00F42C3D"/>
    <w:rsid w:val="00F42EB8"/>
    <w:rsid w:val="00F4333C"/>
    <w:rsid w:val="00F4387E"/>
    <w:rsid w:val="00F43AD6"/>
    <w:rsid w:val="00F43AE0"/>
    <w:rsid w:val="00F43C2A"/>
    <w:rsid w:val="00F4496B"/>
    <w:rsid w:val="00F45997"/>
    <w:rsid w:val="00F45BD1"/>
    <w:rsid w:val="00F45C29"/>
    <w:rsid w:val="00F45D50"/>
    <w:rsid w:val="00F45F56"/>
    <w:rsid w:val="00F46278"/>
    <w:rsid w:val="00F4660E"/>
    <w:rsid w:val="00F46943"/>
    <w:rsid w:val="00F46B0A"/>
    <w:rsid w:val="00F47215"/>
    <w:rsid w:val="00F476BC"/>
    <w:rsid w:val="00F47730"/>
    <w:rsid w:val="00F477D1"/>
    <w:rsid w:val="00F47BA8"/>
    <w:rsid w:val="00F47BC1"/>
    <w:rsid w:val="00F47CFD"/>
    <w:rsid w:val="00F47DFC"/>
    <w:rsid w:val="00F47F57"/>
    <w:rsid w:val="00F5034F"/>
    <w:rsid w:val="00F5043C"/>
    <w:rsid w:val="00F50547"/>
    <w:rsid w:val="00F50651"/>
    <w:rsid w:val="00F5074C"/>
    <w:rsid w:val="00F50E0E"/>
    <w:rsid w:val="00F51233"/>
    <w:rsid w:val="00F52345"/>
    <w:rsid w:val="00F52E32"/>
    <w:rsid w:val="00F5328A"/>
    <w:rsid w:val="00F534F9"/>
    <w:rsid w:val="00F5368B"/>
    <w:rsid w:val="00F53BE1"/>
    <w:rsid w:val="00F54419"/>
    <w:rsid w:val="00F54476"/>
    <w:rsid w:val="00F54510"/>
    <w:rsid w:val="00F546FB"/>
    <w:rsid w:val="00F547F1"/>
    <w:rsid w:val="00F54ACF"/>
    <w:rsid w:val="00F54B10"/>
    <w:rsid w:val="00F54D9A"/>
    <w:rsid w:val="00F5543A"/>
    <w:rsid w:val="00F554BE"/>
    <w:rsid w:val="00F556F5"/>
    <w:rsid w:val="00F55910"/>
    <w:rsid w:val="00F55955"/>
    <w:rsid w:val="00F5597F"/>
    <w:rsid w:val="00F55A34"/>
    <w:rsid w:val="00F5610D"/>
    <w:rsid w:val="00F5662F"/>
    <w:rsid w:val="00F56B09"/>
    <w:rsid w:val="00F56C40"/>
    <w:rsid w:val="00F56EC9"/>
    <w:rsid w:val="00F56F2D"/>
    <w:rsid w:val="00F5712B"/>
    <w:rsid w:val="00F5780F"/>
    <w:rsid w:val="00F57D16"/>
    <w:rsid w:val="00F57FB1"/>
    <w:rsid w:val="00F60118"/>
    <w:rsid w:val="00F607A6"/>
    <w:rsid w:val="00F60858"/>
    <w:rsid w:val="00F60C4A"/>
    <w:rsid w:val="00F60C96"/>
    <w:rsid w:val="00F60E58"/>
    <w:rsid w:val="00F612C8"/>
    <w:rsid w:val="00F615FA"/>
    <w:rsid w:val="00F61DEC"/>
    <w:rsid w:val="00F621C3"/>
    <w:rsid w:val="00F62B9D"/>
    <w:rsid w:val="00F62C54"/>
    <w:rsid w:val="00F62CAD"/>
    <w:rsid w:val="00F6346D"/>
    <w:rsid w:val="00F6351B"/>
    <w:rsid w:val="00F63526"/>
    <w:rsid w:val="00F63585"/>
    <w:rsid w:val="00F63777"/>
    <w:rsid w:val="00F638AB"/>
    <w:rsid w:val="00F63A0D"/>
    <w:rsid w:val="00F63A8F"/>
    <w:rsid w:val="00F63B96"/>
    <w:rsid w:val="00F6426D"/>
    <w:rsid w:val="00F6463F"/>
    <w:rsid w:val="00F6475C"/>
    <w:rsid w:val="00F6511E"/>
    <w:rsid w:val="00F65323"/>
    <w:rsid w:val="00F6555C"/>
    <w:rsid w:val="00F6561A"/>
    <w:rsid w:val="00F65724"/>
    <w:rsid w:val="00F657C8"/>
    <w:rsid w:val="00F66243"/>
    <w:rsid w:val="00F667CA"/>
    <w:rsid w:val="00F6706A"/>
    <w:rsid w:val="00F671C0"/>
    <w:rsid w:val="00F6725F"/>
    <w:rsid w:val="00F675E3"/>
    <w:rsid w:val="00F70092"/>
    <w:rsid w:val="00F70337"/>
    <w:rsid w:val="00F705A8"/>
    <w:rsid w:val="00F708C7"/>
    <w:rsid w:val="00F709B1"/>
    <w:rsid w:val="00F70BD0"/>
    <w:rsid w:val="00F70D6E"/>
    <w:rsid w:val="00F7169B"/>
    <w:rsid w:val="00F7179E"/>
    <w:rsid w:val="00F7189D"/>
    <w:rsid w:val="00F71AEA"/>
    <w:rsid w:val="00F7245E"/>
    <w:rsid w:val="00F72787"/>
    <w:rsid w:val="00F72A99"/>
    <w:rsid w:val="00F72F2F"/>
    <w:rsid w:val="00F7358C"/>
    <w:rsid w:val="00F736A9"/>
    <w:rsid w:val="00F7386D"/>
    <w:rsid w:val="00F73ECF"/>
    <w:rsid w:val="00F73F9C"/>
    <w:rsid w:val="00F73FDD"/>
    <w:rsid w:val="00F74305"/>
    <w:rsid w:val="00F746C0"/>
    <w:rsid w:val="00F748B9"/>
    <w:rsid w:val="00F74BA5"/>
    <w:rsid w:val="00F74D02"/>
    <w:rsid w:val="00F750A5"/>
    <w:rsid w:val="00F751B2"/>
    <w:rsid w:val="00F75A42"/>
    <w:rsid w:val="00F75D90"/>
    <w:rsid w:val="00F75EE0"/>
    <w:rsid w:val="00F75FED"/>
    <w:rsid w:val="00F7611F"/>
    <w:rsid w:val="00F76233"/>
    <w:rsid w:val="00F76D4C"/>
    <w:rsid w:val="00F7712A"/>
    <w:rsid w:val="00F77190"/>
    <w:rsid w:val="00F77198"/>
    <w:rsid w:val="00F77D31"/>
    <w:rsid w:val="00F77F85"/>
    <w:rsid w:val="00F80243"/>
    <w:rsid w:val="00F8030A"/>
    <w:rsid w:val="00F80A4F"/>
    <w:rsid w:val="00F80A90"/>
    <w:rsid w:val="00F81404"/>
    <w:rsid w:val="00F81BC9"/>
    <w:rsid w:val="00F81EBE"/>
    <w:rsid w:val="00F82551"/>
    <w:rsid w:val="00F82D81"/>
    <w:rsid w:val="00F82DE8"/>
    <w:rsid w:val="00F832F8"/>
    <w:rsid w:val="00F833DF"/>
    <w:rsid w:val="00F83823"/>
    <w:rsid w:val="00F83AE2"/>
    <w:rsid w:val="00F83BF3"/>
    <w:rsid w:val="00F83E2F"/>
    <w:rsid w:val="00F849C3"/>
    <w:rsid w:val="00F84AAE"/>
    <w:rsid w:val="00F84B1E"/>
    <w:rsid w:val="00F85345"/>
    <w:rsid w:val="00F85A15"/>
    <w:rsid w:val="00F85BED"/>
    <w:rsid w:val="00F85C71"/>
    <w:rsid w:val="00F8621E"/>
    <w:rsid w:val="00F86E9E"/>
    <w:rsid w:val="00F86EFF"/>
    <w:rsid w:val="00F86F3A"/>
    <w:rsid w:val="00F87281"/>
    <w:rsid w:val="00F87661"/>
    <w:rsid w:val="00F878B5"/>
    <w:rsid w:val="00F87AF4"/>
    <w:rsid w:val="00F87AFE"/>
    <w:rsid w:val="00F87CDE"/>
    <w:rsid w:val="00F87F26"/>
    <w:rsid w:val="00F9023F"/>
    <w:rsid w:val="00F904F1"/>
    <w:rsid w:val="00F90826"/>
    <w:rsid w:val="00F90831"/>
    <w:rsid w:val="00F90F23"/>
    <w:rsid w:val="00F914E7"/>
    <w:rsid w:val="00F91606"/>
    <w:rsid w:val="00F9162D"/>
    <w:rsid w:val="00F91697"/>
    <w:rsid w:val="00F91785"/>
    <w:rsid w:val="00F91FF5"/>
    <w:rsid w:val="00F92172"/>
    <w:rsid w:val="00F9297E"/>
    <w:rsid w:val="00F92BB5"/>
    <w:rsid w:val="00F92E1F"/>
    <w:rsid w:val="00F92FAB"/>
    <w:rsid w:val="00F934EF"/>
    <w:rsid w:val="00F93635"/>
    <w:rsid w:val="00F9363A"/>
    <w:rsid w:val="00F937DE"/>
    <w:rsid w:val="00F93DBE"/>
    <w:rsid w:val="00F94228"/>
    <w:rsid w:val="00F94252"/>
    <w:rsid w:val="00F9425C"/>
    <w:rsid w:val="00F9450C"/>
    <w:rsid w:val="00F94721"/>
    <w:rsid w:val="00F94B76"/>
    <w:rsid w:val="00F94CE5"/>
    <w:rsid w:val="00F94E89"/>
    <w:rsid w:val="00F95123"/>
    <w:rsid w:val="00F951EE"/>
    <w:rsid w:val="00F95855"/>
    <w:rsid w:val="00F9589E"/>
    <w:rsid w:val="00F95C7F"/>
    <w:rsid w:val="00F95EEB"/>
    <w:rsid w:val="00F95F96"/>
    <w:rsid w:val="00F96504"/>
    <w:rsid w:val="00F9759E"/>
    <w:rsid w:val="00FA011F"/>
    <w:rsid w:val="00FA0849"/>
    <w:rsid w:val="00FA09E8"/>
    <w:rsid w:val="00FA10F5"/>
    <w:rsid w:val="00FA11E3"/>
    <w:rsid w:val="00FA1349"/>
    <w:rsid w:val="00FA13BB"/>
    <w:rsid w:val="00FA18AA"/>
    <w:rsid w:val="00FA19A7"/>
    <w:rsid w:val="00FA1B92"/>
    <w:rsid w:val="00FA253C"/>
    <w:rsid w:val="00FA294B"/>
    <w:rsid w:val="00FA29FF"/>
    <w:rsid w:val="00FA2BBA"/>
    <w:rsid w:val="00FA307C"/>
    <w:rsid w:val="00FA3214"/>
    <w:rsid w:val="00FA334D"/>
    <w:rsid w:val="00FA384F"/>
    <w:rsid w:val="00FA399C"/>
    <w:rsid w:val="00FA3C2C"/>
    <w:rsid w:val="00FA3C6D"/>
    <w:rsid w:val="00FA3DDB"/>
    <w:rsid w:val="00FA5650"/>
    <w:rsid w:val="00FA5E0C"/>
    <w:rsid w:val="00FA65C5"/>
    <w:rsid w:val="00FA6917"/>
    <w:rsid w:val="00FA6D6D"/>
    <w:rsid w:val="00FA71BE"/>
    <w:rsid w:val="00FA788C"/>
    <w:rsid w:val="00FA7DDC"/>
    <w:rsid w:val="00FA7E61"/>
    <w:rsid w:val="00FB0100"/>
    <w:rsid w:val="00FB0507"/>
    <w:rsid w:val="00FB07DA"/>
    <w:rsid w:val="00FB0876"/>
    <w:rsid w:val="00FB091B"/>
    <w:rsid w:val="00FB0B10"/>
    <w:rsid w:val="00FB0F05"/>
    <w:rsid w:val="00FB165B"/>
    <w:rsid w:val="00FB1BC1"/>
    <w:rsid w:val="00FB20C0"/>
    <w:rsid w:val="00FB2FAC"/>
    <w:rsid w:val="00FB37B5"/>
    <w:rsid w:val="00FB3A62"/>
    <w:rsid w:val="00FB3AB7"/>
    <w:rsid w:val="00FB4E3A"/>
    <w:rsid w:val="00FB4F27"/>
    <w:rsid w:val="00FB4FD5"/>
    <w:rsid w:val="00FB5202"/>
    <w:rsid w:val="00FB54BC"/>
    <w:rsid w:val="00FB552A"/>
    <w:rsid w:val="00FB58AB"/>
    <w:rsid w:val="00FB5BEB"/>
    <w:rsid w:val="00FB5C28"/>
    <w:rsid w:val="00FB6037"/>
    <w:rsid w:val="00FB6757"/>
    <w:rsid w:val="00FB6E5E"/>
    <w:rsid w:val="00FB700C"/>
    <w:rsid w:val="00FC01DE"/>
    <w:rsid w:val="00FC037E"/>
    <w:rsid w:val="00FC03CB"/>
    <w:rsid w:val="00FC0536"/>
    <w:rsid w:val="00FC06A1"/>
    <w:rsid w:val="00FC10D1"/>
    <w:rsid w:val="00FC1CBE"/>
    <w:rsid w:val="00FC2280"/>
    <w:rsid w:val="00FC2444"/>
    <w:rsid w:val="00FC2BE4"/>
    <w:rsid w:val="00FC3942"/>
    <w:rsid w:val="00FC3B50"/>
    <w:rsid w:val="00FC3BE0"/>
    <w:rsid w:val="00FC3C2B"/>
    <w:rsid w:val="00FC45A0"/>
    <w:rsid w:val="00FC46F7"/>
    <w:rsid w:val="00FC4A9D"/>
    <w:rsid w:val="00FC4BB7"/>
    <w:rsid w:val="00FC50F8"/>
    <w:rsid w:val="00FC54E6"/>
    <w:rsid w:val="00FC56AA"/>
    <w:rsid w:val="00FC5A03"/>
    <w:rsid w:val="00FC5A0E"/>
    <w:rsid w:val="00FC5B4A"/>
    <w:rsid w:val="00FC5D62"/>
    <w:rsid w:val="00FC6668"/>
    <w:rsid w:val="00FC6679"/>
    <w:rsid w:val="00FC6BDE"/>
    <w:rsid w:val="00FC702C"/>
    <w:rsid w:val="00FC712D"/>
    <w:rsid w:val="00FC733C"/>
    <w:rsid w:val="00FC7621"/>
    <w:rsid w:val="00FC762D"/>
    <w:rsid w:val="00FC7ABA"/>
    <w:rsid w:val="00FC7B55"/>
    <w:rsid w:val="00FC7D65"/>
    <w:rsid w:val="00FD00F9"/>
    <w:rsid w:val="00FD0207"/>
    <w:rsid w:val="00FD0366"/>
    <w:rsid w:val="00FD0509"/>
    <w:rsid w:val="00FD0639"/>
    <w:rsid w:val="00FD07AA"/>
    <w:rsid w:val="00FD0849"/>
    <w:rsid w:val="00FD0C76"/>
    <w:rsid w:val="00FD0DCA"/>
    <w:rsid w:val="00FD1112"/>
    <w:rsid w:val="00FD130F"/>
    <w:rsid w:val="00FD1694"/>
    <w:rsid w:val="00FD1D6D"/>
    <w:rsid w:val="00FD1EF1"/>
    <w:rsid w:val="00FD25C8"/>
    <w:rsid w:val="00FD298A"/>
    <w:rsid w:val="00FD2CEC"/>
    <w:rsid w:val="00FD2E79"/>
    <w:rsid w:val="00FD352D"/>
    <w:rsid w:val="00FD3539"/>
    <w:rsid w:val="00FD38C4"/>
    <w:rsid w:val="00FD3EA7"/>
    <w:rsid w:val="00FD420F"/>
    <w:rsid w:val="00FD454E"/>
    <w:rsid w:val="00FD4702"/>
    <w:rsid w:val="00FD49B8"/>
    <w:rsid w:val="00FD4ED3"/>
    <w:rsid w:val="00FD55F4"/>
    <w:rsid w:val="00FD5AFD"/>
    <w:rsid w:val="00FD5D40"/>
    <w:rsid w:val="00FD5F33"/>
    <w:rsid w:val="00FD5FCF"/>
    <w:rsid w:val="00FD620E"/>
    <w:rsid w:val="00FD62FA"/>
    <w:rsid w:val="00FD64A9"/>
    <w:rsid w:val="00FD6560"/>
    <w:rsid w:val="00FD68F2"/>
    <w:rsid w:val="00FD6D20"/>
    <w:rsid w:val="00FD741E"/>
    <w:rsid w:val="00FD75C5"/>
    <w:rsid w:val="00FD7715"/>
    <w:rsid w:val="00FD7AFC"/>
    <w:rsid w:val="00FD7CFF"/>
    <w:rsid w:val="00FD7DB3"/>
    <w:rsid w:val="00FD7ED1"/>
    <w:rsid w:val="00FD7F65"/>
    <w:rsid w:val="00FE089D"/>
    <w:rsid w:val="00FE0C82"/>
    <w:rsid w:val="00FE10D7"/>
    <w:rsid w:val="00FE189E"/>
    <w:rsid w:val="00FE19E8"/>
    <w:rsid w:val="00FE1ACE"/>
    <w:rsid w:val="00FE1CC2"/>
    <w:rsid w:val="00FE1D42"/>
    <w:rsid w:val="00FE211E"/>
    <w:rsid w:val="00FE28A3"/>
    <w:rsid w:val="00FE3965"/>
    <w:rsid w:val="00FE3B6D"/>
    <w:rsid w:val="00FE3B96"/>
    <w:rsid w:val="00FE4139"/>
    <w:rsid w:val="00FE436C"/>
    <w:rsid w:val="00FE4752"/>
    <w:rsid w:val="00FE4802"/>
    <w:rsid w:val="00FE4BCF"/>
    <w:rsid w:val="00FE5163"/>
    <w:rsid w:val="00FE55AC"/>
    <w:rsid w:val="00FE560A"/>
    <w:rsid w:val="00FE5A8C"/>
    <w:rsid w:val="00FE5C27"/>
    <w:rsid w:val="00FE60B2"/>
    <w:rsid w:val="00FE63DA"/>
    <w:rsid w:val="00FE6650"/>
    <w:rsid w:val="00FE68C2"/>
    <w:rsid w:val="00FE7500"/>
    <w:rsid w:val="00FE76BC"/>
    <w:rsid w:val="00FE7A1E"/>
    <w:rsid w:val="00FF000F"/>
    <w:rsid w:val="00FF0323"/>
    <w:rsid w:val="00FF035B"/>
    <w:rsid w:val="00FF07A9"/>
    <w:rsid w:val="00FF1074"/>
    <w:rsid w:val="00FF12BD"/>
    <w:rsid w:val="00FF1748"/>
    <w:rsid w:val="00FF2B61"/>
    <w:rsid w:val="00FF2C8A"/>
    <w:rsid w:val="00FF2EDE"/>
    <w:rsid w:val="00FF41CA"/>
    <w:rsid w:val="00FF4473"/>
    <w:rsid w:val="00FF465A"/>
    <w:rsid w:val="00FF4BEA"/>
    <w:rsid w:val="00FF4F32"/>
    <w:rsid w:val="00FF4F67"/>
    <w:rsid w:val="00FF5455"/>
    <w:rsid w:val="00FF54D9"/>
    <w:rsid w:val="00FF5762"/>
    <w:rsid w:val="00FF5906"/>
    <w:rsid w:val="00FF5DBB"/>
    <w:rsid w:val="00FF6010"/>
    <w:rsid w:val="00FF6B0F"/>
    <w:rsid w:val="00FF6B47"/>
    <w:rsid w:val="00FF6C5D"/>
    <w:rsid w:val="00FF7174"/>
    <w:rsid w:val="00FF7344"/>
    <w:rsid w:val="00FF7B81"/>
    <w:rsid w:val="00FF7BB6"/>
    <w:rsid w:val="00FF7E2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B442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34"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14" w:qFormat="1"/>
    <w:lsdException w:name="List Number" w:uiPriority="13" w:qFormat="1"/>
    <w:lsdException w:name="List Bullet 2" w:qFormat="1"/>
    <w:lsdException w:name="List Bullet 3" w:qFormat="1"/>
    <w:lsdException w:name="List Bullet 4" w:uiPriority="14"/>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Signature" w:uiPriority="0"/>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askaitos_tesktas"/>
    <w:uiPriority w:val="34"/>
    <w:qFormat/>
    <w:rsid w:val="002C503C"/>
    <w:pPr>
      <w:spacing w:after="0"/>
    </w:pPr>
    <w:rPr>
      <w:rFonts w:ascii="Cambria" w:eastAsia="Arial" w:hAnsi="Cambria" w:cs="Times New Roman"/>
      <w:color w:val="000000"/>
      <w:sz w:val="22"/>
      <w:szCs w:val="21"/>
      <w:lang w:val="lt-LT"/>
    </w:rPr>
  </w:style>
  <w:style w:type="paragraph" w:styleId="Heading1">
    <w:name w:val="heading 1"/>
    <w:aliases w:val="Section,Heading 1 (nevda),H1,Headline 1,h1,Hoofdstuk,Section Heading,A MAJOR/BOLD,Heading 1 CFMU,Para 1,l1,Head 1 (Chapter heading),Head 1,Head 11,Head 12,Head 111,Head 13,Head 112,Head 14,Head 113,Head 15,Head 114,Head 16,Head 115,Head 17,t1"/>
    <w:basedOn w:val="Normal"/>
    <w:next w:val="BodyText"/>
    <w:link w:val="Heading1Char"/>
    <w:uiPriority w:val="99"/>
    <w:qFormat/>
    <w:rsid w:val="00E86367"/>
    <w:pPr>
      <w:keepNext/>
      <w:keepLines/>
      <w:spacing w:after="40" w:line="240" w:lineRule="auto"/>
      <w:outlineLvl w:val="0"/>
    </w:pPr>
    <w:rPr>
      <w:rFonts w:asciiTheme="majorHAnsi" w:eastAsiaTheme="majorEastAsia" w:hAnsiTheme="majorHAnsi" w:cstheme="majorBidi"/>
      <w:b/>
      <w:bCs/>
      <w:i/>
      <w:sz w:val="32"/>
      <w:szCs w:val="28"/>
      <w:lang w:val="en-GB"/>
    </w:rPr>
  </w:style>
  <w:style w:type="paragraph" w:styleId="Heading2">
    <w:name w:val="heading 2"/>
    <w:aliases w:val="Title Header2,Heading 2 (nevda),H2,Headline 2,h2,2,headi,heading2,h21,h22,21,l2,kopregel 2,HD2,Heading 2 Hidden,Proposal,Level 2 Heading,Numbered indent 2,ni2,Hanging 2 Indent,numbered indent 2,exercise,Heading 2 substyle,Heading 2 CFMU,Para 2"/>
    <w:basedOn w:val="Normal"/>
    <w:next w:val="BodyText"/>
    <w:link w:val="Heading2Char"/>
    <w:uiPriority w:val="99"/>
    <w:unhideWhenUsed/>
    <w:qFormat/>
    <w:rsid w:val="00E86367"/>
    <w:pPr>
      <w:keepNext/>
      <w:keepLines/>
      <w:spacing w:after="40" w:line="240" w:lineRule="auto"/>
      <w:outlineLvl w:val="1"/>
    </w:pPr>
    <w:rPr>
      <w:rFonts w:asciiTheme="majorHAnsi" w:eastAsiaTheme="majorEastAsia" w:hAnsiTheme="majorHAnsi" w:cstheme="majorBidi"/>
      <w:b/>
      <w:bCs/>
      <w:i/>
      <w:sz w:val="24"/>
      <w:szCs w:val="26"/>
      <w:lang w:val="en-GB"/>
    </w:rPr>
  </w:style>
  <w:style w:type="paragraph" w:styleId="Heading3">
    <w:name w:val="heading 3"/>
    <w:aliases w:val="TES_Skyrius 1.1.1.,Kap.1.1.1 Char,Kap.1.1.1,A3,Heading 3 (nevda),H3,Section Header3,Sub-Clause Paragraph,Diagrama14,Sub-Clause Paragraph Diagrama,Section Header3 Diagrama,Antraštė 31"/>
    <w:basedOn w:val="Normal"/>
    <w:next w:val="BodyText"/>
    <w:link w:val="Heading3Char"/>
    <w:uiPriority w:val="99"/>
    <w:unhideWhenUsed/>
    <w:qFormat/>
    <w:rsid w:val="00E86367"/>
    <w:pPr>
      <w:keepNext/>
      <w:keepLines/>
      <w:spacing w:after="40" w:line="240" w:lineRule="auto"/>
      <w:outlineLvl w:val="2"/>
    </w:pPr>
    <w:rPr>
      <w:rFonts w:asciiTheme="majorHAnsi" w:eastAsiaTheme="majorEastAsia" w:hAnsiTheme="majorHAnsi" w:cstheme="majorBidi"/>
      <w:bCs/>
      <w:i/>
      <w:sz w:val="24"/>
      <w:lang w:val="en-GB"/>
    </w:rPr>
  </w:style>
  <w:style w:type="paragraph" w:styleId="Heading4">
    <w:name w:val="heading 4"/>
    <w:aliases w:val="Heading 4 (nevda),H4,Sub-Clause Sub-paragraph,Heading 4 Char Char Char Char,Antraštė 41, Sub-Clause Sub-paragraph"/>
    <w:basedOn w:val="Normal"/>
    <w:next w:val="BodyText"/>
    <w:link w:val="Heading4Char"/>
    <w:uiPriority w:val="99"/>
    <w:unhideWhenUsed/>
    <w:qFormat/>
    <w:rsid w:val="00E86367"/>
    <w:pPr>
      <w:keepNext/>
      <w:keepLines/>
      <w:spacing w:after="40" w:line="240" w:lineRule="auto"/>
      <w:outlineLvl w:val="3"/>
    </w:pPr>
    <w:rPr>
      <w:rFonts w:asciiTheme="majorHAnsi" w:eastAsiaTheme="majorEastAsia" w:hAnsiTheme="majorHAnsi" w:cstheme="majorBidi"/>
      <w:bCs/>
      <w:i/>
      <w:iCs/>
      <w:lang w:val="en-GB"/>
    </w:rPr>
  </w:style>
  <w:style w:type="paragraph" w:styleId="Heading5">
    <w:name w:val="heading 5"/>
    <w:aliases w:val="Lentelems,H5"/>
    <w:basedOn w:val="Normal"/>
    <w:next w:val="BodyText"/>
    <w:link w:val="Heading5Char"/>
    <w:uiPriority w:val="99"/>
    <w:unhideWhenUsed/>
    <w:qFormat/>
    <w:rsid w:val="00E86367"/>
    <w:pPr>
      <w:keepNext/>
      <w:keepLines/>
      <w:spacing w:after="40" w:line="240" w:lineRule="auto"/>
      <w:outlineLvl w:val="4"/>
    </w:pPr>
    <w:rPr>
      <w:rFonts w:asciiTheme="majorHAnsi" w:eastAsiaTheme="majorEastAsia" w:hAnsiTheme="majorHAnsi" w:cstheme="majorBidi"/>
      <w:lang w:val="en-GB"/>
    </w:rPr>
  </w:style>
  <w:style w:type="paragraph" w:styleId="Heading6">
    <w:name w:val="heading 6"/>
    <w:aliases w:val="Paveikslams"/>
    <w:basedOn w:val="Normal"/>
    <w:next w:val="Normal"/>
    <w:link w:val="Heading6Char"/>
    <w:uiPriority w:val="99"/>
    <w:unhideWhenUsed/>
    <w:qFormat/>
    <w:rsid w:val="00E86367"/>
    <w:pPr>
      <w:keepNext/>
      <w:keepLines/>
      <w:spacing w:after="40" w:line="240" w:lineRule="auto"/>
      <w:outlineLvl w:val="5"/>
    </w:pPr>
    <w:rPr>
      <w:rFonts w:asciiTheme="majorHAnsi" w:eastAsiaTheme="majorEastAsia" w:hAnsiTheme="majorHAnsi" w:cstheme="majorBidi"/>
      <w:iCs/>
      <w:lang w:val="en-GB"/>
    </w:rPr>
  </w:style>
  <w:style w:type="paragraph" w:styleId="Heading7">
    <w:name w:val="heading 7"/>
    <w:basedOn w:val="Normal"/>
    <w:next w:val="Normal"/>
    <w:link w:val="Heading7Char"/>
    <w:uiPriority w:val="99"/>
    <w:unhideWhenUsed/>
    <w:qFormat/>
    <w:rsid w:val="00E86367"/>
    <w:pPr>
      <w:keepNext/>
      <w:keepLines/>
      <w:spacing w:after="40" w:line="240" w:lineRule="auto"/>
      <w:outlineLvl w:val="6"/>
    </w:pPr>
    <w:rPr>
      <w:rFonts w:asciiTheme="majorHAnsi" w:eastAsiaTheme="majorEastAsia" w:hAnsiTheme="majorHAnsi" w:cstheme="majorBidi"/>
      <w:iCs/>
      <w:lang w:val="en-GB"/>
    </w:rPr>
  </w:style>
  <w:style w:type="paragraph" w:styleId="Heading8">
    <w:name w:val="heading 8"/>
    <w:basedOn w:val="Normal"/>
    <w:next w:val="Normal"/>
    <w:link w:val="Heading8Char"/>
    <w:uiPriority w:val="99"/>
    <w:unhideWhenUsed/>
    <w:qFormat/>
    <w:rsid w:val="00E86367"/>
    <w:pPr>
      <w:keepNext/>
      <w:keepLines/>
      <w:spacing w:after="40" w:line="240" w:lineRule="auto"/>
      <w:outlineLvl w:val="7"/>
    </w:pPr>
    <w:rPr>
      <w:rFonts w:asciiTheme="majorHAnsi" w:eastAsiaTheme="majorEastAsia" w:hAnsiTheme="majorHAnsi" w:cstheme="majorBidi"/>
      <w:lang w:val="en-GB"/>
    </w:rPr>
  </w:style>
  <w:style w:type="paragraph" w:styleId="Heading9">
    <w:name w:val="heading 9"/>
    <w:basedOn w:val="Normal"/>
    <w:next w:val="Normal"/>
    <w:link w:val="Heading9Char"/>
    <w:uiPriority w:val="99"/>
    <w:unhideWhenUsed/>
    <w:qFormat/>
    <w:rsid w:val="00E86367"/>
    <w:pPr>
      <w:keepNext/>
      <w:keepLines/>
      <w:spacing w:after="40" w:line="240" w:lineRule="auto"/>
      <w:outlineLvl w:val="8"/>
    </w:pPr>
    <w:rPr>
      <w:rFonts w:asciiTheme="majorHAnsi" w:eastAsiaTheme="majorEastAsia" w:hAnsiTheme="majorHAnsi" w:cstheme="majorBid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86367"/>
    <w:rPr>
      <w:lang w:val="en-GB"/>
    </w:rPr>
  </w:style>
  <w:style w:type="character" w:customStyle="1" w:styleId="BodyTextChar">
    <w:name w:val="Body Text Char"/>
    <w:basedOn w:val="DefaultParagraphFont"/>
    <w:link w:val="BodyText"/>
    <w:rsid w:val="00E86367"/>
  </w:style>
  <w:style w:type="paragraph" w:customStyle="1" w:styleId="BodySingle">
    <w:name w:val="Body Single"/>
    <w:basedOn w:val="BodyText"/>
    <w:link w:val="BodySingleChar"/>
    <w:uiPriority w:val="1"/>
    <w:qFormat/>
    <w:rsid w:val="00E86367"/>
  </w:style>
  <w:style w:type="paragraph" w:styleId="Header">
    <w:name w:val="header"/>
    <w:aliases w:val="Viršutinis kolontitulas Diagrama1,Viršutinis kolontitulas Diagrama Diagrama1,Char Diagrama Diagrama1,Viršutinis kolontitulas Diagrama Diagrama Diagrama,Char Diagrama Diagrama Diagrama,Char Diagrama1,Char,Char Diagrama,En-tête-1,En-tête-2,hd"/>
    <w:basedOn w:val="Normal"/>
    <w:link w:val="HeaderChar"/>
    <w:uiPriority w:val="99"/>
    <w:unhideWhenUsed/>
    <w:qFormat/>
    <w:rsid w:val="00E86367"/>
    <w:pPr>
      <w:tabs>
        <w:tab w:val="center" w:pos="4536"/>
        <w:tab w:val="right" w:pos="9866"/>
      </w:tabs>
      <w:spacing w:line="240" w:lineRule="auto"/>
    </w:pPr>
    <w:rPr>
      <w:rFonts w:asciiTheme="minorHAnsi" w:hAnsiTheme="minorHAnsi"/>
      <w:sz w:val="18"/>
      <w:lang w:val="en-GB"/>
    </w:rPr>
  </w:style>
  <w:style w:type="character" w:customStyle="1" w:styleId="BodySingleChar">
    <w:name w:val="Body Single Char"/>
    <w:basedOn w:val="BodyTextChar"/>
    <w:link w:val="BodySingle"/>
    <w:uiPriority w:val="1"/>
    <w:rsid w:val="00E86367"/>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1"/>
    <w:basedOn w:val="DefaultParagraphFont"/>
    <w:link w:val="Header"/>
    <w:uiPriority w:val="99"/>
    <w:rsid w:val="00E86367"/>
    <w:rPr>
      <w:rFonts w:asciiTheme="minorHAnsi" w:hAnsiTheme="minorHAnsi"/>
      <w:sz w:val="18"/>
    </w:rPr>
  </w:style>
  <w:style w:type="paragraph" w:styleId="Footer">
    <w:name w:val="footer"/>
    <w:aliases w:val="|| Footer"/>
    <w:basedOn w:val="Normal"/>
    <w:link w:val="FooterChar"/>
    <w:uiPriority w:val="99"/>
    <w:unhideWhenUsed/>
    <w:rsid w:val="00E86367"/>
    <w:pPr>
      <w:tabs>
        <w:tab w:val="center" w:pos="4536"/>
        <w:tab w:val="right" w:pos="9866"/>
      </w:tabs>
      <w:spacing w:line="240" w:lineRule="auto"/>
    </w:pPr>
    <w:rPr>
      <w:rFonts w:asciiTheme="minorHAnsi" w:hAnsiTheme="minorHAnsi"/>
      <w:sz w:val="18"/>
      <w:lang w:val="en-GB"/>
    </w:rPr>
  </w:style>
  <w:style w:type="character" w:customStyle="1" w:styleId="FooterChar">
    <w:name w:val="Footer Char"/>
    <w:aliases w:val="|| Footer Char"/>
    <w:basedOn w:val="DefaultParagraphFont"/>
    <w:link w:val="Footer"/>
    <w:uiPriority w:val="99"/>
    <w:rsid w:val="00E86367"/>
    <w:rPr>
      <w:rFonts w:asciiTheme="minorHAnsi" w:hAnsiTheme="minorHAnsi"/>
      <w:sz w:val="18"/>
    </w:rPr>
  </w:style>
  <w:style w:type="character" w:customStyle="1" w:styleId="Heading1Char">
    <w:name w:val="Heading 1 Char"/>
    <w:aliases w:val="Section Char,Heading 1 (nevda) Char,H1 Char,Headline 1 Char,h1 Char,Hoofdstuk Char,Section Heading Char,A MAJOR/BOLD Char,Heading 1 CFMU Char,Para 1 Char,l1 Char,Head 1 (Chapter heading) Char,Head 1 Char,Head 11 Char,Head 12 Char,t1 Char"/>
    <w:basedOn w:val="DefaultParagraphFont"/>
    <w:link w:val="Heading1"/>
    <w:uiPriority w:val="99"/>
    <w:rsid w:val="00E86367"/>
    <w:rPr>
      <w:rFonts w:asciiTheme="majorHAnsi" w:eastAsiaTheme="majorEastAsia" w:hAnsiTheme="majorHAnsi" w:cstheme="majorBidi"/>
      <w:b/>
      <w:bCs/>
      <w:i/>
      <w:color w:val="000000"/>
      <w:sz w:val="32"/>
      <w:szCs w:val="28"/>
    </w:rPr>
  </w:style>
  <w:style w:type="character" w:customStyle="1" w:styleId="Heading2Char">
    <w:name w:val="Heading 2 Char"/>
    <w:aliases w:val="Title Header2 Char,Heading 2 (nevda) Char,H2 Char,Headline 2 Char,h2 Char,2 Char,headi Char,heading2 Char,h21 Char,h22 Char,21 Char,l2 Char,kopregel 2 Char,HD2 Char,Heading 2 Hidden Char,Proposal Char,Level 2 Heading Char,ni2 Char"/>
    <w:basedOn w:val="DefaultParagraphFont"/>
    <w:link w:val="Heading2"/>
    <w:uiPriority w:val="99"/>
    <w:rsid w:val="00E86367"/>
    <w:rPr>
      <w:rFonts w:asciiTheme="majorHAnsi" w:eastAsiaTheme="majorEastAsia" w:hAnsiTheme="majorHAnsi" w:cstheme="majorBidi"/>
      <w:b/>
      <w:bCs/>
      <w:i/>
      <w:sz w:val="24"/>
      <w:szCs w:val="26"/>
    </w:rPr>
  </w:style>
  <w:style w:type="character" w:customStyle="1" w:styleId="Heading3Char">
    <w:name w:val="Heading 3 Char"/>
    <w:aliases w:val="TES_Skyrius 1.1.1. Char,Kap.1.1.1 Char Char,Kap.1.1.1 Char1,A3 Char,Heading 3 (nevda) Char,H3 Char,Section Header3 Char,Sub-Clause Paragraph Char,Diagrama14 Char,Sub-Clause Paragraph Diagrama Char,Section Header3 Diagrama Char"/>
    <w:basedOn w:val="DefaultParagraphFont"/>
    <w:link w:val="Heading3"/>
    <w:uiPriority w:val="99"/>
    <w:rsid w:val="00E86367"/>
    <w:rPr>
      <w:rFonts w:asciiTheme="majorHAnsi" w:eastAsiaTheme="majorEastAsia" w:hAnsiTheme="majorHAnsi" w:cstheme="majorBidi"/>
      <w:bCs/>
      <w:i/>
      <w:sz w:val="24"/>
    </w:rPr>
  </w:style>
  <w:style w:type="character" w:customStyle="1" w:styleId="Heading4Char">
    <w:name w:val="Heading 4 Char"/>
    <w:aliases w:val="Heading 4 (nevda) Char,H4 Char,Sub-Clause Sub-paragraph Char,Heading 4 Char Char Char Char Char,Antraštė 41 Char, Sub-Clause Sub-paragraph Char"/>
    <w:basedOn w:val="DefaultParagraphFont"/>
    <w:link w:val="Heading4"/>
    <w:uiPriority w:val="99"/>
    <w:rsid w:val="00E86367"/>
    <w:rPr>
      <w:rFonts w:asciiTheme="majorHAnsi" w:eastAsiaTheme="majorEastAsia" w:hAnsiTheme="majorHAnsi" w:cstheme="majorBidi"/>
      <w:bCs/>
      <w:i/>
      <w:iCs/>
    </w:rPr>
  </w:style>
  <w:style w:type="character" w:customStyle="1" w:styleId="Heading5Char">
    <w:name w:val="Heading 5 Char"/>
    <w:aliases w:val="Lentelems Char,H5 Char"/>
    <w:basedOn w:val="DefaultParagraphFont"/>
    <w:link w:val="Heading5"/>
    <w:uiPriority w:val="99"/>
    <w:rsid w:val="00E86367"/>
    <w:rPr>
      <w:rFonts w:asciiTheme="majorHAnsi" w:eastAsiaTheme="majorEastAsia" w:hAnsiTheme="majorHAnsi" w:cstheme="majorBidi"/>
    </w:rPr>
  </w:style>
  <w:style w:type="paragraph" w:styleId="Title">
    <w:name w:val="Title"/>
    <w:basedOn w:val="Normal"/>
    <w:next w:val="Subtitle"/>
    <w:link w:val="TitleChar"/>
    <w:uiPriority w:val="10"/>
    <w:qFormat/>
    <w:rsid w:val="00E86367"/>
    <w:pPr>
      <w:spacing w:line="240" w:lineRule="auto"/>
    </w:pPr>
    <w:rPr>
      <w:rFonts w:asciiTheme="majorHAnsi" w:eastAsiaTheme="majorEastAsia" w:hAnsiTheme="majorHAnsi" w:cstheme="majorBidi"/>
      <w:b/>
      <w:i/>
      <w:spacing w:val="5"/>
      <w:kern w:val="28"/>
      <w:sz w:val="56"/>
      <w:szCs w:val="52"/>
      <w:lang w:val="en-GB"/>
    </w:rPr>
  </w:style>
  <w:style w:type="character" w:customStyle="1" w:styleId="TitleChar">
    <w:name w:val="Title Char"/>
    <w:basedOn w:val="DefaultParagraphFont"/>
    <w:link w:val="Title"/>
    <w:uiPriority w:val="10"/>
    <w:rsid w:val="00E86367"/>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E86367"/>
    <w:pPr>
      <w:spacing w:before="480"/>
      <w:outlineLvl w:val="9"/>
    </w:pPr>
    <w:rPr>
      <w:lang w:val="en-US"/>
    </w:rPr>
  </w:style>
  <w:style w:type="paragraph" w:styleId="Subtitle">
    <w:name w:val="Subtitle"/>
    <w:basedOn w:val="Normal"/>
    <w:next w:val="BodyText"/>
    <w:link w:val="SubtitleChar"/>
    <w:uiPriority w:val="11"/>
    <w:qFormat/>
    <w:rsid w:val="00E86367"/>
    <w:pPr>
      <w:numPr>
        <w:ilvl w:val="1"/>
      </w:numPr>
      <w:spacing w:after="1200" w:line="240" w:lineRule="auto"/>
    </w:pPr>
    <w:rPr>
      <w:rFonts w:asciiTheme="majorHAnsi" w:eastAsiaTheme="majorEastAsia" w:hAnsiTheme="majorHAnsi" w:cstheme="majorBidi"/>
      <w:iCs/>
      <w:spacing w:val="15"/>
      <w:sz w:val="40"/>
      <w:szCs w:val="24"/>
      <w:lang w:val="en-GB"/>
    </w:rPr>
  </w:style>
  <w:style w:type="character" w:customStyle="1" w:styleId="SubtitleChar">
    <w:name w:val="Subtitle Char"/>
    <w:basedOn w:val="DefaultParagraphFont"/>
    <w:link w:val="Subtitle"/>
    <w:uiPriority w:val="11"/>
    <w:rsid w:val="00E86367"/>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E86367"/>
    <w:pPr>
      <w:spacing w:after="100"/>
    </w:pPr>
    <w:rPr>
      <w:lang w:val="en-GB"/>
    </w:rPr>
  </w:style>
  <w:style w:type="paragraph" w:styleId="TOC2">
    <w:name w:val="toc 2"/>
    <w:basedOn w:val="Normal"/>
    <w:next w:val="Normal"/>
    <w:autoRedefine/>
    <w:uiPriority w:val="39"/>
    <w:unhideWhenUsed/>
    <w:rsid w:val="00E86367"/>
    <w:pPr>
      <w:spacing w:after="100"/>
      <w:ind w:left="200"/>
    </w:pPr>
    <w:rPr>
      <w:lang w:val="en-GB"/>
    </w:rPr>
  </w:style>
  <w:style w:type="paragraph" w:styleId="TOC3">
    <w:name w:val="toc 3"/>
    <w:basedOn w:val="Normal"/>
    <w:next w:val="Normal"/>
    <w:autoRedefine/>
    <w:uiPriority w:val="39"/>
    <w:unhideWhenUsed/>
    <w:rsid w:val="00C8349D"/>
    <w:pPr>
      <w:tabs>
        <w:tab w:val="left" w:pos="1320"/>
        <w:tab w:val="right" w:leader="dot" w:pos="10194"/>
      </w:tabs>
      <w:spacing w:after="100"/>
      <w:ind w:left="400"/>
      <w:jc w:val="both"/>
    </w:pPr>
    <w:rPr>
      <w:lang w:val="en-GB"/>
    </w:rPr>
  </w:style>
  <w:style w:type="character" w:styleId="Hyperlink">
    <w:name w:val="Hyperlink"/>
    <w:basedOn w:val="DefaultParagraphFont"/>
    <w:uiPriority w:val="99"/>
    <w:unhideWhenUsed/>
    <w:rsid w:val="00E86367"/>
    <w:rPr>
      <w:color w:val="DC6900" w:themeColor="hyperlink"/>
      <w:u w:val="single"/>
    </w:rPr>
  </w:style>
  <w:style w:type="paragraph" w:styleId="BalloonText">
    <w:name w:val="Balloon Text"/>
    <w:basedOn w:val="Normal"/>
    <w:link w:val="BalloonTextChar"/>
    <w:uiPriority w:val="99"/>
    <w:semiHidden/>
    <w:unhideWhenUsed/>
    <w:rsid w:val="00E86367"/>
    <w:pPr>
      <w:spacing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86367"/>
    <w:rPr>
      <w:rFonts w:ascii="Tahoma" w:hAnsi="Tahoma" w:cs="Tahoma"/>
      <w:sz w:val="16"/>
      <w:szCs w:val="16"/>
    </w:rPr>
  </w:style>
  <w:style w:type="paragraph" w:styleId="ListBullet">
    <w:name w:val="List Bullet"/>
    <w:basedOn w:val="Normal"/>
    <w:uiPriority w:val="14"/>
    <w:unhideWhenUsed/>
    <w:qFormat/>
    <w:rsid w:val="00E86367"/>
    <w:pPr>
      <w:numPr>
        <w:numId w:val="1"/>
      </w:numPr>
      <w:contextualSpacing/>
    </w:pPr>
    <w:rPr>
      <w:lang w:val="en-GB"/>
    </w:rPr>
  </w:style>
  <w:style w:type="numbering" w:customStyle="1" w:styleId="PwCListBullets1">
    <w:name w:val="PwC List Bullets 1"/>
    <w:uiPriority w:val="99"/>
    <w:rsid w:val="00E86367"/>
    <w:pPr>
      <w:numPr>
        <w:numId w:val="1"/>
      </w:numPr>
    </w:pPr>
  </w:style>
  <w:style w:type="numbering" w:customStyle="1" w:styleId="PwCListNumbers1">
    <w:name w:val="PwC List Numbers 1"/>
    <w:uiPriority w:val="99"/>
    <w:rsid w:val="00E86367"/>
    <w:pPr>
      <w:numPr>
        <w:numId w:val="2"/>
      </w:numPr>
    </w:pPr>
  </w:style>
  <w:style w:type="paragraph" w:styleId="ListNumber">
    <w:name w:val="List Number"/>
    <w:basedOn w:val="Normal"/>
    <w:uiPriority w:val="13"/>
    <w:unhideWhenUsed/>
    <w:qFormat/>
    <w:rsid w:val="00E86367"/>
    <w:pPr>
      <w:numPr>
        <w:numId w:val="3"/>
      </w:numPr>
      <w:contextualSpacing/>
    </w:pPr>
    <w:rPr>
      <w:lang w:val="en-GB"/>
    </w:rPr>
  </w:style>
  <w:style w:type="paragraph" w:styleId="ListBullet2">
    <w:name w:val="List Bullet 2"/>
    <w:basedOn w:val="Normal"/>
    <w:uiPriority w:val="99"/>
    <w:unhideWhenUsed/>
    <w:qFormat/>
    <w:rsid w:val="00E86367"/>
    <w:pPr>
      <w:numPr>
        <w:ilvl w:val="1"/>
        <w:numId w:val="1"/>
      </w:numPr>
      <w:contextualSpacing/>
    </w:pPr>
    <w:rPr>
      <w:lang w:val="en-GB"/>
    </w:rPr>
  </w:style>
  <w:style w:type="paragraph" w:styleId="ListBullet3">
    <w:name w:val="List Bullet 3"/>
    <w:basedOn w:val="Normal"/>
    <w:uiPriority w:val="99"/>
    <w:unhideWhenUsed/>
    <w:qFormat/>
    <w:rsid w:val="00E86367"/>
    <w:pPr>
      <w:numPr>
        <w:ilvl w:val="2"/>
        <w:numId w:val="1"/>
      </w:numPr>
      <w:contextualSpacing/>
    </w:pPr>
    <w:rPr>
      <w:lang w:val="en-GB"/>
    </w:rPr>
  </w:style>
  <w:style w:type="paragraph" w:styleId="ListBullet4">
    <w:name w:val="List Bullet 4"/>
    <w:basedOn w:val="Normal"/>
    <w:uiPriority w:val="14"/>
    <w:unhideWhenUsed/>
    <w:rsid w:val="00E86367"/>
    <w:pPr>
      <w:numPr>
        <w:ilvl w:val="3"/>
        <w:numId w:val="1"/>
      </w:numPr>
      <w:contextualSpacing/>
    </w:pPr>
    <w:rPr>
      <w:lang w:val="en-GB"/>
    </w:rPr>
  </w:style>
  <w:style w:type="paragraph" w:styleId="ListBullet5">
    <w:name w:val="List Bullet 5"/>
    <w:basedOn w:val="Normal"/>
    <w:uiPriority w:val="99"/>
    <w:unhideWhenUsed/>
    <w:rsid w:val="00E86367"/>
    <w:pPr>
      <w:numPr>
        <w:ilvl w:val="4"/>
        <w:numId w:val="1"/>
      </w:numPr>
      <w:contextualSpacing/>
    </w:pPr>
    <w:rPr>
      <w:lang w:val="en-GB"/>
    </w:rPr>
  </w:style>
  <w:style w:type="paragraph" w:styleId="ListNumber2">
    <w:name w:val="List Number 2"/>
    <w:basedOn w:val="Normal"/>
    <w:uiPriority w:val="13"/>
    <w:unhideWhenUsed/>
    <w:qFormat/>
    <w:rsid w:val="00E86367"/>
    <w:pPr>
      <w:numPr>
        <w:ilvl w:val="1"/>
        <w:numId w:val="3"/>
      </w:numPr>
      <w:contextualSpacing/>
    </w:pPr>
    <w:rPr>
      <w:lang w:val="en-GB"/>
    </w:rPr>
  </w:style>
  <w:style w:type="paragraph" w:styleId="ListNumber3">
    <w:name w:val="List Number 3"/>
    <w:basedOn w:val="Normal"/>
    <w:uiPriority w:val="13"/>
    <w:unhideWhenUsed/>
    <w:qFormat/>
    <w:rsid w:val="00E86367"/>
    <w:pPr>
      <w:numPr>
        <w:ilvl w:val="2"/>
        <w:numId w:val="3"/>
      </w:numPr>
      <w:contextualSpacing/>
    </w:pPr>
    <w:rPr>
      <w:lang w:val="en-GB"/>
    </w:rPr>
  </w:style>
  <w:style w:type="paragraph" w:styleId="ListNumber4">
    <w:name w:val="List Number 4"/>
    <w:basedOn w:val="Normal"/>
    <w:uiPriority w:val="13"/>
    <w:semiHidden/>
    <w:unhideWhenUsed/>
    <w:rsid w:val="00E86367"/>
    <w:pPr>
      <w:numPr>
        <w:ilvl w:val="3"/>
        <w:numId w:val="3"/>
      </w:numPr>
      <w:contextualSpacing/>
    </w:pPr>
    <w:rPr>
      <w:lang w:val="en-GB"/>
    </w:rPr>
  </w:style>
  <w:style w:type="paragraph" w:styleId="ListNumber5">
    <w:name w:val="List Number 5"/>
    <w:basedOn w:val="Normal"/>
    <w:uiPriority w:val="13"/>
    <w:semiHidden/>
    <w:unhideWhenUsed/>
    <w:rsid w:val="00E86367"/>
    <w:pPr>
      <w:numPr>
        <w:ilvl w:val="4"/>
        <w:numId w:val="3"/>
      </w:numPr>
      <w:contextualSpacing/>
    </w:pPr>
    <w:rPr>
      <w:lang w:val="en-GB"/>
    </w:rPr>
  </w:style>
  <w:style w:type="paragraph" w:styleId="List">
    <w:name w:val="List"/>
    <w:basedOn w:val="Normal"/>
    <w:uiPriority w:val="99"/>
    <w:semiHidden/>
    <w:unhideWhenUsed/>
    <w:rsid w:val="00E86367"/>
    <w:pPr>
      <w:ind w:left="567" w:hanging="567"/>
      <w:contextualSpacing/>
    </w:pPr>
    <w:rPr>
      <w:lang w:val="en-GB"/>
    </w:rPr>
  </w:style>
  <w:style w:type="paragraph" w:styleId="List2">
    <w:name w:val="List 2"/>
    <w:basedOn w:val="Normal"/>
    <w:uiPriority w:val="99"/>
    <w:semiHidden/>
    <w:unhideWhenUsed/>
    <w:rsid w:val="00E86367"/>
    <w:pPr>
      <w:ind w:left="1134" w:hanging="567"/>
      <w:contextualSpacing/>
    </w:pPr>
    <w:rPr>
      <w:lang w:val="en-GB"/>
    </w:rPr>
  </w:style>
  <w:style w:type="paragraph" w:styleId="ListContinue">
    <w:name w:val="List Continue"/>
    <w:basedOn w:val="Normal"/>
    <w:uiPriority w:val="14"/>
    <w:unhideWhenUsed/>
    <w:qFormat/>
    <w:rsid w:val="00E86367"/>
    <w:pPr>
      <w:spacing w:after="120"/>
      <w:ind w:left="567"/>
      <w:contextualSpacing/>
    </w:pPr>
    <w:rPr>
      <w:lang w:val="en-GB"/>
    </w:rPr>
  </w:style>
  <w:style w:type="paragraph" w:styleId="ListContinue2">
    <w:name w:val="List Continue 2"/>
    <w:basedOn w:val="Normal"/>
    <w:uiPriority w:val="14"/>
    <w:unhideWhenUsed/>
    <w:qFormat/>
    <w:rsid w:val="00E86367"/>
    <w:pPr>
      <w:spacing w:after="120"/>
      <w:ind w:left="1134"/>
      <w:contextualSpacing/>
    </w:pPr>
    <w:rPr>
      <w:lang w:val="en-GB"/>
    </w:rPr>
  </w:style>
  <w:style w:type="paragraph" w:styleId="ListContinue3">
    <w:name w:val="List Continue 3"/>
    <w:basedOn w:val="Normal"/>
    <w:uiPriority w:val="14"/>
    <w:unhideWhenUsed/>
    <w:qFormat/>
    <w:rsid w:val="00E86367"/>
    <w:pPr>
      <w:spacing w:after="120"/>
      <w:ind w:left="1701"/>
      <w:contextualSpacing/>
    </w:pPr>
    <w:rPr>
      <w:lang w:val="en-GB"/>
    </w:rPr>
  </w:style>
  <w:style w:type="paragraph" w:styleId="ListContinue4">
    <w:name w:val="List Continue 4"/>
    <w:basedOn w:val="Normal"/>
    <w:uiPriority w:val="14"/>
    <w:semiHidden/>
    <w:unhideWhenUsed/>
    <w:rsid w:val="00E86367"/>
    <w:pPr>
      <w:spacing w:after="120"/>
      <w:ind w:left="2268"/>
      <w:contextualSpacing/>
    </w:pPr>
    <w:rPr>
      <w:lang w:val="en-GB"/>
    </w:rPr>
  </w:style>
  <w:style w:type="paragraph" w:styleId="ListContinue5">
    <w:name w:val="List Continue 5"/>
    <w:basedOn w:val="Normal"/>
    <w:uiPriority w:val="14"/>
    <w:semiHidden/>
    <w:unhideWhenUsed/>
    <w:rsid w:val="00E86367"/>
    <w:pPr>
      <w:spacing w:after="120"/>
      <w:ind w:left="2835"/>
      <w:contextualSpacing/>
    </w:pPr>
    <w:rPr>
      <w:lang w:val="en-GB"/>
    </w:rPr>
  </w:style>
  <w:style w:type="paragraph" w:styleId="List3">
    <w:name w:val="List 3"/>
    <w:basedOn w:val="Normal"/>
    <w:uiPriority w:val="99"/>
    <w:semiHidden/>
    <w:unhideWhenUsed/>
    <w:rsid w:val="00E86367"/>
    <w:pPr>
      <w:ind w:left="1701" w:hanging="567"/>
      <w:contextualSpacing/>
    </w:pPr>
    <w:rPr>
      <w:lang w:val="en-GB"/>
    </w:rPr>
  </w:style>
  <w:style w:type="paragraph" w:styleId="List4">
    <w:name w:val="List 4"/>
    <w:basedOn w:val="Normal"/>
    <w:uiPriority w:val="99"/>
    <w:semiHidden/>
    <w:unhideWhenUsed/>
    <w:rsid w:val="00E86367"/>
    <w:pPr>
      <w:ind w:left="2268" w:hanging="567"/>
      <w:contextualSpacing/>
    </w:pPr>
    <w:rPr>
      <w:lang w:val="en-GB"/>
    </w:rPr>
  </w:style>
  <w:style w:type="paragraph" w:styleId="List5">
    <w:name w:val="List 5"/>
    <w:basedOn w:val="Normal"/>
    <w:uiPriority w:val="99"/>
    <w:semiHidden/>
    <w:unhideWhenUsed/>
    <w:rsid w:val="00E86367"/>
    <w:pPr>
      <w:ind w:left="2835" w:hanging="567"/>
      <w:contextualSpacing/>
    </w:pPr>
    <w:rPr>
      <w:lang w:val="en-GB"/>
    </w:rPr>
  </w:style>
  <w:style w:type="table" w:styleId="TableGrid">
    <w:name w:val="Table Grid"/>
    <w:aliases w:val="Smart Text Table"/>
    <w:basedOn w:val="TableNormal"/>
    <w:uiPriority w:val="59"/>
    <w:rsid w:val="00E863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Text">
    <w:name w:val="PwC Table Text"/>
    <w:basedOn w:val="TableNormal"/>
    <w:uiPriority w:val="99"/>
    <w:qFormat/>
    <w:rsid w:val="00E86367"/>
    <w:pPr>
      <w:spacing w:before="60" w:after="60" w:line="240" w:lineRule="auto"/>
    </w:pPr>
    <w:tblPr>
      <w:tblStyleRowBandSize w:val="1"/>
      <w:tblBorders>
        <w:insideH w:val="dotted" w:sz="4" w:space="0" w:color="DC6900" w:themeColor="text2"/>
      </w:tblBorders>
    </w:tblPr>
    <w:tblStylePr w:type="firstRow">
      <w:rPr>
        <w:b/>
      </w:rPr>
      <w:tblPr/>
      <w:tcPr>
        <w:tcBorders>
          <w:top w:val="single" w:sz="6" w:space="0" w:color="DC6900" w:themeColor="text2"/>
          <w:bottom w:val="single" w:sz="6" w:space="0" w:color="DC6900" w:themeColor="text2"/>
        </w:tcBorders>
      </w:tcPr>
    </w:tblStylePr>
    <w:tblStylePr w:type="lastRow">
      <w:rPr>
        <w:b/>
      </w:rPr>
      <w:tblPr/>
      <w:tcPr>
        <w:tcBorders>
          <w:top w:val="single" w:sz="6" w:space="0" w:color="DC6900" w:themeColor="text2"/>
          <w:bottom w:val="single" w:sz="6" w:space="0" w:color="DC6900" w:themeColor="text2"/>
        </w:tcBorders>
      </w:tcPr>
    </w:tblStylePr>
    <w:tblStylePr w:type="band1Horz">
      <w:tblPr/>
      <w:tcPr>
        <w:tcBorders>
          <w:bottom w:val="nil"/>
        </w:tcBorders>
      </w:tcPr>
    </w:tblStylePr>
  </w:style>
  <w:style w:type="character" w:customStyle="1" w:styleId="Heading6Char">
    <w:name w:val="Heading 6 Char"/>
    <w:aliases w:val="Paveikslams Char"/>
    <w:basedOn w:val="DefaultParagraphFont"/>
    <w:link w:val="Heading6"/>
    <w:uiPriority w:val="99"/>
    <w:rsid w:val="00E86367"/>
    <w:rPr>
      <w:rFonts w:asciiTheme="majorHAnsi" w:eastAsiaTheme="majorEastAsia" w:hAnsiTheme="majorHAnsi" w:cstheme="majorBidi"/>
      <w:iCs/>
    </w:rPr>
  </w:style>
  <w:style w:type="character" w:customStyle="1" w:styleId="Heading7Char">
    <w:name w:val="Heading 7 Char"/>
    <w:basedOn w:val="DefaultParagraphFont"/>
    <w:link w:val="Heading7"/>
    <w:uiPriority w:val="99"/>
    <w:rsid w:val="00E86367"/>
    <w:rPr>
      <w:rFonts w:asciiTheme="majorHAnsi" w:eastAsiaTheme="majorEastAsia" w:hAnsiTheme="majorHAnsi" w:cstheme="majorBidi"/>
      <w:iCs/>
    </w:rPr>
  </w:style>
  <w:style w:type="character" w:customStyle="1" w:styleId="Heading8Char">
    <w:name w:val="Heading 8 Char"/>
    <w:basedOn w:val="DefaultParagraphFont"/>
    <w:link w:val="Heading8"/>
    <w:uiPriority w:val="99"/>
    <w:rsid w:val="00E86367"/>
    <w:rPr>
      <w:rFonts w:asciiTheme="majorHAnsi" w:eastAsiaTheme="majorEastAsia" w:hAnsiTheme="majorHAnsi" w:cstheme="majorBidi"/>
    </w:rPr>
  </w:style>
  <w:style w:type="character" w:customStyle="1" w:styleId="Heading9Char">
    <w:name w:val="Heading 9 Char"/>
    <w:basedOn w:val="DefaultParagraphFont"/>
    <w:link w:val="Heading9"/>
    <w:uiPriority w:val="99"/>
    <w:rsid w:val="00E86367"/>
    <w:rPr>
      <w:rFonts w:asciiTheme="majorHAnsi" w:eastAsiaTheme="majorEastAsia" w:hAnsiTheme="majorHAnsi" w:cstheme="majorBidi"/>
      <w:iCs/>
    </w:rPr>
  </w:style>
  <w:style w:type="table" w:styleId="MediumShading2-Accent3">
    <w:name w:val="Medium Shading 2 Accent 3"/>
    <w:basedOn w:val="TableNormal"/>
    <w:uiPriority w:val="64"/>
    <w:rsid w:val="00E863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86367"/>
    <w:pPr>
      <w:spacing w:after="0" w:line="240" w:lineRule="auto"/>
    </w:p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NoParagraphStyle">
    <w:name w:val="[No Paragraph Style]"/>
    <w:rsid w:val="008915B2"/>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US"/>
    </w:rPr>
  </w:style>
  <w:style w:type="paragraph" w:customStyle="1" w:styleId="PwCAddress">
    <w:name w:val="PwC Address"/>
    <w:basedOn w:val="Normal"/>
    <w:link w:val="PwCAddressChar"/>
    <w:uiPriority w:val="99"/>
    <w:qFormat/>
    <w:rsid w:val="008915B2"/>
    <w:pPr>
      <w:spacing w:line="200" w:lineRule="atLeast"/>
    </w:pPr>
    <w:rPr>
      <w:i/>
      <w:noProof/>
      <w:color w:val="auto"/>
      <w:sz w:val="18"/>
      <w:szCs w:val="22"/>
      <w:lang w:val="en-GB" w:eastAsia="en-GB"/>
    </w:rPr>
  </w:style>
  <w:style w:type="character" w:customStyle="1" w:styleId="PwCAddressChar">
    <w:name w:val="PwC Address Char"/>
    <w:link w:val="PwCAddress"/>
    <w:uiPriority w:val="99"/>
    <w:rsid w:val="008915B2"/>
    <w:rPr>
      <w:rFonts w:eastAsia="Arial" w:cs="Times New Roman"/>
      <w:i/>
      <w:noProof/>
      <w:sz w:val="18"/>
      <w:szCs w:val="22"/>
      <w:lang w:eastAsia="en-GB"/>
    </w:rPr>
  </w:style>
  <w:style w:type="character" w:styleId="Strong">
    <w:name w:val="Strong"/>
    <w:qFormat/>
    <w:rsid w:val="008A593F"/>
    <w:rPr>
      <w:b/>
      <w:bCs/>
    </w:rPr>
  </w:style>
  <w:style w:type="paragraph" w:customStyle="1" w:styleId="1Heading">
    <w:name w:val="1 Heading"/>
    <w:basedOn w:val="Normal"/>
    <w:link w:val="1HeadingChar"/>
    <w:uiPriority w:val="99"/>
    <w:qFormat/>
    <w:rsid w:val="008A593F"/>
    <w:pPr>
      <w:keepNext/>
      <w:keepLines/>
      <w:spacing w:before="360" w:after="480"/>
      <w:outlineLvl w:val="0"/>
    </w:pPr>
    <w:rPr>
      <w:rFonts w:eastAsia="Times New Roman"/>
      <w:b/>
      <w:bCs/>
      <w:i/>
      <w:color w:val="auto"/>
      <w:sz w:val="32"/>
      <w:szCs w:val="32"/>
      <w:lang w:val="en-GB"/>
    </w:rPr>
  </w:style>
  <w:style w:type="character" w:customStyle="1" w:styleId="1HeadingChar">
    <w:name w:val="1 Heading Char"/>
    <w:link w:val="1Heading"/>
    <w:uiPriority w:val="99"/>
    <w:rsid w:val="008A593F"/>
    <w:rPr>
      <w:rFonts w:eastAsia="Times New Roman" w:cs="Times New Roman"/>
      <w:b/>
      <w:bCs/>
      <w:i/>
      <w:sz w:val="32"/>
      <w:szCs w:val="32"/>
    </w:rPr>
  </w:style>
  <w:style w:type="paragraph" w:styleId="Signature">
    <w:name w:val="Signature"/>
    <w:basedOn w:val="Normal"/>
    <w:next w:val="Normal"/>
    <w:link w:val="SignatureChar"/>
    <w:rsid w:val="000F253C"/>
    <w:pPr>
      <w:keepNext/>
      <w:spacing w:before="360" w:after="800" w:line="240" w:lineRule="auto"/>
    </w:pPr>
    <w:rPr>
      <w:rFonts w:ascii="Times New Roman" w:eastAsia="Times New Roman" w:hAnsi="Times New Roman"/>
      <w:color w:val="auto"/>
      <w:spacing w:val="-5"/>
      <w:sz w:val="24"/>
      <w:szCs w:val="20"/>
      <w:lang w:val="en-US"/>
    </w:rPr>
  </w:style>
  <w:style w:type="character" w:customStyle="1" w:styleId="SignatureChar">
    <w:name w:val="Signature Char"/>
    <w:basedOn w:val="DefaultParagraphFont"/>
    <w:link w:val="Signature"/>
    <w:rsid w:val="000F253C"/>
    <w:rPr>
      <w:rFonts w:ascii="Times New Roman" w:eastAsia="Times New Roman" w:hAnsi="Times New Roman" w:cs="Times New Roman"/>
      <w:spacing w:val="-5"/>
      <w:sz w:val="24"/>
      <w:lang w:val="en-US"/>
    </w:rPr>
  </w:style>
  <w:style w:type="paragraph" w:customStyle="1" w:styleId="CharChar">
    <w:name w:val="Char Char"/>
    <w:basedOn w:val="Normal"/>
    <w:rsid w:val="000F253C"/>
    <w:pPr>
      <w:spacing w:after="160" w:line="240" w:lineRule="exact"/>
    </w:pPr>
    <w:rPr>
      <w:rFonts w:ascii="Tahoma" w:eastAsia="Times New Roman" w:hAnsi="Tahoma"/>
      <w:color w:val="auto"/>
      <w:szCs w:val="20"/>
      <w:lang w:val="en-US"/>
    </w:rPr>
  </w:style>
  <w:style w:type="paragraph" w:styleId="ListParagraph">
    <w:name w:val="List Paragraph"/>
    <w:aliases w:val="List Paragraph21,Lentele,Table of contents numbered,ERP-List Paragraph,List Paragraph1,List Paragraph11,Bullet EY,List Paragraph2,Bullet,List Paragraph3,Paragraph,List Paragraph Red,Numbering,lp1,Bullet 1,Use Case List Paragraph"/>
    <w:basedOn w:val="Normal"/>
    <w:link w:val="ListParagraphChar"/>
    <w:uiPriority w:val="34"/>
    <w:unhideWhenUsed/>
    <w:qFormat/>
    <w:rsid w:val="004947BC"/>
    <w:pPr>
      <w:ind w:left="720"/>
      <w:contextualSpacing/>
    </w:pPr>
    <w:rPr>
      <w:lang w:val="en-GB"/>
    </w:rPr>
  </w:style>
  <w:style w:type="table" w:styleId="LightList-Accent5">
    <w:name w:val="Light List Accent 5"/>
    <w:basedOn w:val="TableNormal"/>
    <w:uiPriority w:val="61"/>
    <w:rsid w:val="00ED07BC"/>
    <w:pPr>
      <w:spacing w:after="0" w:line="240" w:lineRule="auto"/>
    </w:pPr>
    <w:tblPr>
      <w:tblStyleRowBandSize w:val="1"/>
      <w:tblStyleColBandSize w:val="1"/>
      <w:tblBorders>
        <w:top w:val="single" w:sz="8" w:space="0" w:color="A32020" w:themeColor="accent5"/>
        <w:left w:val="single" w:sz="8" w:space="0" w:color="A32020" w:themeColor="accent5"/>
        <w:bottom w:val="single" w:sz="8" w:space="0" w:color="A32020" w:themeColor="accent5"/>
        <w:right w:val="single" w:sz="8" w:space="0" w:color="A32020" w:themeColor="accent5"/>
      </w:tblBorders>
    </w:tblPr>
    <w:tblStylePr w:type="firstRow">
      <w:pPr>
        <w:spacing w:before="0" w:after="0" w:line="240" w:lineRule="auto"/>
      </w:pPr>
      <w:rPr>
        <w:b/>
        <w:bCs/>
        <w:color w:val="FFFFFF" w:themeColor="background1"/>
      </w:rPr>
      <w:tblPr/>
      <w:tcPr>
        <w:shd w:val="clear" w:color="auto" w:fill="A32020" w:themeFill="accent5"/>
      </w:tcPr>
    </w:tblStylePr>
    <w:tblStylePr w:type="lastRow">
      <w:pPr>
        <w:spacing w:before="0" w:after="0" w:line="240" w:lineRule="auto"/>
      </w:pPr>
      <w:rPr>
        <w:b/>
        <w:bCs/>
      </w:rPr>
      <w:tblPr/>
      <w:tcPr>
        <w:tcBorders>
          <w:top w:val="double" w:sz="6" w:space="0" w:color="A32020" w:themeColor="accent5"/>
          <w:left w:val="single" w:sz="8" w:space="0" w:color="A32020" w:themeColor="accent5"/>
          <w:bottom w:val="single" w:sz="8" w:space="0" w:color="A32020" w:themeColor="accent5"/>
          <w:right w:val="single" w:sz="8" w:space="0" w:color="A32020" w:themeColor="accent5"/>
        </w:tcBorders>
      </w:tcPr>
    </w:tblStylePr>
    <w:tblStylePr w:type="firstCol">
      <w:rPr>
        <w:b/>
        <w:bCs/>
      </w:rPr>
    </w:tblStylePr>
    <w:tblStylePr w:type="lastCol">
      <w:rPr>
        <w:b/>
        <w:bCs/>
      </w:rPr>
    </w:tblStylePr>
    <w:tblStylePr w:type="band1Vert">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tblStylePr w:type="band1Horz">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style>
  <w:style w:type="table" w:styleId="LightList-Accent4">
    <w:name w:val="Light List Accent 4"/>
    <w:basedOn w:val="TableNormal"/>
    <w:uiPriority w:val="61"/>
    <w:rsid w:val="00DD01C3"/>
    <w:pPr>
      <w:spacing w:after="0" w:line="240" w:lineRule="auto"/>
    </w:p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styleId="LightList-Accent2">
    <w:name w:val="Light List Accent 2"/>
    <w:basedOn w:val="TableNormal"/>
    <w:uiPriority w:val="61"/>
    <w:rsid w:val="00395A26"/>
    <w:pPr>
      <w:spacing w:after="0" w:line="240" w:lineRule="auto"/>
    </w:pPr>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tblBorders>
    </w:tblPr>
    <w:tblStylePr w:type="firstRow">
      <w:pPr>
        <w:spacing w:before="0" w:after="0" w:line="240" w:lineRule="auto"/>
      </w:pPr>
      <w:rPr>
        <w:b/>
        <w:bCs/>
        <w:color w:val="FFFFFF" w:themeColor="background1"/>
      </w:rPr>
      <w:tblPr/>
      <w:tcPr>
        <w:shd w:val="clear" w:color="auto" w:fill="FFB600" w:themeFill="accent2"/>
      </w:tcPr>
    </w:tblStylePr>
    <w:tblStylePr w:type="lastRow">
      <w:pPr>
        <w:spacing w:before="0" w:after="0" w:line="240" w:lineRule="auto"/>
      </w:pPr>
      <w:rPr>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tcBorders>
      </w:tcPr>
    </w:tblStylePr>
    <w:tblStylePr w:type="firstCol">
      <w:rPr>
        <w:b/>
        <w:bCs/>
      </w:rPr>
    </w:tblStylePr>
    <w:tblStylePr w:type="lastCol">
      <w:rPr>
        <w:b/>
        <w:bCs/>
      </w:r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style>
  <w:style w:type="table" w:customStyle="1" w:styleId="LightList-Accent11">
    <w:name w:val="Light List - Accent 11"/>
    <w:basedOn w:val="TableNormal"/>
    <w:uiPriority w:val="61"/>
    <w:rsid w:val="00395A26"/>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styleId="CommentReference">
    <w:name w:val="annotation reference"/>
    <w:basedOn w:val="DefaultParagraphFont"/>
    <w:uiPriority w:val="99"/>
    <w:semiHidden/>
    <w:unhideWhenUsed/>
    <w:rsid w:val="00B549C4"/>
    <w:rPr>
      <w:sz w:val="16"/>
      <w:szCs w:val="16"/>
    </w:rPr>
  </w:style>
  <w:style w:type="paragraph" w:styleId="CommentText">
    <w:name w:val="annotation text"/>
    <w:basedOn w:val="Normal"/>
    <w:link w:val="CommentTextChar"/>
    <w:uiPriority w:val="99"/>
    <w:unhideWhenUsed/>
    <w:rsid w:val="00B549C4"/>
    <w:pPr>
      <w:spacing w:line="240" w:lineRule="auto"/>
    </w:pPr>
    <w:rPr>
      <w:szCs w:val="20"/>
      <w:lang w:val="en-GB"/>
    </w:rPr>
  </w:style>
  <w:style w:type="character" w:customStyle="1" w:styleId="CommentTextChar">
    <w:name w:val="Comment Text Char"/>
    <w:basedOn w:val="DefaultParagraphFont"/>
    <w:link w:val="CommentText"/>
    <w:uiPriority w:val="99"/>
    <w:rsid w:val="00B549C4"/>
    <w:rPr>
      <w:rFonts w:eastAsia="Arial" w:cs="Times New Roman"/>
      <w:color w:val="000000"/>
    </w:rPr>
  </w:style>
  <w:style w:type="paragraph" w:styleId="CommentSubject">
    <w:name w:val="annotation subject"/>
    <w:basedOn w:val="CommentText"/>
    <w:next w:val="CommentText"/>
    <w:link w:val="CommentSubjectChar"/>
    <w:uiPriority w:val="99"/>
    <w:semiHidden/>
    <w:unhideWhenUsed/>
    <w:rsid w:val="00B549C4"/>
    <w:rPr>
      <w:b/>
      <w:bCs/>
    </w:rPr>
  </w:style>
  <w:style w:type="character" w:customStyle="1" w:styleId="CommentSubjectChar">
    <w:name w:val="Comment Subject Char"/>
    <w:basedOn w:val="CommentTextChar"/>
    <w:link w:val="CommentSubject"/>
    <w:uiPriority w:val="99"/>
    <w:semiHidden/>
    <w:rsid w:val="00B549C4"/>
    <w:rPr>
      <w:rFonts w:eastAsia="Arial" w:cs="Times New Roman"/>
      <w:b/>
      <w:bCs/>
      <w:color w:val="000000"/>
    </w:rPr>
  </w:style>
  <w:style w:type="paragraph" w:styleId="Caption">
    <w:name w:val="caption"/>
    <w:aliases w:val="Pav.,• Caption,Table caption,paveikslas,Paveikslo pavadinimas,TabelOverskrift"/>
    <w:basedOn w:val="Normal"/>
    <w:next w:val="Normal"/>
    <w:link w:val="CaptionChar"/>
    <w:uiPriority w:val="35"/>
    <w:unhideWhenUsed/>
    <w:qFormat/>
    <w:rsid w:val="00B114FA"/>
    <w:pPr>
      <w:spacing w:before="120" w:after="120" w:line="240" w:lineRule="auto"/>
      <w:jc w:val="center"/>
    </w:pPr>
    <w:rPr>
      <w:rFonts w:eastAsia="Times New Roman"/>
      <w:b/>
      <w:bCs/>
      <w:i/>
      <w:color w:val="808080" w:themeColor="background2" w:themeShade="80"/>
      <w:szCs w:val="20"/>
      <w:lang w:eastAsia="lt-LT"/>
    </w:rPr>
  </w:style>
  <w:style w:type="character" w:customStyle="1" w:styleId="ListParagraphChar">
    <w:name w:val="List Paragraph Char"/>
    <w:aliases w:val="List Paragraph21 Char,Lentele Char,Table of contents numbered Char,ERP-List Paragraph Char,List Paragraph1 Char,List Paragraph11 Char,Bullet EY Char,List Paragraph2 Char,Bullet Char,List Paragraph3 Char,Paragraph Char,Numbering Char"/>
    <w:link w:val="ListParagraph"/>
    <w:uiPriority w:val="34"/>
    <w:locked/>
    <w:rsid w:val="00490830"/>
    <w:rPr>
      <w:rFonts w:eastAsia="Arial" w:cs="Times New Roman"/>
      <w:color w:val="000000"/>
      <w:szCs w:val="21"/>
    </w:rPr>
  </w:style>
  <w:style w:type="paragraph" w:customStyle="1" w:styleId="TEKSTAS">
    <w:name w:val="TEKSTAS"/>
    <w:basedOn w:val="Normal"/>
    <w:rsid w:val="00AC4AA8"/>
    <w:pPr>
      <w:spacing w:before="120" w:after="120" w:line="240" w:lineRule="auto"/>
    </w:pPr>
    <w:rPr>
      <w:rFonts w:ascii="Arial" w:eastAsia="MS Mincho" w:hAnsi="Arial" w:cs="Arial"/>
      <w:color w:val="auto"/>
      <w:szCs w:val="22"/>
      <w:lang w:eastAsia="ja-JP"/>
    </w:rPr>
  </w:style>
  <w:style w:type="character" w:styleId="Emphasis">
    <w:name w:val="Emphasis"/>
    <w:basedOn w:val="DefaultParagraphFont"/>
    <w:uiPriority w:val="20"/>
    <w:qFormat/>
    <w:rsid w:val="00AC4AA8"/>
    <w:rPr>
      <w:i/>
      <w:iCs/>
    </w:rPr>
  </w:style>
  <w:style w:type="paragraph" w:customStyle="1" w:styleId="bullettrumpi">
    <w:name w:val="bullet trumpi"/>
    <w:basedOn w:val="Normal"/>
    <w:rsid w:val="00AC4AA8"/>
    <w:pPr>
      <w:numPr>
        <w:numId w:val="5"/>
      </w:numPr>
      <w:spacing w:line="240" w:lineRule="auto"/>
    </w:pPr>
    <w:rPr>
      <w:rFonts w:ascii="Times New Roman" w:eastAsia="Times New Roman" w:hAnsi="Times New Roman"/>
      <w:color w:val="auto"/>
      <w:sz w:val="24"/>
      <w:szCs w:val="24"/>
      <w:lang w:eastAsia="lt-LT"/>
    </w:rPr>
  </w:style>
  <w:style w:type="table" w:customStyle="1" w:styleId="PwCTableFigures">
    <w:name w:val="PwC Table Figures"/>
    <w:basedOn w:val="TableNormal"/>
    <w:uiPriority w:val="99"/>
    <w:qFormat/>
    <w:rsid w:val="00AC4AA8"/>
    <w:pPr>
      <w:tabs>
        <w:tab w:val="decimal" w:pos="1134"/>
      </w:tabs>
      <w:spacing w:before="60" w:after="60" w:line="240" w:lineRule="auto"/>
    </w:pPr>
    <w:rPr>
      <w:rFonts w:asciiTheme="minorHAnsi" w:hAnsiTheme="minorHAnsi"/>
    </w:rPr>
    <w:tblPr>
      <w:tblBorders>
        <w:insideH w:val="dotted" w:sz="4" w:space="0" w:color="DC6900" w:themeColor="text2"/>
      </w:tblBorders>
    </w:tblPr>
    <w:tblStylePr w:type="firstRow">
      <w:rPr>
        <w:b/>
      </w:rPr>
      <w:tblPr/>
      <w:tcPr>
        <w:tcBorders>
          <w:top w:val="single" w:sz="6" w:space="0" w:color="DC6900" w:themeColor="text2"/>
          <w:left w:val="nil"/>
          <w:bottom w:val="single" w:sz="6" w:space="0" w:color="DC690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DC6900" w:themeColor="text2"/>
          <w:left w:val="nil"/>
          <w:bottom w:val="single" w:sz="6" w:space="0" w:color="DC6900" w:themeColor="text2"/>
          <w:right w:val="nil"/>
          <w:insideH w:val="nil"/>
          <w:insideV w:val="nil"/>
          <w:tl2br w:val="nil"/>
          <w:tr2bl w:val="nil"/>
        </w:tcBorders>
      </w:tcPr>
    </w:tblStylePr>
  </w:style>
  <w:style w:type="paragraph" w:customStyle="1" w:styleId="Pastraipa">
    <w:name w:val="Pastraipa"/>
    <w:basedOn w:val="Normal"/>
    <w:link w:val="PastraipaChar"/>
    <w:rsid w:val="00393AEC"/>
    <w:pPr>
      <w:keepNext/>
      <w:keepLines/>
      <w:spacing w:before="120" w:after="120" w:line="240" w:lineRule="auto"/>
    </w:pPr>
    <w:rPr>
      <w:rFonts w:ascii="Arial" w:eastAsia="Times New Roman" w:hAnsi="Arial"/>
      <w:b/>
      <w:color w:val="auto"/>
      <w:szCs w:val="24"/>
      <w:lang w:eastAsia="lt-LT"/>
    </w:rPr>
  </w:style>
  <w:style w:type="character" w:customStyle="1" w:styleId="PastraipaChar">
    <w:name w:val="Pastraipa Char"/>
    <w:basedOn w:val="DefaultParagraphFont"/>
    <w:link w:val="Pastraipa"/>
    <w:rsid w:val="00393AEC"/>
    <w:rPr>
      <w:rFonts w:ascii="Arial" w:eastAsia="Times New Roman" w:hAnsi="Arial" w:cs="Times New Roman"/>
      <w:b/>
      <w:szCs w:val="24"/>
      <w:lang w:val="lt-LT" w:eastAsia="lt-LT"/>
    </w:rPr>
  </w:style>
  <w:style w:type="numbering" w:customStyle="1" w:styleId="StyleBulleted7pt">
    <w:name w:val="Style Bulleted 7 pt"/>
    <w:basedOn w:val="NoList"/>
    <w:rsid w:val="00393AEC"/>
    <w:pPr>
      <w:numPr>
        <w:numId w:val="6"/>
      </w:numPr>
    </w:pPr>
  </w:style>
  <w:style w:type="paragraph" w:customStyle="1" w:styleId="Pas-pagrindinis">
    <w:name w:val="Pas-pagrindinis"/>
    <w:basedOn w:val="Normal"/>
    <w:rsid w:val="00393AEC"/>
    <w:pPr>
      <w:spacing w:before="120" w:after="60" w:line="240" w:lineRule="auto"/>
      <w:ind w:left="2268"/>
    </w:pPr>
    <w:rPr>
      <w:rFonts w:ascii="Times New Roman" w:eastAsia="Times New Roman" w:hAnsi="Times New Roman"/>
      <w:color w:val="auto"/>
      <w:szCs w:val="20"/>
      <w:lang w:eastAsia="en-GB"/>
    </w:rPr>
  </w:style>
  <w:style w:type="table" w:customStyle="1" w:styleId="LightList-Accent12">
    <w:name w:val="Light List - Accent 12"/>
    <w:basedOn w:val="TableNormal"/>
    <w:uiPriority w:val="61"/>
    <w:rsid w:val="00393AEC"/>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customStyle="1" w:styleId="CaptionChar">
    <w:name w:val="Caption Char"/>
    <w:aliases w:val="Pav. Char,• Caption Char,Table caption Char,paveikslas Char,Paveikslo pavadinimas Char,TabelOverskrift Char"/>
    <w:basedOn w:val="DefaultParagraphFont"/>
    <w:link w:val="Caption"/>
    <w:uiPriority w:val="35"/>
    <w:rsid w:val="00B114FA"/>
    <w:rPr>
      <w:rFonts w:eastAsia="Times New Roman" w:cs="Times New Roman"/>
      <w:b/>
      <w:bCs/>
      <w:i/>
      <w:color w:val="808080" w:themeColor="background2" w:themeShade="80"/>
      <w:lang w:val="lt-LT" w:eastAsia="lt-LT"/>
    </w:rPr>
  </w:style>
  <w:style w:type="table" w:customStyle="1" w:styleId="LightList-Accent18">
    <w:name w:val="Light List - Accent 18"/>
    <w:basedOn w:val="TableNormal"/>
    <w:next w:val="LightList-Accent1"/>
    <w:uiPriority w:val="61"/>
    <w:rsid w:val="00315FB5"/>
    <w:pPr>
      <w:spacing w:after="0" w:line="240" w:lineRule="auto"/>
    </w:pPr>
    <w:tblPr>
      <w:tblStyleRowBandSize w:val="1"/>
      <w:tblStyleColBandSize w:val="1"/>
      <w:tblBorders>
        <w:top w:val="single" w:sz="8" w:space="0" w:color="968C6D"/>
        <w:left w:val="single" w:sz="8" w:space="0" w:color="968C6D"/>
        <w:bottom w:val="single" w:sz="8" w:space="0" w:color="968C6D"/>
        <w:right w:val="single" w:sz="8" w:space="0" w:color="968C6D"/>
      </w:tblBorders>
    </w:tblPr>
    <w:tblStylePr w:type="firstRow">
      <w:pPr>
        <w:spacing w:before="0" w:after="0" w:line="240" w:lineRule="auto"/>
      </w:pPr>
      <w:rPr>
        <w:b/>
        <w:bCs/>
        <w:color w:val="FFFFFF"/>
      </w:rPr>
      <w:tblPr/>
      <w:tcPr>
        <w:shd w:val="clear" w:color="auto" w:fill="968C6D"/>
      </w:tcPr>
    </w:tblStylePr>
    <w:tblStylePr w:type="lastRow">
      <w:pPr>
        <w:spacing w:before="0" w:after="0" w:line="240" w:lineRule="auto"/>
      </w:pPr>
      <w:rPr>
        <w:b/>
        <w:bCs/>
      </w:rPr>
      <w:tblPr/>
      <w:tcPr>
        <w:tcBorders>
          <w:top w:val="double" w:sz="6" w:space="0" w:color="968C6D"/>
          <w:left w:val="single" w:sz="8" w:space="0" w:color="968C6D"/>
          <w:bottom w:val="single" w:sz="8" w:space="0" w:color="968C6D"/>
          <w:right w:val="single" w:sz="8" w:space="0" w:color="968C6D"/>
        </w:tcBorders>
      </w:tcPr>
    </w:tblStylePr>
    <w:tblStylePr w:type="firstCol">
      <w:rPr>
        <w:b/>
        <w:bCs/>
      </w:rPr>
    </w:tblStylePr>
    <w:tblStylePr w:type="lastCol">
      <w:rPr>
        <w:b/>
        <w:bCs/>
      </w:rPr>
    </w:tblStylePr>
    <w:tblStylePr w:type="band1Vert">
      <w:tblPr/>
      <w:tcPr>
        <w:tcBorders>
          <w:top w:val="single" w:sz="8" w:space="0" w:color="968C6D"/>
          <w:left w:val="single" w:sz="8" w:space="0" w:color="968C6D"/>
          <w:bottom w:val="single" w:sz="8" w:space="0" w:color="968C6D"/>
          <w:right w:val="single" w:sz="8" w:space="0" w:color="968C6D"/>
        </w:tcBorders>
      </w:tcPr>
    </w:tblStylePr>
    <w:tblStylePr w:type="band1Horz">
      <w:tblPr/>
      <w:tcPr>
        <w:tcBorders>
          <w:top w:val="single" w:sz="8" w:space="0" w:color="968C6D"/>
          <w:left w:val="single" w:sz="8" w:space="0" w:color="968C6D"/>
          <w:bottom w:val="single" w:sz="8" w:space="0" w:color="968C6D"/>
          <w:right w:val="single" w:sz="8" w:space="0" w:color="968C6D"/>
        </w:tcBorders>
      </w:tcPr>
    </w:tblStylePr>
  </w:style>
  <w:style w:type="table" w:styleId="LightList-Accent1">
    <w:name w:val="Light List Accent 1"/>
    <w:basedOn w:val="TableNormal"/>
    <w:uiPriority w:val="61"/>
    <w:rsid w:val="00315FB5"/>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paragraph" w:customStyle="1" w:styleId="BulletedListundernumpara">
    <w:name w:val="Bulleted List under num para"/>
    <w:basedOn w:val="Normal"/>
    <w:rsid w:val="004A0385"/>
    <w:pPr>
      <w:numPr>
        <w:numId w:val="7"/>
      </w:numPr>
      <w:tabs>
        <w:tab w:val="left" w:pos="1267"/>
      </w:tabs>
      <w:spacing w:before="120" w:line="240" w:lineRule="exact"/>
      <w:jc w:val="both"/>
    </w:pPr>
    <w:rPr>
      <w:rFonts w:ascii="Times New Roman" w:eastAsia="Times New Roman" w:hAnsi="Times New Roman"/>
      <w:color w:val="auto"/>
      <w:szCs w:val="20"/>
      <w:lang w:val="en-US"/>
    </w:rPr>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Footnote4"/>
    <w:basedOn w:val="Normal"/>
    <w:link w:val="FootnoteTextChar"/>
    <w:uiPriority w:val="99"/>
    <w:unhideWhenUsed/>
    <w:rsid w:val="007A3F87"/>
    <w:pPr>
      <w:spacing w:line="240" w:lineRule="auto"/>
    </w:pPr>
    <w:rPr>
      <w:rFonts w:eastAsiaTheme="minorHAnsi" w:cstheme="minorBidi"/>
      <w:noProof/>
      <w:color w:val="auto"/>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7A3F87"/>
    <w:rPr>
      <w:noProof/>
      <w:lang w:val="lt-LT"/>
    </w:rPr>
  </w:style>
  <w:style w:type="character" w:styleId="FootnoteReference">
    <w:name w:val="footnote reference"/>
    <w:aliases w:val="BVI fnr,Footnote symbol,Voetnootverwijzing,Times 10 Point,Exposant 3 Point,Footnote Reference Number,Footnote anchor,Footnote reference number,Footnote number,fr,Footnotemark,FR,Footnotemark1,Footnotemark2,FR1,Footnotemark3,FR2,Ref,o"/>
    <w:basedOn w:val="DefaultParagraphFont"/>
    <w:link w:val="SUPERSChar"/>
    <w:uiPriority w:val="99"/>
    <w:unhideWhenUsed/>
    <w:rsid w:val="007A3F87"/>
    <w:rPr>
      <w:vertAlign w:val="superscript"/>
    </w:rPr>
  </w:style>
  <w:style w:type="paragraph" w:styleId="BlockText">
    <w:name w:val="Block Text"/>
    <w:basedOn w:val="Normal"/>
    <w:rsid w:val="000B41E9"/>
    <w:pPr>
      <w:spacing w:line="240" w:lineRule="auto"/>
      <w:ind w:left="1440" w:right="142"/>
    </w:pPr>
    <w:rPr>
      <w:rFonts w:ascii="Times New Roman" w:eastAsia="Times New Roman" w:hAnsi="Times New Roman"/>
      <w:color w:val="auto"/>
      <w:sz w:val="24"/>
      <w:szCs w:val="20"/>
    </w:rPr>
  </w:style>
  <w:style w:type="paragraph" w:styleId="NormalWeb">
    <w:name w:val="Normal (Web)"/>
    <w:basedOn w:val="Normal"/>
    <w:uiPriority w:val="99"/>
    <w:unhideWhenUsed/>
    <w:rsid w:val="008E204E"/>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Text">
    <w:name w:val="Text"/>
    <w:basedOn w:val="Normal"/>
    <w:link w:val="TextChar"/>
    <w:uiPriority w:val="99"/>
    <w:qFormat/>
    <w:rsid w:val="00CC3497"/>
    <w:pPr>
      <w:tabs>
        <w:tab w:val="left" w:pos="9600"/>
      </w:tabs>
      <w:spacing w:after="240" w:line="276" w:lineRule="auto"/>
      <w:ind w:left="505" w:right="74"/>
      <w:jc w:val="both"/>
    </w:pPr>
    <w:rPr>
      <w:rFonts w:eastAsiaTheme="minorEastAsia" w:cstheme="minorBidi"/>
      <w:noProof/>
      <w:color w:val="auto"/>
      <w:sz w:val="24"/>
      <w:szCs w:val="22"/>
      <w:lang w:eastAsia="lt-LT"/>
    </w:rPr>
  </w:style>
  <w:style w:type="character" w:customStyle="1" w:styleId="TextChar">
    <w:name w:val="Text Char"/>
    <w:basedOn w:val="DefaultParagraphFont"/>
    <w:link w:val="Text"/>
    <w:uiPriority w:val="99"/>
    <w:rsid w:val="00CC3497"/>
    <w:rPr>
      <w:rFonts w:ascii="Cambria" w:eastAsiaTheme="minorEastAsia" w:hAnsi="Cambria"/>
      <w:noProof/>
      <w:sz w:val="24"/>
      <w:szCs w:val="22"/>
      <w:lang w:val="lt-LT" w:eastAsia="lt-LT"/>
    </w:rPr>
  </w:style>
  <w:style w:type="paragraph" w:customStyle="1" w:styleId="text-15-str">
    <w:name w:val="text-15-str"/>
    <w:basedOn w:val="Normal"/>
    <w:rsid w:val="00B514D2"/>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SLONormal">
    <w:name w:val="SLO Normal"/>
    <w:qFormat/>
    <w:rsid w:val="006A25C5"/>
    <w:pPr>
      <w:spacing w:before="120" w:after="120" w:line="240" w:lineRule="auto"/>
      <w:jc w:val="both"/>
    </w:pPr>
    <w:rPr>
      <w:rFonts w:ascii="Times New Roman" w:eastAsia="Times New Roman" w:hAnsi="Times New Roman" w:cs="Times New Roman"/>
      <w:kern w:val="24"/>
      <w:sz w:val="22"/>
      <w:szCs w:val="24"/>
    </w:rPr>
  </w:style>
  <w:style w:type="paragraph" w:customStyle="1" w:styleId="TESALaukelis">
    <w:name w:val="TES_ALaukelis"/>
    <w:basedOn w:val="Normal"/>
    <w:autoRedefine/>
    <w:uiPriority w:val="99"/>
    <w:rsid w:val="004A6A25"/>
    <w:pPr>
      <w:spacing w:before="120" w:after="120" w:line="240" w:lineRule="auto"/>
    </w:pPr>
    <w:rPr>
      <w:rFonts w:eastAsiaTheme="majorEastAsia" w:cstheme="majorBidi"/>
      <w:b/>
      <w:color w:val="FFFFFF" w:themeColor="background1"/>
      <w:spacing w:val="5"/>
      <w:kern w:val="28"/>
      <w:sz w:val="32"/>
      <w:szCs w:val="32"/>
    </w:rPr>
  </w:style>
  <w:style w:type="paragraph" w:customStyle="1" w:styleId="TESpaveikslopavadinimas">
    <w:name w:val="TES_paveikslo pavadinimas"/>
    <w:basedOn w:val="Normal"/>
    <w:link w:val="TESpaveikslopavadinimasChar"/>
    <w:qFormat/>
    <w:rsid w:val="007878E3"/>
    <w:pPr>
      <w:spacing w:before="120" w:after="240" w:line="240" w:lineRule="auto"/>
      <w:ind w:left="360"/>
      <w:jc w:val="center"/>
    </w:pPr>
    <w:rPr>
      <w:rFonts w:ascii="Calibri" w:eastAsiaTheme="minorHAnsi" w:hAnsi="Calibri" w:cs="Miriam"/>
      <w:b/>
      <w:iCs/>
      <w:color w:val="6B7487"/>
      <w:szCs w:val="18"/>
    </w:rPr>
  </w:style>
  <w:style w:type="character" w:customStyle="1" w:styleId="TESpaveikslopavadinimasChar">
    <w:name w:val="TES_paveikslo pavadinimas Char"/>
    <w:basedOn w:val="DefaultParagraphFont"/>
    <w:link w:val="TESpaveikslopavadinimas"/>
    <w:rsid w:val="007878E3"/>
    <w:rPr>
      <w:rFonts w:ascii="Calibri" w:hAnsi="Calibri" w:cs="Miriam"/>
      <w:b/>
      <w:iCs/>
      <w:color w:val="6B7487"/>
      <w:szCs w:val="18"/>
      <w:lang w:val="lt-LT"/>
    </w:rPr>
  </w:style>
  <w:style w:type="paragraph" w:customStyle="1" w:styleId="SUPERSChar">
    <w:name w:val="SUPERS Char"/>
    <w:aliases w:val="EN Footnote Reference Char"/>
    <w:basedOn w:val="Normal"/>
    <w:link w:val="FootnoteReference"/>
    <w:uiPriority w:val="99"/>
    <w:rsid w:val="007878E3"/>
    <w:pPr>
      <w:spacing w:after="160" w:line="240" w:lineRule="exact"/>
    </w:pPr>
    <w:rPr>
      <w:rFonts w:eastAsiaTheme="minorHAnsi" w:cstheme="minorBidi"/>
      <w:color w:val="auto"/>
      <w:szCs w:val="20"/>
      <w:vertAlign w:val="superscript"/>
      <w:lang w:val="en-GB"/>
    </w:rPr>
  </w:style>
  <w:style w:type="paragraph" w:styleId="EndnoteText">
    <w:name w:val="endnote text"/>
    <w:basedOn w:val="Normal"/>
    <w:link w:val="EndnoteTextChar"/>
    <w:uiPriority w:val="99"/>
    <w:semiHidden/>
    <w:unhideWhenUsed/>
    <w:rsid w:val="00600C44"/>
    <w:pPr>
      <w:spacing w:line="240" w:lineRule="auto"/>
    </w:pPr>
    <w:rPr>
      <w:szCs w:val="20"/>
      <w:lang w:val="en-GB"/>
    </w:rPr>
  </w:style>
  <w:style w:type="character" w:customStyle="1" w:styleId="EndnoteTextChar">
    <w:name w:val="Endnote Text Char"/>
    <w:basedOn w:val="DefaultParagraphFont"/>
    <w:link w:val="EndnoteText"/>
    <w:uiPriority w:val="99"/>
    <w:semiHidden/>
    <w:rsid w:val="00600C44"/>
    <w:rPr>
      <w:rFonts w:eastAsia="Arial" w:cs="Times New Roman"/>
      <w:color w:val="000000"/>
    </w:rPr>
  </w:style>
  <w:style w:type="character" w:styleId="EndnoteReference">
    <w:name w:val="endnote reference"/>
    <w:basedOn w:val="DefaultParagraphFont"/>
    <w:uiPriority w:val="99"/>
    <w:semiHidden/>
    <w:unhideWhenUsed/>
    <w:rsid w:val="00600C44"/>
    <w:rPr>
      <w:vertAlign w:val="superscript"/>
    </w:rPr>
  </w:style>
  <w:style w:type="numbering" w:customStyle="1" w:styleId="Style3">
    <w:name w:val="Style3"/>
    <w:basedOn w:val="NoList"/>
    <w:rsid w:val="005B5209"/>
    <w:pPr>
      <w:numPr>
        <w:numId w:val="8"/>
      </w:numPr>
    </w:pPr>
  </w:style>
  <w:style w:type="character" w:customStyle="1" w:styleId="Antrat1Diagrama">
    <w:name w:val="Antraštė 1 Diagrama"/>
    <w:basedOn w:val="DefaultParagraphFont"/>
    <w:rsid w:val="007D620B"/>
    <w:rPr>
      <w:rFonts w:ascii="Times New Roman" w:eastAsia="Times New Roman" w:hAnsi="Times New Roman" w:cs="Times New Roman"/>
      <w:sz w:val="24"/>
      <w:szCs w:val="20"/>
      <w:lang w:eastAsia="en-US"/>
    </w:rPr>
  </w:style>
  <w:style w:type="paragraph" w:customStyle="1" w:styleId="BlockText2">
    <w:name w:val="Block Text 2"/>
    <w:basedOn w:val="Normal"/>
    <w:uiPriority w:val="99"/>
    <w:qFormat/>
    <w:rsid w:val="00BA6D37"/>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240" w:line="240" w:lineRule="auto"/>
      <w:ind w:left="227" w:right="227"/>
    </w:pPr>
    <w:rPr>
      <w:rFonts w:eastAsiaTheme="minorHAnsi" w:cstheme="minorBidi"/>
      <w:i/>
      <w:color w:val="FFFFFF" w:themeColor="background2"/>
      <w:sz w:val="48"/>
      <w:szCs w:val="48"/>
      <w:lang w:val="en-GB"/>
    </w:rPr>
  </w:style>
  <w:style w:type="table" w:customStyle="1" w:styleId="PwCTable1">
    <w:name w:val="PwC Table 1"/>
    <w:basedOn w:val="TableNormal"/>
    <w:uiPriority w:val="99"/>
    <w:qFormat/>
    <w:rsid w:val="00BA6D37"/>
    <w:pPr>
      <w:spacing w:after="0" w:line="240" w:lineRule="auto"/>
    </w:pPr>
    <w:rPr>
      <w:rFonts w:ascii="Arial" w:eastAsia="Arial" w:hAnsi="Arial" w:cs="Times New Roman"/>
      <w:sz w:val="18"/>
      <w:szCs w:val="22"/>
      <w:lang w:val="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Marlett" w:hAnsi="Marlett"/>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BodyText1">
    <w:name w:val="Body Text1"/>
    <w:basedOn w:val="Normal"/>
    <w:link w:val="BodytextChar0"/>
    <w:uiPriority w:val="99"/>
    <w:rsid w:val="00BA6D37"/>
    <w:pPr>
      <w:autoSpaceDE w:val="0"/>
      <w:autoSpaceDN w:val="0"/>
      <w:adjustRightInd w:val="0"/>
      <w:spacing w:after="180" w:line="260" w:lineRule="atLeast"/>
      <w:textAlignment w:val="center"/>
    </w:pPr>
    <w:rPr>
      <w:rFonts w:eastAsia="MS Mincho" w:cs="Georgia"/>
      <w:szCs w:val="20"/>
      <w:lang w:val="en-US"/>
    </w:rPr>
  </w:style>
  <w:style w:type="paragraph" w:customStyle="1" w:styleId="ListBullet6">
    <w:name w:val="List Bullet 6"/>
    <w:basedOn w:val="ListBullet5"/>
    <w:qFormat/>
    <w:rsid w:val="00C45A66"/>
    <w:pPr>
      <w:numPr>
        <w:ilvl w:val="0"/>
        <w:numId w:val="0"/>
      </w:numPr>
      <w:tabs>
        <w:tab w:val="num" w:pos="2381"/>
      </w:tabs>
      <w:spacing w:before="60" w:after="60"/>
      <w:ind w:left="2381" w:hanging="396"/>
    </w:pPr>
    <w:rPr>
      <w:rFonts w:asciiTheme="minorHAnsi" w:eastAsiaTheme="minorEastAsia" w:hAnsiTheme="minorHAnsi" w:cstheme="minorBidi"/>
      <w:color w:val="auto"/>
      <w:szCs w:val="22"/>
      <w:lang w:val="en-US"/>
    </w:rPr>
  </w:style>
  <w:style w:type="paragraph" w:customStyle="1" w:styleId="ListBullet7">
    <w:name w:val="List Bullet 7"/>
    <w:basedOn w:val="ListBullet6"/>
    <w:qFormat/>
    <w:rsid w:val="00C45A66"/>
    <w:pPr>
      <w:tabs>
        <w:tab w:val="clear" w:pos="2381"/>
        <w:tab w:val="num" w:pos="2778"/>
      </w:tabs>
      <w:ind w:left="2778" w:hanging="397"/>
    </w:pPr>
  </w:style>
  <w:style w:type="paragraph" w:customStyle="1" w:styleId="ListBullet8">
    <w:name w:val="List Bullet 8"/>
    <w:basedOn w:val="ListBullet7"/>
    <w:qFormat/>
    <w:rsid w:val="00C45A66"/>
    <w:pPr>
      <w:tabs>
        <w:tab w:val="clear" w:pos="2778"/>
        <w:tab w:val="num" w:pos="3175"/>
      </w:tabs>
      <w:ind w:left="3175"/>
    </w:pPr>
  </w:style>
  <w:style w:type="paragraph" w:customStyle="1" w:styleId="ListBullet9">
    <w:name w:val="List Bullet 9"/>
    <w:basedOn w:val="ListBullet8"/>
    <w:qFormat/>
    <w:rsid w:val="00C45A66"/>
    <w:pPr>
      <w:tabs>
        <w:tab w:val="clear" w:pos="3175"/>
        <w:tab w:val="num" w:pos="3572"/>
      </w:tabs>
      <w:ind w:left="3572"/>
    </w:pPr>
  </w:style>
  <w:style w:type="character" w:customStyle="1" w:styleId="BodytextChar0">
    <w:name w:val="Body text Char"/>
    <w:link w:val="BodyText1"/>
    <w:uiPriority w:val="99"/>
    <w:rsid w:val="00C45A66"/>
    <w:rPr>
      <w:rFonts w:eastAsia="MS Mincho" w:cs="Georgia"/>
      <w:color w:val="000000"/>
      <w:lang w:val="en-US"/>
    </w:rPr>
  </w:style>
  <w:style w:type="table" w:customStyle="1" w:styleId="VPVILentele1">
    <w:name w:val="VPVI Lentele 1"/>
    <w:basedOn w:val="TableGrid"/>
    <w:uiPriority w:val="99"/>
    <w:rsid w:val="00046954"/>
    <w:pPr>
      <w:spacing w:line="276" w:lineRule="auto"/>
      <w:contextualSpacing/>
    </w:pPr>
    <w:rPr>
      <w:rFonts w:asciiTheme="minorHAnsi" w:eastAsiaTheme="minorEastAsia" w:hAnsiTheme="minorHAns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76" w:lineRule="auto"/>
        <w:jc w:val="center"/>
      </w:pPr>
      <w:rPr>
        <w:rFonts w:asciiTheme="minorHAnsi" w:hAnsiTheme="minorHAnsi"/>
        <w:b/>
        <w:sz w:val="22"/>
      </w:rPr>
      <w:tblPr/>
      <w:tcPr>
        <w:shd w:val="clear" w:color="auto" w:fill="00505E"/>
      </w:tcPr>
    </w:tblStylePr>
    <w:tblStylePr w:type="lastRow">
      <w:pPr>
        <w:wordWrap/>
        <w:spacing w:beforeLines="0" w:before="0" w:beforeAutospacing="0" w:afterLines="0" w:after="0" w:afterAutospacing="0" w:line="276" w:lineRule="auto"/>
        <w:ind w:leftChars="0" w:left="0" w:rightChars="0" w:right="0"/>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firstCol">
      <w:pPr>
        <w:wordWrap/>
        <w:spacing w:line="276" w:lineRule="auto"/>
        <w:jc w:val="left"/>
      </w:pPr>
      <w:rPr>
        <w:rFonts w:asciiTheme="minorHAnsi" w:hAnsiTheme="minorHAnsi"/>
      </w:rPr>
    </w:tblStylePr>
    <w:tblStylePr w:type="lastCol">
      <w:pPr>
        <w:wordWrap/>
        <w:spacing w:line="276" w:lineRule="auto"/>
        <w:jc w:val="left"/>
      </w:pPr>
      <w:rPr>
        <w:rFonts w:asciiTheme="minorHAnsi" w:hAnsiTheme="minorHAnsi"/>
      </w:rPr>
    </w:tblStylePr>
    <w:tblStylePr w:type="band1Vert">
      <w:pPr>
        <w:jc w:val="left"/>
      </w:pPr>
      <w:rPr>
        <w:rFonts w:asciiTheme="minorHAnsi" w:hAnsiTheme="minorHAnsi"/>
      </w:rPr>
    </w:tblStylePr>
    <w:tblStylePr w:type="band2Vert">
      <w:pPr>
        <w:jc w:val="left"/>
      </w:pPr>
      <w:rPr>
        <w:rFonts w:asciiTheme="minorHAnsi" w:hAnsiTheme="minorHAnsi"/>
      </w:rPr>
    </w:tblStylePr>
    <w:tblStylePr w:type="band1Horz">
      <w:pPr>
        <w:wordWrap/>
        <w:spacing w:beforeLines="0" w:before="0" w:beforeAutospacing="0" w:afterLines="0" w:after="0" w:afterAutospacing="0" w:line="276" w:lineRule="auto"/>
        <w:jc w:val="left"/>
      </w:pPr>
      <w:rPr>
        <w:rFonts w:asciiTheme="minorHAnsi" w:hAnsiTheme="minorHAnsi"/>
        <w:b w:val="0"/>
        <w:sz w:val="20"/>
      </w:rPr>
      <w:tblPr/>
      <w:tcPr>
        <w:shd w:val="clear" w:color="auto" w:fill="F6E2A3"/>
      </w:tcPr>
    </w:tblStylePr>
    <w:tblStylePr w:type="band2Horz">
      <w:pPr>
        <w:wordWrap/>
        <w:spacing w:beforeLines="0" w:before="0" w:beforeAutospacing="0" w:afterLines="0" w:after="0" w:afterAutospacing="0" w:line="276" w:lineRule="auto"/>
        <w:ind w:firstLineChars="0" w:firstLine="0"/>
        <w:jc w:val="left"/>
      </w:pPr>
      <w:rPr>
        <w:rFonts w:asciiTheme="minorHAnsi" w:hAnsiTheme="minorHAnsi"/>
        <w:b w:val="0"/>
        <w:sz w:val="20"/>
      </w:rPr>
    </w:tblStylePr>
    <w:tblStylePr w:type="neCell">
      <w:pPr>
        <w:wordWrap/>
        <w:spacing w:beforeLines="0" w:before="0" w:beforeAutospacing="0" w:afterLines="0" w:after="0" w:afterAutospacing="0" w:line="276" w:lineRule="auto"/>
        <w:contextualSpacing/>
        <w:jc w:val="center"/>
      </w:pPr>
      <w:rPr>
        <w:rFonts w:asciiTheme="minorHAnsi" w:hAnsiTheme="minorHAnsi"/>
        <w:sz w:val="22"/>
      </w:rPr>
    </w:tblStylePr>
    <w:tblStylePr w:type="nwCell">
      <w:pPr>
        <w:jc w:val="left"/>
      </w:pPr>
      <w:rPr>
        <w:rFonts w:asciiTheme="minorHAnsi" w:hAnsiTheme="minorHAnsi"/>
      </w:rPr>
    </w:tblStylePr>
    <w:tblStylePr w:type="seCell">
      <w:pPr>
        <w:jc w:val="left"/>
      </w:pPr>
      <w:rPr>
        <w:rFonts w:asciiTheme="minorHAnsi" w:hAnsiTheme="minorHAnsi"/>
        <w:sz w:val="18"/>
      </w:rPr>
    </w:tblStylePr>
    <w:tblStylePr w:type="swCell">
      <w:pPr>
        <w:jc w:val="left"/>
      </w:pPr>
      <w:rPr>
        <w:rFonts w:asciiTheme="minorHAnsi" w:hAnsiTheme="minorHAnsi"/>
        <w:sz w:val="18"/>
      </w:rPr>
    </w:tblStylePr>
  </w:style>
  <w:style w:type="character" w:customStyle="1" w:styleId="UnresolvedMention1">
    <w:name w:val="Unresolved Mention1"/>
    <w:basedOn w:val="DefaultParagraphFont"/>
    <w:uiPriority w:val="99"/>
    <w:semiHidden/>
    <w:unhideWhenUsed/>
    <w:rsid w:val="009A32AE"/>
    <w:rPr>
      <w:color w:val="605E5C"/>
      <w:shd w:val="clear" w:color="auto" w:fill="E1DFDD"/>
    </w:rPr>
  </w:style>
  <w:style w:type="paragraph" w:customStyle="1" w:styleId="Default">
    <w:name w:val="Default"/>
    <w:rsid w:val="0038251D"/>
    <w:pPr>
      <w:autoSpaceDE w:val="0"/>
      <w:autoSpaceDN w:val="0"/>
      <w:adjustRightInd w:val="0"/>
      <w:spacing w:after="0" w:line="240" w:lineRule="auto"/>
    </w:pPr>
    <w:rPr>
      <w:rFonts w:ascii="Calibri" w:hAnsi="Calibri" w:cs="Calibri"/>
      <w:color w:val="000000"/>
      <w:sz w:val="24"/>
      <w:szCs w:val="24"/>
    </w:rPr>
  </w:style>
  <w:style w:type="table" w:customStyle="1" w:styleId="ListTable4-Accent31">
    <w:name w:val="List Table 4 - Accent 31"/>
    <w:basedOn w:val="TableNormal"/>
    <w:next w:val="ListTable4Accent3"/>
    <w:uiPriority w:val="49"/>
    <w:rsid w:val="0004751F"/>
    <w:pPr>
      <w:spacing w:after="0" w:line="240" w:lineRule="auto"/>
    </w:pPr>
    <w:rPr>
      <w:rFonts w:ascii="Calibri" w:hAnsi="Calibri"/>
      <w:sz w:val="22"/>
      <w:szCs w:val="22"/>
    </w:rPr>
    <w:tblPr>
      <w:tblStyleRowBandSize w:val="1"/>
      <w:tblStyleColBandSize w:val="1"/>
      <w:tblBorders>
        <w:top w:val="single" w:sz="4" w:space="0" w:color="98D8CE"/>
        <w:left w:val="single" w:sz="4" w:space="0" w:color="98D8CE"/>
        <w:bottom w:val="single" w:sz="4" w:space="0" w:color="98D8CE"/>
        <w:right w:val="single" w:sz="4" w:space="0" w:color="98D8CE"/>
        <w:insideH w:val="single" w:sz="4" w:space="0" w:color="98D8CE"/>
      </w:tblBorders>
    </w:tblPr>
    <w:tblStylePr w:type="firstRow">
      <w:rPr>
        <w:b/>
        <w:bCs/>
        <w:color w:val="FFFFFF"/>
      </w:rPr>
      <w:tblPr/>
      <w:tcPr>
        <w:tcBorders>
          <w:top w:val="single" w:sz="4" w:space="0" w:color="55BFAE"/>
          <w:left w:val="single" w:sz="4" w:space="0" w:color="55BFAE"/>
          <w:bottom w:val="single" w:sz="4" w:space="0" w:color="55BFAE"/>
          <w:right w:val="single" w:sz="4" w:space="0" w:color="55BFAE"/>
          <w:insideH w:val="nil"/>
        </w:tcBorders>
        <w:shd w:val="clear" w:color="auto" w:fill="55BFAE"/>
      </w:tcPr>
    </w:tblStylePr>
    <w:tblStylePr w:type="lastRow">
      <w:rPr>
        <w:b/>
        <w:bCs/>
      </w:rPr>
      <w:tblPr/>
      <w:tcPr>
        <w:tcBorders>
          <w:top w:val="double" w:sz="4" w:space="0" w:color="98D8CE"/>
        </w:tcBorders>
      </w:tcPr>
    </w:tblStylePr>
    <w:tblStylePr w:type="firstCol">
      <w:rPr>
        <w:b/>
        <w:bCs/>
      </w:rPr>
    </w:tblStylePr>
    <w:tblStylePr w:type="lastCol">
      <w:rPr>
        <w:b/>
        <w:bCs/>
      </w:rPr>
    </w:tblStylePr>
    <w:tblStylePr w:type="band1Vert">
      <w:tblPr/>
      <w:tcPr>
        <w:shd w:val="clear" w:color="auto" w:fill="DCF2EE"/>
      </w:tcPr>
    </w:tblStylePr>
    <w:tblStylePr w:type="band1Horz">
      <w:tblPr/>
      <w:tcPr>
        <w:shd w:val="clear" w:color="auto" w:fill="DCF2EE"/>
      </w:tcPr>
    </w:tblStylePr>
  </w:style>
  <w:style w:type="table" w:customStyle="1" w:styleId="ListTable4Accent3">
    <w:name w:val="List Table 4 Accent 3"/>
    <w:basedOn w:val="TableNormal"/>
    <w:uiPriority w:val="49"/>
    <w:rsid w:val="0004751F"/>
    <w:pPr>
      <w:spacing w:after="0" w:line="240" w:lineRule="auto"/>
    </w:pPr>
    <w:tblPr>
      <w:tblStyleRowBandSize w:val="1"/>
      <w:tblStyleColBandSize w:val="1"/>
      <w:tblBorders>
        <w:top w:val="single" w:sz="4" w:space="0" w:color="C55753" w:themeColor="accent3" w:themeTint="99"/>
        <w:left w:val="single" w:sz="4" w:space="0" w:color="C55753" w:themeColor="accent3" w:themeTint="99"/>
        <w:bottom w:val="single" w:sz="4" w:space="0" w:color="C55753" w:themeColor="accent3" w:themeTint="99"/>
        <w:right w:val="single" w:sz="4" w:space="0" w:color="C55753" w:themeColor="accent3" w:themeTint="99"/>
        <w:insideH w:val="single" w:sz="4" w:space="0" w:color="C55753" w:themeColor="accent3" w:themeTint="99"/>
      </w:tblBorders>
    </w:tblPr>
    <w:tblStylePr w:type="firstRow">
      <w:rPr>
        <w:b/>
        <w:bCs/>
        <w:color w:val="FFFFFF" w:themeColor="background1"/>
      </w:rPr>
      <w:tblPr/>
      <w:tcPr>
        <w:tcBorders>
          <w:top w:val="single" w:sz="4" w:space="0" w:color="602320" w:themeColor="accent3"/>
          <w:left w:val="single" w:sz="4" w:space="0" w:color="602320" w:themeColor="accent3"/>
          <w:bottom w:val="single" w:sz="4" w:space="0" w:color="602320" w:themeColor="accent3"/>
          <w:right w:val="single" w:sz="4" w:space="0" w:color="602320" w:themeColor="accent3"/>
          <w:insideH w:val="nil"/>
        </w:tcBorders>
        <w:shd w:val="clear" w:color="auto" w:fill="602320" w:themeFill="accent3"/>
      </w:tcPr>
    </w:tblStylePr>
    <w:tblStylePr w:type="lastRow">
      <w:rPr>
        <w:b/>
        <w:bCs/>
      </w:rPr>
      <w:tblPr/>
      <w:tcPr>
        <w:tcBorders>
          <w:top w:val="double" w:sz="4" w:space="0" w:color="C55753" w:themeColor="accent3" w:themeTint="99"/>
        </w:tcBorders>
      </w:tcPr>
    </w:tblStylePr>
    <w:tblStylePr w:type="firstCol">
      <w:rPr>
        <w:b/>
        <w:bCs/>
      </w:rPr>
    </w:tblStylePr>
    <w:tblStylePr w:type="lastCol">
      <w:rPr>
        <w:b/>
        <w:bCs/>
      </w:rPr>
    </w:tblStylePr>
    <w:tblStylePr w:type="band1Vert">
      <w:tblPr/>
      <w:tcPr>
        <w:shd w:val="clear" w:color="auto" w:fill="EBC7C5" w:themeFill="accent3" w:themeFillTint="33"/>
      </w:tcPr>
    </w:tblStylePr>
    <w:tblStylePr w:type="band1Horz">
      <w:tblPr/>
      <w:tcPr>
        <w:shd w:val="clear" w:color="auto" w:fill="EBC7C5" w:themeFill="accent3" w:themeFillTint="33"/>
      </w:tcPr>
    </w:tblStylePr>
  </w:style>
  <w:style w:type="paragraph" w:styleId="TableofFigures">
    <w:name w:val="table of figures"/>
    <w:basedOn w:val="Normal"/>
    <w:next w:val="Normal"/>
    <w:uiPriority w:val="99"/>
    <w:unhideWhenUsed/>
    <w:rsid w:val="00F35819"/>
    <w:rPr>
      <w:rFonts w:ascii="Times New Roman" w:hAnsi="Times New Roman"/>
      <w:sz w:val="24"/>
      <w:lang w:val="en-GB"/>
    </w:rPr>
  </w:style>
  <w:style w:type="paragraph" w:customStyle="1" w:styleId="Lent">
    <w:name w:val="Lent."/>
    <w:basedOn w:val="Caption"/>
    <w:link w:val="LentChar"/>
    <w:uiPriority w:val="34"/>
    <w:qFormat/>
    <w:rsid w:val="00910E7F"/>
    <w:pPr>
      <w:jc w:val="left"/>
    </w:pPr>
  </w:style>
  <w:style w:type="paragraph" w:customStyle="1" w:styleId="Lentelestekstas">
    <w:name w:val="Lenteles_tekstas"/>
    <w:basedOn w:val="Normal"/>
    <w:link w:val="LentelestekstasChar"/>
    <w:uiPriority w:val="34"/>
    <w:qFormat/>
    <w:rsid w:val="00C744C8"/>
    <w:pPr>
      <w:spacing w:line="240" w:lineRule="auto"/>
    </w:pPr>
    <w:rPr>
      <w:sz w:val="20"/>
      <w:lang w:val="en-GB"/>
    </w:rPr>
  </w:style>
  <w:style w:type="character" w:customStyle="1" w:styleId="LentChar">
    <w:name w:val="Lent. Char"/>
    <w:basedOn w:val="CaptionChar"/>
    <w:link w:val="Lent"/>
    <w:uiPriority w:val="34"/>
    <w:rsid w:val="00910E7F"/>
    <w:rPr>
      <w:rFonts w:ascii="Cambria" w:eastAsia="Times New Roman" w:hAnsi="Cambria" w:cs="Times New Roman"/>
      <w:b/>
      <w:bCs/>
      <w:i/>
      <w:color w:val="808080" w:themeColor="background2" w:themeShade="80"/>
      <w:sz w:val="22"/>
      <w:lang w:val="lt-LT" w:eastAsia="lt-LT"/>
    </w:rPr>
  </w:style>
  <w:style w:type="character" w:customStyle="1" w:styleId="LentelestekstasChar">
    <w:name w:val="Lenteles_tekstas Char"/>
    <w:basedOn w:val="DefaultParagraphFont"/>
    <w:link w:val="Lentelestekstas"/>
    <w:uiPriority w:val="34"/>
    <w:rsid w:val="00C744C8"/>
    <w:rPr>
      <w:rFonts w:ascii="Cambria" w:eastAsia="Arial" w:hAnsi="Cambria" w:cs="Times New Roman"/>
      <w:color w:val="000000"/>
      <w:szCs w:val="21"/>
    </w:rPr>
  </w:style>
  <w:style w:type="table" w:customStyle="1" w:styleId="GridTable5Dark-Accent31">
    <w:name w:val="Grid Table 5 Dark - Accent 31"/>
    <w:basedOn w:val="TableNormal"/>
    <w:next w:val="GridTable5DarkAccent3"/>
    <w:uiPriority w:val="50"/>
    <w:rsid w:val="00C761DA"/>
    <w:pPr>
      <w:spacing w:after="0" w:line="240" w:lineRule="auto"/>
    </w:pPr>
    <w:rPr>
      <w:rFonts w:ascii="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CF2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5BF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5BF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5BF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5BFAE"/>
      </w:tcPr>
    </w:tblStylePr>
    <w:tblStylePr w:type="band1Vert">
      <w:tblPr/>
      <w:tcPr>
        <w:shd w:val="clear" w:color="auto" w:fill="BAE5DE"/>
      </w:tcPr>
    </w:tblStylePr>
    <w:tblStylePr w:type="band1Horz">
      <w:tblPr/>
      <w:tcPr>
        <w:shd w:val="clear" w:color="auto" w:fill="BAE5DE"/>
      </w:tcPr>
    </w:tblStylePr>
  </w:style>
  <w:style w:type="table" w:customStyle="1" w:styleId="GridTable5DarkAccent3">
    <w:name w:val="Grid Table 5 Dark Accent 3"/>
    <w:basedOn w:val="TableNormal"/>
    <w:uiPriority w:val="50"/>
    <w:rsid w:val="00C76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7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23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23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23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2320" w:themeFill="accent3"/>
      </w:tcPr>
    </w:tblStylePr>
    <w:tblStylePr w:type="band1Vert">
      <w:tblPr/>
      <w:tcPr>
        <w:shd w:val="clear" w:color="auto" w:fill="D88F8C" w:themeFill="accent3" w:themeFillTint="66"/>
      </w:tcPr>
    </w:tblStylePr>
    <w:tblStylePr w:type="band1Horz">
      <w:tblPr/>
      <w:tcPr>
        <w:shd w:val="clear" w:color="auto" w:fill="D88F8C" w:themeFill="accent3" w:themeFillTint="66"/>
      </w:tcPr>
    </w:tblStylePr>
  </w:style>
  <w:style w:type="paragraph" w:customStyle="1" w:styleId="TESlentelspavadinimas">
    <w:name w:val="TES_lentelės pavadinimas"/>
    <w:basedOn w:val="Normal"/>
    <w:link w:val="TESlentelspavadinimasChar"/>
    <w:autoRedefine/>
    <w:uiPriority w:val="99"/>
    <w:qFormat/>
    <w:rsid w:val="00631BA6"/>
    <w:pPr>
      <w:spacing w:line="240" w:lineRule="auto"/>
    </w:pPr>
    <w:rPr>
      <w:rFonts w:ascii="Times New Roman" w:eastAsiaTheme="minorHAnsi" w:hAnsi="Times New Roman"/>
      <w:bCs/>
      <w:i/>
      <w:noProof/>
      <w:color w:val="000000" w:themeColor="text1"/>
      <w:sz w:val="20"/>
      <w:szCs w:val="20"/>
    </w:rPr>
  </w:style>
  <w:style w:type="character" w:customStyle="1" w:styleId="TESlentelspavadinimasChar">
    <w:name w:val="TES_lentelės pavadinimas Char"/>
    <w:basedOn w:val="DefaultParagraphFont"/>
    <w:link w:val="TESlentelspavadinimas"/>
    <w:uiPriority w:val="99"/>
    <w:rsid w:val="00631BA6"/>
    <w:rPr>
      <w:rFonts w:ascii="Times New Roman" w:hAnsi="Times New Roman" w:cs="Times New Roman"/>
      <w:bCs/>
      <w:i/>
      <w:noProof/>
      <w:color w:val="000000" w:themeColor="text1"/>
      <w:lang w:val="lt-LT"/>
    </w:rPr>
  </w:style>
  <w:style w:type="paragraph" w:customStyle="1" w:styleId="TESPaaikinimai">
    <w:name w:val="TES_Paaiškinimai"/>
    <w:basedOn w:val="Normal"/>
    <w:autoRedefine/>
    <w:uiPriority w:val="99"/>
    <w:qFormat/>
    <w:rsid w:val="00AD6DA0"/>
    <w:pPr>
      <w:spacing w:before="60" w:line="240" w:lineRule="auto"/>
    </w:pPr>
    <w:rPr>
      <w:rFonts w:ascii="Times New Roman" w:eastAsia="Calibri" w:hAnsi="Times New Roman"/>
      <w:i/>
      <w:color w:val="6B7487"/>
      <w:kern w:val="36"/>
      <w:sz w:val="20"/>
      <w:szCs w:val="20"/>
    </w:rPr>
  </w:style>
  <w:style w:type="character" w:styleId="FollowedHyperlink">
    <w:name w:val="FollowedHyperlink"/>
    <w:basedOn w:val="DefaultParagraphFont"/>
    <w:uiPriority w:val="99"/>
    <w:semiHidden/>
    <w:unhideWhenUsed/>
    <w:rsid w:val="0009004D"/>
    <w:rPr>
      <w:color w:val="DC6900" w:themeColor="followedHyperlink"/>
      <w:u w:val="single"/>
    </w:rPr>
  </w:style>
  <w:style w:type="paragraph" w:customStyle="1" w:styleId="Nenumeruojamosantrastes">
    <w:name w:val="• Nenumeruojamos antrastes"/>
    <w:next w:val="Normal"/>
    <w:link w:val="NenumeruojamosantrastesChar"/>
    <w:qFormat/>
    <w:rsid w:val="00526623"/>
    <w:pPr>
      <w:pageBreakBefore/>
      <w:widowControl w:val="0"/>
      <w:pBdr>
        <w:bottom w:val="single" w:sz="8" w:space="1" w:color="4181B6"/>
      </w:pBdr>
      <w:spacing w:before="120" w:line="240" w:lineRule="auto"/>
    </w:pPr>
    <w:rPr>
      <w:rFonts w:asciiTheme="majorHAnsi" w:eastAsia="Times New Roman" w:hAnsiTheme="majorHAnsi" w:cs="Times New Roman"/>
      <w:b/>
      <w:bCs/>
      <w:caps/>
      <w:color w:val="4181B6"/>
      <w:kern w:val="32"/>
      <w:sz w:val="28"/>
      <w:szCs w:val="32"/>
      <w:lang w:val="lt-LT" w:eastAsia="lt-LT"/>
    </w:rPr>
  </w:style>
  <w:style w:type="character" w:customStyle="1" w:styleId="NenumeruojamosantrastesChar">
    <w:name w:val="• Nenumeruojamos antrastes Char"/>
    <w:basedOn w:val="DefaultParagraphFont"/>
    <w:link w:val="Nenumeruojamosantrastes"/>
    <w:rsid w:val="00526623"/>
    <w:rPr>
      <w:rFonts w:asciiTheme="majorHAnsi" w:eastAsia="Times New Roman" w:hAnsiTheme="majorHAnsi" w:cs="Times New Roman"/>
      <w:b/>
      <w:bCs/>
      <w:caps/>
      <w:color w:val="4181B6"/>
      <w:kern w:val="32"/>
      <w:sz w:val="28"/>
      <w:szCs w:val="32"/>
      <w:lang w:val="lt-LT" w:eastAsia="lt-LT"/>
    </w:rPr>
  </w:style>
  <w:style w:type="paragraph" w:customStyle="1" w:styleId="Pagrindinispaprastastekstas">
    <w:name w:val="• Pagrindinis paprastas tekstas"/>
    <w:basedOn w:val="Normal"/>
    <w:link w:val="PagrindinispaprastastekstasChar"/>
    <w:qFormat/>
    <w:rsid w:val="00785090"/>
    <w:pPr>
      <w:spacing w:line="240" w:lineRule="auto"/>
      <w:jc w:val="both"/>
    </w:pPr>
    <w:rPr>
      <w:rFonts w:asciiTheme="majorHAnsi" w:eastAsia="Times New Roman" w:hAnsiTheme="majorHAnsi"/>
      <w:color w:val="auto"/>
      <w:szCs w:val="24"/>
    </w:rPr>
  </w:style>
  <w:style w:type="character" w:customStyle="1" w:styleId="PagrindinispaprastastekstasChar">
    <w:name w:val="• Pagrindinis paprastas tekstas Char"/>
    <w:link w:val="Pagrindinispaprastastekstas"/>
    <w:rsid w:val="00785090"/>
    <w:rPr>
      <w:rFonts w:asciiTheme="majorHAnsi" w:eastAsia="Times New Roman" w:hAnsiTheme="majorHAnsi" w:cs="Times New Roman"/>
      <w:sz w:val="22"/>
      <w:szCs w:val="24"/>
      <w:lang w:val="lt-LT"/>
    </w:rPr>
  </w:style>
  <w:style w:type="paragraph" w:customStyle="1" w:styleId="Antrastes2">
    <w:name w:val="• Antrastes_2"/>
    <w:basedOn w:val="Normal"/>
    <w:next w:val="Pagrindinispaprastastekstas"/>
    <w:link w:val="Antrastes2Char"/>
    <w:qFormat/>
    <w:rsid w:val="00486902"/>
    <w:pPr>
      <w:widowControl w:val="0"/>
      <w:pBdr>
        <w:bottom w:val="single" w:sz="8" w:space="1" w:color="4181B6"/>
      </w:pBdr>
      <w:spacing w:before="360" w:after="240" w:line="240" w:lineRule="auto"/>
      <w:ind w:left="576" w:hanging="576"/>
      <w:outlineLvl w:val="1"/>
    </w:pPr>
    <w:rPr>
      <w:rFonts w:eastAsia="Times New Roman"/>
      <w:b/>
      <w:bCs/>
      <w:caps/>
      <w:color w:val="4181B6"/>
      <w:kern w:val="32"/>
      <w:sz w:val="28"/>
      <w:szCs w:val="32"/>
      <w:lang w:val="en-US"/>
    </w:rPr>
  </w:style>
  <w:style w:type="character" w:customStyle="1" w:styleId="Antrastes2Char">
    <w:name w:val="• Antrastes_2 Char"/>
    <w:basedOn w:val="Heading2Char"/>
    <w:link w:val="Antrastes2"/>
    <w:rsid w:val="00486902"/>
    <w:rPr>
      <w:rFonts w:ascii="Cambria" w:eastAsia="Times New Roman" w:hAnsi="Cambria" w:cs="Times New Roman"/>
      <w:b/>
      <w:bCs/>
      <w:i w:val="0"/>
      <w:caps/>
      <w:color w:val="4181B6"/>
      <w:kern w:val="32"/>
      <w:sz w:val="28"/>
      <w:szCs w:val="32"/>
      <w:lang w:val="en-US"/>
    </w:rPr>
  </w:style>
  <w:style w:type="paragraph" w:customStyle="1" w:styleId="Antrastes31">
    <w:name w:val="• Antrastes_31"/>
    <w:basedOn w:val="Antrastes2"/>
    <w:next w:val="Pagrindinispaprastastekstas"/>
    <w:qFormat/>
    <w:rsid w:val="001E341C"/>
    <w:pPr>
      <w:numPr>
        <w:ilvl w:val="2"/>
        <w:numId w:val="5"/>
      </w:numPr>
      <w:pBdr>
        <w:bottom w:val="none" w:sz="0" w:space="0" w:color="auto"/>
      </w:pBdr>
      <w:jc w:val="both"/>
      <w:outlineLvl w:val="2"/>
    </w:pPr>
    <w:rPr>
      <w:caps w:val="0"/>
    </w:rPr>
  </w:style>
  <w:style w:type="paragraph" w:customStyle="1" w:styleId="msonormal0">
    <w:name w:val="msonormal"/>
    <w:basedOn w:val="Normal"/>
    <w:rsid w:val="0034168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xl65">
    <w:name w:val="xl65"/>
    <w:basedOn w:val="Normal"/>
    <w:rsid w:val="0034168D"/>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6">
    <w:name w:val="xl66"/>
    <w:basedOn w:val="Normal"/>
    <w:rsid w:val="0034168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7">
    <w:name w:val="xl67"/>
    <w:basedOn w:val="Normal"/>
    <w:rsid w:val="0034168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8">
    <w:name w:val="xl68"/>
    <w:basedOn w:val="Normal"/>
    <w:rsid w:val="0034168D"/>
    <w:pP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69">
    <w:name w:val="xl6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0">
    <w:name w:val="xl70"/>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1">
    <w:name w:val="xl71"/>
    <w:basedOn w:val="Normal"/>
    <w:rsid w:val="0034168D"/>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2">
    <w:name w:val="xl72"/>
    <w:basedOn w:val="Normal"/>
    <w:rsid w:val="0034168D"/>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3">
    <w:name w:val="xl73"/>
    <w:basedOn w:val="Normal"/>
    <w:rsid w:val="0034168D"/>
    <w:pPr>
      <w:pBdr>
        <w:top w:val="single" w:sz="4"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4">
    <w:name w:val="xl74"/>
    <w:basedOn w:val="Normal"/>
    <w:rsid w:val="0034168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5">
    <w:name w:val="xl75"/>
    <w:basedOn w:val="Normal"/>
    <w:rsid w:val="0034168D"/>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6">
    <w:name w:val="xl7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7">
    <w:name w:val="xl77"/>
    <w:basedOn w:val="Normal"/>
    <w:rsid w:val="00341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8">
    <w:name w:val="xl78"/>
    <w:basedOn w:val="Normal"/>
    <w:rsid w:val="003416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2">
    <w:name w:val="xl82"/>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Normal"/>
    <w:rsid w:val="0034168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4">
    <w:name w:val="xl8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Normal"/>
    <w:rsid w:val="0034168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8">
    <w:name w:val="xl88"/>
    <w:basedOn w:val="Normal"/>
    <w:rsid w:val="003416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9">
    <w:name w:val="xl89"/>
    <w:basedOn w:val="Normal"/>
    <w:rsid w:val="0034168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Normal"/>
    <w:rsid w:val="0034168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2">
    <w:name w:val="xl92"/>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3">
    <w:name w:val="xl93"/>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4">
    <w:name w:val="xl9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5">
    <w:name w:val="xl9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character" w:customStyle="1" w:styleId="UnresolvedMention2">
    <w:name w:val="Unresolved Mention2"/>
    <w:basedOn w:val="DefaultParagraphFont"/>
    <w:uiPriority w:val="99"/>
    <w:semiHidden/>
    <w:unhideWhenUsed/>
    <w:rsid w:val="00D430AF"/>
    <w:rPr>
      <w:color w:val="605E5C"/>
      <w:shd w:val="clear" w:color="auto" w:fill="E1DFDD"/>
    </w:rPr>
  </w:style>
  <w:style w:type="paragraph" w:styleId="Revision">
    <w:name w:val="Revision"/>
    <w:hidden/>
    <w:uiPriority w:val="99"/>
    <w:semiHidden/>
    <w:rsid w:val="00D1388A"/>
    <w:pPr>
      <w:spacing w:after="0" w:line="240" w:lineRule="auto"/>
    </w:pPr>
    <w:rPr>
      <w:rFonts w:ascii="Cambria" w:eastAsia="Arial" w:hAnsi="Cambria" w:cs="Times New Roman"/>
      <w:color w:val="000000"/>
      <w:sz w:val="22"/>
      <w:szCs w:val="21"/>
    </w:rPr>
  </w:style>
  <w:style w:type="paragraph" w:customStyle="1" w:styleId="PART1Skyrelis">
    <w:name w:val="PART 1 Skyrelis"/>
    <w:basedOn w:val="Heading4"/>
    <w:link w:val="PART1SkyrelisChar"/>
    <w:rsid w:val="008D0AC7"/>
    <w:pPr>
      <w:spacing w:before="360" w:after="360"/>
      <w:outlineLvl w:val="9"/>
    </w:pPr>
    <w:rPr>
      <w:b/>
      <w:i w:val="0"/>
      <w:iCs w:val="0"/>
      <w:color w:val="auto"/>
      <w:kern w:val="36"/>
      <w:sz w:val="28"/>
      <w:szCs w:val="24"/>
      <w:u w:val="single" w:color="EA0D00"/>
      <w:lang w:val="lt-LT"/>
    </w:rPr>
  </w:style>
  <w:style w:type="character" w:customStyle="1" w:styleId="PART1SkyrelisChar">
    <w:name w:val="PART 1 Skyrelis Char"/>
    <w:basedOn w:val="DefaultParagraphFont"/>
    <w:link w:val="PART1Skyrelis"/>
    <w:rsid w:val="008D0AC7"/>
    <w:rPr>
      <w:rFonts w:asciiTheme="majorHAnsi" w:eastAsiaTheme="majorEastAsia" w:hAnsiTheme="majorHAnsi" w:cstheme="majorBidi"/>
      <w:b/>
      <w:bCs/>
      <w:kern w:val="36"/>
      <w:sz w:val="28"/>
      <w:szCs w:val="24"/>
      <w:u w:val="single" w:color="EA0D00"/>
      <w:lang w:val="lt-LT"/>
    </w:rPr>
  </w:style>
  <w:style w:type="paragraph" w:styleId="TOC4">
    <w:name w:val="toc 4"/>
    <w:basedOn w:val="Normal"/>
    <w:next w:val="Normal"/>
    <w:autoRedefine/>
    <w:uiPriority w:val="39"/>
    <w:unhideWhenUsed/>
    <w:rsid w:val="00D83D47"/>
    <w:pPr>
      <w:spacing w:after="100" w:line="259" w:lineRule="auto"/>
      <w:ind w:left="660"/>
    </w:pPr>
    <w:rPr>
      <w:rFonts w:asciiTheme="minorHAnsi" w:eastAsiaTheme="minorEastAsia" w:hAnsiTheme="minorHAnsi" w:cstheme="minorBidi"/>
      <w:color w:val="auto"/>
      <w:szCs w:val="22"/>
      <w:lang w:val="en-US"/>
    </w:rPr>
  </w:style>
  <w:style w:type="paragraph" w:styleId="TOC5">
    <w:name w:val="toc 5"/>
    <w:basedOn w:val="Normal"/>
    <w:next w:val="Normal"/>
    <w:autoRedefine/>
    <w:uiPriority w:val="39"/>
    <w:unhideWhenUsed/>
    <w:rsid w:val="00D83D47"/>
    <w:pPr>
      <w:spacing w:after="100" w:line="259" w:lineRule="auto"/>
      <w:ind w:left="880"/>
    </w:pPr>
    <w:rPr>
      <w:rFonts w:asciiTheme="minorHAnsi" w:eastAsiaTheme="minorEastAsia" w:hAnsiTheme="minorHAnsi" w:cstheme="minorBidi"/>
      <w:color w:val="auto"/>
      <w:szCs w:val="22"/>
      <w:lang w:val="en-US"/>
    </w:rPr>
  </w:style>
  <w:style w:type="paragraph" w:styleId="TOC6">
    <w:name w:val="toc 6"/>
    <w:basedOn w:val="Normal"/>
    <w:next w:val="Normal"/>
    <w:autoRedefine/>
    <w:uiPriority w:val="39"/>
    <w:unhideWhenUsed/>
    <w:rsid w:val="00D83D47"/>
    <w:pPr>
      <w:spacing w:after="100" w:line="259" w:lineRule="auto"/>
      <w:ind w:left="1100"/>
    </w:pPr>
    <w:rPr>
      <w:rFonts w:asciiTheme="minorHAnsi" w:eastAsiaTheme="minorEastAsia" w:hAnsiTheme="minorHAnsi" w:cstheme="minorBidi"/>
      <w:color w:val="auto"/>
      <w:szCs w:val="22"/>
      <w:lang w:val="en-US"/>
    </w:rPr>
  </w:style>
  <w:style w:type="paragraph" w:styleId="TOC7">
    <w:name w:val="toc 7"/>
    <w:basedOn w:val="Normal"/>
    <w:next w:val="Normal"/>
    <w:autoRedefine/>
    <w:uiPriority w:val="39"/>
    <w:unhideWhenUsed/>
    <w:rsid w:val="00D83D47"/>
    <w:pPr>
      <w:spacing w:after="100" w:line="259" w:lineRule="auto"/>
      <w:ind w:left="1320"/>
    </w:pPr>
    <w:rPr>
      <w:rFonts w:asciiTheme="minorHAnsi" w:eastAsiaTheme="minorEastAsia" w:hAnsiTheme="minorHAnsi" w:cstheme="minorBidi"/>
      <w:color w:val="auto"/>
      <w:szCs w:val="22"/>
      <w:lang w:val="en-US"/>
    </w:rPr>
  </w:style>
  <w:style w:type="paragraph" w:styleId="TOC8">
    <w:name w:val="toc 8"/>
    <w:basedOn w:val="Normal"/>
    <w:next w:val="Normal"/>
    <w:autoRedefine/>
    <w:uiPriority w:val="39"/>
    <w:unhideWhenUsed/>
    <w:rsid w:val="00D83D47"/>
    <w:pPr>
      <w:spacing w:after="100" w:line="259" w:lineRule="auto"/>
      <w:ind w:left="1540"/>
    </w:pPr>
    <w:rPr>
      <w:rFonts w:asciiTheme="minorHAnsi" w:eastAsiaTheme="minorEastAsia" w:hAnsiTheme="minorHAnsi" w:cstheme="minorBidi"/>
      <w:color w:val="auto"/>
      <w:szCs w:val="22"/>
      <w:lang w:val="en-US"/>
    </w:rPr>
  </w:style>
  <w:style w:type="paragraph" w:styleId="TOC9">
    <w:name w:val="toc 9"/>
    <w:basedOn w:val="Normal"/>
    <w:next w:val="Normal"/>
    <w:autoRedefine/>
    <w:uiPriority w:val="39"/>
    <w:unhideWhenUsed/>
    <w:rsid w:val="00D83D47"/>
    <w:pPr>
      <w:spacing w:after="100" w:line="259" w:lineRule="auto"/>
      <w:ind w:left="1760"/>
    </w:pPr>
    <w:rPr>
      <w:rFonts w:asciiTheme="minorHAnsi" w:eastAsiaTheme="minorEastAsia" w:hAnsiTheme="minorHAnsi" w:cstheme="minorBidi"/>
      <w:color w:val="auto"/>
      <w:szCs w:val="22"/>
      <w:lang w:val="en-US"/>
    </w:rPr>
  </w:style>
  <w:style w:type="character" w:customStyle="1" w:styleId="UnresolvedMention3">
    <w:name w:val="Unresolved Mention3"/>
    <w:basedOn w:val="DefaultParagraphFont"/>
    <w:uiPriority w:val="99"/>
    <w:semiHidden/>
    <w:unhideWhenUsed/>
    <w:rsid w:val="00D83D47"/>
    <w:rPr>
      <w:color w:val="605E5C"/>
      <w:shd w:val="clear" w:color="auto" w:fill="E1DFDD"/>
    </w:rPr>
  </w:style>
  <w:style w:type="paragraph" w:customStyle="1" w:styleId="m1028870689664953594msolistparagraph">
    <w:name w:val="m_1028870689664953594msolistparagraph"/>
    <w:basedOn w:val="Normal"/>
    <w:rsid w:val="0023674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m8056748291939642756msolistparagraph">
    <w:name w:val="m_8056748291939642756msolistparagraph"/>
    <w:basedOn w:val="Normal"/>
    <w:rsid w:val="003C6AFB"/>
    <w:pPr>
      <w:spacing w:before="100" w:beforeAutospacing="1" w:after="100" w:afterAutospacing="1" w:line="240" w:lineRule="auto"/>
    </w:pPr>
    <w:rPr>
      <w:rFonts w:ascii="Times New Roman" w:eastAsia="Times New Roman" w:hAnsi="Times New Roman"/>
      <w:color w:val="auto"/>
      <w:sz w:val="24"/>
      <w:szCs w:val="24"/>
      <w:lang w:val="en-US"/>
    </w:rPr>
  </w:style>
  <w:style w:type="character" w:customStyle="1" w:styleId="UnresolvedMention4">
    <w:name w:val="Unresolved Mention4"/>
    <w:basedOn w:val="DefaultParagraphFont"/>
    <w:uiPriority w:val="99"/>
    <w:semiHidden/>
    <w:unhideWhenUsed/>
    <w:rsid w:val="00F657C8"/>
    <w:rPr>
      <w:color w:val="605E5C"/>
      <w:shd w:val="clear" w:color="auto" w:fill="E1DFDD"/>
    </w:rPr>
  </w:style>
  <w:style w:type="character" w:customStyle="1" w:styleId="UnresolvedMention5">
    <w:name w:val="Unresolved Mention5"/>
    <w:basedOn w:val="DefaultParagraphFont"/>
    <w:uiPriority w:val="99"/>
    <w:semiHidden/>
    <w:unhideWhenUsed/>
    <w:rsid w:val="007C25DD"/>
    <w:rPr>
      <w:color w:val="605E5C"/>
      <w:shd w:val="clear" w:color="auto" w:fill="E1DFDD"/>
    </w:rPr>
  </w:style>
  <w:style w:type="character" w:customStyle="1" w:styleId="UnresolvedMention6">
    <w:name w:val="Unresolved Mention6"/>
    <w:basedOn w:val="DefaultParagraphFont"/>
    <w:uiPriority w:val="99"/>
    <w:semiHidden/>
    <w:unhideWhenUsed/>
    <w:rsid w:val="003E53FA"/>
    <w:rPr>
      <w:color w:val="605E5C"/>
      <w:shd w:val="clear" w:color="auto" w:fill="E1DFDD"/>
    </w:rPr>
  </w:style>
  <w:style w:type="character" w:customStyle="1" w:styleId="UnresolvedMention7">
    <w:name w:val="Unresolved Mention7"/>
    <w:basedOn w:val="DefaultParagraphFont"/>
    <w:uiPriority w:val="99"/>
    <w:semiHidden/>
    <w:unhideWhenUsed/>
    <w:rsid w:val="00B724E5"/>
    <w:rPr>
      <w:color w:val="605E5C"/>
      <w:shd w:val="clear" w:color="auto" w:fill="E1DFDD"/>
    </w:rPr>
  </w:style>
  <w:style w:type="paragraph" w:customStyle="1" w:styleId="eca-sr-box-title">
    <w:name w:val="eca-sr-box-title"/>
    <w:basedOn w:val="Normal"/>
    <w:rsid w:val="008168BE"/>
    <w:pPr>
      <w:spacing w:before="100" w:beforeAutospacing="1" w:after="100" w:afterAutospacing="1" w:line="240" w:lineRule="auto"/>
    </w:pPr>
    <w:rPr>
      <w:rFonts w:ascii="Times New Roman" w:eastAsia="Times New Roman" w:hAnsi="Times New Roman"/>
      <w:color w:val="auto"/>
      <w:sz w:val="24"/>
      <w:szCs w:val="24"/>
      <w:lang w:eastAsia="lt-LT"/>
    </w:rPr>
  </w:style>
  <w:style w:type="character" w:customStyle="1" w:styleId="UnresolvedMention8">
    <w:name w:val="Unresolved Mention8"/>
    <w:basedOn w:val="DefaultParagraphFont"/>
    <w:uiPriority w:val="99"/>
    <w:semiHidden/>
    <w:unhideWhenUsed/>
    <w:rsid w:val="006B5DCC"/>
    <w:rPr>
      <w:color w:val="605E5C"/>
      <w:shd w:val="clear" w:color="auto" w:fill="E1DFDD"/>
    </w:rPr>
  </w:style>
  <w:style w:type="paragraph" w:customStyle="1" w:styleId="CM1">
    <w:name w:val="CM1"/>
    <w:basedOn w:val="Default"/>
    <w:next w:val="Default"/>
    <w:uiPriority w:val="99"/>
    <w:rsid w:val="00FC5D62"/>
    <w:rPr>
      <w:rFonts w:ascii="EUAlbertina" w:hAnsi="EUAlbertina" w:cstheme="minorBidi"/>
      <w:color w:val="auto"/>
      <w:lang w:val="lt-LT"/>
    </w:rPr>
  </w:style>
  <w:style w:type="paragraph" w:customStyle="1" w:styleId="CM3">
    <w:name w:val="CM3"/>
    <w:basedOn w:val="Default"/>
    <w:next w:val="Default"/>
    <w:uiPriority w:val="99"/>
    <w:rsid w:val="00FC5D62"/>
    <w:rPr>
      <w:rFonts w:ascii="EUAlbertina" w:hAnsi="EUAlbertina" w:cstheme="minorBidi"/>
      <w:color w:val="auto"/>
      <w:lang w:val="lt-LT"/>
    </w:rPr>
  </w:style>
  <w:style w:type="character" w:customStyle="1" w:styleId="UnresolvedMention9">
    <w:name w:val="Unresolved Mention9"/>
    <w:basedOn w:val="DefaultParagraphFont"/>
    <w:uiPriority w:val="99"/>
    <w:semiHidden/>
    <w:unhideWhenUsed/>
    <w:rsid w:val="00307BAC"/>
    <w:rPr>
      <w:color w:val="605E5C"/>
      <w:shd w:val="clear" w:color="auto" w:fill="E1DFDD"/>
    </w:rPr>
  </w:style>
  <w:style w:type="character" w:customStyle="1" w:styleId="UnresolvedMention10">
    <w:name w:val="Unresolved Mention10"/>
    <w:basedOn w:val="DefaultParagraphFont"/>
    <w:uiPriority w:val="99"/>
    <w:semiHidden/>
    <w:unhideWhenUsed/>
    <w:rsid w:val="00563EC0"/>
    <w:rPr>
      <w:color w:val="605E5C"/>
      <w:shd w:val="clear" w:color="auto" w:fill="E1DFDD"/>
    </w:rPr>
  </w:style>
  <w:style w:type="character" w:customStyle="1" w:styleId="UnresolvedMention11">
    <w:name w:val="Unresolved Mention11"/>
    <w:basedOn w:val="DefaultParagraphFont"/>
    <w:uiPriority w:val="99"/>
    <w:semiHidden/>
    <w:unhideWhenUsed/>
    <w:rsid w:val="008E1F13"/>
    <w:rPr>
      <w:color w:val="605E5C"/>
      <w:shd w:val="clear" w:color="auto" w:fill="E1DFDD"/>
    </w:rPr>
  </w:style>
  <w:style w:type="character" w:customStyle="1" w:styleId="UnresolvedMention12">
    <w:name w:val="Unresolved Mention12"/>
    <w:basedOn w:val="DefaultParagraphFont"/>
    <w:uiPriority w:val="99"/>
    <w:semiHidden/>
    <w:unhideWhenUsed/>
    <w:rsid w:val="00A71B95"/>
    <w:rPr>
      <w:color w:val="605E5C"/>
      <w:shd w:val="clear" w:color="auto" w:fill="E1DFDD"/>
    </w:rPr>
  </w:style>
  <w:style w:type="character" w:styleId="PlaceholderText">
    <w:name w:val="Placeholder Text"/>
    <w:basedOn w:val="DefaultParagraphFont"/>
    <w:uiPriority w:val="99"/>
    <w:semiHidden/>
    <w:rsid w:val="00812095"/>
    <w:rPr>
      <w:color w:val="808080"/>
    </w:rPr>
  </w:style>
  <w:style w:type="character" w:customStyle="1" w:styleId="UnresolvedMention13">
    <w:name w:val="Unresolved Mention13"/>
    <w:basedOn w:val="DefaultParagraphFont"/>
    <w:uiPriority w:val="99"/>
    <w:semiHidden/>
    <w:unhideWhenUsed/>
    <w:rsid w:val="00D5468F"/>
    <w:rPr>
      <w:color w:val="605E5C"/>
      <w:shd w:val="clear" w:color="auto" w:fill="E1DFDD"/>
    </w:rPr>
  </w:style>
  <w:style w:type="character" w:customStyle="1" w:styleId="UnresolvedMention14">
    <w:name w:val="Unresolved Mention14"/>
    <w:basedOn w:val="DefaultParagraphFont"/>
    <w:uiPriority w:val="99"/>
    <w:semiHidden/>
    <w:unhideWhenUsed/>
    <w:rsid w:val="006319A3"/>
    <w:rPr>
      <w:color w:val="605E5C"/>
      <w:shd w:val="clear" w:color="auto" w:fill="E1DFDD"/>
    </w:rPr>
  </w:style>
  <w:style w:type="character" w:customStyle="1" w:styleId="UnresolvedMention15">
    <w:name w:val="Unresolved Mention15"/>
    <w:basedOn w:val="DefaultParagraphFont"/>
    <w:uiPriority w:val="99"/>
    <w:semiHidden/>
    <w:unhideWhenUsed/>
    <w:rsid w:val="00D55701"/>
    <w:rPr>
      <w:color w:val="605E5C"/>
      <w:shd w:val="clear" w:color="auto" w:fill="E1DFDD"/>
    </w:rPr>
  </w:style>
  <w:style w:type="character" w:customStyle="1" w:styleId="UnresolvedMention16">
    <w:name w:val="Unresolved Mention16"/>
    <w:basedOn w:val="DefaultParagraphFont"/>
    <w:uiPriority w:val="99"/>
    <w:semiHidden/>
    <w:unhideWhenUsed/>
    <w:rsid w:val="00D80FB0"/>
    <w:rPr>
      <w:color w:val="605E5C"/>
      <w:shd w:val="clear" w:color="auto" w:fill="E1DFDD"/>
    </w:rPr>
  </w:style>
  <w:style w:type="character" w:customStyle="1" w:styleId="UnresolvedMention17">
    <w:name w:val="Unresolved Mention17"/>
    <w:basedOn w:val="DefaultParagraphFont"/>
    <w:uiPriority w:val="99"/>
    <w:semiHidden/>
    <w:unhideWhenUsed/>
    <w:rsid w:val="00BA7AEE"/>
    <w:rPr>
      <w:color w:val="605E5C"/>
      <w:shd w:val="clear" w:color="auto" w:fill="E1DFDD"/>
    </w:rPr>
  </w:style>
  <w:style w:type="character" w:customStyle="1" w:styleId="UnresolvedMention18">
    <w:name w:val="Unresolved Mention18"/>
    <w:basedOn w:val="DefaultParagraphFont"/>
    <w:uiPriority w:val="99"/>
    <w:semiHidden/>
    <w:unhideWhenUsed/>
    <w:rsid w:val="00470BF7"/>
    <w:rPr>
      <w:color w:val="605E5C"/>
      <w:shd w:val="clear" w:color="auto" w:fill="E1DFDD"/>
    </w:rPr>
  </w:style>
  <w:style w:type="character" w:customStyle="1" w:styleId="UnresolvedMention">
    <w:name w:val="Unresolved Mention"/>
    <w:basedOn w:val="DefaultParagraphFont"/>
    <w:uiPriority w:val="99"/>
    <w:semiHidden/>
    <w:unhideWhenUsed/>
    <w:rsid w:val="00C367F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1" w:defUnhideWhenUsed="1" w:defQFormat="0" w:count="267">
    <w:lsdException w:name="Normal" w:semiHidden="0" w:uiPriority="34"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List Bullet" w:uiPriority="14" w:qFormat="1"/>
    <w:lsdException w:name="List Number" w:uiPriority="13" w:qFormat="1"/>
    <w:lsdException w:name="List Bullet 2" w:qFormat="1"/>
    <w:lsdException w:name="List Bullet 3" w:qFormat="1"/>
    <w:lsdException w:name="List Bullet 4" w:uiPriority="14"/>
    <w:lsdException w:name="List Number 2" w:uiPriority="13" w:qFormat="1"/>
    <w:lsdException w:name="List Number 3" w:uiPriority="13" w:qFormat="1"/>
    <w:lsdException w:name="List Number 4" w:uiPriority="13"/>
    <w:lsdException w:name="List Number 5" w:uiPriority="13"/>
    <w:lsdException w:name="Title" w:semiHidden="0" w:uiPriority="10" w:unhideWhenUsed="0" w:qFormat="1"/>
    <w:lsdException w:name="Signature" w:uiPriority="0"/>
    <w:lsdException w:name="Default Paragraph Font" w:uiPriority="1"/>
    <w:lsdException w:name="Body Text" w:uiPriority="0" w:qFormat="1"/>
    <w:lsdException w:name="List Continue" w:uiPriority="14" w:qFormat="1"/>
    <w:lsdException w:name="List Continue 2" w:uiPriority="14" w:qFormat="1"/>
    <w:lsdException w:name="List Continue 3" w:uiPriority="14" w:qFormat="1"/>
    <w:lsdException w:name="List Continue 4" w:uiPriority="14"/>
    <w:lsdException w:name="List Continue 5" w:uiPriority="14"/>
    <w:lsdException w:name="Subtitle" w:semiHidden="0" w:uiPriority="11" w:unhideWhenUsed="0" w:qFormat="1"/>
    <w:lsdException w:name="Block Text" w:uiPriority="0"/>
    <w:lsdException w:name="Strong" w:semiHidden="0" w:uiPriority="0"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taskaitos_tesktas"/>
    <w:uiPriority w:val="34"/>
    <w:qFormat/>
    <w:rsid w:val="002C503C"/>
    <w:pPr>
      <w:spacing w:after="0"/>
    </w:pPr>
    <w:rPr>
      <w:rFonts w:ascii="Cambria" w:eastAsia="Arial" w:hAnsi="Cambria" w:cs="Times New Roman"/>
      <w:color w:val="000000"/>
      <w:sz w:val="22"/>
      <w:szCs w:val="21"/>
      <w:lang w:val="lt-LT"/>
    </w:rPr>
  </w:style>
  <w:style w:type="paragraph" w:styleId="Heading1">
    <w:name w:val="heading 1"/>
    <w:aliases w:val="Section,Heading 1 (nevda),H1,Headline 1,h1,Hoofdstuk,Section Heading,A MAJOR/BOLD,Heading 1 CFMU,Para 1,l1,Head 1 (Chapter heading),Head 1,Head 11,Head 12,Head 111,Head 13,Head 112,Head 14,Head 113,Head 15,Head 114,Head 16,Head 115,Head 17,t1"/>
    <w:basedOn w:val="Normal"/>
    <w:next w:val="BodyText"/>
    <w:link w:val="Heading1Char"/>
    <w:uiPriority w:val="99"/>
    <w:qFormat/>
    <w:rsid w:val="00E86367"/>
    <w:pPr>
      <w:keepNext/>
      <w:keepLines/>
      <w:spacing w:after="40" w:line="240" w:lineRule="auto"/>
      <w:outlineLvl w:val="0"/>
    </w:pPr>
    <w:rPr>
      <w:rFonts w:asciiTheme="majorHAnsi" w:eastAsiaTheme="majorEastAsia" w:hAnsiTheme="majorHAnsi" w:cstheme="majorBidi"/>
      <w:b/>
      <w:bCs/>
      <w:i/>
      <w:sz w:val="32"/>
      <w:szCs w:val="28"/>
      <w:lang w:val="en-GB"/>
    </w:rPr>
  </w:style>
  <w:style w:type="paragraph" w:styleId="Heading2">
    <w:name w:val="heading 2"/>
    <w:aliases w:val="Title Header2,Heading 2 (nevda),H2,Headline 2,h2,2,headi,heading2,h21,h22,21,l2,kopregel 2,HD2,Heading 2 Hidden,Proposal,Level 2 Heading,Numbered indent 2,ni2,Hanging 2 Indent,numbered indent 2,exercise,Heading 2 substyle,Heading 2 CFMU,Para 2"/>
    <w:basedOn w:val="Normal"/>
    <w:next w:val="BodyText"/>
    <w:link w:val="Heading2Char"/>
    <w:uiPriority w:val="99"/>
    <w:unhideWhenUsed/>
    <w:qFormat/>
    <w:rsid w:val="00E86367"/>
    <w:pPr>
      <w:keepNext/>
      <w:keepLines/>
      <w:spacing w:after="40" w:line="240" w:lineRule="auto"/>
      <w:outlineLvl w:val="1"/>
    </w:pPr>
    <w:rPr>
      <w:rFonts w:asciiTheme="majorHAnsi" w:eastAsiaTheme="majorEastAsia" w:hAnsiTheme="majorHAnsi" w:cstheme="majorBidi"/>
      <w:b/>
      <w:bCs/>
      <w:i/>
      <w:sz w:val="24"/>
      <w:szCs w:val="26"/>
      <w:lang w:val="en-GB"/>
    </w:rPr>
  </w:style>
  <w:style w:type="paragraph" w:styleId="Heading3">
    <w:name w:val="heading 3"/>
    <w:aliases w:val="TES_Skyrius 1.1.1.,Kap.1.1.1 Char,Kap.1.1.1,A3,Heading 3 (nevda),H3,Section Header3,Sub-Clause Paragraph,Diagrama14,Sub-Clause Paragraph Diagrama,Section Header3 Diagrama,Antraštė 31"/>
    <w:basedOn w:val="Normal"/>
    <w:next w:val="BodyText"/>
    <w:link w:val="Heading3Char"/>
    <w:uiPriority w:val="99"/>
    <w:unhideWhenUsed/>
    <w:qFormat/>
    <w:rsid w:val="00E86367"/>
    <w:pPr>
      <w:keepNext/>
      <w:keepLines/>
      <w:spacing w:after="40" w:line="240" w:lineRule="auto"/>
      <w:outlineLvl w:val="2"/>
    </w:pPr>
    <w:rPr>
      <w:rFonts w:asciiTheme="majorHAnsi" w:eastAsiaTheme="majorEastAsia" w:hAnsiTheme="majorHAnsi" w:cstheme="majorBidi"/>
      <w:bCs/>
      <w:i/>
      <w:sz w:val="24"/>
      <w:lang w:val="en-GB"/>
    </w:rPr>
  </w:style>
  <w:style w:type="paragraph" w:styleId="Heading4">
    <w:name w:val="heading 4"/>
    <w:aliases w:val="Heading 4 (nevda),H4,Sub-Clause Sub-paragraph,Heading 4 Char Char Char Char,Antraštė 41, Sub-Clause Sub-paragraph"/>
    <w:basedOn w:val="Normal"/>
    <w:next w:val="BodyText"/>
    <w:link w:val="Heading4Char"/>
    <w:uiPriority w:val="99"/>
    <w:unhideWhenUsed/>
    <w:qFormat/>
    <w:rsid w:val="00E86367"/>
    <w:pPr>
      <w:keepNext/>
      <w:keepLines/>
      <w:spacing w:after="40" w:line="240" w:lineRule="auto"/>
      <w:outlineLvl w:val="3"/>
    </w:pPr>
    <w:rPr>
      <w:rFonts w:asciiTheme="majorHAnsi" w:eastAsiaTheme="majorEastAsia" w:hAnsiTheme="majorHAnsi" w:cstheme="majorBidi"/>
      <w:bCs/>
      <w:i/>
      <w:iCs/>
      <w:lang w:val="en-GB"/>
    </w:rPr>
  </w:style>
  <w:style w:type="paragraph" w:styleId="Heading5">
    <w:name w:val="heading 5"/>
    <w:aliases w:val="Lentelems,H5"/>
    <w:basedOn w:val="Normal"/>
    <w:next w:val="BodyText"/>
    <w:link w:val="Heading5Char"/>
    <w:uiPriority w:val="99"/>
    <w:unhideWhenUsed/>
    <w:qFormat/>
    <w:rsid w:val="00E86367"/>
    <w:pPr>
      <w:keepNext/>
      <w:keepLines/>
      <w:spacing w:after="40" w:line="240" w:lineRule="auto"/>
      <w:outlineLvl w:val="4"/>
    </w:pPr>
    <w:rPr>
      <w:rFonts w:asciiTheme="majorHAnsi" w:eastAsiaTheme="majorEastAsia" w:hAnsiTheme="majorHAnsi" w:cstheme="majorBidi"/>
      <w:lang w:val="en-GB"/>
    </w:rPr>
  </w:style>
  <w:style w:type="paragraph" w:styleId="Heading6">
    <w:name w:val="heading 6"/>
    <w:aliases w:val="Paveikslams"/>
    <w:basedOn w:val="Normal"/>
    <w:next w:val="Normal"/>
    <w:link w:val="Heading6Char"/>
    <w:uiPriority w:val="99"/>
    <w:unhideWhenUsed/>
    <w:qFormat/>
    <w:rsid w:val="00E86367"/>
    <w:pPr>
      <w:keepNext/>
      <w:keepLines/>
      <w:spacing w:after="40" w:line="240" w:lineRule="auto"/>
      <w:outlineLvl w:val="5"/>
    </w:pPr>
    <w:rPr>
      <w:rFonts w:asciiTheme="majorHAnsi" w:eastAsiaTheme="majorEastAsia" w:hAnsiTheme="majorHAnsi" w:cstheme="majorBidi"/>
      <w:iCs/>
      <w:lang w:val="en-GB"/>
    </w:rPr>
  </w:style>
  <w:style w:type="paragraph" w:styleId="Heading7">
    <w:name w:val="heading 7"/>
    <w:basedOn w:val="Normal"/>
    <w:next w:val="Normal"/>
    <w:link w:val="Heading7Char"/>
    <w:uiPriority w:val="99"/>
    <w:unhideWhenUsed/>
    <w:qFormat/>
    <w:rsid w:val="00E86367"/>
    <w:pPr>
      <w:keepNext/>
      <w:keepLines/>
      <w:spacing w:after="40" w:line="240" w:lineRule="auto"/>
      <w:outlineLvl w:val="6"/>
    </w:pPr>
    <w:rPr>
      <w:rFonts w:asciiTheme="majorHAnsi" w:eastAsiaTheme="majorEastAsia" w:hAnsiTheme="majorHAnsi" w:cstheme="majorBidi"/>
      <w:iCs/>
      <w:lang w:val="en-GB"/>
    </w:rPr>
  </w:style>
  <w:style w:type="paragraph" w:styleId="Heading8">
    <w:name w:val="heading 8"/>
    <w:basedOn w:val="Normal"/>
    <w:next w:val="Normal"/>
    <w:link w:val="Heading8Char"/>
    <w:uiPriority w:val="99"/>
    <w:unhideWhenUsed/>
    <w:qFormat/>
    <w:rsid w:val="00E86367"/>
    <w:pPr>
      <w:keepNext/>
      <w:keepLines/>
      <w:spacing w:after="40" w:line="240" w:lineRule="auto"/>
      <w:outlineLvl w:val="7"/>
    </w:pPr>
    <w:rPr>
      <w:rFonts w:asciiTheme="majorHAnsi" w:eastAsiaTheme="majorEastAsia" w:hAnsiTheme="majorHAnsi" w:cstheme="majorBidi"/>
      <w:lang w:val="en-GB"/>
    </w:rPr>
  </w:style>
  <w:style w:type="paragraph" w:styleId="Heading9">
    <w:name w:val="heading 9"/>
    <w:basedOn w:val="Normal"/>
    <w:next w:val="Normal"/>
    <w:link w:val="Heading9Char"/>
    <w:uiPriority w:val="99"/>
    <w:unhideWhenUsed/>
    <w:qFormat/>
    <w:rsid w:val="00E86367"/>
    <w:pPr>
      <w:keepNext/>
      <w:keepLines/>
      <w:spacing w:after="40" w:line="240" w:lineRule="auto"/>
      <w:outlineLvl w:val="8"/>
    </w:pPr>
    <w:rPr>
      <w:rFonts w:asciiTheme="majorHAnsi" w:eastAsiaTheme="majorEastAsia" w:hAnsiTheme="majorHAnsi" w:cstheme="majorBidi"/>
      <w:iCs/>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86367"/>
    <w:rPr>
      <w:lang w:val="en-GB"/>
    </w:rPr>
  </w:style>
  <w:style w:type="character" w:customStyle="1" w:styleId="BodyTextChar">
    <w:name w:val="Body Text Char"/>
    <w:basedOn w:val="DefaultParagraphFont"/>
    <w:link w:val="BodyText"/>
    <w:rsid w:val="00E86367"/>
  </w:style>
  <w:style w:type="paragraph" w:customStyle="1" w:styleId="BodySingle">
    <w:name w:val="Body Single"/>
    <w:basedOn w:val="BodyText"/>
    <w:link w:val="BodySingleChar"/>
    <w:uiPriority w:val="1"/>
    <w:qFormat/>
    <w:rsid w:val="00E86367"/>
  </w:style>
  <w:style w:type="paragraph" w:styleId="Header">
    <w:name w:val="header"/>
    <w:aliases w:val="Viršutinis kolontitulas Diagrama1,Viršutinis kolontitulas Diagrama Diagrama1,Char Diagrama Diagrama1,Viršutinis kolontitulas Diagrama Diagrama Diagrama,Char Diagrama Diagrama Diagrama,Char Diagrama1,Char,Char Diagrama,En-tête-1,En-tête-2,hd"/>
    <w:basedOn w:val="Normal"/>
    <w:link w:val="HeaderChar"/>
    <w:uiPriority w:val="99"/>
    <w:unhideWhenUsed/>
    <w:qFormat/>
    <w:rsid w:val="00E86367"/>
    <w:pPr>
      <w:tabs>
        <w:tab w:val="center" w:pos="4536"/>
        <w:tab w:val="right" w:pos="9866"/>
      </w:tabs>
      <w:spacing w:line="240" w:lineRule="auto"/>
    </w:pPr>
    <w:rPr>
      <w:rFonts w:asciiTheme="minorHAnsi" w:hAnsiTheme="minorHAnsi"/>
      <w:sz w:val="18"/>
      <w:lang w:val="en-GB"/>
    </w:rPr>
  </w:style>
  <w:style w:type="character" w:customStyle="1" w:styleId="BodySingleChar">
    <w:name w:val="Body Single Char"/>
    <w:basedOn w:val="BodyTextChar"/>
    <w:link w:val="BodySingle"/>
    <w:uiPriority w:val="1"/>
    <w:rsid w:val="00E86367"/>
  </w:style>
  <w:style w:type="character" w:customStyle="1" w:styleId="HeaderChar">
    <w:name w:val="Header Char"/>
    <w:aliases w:val="Viršutinis kolontitulas Diagrama1 Char,Viršutinis kolontitulas Diagrama Diagrama1 Char,Char Diagrama Diagrama1 Char,Viršutinis kolontitulas Diagrama Diagrama Diagrama Char,Char Diagrama Diagrama Diagrama Char,Char Diagrama1 Char,Char Char1"/>
    <w:basedOn w:val="DefaultParagraphFont"/>
    <w:link w:val="Header"/>
    <w:uiPriority w:val="99"/>
    <w:rsid w:val="00E86367"/>
    <w:rPr>
      <w:rFonts w:asciiTheme="minorHAnsi" w:hAnsiTheme="minorHAnsi"/>
      <w:sz w:val="18"/>
    </w:rPr>
  </w:style>
  <w:style w:type="paragraph" w:styleId="Footer">
    <w:name w:val="footer"/>
    <w:aliases w:val="|| Footer"/>
    <w:basedOn w:val="Normal"/>
    <w:link w:val="FooterChar"/>
    <w:uiPriority w:val="99"/>
    <w:unhideWhenUsed/>
    <w:rsid w:val="00E86367"/>
    <w:pPr>
      <w:tabs>
        <w:tab w:val="center" w:pos="4536"/>
        <w:tab w:val="right" w:pos="9866"/>
      </w:tabs>
      <w:spacing w:line="240" w:lineRule="auto"/>
    </w:pPr>
    <w:rPr>
      <w:rFonts w:asciiTheme="minorHAnsi" w:hAnsiTheme="minorHAnsi"/>
      <w:sz w:val="18"/>
      <w:lang w:val="en-GB"/>
    </w:rPr>
  </w:style>
  <w:style w:type="character" w:customStyle="1" w:styleId="FooterChar">
    <w:name w:val="Footer Char"/>
    <w:aliases w:val="|| Footer Char"/>
    <w:basedOn w:val="DefaultParagraphFont"/>
    <w:link w:val="Footer"/>
    <w:uiPriority w:val="99"/>
    <w:rsid w:val="00E86367"/>
    <w:rPr>
      <w:rFonts w:asciiTheme="minorHAnsi" w:hAnsiTheme="minorHAnsi"/>
      <w:sz w:val="18"/>
    </w:rPr>
  </w:style>
  <w:style w:type="character" w:customStyle="1" w:styleId="Heading1Char">
    <w:name w:val="Heading 1 Char"/>
    <w:aliases w:val="Section Char,Heading 1 (nevda) Char,H1 Char,Headline 1 Char,h1 Char,Hoofdstuk Char,Section Heading Char,A MAJOR/BOLD Char,Heading 1 CFMU Char,Para 1 Char,l1 Char,Head 1 (Chapter heading) Char,Head 1 Char,Head 11 Char,Head 12 Char,t1 Char"/>
    <w:basedOn w:val="DefaultParagraphFont"/>
    <w:link w:val="Heading1"/>
    <w:uiPriority w:val="99"/>
    <w:rsid w:val="00E86367"/>
    <w:rPr>
      <w:rFonts w:asciiTheme="majorHAnsi" w:eastAsiaTheme="majorEastAsia" w:hAnsiTheme="majorHAnsi" w:cstheme="majorBidi"/>
      <w:b/>
      <w:bCs/>
      <w:i/>
      <w:color w:val="000000"/>
      <w:sz w:val="32"/>
      <w:szCs w:val="28"/>
    </w:rPr>
  </w:style>
  <w:style w:type="character" w:customStyle="1" w:styleId="Heading2Char">
    <w:name w:val="Heading 2 Char"/>
    <w:aliases w:val="Title Header2 Char,Heading 2 (nevda) Char,H2 Char,Headline 2 Char,h2 Char,2 Char,headi Char,heading2 Char,h21 Char,h22 Char,21 Char,l2 Char,kopregel 2 Char,HD2 Char,Heading 2 Hidden Char,Proposal Char,Level 2 Heading Char,ni2 Char"/>
    <w:basedOn w:val="DefaultParagraphFont"/>
    <w:link w:val="Heading2"/>
    <w:uiPriority w:val="99"/>
    <w:rsid w:val="00E86367"/>
    <w:rPr>
      <w:rFonts w:asciiTheme="majorHAnsi" w:eastAsiaTheme="majorEastAsia" w:hAnsiTheme="majorHAnsi" w:cstheme="majorBidi"/>
      <w:b/>
      <w:bCs/>
      <w:i/>
      <w:sz w:val="24"/>
      <w:szCs w:val="26"/>
    </w:rPr>
  </w:style>
  <w:style w:type="character" w:customStyle="1" w:styleId="Heading3Char">
    <w:name w:val="Heading 3 Char"/>
    <w:aliases w:val="TES_Skyrius 1.1.1. Char,Kap.1.1.1 Char Char,Kap.1.1.1 Char1,A3 Char,Heading 3 (nevda) Char,H3 Char,Section Header3 Char,Sub-Clause Paragraph Char,Diagrama14 Char,Sub-Clause Paragraph Diagrama Char,Section Header3 Diagrama Char"/>
    <w:basedOn w:val="DefaultParagraphFont"/>
    <w:link w:val="Heading3"/>
    <w:uiPriority w:val="99"/>
    <w:rsid w:val="00E86367"/>
    <w:rPr>
      <w:rFonts w:asciiTheme="majorHAnsi" w:eastAsiaTheme="majorEastAsia" w:hAnsiTheme="majorHAnsi" w:cstheme="majorBidi"/>
      <w:bCs/>
      <w:i/>
      <w:sz w:val="24"/>
    </w:rPr>
  </w:style>
  <w:style w:type="character" w:customStyle="1" w:styleId="Heading4Char">
    <w:name w:val="Heading 4 Char"/>
    <w:aliases w:val="Heading 4 (nevda) Char,H4 Char,Sub-Clause Sub-paragraph Char,Heading 4 Char Char Char Char Char,Antraštė 41 Char, Sub-Clause Sub-paragraph Char"/>
    <w:basedOn w:val="DefaultParagraphFont"/>
    <w:link w:val="Heading4"/>
    <w:uiPriority w:val="99"/>
    <w:rsid w:val="00E86367"/>
    <w:rPr>
      <w:rFonts w:asciiTheme="majorHAnsi" w:eastAsiaTheme="majorEastAsia" w:hAnsiTheme="majorHAnsi" w:cstheme="majorBidi"/>
      <w:bCs/>
      <w:i/>
      <w:iCs/>
    </w:rPr>
  </w:style>
  <w:style w:type="character" w:customStyle="1" w:styleId="Heading5Char">
    <w:name w:val="Heading 5 Char"/>
    <w:aliases w:val="Lentelems Char,H5 Char"/>
    <w:basedOn w:val="DefaultParagraphFont"/>
    <w:link w:val="Heading5"/>
    <w:uiPriority w:val="99"/>
    <w:rsid w:val="00E86367"/>
    <w:rPr>
      <w:rFonts w:asciiTheme="majorHAnsi" w:eastAsiaTheme="majorEastAsia" w:hAnsiTheme="majorHAnsi" w:cstheme="majorBidi"/>
    </w:rPr>
  </w:style>
  <w:style w:type="paragraph" w:styleId="Title">
    <w:name w:val="Title"/>
    <w:basedOn w:val="Normal"/>
    <w:next w:val="Subtitle"/>
    <w:link w:val="TitleChar"/>
    <w:uiPriority w:val="10"/>
    <w:qFormat/>
    <w:rsid w:val="00E86367"/>
    <w:pPr>
      <w:spacing w:line="240" w:lineRule="auto"/>
    </w:pPr>
    <w:rPr>
      <w:rFonts w:asciiTheme="majorHAnsi" w:eastAsiaTheme="majorEastAsia" w:hAnsiTheme="majorHAnsi" w:cstheme="majorBidi"/>
      <w:b/>
      <w:i/>
      <w:spacing w:val="5"/>
      <w:kern w:val="28"/>
      <w:sz w:val="56"/>
      <w:szCs w:val="52"/>
      <w:lang w:val="en-GB"/>
    </w:rPr>
  </w:style>
  <w:style w:type="character" w:customStyle="1" w:styleId="TitleChar">
    <w:name w:val="Title Char"/>
    <w:basedOn w:val="DefaultParagraphFont"/>
    <w:link w:val="Title"/>
    <w:uiPriority w:val="10"/>
    <w:rsid w:val="00E86367"/>
    <w:rPr>
      <w:rFonts w:asciiTheme="majorHAnsi" w:eastAsiaTheme="majorEastAsia" w:hAnsiTheme="majorHAnsi" w:cstheme="majorBidi"/>
      <w:b/>
      <w:i/>
      <w:spacing w:val="5"/>
      <w:kern w:val="28"/>
      <w:sz w:val="56"/>
      <w:szCs w:val="52"/>
    </w:rPr>
  </w:style>
  <w:style w:type="paragraph" w:styleId="TOCHeading">
    <w:name w:val="TOC Heading"/>
    <w:basedOn w:val="Heading1"/>
    <w:next w:val="BodyText"/>
    <w:uiPriority w:val="39"/>
    <w:unhideWhenUsed/>
    <w:qFormat/>
    <w:rsid w:val="00E86367"/>
    <w:pPr>
      <w:spacing w:before="480"/>
      <w:outlineLvl w:val="9"/>
    </w:pPr>
    <w:rPr>
      <w:lang w:val="en-US"/>
    </w:rPr>
  </w:style>
  <w:style w:type="paragraph" w:styleId="Subtitle">
    <w:name w:val="Subtitle"/>
    <w:basedOn w:val="Normal"/>
    <w:next w:val="BodyText"/>
    <w:link w:val="SubtitleChar"/>
    <w:uiPriority w:val="11"/>
    <w:qFormat/>
    <w:rsid w:val="00E86367"/>
    <w:pPr>
      <w:numPr>
        <w:ilvl w:val="1"/>
      </w:numPr>
      <w:spacing w:after="1200" w:line="240" w:lineRule="auto"/>
    </w:pPr>
    <w:rPr>
      <w:rFonts w:asciiTheme="majorHAnsi" w:eastAsiaTheme="majorEastAsia" w:hAnsiTheme="majorHAnsi" w:cstheme="majorBidi"/>
      <w:iCs/>
      <w:spacing w:val="15"/>
      <w:sz w:val="40"/>
      <w:szCs w:val="24"/>
      <w:lang w:val="en-GB"/>
    </w:rPr>
  </w:style>
  <w:style w:type="character" w:customStyle="1" w:styleId="SubtitleChar">
    <w:name w:val="Subtitle Char"/>
    <w:basedOn w:val="DefaultParagraphFont"/>
    <w:link w:val="Subtitle"/>
    <w:uiPriority w:val="11"/>
    <w:rsid w:val="00E86367"/>
    <w:rPr>
      <w:rFonts w:asciiTheme="majorHAnsi" w:eastAsiaTheme="majorEastAsia" w:hAnsiTheme="majorHAnsi" w:cstheme="majorBidi"/>
      <w:iCs/>
      <w:spacing w:val="15"/>
      <w:sz w:val="40"/>
      <w:szCs w:val="24"/>
    </w:rPr>
  </w:style>
  <w:style w:type="paragraph" w:styleId="TOC1">
    <w:name w:val="toc 1"/>
    <w:basedOn w:val="Normal"/>
    <w:next w:val="Normal"/>
    <w:autoRedefine/>
    <w:uiPriority w:val="39"/>
    <w:unhideWhenUsed/>
    <w:rsid w:val="00E86367"/>
    <w:pPr>
      <w:spacing w:after="100"/>
    </w:pPr>
    <w:rPr>
      <w:lang w:val="en-GB"/>
    </w:rPr>
  </w:style>
  <w:style w:type="paragraph" w:styleId="TOC2">
    <w:name w:val="toc 2"/>
    <w:basedOn w:val="Normal"/>
    <w:next w:val="Normal"/>
    <w:autoRedefine/>
    <w:uiPriority w:val="39"/>
    <w:unhideWhenUsed/>
    <w:rsid w:val="00E86367"/>
    <w:pPr>
      <w:spacing w:after="100"/>
      <w:ind w:left="200"/>
    </w:pPr>
    <w:rPr>
      <w:lang w:val="en-GB"/>
    </w:rPr>
  </w:style>
  <w:style w:type="paragraph" w:styleId="TOC3">
    <w:name w:val="toc 3"/>
    <w:basedOn w:val="Normal"/>
    <w:next w:val="Normal"/>
    <w:autoRedefine/>
    <w:uiPriority w:val="39"/>
    <w:unhideWhenUsed/>
    <w:rsid w:val="00C8349D"/>
    <w:pPr>
      <w:tabs>
        <w:tab w:val="left" w:pos="1320"/>
        <w:tab w:val="right" w:leader="dot" w:pos="10194"/>
      </w:tabs>
      <w:spacing w:after="100"/>
      <w:ind w:left="400"/>
      <w:jc w:val="both"/>
    </w:pPr>
    <w:rPr>
      <w:lang w:val="en-GB"/>
    </w:rPr>
  </w:style>
  <w:style w:type="character" w:styleId="Hyperlink">
    <w:name w:val="Hyperlink"/>
    <w:basedOn w:val="DefaultParagraphFont"/>
    <w:uiPriority w:val="99"/>
    <w:unhideWhenUsed/>
    <w:rsid w:val="00E86367"/>
    <w:rPr>
      <w:color w:val="DC6900" w:themeColor="hyperlink"/>
      <w:u w:val="single"/>
    </w:rPr>
  </w:style>
  <w:style w:type="paragraph" w:styleId="BalloonText">
    <w:name w:val="Balloon Text"/>
    <w:basedOn w:val="Normal"/>
    <w:link w:val="BalloonTextChar"/>
    <w:uiPriority w:val="99"/>
    <w:semiHidden/>
    <w:unhideWhenUsed/>
    <w:rsid w:val="00E86367"/>
    <w:pPr>
      <w:spacing w:line="240" w:lineRule="auto"/>
    </w:pPr>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E86367"/>
    <w:rPr>
      <w:rFonts w:ascii="Tahoma" w:hAnsi="Tahoma" w:cs="Tahoma"/>
      <w:sz w:val="16"/>
      <w:szCs w:val="16"/>
    </w:rPr>
  </w:style>
  <w:style w:type="paragraph" w:styleId="ListBullet">
    <w:name w:val="List Bullet"/>
    <w:basedOn w:val="Normal"/>
    <w:uiPriority w:val="14"/>
    <w:unhideWhenUsed/>
    <w:qFormat/>
    <w:rsid w:val="00E86367"/>
    <w:pPr>
      <w:numPr>
        <w:numId w:val="1"/>
      </w:numPr>
      <w:contextualSpacing/>
    </w:pPr>
    <w:rPr>
      <w:lang w:val="en-GB"/>
    </w:rPr>
  </w:style>
  <w:style w:type="numbering" w:customStyle="1" w:styleId="PwCListBullets1">
    <w:name w:val="PwC List Bullets 1"/>
    <w:uiPriority w:val="99"/>
    <w:rsid w:val="00E86367"/>
    <w:pPr>
      <w:numPr>
        <w:numId w:val="1"/>
      </w:numPr>
    </w:pPr>
  </w:style>
  <w:style w:type="numbering" w:customStyle="1" w:styleId="PwCListNumbers1">
    <w:name w:val="PwC List Numbers 1"/>
    <w:uiPriority w:val="99"/>
    <w:rsid w:val="00E86367"/>
    <w:pPr>
      <w:numPr>
        <w:numId w:val="2"/>
      </w:numPr>
    </w:pPr>
  </w:style>
  <w:style w:type="paragraph" w:styleId="ListNumber">
    <w:name w:val="List Number"/>
    <w:basedOn w:val="Normal"/>
    <w:uiPriority w:val="13"/>
    <w:unhideWhenUsed/>
    <w:qFormat/>
    <w:rsid w:val="00E86367"/>
    <w:pPr>
      <w:numPr>
        <w:numId w:val="3"/>
      </w:numPr>
      <w:contextualSpacing/>
    </w:pPr>
    <w:rPr>
      <w:lang w:val="en-GB"/>
    </w:rPr>
  </w:style>
  <w:style w:type="paragraph" w:styleId="ListBullet2">
    <w:name w:val="List Bullet 2"/>
    <w:basedOn w:val="Normal"/>
    <w:uiPriority w:val="99"/>
    <w:unhideWhenUsed/>
    <w:qFormat/>
    <w:rsid w:val="00E86367"/>
    <w:pPr>
      <w:numPr>
        <w:ilvl w:val="1"/>
        <w:numId w:val="1"/>
      </w:numPr>
      <w:contextualSpacing/>
    </w:pPr>
    <w:rPr>
      <w:lang w:val="en-GB"/>
    </w:rPr>
  </w:style>
  <w:style w:type="paragraph" w:styleId="ListBullet3">
    <w:name w:val="List Bullet 3"/>
    <w:basedOn w:val="Normal"/>
    <w:uiPriority w:val="99"/>
    <w:unhideWhenUsed/>
    <w:qFormat/>
    <w:rsid w:val="00E86367"/>
    <w:pPr>
      <w:numPr>
        <w:ilvl w:val="2"/>
        <w:numId w:val="1"/>
      </w:numPr>
      <w:contextualSpacing/>
    </w:pPr>
    <w:rPr>
      <w:lang w:val="en-GB"/>
    </w:rPr>
  </w:style>
  <w:style w:type="paragraph" w:styleId="ListBullet4">
    <w:name w:val="List Bullet 4"/>
    <w:basedOn w:val="Normal"/>
    <w:uiPriority w:val="14"/>
    <w:unhideWhenUsed/>
    <w:rsid w:val="00E86367"/>
    <w:pPr>
      <w:numPr>
        <w:ilvl w:val="3"/>
        <w:numId w:val="1"/>
      </w:numPr>
      <w:contextualSpacing/>
    </w:pPr>
    <w:rPr>
      <w:lang w:val="en-GB"/>
    </w:rPr>
  </w:style>
  <w:style w:type="paragraph" w:styleId="ListBullet5">
    <w:name w:val="List Bullet 5"/>
    <w:basedOn w:val="Normal"/>
    <w:uiPriority w:val="99"/>
    <w:unhideWhenUsed/>
    <w:rsid w:val="00E86367"/>
    <w:pPr>
      <w:numPr>
        <w:ilvl w:val="4"/>
        <w:numId w:val="1"/>
      </w:numPr>
      <w:contextualSpacing/>
    </w:pPr>
    <w:rPr>
      <w:lang w:val="en-GB"/>
    </w:rPr>
  </w:style>
  <w:style w:type="paragraph" w:styleId="ListNumber2">
    <w:name w:val="List Number 2"/>
    <w:basedOn w:val="Normal"/>
    <w:uiPriority w:val="13"/>
    <w:unhideWhenUsed/>
    <w:qFormat/>
    <w:rsid w:val="00E86367"/>
    <w:pPr>
      <w:numPr>
        <w:ilvl w:val="1"/>
        <w:numId w:val="3"/>
      </w:numPr>
      <w:contextualSpacing/>
    </w:pPr>
    <w:rPr>
      <w:lang w:val="en-GB"/>
    </w:rPr>
  </w:style>
  <w:style w:type="paragraph" w:styleId="ListNumber3">
    <w:name w:val="List Number 3"/>
    <w:basedOn w:val="Normal"/>
    <w:uiPriority w:val="13"/>
    <w:unhideWhenUsed/>
    <w:qFormat/>
    <w:rsid w:val="00E86367"/>
    <w:pPr>
      <w:numPr>
        <w:ilvl w:val="2"/>
        <w:numId w:val="3"/>
      </w:numPr>
      <w:contextualSpacing/>
    </w:pPr>
    <w:rPr>
      <w:lang w:val="en-GB"/>
    </w:rPr>
  </w:style>
  <w:style w:type="paragraph" w:styleId="ListNumber4">
    <w:name w:val="List Number 4"/>
    <w:basedOn w:val="Normal"/>
    <w:uiPriority w:val="13"/>
    <w:semiHidden/>
    <w:unhideWhenUsed/>
    <w:rsid w:val="00E86367"/>
    <w:pPr>
      <w:numPr>
        <w:ilvl w:val="3"/>
        <w:numId w:val="3"/>
      </w:numPr>
      <w:contextualSpacing/>
    </w:pPr>
    <w:rPr>
      <w:lang w:val="en-GB"/>
    </w:rPr>
  </w:style>
  <w:style w:type="paragraph" w:styleId="ListNumber5">
    <w:name w:val="List Number 5"/>
    <w:basedOn w:val="Normal"/>
    <w:uiPriority w:val="13"/>
    <w:semiHidden/>
    <w:unhideWhenUsed/>
    <w:rsid w:val="00E86367"/>
    <w:pPr>
      <w:numPr>
        <w:ilvl w:val="4"/>
        <w:numId w:val="3"/>
      </w:numPr>
      <w:contextualSpacing/>
    </w:pPr>
    <w:rPr>
      <w:lang w:val="en-GB"/>
    </w:rPr>
  </w:style>
  <w:style w:type="paragraph" w:styleId="List">
    <w:name w:val="List"/>
    <w:basedOn w:val="Normal"/>
    <w:uiPriority w:val="99"/>
    <w:semiHidden/>
    <w:unhideWhenUsed/>
    <w:rsid w:val="00E86367"/>
    <w:pPr>
      <w:ind w:left="567" w:hanging="567"/>
      <w:contextualSpacing/>
    </w:pPr>
    <w:rPr>
      <w:lang w:val="en-GB"/>
    </w:rPr>
  </w:style>
  <w:style w:type="paragraph" w:styleId="List2">
    <w:name w:val="List 2"/>
    <w:basedOn w:val="Normal"/>
    <w:uiPriority w:val="99"/>
    <w:semiHidden/>
    <w:unhideWhenUsed/>
    <w:rsid w:val="00E86367"/>
    <w:pPr>
      <w:ind w:left="1134" w:hanging="567"/>
      <w:contextualSpacing/>
    </w:pPr>
    <w:rPr>
      <w:lang w:val="en-GB"/>
    </w:rPr>
  </w:style>
  <w:style w:type="paragraph" w:styleId="ListContinue">
    <w:name w:val="List Continue"/>
    <w:basedOn w:val="Normal"/>
    <w:uiPriority w:val="14"/>
    <w:unhideWhenUsed/>
    <w:qFormat/>
    <w:rsid w:val="00E86367"/>
    <w:pPr>
      <w:spacing w:after="120"/>
      <w:ind w:left="567"/>
      <w:contextualSpacing/>
    </w:pPr>
    <w:rPr>
      <w:lang w:val="en-GB"/>
    </w:rPr>
  </w:style>
  <w:style w:type="paragraph" w:styleId="ListContinue2">
    <w:name w:val="List Continue 2"/>
    <w:basedOn w:val="Normal"/>
    <w:uiPriority w:val="14"/>
    <w:unhideWhenUsed/>
    <w:qFormat/>
    <w:rsid w:val="00E86367"/>
    <w:pPr>
      <w:spacing w:after="120"/>
      <w:ind w:left="1134"/>
      <w:contextualSpacing/>
    </w:pPr>
    <w:rPr>
      <w:lang w:val="en-GB"/>
    </w:rPr>
  </w:style>
  <w:style w:type="paragraph" w:styleId="ListContinue3">
    <w:name w:val="List Continue 3"/>
    <w:basedOn w:val="Normal"/>
    <w:uiPriority w:val="14"/>
    <w:unhideWhenUsed/>
    <w:qFormat/>
    <w:rsid w:val="00E86367"/>
    <w:pPr>
      <w:spacing w:after="120"/>
      <w:ind w:left="1701"/>
      <w:contextualSpacing/>
    </w:pPr>
    <w:rPr>
      <w:lang w:val="en-GB"/>
    </w:rPr>
  </w:style>
  <w:style w:type="paragraph" w:styleId="ListContinue4">
    <w:name w:val="List Continue 4"/>
    <w:basedOn w:val="Normal"/>
    <w:uiPriority w:val="14"/>
    <w:semiHidden/>
    <w:unhideWhenUsed/>
    <w:rsid w:val="00E86367"/>
    <w:pPr>
      <w:spacing w:after="120"/>
      <w:ind w:left="2268"/>
      <w:contextualSpacing/>
    </w:pPr>
    <w:rPr>
      <w:lang w:val="en-GB"/>
    </w:rPr>
  </w:style>
  <w:style w:type="paragraph" w:styleId="ListContinue5">
    <w:name w:val="List Continue 5"/>
    <w:basedOn w:val="Normal"/>
    <w:uiPriority w:val="14"/>
    <w:semiHidden/>
    <w:unhideWhenUsed/>
    <w:rsid w:val="00E86367"/>
    <w:pPr>
      <w:spacing w:after="120"/>
      <w:ind w:left="2835"/>
      <w:contextualSpacing/>
    </w:pPr>
    <w:rPr>
      <w:lang w:val="en-GB"/>
    </w:rPr>
  </w:style>
  <w:style w:type="paragraph" w:styleId="List3">
    <w:name w:val="List 3"/>
    <w:basedOn w:val="Normal"/>
    <w:uiPriority w:val="99"/>
    <w:semiHidden/>
    <w:unhideWhenUsed/>
    <w:rsid w:val="00E86367"/>
    <w:pPr>
      <w:ind w:left="1701" w:hanging="567"/>
      <w:contextualSpacing/>
    </w:pPr>
    <w:rPr>
      <w:lang w:val="en-GB"/>
    </w:rPr>
  </w:style>
  <w:style w:type="paragraph" w:styleId="List4">
    <w:name w:val="List 4"/>
    <w:basedOn w:val="Normal"/>
    <w:uiPriority w:val="99"/>
    <w:semiHidden/>
    <w:unhideWhenUsed/>
    <w:rsid w:val="00E86367"/>
    <w:pPr>
      <w:ind w:left="2268" w:hanging="567"/>
      <w:contextualSpacing/>
    </w:pPr>
    <w:rPr>
      <w:lang w:val="en-GB"/>
    </w:rPr>
  </w:style>
  <w:style w:type="paragraph" w:styleId="List5">
    <w:name w:val="List 5"/>
    <w:basedOn w:val="Normal"/>
    <w:uiPriority w:val="99"/>
    <w:semiHidden/>
    <w:unhideWhenUsed/>
    <w:rsid w:val="00E86367"/>
    <w:pPr>
      <w:ind w:left="2835" w:hanging="567"/>
      <w:contextualSpacing/>
    </w:pPr>
    <w:rPr>
      <w:lang w:val="en-GB"/>
    </w:rPr>
  </w:style>
  <w:style w:type="table" w:styleId="TableGrid">
    <w:name w:val="Table Grid"/>
    <w:aliases w:val="Smart Text Table"/>
    <w:basedOn w:val="TableNormal"/>
    <w:uiPriority w:val="59"/>
    <w:rsid w:val="00E8636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Text">
    <w:name w:val="PwC Table Text"/>
    <w:basedOn w:val="TableNormal"/>
    <w:uiPriority w:val="99"/>
    <w:qFormat/>
    <w:rsid w:val="00E86367"/>
    <w:pPr>
      <w:spacing w:before="60" w:after="60" w:line="240" w:lineRule="auto"/>
    </w:pPr>
    <w:tblPr>
      <w:tblStyleRowBandSize w:val="1"/>
      <w:tblBorders>
        <w:insideH w:val="dotted" w:sz="4" w:space="0" w:color="DC6900" w:themeColor="text2"/>
      </w:tblBorders>
    </w:tblPr>
    <w:tblStylePr w:type="firstRow">
      <w:rPr>
        <w:b/>
      </w:rPr>
      <w:tblPr/>
      <w:tcPr>
        <w:tcBorders>
          <w:top w:val="single" w:sz="6" w:space="0" w:color="DC6900" w:themeColor="text2"/>
          <w:bottom w:val="single" w:sz="6" w:space="0" w:color="DC6900" w:themeColor="text2"/>
        </w:tcBorders>
      </w:tcPr>
    </w:tblStylePr>
    <w:tblStylePr w:type="lastRow">
      <w:rPr>
        <w:b/>
      </w:rPr>
      <w:tblPr/>
      <w:tcPr>
        <w:tcBorders>
          <w:top w:val="single" w:sz="6" w:space="0" w:color="DC6900" w:themeColor="text2"/>
          <w:bottom w:val="single" w:sz="6" w:space="0" w:color="DC6900" w:themeColor="text2"/>
        </w:tcBorders>
      </w:tcPr>
    </w:tblStylePr>
    <w:tblStylePr w:type="band1Horz">
      <w:tblPr/>
      <w:tcPr>
        <w:tcBorders>
          <w:bottom w:val="nil"/>
        </w:tcBorders>
      </w:tcPr>
    </w:tblStylePr>
  </w:style>
  <w:style w:type="character" w:customStyle="1" w:styleId="Heading6Char">
    <w:name w:val="Heading 6 Char"/>
    <w:aliases w:val="Paveikslams Char"/>
    <w:basedOn w:val="DefaultParagraphFont"/>
    <w:link w:val="Heading6"/>
    <w:uiPriority w:val="99"/>
    <w:rsid w:val="00E86367"/>
    <w:rPr>
      <w:rFonts w:asciiTheme="majorHAnsi" w:eastAsiaTheme="majorEastAsia" w:hAnsiTheme="majorHAnsi" w:cstheme="majorBidi"/>
      <w:iCs/>
    </w:rPr>
  </w:style>
  <w:style w:type="character" w:customStyle="1" w:styleId="Heading7Char">
    <w:name w:val="Heading 7 Char"/>
    <w:basedOn w:val="DefaultParagraphFont"/>
    <w:link w:val="Heading7"/>
    <w:uiPriority w:val="99"/>
    <w:rsid w:val="00E86367"/>
    <w:rPr>
      <w:rFonts w:asciiTheme="majorHAnsi" w:eastAsiaTheme="majorEastAsia" w:hAnsiTheme="majorHAnsi" w:cstheme="majorBidi"/>
      <w:iCs/>
    </w:rPr>
  </w:style>
  <w:style w:type="character" w:customStyle="1" w:styleId="Heading8Char">
    <w:name w:val="Heading 8 Char"/>
    <w:basedOn w:val="DefaultParagraphFont"/>
    <w:link w:val="Heading8"/>
    <w:uiPriority w:val="99"/>
    <w:rsid w:val="00E86367"/>
    <w:rPr>
      <w:rFonts w:asciiTheme="majorHAnsi" w:eastAsiaTheme="majorEastAsia" w:hAnsiTheme="majorHAnsi" w:cstheme="majorBidi"/>
    </w:rPr>
  </w:style>
  <w:style w:type="character" w:customStyle="1" w:styleId="Heading9Char">
    <w:name w:val="Heading 9 Char"/>
    <w:basedOn w:val="DefaultParagraphFont"/>
    <w:link w:val="Heading9"/>
    <w:uiPriority w:val="99"/>
    <w:rsid w:val="00E86367"/>
    <w:rPr>
      <w:rFonts w:asciiTheme="majorHAnsi" w:eastAsiaTheme="majorEastAsia" w:hAnsiTheme="majorHAnsi" w:cstheme="majorBidi"/>
      <w:iCs/>
    </w:rPr>
  </w:style>
  <w:style w:type="table" w:styleId="MediumShading2-Accent3">
    <w:name w:val="Medium Shading 2 Accent 3"/>
    <w:basedOn w:val="TableNormal"/>
    <w:uiPriority w:val="64"/>
    <w:rsid w:val="00E8636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232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02320" w:themeFill="accent3"/>
      </w:tcPr>
    </w:tblStylePr>
    <w:tblStylePr w:type="lastCol">
      <w:rPr>
        <w:b/>
        <w:bCs/>
        <w:color w:val="FFFFFF" w:themeColor="background1"/>
      </w:rPr>
      <w:tblPr/>
      <w:tcPr>
        <w:tcBorders>
          <w:left w:val="nil"/>
          <w:right w:val="nil"/>
          <w:insideH w:val="nil"/>
          <w:insideV w:val="nil"/>
        </w:tcBorders>
        <w:shd w:val="clear" w:color="auto" w:fill="60232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List-Accent6">
    <w:name w:val="Light List Accent 6"/>
    <w:basedOn w:val="TableNormal"/>
    <w:uiPriority w:val="61"/>
    <w:rsid w:val="00E86367"/>
    <w:pPr>
      <w:spacing w:after="0" w:line="240" w:lineRule="auto"/>
    </w:pPr>
    <w:tblPr>
      <w:tblStyleRowBandSize w:val="1"/>
      <w:tblStyleColBandSize w:val="1"/>
      <w:tblBorders>
        <w:top w:val="single" w:sz="8" w:space="0" w:color="E0301E" w:themeColor="accent6"/>
        <w:left w:val="single" w:sz="8" w:space="0" w:color="E0301E" w:themeColor="accent6"/>
        <w:bottom w:val="single" w:sz="8" w:space="0" w:color="E0301E" w:themeColor="accent6"/>
        <w:right w:val="single" w:sz="8" w:space="0" w:color="E0301E" w:themeColor="accent6"/>
      </w:tblBorders>
    </w:tblPr>
    <w:tblStylePr w:type="firstRow">
      <w:pPr>
        <w:spacing w:before="0" w:after="0" w:line="240" w:lineRule="auto"/>
      </w:pPr>
      <w:rPr>
        <w:b/>
        <w:bCs/>
        <w:color w:val="FFFFFF" w:themeColor="background1"/>
      </w:rPr>
      <w:tblPr/>
      <w:tcPr>
        <w:shd w:val="clear" w:color="auto" w:fill="E0301E" w:themeFill="accent6"/>
      </w:tcPr>
    </w:tblStylePr>
    <w:tblStylePr w:type="lastRow">
      <w:pPr>
        <w:spacing w:before="0" w:after="0" w:line="240" w:lineRule="auto"/>
      </w:pPr>
      <w:rPr>
        <w:b/>
        <w:bCs/>
      </w:rPr>
      <w:tblPr/>
      <w:tcPr>
        <w:tcBorders>
          <w:top w:val="double" w:sz="6" w:space="0" w:color="E0301E" w:themeColor="accent6"/>
          <w:left w:val="single" w:sz="8" w:space="0" w:color="E0301E" w:themeColor="accent6"/>
          <w:bottom w:val="single" w:sz="8" w:space="0" w:color="E0301E" w:themeColor="accent6"/>
          <w:right w:val="single" w:sz="8" w:space="0" w:color="E0301E" w:themeColor="accent6"/>
        </w:tcBorders>
      </w:tcPr>
    </w:tblStylePr>
    <w:tblStylePr w:type="firstCol">
      <w:rPr>
        <w:b/>
        <w:bCs/>
      </w:rPr>
    </w:tblStylePr>
    <w:tblStylePr w:type="lastCol">
      <w:rPr>
        <w:b/>
        <w:bCs/>
      </w:rPr>
    </w:tblStylePr>
    <w:tblStylePr w:type="band1Vert">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tblStylePr w:type="band1Horz">
      <w:tblPr/>
      <w:tcPr>
        <w:tcBorders>
          <w:top w:val="single" w:sz="8" w:space="0" w:color="E0301E" w:themeColor="accent6"/>
          <w:left w:val="single" w:sz="8" w:space="0" w:color="E0301E" w:themeColor="accent6"/>
          <w:bottom w:val="single" w:sz="8" w:space="0" w:color="E0301E" w:themeColor="accent6"/>
          <w:right w:val="single" w:sz="8" w:space="0" w:color="E0301E" w:themeColor="accent6"/>
        </w:tcBorders>
      </w:tcPr>
    </w:tblStylePr>
  </w:style>
  <w:style w:type="paragraph" w:customStyle="1" w:styleId="NoParagraphStyle">
    <w:name w:val="[No Paragraph Style]"/>
    <w:rsid w:val="008915B2"/>
    <w:pPr>
      <w:autoSpaceDE w:val="0"/>
      <w:autoSpaceDN w:val="0"/>
      <w:adjustRightInd w:val="0"/>
      <w:spacing w:after="0" w:line="288" w:lineRule="auto"/>
      <w:textAlignment w:val="center"/>
    </w:pPr>
    <w:rPr>
      <w:rFonts w:ascii="Times New Roman" w:eastAsia="Arial" w:hAnsi="Times New Roman" w:cs="Times New Roman"/>
      <w:color w:val="000000"/>
      <w:sz w:val="24"/>
      <w:szCs w:val="24"/>
      <w:lang w:val="en-US"/>
    </w:rPr>
  </w:style>
  <w:style w:type="paragraph" w:customStyle="1" w:styleId="PwCAddress">
    <w:name w:val="PwC Address"/>
    <w:basedOn w:val="Normal"/>
    <w:link w:val="PwCAddressChar"/>
    <w:uiPriority w:val="99"/>
    <w:qFormat/>
    <w:rsid w:val="008915B2"/>
    <w:pPr>
      <w:spacing w:line="200" w:lineRule="atLeast"/>
    </w:pPr>
    <w:rPr>
      <w:i/>
      <w:noProof/>
      <w:color w:val="auto"/>
      <w:sz w:val="18"/>
      <w:szCs w:val="22"/>
      <w:lang w:val="en-GB" w:eastAsia="en-GB"/>
    </w:rPr>
  </w:style>
  <w:style w:type="character" w:customStyle="1" w:styleId="PwCAddressChar">
    <w:name w:val="PwC Address Char"/>
    <w:link w:val="PwCAddress"/>
    <w:uiPriority w:val="99"/>
    <w:rsid w:val="008915B2"/>
    <w:rPr>
      <w:rFonts w:eastAsia="Arial" w:cs="Times New Roman"/>
      <w:i/>
      <w:noProof/>
      <w:sz w:val="18"/>
      <w:szCs w:val="22"/>
      <w:lang w:eastAsia="en-GB"/>
    </w:rPr>
  </w:style>
  <w:style w:type="character" w:styleId="Strong">
    <w:name w:val="Strong"/>
    <w:qFormat/>
    <w:rsid w:val="008A593F"/>
    <w:rPr>
      <w:b/>
      <w:bCs/>
    </w:rPr>
  </w:style>
  <w:style w:type="paragraph" w:customStyle="1" w:styleId="1Heading">
    <w:name w:val="1 Heading"/>
    <w:basedOn w:val="Normal"/>
    <w:link w:val="1HeadingChar"/>
    <w:uiPriority w:val="99"/>
    <w:qFormat/>
    <w:rsid w:val="008A593F"/>
    <w:pPr>
      <w:keepNext/>
      <w:keepLines/>
      <w:spacing w:before="360" w:after="480"/>
      <w:outlineLvl w:val="0"/>
    </w:pPr>
    <w:rPr>
      <w:rFonts w:eastAsia="Times New Roman"/>
      <w:b/>
      <w:bCs/>
      <w:i/>
      <w:color w:val="auto"/>
      <w:sz w:val="32"/>
      <w:szCs w:val="32"/>
      <w:lang w:val="en-GB"/>
    </w:rPr>
  </w:style>
  <w:style w:type="character" w:customStyle="1" w:styleId="1HeadingChar">
    <w:name w:val="1 Heading Char"/>
    <w:link w:val="1Heading"/>
    <w:uiPriority w:val="99"/>
    <w:rsid w:val="008A593F"/>
    <w:rPr>
      <w:rFonts w:eastAsia="Times New Roman" w:cs="Times New Roman"/>
      <w:b/>
      <w:bCs/>
      <w:i/>
      <w:sz w:val="32"/>
      <w:szCs w:val="32"/>
    </w:rPr>
  </w:style>
  <w:style w:type="paragraph" w:styleId="Signature">
    <w:name w:val="Signature"/>
    <w:basedOn w:val="Normal"/>
    <w:next w:val="Normal"/>
    <w:link w:val="SignatureChar"/>
    <w:rsid w:val="000F253C"/>
    <w:pPr>
      <w:keepNext/>
      <w:spacing w:before="360" w:after="800" w:line="240" w:lineRule="auto"/>
    </w:pPr>
    <w:rPr>
      <w:rFonts w:ascii="Times New Roman" w:eastAsia="Times New Roman" w:hAnsi="Times New Roman"/>
      <w:color w:val="auto"/>
      <w:spacing w:val="-5"/>
      <w:sz w:val="24"/>
      <w:szCs w:val="20"/>
      <w:lang w:val="en-US"/>
    </w:rPr>
  </w:style>
  <w:style w:type="character" w:customStyle="1" w:styleId="SignatureChar">
    <w:name w:val="Signature Char"/>
    <w:basedOn w:val="DefaultParagraphFont"/>
    <w:link w:val="Signature"/>
    <w:rsid w:val="000F253C"/>
    <w:rPr>
      <w:rFonts w:ascii="Times New Roman" w:eastAsia="Times New Roman" w:hAnsi="Times New Roman" w:cs="Times New Roman"/>
      <w:spacing w:val="-5"/>
      <w:sz w:val="24"/>
      <w:lang w:val="en-US"/>
    </w:rPr>
  </w:style>
  <w:style w:type="paragraph" w:customStyle="1" w:styleId="CharChar">
    <w:name w:val="Char Char"/>
    <w:basedOn w:val="Normal"/>
    <w:rsid w:val="000F253C"/>
    <w:pPr>
      <w:spacing w:after="160" w:line="240" w:lineRule="exact"/>
    </w:pPr>
    <w:rPr>
      <w:rFonts w:ascii="Tahoma" w:eastAsia="Times New Roman" w:hAnsi="Tahoma"/>
      <w:color w:val="auto"/>
      <w:szCs w:val="20"/>
      <w:lang w:val="en-US"/>
    </w:rPr>
  </w:style>
  <w:style w:type="paragraph" w:styleId="ListParagraph">
    <w:name w:val="List Paragraph"/>
    <w:aliases w:val="List Paragraph21,Lentele,Table of contents numbered,ERP-List Paragraph,List Paragraph1,List Paragraph11,Bullet EY,List Paragraph2,Bullet,List Paragraph3,Paragraph,List Paragraph Red,Numbering,lp1,Bullet 1,Use Case List Paragraph"/>
    <w:basedOn w:val="Normal"/>
    <w:link w:val="ListParagraphChar"/>
    <w:uiPriority w:val="34"/>
    <w:unhideWhenUsed/>
    <w:qFormat/>
    <w:rsid w:val="004947BC"/>
    <w:pPr>
      <w:ind w:left="720"/>
      <w:contextualSpacing/>
    </w:pPr>
    <w:rPr>
      <w:lang w:val="en-GB"/>
    </w:rPr>
  </w:style>
  <w:style w:type="table" w:styleId="LightList-Accent5">
    <w:name w:val="Light List Accent 5"/>
    <w:basedOn w:val="TableNormal"/>
    <w:uiPriority w:val="61"/>
    <w:rsid w:val="00ED07BC"/>
    <w:pPr>
      <w:spacing w:after="0" w:line="240" w:lineRule="auto"/>
    </w:pPr>
    <w:tblPr>
      <w:tblStyleRowBandSize w:val="1"/>
      <w:tblStyleColBandSize w:val="1"/>
      <w:tblBorders>
        <w:top w:val="single" w:sz="8" w:space="0" w:color="A32020" w:themeColor="accent5"/>
        <w:left w:val="single" w:sz="8" w:space="0" w:color="A32020" w:themeColor="accent5"/>
        <w:bottom w:val="single" w:sz="8" w:space="0" w:color="A32020" w:themeColor="accent5"/>
        <w:right w:val="single" w:sz="8" w:space="0" w:color="A32020" w:themeColor="accent5"/>
      </w:tblBorders>
    </w:tblPr>
    <w:tblStylePr w:type="firstRow">
      <w:pPr>
        <w:spacing w:before="0" w:after="0" w:line="240" w:lineRule="auto"/>
      </w:pPr>
      <w:rPr>
        <w:b/>
        <w:bCs/>
        <w:color w:val="FFFFFF" w:themeColor="background1"/>
      </w:rPr>
      <w:tblPr/>
      <w:tcPr>
        <w:shd w:val="clear" w:color="auto" w:fill="A32020" w:themeFill="accent5"/>
      </w:tcPr>
    </w:tblStylePr>
    <w:tblStylePr w:type="lastRow">
      <w:pPr>
        <w:spacing w:before="0" w:after="0" w:line="240" w:lineRule="auto"/>
      </w:pPr>
      <w:rPr>
        <w:b/>
        <w:bCs/>
      </w:rPr>
      <w:tblPr/>
      <w:tcPr>
        <w:tcBorders>
          <w:top w:val="double" w:sz="6" w:space="0" w:color="A32020" w:themeColor="accent5"/>
          <w:left w:val="single" w:sz="8" w:space="0" w:color="A32020" w:themeColor="accent5"/>
          <w:bottom w:val="single" w:sz="8" w:space="0" w:color="A32020" w:themeColor="accent5"/>
          <w:right w:val="single" w:sz="8" w:space="0" w:color="A32020" w:themeColor="accent5"/>
        </w:tcBorders>
      </w:tcPr>
    </w:tblStylePr>
    <w:tblStylePr w:type="firstCol">
      <w:rPr>
        <w:b/>
        <w:bCs/>
      </w:rPr>
    </w:tblStylePr>
    <w:tblStylePr w:type="lastCol">
      <w:rPr>
        <w:b/>
        <w:bCs/>
      </w:rPr>
    </w:tblStylePr>
    <w:tblStylePr w:type="band1Vert">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tblStylePr w:type="band1Horz">
      <w:tblPr/>
      <w:tcPr>
        <w:tcBorders>
          <w:top w:val="single" w:sz="8" w:space="0" w:color="A32020" w:themeColor="accent5"/>
          <w:left w:val="single" w:sz="8" w:space="0" w:color="A32020" w:themeColor="accent5"/>
          <w:bottom w:val="single" w:sz="8" w:space="0" w:color="A32020" w:themeColor="accent5"/>
          <w:right w:val="single" w:sz="8" w:space="0" w:color="A32020" w:themeColor="accent5"/>
        </w:tcBorders>
      </w:tcPr>
    </w:tblStylePr>
  </w:style>
  <w:style w:type="table" w:styleId="LightList-Accent4">
    <w:name w:val="Light List Accent 4"/>
    <w:basedOn w:val="TableNormal"/>
    <w:uiPriority w:val="61"/>
    <w:rsid w:val="00DD01C3"/>
    <w:pPr>
      <w:spacing w:after="0" w:line="240" w:lineRule="auto"/>
    </w:pPr>
    <w:tblPr>
      <w:tblStyleRowBandSize w:val="1"/>
      <w:tblStyleColBandSize w:val="1"/>
      <w:tblBorders>
        <w:top w:val="single" w:sz="8" w:space="0" w:color="DB536A" w:themeColor="accent4"/>
        <w:left w:val="single" w:sz="8" w:space="0" w:color="DB536A" w:themeColor="accent4"/>
        <w:bottom w:val="single" w:sz="8" w:space="0" w:color="DB536A" w:themeColor="accent4"/>
        <w:right w:val="single" w:sz="8" w:space="0" w:color="DB536A" w:themeColor="accent4"/>
      </w:tblBorders>
    </w:tblPr>
    <w:tblStylePr w:type="firstRow">
      <w:pPr>
        <w:spacing w:before="0" w:after="0" w:line="240" w:lineRule="auto"/>
      </w:pPr>
      <w:rPr>
        <w:b/>
        <w:bCs/>
        <w:color w:val="FFFFFF" w:themeColor="background1"/>
      </w:rPr>
      <w:tblPr/>
      <w:tcPr>
        <w:shd w:val="clear" w:color="auto" w:fill="DB536A" w:themeFill="accent4"/>
      </w:tcPr>
    </w:tblStylePr>
    <w:tblStylePr w:type="lastRow">
      <w:pPr>
        <w:spacing w:before="0" w:after="0" w:line="240" w:lineRule="auto"/>
      </w:pPr>
      <w:rPr>
        <w:b/>
        <w:bCs/>
      </w:rPr>
      <w:tblPr/>
      <w:tcPr>
        <w:tcBorders>
          <w:top w:val="double" w:sz="6" w:space="0" w:color="DB536A" w:themeColor="accent4"/>
          <w:left w:val="single" w:sz="8" w:space="0" w:color="DB536A" w:themeColor="accent4"/>
          <w:bottom w:val="single" w:sz="8" w:space="0" w:color="DB536A" w:themeColor="accent4"/>
          <w:right w:val="single" w:sz="8" w:space="0" w:color="DB536A" w:themeColor="accent4"/>
        </w:tcBorders>
      </w:tcPr>
    </w:tblStylePr>
    <w:tblStylePr w:type="firstCol">
      <w:rPr>
        <w:b/>
        <w:bCs/>
      </w:rPr>
    </w:tblStylePr>
    <w:tblStylePr w:type="lastCol">
      <w:rPr>
        <w:b/>
        <w:bCs/>
      </w:rPr>
    </w:tblStylePr>
    <w:tblStylePr w:type="band1Vert">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tblStylePr w:type="band1Horz">
      <w:tblPr/>
      <w:tcPr>
        <w:tcBorders>
          <w:top w:val="single" w:sz="8" w:space="0" w:color="DB536A" w:themeColor="accent4"/>
          <w:left w:val="single" w:sz="8" w:space="0" w:color="DB536A" w:themeColor="accent4"/>
          <w:bottom w:val="single" w:sz="8" w:space="0" w:color="DB536A" w:themeColor="accent4"/>
          <w:right w:val="single" w:sz="8" w:space="0" w:color="DB536A" w:themeColor="accent4"/>
        </w:tcBorders>
      </w:tcPr>
    </w:tblStylePr>
  </w:style>
  <w:style w:type="table" w:styleId="LightList-Accent2">
    <w:name w:val="Light List Accent 2"/>
    <w:basedOn w:val="TableNormal"/>
    <w:uiPriority w:val="61"/>
    <w:rsid w:val="00395A26"/>
    <w:pPr>
      <w:spacing w:after="0" w:line="240" w:lineRule="auto"/>
    </w:pPr>
    <w:tblPr>
      <w:tblStyleRowBandSize w:val="1"/>
      <w:tblStyleColBandSize w:val="1"/>
      <w:tblBorders>
        <w:top w:val="single" w:sz="8" w:space="0" w:color="FFB600" w:themeColor="accent2"/>
        <w:left w:val="single" w:sz="8" w:space="0" w:color="FFB600" w:themeColor="accent2"/>
        <w:bottom w:val="single" w:sz="8" w:space="0" w:color="FFB600" w:themeColor="accent2"/>
        <w:right w:val="single" w:sz="8" w:space="0" w:color="FFB600" w:themeColor="accent2"/>
      </w:tblBorders>
    </w:tblPr>
    <w:tblStylePr w:type="firstRow">
      <w:pPr>
        <w:spacing w:before="0" w:after="0" w:line="240" w:lineRule="auto"/>
      </w:pPr>
      <w:rPr>
        <w:b/>
        <w:bCs/>
        <w:color w:val="FFFFFF" w:themeColor="background1"/>
      </w:rPr>
      <w:tblPr/>
      <w:tcPr>
        <w:shd w:val="clear" w:color="auto" w:fill="FFB600" w:themeFill="accent2"/>
      </w:tcPr>
    </w:tblStylePr>
    <w:tblStylePr w:type="lastRow">
      <w:pPr>
        <w:spacing w:before="0" w:after="0" w:line="240" w:lineRule="auto"/>
      </w:pPr>
      <w:rPr>
        <w:b/>
        <w:bCs/>
      </w:rPr>
      <w:tblPr/>
      <w:tcPr>
        <w:tcBorders>
          <w:top w:val="double" w:sz="6" w:space="0" w:color="FFB600" w:themeColor="accent2"/>
          <w:left w:val="single" w:sz="8" w:space="0" w:color="FFB600" w:themeColor="accent2"/>
          <w:bottom w:val="single" w:sz="8" w:space="0" w:color="FFB600" w:themeColor="accent2"/>
          <w:right w:val="single" w:sz="8" w:space="0" w:color="FFB600" w:themeColor="accent2"/>
        </w:tcBorders>
      </w:tcPr>
    </w:tblStylePr>
    <w:tblStylePr w:type="firstCol">
      <w:rPr>
        <w:b/>
        <w:bCs/>
      </w:rPr>
    </w:tblStylePr>
    <w:tblStylePr w:type="lastCol">
      <w:rPr>
        <w:b/>
        <w:bCs/>
      </w:rPr>
    </w:tblStylePr>
    <w:tblStylePr w:type="band1Vert">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tblStylePr w:type="band1Horz">
      <w:tblPr/>
      <w:tcPr>
        <w:tcBorders>
          <w:top w:val="single" w:sz="8" w:space="0" w:color="FFB600" w:themeColor="accent2"/>
          <w:left w:val="single" w:sz="8" w:space="0" w:color="FFB600" w:themeColor="accent2"/>
          <w:bottom w:val="single" w:sz="8" w:space="0" w:color="FFB600" w:themeColor="accent2"/>
          <w:right w:val="single" w:sz="8" w:space="0" w:color="FFB600" w:themeColor="accent2"/>
        </w:tcBorders>
      </w:tcPr>
    </w:tblStylePr>
  </w:style>
  <w:style w:type="table" w:customStyle="1" w:styleId="LightList-Accent11">
    <w:name w:val="Light List - Accent 11"/>
    <w:basedOn w:val="TableNormal"/>
    <w:uiPriority w:val="61"/>
    <w:rsid w:val="00395A26"/>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styleId="CommentReference">
    <w:name w:val="annotation reference"/>
    <w:basedOn w:val="DefaultParagraphFont"/>
    <w:uiPriority w:val="99"/>
    <w:semiHidden/>
    <w:unhideWhenUsed/>
    <w:rsid w:val="00B549C4"/>
    <w:rPr>
      <w:sz w:val="16"/>
      <w:szCs w:val="16"/>
    </w:rPr>
  </w:style>
  <w:style w:type="paragraph" w:styleId="CommentText">
    <w:name w:val="annotation text"/>
    <w:basedOn w:val="Normal"/>
    <w:link w:val="CommentTextChar"/>
    <w:uiPriority w:val="99"/>
    <w:unhideWhenUsed/>
    <w:rsid w:val="00B549C4"/>
    <w:pPr>
      <w:spacing w:line="240" w:lineRule="auto"/>
    </w:pPr>
    <w:rPr>
      <w:szCs w:val="20"/>
      <w:lang w:val="en-GB"/>
    </w:rPr>
  </w:style>
  <w:style w:type="character" w:customStyle="1" w:styleId="CommentTextChar">
    <w:name w:val="Comment Text Char"/>
    <w:basedOn w:val="DefaultParagraphFont"/>
    <w:link w:val="CommentText"/>
    <w:uiPriority w:val="99"/>
    <w:rsid w:val="00B549C4"/>
    <w:rPr>
      <w:rFonts w:eastAsia="Arial" w:cs="Times New Roman"/>
      <w:color w:val="000000"/>
    </w:rPr>
  </w:style>
  <w:style w:type="paragraph" w:styleId="CommentSubject">
    <w:name w:val="annotation subject"/>
    <w:basedOn w:val="CommentText"/>
    <w:next w:val="CommentText"/>
    <w:link w:val="CommentSubjectChar"/>
    <w:uiPriority w:val="99"/>
    <w:semiHidden/>
    <w:unhideWhenUsed/>
    <w:rsid w:val="00B549C4"/>
    <w:rPr>
      <w:b/>
      <w:bCs/>
    </w:rPr>
  </w:style>
  <w:style w:type="character" w:customStyle="1" w:styleId="CommentSubjectChar">
    <w:name w:val="Comment Subject Char"/>
    <w:basedOn w:val="CommentTextChar"/>
    <w:link w:val="CommentSubject"/>
    <w:uiPriority w:val="99"/>
    <w:semiHidden/>
    <w:rsid w:val="00B549C4"/>
    <w:rPr>
      <w:rFonts w:eastAsia="Arial" w:cs="Times New Roman"/>
      <w:b/>
      <w:bCs/>
      <w:color w:val="000000"/>
    </w:rPr>
  </w:style>
  <w:style w:type="paragraph" w:styleId="Caption">
    <w:name w:val="caption"/>
    <w:aliases w:val="Pav.,• Caption,Table caption,paveikslas,Paveikslo pavadinimas,TabelOverskrift"/>
    <w:basedOn w:val="Normal"/>
    <w:next w:val="Normal"/>
    <w:link w:val="CaptionChar"/>
    <w:uiPriority w:val="35"/>
    <w:unhideWhenUsed/>
    <w:qFormat/>
    <w:rsid w:val="00B114FA"/>
    <w:pPr>
      <w:spacing w:before="120" w:after="120" w:line="240" w:lineRule="auto"/>
      <w:jc w:val="center"/>
    </w:pPr>
    <w:rPr>
      <w:rFonts w:eastAsia="Times New Roman"/>
      <w:b/>
      <w:bCs/>
      <w:i/>
      <w:color w:val="808080" w:themeColor="background2" w:themeShade="80"/>
      <w:szCs w:val="20"/>
      <w:lang w:eastAsia="lt-LT"/>
    </w:rPr>
  </w:style>
  <w:style w:type="character" w:customStyle="1" w:styleId="ListParagraphChar">
    <w:name w:val="List Paragraph Char"/>
    <w:aliases w:val="List Paragraph21 Char,Lentele Char,Table of contents numbered Char,ERP-List Paragraph Char,List Paragraph1 Char,List Paragraph11 Char,Bullet EY Char,List Paragraph2 Char,Bullet Char,List Paragraph3 Char,Paragraph Char,Numbering Char"/>
    <w:link w:val="ListParagraph"/>
    <w:uiPriority w:val="34"/>
    <w:locked/>
    <w:rsid w:val="00490830"/>
    <w:rPr>
      <w:rFonts w:eastAsia="Arial" w:cs="Times New Roman"/>
      <w:color w:val="000000"/>
      <w:szCs w:val="21"/>
    </w:rPr>
  </w:style>
  <w:style w:type="paragraph" w:customStyle="1" w:styleId="TEKSTAS">
    <w:name w:val="TEKSTAS"/>
    <w:basedOn w:val="Normal"/>
    <w:rsid w:val="00AC4AA8"/>
    <w:pPr>
      <w:spacing w:before="120" w:after="120" w:line="240" w:lineRule="auto"/>
    </w:pPr>
    <w:rPr>
      <w:rFonts w:ascii="Arial" w:eastAsia="MS Mincho" w:hAnsi="Arial" w:cs="Arial"/>
      <w:color w:val="auto"/>
      <w:szCs w:val="22"/>
      <w:lang w:eastAsia="ja-JP"/>
    </w:rPr>
  </w:style>
  <w:style w:type="character" w:styleId="Emphasis">
    <w:name w:val="Emphasis"/>
    <w:basedOn w:val="DefaultParagraphFont"/>
    <w:uiPriority w:val="20"/>
    <w:qFormat/>
    <w:rsid w:val="00AC4AA8"/>
    <w:rPr>
      <w:i/>
      <w:iCs/>
    </w:rPr>
  </w:style>
  <w:style w:type="paragraph" w:customStyle="1" w:styleId="bullettrumpi">
    <w:name w:val="bullet trumpi"/>
    <w:basedOn w:val="Normal"/>
    <w:rsid w:val="00AC4AA8"/>
    <w:pPr>
      <w:numPr>
        <w:numId w:val="5"/>
      </w:numPr>
      <w:spacing w:line="240" w:lineRule="auto"/>
    </w:pPr>
    <w:rPr>
      <w:rFonts w:ascii="Times New Roman" w:eastAsia="Times New Roman" w:hAnsi="Times New Roman"/>
      <w:color w:val="auto"/>
      <w:sz w:val="24"/>
      <w:szCs w:val="24"/>
      <w:lang w:eastAsia="lt-LT"/>
    </w:rPr>
  </w:style>
  <w:style w:type="table" w:customStyle="1" w:styleId="PwCTableFigures">
    <w:name w:val="PwC Table Figures"/>
    <w:basedOn w:val="TableNormal"/>
    <w:uiPriority w:val="99"/>
    <w:qFormat/>
    <w:rsid w:val="00AC4AA8"/>
    <w:pPr>
      <w:tabs>
        <w:tab w:val="decimal" w:pos="1134"/>
      </w:tabs>
      <w:spacing w:before="60" w:after="60" w:line="240" w:lineRule="auto"/>
    </w:pPr>
    <w:rPr>
      <w:rFonts w:asciiTheme="minorHAnsi" w:hAnsiTheme="minorHAnsi"/>
    </w:rPr>
    <w:tblPr>
      <w:tblBorders>
        <w:insideH w:val="dotted" w:sz="4" w:space="0" w:color="DC6900" w:themeColor="text2"/>
      </w:tblBorders>
    </w:tblPr>
    <w:tblStylePr w:type="firstRow">
      <w:rPr>
        <w:b/>
      </w:rPr>
      <w:tblPr/>
      <w:tcPr>
        <w:tcBorders>
          <w:top w:val="single" w:sz="6" w:space="0" w:color="DC6900" w:themeColor="text2"/>
          <w:left w:val="nil"/>
          <w:bottom w:val="single" w:sz="6" w:space="0" w:color="DC690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DC6900" w:themeColor="text2"/>
          <w:left w:val="nil"/>
          <w:bottom w:val="single" w:sz="6" w:space="0" w:color="DC6900" w:themeColor="text2"/>
          <w:right w:val="nil"/>
          <w:insideH w:val="nil"/>
          <w:insideV w:val="nil"/>
          <w:tl2br w:val="nil"/>
          <w:tr2bl w:val="nil"/>
        </w:tcBorders>
      </w:tcPr>
    </w:tblStylePr>
  </w:style>
  <w:style w:type="paragraph" w:customStyle="1" w:styleId="Pastraipa">
    <w:name w:val="Pastraipa"/>
    <w:basedOn w:val="Normal"/>
    <w:link w:val="PastraipaChar"/>
    <w:rsid w:val="00393AEC"/>
    <w:pPr>
      <w:keepNext/>
      <w:keepLines/>
      <w:spacing w:before="120" w:after="120" w:line="240" w:lineRule="auto"/>
    </w:pPr>
    <w:rPr>
      <w:rFonts w:ascii="Arial" w:eastAsia="Times New Roman" w:hAnsi="Arial"/>
      <w:b/>
      <w:color w:val="auto"/>
      <w:szCs w:val="24"/>
      <w:lang w:eastAsia="lt-LT"/>
    </w:rPr>
  </w:style>
  <w:style w:type="character" w:customStyle="1" w:styleId="PastraipaChar">
    <w:name w:val="Pastraipa Char"/>
    <w:basedOn w:val="DefaultParagraphFont"/>
    <w:link w:val="Pastraipa"/>
    <w:rsid w:val="00393AEC"/>
    <w:rPr>
      <w:rFonts w:ascii="Arial" w:eastAsia="Times New Roman" w:hAnsi="Arial" w:cs="Times New Roman"/>
      <w:b/>
      <w:szCs w:val="24"/>
      <w:lang w:val="lt-LT" w:eastAsia="lt-LT"/>
    </w:rPr>
  </w:style>
  <w:style w:type="numbering" w:customStyle="1" w:styleId="StyleBulleted7pt">
    <w:name w:val="Style Bulleted 7 pt"/>
    <w:basedOn w:val="NoList"/>
    <w:rsid w:val="00393AEC"/>
    <w:pPr>
      <w:numPr>
        <w:numId w:val="6"/>
      </w:numPr>
    </w:pPr>
  </w:style>
  <w:style w:type="paragraph" w:customStyle="1" w:styleId="Pas-pagrindinis">
    <w:name w:val="Pas-pagrindinis"/>
    <w:basedOn w:val="Normal"/>
    <w:rsid w:val="00393AEC"/>
    <w:pPr>
      <w:spacing w:before="120" w:after="60" w:line="240" w:lineRule="auto"/>
      <w:ind w:left="2268"/>
    </w:pPr>
    <w:rPr>
      <w:rFonts w:ascii="Times New Roman" w:eastAsia="Times New Roman" w:hAnsi="Times New Roman"/>
      <w:color w:val="auto"/>
      <w:szCs w:val="20"/>
      <w:lang w:eastAsia="en-GB"/>
    </w:rPr>
  </w:style>
  <w:style w:type="table" w:customStyle="1" w:styleId="LightList-Accent12">
    <w:name w:val="Light List - Accent 12"/>
    <w:basedOn w:val="TableNormal"/>
    <w:uiPriority w:val="61"/>
    <w:rsid w:val="00393AEC"/>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character" w:customStyle="1" w:styleId="CaptionChar">
    <w:name w:val="Caption Char"/>
    <w:aliases w:val="Pav. Char,• Caption Char,Table caption Char,paveikslas Char,Paveikslo pavadinimas Char,TabelOverskrift Char"/>
    <w:basedOn w:val="DefaultParagraphFont"/>
    <w:link w:val="Caption"/>
    <w:uiPriority w:val="35"/>
    <w:rsid w:val="00B114FA"/>
    <w:rPr>
      <w:rFonts w:eastAsia="Times New Roman" w:cs="Times New Roman"/>
      <w:b/>
      <w:bCs/>
      <w:i/>
      <w:color w:val="808080" w:themeColor="background2" w:themeShade="80"/>
      <w:lang w:val="lt-LT" w:eastAsia="lt-LT"/>
    </w:rPr>
  </w:style>
  <w:style w:type="table" w:customStyle="1" w:styleId="LightList-Accent18">
    <w:name w:val="Light List - Accent 18"/>
    <w:basedOn w:val="TableNormal"/>
    <w:next w:val="LightList-Accent1"/>
    <w:uiPriority w:val="61"/>
    <w:rsid w:val="00315FB5"/>
    <w:pPr>
      <w:spacing w:after="0" w:line="240" w:lineRule="auto"/>
    </w:pPr>
    <w:tblPr>
      <w:tblStyleRowBandSize w:val="1"/>
      <w:tblStyleColBandSize w:val="1"/>
      <w:tblBorders>
        <w:top w:val="single" w:sz="8" w:space="0" w:color="968C6D"/>
        <w:left w:val="single" w:sz="8" w:space="0" w:color="968C6D"/>
        <w:bottom w:val="single" w:sz="8" w:space="0" w:color="968C6D"/>
        <w:right w:val="single" w:sz="8" w:space="0" w:color="968C6D"/>
      </w:tblBorders>
    </w:tblPr>
    <w:tblStylePr w:type="firstRow">
      <w:pPr>
        <w:spacing w:before="0" w:after="0" w:line="240" w:lineRule="auto"/>
      </w:pPr>
      <w:rPr>
        <w:b/>
        <w:bCs/>
        <w:color w:val="FFFFFF"/>
      </w:rPr>
      <w:tblPr/>
      <w:tcPr>
        <w:shd w:val="clear" w:color="auto" w:fill="968C6D"/>
      </w:tcPr>
    </w:tblStylePr>
    <w:tblStylePr w:type="lastRow">
      <w:pPr>
        <w:spacing w:before="0" w:after="0" w:line="240" w:lineRule="auto"/>
      </w:pPr>
      <w:rPr>
        <w:b/>
        <w:bCs/>
      </w:rPr>
      <w:tblPr/>
      <w:tcPr>
        <w:tcBorders>
          <w:top w:val="double" w:sz="6" w:space="0" w:color="968C6D"/>
          <w:left w:val="single" w:sz="8" w:space="0" w:color="968C6D"/>
          <w:bottom w:val="single" w:sz="8" w:space="0" w:color="968C6D"/>
          <w:right w:val="single" w:sz="8" w:space="0" w:color="968C6D"/>
        </w:tcBorders>
      </w:tcPr>
    </w:tblStylePr>
    <w:tblStylePr w:type="firstCol">
      <w:rPr>
        <w:b/>
        <w:bCs/>
      </w:rPr>
    </w:tblStylePr>
    <w:tblStylePr w:type="lastCol">
      <w:rPr>
        <w:b/>
        <w:bCs/>
      </w:rPr>
    </w:tblStylePr>
    <w:tblStylePr w:type="band1Vert">
      <w:tblPr/>
      <w:tcPr>
        <w:tcBorders>
          <w:top w:val="single" w:sz="8" w:space="0" w:color="968C6D"/>
          <w:left w:val="single" w:sz="8" w:space="0" w:color="968C6D"/>
          <w:bottom w:val="single" w:sz="8" w:space="0" w:color="968C6D"/>
          <w:right w:val="single" w:sz="8" w:space="0" w:color="968C6D"/>
        </w:tcBorders>
      </w:tcPr>
    </w:tblStylePr>
    <w:tblStylePr w:type="band1Horz">
      <w:tblPr/>
      <w:tcPr>
        <w:tcBorders>
          <w:top w:val="single" w:sz="8" w:space="0" w:color="968C6D"/>
          <w:left w:val="single" w:sz="8" w:space="0" w:color="968C6D"/>
          <w:bottom w:val="single" w:sz="8" w:space="0" w:color="968C6D"/>
          <w:right w:val="single" w:sz="8" w:space="0" w:color="968C6D"/>
        </w:tcBorders>
      </w:tcPr>
    </w:tblStylePr>
  </w:style>
  <w:style w:type="table" w:styleId="LightList-Accent1">
    <w:name w:val="Light List Accent 1"/>
    <w:basedOn w:val="TableNormal"/>
    <w:uiPriority w:val="61"/>
    <w:rsid w:val="00315FB5"/>
    <w:pPr>
      <w:spacing w:after="0" w:line="240" w:lineRule="auto"/>
    </w:pPr>
    <w:tblPr>
      <w:tblStyleRowBandSize w:val="1"/>
      <w:tblStyleColBandSize w:val="1"/>
      <w:tblBorders>
        <w:top w:val="single" w:sz="8" w:space="0" w:color="DC6900" w:themeColor="accent1"/>
        <w:left w:val="single" w:sz="8" w:space="0" w:color="DC6900" w:themeColor="accent1"/>
        <w:bottom w:val="single" w:sz="8" w:space="0" w:color="DC6900" w:themeColor="accent1"/>
        <w:right w:val="single" w:sz="8" w:space="0" w:color="DC6900" w:themeColor="accent1"/>
      </w:tblBorders>
    </w:tblPr>
    <w:tblStylePr w:type="firstRow">
      <w:pPr>
        <w:spacing w:before="0" w:after="0" w:line="240" w:lineRule="auto"/>
      </w:pPr>
      <w:rPr>
        <w:b/>
        <w:bCs/>
        <w:color w:val="FFFFFF" w:themeColor="background1"/>
      </w:rPr>
      <w:tblPr/>
      <w:tcPr>
        <w:shd w:val="clear" w:color="auto" w:fill="DC6900" w:themeFill="accent1"/>
      </w:tcPr>
    </w:tblStylePr>
    <w:tblStylePr w:type="lastRow">
      <w:pPr>
        <w:spacing w:before="0" w:after="0" w:line="240" w:lineRule="auto"/>
      </w:pPr>
      <w:rPr>
        <w:b/>
        <w:bCs/>
      </w:rPr>
      <w:tblPr/>
      <w:tcPr>
        <w:tcBorders>
          <w:top w:val="double" w:sz="6" w:space="0" w:color="DC6900" w:themeColor="accent1"/>
          <w:left w:val="single" w:sz="8" w:space="0" w:color="DC6900" w:themeColor="accent1"/>
          <w:bottom w:val="single" w:sz="8" w:space="0" w:color="DC6900" w:themeColor="accent1"/>
          <w:right w:val="single" w:sz="8" w:space="0" w:color="DC6900" w:themeColor="accent1"/>
        </w:tcBorders>
      </w:tcPr>
    </w:tblStylePr>
    <w:tblStylePr w:type="firstCol">
      <w:rPr>
        <w:b/>
        <w:bCs/>
      </w:rPr>
    </w:tblStylePr>
    <w:tblStylePr w:type="lastCol">
      <w:rPr>
        <w:b/>
        <w:bCs/>
      </w:rPr>
    </w:tblStylePr>
    <w:tblStylePr w:type="band1Vert">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tblStylePr w:type="band1Horz">
      <w:tblPr/>
      <w:tcPr>
        <w:tcBorders>
          <w:top w:val="single" w:sz="8" w:space="0" w:color="DC6900" w:themeColor="accent1"/>
          <w:left w:val="single" w:sz="8" w:space="0" w:color="DC6900" w:themeColor="accent1"/>
          <w:bottom w:val="single" w:sz="8" w:space="0" w:color="DC6900" w:themeColor="accent1"/>
          <w:right w:val="single" w:sz="8" w:space="0" w:color="DC6900" w:themeColor="accent1"/>
        </w:tcBorders>
      </w:tcPr>
    </w:tblStylePr>
  </w:style>
  <w:style w:type="paragraph" w:customStyle="1" w:styleId="BulletedListundernumpara">
    <w:name w:val="Bulleted List under num para"/>
    <w:basedOn w:val="Normal"/>
    <w:rsid w:val="004A0385"/>
    <w:pPr>
      <w:numPr>
        <w:numId w:val="7"/>
      </w:numPr>
      <w:tabs>
        <w:tab w:val="left" w:pos="1267"/>
      </w:tabs>
      <w:spacing w:before="120" w:line="240" w:lineRule="exact"/>
      <w:jc w:val="both"/>
    </w:pPr>
    <w:rPr>
      <w:rFonts w:ascii="Times New Roman" w:eastAsia="Times New Roman" w:hAnsi="Times New Roman"/>
      <w:color w:val="auto"/>
      <w:szCs w:val="20"/>
      <w:lang w:val="en-US"/>
    </w:rPr>
  </w:style>
  <w:style w:type="paragraph" w:styleId="FootnoteText">
    <w:name w:val="footnote text"/>
    <w:aliases w:val="Footnote Text Blue,Footnote,Footnote text,fn,Footnote Text Char Char,Footnote Text Char Char Char Char Char Char,Footnote Text Char Char Char Char Char,Footnote Text Blue Char Char Char Char,stile 1,Footnote1,Footnote2,Footnote3,Footnote4"/>
    <w:basedOn w:val="Normal"/>
    <w:link w:val="FootnoteTextChar"/>
    <w:uiPriority w:val="99"/>
    <w:unhideWhenUsed/>
    <w:rsid w:val="007A3F87"/>
    <w:pPr>
      <w:spacing w:line="240" w:lineRule="auto"/>
    </w:pPr>
    <w:rPr>
      <w:rFonts w:eastAsiaTheme="minorHAnsi" w:cstheme="minorBidi"/>
      <w:noProof/>
      <w:color w:val="auto"/>
      <w:szCs w:val="20"/>
    </w:rPr>
  </w:style>
  <w:style w:type="character" w:customStyle="1" w:styleId="FootnoteTextChar">
    <w:name w:val="Footnote Text Char"/>
    <w:aliases w:val="Footnote Text Blue Char,Footnote Char,Footnote text Char,fn Char,Footnote Text Char Char Char,Footnote Text Char Char Char Char Char Char Char,Footnote Text Char Char Char Char Char Char1,Footnote Text Blue Char Char Char Char Char"/>
    <w:basedOn w:val="DefaultParagraphFont"/>
    <w:link w:val="FootnoteText"/>
    <w:uiPriority w:val="99"/>
    <w:rsid w:val="007A3F87"/>
    <w:rPr>
      <w:noProof/>
      <w:lang w:val="lt-LT"/>
    </w:rPr>
  </w:style>
  <w:style w:type="character" w:styleId="FootnoteReference">
    <w:name w:val="footnote reference"/>
    <w:aliases w:val="BVI fnr,Footnote symbol,Voetnootverwijzing,Times 10 Point,Exposant 3 Point,Footnote Reference Number,Footnote anchor,Footnote reference number,Footnote number,fr,Footnotemark,FR,Footnotemark1,Footnotemark2,FR1,Footnotemark3,FR2,Ref,o"/>
    <w:basedOn w:val="DefaultParagraphFont"/>
    <w:link w:val="SUPERSChar"/>
    <w:uiPriority w:val="99"/>
    <w:unhideWhenUsed/>
    <w:rsid w:val="007A3F87"/>
    <w:rPr>
      <w:vertAlign w:val="superscript"/>
    </w:rPr>
  </w:style>
  <w:style w:type="paragraph" w:styleId="BlockText">
    <w:name w:val="Block Text"/>
    <w:basedOn w:val="Normal"/>
    <w:rsid w:val="000B41E9"/>
    <w:pPr>
      <w:spacing w:line="240" w:lineRule="auto"/>
      <w:ind w:left="1440" w:right="142"/>
    </w:pPr>
    <w:rPr>
      <w:rFonts w:ascii="Times New Roman" w:eastAsia="Times New Roman" w:hAnsi="Times New Roman"/>
      <w:color w:val="auto"/>
      <w:sz w:val="24"/>
      <w:szCs w:val="20"/>
    </w:rPr>
  </w:style>
  <w:style w:type="paragraph" w:styleId="NormalWeb">
    <w:name w:val="Normal (Web)"/>
    <w:basedOn w:val="Normal"/>
    <w:uiPriority w:val="99"/>
    <w:unhideWhenUsed/>
    <w:rsid w:val="008E204E"/>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Text">
    <w:name w:val="Text"/>
    <w:basedOn w:val="Normal"/>
    <w:link w:val="TextChar"/>
    <w:uiPriority w:val="99"/>
    <w:qFormat/>
    <w:rsid w:val="00CC3497"/>
    <w:pPr>
      <w:tabs>
        <w:tab w:val="left" w:pos="9600"/>
      </w:tabs>
      <w:spacing w:after="240" w:line="276" w:lineRule="auto"/>
      <w:ind w:left="505" w:right="74"/>
      <w:jc w:val="both"/>
    </w:pPr>
    <w:rPr>
      <w:rFonts w:eastAsiaTheme="minorEastAsia" w:cstheme="minorBidi"/>
      <w:noProof/>
      <w:color w:val="auto"/>
      <w:sz w:val="24"/>
      <w:szCs w:val="22"/>
      <w:lang w:eastAsia="lt-LT"/>
    </w:rPr>
  </w:style>
  <w:style w:type="character" w:customStyle="1" w:styleId="TextChar">
    <w:name w:val="Text Char"/>
    <w:basedOn w:val="DefaultParagraphFont"/>
    <w:link w:val="Text"/>
    <w:uiPriority w:val="99"/>
    <w:rsid w:val="00CC3497"/>
    <w:rPr>
      <w:rFonts w:ascii="Cambria" w:eastAsiaTheme="minorEastAsia" w:hAnsi="Cambria"/>
      <w:noProof/>
      <w:sz w:val="24"/>
      <w:szCs w:val="22"/>
      <w:lang w:val="lt-LT" w:eastAsia="lt-LT"/>
    </w:rPr>
  </w:style>
  <w:style w:type="paragraph" w:customStyle="1" w:styleId="text-15-str">
    <w:name w:val="text-15-str"/>
    <w:basedOn w:val="Normal"/>
    <w:rsid w:val="00B514D2"/>
    <w:pPr>
      <w:spacing w:before="100" w:beforeAutospacing="1" w:after="100" w:afterAutospacing="1" w:line="240" w:lineRule="auto"/>
    </w:pPr>
    <w:rPr>
      <w:rFonts w:ascii="Times New Roman" w:eastAsia="Times New Roman" w:hAnsi="Times New Roman"/>
      <w:color w:val="auto"/>
      <w:sz w:val="24"/>
      <w:szCs w:val="24"/>
      <w:lang w:val="en-GB" w:eastAsia="en-GB"/>
    </w:rPr>
  </w:style>
  <w:style w:type="paragraph" w:customStyle="1" w:styleId="SLONormal">
    <w:name w:val="SLO Normal"/>
    <w:qFormat/>
    <w:rsid w:val="006A25C5"/>
    <w:pPr>
      <w:spacing w:before="120" w:after="120" w:line="240" w:lineRule="auto"/>
      <w:jc w:val="both"/>
    </w:pPr>
    <w:rPr>
      <w:rFonts w:ascii="Times New Roman" w:eastAsia="Times New Roman" w:hAnsi="Times New Roman" w:cs="Times New Roman"/>
      <w:kern w:val="24"/>
      <w:sz w:val="22"/>
      <w:szCs w:val="24"/>
    </w:rPr>
  </w:style>
  <w:style w:type="paragraph" w:customStyle="1" w:styleId="TESALaukelis">
    <w:name w:val="TES_ALaukelis"/>
    <w:basedOn w:val="Normal"/>
    <w:autoRedefine/>
    <w:uiPriority w:val="99"/>
    <w:rsid w:val="004A6A25"/>
    <w:pPr>
      <w:spacing w:before="120" w:after="120" w:line="240" w:lineRule="auto"/>
    </w:pPr>
    <w:rPr>
      <w:rFonts w:eastAsiaTheme="majorEastAsia" w:cstheme="majorBidi"/>
      <w:b/>
      <w:color w:val="FFFFFF" w:themeColor="background1"/>
      <w:spacing w:val="5"/>
      <w:kern w:val="28"/>
      <w:sz w:val="32"/>
      <w:szCs w:val="32"/>
    </w:rPr>
  </w:style>
  <w:style w:type="paragraph" w:customStyle="1" w:styleId="TESpaveikslopavadinimas">
    <w:name w:val="TES_paveikslo pavadinimas"/>
    <w:basedOn w:val="Normal"/>
    <w:link w:val="TESpaveikslopavadinimasChar"/>
    <w:qFormat/>
    <w:rsid w:val="007878E3"/>
    <w:pPr>
      <w:spacing w:before="120" w:after="240" w:line="240" w:lineRule="auto"/>
      <w:ind w:left="360"/>
      <w:jc w:val="center"/>
    </w:pPr>
    <w:rPr>
      <w:rFonts w:ascii="Calibri" w:eastAsiaTheme="minorHAnsi" w:hAnsi="Calibri" w:cs="Miriam"/>
      <w:b/>
      <w:iCs/>
      <w:color w:val="6B7487"/>
      <w:szCs w:val="18"/>
    </w:rPr>
  </w:style>
  <w:style w:type="character" w:customStyle="1" w:styleId="TESpaveikslopavadinimasChar">
    <w:name w:val="TES_paveikslo pavadinimas Char"/>
    <w:basedOn w:val="DefaultParagraphFont"/>
    <w:link w:val="TESpaveikslopavadinimas"/>
    <w:rsid w:val="007878E3"/>
    <w:rPr>
      <w:rFonts w:ascii="Calibri" w:hAnsi="Calibri" w:cs="Miriam"/>
      <w:b/>
      <w:iCs/>
      <w:color w:val="6B7487"/>
      <w:szCs w:val="18"/>
      <w:lang w:val="lt-LT"/>
    </w:rPr>
  </w:style>
  <w:style w:type="paragraph" w:customStyle="1" w:styleId="SUPERSChar">
    <w:name w:val="SUPERS Char"/>
    <w:aliases w:val="EN Footnote Reference Char"/>
    <w:basedOn w:val="Normal"/>
    <w:link w:val="FootnoteReference"/>
    <w:uiPriority w:val="99"/>
    <w:rsid w:val="007878E3"/>
    <w:pPr>
      <w:spacing w:after="160" w:line="240" w:lineRule="exact"/>
    </w:pPr>
    <w:rPr>
      <w:rFonts w:eastAsiaTheme="minorHAnsi" w:cstheme="minorBidi"/>
      <w:color w:val="auto"/>
      <w:szCs w:val="20"/>
      <w:vertAlign w:val="superscript"/>
      <w:lang w:val="en-GB"/>
    </w:rPr>
  </w:style>
  <w:style w:type="paragraph" w:styleId="EndnoteText">
    <w:name w:val="endnote text"/>
    <w:basedOn w:val="Normal"/>
    <w:link w:val="EndnoteTextChar"/>
    <w:uiPriority w:val="99"/>
    <w:semiHidden/>
    <w:unhideWhenUsed/>
    <w:rsid w:val="00600C44"/>
    <w:pPr>
      <w:spacing w:line="240" w:lineRule="auto"/>
    </w:pPr>
    <w:rPr>
      <w:szCs w:val="20"/>
      <w:lang w:val="en-GB"/>
    </w:rPr>
  </w:style>
  <w:style w:type="character" w:customStyle="1" w:styleId="EndnoteTextChar">
    <w:name w:val="Endnote Text Char"/>
    <w:basedOn w:val="DefaultParagraphFont"/>
    <w:link w:val="EndnoteText"/>
    <w:uiPriority w:val="99"/>
    <w:semiHidden/>
    <w:rsid w:val="00600C44"/>
    <w:rPr>
      <w:rFonts w:eastAsia="Arial" w:cs="Times New Roman"/>
      <w:color w:val="000000"/>
    </w:rPr>
  </w:style>
  <w:style w:type="character" w:styleId="EndnoteReference">
    <w:name w:val="endnote reference"/>
    <w:basedOn w:val="DefaultParagraphFont"/>
    <w:uiPriority w:val="99"/>
    <w:semiHidden/>
    <w:unhideWhenUsed/>
    <w:rsid w:val="00600C44"/>
    <w:rPr>
      <w:vertAlign w:val="superscript"/>
    </w:rPr>
  </w:style>
  <w:style w:type="numbering" w:customStyle="1" w:styleId="Style3">
    <w:name w:val="Style3"/>
    <w:basedOn w:val="NoList"/>
    <w:rsid w:val="005B5209"/>
    <w:pPr>
      <w:numPr>
        <w:numId w:val="8"/>
      </w:numPr>
    </w:pPr>
  </w:style>
  <w:style w:type="character" w:customStyle="1" w:styleId="Antrat1Diagrama">
    <w:name w:val="Antraštė 1 Diagrama"/>
    <w:basedOn w:val="DefaultParagraphFont"/>
    <w:rsid w:val="007D620B"/>
    <w:rPr>
      <w:rFonts w:ascii="Times New Roman" w:eastAsia="Times New Roman" w:hAnsi="Times New Roman" w:cs="Times New Roman"/>
      <w:sz w:val="24"/>
      <w:szCs w:val="20"/>
      <w:lang w:eastAsia="en-US"/>
    </w:rPr>
  </w:style>
  <w:style w:type="paragraph" w:customStyle="1" w:styleId="BlockText2">
    <w:name w:val="Block Text 2"/>
    <w:basedOn w:val="Normal"/>
    <w:uiPriority w:val="99"/>
    <w:qFormat/>
    <w:rsid w:val="00BA6D37"/>
    <w:pPr>
      <w:pBdr>
        <w:top w:val="single" w:sz="2" w:space="10" w:color="DC6900" w:themeColor="text2"/>
        <w:left w:val="single" w:sz="2" w:space="10" w:color="DC6900" w:themeColor="text2"/>
        <w:bottom w:val="single" w:sz="2" w:space="10" w:color="DC6900" w:themeColor="text2"/>
        <w:right w:val="single" w:sz="2" w:space="10" w:color="DC6900" w:themeColor="text2"/>
      </w:pBdr>
      <w:shd w:val="clear" w:color="auto" w:fill="DC6900" w:themeFill="text2"/>
      <w:spacing w:after="240" w:line="240" w:lineRule="auto"/>
      <w:ind w:left="227" w:right="227"/>
    </w:pPr>
    <w:rPr>
      <w:rFonts w:eastAsiaTheme="minorHAnsi" w:cstheme="minorBidi"/>
      <w:i/>
      <w:color w:val="FFFFFF" w:themeColor="background2"/>
      <w:sz w:val="48"/>
      <w:szCs w:val="48"/>
      <w:lang w:val="en-GB"/>
    </w:rPr>
  </w:style>
  <w:style w:type="table" w:customStyle="1" w:styleId="PwCTable1">
    <w:name w:val="PwC Table 1"/>
    <w:basedOn w:val="TableNormal"/>
    <w:uiPriority w:val="99"/>
    <w:qFormat/>
    <w:rsid w:val="00BA6D37"/>
    <w:pPr>
      <w:spacing w:after="0" w:line="240" w:lineRule="auto"/>
    </w:pPr>
    <w:rPr>
      <w:rFonts w:ascii="Arial" w:eastAsia="Arial" w:hAnsi="Arial" w:cs="Times New Roman"/>
      <w:sz w:val="18"/>
      <w:szCs w:val="22"/>
      <w:lang w:val="en-US"/>
    </w:rPr>
    <w:tblPr>
      <w:tblStyleRowBandSize w:val="1"/>
      <w:tblBorders>
        <w:bottom w:val="dotted" w:sz="6" w:space="0" w:color="DC6900"/>
      </w:tblBorders>
      <w:tblCellMar>
        <w:top w:w="57" w:type="dxa"/>
        <w:left w:w="0" w:type="dxa"/>
        <w:right w:w="0" w:type="dxa"/>
      </w:tblCellMar>
    </w:tblPr>
    <w:tblStylePr w:type="firstRow">
      <w:pPr>
        <w:wordWrap/>
        <w:spacing w:beforeLines="0" w:beforeAutospacing="0" w:afterLines="0" w:afterAutospacing="0" w:line="210" w:lineRule="atLeast"/>
        <w:contextualSpacing w:val="0"/>
      </w:pPr>
      <w:rPr>
        <w:rFonts w:ascii="Marlett" w:hAnsi="Marlett"/>
        <w:b/>
        <w:color w:val="DC6900"/>
        <w:sz w:val="18"/>
      </w:rPr>
      <w:tblPr/>
      <w:tcPr>
        <w:tcBorders>
          <w:top w:val="single" w:sz="6" w:space="0" w:color="DC6900"/>
          <w:left w:val="nil"/>
          <w:bottom w:val="dotted" w:sz="6" w:space="0" w:color="DC6900"/>
          <w:right w:val="nil"/>
          <w:insideH w:val="nil"/>
          <w:insideV w:val="nil"/>
          <w:tl2br w:val="nil"/>
          <w:tr2bl w:val="nil"/>
        </w:tcBorders>
      </w:tcPr>
    </w:tblStylePr>
    <w:tblStylePr w:type="lastRow">
      <w:tblPr/>
      <w:tcPr>
        <w:shd w:val="clear" w:color="auto" w:fill="FFE0C5"/>
      </w:tcPr>
    </w:tblStylePr>
    <w:tblStylePr w:type="band1Horz">
      <w:pPr>
        <w:wordWrap/>
        <w:spacing w:beforeLines="0" w:beforeAutospacing="0" w:afterLines="0" w:afterAutospacing="0" w:line="210" w:lineRule="atLeast"/>
      </w:pPr>
    </w:tblStylePr>
    <w:tblStylePr w:type="band2Horz">
      <w:pPr>
        <w:wordWrap/>
        <w:spacing w:beforeLines="0" w:beforeAutospacing="0" w:afterLines="0" w:afterAutospacing="0" w:line="210" w:lineRule="atLeast"/>
      </w:pPr>
    </w:tblStylePr>
  </w:style>
  <w:style w:type="paragraph" w:customStyle="1" w:styleId="BodyText1">
    <w:name w:val="Body Text1"/>
    <w:basedOn w:val="Normal"/>
    <w:link w:val="BodytextChar0"/>
    <w:uiPriority w:val="99"/>
    <w:rsid w:val="00BA6D37"/>
    <w:pPr>
      <w:autoSpaceDE w:val="0"/>
      <w:autoSpaceDN w:val="0"/>
      <w:adjustRightInd w:val="0"/>
      <w:spacing w:after="180" w:line="260" w:lineRule="atLeast"/>
      <w:textAlignment w:val="center"/>
    </w:pPr>
    <w:rPr>
      <w:rFonts w:eastAsia="MS Mincho" w:cs="Georgia"/>
      <w:szCs w:val="20"/>
      <w:lang w:val="en-US"/>
    </w:rPr>
  </w:style>
  <w:style w:type="paragraph" w:customStyle="1" w:styleId="ListBullet6">
    <w:name w:val="List Bullet 6"/>
    <w:basedOn w:val="ListBullet5"/>
    <w:qFormat/>
    <w:rsid w:val="00C45A66"/>
    <w:pPr>
      <w:numPr>
        <w:ilvl w:val="0"/>
        <w:numId w:val="0"/>
      </w:numPr>
      <w:tabs>
        <w:tab w:val="num" w:pos="2381"/>
      </w:tabs>
      <w:spacing w:before="60" w:after="60"/>
      <w:ind w:left="2381" w:hanging="396"/>
    </w:pPr>
    <w:rPr>
      <w:rFonts w:asciiTheme="minorHAnsi" w:eastAsiaTheme="minorEastAsia" w:hAnsiTheme="minorHAnsi" w:cstheme="minorBidi"/>
      <w:color w:val="auto"/>
      <w:szCs w:val="22"/>
      <w:lang w:val="en-US"/>
    </w:rPr>
  </w:style>
  <w:style w:type="paragraph" w:customStyle="1" w:styleId="ListBullet7">
    <w:name w:val="List Bullet 7"/>
    <w:basedOn w:val="ListBullet6"/>
    <w:qFormat/>
    <w:rsid w:val="00C45A66"/>
    <w:pPr>
      <w:tabs>
        <w:tab w:val="clear" w:pos="2381"/>
        <w:tab w:val="num" w:pos="2778"/>
      </w:tabs>
      <w:ind w:left="2778" w:hanging="397"/>
    </w:pPr>
  </w:style>
  <w:style w:type="paragraph" w:customStyle="1" w:styleId="ListBullet8">
    <w:name w:val="List Bullet 8"/>
    <w:basedOn w:val="ListBullet7"/>
    <w:qFormat/>
    <w:rsid w:val="00C45A66"/>
    <w:pPr>
      <w:tabs>
        <w:tab w:val="clear" w:pos="2778"/>
        <w:tab w:val="num" w:pos="3175"/>
      </w:tabs>
      <w:ind w:left="3175"/>
    </w:pPr>
  </w:style>
  <w:style w:type="paragraph" w:customStyle="1" w:styleId="ListBullet9">
    <w:name w:val="List Bullet 9"/>
    <w:basedOn w:val="ListBullet8"/>
    <w:qFormat/>
    <w:rsid w:val="00C45A66"/>
    <w:pPr>
      <w:tabs>
        <w:tab w:val="clear" w:pos="3175"/>
        <w:tab w:val="num" w:pos="3572"/>
      </w:tabs>
      <w:ind w:left="3572"/>
    </w:pPr>
  </w:style>
  <w:style w:type="character" w:customStyle="1" w:styleId="BodytextChar0">
    <w:name w:val="Body text Char"/>
    <w:link w:val="BodyText1"/>
    <w:uiPriority w:val="99"/>
    <w:rsid w:val="00C45A66"/>
    <w:rPr>
      <w:rFonts w:eastAsia="MS Mincho" w:cs="Georgia"/>
      <w:color w:val="000000"/>
      <w:lang w:val="en-US"/>
    </w:rPr>
  </w:style>
  <w:style w:type="table" w:customStyle="1" w:styleId="VPVILentele1">
    <w:name w:val="VPVI Lentele 1"/>
    <w:basedOn w:val="TableGrid"/>
    <w:uiPriority w:val="99"/>
    <w:rsid w:val="00046954"/>
    <w:pPr>
      <w:spacing w:line="276" w:lineRule="auto"/>
      <w:contextualSpacing/>
    </w:pPr>
    <w:rPr>
      <w:rFonts w:asciiTheme="minorHAnsi" w:eastAsiaTheme="minorEastAsia" w:hAnsiTheme="minorHAnsi"/>
      <w:szCs w:val="22"/>
      <w:lang w:val="lt-LT" w:eastAsia="lt-LT"/>
    </w:rPr>
    <w:tblPr>
      <w:tblStyleRowBandSize w:val="1"/>
      <w:tblStyleColBandSize w:val="1"/>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line="276" w:lineRule="auto"/>
        <w:jc w:val="center"/>
      </w:pPr>
      <w:rPr>
        <w:rFonts w:asciiTheme="minorHAnsi" w:hAnsiTheme="minorHAnsi"/>
        <w:b/>
        <w:sz w:val="22"/>
      </w:rPr>
      <w:tblPr/>
      <w:tcPr>
        <w:shd w:val="clear" w:color="auto" w:fill="00505E"/>
      </w:tcPr>
    </w:tblStylePr>
    <w:tblStylePr w:type="lastRow">
      <w:pPr>
        <w:wordWrap/>
        <w:spacing w:beforeLines="0" w:before="0" w:beforeAutospacing="0" w:afterLines="0" w:after="0" w:afterAutospacing="0" w:line="276" w:lineRule="auto"/>
        <w:ind w:leftChars="0" w:left="0" w:rightChars="0" w:right="0"/>
        <w:jc w:val="left"/>
      </w:pPr>
      <w:rPr>
        <w:rFonts w:asciiTheme="minorHAnsi" w:hAnsiTheme="minorHAnsi"/>
        <w:sz w:val="18"/>
      </w:rPr>
      <w:tblPr/>
      <w:tcPr>
        <w:tcBorders>
          <w:top w:val="nil"/>
          <w:left w:val="nil"/>
          <w:bottom w:val="nil"/>
          <w:right w:val="nil"/>
          <w:insideH w:val="nil"/>
          <w:insideV w:val="nil"/>
          <w:tl2br w:val="nil"/>
          <w:tr2bl w:val="nil"/>
        </w:tcBorders>
      </w:tcPr>
    </w:tblStylePr>
    <w:tblStylePr w:type="firstCol">
      <w:pPr>
        <w:wordWrap/>
        <w:spacing w:line="276" w:lineRule="auto"/>
        <w:jc w:val="left"/>
      </w:pPr>
      <w:rPr>
        <w:rFonts w:asciiTheme="minorHAnsi" w:hAnsiTheme="minorHAnsi"/>
      </w:rPr>
    </w:tblStylePr>
    <w:tblStylePr w:type="lastCol">
      <w:pPr>
        <w:wordWrap/>
        <w:spacing w:line="276" w:lineRule="auto"/>
        <w:jc w:val="left"/>
      </w:pPr>
      <w:rPr>
        <w:rFonts w:asciiTheme="minorHAnsi" w:hAnsiTheme="minorHAnsi"/>
      </w:rPr>
    </w:tblStylePr>
    <w:tblStylePr w:type="band1Vert">
      <w:pPr>
        <w:jc w:val="left"/>
      </w:pPr>
      <w:rPr>
        <w:rFonts w:asciiTheme="minorHAnsi" w:hAnsiTheme="minorHAnsi"/>
      </w:rPr>
    </w:tblStylePr>
    <w:tblStylePr w:type="band2Vert">
      <w:pPr>
        <w:jc w:val="left"/>
      </w:pPr>
      <w:rPr>
        <w:rFonts w:asciiTheme="minorHAnsi" w:hAnsiTheme="minorHAnsi"/>
      </w:rPr>
    </w:tblStylePr>
    <w:tblStylePr w:type="band1Horz">
      <w:pPr>
        <w:wordWrap/>
        <w:spacing w:beforeLines="0" w:before="0" w:beforeAutospacing="0" w:afterLines="0" w:after="0" w:afterAutospacing="0" w:line="276" w:lineRule="auto"/>
        <w:jc w:val="left"/>
      </w:pPr>
      <w:rPr>
        <w:rFonts w:asciiTheme="minorHAnsi" w:hAnsiTheme="minorHAnsi"/>
        <w:b w:val="0"/>
        <w:sz w:val="20"/>
      </w:rPr>
      <w:tblPr/>
      <w:tcPr>
        <w:shd w:val="clear" w:color="auto" w:fill="F6E2A3"/>
      </w:tcPr>
    </w:tblStylePr>
    <w:tblStylePr w:type="band2Horz">
      <w:pPr>
        <w:wordWrap/>
        <w:spacing w:beforeLines="0" w:before="0" w:beforeAutospacing="0" w:afterLines="0" w:after="0" w:afterAutospacing="0" w:line="276" w:lineRule="auto"/>
        <w:ind w:firstLineChars="0" w:firstLine="0"/>
        <w:jc w:val="left"/>
      </w:pPr>
      <w:rPr>
        <w:rFonts w:asciiTheme="minorHAnsi" w:hAnsiTheme="minorHAnsi"/>
        <w:b w:val="0"/>
        <w:sz w:val="20"/>
      </w:rPr>
    </w:tblStylePr>
    <w:tblStylePr w:type="neCell">
      <w:pPr>
        <w:wordWrap/>
        <w:spacing w:beforeLines="0" w:before="0" w:beforeAutospacing="0" w:afterLines="0" w:after="0" w:afterAutospacing="0" w:line="276" w:lineRule="auto"/>
        <w:contextualSpacing/>
        <w:jc w:val="center"/>
      </w:pPr>
      <w:rPr>
        <w:rFonts w:asciiTheme="minorHAnsi" w:hAnsiTheme="minorHAnsi"/>
        <w:sz w:val="22"/>
      </w:rPr>
    </w:tblStylePr>
    <w:tblStylePr w:type="nwCell">
      <w:pPr>
        <w:jc w:val="left"/>
      </w:pPr>
      <w:rPr>
        <w:rFonts w:asciiTheme="minorHAnsi" w:hAnsiTheme="minorHAnsi"/>
      </w:rPr>
    </w:tblStylePr>
    <w:tblStylePr w:type="seCell">
      <w:pPr>
        <w:jc w:val="left"/>
      </w:pPr>
      <w:rPr>
        <w:rFonts w:asciiTheme="minorHAnsi" w:hAnsiTheme="minorHAnsi"/>
        <w:sz w:val="18"/>
      </w:rPr>
    </w:tblStylePr>
    <w:tblStylePr w:type="swCell">
      <w:pPr>
        <w:jc w:val="left"/>
      </w:pPr>
      <w:rPr>
        <w:rFonts w:asciiTheme="minorHAnsi" w:hAnsiTheme="minorHAnsi"/>
        <w:sz w:val="18"/>
      </w:rPr>
    </w:tblStylePr>
  </w:style>
  <w:style w:type="character" w:customStyle="1" w:styleId="UnresolvedMention1">
    <w:name w:val="Unresolved Mention1"/>
    <w:basedOn w:val="DefaultParagraphFont"/>
    <w:uiPriority w:val="99"/>
    <w:semiHidden/>
    <w:unhideWhenUsed/>
    <w:rsid w:val="009A32AE"/>
    <w:rPr>
      <w:color w:val="605E5C"/>
      <w:shd w:val="clear" w:color="auto" w:fill="E1DFDD"/>
    </w:rPr>
  </w:style>
  <w:style w:type="paragraph" w:customStyle="1" w:styleId="Default">
    <w:name w:val="Default"/>
    <w:rsid w:val="0038251D"/>
    <w:pPr>
      <w:autoSpaceDE w:val="0"/>
      <w:autoSpaceDN w:val="0"/>
      <w:adjustRightInd w:val="0"/>
      <w:spacing w:after="0" w:line="240" w:lineRule="auto"/>
    </w:pPr>
    <w:rPr>
      <w:rFonts w:ascii="Calibri" w:hAnsi="Calibri" w:cs="Calibri"/>
      <w:color w:val="000000"/>
      <w:sz w:val="24"/>
      <w:szCs w:val="24"/>
    </w:rPr>
  </w:style>
  <w:style w:type="table" w:customStyle="1" w:styleId="ListTable4-Accent31">
    <w:name w:val="List Table 4 - Accent 31"/>
    <w:basedOn w:val="TableNormal"/>
    <w:next w:val="ListTable4Accent3"/>
    <w:uiPriority w:val="49"/>
    <w:rsid w:val="0004751F"/>
    <w:pPr>
      <w:spacing w:after="0" w:line="240" w:lineRule="auto"/>
    </w:pPr>
    <w:rPr>
      <w:rFonts w:ascii="Calibri" w:hAnsi="Calibri"/>
      <w:sz w:val="22"/>
      <w:szCs w:val="22"/>
    </w:rPr>
    <w:tblPr>
      <w:tblStyleRowBandSize w:val="1"/>
      <w:tblStyleColBandSize w:val="1"/>
      <w:tblBorders>
        <w:top w:val="single" w:sz="4" w:space="0" w:color="98D8CE"/>
        <w:left w:val="single" w:sz="4" w:space="0" w:color="98D8CE"/>
        <w:bottom w:val="single" w:sz="4" w:space="0" w:color="98D8CE"/>
        <w:right w:val="single" w:sz="4" w:space="0" w:color="98D8CE"/>
        <w:insideH w:val="single" w:sz="4" w:space="0" w:color="98D8CE"/>
      </w:tblBorders>
    </w:tblPr>
    <w:tblStylePr w:type="firstRow">
      <w:rPr>
        <w:b/>
        <w:bCs/>
        <w:color w:val="FFFFFF"/>
      </w:rPr>
      <w:tblPr/>
      <w:tcPr>
        <w:tcBorders>
          <w:top w:val="single" w:sz="4" w:space="0" w:color="55BFAE"/>
          <w:left w:val="single" w:sz="4" w:space="0" w:color="55BFAE"/>
          <w:bottom w:val="single" w:sz="4" w:space="0" w:color="55BFAE"/>
          <w:right w:val="single" w:sz="4" w:space="0" w:color="55BFAE"/>
          <w:insideH w:val="nil"/>
        </w:tcBorders>
        <w:shd w:val="clear" w:color="auto" w:fill="55BFAE"/>
      </w:tcPr>
    </w:tblStylePr>
    <w:tblStylePr w:type="lastRow">
      <w:rPr>
        <w:b/>
        <w:bCs/>
      </w:rPr>
      <w:tblPr/>
      <w:tcPr>
        <w:tcBorders>
          <w:top w:val="double" w:sz="4" w:space="0" w:color="98D8CE"/>
        </w:tcBorders>
      </w:tcPr>
    </w:tblStylePr>
    <w:tblStylePr w:type="firstCol">
      <w:rPr>
        <w:b/>
        <w:bCs/>
      </w:rPr>
    </w:tblStylePr>
    <w:tblStylePr w:type="lastCol">
      <w:rPr>
        <w:b/>
        <w:bCs/>
      </w:rPr>
    </w:tblStylePr>
    <w:tblStylePr w:type="band1Vert">
      <w:tblPr/>
      <w:tcPr>
        <w:shd w:val="clear" w:color="auto" w:fill="DCF2EE"/>
      </w:tcPr>
    </w:tblStylePr>
    <w:tblStylePr w:type="band1Horz">
      <w:tblPr/>
      <w:tcPr>
        <w:shd w:val="clear" w:color="auto" w:fill="DCF2EE"/>
      </w:tcPr>
    </w:tblStylePr>
  </w:style>
  <w:style w:type="table" w:customStyle="1" w:styleId="ListTable4Accent3">
    <w:name w:val="List Table 4 Accent 3"/>
    <w:basedOn w:val="TableNormal"/>
    <w:uiPriority w:val="49"/>
    <w:rsid w:val="0004751F"/>
    <w:pPr>
      <w:spacing w:after="0" w:line="240" w:lineRule="auto"/>
    </w:pPr>
    <w:tblPr>
      <w:tblStyleRowBandSize w:val="1"/>
      <w:tblStyleColBandSize w:val="1"/>
      <w:tblBorders>
        <w:top w:val="single" w:sz="4" w:space="0" w:color="C55753" w:themeColor="accent3" w:themeTint="99"/>
        <w:left w:val="single" w:sz="4" w:space="0" w:color="C55753" w:themeColor="accent3" w:themeTint="99"/>
        <w:bottom w:val="single" w:sz="4" w:space="0" w:color="C55753" w:themeColor="accent3" w:themeTint="99"/>
        <w:right w:val="single" w:sz="4" w:space="0" w:color="C55753" w:themeColor="accent3" w:themeTint="99"/>
        <w:insideH w:val="single" w:sz="4" w:space="0" w:color="C55753" w:themeColor="accent3" w:themeTint="99"/>
      </w:tblBorders>
    </w:tblPr>
    <w:tblStylePr w:type="firstRow">
      <w:rPr>
        <w:b/>
        <w:bCs/>
        <w:color w:val="FFFFFF" w:themeColor="background1"/>
      </w:rPr>
      <w:tblPr/>
      <w:tcPr>
        <w:tcBorders>
          <w:top w:val="single" w:sz="4" w:space="0" w:color="602320" w:themeColor="accent3"/>
          <w:left w:val="single" w:sz="4" w:space="0" w:color="602320" w:themeColor="accent3"/>
          <w:bottom w:val="single" w:sz="4" w:space="0" w:color="602320" w:themeColor="accent3"/>
          <w:right w:val="single" w:sz="4" w:space="0" w:color="602320" w:themeColor="accent3"/>
          <w:insideH w:val="nil"/>
        </w:tcBorders>
        <w:shd w:val="clear" w:color="auto" w:fill="602320" w:themeFill="accent3"/>
      </w:tcPr>
    </w:tblStylePr>
    <w:tblStylePr w:type="lastRow">
      <w:rPr>
        <w:b/>
        <w:bCs/>
      </w:rPr>
      <w:tblPr/>
      <w:tcPr>
        <w:tcBorders>
          <w:top w:val="double" w:sz="4" w:space="0" w:color="C55753" w:themeColor="accent3" w:themeTint="99"/>
        </w:tcBorders>
      </w:tcPr>
    </w:tblStylePr>
    <w:tblStylePr w:type="firstCol">
      <w:rPr>
        <w:b/>
        <w:bCs/>
      </w:rPr>
    </w:tblStylePr>
    <w:tblStylePr w:type="lastCol">
      <w:rPr>
        <w:b/>
        <w:bCs/>
      </w:rPr>
    </w:tblStylePr>
    <w:tblStylePr w:type="band1Vert">
      <w:tblPr/>
      <w:tcPr>
        <w:shd w:val="clear" w:color="auto" w:fill="EBC7C5" w:themeFill="accent3" w:themeFillTint="33"/>
      </w:tcPr>
    </w:tblStylePr>
    <w:tblStylePr w:type="band1Horz">
      <w:tblPr/>
      <w:tcPr>
        <w:shd w:val="clear" w:color="auto" w:fill="EBC7C5" w:themeFill="accent3" w:themeFillTint="33"/>
      </w:tcPr>
    </w:tblStylePr>
  </w:style>
  <w:style w:type="paragraph" w:styleId="TableofFigures">
    <w:name w:val="table of figures"/>
    <w:basedOn w:val="Normal"/>
    <w:next w:val="Normal"/>
    <w:uiPriority w:val="99"/>
    <w:unhideWhenUsed/>
    <w:rsid w:val="00F35819"/>
    <w:rPr>
      <w:rFonts w:ascii="Times New Roman" w:hAnsi="Times New Roman"/>
      <w:sz w:val="24"/>
      <w:lang w:val="en-GB"/>
    </w:rPr>
  </w:style>
  <w:style w:type="paragraph" w:customStyle="1" w:styleId="Lent">
    <w:name w:val="Lent."/>
    <w:basedOn w:val="Caption"/>
    <w:link w:val="LentChar"/>
    <w:uiPriority w:val="34"/>
    <w:qFormat/>
    <w:rsid w:val="00910E7F"/>
    <w:pPr>
      <w:jc w:val="left"/>
    </w:pPr>
  </w:style>
  <w:style w:type="paragraph" w:customStyle="1" w:styleId="Lentelestekstas">
    <w:name w:val="Lenteles_tekstas"/>
    <w:basedOn w:val="Normal"/>
    <w:link w:val="LentelestekstasChar"/>
    <w:uiPriority w:val="34"/>
    <w:qFormat/>
    <w:rsid w:val="00C744C8"/>
    <w:pPr>
      <w:spacing w:line="240" w:lineRule="auto"/>
    </w:pPr>
    <w:rPr>
      <w:sz w:val="20"/>
      <w:lang w:val="en-GB"/>
    </w:rPr>
  </w:style>
  <w:style w:type="character" w:customStyle="1" w:styleId="LentChar">
    <w:name w:val="Lent. Char"/>
    <w:basedOn w:val="CaptionChar"/>
    <w:link w:val="Lent"/>
    <w:uiPriority w:val="34"/>
    <w:rsid w:val="00910E7F"/>
    <w:rPr>
      <w:rFonts w:ascii="Cambria" w:eastAsia="Times New Roman" w:hAnsi="Cambria" w:cs="Times New Roman"/>
      <w:b/>
      <w:bCs/>
      <w:i/>
      <w:color w:val="808080" w:themeColor="background2" w:themeShade="80"/>
      <w:sz w:val="22"/>
      <w:lang w:val="lt-LT" w:eastAsia="lt-LT"/>
    </w:rPr>
  </w:style>
  <w:style w:type="character" w:customStyle="1" w:styleId="LentelestekstasChar">
    <w:name w:val="Lenteles_tekstas Char"/>
    <w:basedOn w:val="DefaultParagraphFont"/>
    <w:link w:val="Lentelestekstas"/>
    <w:uiPriority w:val="34"/>
    <w:rsid w:val="00C744C8"/>
    <w:rPr>
      <w:rFonts w:ascii="Cambria" w:eastAsia="Arial" w:hAnsi="Cambria" w:cs="Times New Roman"/>
      <w:color w:val="000000"/>
      <w:szCs w:val="21"/>
    </w:rPr>
  </w:style>
  <w:style w:type="table" w:customStyle="1" w:styleId="GridTable5Dark-Accent31">
    <w:name w:val="Grid Table 5 Dark - Accent 31"/>
    <w:basedOn w:val="TableNormal"/>
    <w:next w:val="GridTable5DarkAccent3"/>
    <w:uiPriority w:val="50"/>
    <w:rsid w:val="00C761DA"/>
    <w:pPr>
      <w:spacing w:after="0" w:line="240" w:lineRule="auto"/>
    </w:pPr>
    <w:rPr>
      <w:rFonts w:ascii="Calibri" w:hAnsi="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CF2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5BFAE"/>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5BFAE"/>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5BFAE"/>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5BFAE"/>
      </w:tcPr>
    </w:tblStylePr>
    <w:tblStylePr w:type="band1Vert">
      <w:tblPr/>
      <w:tcPr>
        <w:shd w:val="clear" w:color="auto" w:fill="BAE5DE"/>
      </w:tcPr>
    </w:tblStylePr>
    <w:tblStylePr w:type="band1Horz">
      <w:tblPr/>
      <w:tcPr>
        <w:shd w:val="clear" w:color="auto" w:fill="BAE5DE"/>
      </w:tcPr>
    </w:tblStylePr>
  </w:style>
  <w:style w:type="table" w:customStyle="1" w:styleId="GridTable5DarkAccent3">
    <w:name w:val="Grid Table 5 Dark Accent 3"/>
    <w:basedOn w:val="TableNormal"/>
    <w:uiPriority w:val="50"/>
    <w:rsid w:val="00C761D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BC7C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232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232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232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2320" w:themeFill="accent3"/>
      </w:tcPr>
    </w:tblStylePr>
    <w:tblStylePr w:type="band1Vert">
      <w:tblPr/>
      <w:tcPr>
        <w:shd w:val="clear" w:color="auto" w:fill="D88F8C" w:themeFill="accent3" w:themeFillTint="66"/>
      </w:tcPr>
    </w:tblStylePr>
    <w:tblStylePr w:type="band1Horz">
      <w:tblPr/>
      <w:tcPr>
        <w:shd w:val="clear" w:color="auto" w:fill="D88F8C" w:themeFill="accent3" w:themeFillTint="66"/>
      </w:tcPr>
    </w:tblStylePr>
  </w:style>
  <w:style w:type="paragraph" w:customStyle="1" w:styleId="TESlentelspavadinimas">
    <w:name w:val="TES_lentelės pavadinimas"/>
    <w:basedOn w:val="Normal"/>
    <w:link w:val="TESlentelspavadinimasChar"/>
    <w:autoRedefine/>
    <w:uiPriority w:val="99"/>
    <w:qFormat/>
    <w:rsid w:val="00631BA6"/>
    <w:pPr>
      <w:spacing w:line="240" w:lineRule="auto"/>
    </w:pPr>
    <w:rPr>
      <w:rFonts w:ascii="Times New Roman" w:eastAsiaTheme="minorHAnsi" w:hAnsi="Times New Roman"/>
      <w:bCs/>
      <w:i/>
      <w:noProof/>
      <w:color w:val="000000" w:themeColor="text1"/>
      <w:sz w:val="20"/>
      <w:szCs w:val="20"/>
    </w:rPr>
  </w:style>
  <w:style w:type="character" w:customStyle="1" w:styleId="TESlentelspavadinimasChar">
    <w:name w:val="TES_lentelės pavadinimas Char"/>
    <w:basedOn w:val="DefaultParagraphFont"/>
    <w:link w:val="TESlentelspavadinimas"/>
    <w:uiPriority w:val="99"/>
    <w:rsid w:val="00631BA6"/>
    <w:rPr>
      <w:rFonts w:ascii="Times New Roman" w:hAnsi="Times New Roman" w:cs="Times New Roman"/>
      <w:bCs/>
      <w:i/>
      <w:noProof/>
      <w:color w:val="000000" w:themeColor="text1"/>
      <w:lang w:val="lt-LT"/>
    </w:rPr>
  </w:style>
  <w:style w:type="paragraph" w:customStyle="1" w:styleId="TESPaaikinimai">
    <w:name w:val="TES_Paaiškinimai"/>
    <w:basedOn w:val="Normal"/>
    <w:autoRedefine/>
    <w:uiPriority w:val="99"/>
    <w:qFormat/>
    <w:rsid w:val="00AD6DA0"/>
    <w:pPr>
      <w:spacing w:before="60" w:line="240" w:lineRule="auto"/>
    </w:pPr>
    <w:rPr>
      <w:rFonts w:ascii="Times New Roman" w:eastAsia="Calibri" w:hAnsi="Times New Roman"/>
      <w:i/>
      <w:color w:val="6B7487"/>
      <w:kern w:val="36"/>
      <w:sz w:val="20"/>
      <w:szCs w:val="20"/>
    </w:rPr>
  </w:style>
  <w:style w:type="character" w:styleId="FollowedHyperlink">
    <w:name w:val="FollowedHyperlink"/>
    <w:basedOn w:val="DefaultParagraphFont"/>
    <w:uiPriority w:val="99"/>
    <w:semiHidden/>
    <w:unhideWhenUsed/>
    <w:rsid w:val="0009004D"/>
    <w:rPr>
      <w:color w:val="DC6900" w:themeColor="followedHyperlink"/>
      <w:u w:val="single"/>
    </w:rPr>
  </w:style>
  <w:style w:type="paragraph" w:customStyle="1" w:styleId="Nenumeruojamosantrastes">
    <w:name w:val="• Nenumeruojamos antrastes"/>
    <w:next w:val="Normal"/>
    <w:link w:val="NenumeruojamosantrastesChar"/>
    <w:qFormat/>
    <w:rsid w:val="00526623"/>
    <w:pPr>
      <w:pageBreakBefore/>
      <w:widowControl w:val="0"/>
      <w:pBdr>
        <w:bottom w:val="single" w:sz="8" w:space="1" w:color="4181B6"/>
      </w:pBdr>
      <w:spacing w:before="120" w:line="240" w:lineRule="auto"/>
    </w:pPr>
    <w:rPr>
      <w:rFonts w:asciiTheme="majorHAnsi" w:eastAsia="Times New Roman" w:hAnsiTheme="majorHAnsi" w:cs="Times New Roman"/>
      <w:b/>
      <w:bCs/>
      <w:caps/>
      <w:color w:val="4181B6"/>
      <w:kern w:val="32"/>
      <w:sz w:val="28"/>
      <w:szCs w:val="32"/>
      <w:lang w:val="lt-LT" w:eastAsia="lt-LT"/>
    </w:rPr>
  </w:style>
  <w:style w:type="character" w:customStyle="1" w:styleId="NenumeruojamosantrastesChar">
    <w:name w:val="• Nenumeruojamos antrastes Char"/>
    <w:basedOn w:val="DefaultParagraphFont"/>
    <w:link w:val="Nenumeruojamosantrastes"/>
    <w:rsid w:val="00526623"/>
    <w:rPr>
      <w:rFonts w:asciiTheme="majorHAnsi" w:eastAsia="Times New Roman" w:hAnsiTheme="majorHAnsi" w:cs="Times New Roman"/>
      <w:b/>
      <w:bCs/>
      <w:caps/>
      <w:color w:val="4181B6"/>
      <w:kern w:val="32"/>
      <w:sz w:val="28"/>
      <w:szCs w:val="32"/>
      <w:lang w:val="lt-LT" w:eastAsia="lt-LT"/>
    </w:rPr>
  </w:style>
  <w:style w:type="paragraph" w:customStyle="1" w:styleId="Pagrindinispaprastastekstas">
    <w:name w:val="• Pagrindinis paprastas tekstas"/>
    <w:basedOn w:val="Normal"/>
    <w:link w:val="PagrindinispaprastastekstasChar"/>
    <w:qFormat/>
    <w:rsid w:val="00785090"/>
    <w:pPr>
      <w:spacing w:line="240" w:lineRule="auto"/>
      <w:jc w:val="both"/>
    </w:pPr>
    <w:rPr>
      <w:rFonts w:asciiTheme="majorHAnsi" w:eastAsia="Times New Roman" w:hAnsiTheme="majorHAnsi"/>
      <w:color w:val="auto"/>
      <w:szCs w:val="24"/>
    </w:rPr>
  </w:style>
  <w:style w:type="character" w:customStyle="1" w:styleId="PagrindinispaprastastekstasChar">
    <w:name w:val="• Pagrindinis paprastas tekstas Char"/>
    <w:link w:val="Pagrindinispaprastastekstas"/>
    <w:rsid w:val="00785090"/>
    <w:rPr>
      <w:rFonts w:asciiTheme="majorHAnsi" w:eastAsia="Times New Roman" w:hAnsiTheme="majorHAnsi" w:cs="Times New Roman"/>
      <w:sz w:val="22"/>
      <w:szCs w:val="24"/>
      <w:lang w:val="lt-LT"/>
    </w:rPr>
  </w:style>
  <w:style w:type="paragraph" w:customStyle="1" w:styleId="Antrastes2">
    <w:name w:val="• Antrastes_2"/>
    <w:basedOn w:val="Normal"/>
    <w:next w:val="Pagrindinispaprastastekstas"/>
    <w:link w:val="Antrastes2Char"/>
    <w:qFormat/>
    <w:rsid w:val="00486902"/>
    <w:pPr>
      <w:widowControl w:val="0"/>
      <w:pBdr>
        <w:bottom w:val="single" w:sz="8" w:space="1" w:color="4181B6"/>
      </w:pBdr>
      <w:spacing w:before="360" w:after="240" w:line="240" w:lineRule="auto"/>
      <w:ind w:left="576" w:hanging="576"/>
      <w:outlineLvl w:val="1"/>
    </w:pPr>
    <w:rPr>
      <w:rFonts w:eastAsia="Times New Roman"/>
      <w:b/>
      <w:bCs/>
      <w:caps/>
      <w:color w:val="4181B6"/>
      <w:kern w:val="32"/>
      <w:sz w:val="28"/>
      <w:szCs w:val="32"/>
      <w:lang w:val="en-US"/>
    </w:rPr>
  </w:style>
  <w:style w:type="character" w:customStyle="1" w:styleId="Antrastes2Char">
    <w:name w:val="• Antrastes_2 Char"/>
    <w:basedOn w:val="Heading2Char"/>
    <w:link w:val="Antrastes2"/>
    <w:rsid w:val="00486902"/>
    <w:rPr>
      <w:rFonts w:ascii="Cambria" w:eastAsia="Times New Roman" w:hAnsi="Cambria" w:cs="Times New Roman"/>
      <w:b/>
      <w:bCs/>
      <w:i w:val="0"/>
      <w:caps/>
      <w:color w:val="4181B6"/>
      <w:kern w:val="32"/>
      <w:sz w:val="28"/>
      <w:szCs w:val="32"/>
      <w:lang w:val="en-US"/>
    </w:rPr>
  </w:style>
  <w:style w:type="paragraph" w:customStyle="1" w:styleId="Antrastes31">
    <w:name w:val="• Antrastes_31"/>
    <w:basedOn w:val="Antrastes2"/>
    <w:next w:val="Pagrindinispaprastastekstas"/>
    <w:qFormat/>
    <w:rsid w:val="001E341C"/>
    <w:pPr>
      <w:numPr>
        <w:ilvl w:val="2"/>
        <w:numId w:val="5"/>
      </w:numPr>
      <w:pBdr>
        <w:bottom w:val="none" w:sz="0" w:space="0" w:color="auto"/>
      </w:pBdr>
      <w:jc w:val="both"/>
      <w:outlineLvl w:val="2"/>
    </w:pPr>
    <w:rPr>
      <w:caps w:val="0"/>
    </w:rPr>
  </w:style>
  <w:style w:type="paragraph" w:customStyle="1" w:styleId="msonormal0">
    <w:name w:val="msonormal"/>
    <w:basedOn w:val="Normal"/>
    <w:rsid w:val="0034168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xl65">
    <w:name w:val="xl65"/>
    <w:basedOn w:val="Normal"/>
    <w:rsid w:val="0034168D"/>
    <w:pPr>
      <w:pBdr>
        <w:top w:val="single" w:sz="8"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6">
    <w:name w:val="xl66"/>
    <w:basedOn w:val="Normal"/>
    <w:rsid w:val="0034168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7">
    <w:name w:val="xl67"/>
    <w:basedOn w:val="Normal"/>
    <w:rsid w:val="0034168D"/>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68">
    <w:name w:val="xl68"/>
    <w:basedOn w:val="Normal"/>
    <w:rsid w:val="0034168D"/>
    <w:pP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69">
    <w:name w:val="xl6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0">
    <w:name w:val="xl70"/>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71">
    <w:name w:val="xl71"/>
    <w:basedOn w:val="Normal"/>
    <w:rsid w:val="0034168D"/>
    <w:pPr>
      <w:pBdr>
        <w:top w:val="single" w:sz="8"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2">
    <w:name w:val="xl72"/>
    <w:basedOn w:val="Normal"/>
    <w:rsid w:val="0034168D"/>
    <w:pPr>
      <w:pBdr>
        <w:top w:val="single" w:sz="8"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3">
    <w:name w:val="xl73"/>
    <w:basedOn w:val="Normal"/>
    <w:rsid w:val="0034168D"/>
    <w:pPr>
      <w:pBdr>
        <w:top w:val="single" w:sz="4" w:space="0" w:color="auto"/>
        <w:left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4">
    <w:name w:val="xl74"/>
    <w:basedOn w:val="Normal"/>
    <w:rsid w:val="0034168D"/>
    <w:pPr>
      <w:pBdr>
        <w:top w:val="single" w:sz="4" w:space="0" w:color="auto"/>
        <w:left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5">
    <w:name w:val="xl75"/>
    <w:basedOn w:val="Normal"/>
    <w:rsid w:val="0034168D"/>
    <w:pPr>
      <w:pBdr>
        <w:top w:val="single" w:sz="4" w:space="0" w:color="auto"/>
        <w:left w:val="single" w:sz="8" w:space="0" w:color="auto"/>
        <w:bottom w:val="single" w:sz="8" w:space="0" w:color="auto"/>
      </w:pBdr>
      <w:shd w:val="clear" w:color="000000" w:fill="FFFFFF"/>
      <w:spacing w:before="100" w:beforeAutospacing="1" w:after="100" w:afterAutospacing="1" w:line="240" w:lineRule="auto"/>
    </w:pPr>
    <w:rPr>
      <w:rFonts w:ascii="Times New Roman" w:eastAsia="Times New Roman" w:hAnsi="Times New Roman"/>
      <w:color w:val="auto"/>
      <w:sz w:val="20"/>
      <w:szCs w:val="20"/>
      <w:lang w:val="en-US"/>
    </w:rPr>
  </w:style>
  <w:style w:type="paragraph" w:customStyle="1" w:styleId="xl76">
    <w:name w:val="xl7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auto"/>
      <w:sz w:val="20"/>
      <w:szCs w:val="20"/>
      <w:lang w:val="en-US"/>
    </w:rPr>
  </w:style>
  <w:style w:type="paragraph" w:customStyle="1" w:styleId="xl77">
    <w:name w:val="xl77"/>
    <w:basedOn w:val="Normal"/>
    <w:rsid w:val="0034168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8">
    <w:name w:val="xl78"/>
    <w:basedOn w:val="Normal"/>
    <w:rsid w:val="0034168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79">
    <w:name w:val="xl79"/>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0">
    <w:name w:val="xl80"/>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1">
    <w:name w:val="xl81"/>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2">
    <w:name w:val="xl82"/>
    <w:basedOn w:val="Normal"/>
    <w:rsid w:val="0034168D"/>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3">
    <w:name w:val="xl83"/>
    <w:basedOn w:val="Normal"/>
    <w:rsid w:val="0034168D"/>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4">
    <w:name w:val="xl8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5">
    <w:name w:val="xl8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6">
    <w:name w:val="xl8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87">
    <w:name w:val="xl87"/>
    <w:basedOn w:val="Normal"/>
    <w:rsid w:val="0034168D"/>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8">
    <w:name w:val="xl88"/>
    <w:basedOn w:val="Normal"/>
    <w:rsid w:val="0034168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auto"/>
      <w:sz w:val="20"/>
      <w:szCs w:val="20"/>
      <w:lang w:val="en-US"/>
    </w:rPr>
  </w:style>
  <w:style w:type="paragraph" w:customStyle="1" w:styleId="xl89">
    <w:name w:val="xl89"/>
    <w:basedOn w:val="Normal"/>
    <w:rsid w:val="0034168D"/>
    <w:pPr>
      <w:pBdr>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0">
    <w:name w:val="xl90"/>
    <w:basedOn w:val="Normal"/>
    <w:rsid w:val="0034168D"/>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val="en-US"/>
    </w:rPr>
  </w:style>
  <w:style w:type="paragraph" w:customStyle="1" w:styleId="xl91">
    <w:name w:val="xl91"/>
    <w:basedOn w:val="Normal"/>
    <w:rsid w:val="0034168D"/>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2">
    <w:name w:val="xl92"/>
    <w:basedOn w:val="Normal"/>
    <w:rsid w:val="0034168D"/>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3">
    <w:name w:val="xl93"/>
    <w:basedOn w:val="Normal"/>
    <w:rsid w:val="0034168D"/>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4">
    <w:name w:val="xl94"/>
    <w:basedOn w:val="Normal"/>
    <w:rsid w:val="0034168D"/>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5">
    <w:name w:val="xl95"/>
    <w:basedOn w:val="Normal"/>
    <w:rsid w:val="0034168D"/>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paragraph" w:customStyle="1" w:styleId="xl96">
    <w:name w:val="xl96"/>
    <w:basedOn w:val="Normal"/>
    <w:rsid w:val="0034168D"/>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0"/>
      <w:szCs w:val="20"/>
      <w:lang w:val="en-US"/>
    </w:rPr>
  </w:style>
  <w:style w:type="character" w:customStyle="1" w:styleId="UnresolvedMention2">
    <w:name w:val="Unresolved Mention2"/>
    <w:basedOn w:val="DefaultParagraphFont"/>
    <w:uiPriority w:val="99"/>
    <w:semiHidden/>
    <w:unhideWhenUsed/>
    <w:rsid w:val="00D430AF"/>
    <w:rPr>
      <w:color w:val="605E5C"/>
      <w:shd w:val="clear" w:color="auto" w:fill="E1DFDD"/>
    </w:rPr>
  </w:style>
  <w:style w:type="paragraph" w:styleId="Revision">
    <w:name w:val="Revision"/>
    <w:hidden/>
    <w:uiPriority w:val="99"/>
    <w:semiHidden/>
    <w:rsid w:val="00D1388A"/>
    <w:pPr>
      <w:spacing w:after="0" w:line="240" w:lineRule="auto"/>
    </w:pPr>
    <w:rPr>
      <w:rFonts w:ascii="Cambria" w:eastAsia="Arial" w:hAnsi="Cambria" w:cs="Times New Roman"/>
      <w:color w:val="000000"/>
      <w:sz w:val="22"/>
      <w:szCs w:val="21"/>
    </w:rPr>
  </w:style>
  <w:style w:type="paragraph" w:customStyle="1" w:styleId="PART1Skyrelis">
    <w:name w:val="PART 1 Skyrelis"/>
    <w:basedOn w:val="Heading4"/>
    <w:link w:val="PART1SkyrelisChar"/>
    <w:rsid w:val="008D0AC7"/>
    <w:pPr>
      <w:spacing w:before="360" w:after="360"/>
      <w:outlineLvl w:val="9"/>
    </w:pPr>
    <w:rPr>
      <w:b/>
      <w:i w:val="0"/>
      <w:iCs w:val="0"/>
      <w:color w:val="auto"/>
      <w:kern w:val="36"/>
      <w:sz w:val="28"/>
      <w:szCs w:val="24"/>
      <w:u w:val="single" w:color="EA0D00"/>
      <w:lang w:val="lt-LT"/>
    </w:rPr>
  </w:style>
  <w:style w:type="character" w:customStyle="1" w:styleId="PART1SkyrelisChar">
    <w:name w:val="PART 1 Skyrelis Char"/>
    <w:basedOn w:val="DefaultParagraphFont"/>
    <w:link w:val="PART1Skyrelis"/>
    <w:rsid w:val="008D0AC7"/>
    <w:rPr>
      <w:rFonts w:asciiTheme="majorHAnsi" w:eastAsiaTheme="majorEastAsia" w:hAnsiTheme="majorHAnsi" w:cstheme="majorBidi"/>
      <w:b/>
      <w:bCs/>
      <w:kern w:val="36"/>
      <w:sz w:val="28"/>
      <w:szCs w:val="24"/>
      <w:u w:val="single" w:color="EA0D00"/>
      <w:lang w:val="lt-LT"/>
    </w:rPr>
  </w:style>
  <w:style w:type="paragraph" w:styleId="TOC4">
    <w:name w:val="toc 4"/>
    <w:basedOn w:val="Normal"/>
    <w:next w:val="Normal"/>
    <w:autoRedefine/>
    <w:uiPriority w:val="39"/>
    <w:unhideWhenUsed/>
    <w:rsid w:val="00D83D47"/>
    <w:pPr>
      <w:spacing w:after="100" w:line="259" w:lineRule="auto"/>
      <w:ind w:left="660"/>
    </w:pPr>
    <w:rPr>
      <w:rFonts w:asciiTheme="minorHAnsi" w:eastAsiaTheme="minorEastAsia" w:hAnsiTheme="minorHAnsi" w:cstheme="minorBidi"/>
      <w:color w:val="auto"/>
      <w:szCs w:val="22"/>
      <w:lang w:val="en-US"/>
    </w:rPr>
  </w:style>
  <w:style w:type="paragraph" w:styleId="TOC5">
    <w:name w:val="toc 5"/>
    <w:basedOn w:val="Normal"/>
    <w:next w:val="Normal"/>
    <w:autoRedefine/>
    <w:uiPriority w:val="39"/>
    <w:unhideWhenUsed/>
    <w:rsid w:val="00D83D47"/>
    <w:pPr>
      <w:spacing w:after="100" w:line="259" w:lineRule="auto"/>
      <w:ind w:left="880"/>
    </w:pPr>
    <w:rPr>
      <w:rFonts w:asciiTheme="minorHAnsi" w:eastAsiaTheme="minorEastAsia" w:hAnsiTheme="minorHAnsi" w:cstheme="minorBidi"/>
      <w:color w:val="auto"/>
      <w:szCs w:val="22"/>
      <w:lang w:val="en-US"/>
    </w:rPr>
  </w:style>
  <w:style w:type="paragraph" w:styleId="TOC6">
    <w:name w:val="toc 6"/>
    <w:basedOn w:val="Normal"/>
    <w:next w:val="Normal"/>
    <w:autoRedefine/>
    <w:uiPriority w:val="39"/>
    <w:unhideWhenUsed/>
    <w:rsid w:val="00D83D47"/>
    <w:pPr>
      <w:spacing w:after="100" w:line="259" w:lineRule="auto"/>
      <w:ind w:left="1100"/>
    </w:pPr>
    <w:rPr>
      <w:rFonts w:asciiTheme="minorHAnsi" w:eastAsiaTheme="minorEastAsia" w:hAnsiTheme="minorHAnsi" w:cstheme="minorBidi"/>
      <w:color w:val="auto"/>
      <w:szCs w:val="22"/>
      <w:lang w:val="en-US"/>
    </w:rPr>
  </w:style>
  <w:style w:type="paragraph" w:styleId="TOC7">
    <w:name w:val="toc 7"/>
    <w:basedOn w:val="Normal"/>
    <w:next w:val="Normal"/>
    <w:autoRedefine/>
    <w:uiPriority w:val="39"/>
    <w:unhideWhenUsed/>
    <w:rsid w:val="00D83D47"/>
    <w:pPr>
      <w:spacing w:after="100" w:line="259" w:lineRule="auto"/>
      <w:ind w:left="1320"/>
    </w:pPr>
    <w:rPr>
      <w:rFonts w:asciiTheme="minorHAnsi" w:eastAsiaTheme="minorEastAsia" w:hAnsiTheme="minorHAnsi" w:cstheme="minorBidi"/>
      <w:color w:val="auto"/>
      <w:szCs w:val="22"/>
      <w:lang w:val="en-US"/>
    </w:rPr>
  </w:style>
  <w:style w:type="paragraph" w:styleId="TOC8">
    <w:name w:val="toc 8"/>
    <w:basedOn w:val="Normal"/>
    <w:next w:val="Normal"/>
    <w:autoRedefine/>
    <w:uiPriority w:val="39"/>
    <w:unhideWhenUsed/>
    <w:rsid w:val="00D83D47"/>
    <w:pPr>
      <w:spacing w:after="100" w:line="259" w:lineRule="auto"/>
      <w:ind w:left="1540"/>
    </w:pPr>
    <w:rPr>
      <w:rFonts w:asciiTheme="minorHAnsi" w:eastAsiaTheme="minorEastAsia" w:hAnsiTheme="minorHAnsi" w:cstheme="minorBidi"/>
      <w:color w:val="auto"/>
      <w:szCs w:val="22"/>
      <w:lang w:val="en-US"/>
    </w:rPr>
  </w:style>
  <w:style w:type="paragraph" w:styleId="TOC9">
    <w:name w:val="toc 9"/>
    <w:basedOn w:val="Normal"/>
    <w:next w:val="Normal"/>
    <w:autoRedefine/>
    <w:uiPriority w:val="39"/>
    <w:unhideWhenUsed/>
    <w:rsid w:val="00D83D47"/>
    <w:pPr>
      <w:spacing w:after="100" w:line="259" w:lineRule="auto"/>
      <w:ind w:left="1760"/>
    </w:pPr>
    <w:rPr>
      <w:rFonts w:asciiTheme="minorHAnsi" w:eastAsiaTheme="minorEastAsia" w:hAnsiTheme="minorHAnsi" w:cstheme="minorBidi"/>
      <w:color w:val="auto"/>
      <w:szCs w:val="22"/>
      <w:lang w:val="en-US"/>
    </w:rPr>
  </w:style>
  <w:style w:type="character" w:customStyle="1" w:styleId="UnresolvedMention3">
    <w:name w:val="Unresolved Mention3"/>
    <w:basedOn w:val="DefaultParagraphFont"/>
    <w:uiPriority w:val="99"/>
    <w:semiHidden/>
    <w:unhideWhenUsed/>
    <w:rsid w:val="00D83D47"/>
    <w:rPr>
      <w:color w:val="605E5C"/>
      <w:shd w:val="clear" w:color="auto" w:fill="E1DFDD"/>
    </w:rPr>
  </w:style>
  <w:style w:type="paragraph" w:customStyle="1" w:styleId="m1028870689664953594msolistparagraph">
    <w:name w:val="m_1028870689664953594msolistparagraph"/>
    <w:basedOn w:val="Normal"/>
    <w:rsid w:val="0023674D"/>
    <w:pPr>
      <w:spacing w:before="100" w:beforeAutospacing="1" w:after="100" w:afterAutospacing="1" w:line="240" w:lineRule="auto"/>
    </w:pPr>
    <w:rPr>
      <w:rFonts w:ascii="Times New Roman" w:eastAsia="Times New Roman" w:hAnsi="Times New Roman"/>
      <w:color w:val="auto"/>
      <w:sz w:val="24"/>
      <w:szCs w:val="24"/>
      <w:lang w:val="en-US"/>
    </w:rPr>
  </w:style>
  <w:style w:type="paragraph" w:customStyle="1" w:styleId="m8056748291939642756msolistparagraph">
    <w:name w:val="m_8056748291939642756msolistparagraph"/>
    <w:basedOn w:val="Normal"/>
    <w:rsid w:val="003C6AFB"/>
    <w:pPr>
      <w:spacing w:before="100" w:beforeAutospacing="1" w:after="100" w:afterAutospacing="1" w:line="240" w:lineRule="auto"/>
    </w:pPr>
    <w:rPr>
      <w:rFonts w:ascii="Times New Roman" w:eastAsia="Times New Roman" w:hAnsi="Times New Roman"/>
      <w:color w:val="auto"/>
      <w:sz w:val="24"/>
      <w:szCs w:val="24"/>
      <w:lang w:val="en-US"/>
    </w:rPr>
  </w:style>
  <w:style w:type="character" w:customStyle="1" w:styleId="UnresolvedMention4">
    <w:name w:val="Unresolved Mention4"/>
    <w:basedOn w:val="DefaultParagraphFont"/>
    <w:uiPriority w:val="99"/>
    <w:semiHidden/>
    <w:unhideWhenUsed/>
    <w:rsid w:val="00F657C8"/>
    <w:rPr>
      <w:color w:val="605E5C"/>
      <w:shd w:val="clear" w:color="auto" w:fill="E1DFDD"/>
    </w:rPr>
  </w:style>
  <w:style w:type="character" w:customStyle="1" w:styleId="UnresolvedMention5">
    <w:name w:val="Unresolved Mention5"/>
    <w:basedOn w:val="DefaultParagraphFont"/>
    <w:uiPriority w:val="99"/>
    <w:semiHidden/>
    <w:unhideWhenUsed/>
    <w:rsid w:val="007C25DD"/>
    <w:rPr>
      <w:color w:val="605E5C"/>
      <w:shd w:val="clear" w:color="auto" w:fill="E1DFDD"/>
    </w:rPr>
  </w:style>
  <w:style w:type="character" w:customStyle="1" w:styleId="UnresolvedMention6">
    <w:name w:val="Unresolved Mention6"/>
    <w:basedOn w:val="DefaultParagraphFont"/>
    <w:uiPriority w:val="99"/>
    <w:semiHidden/>
    <w:unhideWhenUsed/>
    <w:rsid w:val="003E53FA"/>
    <w:rPr>
      <w:color w:val="605E5C"/>
      <w:shd w:val="clear" w:color="auto" w:fill="E1DFDD"/>
    </w:rPr>
  </w:style>
  <w:style w:type="character" w:customStyle="1" w:styleId="UnresolvedMention7">
    <w:name w:val="Unresolved Mention7"/>
    <w:basedOn w:val="DefaultParagraphFont"/>
    <w:uiPriority w:val="99"/>
    <w:semiHidden/>
    <w:unhideWhenUsed/>
    <w:rsid w:val="00B724E5"/>
    <w:rPr>
      <w:color w:val="605E5C"/>
      <w:shd w:val="clear" w:color="auto" w:fill="E1DFDD"/>
    </w:rPr>
  </w:style>
  <w:style w:type="paragraph" w:customStyle="1" w:styleId="eca-sr-box-title">
    <w:name w:val="eca-sr-box-title"/>
    <w:basedOn w:val="Normal"/>
    <w:rsid w:val="008168BE"/>
    <w:pPr>
      <w:spacing w:before="100" w:beforeAutospacing="1" w:after="100" w:afterAutospacing="1" w:line="240" w:lineRule="auto"/>
    </w:pPr>
    <w:rPr>
      <w:rFonts w:ascii="Times New Roman" w:eastAsia="Times New Roman" w:hAnsi="Times New Roman"/>
      <w:color w:val="auto"/>
      <w:sz w:val="24"/>
      <w:szCs w:val="24"/>
      <w:lang w:eastAsia="lt-LT"/>
    </w:rPr>
  </w:style>
  <w:style w:type="character" w:customStyle="1" w:styleId="UnresolvedMention8">
    <w:name w:val="Unresolved Mention8"/>
    <w:basedOn w:val="DefaultParagraphFont"/>
    <w:uiPriority w:val="99"/>
    <w:semiHidden/>
    <w:unhideWhenUsed/>
    <w:rsid w:val="006B5DCC"/>
    <w:rPr>
      <w:color w:val="605E5C"/>
      <w:shd w:val="clear" w:color="auto" w:fill="E1DFDD"/>
    </w:rPr>
  </w:style>
  <w:style w:type="paragraph" w:customStyle="1" w:styleId="CM1">
    <w:name w:val="CM1"/>
    <w:basedOn w:val="Default"/>
    <w:next w:val="Default"/>
    <w:uiPriority w:val="99"/>
    <w:rsid w:val="00FC5D62"/>
    <w:rPr>
      <w:rFonts w:ascii="EUAlbertina" w:hAnsi="EUAlbertina" w:cstheme="minorBidi"/>
      <w:color w:val="auto"/>
      <w:lang w:val="lt-LT"/>
    </w:rPr>
  </w:style>
  <w:style w:type="paragraph" w:customStyle="1" w:styleId="CM3">
    <w:name w:val="CM3"/>
    <w:basedOn w:val="Default"/>
    <w:next w:val="Default"/>
    <w:uiPriority w:val="99"/>
    <w:rsid w:val="00FC5D62"/>
    <w:rPr>
      <w:rFonts w:ascii="EUAlbertina" w:hAnsi="EUAlbertina" w:cstheme="minorBidi"/>
      <w:color w:val="auto"/>
      <w:lang w:val="lt-LT"/>
    </w:rPr>
  </w:style>
  <w:style w:type="character" w:customStyle="1" w:styleId="UnresolvedMention9">
    <w:name w:val="Unresolved Mention9"/>
    <w:basedOn w:val="DefaultParagraphFont"/>
    <w:uiPriority w:val="99"/>
    <w:semiHidden/>
    <w:unhideWhenUsed/>
    <w:rsid w:val="00307BAC"/>
    <w:rPr>
      <w:color w:val="605E5C"/>
      <w:shd w:val="clear" w:color="auto" w:fill="E1DFDD"/>
    </w:rPr>
  </w:style>
  <w:style w:type="character" w:customStyle="1" w:styleId="UnresolvedMention10">
    <w:name w:val="Unresolved Mention10"/>
    <w:basedOn w:val="DefaultParagraphFont"/>
    <w:uiPriority w:val="99"/>
    <w:semiHidden/>
    <w:unhideWhenUsed/>
    <w:rsid w:val="00563EC0"/>
    <w:rPr>
      <w:color w:val="605E5C"/>
      <w:shd w:val="clear" w:color="auto" w:fill="E1DFDD"/>
    </w:rPr>
  </w:style>
  <w:style w:type="character" w:customStyle="1" w:styleId="UnresolvedMention11">
    <w:name w:val="Unresolved Mention11"/>
    <w:basedOn w:val="DefaultParagraphFont"/>
    <w:uiPriority w:val="99"/>
    <w:semiHidden/>
    <w:unhideWhenUsed/>
    <w:rsid w:val="008E1F13"/>
    <w:rPr>
      <w:color w:val="605E5C"/>
      <w:shd w:val="clear" w:color="auto" w:fill="E1DFDD"/>
    </w:rPr>
  </w:style>
  <w:style w:type="character" w:customStyle="1" w:styleId="UnresolvedMention12">
    <w:name w:val="Unresolved Mention12"/>
    <w:basedOn w:val="DefaultParagraphFont"/>
    <w:uiPriority w:val="99"/>
    <w:semiHidden/>
    <w:unhideWhenUsed/>
    <w:rsid w:val="00A71B95"/>
    <w:rPr>
      <w:color w:val="605E5C"/>
      <w:shd w:val="clear" w:color="auto" w:fill="E1DFDD"/>
    </w:rPr>
  </w:style>
  <w:style w:type="character" w:styleId="PlaceholderText">
    <w:name w:val="Placeholder Text"/>
    <w:basedOn w:val="DefaultParagraphFont"/>
    <w:uiPriority w:val="99"/>
    <w:semiHidden/>
    <w:rsid w:val="00812095"/>
    <w:rPr>
      <w:color w:val="808080"/>
    </w:rPr>
  </w:style>
  <w:style w:type="character" w:customStyle="1" w:styleId="UnresolvedMention13">
    <w:name w:val="Unresolved Mention13"/>
    <w:basedOn w:val="DefaultParagraphFont"/>
    <w:uiPriority w:val="99"/>
    <w:semiHidden/>
    <w:unhideWhenUsed/>
    <w:rsid w:val="00D5468F"/>
    <w:rPr>
      <w:color w:val="605E5C"/>
      <w:shd w:val="clear" w:color="auto" w:fill="E1DFDD"/>
    </w:rPr>
  </w:style>
  <w:style w:type="character" w:customStyle="1" w:styleId="UnresolvedMention14">
    <w:name w:val="Unresolved Mention14"/>
    <w:basedOn w:val="DefaultParagraphFont"/>
    <w:uiPriority w:val="99"/>
    <w:semiHidden/>
    <w:unhideWhenUsed/>
    <w:rsid w:val="006319A3"/>
    <w:rPr>
      <w:color w:val="605E5C"/>
      <w:shd w:val="clear" w:color="auto" w:fill="E1DFDD"/>
    </w:rPr>
  </w:style>
  <w:style w:type="character" w:customStyle="1" w:styleId="UnresolvedMention15">
    <w:name w:val="Unresolved Mention15"/>
    <w:basedOn w:val="DefaultParagraphFont"/>
    <w:uiPriority w:val="99"/>
    <w:semiHidden/>
    <w:unhideWhenUsed/>
    <w:rsid w:val="00D55701"/>
    <w:rPr>
      <w:color w:val="605E5C"/>
      <w:shd w:val="clear" w:color="auto" w:fill="E1DFDD"/>
    </w:rPr>
  </w:style>
  <w:style w:type="character" w:customStyle="1" w:styleId="UnresolvedMention16">
    <w:name w:val="Unresolved Mention16"/>
    <w:basedOn w:val="DefaultParagraphFont"/>
    <w:uiPriority w:val="99"/>
    <w:semiHidden/>
    <w:unhideWhenUsed/>
    <w:rsid w:val="00D80FB0"/>
    <w:rPr>
      <w:color w:val="605E5C"/>
      <w:shd w:val="clear" w:color="auto" w:fill="E1DFDD"/>
    </w:rPr>
  </w:style>
  <w:style w:type="character" w:customStyle="1" w:styleId="UnresolvedMention17">
    <w:name w:val="Unresolved Mention17"/>
    <w:basedOn w:val="DefaultParagraphFont"/>
    <w:uiPriority w:val="99"/>
    <w:semiHidden/>
    <w:unhideWhenUsed/>
    <w:rsid w:val="00BA7AEE"/>
    <w:rPr>
      <w:color w:val="605E5C"/>
      <w:shd w:val="clear" w:color="auto" w:fill="E1DFDD"/>
    </w:rPr>
  </w:style>
  <w:style w:type="character" w:customStyle="1" w:styleId="UnresolvedMention18">
    <w:name w:val="Unresolved Mention18"/>
    <w:basedOn w:val="DefaultParagraphFont"/>
    <w:uiPriority w:val="99"/>
    <w:semiHidden/>
    <w:unhideWhenUsed/>
    <w:rsid w:val="00470BF7"/>
    <w:rPr>
      <w:color w:val="605E5C"/>
      <w:shd w:val="clear" w:color="auto" w:fill="E1DFDD"/>
    </w:rPr>
  </w:style>
  <w:style w:type="character" w:customStyle="1" w:styleId="UnresolvedMention">
    <w:name w:val="Unresolved Mention"/>
    <w:basedOn w:val="DefaultParagraphFont"/>
    <w:uiPriority w:val="99"/>
    <w:semiHidden/>
    <w:unhideWhenUsed/>
    <w:rsid w:val="00C36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05241">
      <w:bodyDiv w:val="1"/>
      <w:marLeft w:val="0"/>
      <w:marRight w:val="0"/>
      <w:marTop w:val="0"/>
      <w:marBottom w:val="0"/>
      <w:divBdr>
        <w:top w:val="none" w:sz="0" w:space="0" w:color="auto"/>
        <w:left w:val="none" w:sz="0" w:space="0" w:color="auto"/>
        <w:bottom w:val="none" w:sz="0" w:space="0" w:color="auto"/>
        <w:right w:val="none" w:sz="0" w:space="0" w:color="auto"/>
      </w:divBdr>
    </w:div>
    <w:div w:id="9378693">
      <w:bodyDiv w:val="1"/>
      <w:marLeft w:val="0"/>
      <w:marRight w:val="0"/>
      <w:marTop w:val="0"/>
      <w:marBottom w:val="0"/>
      <w:divBdr>
        <w:top w:val="none" w:sz="0" w:space="0" w:color="auto"/>
        <w:left w:val="none" w:sz="0" w:space="0" w:color="auto"/>
        <w:bottom w:val="none" w:sz="0" w:space="0" w:color="auto"/>
        <w:right w:val="none" w:sz="0" w:space="0" w:color="auto"/>
      </w:divBdr>
    </w:div>
    <w:div w:id="15812273">
      <w:bodyDiv w:val="1"/>
      <w:marLeft w:val="0"/>
      <w:marRight w:val="0"/>
      <w:marTop w:val="0"/>
      <w:marBottom w:val="0"/>
      <w:divBdr>
        <w:top w:val="none" w:sz="0" w:space="0" w:color="auto"/>
        <w:left w:val="none" w:sz="0" w:space="0" w:color="auto"/>
        <w:bottom w:val="none" w:sz="0" w:space="0" w:color="auto"/>
        <w:right w:val="none" w:sz="0" w:space="0" w:color="auto"/>
      </w:divBdr>
    </w:div>
    <w:div w:id="30346785">
      <w:bodyDiv w:val="1"/>
      <w:marLeft w:val="0"/>
      <w:marRight w:val="0"/>
      <w:marTop w:val="0"/>
      <w:marBottom w:val="0"/>
      <w:divBdr>
        <w:top w:val="none" w:sz="0" w:space="0" w:color="auto"/>
        <w:left w:val="none" w:sz="0" w:space="0" w:color="auto"/>
        <w:bottom w:val="none" w:sz="0" w:space="0" w:color="auto"/>
        <w:right w:val="none" w:sz="0" w:space="0" w:color="auto"/>
      </w:divBdr>
    </w:div>
    <w:div w:id="49813071">
      <w:bodyDiv w:val="1"/>
      <w:marLeft w:val="0"/>
      <w:marRight w:val="0"/>
      <w:marTop w:val="0"/>
      <w:marBottom w:val="0"/>
      <w:divBdr>
        <w:top w:val="none" w:sz="0" w:space="0" w:color="auto"/>
        <w:left w:val="none" w:sz="0" w:space="0" w:color="auto"/>
        <w:bottom w:val="none" w:sz="0" w:space="0" w:color="auto"/>
        <w:right w:val="none" w:sz="0" w:space="0" w:color="auto"/>
      </w:divBdr>
    </w:div>
    <w:div w:id="55394213">
      <w:bodyDiv w:val="1"/>
      <w:marLeft w:val="0"/>
      <w:marRight w:val="0"/>
      <w:marTop w:val="0"/>
      <w:marBottom w:val="0"/>
      <w:divBdr>
        <w:top w:val="none" w:sz="0" w:space="0" w:color="auto"/>
        <w:left w:val="none" w:sz="0" w:space="0" w:color="auto"/>
        <w:bottom w:val="none" w:sz="0" w:space="0" w:color="auto"/>
        <w:right w:val="none" w:sz="0" w:space="0" w:color="auto"/>
      </w:divBdr>
    </w:div>
    <w:div w:id="57478135">
      <w:bodyDiv w:val="1"/>
      <w:marLeft w:val="0"/>
      <w:marRight w:val="0"/>
      <w:marTop w:val="0"/>
      <w:marBottom w:val="0"/>
      <w:divBdr>
        <w:top w:val="none" w:sz="0" w:space="0" w:color="auto"/>
        <w:left w:val="none" w:sz="0" w:space="0" w:color="auto"/>
        <w:bottom w:val="none" w:sz="0" w:space="0" w:color="auto"/>
        <w:right w:val="none" w:sz="0" w:space="0" w:color="auto"/>
      </w:divBdr>
    </w:div>
    <w:div w:id="57554557">
      <w:bodyDiv w:val="1"/>
      <w:marLeft w:val="0"/>
      <w:marRight w:val="0"/>
      <w:marTop w:val="0"/>
      <w:marBottom w:val="0"/>
      <w:divBdr>
        <w:top w:val="none" w:sz="0" w:space="0" w:color="auto"/>
        <w:left w:val="none" w:sz="0" w:space="0" w:color="auto"/>
        <w:bottom w:val="none" w:sz="0" w:space="0" w:color="auto"/>
        <w:right w:val="none" w:sz="0" w:space="0" w:color="auto"/>
      </w:divBdr>
      <w:divsChild>
        <w:div w:id="1265960907">
          <w:marLeft w:val="274"/>
          <w:marRight w:val="0"/>
          <w:marTop w:val="0"/>
          <w:marBottom w:val="0"/>
          <w:divBdr>
            <w:top w:val="none" w:sz="0" w:space="0" w:color="auto"/>
            <w:left w:val="none" w:sz="0" w:space="0" w:color="auto"/>
            <w:bottom w:val="none" w:sz="0" w:space="0" w:color="auto"/>
            <w:right w:val="none" w:sz="0" w:space="0" w:color="auto"/>
          </w:divBdr>
        </w:div>
      </w:divsChild>
    </w:div>
    <w:div w:id="58480663">
      <w:bodyDiv w:val="1"/>
      <w:marLeft w:val="0"/>
      <w:marRight w:val="0"/>
      <w:marTop w:val="0"/>
      <w:marBottom w:val="0"/>
      <w:divBdr>
        <w:top w:val="none" w:sz="0" w:space="0" w:color="auto"/>
        <w:left w:val="none" w:sz="0" w:space="0" w:color="auto"/>
        <w:bottom w:val="none" w:sz="0" w:space="0" w:color="auto"/>
        <w:right w:val="none" w:sz="0" w:space="0" w:color="auto"/>
      </w:divBdr>
    </w:div>
    <w:div w:id="59912657">
      <w:bodyDiv w:val="1"/>
      <w:marLeft w:val="0"/>
      <w:marRight w:val="0"/>
      <w:marTop w:val="0"/>
      <w:marBottom w:val="0"/>
      <w:divBdr>
        <w:top w:val="none" w:sz="0" w:space="0" w:color="auto"/>
        <w:left w:val="none" w:sz="0" w:space="0" w:color="auto"/>
        <w:bottom w:val="none" w:sz="0" w:space="0" w:color="auto"/>
        <w:right w:val="none" w:sz="0" w:space="0" w:color="auto"/>
      </w:divBdr>
    </w:div>
    <w:div w:id="63458319">
      <w:bodyDiv w:val="1"/>
      <w:marLeft w:val="0"/>
      <w:marRight w:val="0"/>
      <w:marTop w:val="0"/>
      <w:marBottom w:val="0"/>
      <w:divBdr>
        <w:top w:val="none" w:sz="0" w:space="0" w:color="auto"/>
        <w:left w:val="none" w:sz="0" w:space="0" w:color="auto"/>
        <w:bottom w:val="none" w:sz="0" w:space="0" w:color="auto"/>
        <w:right w:val="none" w:sz="0" w:space="0" w:color="auto"/>
      </w:divBdr>
    </w:div>
    <w:div w:id="76096842">
      <w:bodyDiv w:val="1"/>
      <w:marLeft w:val="0"/>
      <w:marRight w:val="0"/>
      <w:marTop w:val="0"/>
      <w:marBottom w:val="0"/>
      <w:divBdr>
        <w:top w:val="none" w:sz="0" w:space="0" w:color="auto"/>
        <w:left w:val="none" w:sz="0" w:space="0" w:color="auto"/>
        <w:bottom w:val="none" w:sz="0" w:space="0" w:color="auto"/>
        <w:right w:val="none" w:sz="0" w:space="0" w:color="auto"/>
      </w:divBdr>
    </w:div>
    <w:div w:id="78646450">
      <w:bodyDiv w:val="1"/>
      <w:marLeft w:val="0"/>
      <w:marRight w:val="0"/>
      <w:marTop w:val="0"/>
      <w:marBottom w:val="0"/>
      <w:divBdr>
        <w:top w:val="none" w:sz="0" w:space="0" w:color="auto"/>
        <w:left w:val="none" w:sz="0" w:space="0" w:color="auto"/>
        <w:bottom w:val="none" w:sz="0" w:space="0" w:color="auto"/>
        <w:right w:val="none" w:sz="0" w:space="0" w:color="auto"/>
      </w:divBdr>
    </w:div>
    <w:div w:id="81219919">
      <w:bodyDiv w:val="1"/>
      <w:marLeft w:val="0"/>
      <w:marRight w:val="0"/>
      <w:marTop w:val="0"/>
      <w:marBottom w:val="0"/>
      <w:divBdr>
        <w:top w:val="none" w:sz="0" w:space="0" w:color="auto"/>
        <w:left w:val="none" w:sz="0" w:space="0" w:color="auto"/>
        <w:bottom w:val="none" w:sz="0" w:space="0" w:color="auto"/>
        <w:right w:val="none" w:sz="0" w:space="0" w:color="auto"/>
      </w:divBdr>
    </w:div>
    <w:div w:id="86778804">
      <w:bodyDiv w:val="1"/>
      <w:marLeft w:val="0"/>
      <w:marRight w:val="0"/>
      <w:marTop w:val="0"/>
      <w:marBottom w:val="0"/>
      <w:divBdr>
        <w:top w:val="none" w:sz="0" w:space="0" w:color="auto"/>
        <w:left w:val="none" w:sz="0" w:space="0" w:color="auto"/>
        <w:bottom w:val="none" w:sz="0" w:space="0" w:color="auto"/>
        <w:right w:val="none" w:sz="0" w:space="0" w:color="auto"/>
      </w:divBdr>
    </w:div>
    <w:div w:id="95638329">
      <w:bodyDiv w:val="1"/>
      <w:marLeft w:val="0"/>
      <w:marRight w:val="0"/>
      <w:marTop w:val="0"/>
      <w:marBottom w:val="0"/>
      <w:divBdr>
        <w:top w:val="none" w:sz="0" w:space="0" w:color="auto"/>
        <w:left w:val="none" w:sz="0" w:space="0" w:color="auto"/>
        <w:bottom w:val="none" w:sz="0" w:space="0" w:color="auto"/>
        <w:right w:val="none" w:sz="0" w:space="0" w:color="auto"/>
      </w:divBdr>
    </w:div>
    <w:div w:id="97410805">
      <w:bodyDiv w:val="1"/>
      <w:marLeft w:val="0"/>
      <w:marRight w:val="0"/>
      <w:marTop w:val="0"/>
      <w:marBottom w:val="0"/>
      <w:divBdr>
        <w:top w:val="none" w:sz="0" w:space="0" w:color="auto"/>
        <w:left w:val="none" w:sz="0" w:space="0" w:color="auto"/>
        <w:bottom w:val="none" w:sz="0" w:space="0" w:color="auto"/>
        <w:right w:val="none" w:sz="0" w:space="0" w:color="auto"/>
      </w:divBdr>
    </w:div>
    <w:div w:id="112752082">
      <w:bodyDiv w:val="1"/>
      <w:marLeft w:val="0"/>
      <w:marRight w:val="0"/>
      <w:marTop w:val="0"/>
      <w:marBottom w:val="0"/>
      <w:divBdr>
        <w:top w:val="none" w:sz="0" w:space="0" w:color="auto"/>
        <w:left w:val="none" w:sz="0" w:space="0" w:color="auto"/>
        <w:bottom w:val="none" w:sz="0" w:space="0" w:color="auto"/>
        <w:right w:val="none" w:sz="0" w:space="0" w:color="auto"/>
      </w:divBdr>
    </w:div>
    <w:div w:id="116919278">
      <w:bodyDiv w:val="1"/>
      <w:marLeft w:val="0"/>
      <w:marRight w:val="0"/>
      <w:marTop w:val="0"/>
      <w:marBottom w:val="0"/>
      <w:divBdr>
        <w:top w:val="none" w:sz="0" w:space="0" w:color="auto"/>
        <w:left w:val="none" w:sz="0" w:space="0" w:color="auto"/>
        <w:bottom w:val="none" w:sz="0" w:space="0" w:color="auto"/>
        <w:right w:val="none" w:sz="0" w:space="0" w:color="auto"/>
      </w:divBdr>
    </w:div>
    <w:div w:id="122382558">
      <w:bodyDiv w:val="1"/>
      <w:marLeft w:val="0"/>
      <w:marRight w:val="0"/>
      <w:marTop w:val="0"/>
      <w:marBottom w:val="0"/>
      <w:divBdr>
        <w:top w:val="none" w:sz="0" w:space="0" w:color="auto"/>
        <w:left w:val="none" w:sz="0" w:space="0" w:color="auto"/>
        <w:bottom w:val="none" w:sz="0" w:space="0" w:color="auto"/>
        <w:right w:val="none" w:sz="0" w:space="0" w:color="auto"/>
      </w:divBdr>
    </w:div>
    <w:div w:id="133566883">
      <w:bodyDiv w:val="1"/>
      <w:marLeft w:val="0"/>
      <w:marRight w:val="0"/>
      <w:marTop w:val="0"/>
      <w:marBottom w:val="0"/>
      <w:divBdr>
        <w:top w:val="none" w:sz="0" w:space="0" w:color="auto"/>
        <w:left w:val="none" w:sz="0" w:space="0" w:color="auto"/>
        <w:bottom w:val="none" w:sz="0" w:space="0" w:color="auto"/>
        <w:right w:val="none" w:sz="0" w:space="0" w:color="auto"/>
      </w:divBdr>
    </w:div>
    <w:div w:id="133915090">
      <w:bodyDiv w:val="1"/>
      <w:marLeft w:val="0"/>
      <w:marRight w:val="0"/>
      <w:marTop w:val="0"/>
      <w:marBottom w:val="0"/>
      <w:divBdr>
        <w:top w:val="none" w:sz="0" w:space="0" w:color="auto"/>
        <w:left w:val="none" w:sz="0" w:space="0" w:color="auto"/>
        <w:bottom w:val="none" w:sz="0" w:space="0" w:color="auto"/>
        <w:right w:val="none" w:sz="0" w:space="0" w:color="auto"/>
      </w:divBdr>
    </w:div>
    <w:div w:id="142505869">
      <w:bodyDiv w:val="1"/>
      <w:marLeft w:val="0"/>
      <w:marRight w:val="0"/>
      <w:marTop w:val="0"/>
      <w:marBottom w:val="0"/>
      <w:divBdr>
        <w:top w:val="none" w:sz="0" w:space="0" w:color="auto"/>
        <w:left w:val="none" w:sz="0" w:space="0" w:color="auto"/>
        <w:bottom w:val="none" w:sz="0" w:space="0" w:color="auto"/>
        <w:right w:val="none" w:sz="0" w:space="0" w:color="auto"/>
      </w:divBdr>
    </w:div>
    <w:div w:id="168565940">
      <w:bodyDiv w:val="1"/>
      <w:marLeft w:val="0"/>
      <w:marRight w:val="0"/>
      <w:marTop w:val="0"/>
      <w:marBottom w:val="0"/>
      <w:divBdr>
        <w:top w:val="none" w:sz="0" w:space="0" w:color="auto"/>
        <w:left w:val="none" w:sz="0" w:space="0" w:color="auto"/>
        <w:bottom w:val="none" w:sz="0" w:space="0" w:color="auto"/>
        <w:right w:val="none" w:sz="0" w:space="0" w:color="auto"/>
      </w:divBdr>
    </w:div>
    <w:div w:id="174343612">
      <w:bodyDiv w:val="1"/>
      <w:marLeft w:val="0"/>
      <w:marRight w:val="0"/>
      <w:marTop w:val="0"/>
      <w:marBottom w:val="0"/>
      <w:divBdr>
        <w:top w:val="none" w:sz="0" w:space="0" w:color="auto"/>
        <w:left w:val="none" w:sz="0" w:space="0" w:color="auto"/>
        <w:bottom w:val="none" w:sz="0" w:space="0" w:color="auto"/>
        <w:right w:val="none" w:sz="0" w:space="0" w:color="auto"/>
      </w:divBdr>
    </w:div>
    <w:div w:id="177547233">
      <w:bodyDiv w:val="1"/>
      <w:marLeft w:val="0"/>
      <w:marRight w:val="0"/>
      <w:marTop w:val="0"/>
      <w:marBottom w:val="0"/>
      <w:divBdr>
        <w:top w:val="none" w:sz="0" w:space="0" w:color="auto"/>
        <w:left w:val="none" w:sz="0" w:space="0" w:color="auto"/>
        <w:bottom w:val="none" w:sz="0" w:space="0" w:color="auto"/>
        <w:right w:val="none" w:sz="0" w:space="0" w:color="auto"/>
      </w:divBdr>
    </w:div>
    <w:div w:id="178130874">
      <w:bodyDiv w:val="1"/>
      <w:marLeft w:val="0"/>
      <w:marRight w:val="0"/>
      <w:marTop w:val="0"/>
      <w:marBottom w:val="0"/>
      <w:divBdr>
        <w:top w:val="none" w:sz="0" w:space="0" w:color="auto"/>
        <w:left w:val="none" w:sz="0" w:space="0" w:color="auto"/>
        <w:bottom w:val="none" w:sz="0" w:space="0" w:color="auto"/>
        <w:right w:val="none" w:sz="0" w:space="0" w:color="auto"/>
      </w:divBdr>
    </w:div>
    <w:div w:id="188570423">
      <w:bodyDiv w:val="1"/>
      <w:marLeft w:val="0"/>
      <w:marRight w:val="0"/>
      <w:marTop w:val="0"/>
      <w:marBottom w:val="0"/>
      <w:divBdr>
        <w:top w:val="none" w:sz="0" w:space="0" w:color="auto"/>
        <w:left w:val="none" w:sz="0" w:space="0" w:color="auto"/>
        <w:bottom w:val="none" w:sz="0" w:space="0" w:color="auto"/>
        <w:right w:val="none" w:sz="0" w:space="0" w:color="auto"/>
      </w:divBdr>
      <w:divsChild>
        <w:div w:id="1900243994">
          <w:marLeft w:val="446"/>
          <w:marRight w:val="0"/>
          <w:marTop w:val="120"/>
          <w:marBottom w:val="120"/>
          <w:divBdr>
            <w:top w:val="none" w:sz="0" w:space="0" w:color="auto"/>
            <w:left w:val="none" w:sz="0" w:space="0" w:color="auto"/>
            <w:bottom w:val="none" w:sz="0" w:space="0" w:color="auto"/>
            <w:right w:val="none" w:sz="0" w:space="0" w:color="auto"/>
          </w:divBdr>
        </w:div>
        <w:div w:id="1431121302">
          <w:marLeft w:val="446"/>
          <w:marRight w:val="0"/>
          <w:marTop w:val="120"/>
          <w:marBottom w:val="120"/>
          <w:divBdr>
            <w:top w:val="none" w:sz="0" w:space="0" w:color="auto"/>
            <w:left w:val="none" w:sz="0" w:space="0" w:color="auto"/>
            <w:bottom w:val="none" w:sz="0" w:space="0" w:color="auto"/>
            <w:right w:val="none" w:sz="0" w:space="0" w:color="auto"/>
          </w:divBdr>
        </w:div>
        <w:div w:id="587806735">
          <w:marLeft w:val="446"/>
          <w:marRight w:val="0"/>
          <w:marTop w:val="120"/>
          <w:marBottom w:val="120"/>
          <w:divBdr>
            <w:top w:val="none" w:sz="0" w:space="0" w:color="auto"/>
            <w:left w:val="none" w:sz="0" w:space="0" w:color="auto"/>
            <w:bottom w:val="none" w:sz="0" w:space="0" w:color="auto"/>
            <w:right w:val="none" w:sz="0" w:space="0" w:color="auto"/>
          </w:divBdr>
        </w:div>
        <w:div w:id="985430502">
          <w:marLeft w:val="446"/>
          <w:marRight w:val="0"/>
          <w:marTop w:val="120"/>
          <w:marBottom w:val="120"/>
          <w:divBdr>
            <w:top w:val="none" w:sz="0" w:space="0" w:color="auto"/>
            <w:left w:val="none" w:sz="0" w:space="0" w:color="auto"/>
            <w:bottom w:val="none" w:sz="0" w:space="0" w:color="auto"/>
            <w:right w:val="none" w:sz="0" w:space="0" w:color="auto"/>
          </w:divBdr>
        </w:div>
        <w:div w:id="1453670099">
          <w:marLeft w:val="446"/>
          <w:marRight w:val="0"/>
          <w:marTop w:val="120"/>
          <w:marBottom w:val="120"/>
          <w:divBdr>
            <w:top w:val="none" w:sz="0" w:space="0" w:color="auto"/>
            <w:left w:val="none" w:sz="0" w:space="0" w:color="auto"/>
            <w:bottom w:val="none" w:sz="0" w:space="0" w:color="auto"/>
            <w:right w:val="none" w:sz="0" w:space="0" w:color="auto"/>
          </w:divBdr>
        </w:div>
        <w:div w:id="832574058">
          <w:marLeft w:val="446"/>
          <w:marRight w:val="0"/>
          <w:marTop w:val="120"/>
          <w:marBottom w:val="120"/>
          <w:divBdr>
            <w:top w:val="none" w:sz="0" w:space="0" w:color="auto"/>
            <w:left w:val="none" w:sz="0" w:space="0" w:color="auto"/>
            <w:bottom w:val="none" w:sz="0" w:space="0" w:color="auto"/>
            <w:right w:val="none" w:sz="0" w:space="0" w:color="auto"/>
          </w:divBdr>
        </w:div>
      </w:divsChild>
    </w:div>
    <w:div w:id="189034748">
      <w:bodyDiv w:val="1"/>
      <w:marLeft w:val="0"/>
      <w:marRight w:val="0"/>
      <w:marTop w:val="0"/>
      <w:marBottom w:val="0"/>
      <w:divBdr>
        <w:top w:val="none" w:sz="0" w:space="0" w:color="auto"/>
        <w:left w:val="none" w:sz="0" w:space="0" w:color="auto"/>
        <w:bottom w:val="none" w:sz="0" w:space="0" w:color="auto"/>
        <w:right w:val="none" w:sz="0" w:space="0" w:color="auto"/>
      </w:divBdr>
    </w:div>
    <w:div w:id="191115164">
      <w:bodyDiv w:val="1"/>
      <w:marLeft w:val="0"/>
      <w:marRight w:val="0"/>
      <w:marTop w:val="0"/>
      <w:marBottom w:val="0"/>
      <w:divBdr>
        <w:top w:val="none" w:sz="0" w:space="0" w:color="auto"/>
        <w:left w:val="none" w:sz="0" w:space="0" w:color="auto"/>
        <w:bottom w:val="none" w:sz="0" w:space="0" w:color="auto"/>
        <w:right w:val="none" w:sz="0" w:space="0" w:color="auto"/>
      </w:divBdr>
    </w:div>
    <w:div w:id="200217318">
      <w:bodyDiv w:val="1"/>
      <w:marLeft w:val="0"/>
      <w:marRight w:val="0"/>
      <w:marTop w:val="0"/>
      <w:marBottom w:val="0"/>
      <w:divBdr>
        <w:top w:val="none" w:sz="0" w:space="0" w:color="auto"/>
        <w:left w:val="none" w:sz="0" w:space="0" w:color="auto"/>
        <w:bottom w:val="none" w:sz="0" w:space="0" w:color="auto"/>
        <w:right w:val="none" w:sz="0" w:space="0" w:color="auto"/>
      </w:divBdr>
    </w:div>
    <w:div w:id="209849137">
      <w:bodyDiv w:val="1"/>
      <w:marLeft w:val="0"/>
      <w:marRight w:val="0"/>
      <w:marTop w:val="0"/>
      <w:marBottom w:val="0"/>
      <w:divBdr>
        <w:top w:val="none" w:sz="0" w:space="0" w:color="auto"/>
        <w:left w:val="none" w:sz="0" w:space="0" w:color="auto"/>
        <w:bottom w:val="none" w:sz="0" w:space="0" w:color="auto"/>
        <w:right w:val="none" w:sz="0" w:space="0" w:color="auto"/>
      </w:divBdr>
    </w:div>
    <w:div w:id="214509771">
      <w:bodyDiv w:val="1"/>
      <w:marLeft w:val="0"/>
      <w:marRight w:val="0"/>
      <w:marTop w:val="0"/>
      <w:marBottom w:val="0"/>
      <w:divBdr>
        <w:top w:val="none" w:sz="0" w:space="0" w:color="auto"/>
        <w:left w:val="none" w:sz="0" w:space="0" w:color="auto"/>
        <w:bottom w:val="none" w:sz="0" w:space="0" w:color="auto"/>
        <w:right w:val="none" w:sz="0" w:space="0" w:color="auto"/>
      </w:divBdr>
    </w:div>
    <w:div w:id="224806778">
      <w:bodyDiv w:val="1"/>
      <w:marLeft w:val="0"/>
      <w:marRight w:val="0"/>
      <w:marTop w:val="0"/>
      <w:marBottom w:val="0"/>
      <w:divBdr>
        <w:top w:val="none" w:sz="0" w:space="0" w:color="auto"/>
        <w:left w:val="none" w:sz="0" w:space="0" w:color="auto"/>
        <w:bottom w:val="none" w:sz="0" w:space="0" w:color="auto"/>
        <w:right w:val="none" w:sz="0" w:space="0" w:color="auto"/>
      </w:divBdr>
      <w:divsChild>
        <w:div w:id="83654861">
          <w:marLeft w:val="0"/>
          <w:marRight w:val="0"/>
          <w:marTop w:val="0"/>
          <w:marBottom w:val="0"/>
          <w:divBdr>
            <w:top w:val="none" w:sz="0" w:space="0" w:color="auto"/>
            <w:left w:val="none" w:sz="0" w:space="0" w:color="auto"/>
            <w:bottom w:val="none" w:sz="0" w:space="0" w:color="auto"/>
            <w:right w:val="none" w:sz="0" w:space="0" w:color="auto"/>
          </w:divBdr>
        </w:div>
        <w:div w:id="184950699">
          <w:marLeft w:val="0"/>
          <w:marRight w:val="0"/>
          <w:marTop w:val="0"/>
          <w:marBottom w:val="0"/>
          <w:divBdr>
            <w:top w:val="none" w:sz="0" w:space="0" w:color="auto"/>
            <w:left w:val="none" w:sz="0" w:space="0" w:color="auto"/>
            <w:bottom w:val="none" w:sz="0" w:space="0" w:color="auto"/>
            <w:right w:val="none" w:sz="0" w:space="0" w:color="auto"/>
          </w:divBdr>
        </w:div>
        <w:div w:id="658578243">
          <w:marLeft w:val="0"/>
          <w:marRight w:val="0"/>
          <w:marTop w:val="0"/>
          <w:marBottom w:val="0"/>
          <w:divBdr>
            <w:top w:val="none" w:sz="0" w:space="0" w:color="auto"/>
            <w:left w:val="none" w:sz="0" w:space="0" w:color="auto"/>
            <w:bottom w:val="none" w:sz="0" w:space="0" w:color="auto"/>
            <w:right w:val="none" w:sz="0" w:space="0" w:color="auto"/>
          </w:divBdr>
        </w:div>
        <w:div w:id="858272093">
          <w:marLeft w:val="0"/>
          <w:marRight w:val="0"/>
          <w:marTop w:val="0"/>
          <w:marBottom w:val="0"/>
          <w:divBdr>
            <w:top w:val="none" w:sz="0" w:space="0" w:color="auto"/>
            <w:left w:val="none" w:sz="0" w:space="0" w:color="auto"/>
            <w:bottom w:val="none" w:sz="0" w:space="0" w:color="auto"/>
            <w:right w:val="none" w:sz="0" w:space="0" w:color="auto"/>
          </w:divBdr>
        </w:div>
        <w:div w:id="1520074057">
          <w:marLeft w:val="0"/>
          <w:marRight w:val="0"/>
          <w:marTop w:val="0"/>
          <w:marBottom w:val="0"/>
          <w:divBdr>
            <w:top w:val="none" w:sz="0" w:space="0" w:color="auto"/>
            <w:left w:val="none" w:sz="0" w:space="0" w:color="auto"/>
            <w:bottom w:val="none" w:sz="0" w:space="0" w:color="auto"/>
            <w:right w:val="none" w:sz="0" w:space="0" w:color="auto"/>
          </w:divBdr>
        </w:div>
        <w:div w:id="1678921968">
          <w:marLeft w:val="0"/>
          <w:marRight w:val="0"/>
          <w:marTop w:val="0"/>
          <w:marBottom w:val="0"/>
          <w:divBdr>
            <w:top w:val="none" w:sz="0" w:space="0" w:color="auto"/>
            <w:left w:val="none" w:sz="0" w:space="0" w:color="auto"/>
            <w:bottom w:val="none" w:sz="0" w:space="0" w:color="auto"/>
            <w:right w:val="none" w:sz="0" w:space="0" w:color="auto"/>
          </w:divBdr>
        </w:div>
      </w:divsChild>
    </w:div>
    <w:div w:id="289483056">
      <w:bodyDiv w:val="1"/>
      <w:marLeft w:val="0"/>
      <w:marRight w:val="0"/>
      <w:marTop w:val="0"/>
      <w:marBottom w:val="0"/>
      <w:divBdr>
        <w:top w:val="none" w:sz="0" w:space="0" w:color="auto"/>
        <w:left w:val="none" w:sz="0" w:space="0" w:color="auto"/>
        <w:bottom w:val="none" w:sz="0" w:space="0" w:color="auto"/>
        <w:right w:val="none" w:sz="0" w:space="0" w:color="auto"/>
      </w:divBdr>
    </w:div>
    <w:div w:id="294331069">
      <w:bodyDiv w:val="1"/>
      <w:marLeft w:val="0"/>
      <w:marRight w:val="0"/>
      <w:marTop w:val="0"/>
      <w:marBottom w:val="0"/>
      <w:divBdr>
        <w:top w:val="none" w:sz="0" w:space="0" w:color="auto"/>
        <w:left w:val="none" w:sz="0" w:space="0" w:color="auto"/>
        <w:bottom w:val="none" w:sz="0" w:space="0" w:color="auto"/>
        <w:right w:val="none" w:sz="0" w:space="0" w:color="auto"/>
      </w:divBdr>
    </w:div>
    <w:div w:id="297074918">
      <w:bodyDiv w:val="1"/>
      <w:marLeft w:val="0"/>
      <w:marRight w:val="0"/>
      <w:marTop w:val="0"/>
      <w:marBottom w:val="0"/>
      <w:divBdr>
        <w:top w:val="none" w:sz="0" w:space="0" w:color="auto"/>
        <w:left w:val="none" w:sz="0" w:space="0" w:color="auto"/>
        <w:bottom w:val="none" w:sz="0" w:space="0" w:color="auto"/>
        <w:right w:val="none" w:sz="0" w:space="0" w:color="auto"/>
      </w:divBdr>
      <w:divsChild>
        <w:div w:id="425461711">
          <w:marLeft w:val="0"/>
          <w:marRight w:val="0"/>
          <w:marTop w:val="0"/>
          <w:marBottom w:val="0"/>
          <w:divBdr>
            <w:top w:val="none" w:sz="0" w:space="0" w:color="auto"/>
            <w:left w:val="none" w:sz="0" w:space="0" w:color="auto"/>
            <w:bottom w:val="none" w:sz="0" w:space="0" w:color="auto"/>
            <w:right w:val="none" w:sz="0" w:space="0" w:color="auto"/>
          </w:divBdr>
          <w:divsChild>
            <w:div w:id="153646050">
              <w:marLeft w:val="0"/>
              <w:marRight w:val="0"/>
              <w:marTop w:val="0"/>
              <w:marBottom w:val="0"/>
              <w:divBdr>
                <w:top w:val="none" w:sz="0" w:space="0" w:color="auto"/>
                <w:left w:val="none" w:sz="0" w:space="0" w:color="auto"/>
                <w:bottom w:val="none" w:sz="0" w:space="0" w:color="auto"/>
                <w:right w:val="none" w:sz="0" w:space="0" w:color="auto"/>
              </w:divBdr>
            </w:div>
            <w:div w:id="173542037">
              <w:marLeft w:val="0"/>
              <w:marRight w:val="0"/>
              <w:marTop w:val="0"/>
              <w:marBottom w:val="0"/>
              <w:divBdr>
                <w:top w:val="none" w:sz="0" w:space="0" w:color="auto"/>
                <w:left w:val="none" w:sz="0" w:space="0" w:color="auto"/>
                <w:bottom w:val="none" w:sz="0" w:space="0" w:color="auto"/>
                <w:right w:val="none" w:sz="0" w:space="0" w:color="auto"/>
              </w:divBdr>
            </w:div>
            <w:div w:id="182980929">
              <w:marLeft w:val="0"/>
              <w:marRight w:val="0"/>
              <w:marTop w:val="0"/>
              <w:marBottom w:val="0"/>
              <w:divBdr>
                <w:top w:val="none" w:sz="0" w:space="0" w:color="auto"/>
                <w:left w:val="none" w:sz="0" w:space="0" w:color="auto"/>
                <w:bottom w:val="none" w:sz="0" w:space="0" w:color="auto"/>
                <w:right w:val="none" w:sz="0" w:space="0" w:color="auto"/>
              </w:divBdr>
            </w:div>
            <w:div w:id="774903535">
              <w:marLeft w:val="0"/>
              <w:marRight w:val="0"/>
              <w:marTop w:val="0"/>
              <w:marBottom w:val="0"/>
              <w:divBdr>
                <w:top w:val="none" w:sz="0" w:space="0" w:color="auto"/>
                <w:left w:val="none" w:sz="0" w:space="0" w:color="auto"/>
                <w:bottom w:val="none" w:sz="0" w:space="0" w:color="auto"/>
                <w:right w:val="none" w:sz="0" w:space="0" w:color="auto"/>
              </w:divBdr>
            </w:div>
            <w:div w:id="1098673455">
              <w:marLeft w:val="0"/>
              <w:marRight w:val="0"/>
              <w:marTop w:val="0"/>
              <w:marBottom w:val="0"/>
              <w:divBdr>
                <w:top w:val="none" w:sz="0" w:space="0" w:color="auto"/>
                <w:left w:val="none" w:sz="0" w:space="0" w:color="auto"/>
                <w:bottom w:val="none" w:sz="0" w:space="0" w:color="auto"/>
                <w:right w:val="none" w:sz="0" w:space="0" w:color="auto"/>
              </w:divBdr>
            </w:div>
            <w:div w:id="1185480915">
              <w:marLeft w:val="0"/>
              <w:marRight w:val="0"/>
              <w:marTop w:val="0"/>
              <w:marBottom w:val="0"/>
              <w:divBdr>
                <w:top w:val="none" w:sz="0" w:space="0" w:color="auto"/>
                <w:left w:val="none" w:sz="0" w:space="0" w:color="auto"/>
                <w:bottom w:val="none" w:sz="0" w:space="0" w:color="auto"/>
                <w:right w:val="none" w:sz="0" w:space="0" w:color="auto"/>
              </w:divBdr>
            </w:div>
            <w:div w:id="1257665582">
              <w:marLeft w:val="0"/>
              <w:marRight w:val="0"/>
              <w:marTop w:val="0"/>
              <w:marBottom w:val="0"/>
              <w:divBdr>
                <w:top w:val="none" w:sz="0" w:space="0" w:color="auto"/>
                <w:left w:val="none" w:sz="0" w:space="0" w:color="auto"/>
                <w:bottom w:val="none" w:sz="0" w:space="0" w:color="auto"/>
                <w:right w:val="none" w:sz="0" w:space="0" w:color="auto"/>
              </w:divBdr>
            </w:div>
            <w:div w:id="1309824413">
              <w:marLeft w:val="0"/>
              <w:marRight w:val="0"/>
              <w:marTop w:val="0"/>
              <w:marBottom w:val="0"/>
              <w:divBdr>
                <w:top w:val="none" w:sz="0" w:space="0" w:color="auto"/>
                <w:left w:val="none" w:sz="0" w:space="0" w:color="auto"/>
                <w:bottom w:val="none" w:sz="0" w:space="0" w:color="auto"/>
                <w:right w:val="none" w:sz="0" w:space="0" w:color="auto"/>
              </w:divBdr>
            </w:div>
            <w:div w:id="1591542030">
              <w:marLeft w:val="0"/>
              <w:marRight w:val="0"/>
              <w:marTop w:val="0"/>
              <w:marBottom w:val="0"/>
              <w:divBdr>
                <w:top w:val="none" w:sz="0" w:space="0" w:color="auto"/>
                <w:left w:val="none" w:sz="0" w:space="0" w:color="auto"/>
                <w:bottom w:val="none" w:sz="0" w:space="0" w:color="auto"/>
                <w:right w:val="none" w:sz="0" w:space="0" w:color="auto"/>
              </w:divBdr>
            </w:div>
            <w:div w:id="1778911579">
              <w:marLeft w:val="0"/>
              <w:marRight w:val="0"/>
              <w:marTop w:val="0"/>
              <w:marBottom w:val="0"/>
              <w:divBdr>
                <w:top w:val="none" w:sz="0" w:space="0" w:color="auto"/>
                <w:left w:val="none" w:sz="0" w:space="0" w:color="auto"/>
                <w:bottom w:val="none" w:sz="0" w:space="0" w:color="auto"/>
                <w:right w:val="none" w:sz="0" w:space="0" w:color="auto"/>
              </w:divBdr>
            </w:div>
            <w:div w:id="1791393774">
              <w:marLeft w:val="0"/>
              <w:marRight w:val="0"/>
              <w:marTop w:val="0"/>
              <w:marBottom w:val="0"/>
              <w:divBdr>
                <w:top w:val="none" w:sz="0" w:space="0" w:color="auto"/>
                <w:left w:val="none" w:sz="0" w:space="0" w:color="auto"/>
                <w:bottom w:val="none" w:sz="0" w:space="0" w:color="auto"/>
                <w:right w:val="none" w:sz="0" w:space="0" w:color="auto"/>
              </w:divBdr>
            </w:div>
            <w:div w:id="1810591575">
              <w:marLeft w:val="0"/>
              <w:marRight w:val="0"/>
              <w:marTop w:val="0"/>
              <w:marBottom w:val="0"/>
              <w:divBdr>
                <w:top w:val="none" w:sz="0" w:space="0" w:color="auto"/>
                <w:left w:val="none" w:sz="0" w:space="0" w:color="auto"/>
                <w:bottom w:val="none" w:sz="0" w:space="0" w:color="auto"/>
                <w:right w:val="none" w:sz="0" w:space="0" w:color="auto"/>
              </w:divBdr>
            </w:div>
            <w:div w:id="1892686248">
              <w:marLeft w:val="0"/>
              <w:marRight w:val="0"/>
              <w:marTop w:val="0"/>
              <w:marBottom w:val="0"/>
              <w:divBdr>
                <w:top w:val="none" w:sz="0" w:space="0" w:color="auto"/>
                <w:left w:val="none" w:sz="0" w:space="0" w:color="auto"/>
                <w:bottom w:val="none" w:sz="0" w:space="0" w:color="auto"/>
                <w:right w:val="none" w:sz="0" w:space="0" w:color="auto"/>
              </w:divBdr>
            </w:div>
            <w:div w:id="2031250780">
              <w:marLeft w:val="0"/>
              <w:marRight w:val="0"/>
              <w:marTop w:val="0"/>
              <w:marBottom w:val="0"/>
              <w:divBdr>
                <w:top w:val="none" w:sz="0" w:space="0" w:color="auto"/>
                <w:left w:val="none" w:sz="0" w:space="0" w:color="auto"/>
                <w:bottom w:val="none" w:sz="0" w:space="0" w:color="auto"/>
                <w:right w:val="none" w:sz="0" w:space="0" w:color="auto"/>
              </w:divBdr>
            </w:div>
            <w:div w:id="2045013689">
              <w:marLeft w:val="0"/>
              <w:marRight w:val="0"/>
              <w:marTop w:val="0"/>
              <w:marBottom w:val="0"/>
              <w:divBdr>
                <w:top w:val="none" w:sz="0" w:space="0" w:color="auto"/>
                <w:left w:val="none" w:sz="0" w:space="0" w:color="auto"/>
                <w:bottom w:val="none" w:sz="0" w:space="0" w:color="auto"/>
                <w:right w:val="none" w:sz="0" w:space="0" w:color="auto"/>
              </w:divBdr>
            </w:div>
          </w:divsChild>
        </w:div>
        <w:div w:id="1330206864">
          <w:marLeft w:val="0"/>
          <w:marRight w:val="0"/>
          <w:marTop w:val="0"/>
          <w:marBottom w:val="0"/>
          <w:divBdr>
            <w:top w:val="none" w:sz="0" w:space="0" w:color="auto"/>
            <w:left w:val="none" w:sz="0" w:space="0" w:color="auto"/>
            <w:bottom w:val="none" w:sz="0" w:space="0" w:color="auto"/>
            <w:right w:val="none" w:sz="0" w:space="0" w:color="auto"/>
          </w:divBdr>
        </w:div>
      </w:divsChild>
    </w:div>
    <w:div w:id="314653914">
      <w:bodyDiv w:val="1"/>
      <w:marLeft w:val="0"/>
      <w:marRight w:val="0"/>
      <w:marTop w:val="0"/>
      <w:marBottom w:val="0"/>
      <w:divBdr>
        <w:top w:val="none" w:sz="0" w:space="0" w:color="auto"/>
        <w:left w:val="none" w:sz="0" w:space="0" w:color="auto"/>
        <w:bottom w:val="none" w:sz="0" w:space="0" w:color="auto"/>
        <w:right w:val="none" w:sz="0" w:space="0" w:color="auto"/>
      </w:divBdr>
      <w:divsChild>
        <w:div w:id="1044135681">
          <w:marLeft w:val="274"/>
          <w:marRight w:val="0"/>
          <w:marTop w:val="0"/>
          <w:marBottom w:val="0"/>
          <w:divBdr>
            <w:top w:val="none" w:sz="0" w:space="0" w:color="auto"/>
            <w:left w:val="none" w:sz="0" w:space="0" w:color="auto"/>
            <w:bottom w:val="none" w:sz="0" w:space="0" w:color="auto"/>
            <w:right w:val="none" w:sz="0" w:space="0" w:color="auto"/>
          </w:divBdr>
        </w:div>
      </w:divsChild>
    </w:div>
    <w:div w:id="314724165">
      <w:bodyDiv w:val="1"/>
      <w:marLeft w:val="0"/>
      <w:marRight w:val="0"/>
      <w:marTop w:val="0"/>
      <w:marBottom w:val="0"/>
      <w:divBdr>
        <w:top w:val="none" w:sz="0" w:space="0" w:color="auto"/>
        <w:left w:val="none" w:sz="0" w:space="0" w:color="auto"/>
        <w:bottom w:val="none" w:sz="0" w:space="0" w:color="auto"/>
        <w:right w:val="none" w:sz="0" w:space="0" w:color="auto"/>
      </w:divBdr>
    </w:div>
    <w:div w:id="318995512">
      <w:bodyDiv w:val="1"/>
      <w:marLeft w:val="0"/>
      <w:marRight w:val="0"/>
      <w:marTop w:val="0"/>
      <w:marBottom w:val="0"/>
      <w:divBdr>
        <w:top w:val="none" w:sz="0" w:space="0" w:color="auto"/>
        <w:left w:val="none" w:sz="0" w:space="0" w:color="auto"/>
        <w:bottom w:val="none" w:sz="0" w:space="0" w:color="auto"/>
        <w:right w:val="none" w:sz="0" w:space="0" w:color="auto"/>
      </w:divBdr>
    </w:div>
    <w:div w:id="328170414">
      <w:bodyDiv w:val="1"/>
      <w:marLeft w:val="0"/>
      <w:marRight w:val="0"/>
      <w:marTop w:val="0"/>
      <w:marBottom w:val="0"/>
      <w:divBdr>
        <w:top w:val="none" w:sz="0" w:space="0" w:color="auto"/>
        <w:left w:val="none" w:sz="0" w:space="0" w:color="auto"/>
        <w:bottom w:val="none" w:sz="0" w:space="0" w:color="auto"/>
        <w:right w:val="none" w:sz="0" w:space="0" w:color="auto"/>
      </w:divBdr>
    </w:div>
    <w:div w:id="329717576">
      <w:bodyDiv w:val="1"/>
      <w:marLeft w:val="0"/>
      <w:marRight w:val="0"/>
      <w:marTop w:val="0"/>
      <w:marBottom w:val="0"/>
      <w:divBdr>
        <w:top w:val="none" w:sz="0" w:space="0" w:color="auto"/>
        <w:left w:val="none" w:sz="0" w:space="0" w:color="auto"/>
        <w:bottom w:val="none" w:sz="0" w:space="0" w:color="auto"/>
        <w:right w:val="none" w:sz="0" w:space="0" w:color="auto"/>
      </w:divBdr>
    </w:div>
    <w:div w:id="330060920">
      <w:bodyDiv w:val="1"/>
      <w:marLeft w:val="0"/>
      <w:marRight w:val="0"/>
      <w:marTop w:val="0"/>
      <w:marBottom w:val="0"/>
      <w:divBdr>
        <w:top w:val="none" w:sz="0" w:space="0" w:color="auto"/>
        <w:left w:val="none" w:sz="0" w:space="0" w:color="auto"/>
        <w:bottom w:val="none" w:sz="0" w:space="0" w:color="auto"/>
        <w:right w:val="none" w:sz="0" w:space="0" w:color="auto"/>
      </w:divBdr>
    </w:div>
    <w:div w:id="337542682">
      <w:bodyDiv w:val="1"/>
      <w:marLeft w:val="0"/>
      <w:marRight w:val="0"/>
      <w:marTop w:val="0"/>
      <w:marBottom w:val="0"/>
      <w:divBdr>
        <w:top w:val="none" w:sz="0" w:space="0" w:color="auto"/>
        <w:left w:val="none" w:sz="0" w:space="0" w:color="auto"/>
        <w:bottom w:val="none" w:sz="0" w:space="0" w:color="auto"/>
        <w:right w:val="none" w:sz="0" w:space="0" w:color="auto"/>
      </w:divBdr>
    </w:div>
    <w:div w:id="354427076">
      <w:bodyDiv w:val="1"/>
      <w:marLeft w:val="0"/>
      <w:marRight w:val="0"/>
      <w:marTop w:val="0"/>
      <w:marBottom w:val="0"/>
      <w:divBdr>
        <w:top w:val="none" w:sz="0" w:space="0" w:color="auto"/>
        <w:left w:val="none" w:sz="0" w:space="0" w:color="auto"/>
        <w:bottom w:val="none" w:sz="0" w:space="0" w:color="auto"/>
        <w:right w:val="none" w:sz="0" w:space="0" w:color="auto"/>
      </w:divBdr>
    </w:div>
    <w:div w:id="354964821">
      <w:bodyDiv w:val="1"/>
      <w:marLeft w:val="0"/>
      <w:marRight w:val="0"/>
      <w:marTop w:val="0"/>
      <w:marBottom w:val="0"/>
      <w:divBdr>
        <w:top w:val="none" w:sz="0" w:space="0" w:color="auto"/>
        <w:left w:val="none" w:sz="0" w:space="0" w:color="auto"/>
        <w:bottom w:val="none" w:sz="0" w:space="0" w:color="auto"/>
        <w:right w:val="none" w:sz="0" w:space="0" w:color="auto"/>
      </w:divBdr>
    </w:div>
    <w:div w:id="358357719">
      <w:bodyDiv w:val="1"/>
      <w:marLeft w:val="0"/>
      <w:marRight w:val="0"/>
      <w:marTop w:val="0"/>
      <w:marBottom w:val="0"/>
      <w:divBdr>
        <w:top w:val="none" w:sz="0" w:space="0" w:color="auto"/>
        <w:left w:val="none" w:sz="0" w:space="0" w:color="auto"/>
        <w:bottom w:val="none" w:sz="0" w:space="0" w:color="auto"/>
        <w:right w:val="none" w:sz="0" w:space="0" w:color="auto"/>
      </w:divBdr>
    </w:div>
    <w:div w:id="360710868">
      <w:bodyDiv w:val="1"/>
      <w:marLeft w:val="0"/>
      <w:marRight w:val="0"/>
      <w:marTop w:val="0"/>
      <w:marBottom w:val="0"/>
      <w:divBdr>
        <w:top w:val="none" w:sz="0" w:space="0" w:color="auto"/>
        <w:left w:val="none" w:sz="0" w:space="0" w:color="auto"/>
        <w:bottom w:val="none" w:sz="0" w:space="0" w:color="auto"/>
        <w:right w:val="none" w:sz="0" w:space="0" w:color="auto"/>
      </w:divBdr>
    </w:div>
    <w:div w:id="387461219">
      <w:bodyDiv w:val="1"/>
      <w:marLeft w:val="0"/>
      <w:marRight w:val="0"/>
      <w:marTop w:val="0"/>
      <w:marBottom w:val="0"/>
      <w:divBdr>
        <w:top w:val="none" w:sz="0" w:space="0" w:color="auto"/>
        <w:left w:val="none" w:sz="0" w:space="0" w:color="auto"/>
        <w:bottom w:val="none" w:sz="0" w:space="0" w:color="auto"/>
        <w:right w:val="none" w:sz="0" w:space="0" w:color="auto"/>
      </w:divBdr>
    </w:div>
    <w:div w:id="397173635">
      <w:bodyDiv w:val="1"/>
      <w:marLeft w:val="0"/>
      <w:marRight w:val="0"/>
      <w:marTop w:val="0"/>
      <w:marBottom w:val="0"/>
      <w:divBdr>
        <w:top w:val="none" w:sz="0" w:space="0" w:color="auto"/>
        <w:left w:val="none" w:sz="0" w:space="0" w:color="auto"/>
        <w:bottom w:val="none" w:sz="0" w:space="0" w:color="auto"/>
        <w:right w:val="none" w:sz="0" w:space="0" w:color="auto"/>
      </w:divBdr>
    </w:div>
    <w:div w:id="397367547">
      <w:bodyDiv w:val="1"/>
      <w:marLeft w:val="0"/>
      <w:marRight w:val="0"/>
      <w:marTop w:val="0"/>
      <w:marBottom w:val="0"/>
      <w:divBdr>
        <w:top w:val="none" w:sz="0" w:space="0" w:color="auto"/>
        <w:left w:val="none" w:sz="0" w:space="0" w:color="auto"/>
        <w:bottom w:val="none" w:sz="0" w:space="0" w:color="auto"/>
        <w:right w:val="none" w:sz="0" w:space="0" w:color="auto"/>
      </w:divBdr>
    </w:div>
    <w:div w:id="398748589">
      <w:bodyDiv w:val="1"/>
      <w:marLeft w:val="0"/>
      <w:marRight w:val="0"/>
      <w:marTop w:val="0"/>
      <w:marBottom w:val="0"/>
      <w:divBdr>
        <w:top w:val="none" w:sz="0" w:space="0" w:color="auto"/>
        <w:left w:val="none" w:sz="0" w:space="0" w:color="auto"/>
        <w:bottom w:val="none" w:sz="0" w:space="0" w:color="auto"/>
        <w:right w:val="none" w:sz="0" w:space="0" w:color="auto"/>
      </w:divBdr>
    </w:div>
    <w:div w:id="413208056">
      <w:bodyDiv w:val="1"/>
      <w:marLeft w:val="0"/>
      <w:marRight w:val="0"/>
      <w:marTop w:val="0"/>
      <w:marBottom w:val="0"/>
      <w:divBdr>
        <w:top w:val="none" w:sz="0" w:space="0" w:color="auto"/>
        <w:left w:val="none" w:sz="0" w:space="0" w:color="auto"/>
        <w:bottom w:val="none" w:sz="0" w:space="0" w:color="auto"/>
        <w:right w:val="none" w:sz="0" w:space="0" w:color="auto"/>
      </w:divBdr>
    </w:div>
    <w:div w:id="419369571">
      <w:bodyDiv w:val="1"/>
      <w:marLeft w:val="0"/>
      <w:marRight w:val="0"/>
      <w:marTop w:val="0"/>
      <w:marBottom w:val="0"/>
      <w:divBdr>
        <w:top w:val="none" w:sz="0" w:space="0" w:color="auto"/>
        <w:left w:val="none" w:sz="0" w:space="0" w:color="auto"/>
        <w:bottom w:val="none" w:sz="0" w:space="0" w:color="auto"/>
        <w:right w:val="none" w:sz="0" w:space="0" w:color="auto"/>
      </w:divBdr>
    </w:div>
    <w:div w:id="419837660">
      <w:bodyDiv w:val="1"/>
      <w:marLeft w:val="0"/>
      <w:marRight w:val="0"/>
      <w:marTop w:val="0"/>
      <w:marBottom w:val="0"/>
      <w:divBdr>
        <w:top w:val="none" w:sz="0" w:space="0" w:color="auto"/>
        <w:left w:val="none" w:sz="0" w:space="0" w:color="auto"/>
        <w:bottom w:val="none" w:sz="0" w:space="0" w:color="auto"/>
        <w:right w:val="none" w:sz="0" w:space="0" w:color="auto"/>
      </w:divBdr>
    </w:div>
    <w:div w:id="420107627">
      <w:bodyDiv w:val="1"/>
      <w:marLeft w:val="0"/>
      <w:marRight w:val="0"/>
      <w:marTop w:val="0"/>
      <w:marBottom w:val="0"/>
      <w:divBdr>
        <w:top w:val="none" w:sz="0" w:space="0" w:color="auto"/>
        <w:left w:val="none" w:sz="0" w:space="0" w:color="auto"/>
        <w:bottom w:val="none" w:sz="0" w:space="0" w:color="auto"/>
        <w:right w:val="none" w:sz="0" w:space="0" w:color="auto"/>
      </w:divBdr>
    </w:div>
    <w:div w:id="433014924">
      <w:bodyDiv w:val="1"/>
      <w:marLeft w:val="0"/>
      <w:marRight w:val="0"/>
      <w:marTop w:val="0"/>
      <w:marBottom w:val="0"/>
      <w:divBdr>
        <w:top w:val="none" w:sz="0" w:space="0" w:color="auto"/>
        <w:left w:val="none" w:sz="0" w:space="0" w:color="auto"/>
        <w:bottom w:val="none" w:sz="0" w:space="0" w:color="auto"/>
        <w:right w:val="none" w:sz="0" w:space="0" w:color="auto"/>
      </w:divBdr>
    </w:div>
    <w:div w:id="434448967">
      <w:bodyDiv w:val="1"/>
      <w:marLeft w:val="0"/>
      <w:marRight w:val="0"/>
      <w:marTop w:val="0"/>
      <w:marBottom w:val="0"/>
      <w:divBdr>
        <w:top w:val="none" w:sz="0" w:space="0" w:color="auto"/>
        <w:left w:val="none" w:sz="0" w:space="0" w:color="auto"/>
        <w:bottom w:val="none" w:sz="0" w:space="0" w:color="auto"/>
        <w:right w:val="none" w:sz="0" w:space="0" w:color="auto"/>
      </w:divBdr>
    </w:div>
    <w:div w:id="440954328">
      <w:bodyDiv w:val="1"/>
      <w:marLeft w:val="0"/>
      <w:marRight w:val="0"/>
      <w:marTop w:val="0"/>
      <w:marBottom w:val="0"/>
      <w:divBdr>
        <w:top w:val="none" w:sz="0" w:space="0" w:color="auto"/>
        <w:left w:val="none" w:sz="0" w:space="0" w:color="auto"/>
        <w:bottom w:val="none" w:sz="0" w:space="0" w:color="auto"/>
        <w:right w:val="none" w:sz="0" w:space="0" w:color="auto"/>
      </w:divBdr>
    </w:div>
    <w:div w:id="441804600">
      <w:bodyDiv w:val="1"/>
      <w:marLeft w:val="0"/>
      <w:marRight w:val="0"/>
      <w:marTop w:val="0"/>
      <w:marBottom w:val="0"/>
      <w:divBdr>
        <w:top w:val="none" w:sz="0" w:space="0" w:color="auto"/>
        <w:left w:val="none" w:sz="0" w:space="0" w:color="auto"/>
        <w:bottom w:val="none" w:sz="0" w:space="0" w:color="auto"/>
        <w:right w:val="none" w:sz="0" w:space="0" w:color="auto"/>
      </w:divBdr>
    </w:div>
    <w:div w:id="447548584">
      <w:bodyDiv w:val="1"/>
      <w:marLeft w:val="0"/>
      <w:marRight w:val="0"/>
      <w:marTop w:val="0"/>
      <w:marBottom w:val="0"/>
      <w:divBdr>
        <w:top w:val="none" w:sz="0" w:space="0" w:color="auto"/>
        <w:left w:val="none" w:sz="0" w:space="0" w:color="auto"/>
        <w:bottom w:val="none" w:sz="0" w:space="0" w:color="auto"/>
        <w:right w:val="none" w:sz="0" w:space="0" w:color="auto"/>
      </w:divBdr>
    </w:div>
    <w:div w:id="450442641">
      <w:bodyDiv w:val="1"/>
      <w:marLeft w:val="0"/>
      <w:marRight w:val="0"/>
      <w:marTop w:val="0"/>
      <w:marBottom w:val="0"/>
      <w:divBdr>
        <w:top w:val="none" w:sz="0" w:space="0" w:color="auto"/>
        <w:left w:val="none" w:sz="0" w:space="0" w:color="auto"/>
        <w:bottom w:val="none" w:sz="0" w:space="0" w:color="auto"/>
        <w:right w:val="none" w:sz="0" w:space="0" w:color="auto"/>
      </w:divBdr>
    </w:div>
    <w:div w:id="451360419">
      <w:bodyDiv w:val="1"/>
      <w:marLeft w:val="0"/>
      <w:marRight w:val="0"/>
      <w:marTop w:val="0"/>
      <w:marBottom w:val="0"/>
      <w:divBdr>
        <w:top w:val="none" w:sz="0" w:space="0" w:color="auto"/>
        <w:left w:val="none" w:sz="0" w:space="0" w:color="auto"/>
        <w:bottom w:val="none" w:sz="0" w:space="0" w:color="auto"/>
        <w:right w:val="none" w:sz="0" w:space="0" w:color="auto"/>
      </w:divBdr>
      <w:divsChild>
        <w:div w:id="2003464918">
          <w:marLeft w:val="0"/>
          <w:marRight w:val="0"/>
          <w:marTop w:val="480"/>
          <w:marBottom w:val="0"/>
          <w:divBdr>
            <w:top w:val="none" w:sz="0" w:space="0" w:color="auto"/>
            <w:left w:val="none" w:sz="0" w:space="0" w:color="auto"/>
            <w:bottom w:val="none" w:sz="0" w:space="0" w:color="auto"/>
            <w:right w:val="none" w:sz="0" w:space="0" w:color="auto"/>
          </w:divBdr>
        </w:div>
      </w:divsChild>
    </w:div>
    <w:div w:id="453137758">
      <w:bodyDiv w:val="1"/>
      <w:marLeft w:val="0"/>
      <w:marRight w:val="0"/>
      <w:marTop w:val="0"/>
      <w:marBottom w:val="0"/>
      <w:divBdr>
        <w:top w:val="none" w:sz="0" w:space="0" w:color="auto"/>
        <w:left w:val="none" w:sz="0" w:space="0" w:color="auto"/>
        <w:bottom w:val="none" w:sz="0" w:space="0" w:color="auto"/>
        <w:right w:val="none" w:sz="0" w:space="0" w:color="auto"/>
      </w:divBdr>
    </w:div>
    <w:div w:id="453520983">
      <w:bodyDiv w:val="1"/>
      <w:marLeft w:val="0"/>
      <w:marRight w:val="0"/>
      <w:marTop w:val="0"/>
      <w:marBottom w:val="0"/>
      <w:divBdr>
        <w:top w:val="none" w:sz="0" w:space="0" w:color="auto"/>
        <w:left w:val="none" w:sz="0" w:space="0" w:color="auto"/>
        <w:bottom w:val="none" w:sz="0" w:space="0" w:color="auto"/>
        <w:right w:val="none" w:sz="0" w:space="0" w:color="auto"/>
      </w:divBdr>
    </w:div>
    <w:div w:id="454956516">
      <w:bodyDiv w:val="1"/>
      <w:marLeft w:val="0"/>
      <w:marRight w:val="0"/>
      <w:marTop w:val="0"/>
      <w:marBottom w:val="0"/>
      <w:divBdr>
        <w:top w:val="none" w:sz="0" w:space="0" w:color="auto"/>
        <w:left w:val="none" w:sz="0" w:space="0" w:color="auto"/>
        <w:bottom w:val="none" w:sz="0" w:space="0" w:color="auto"/>
        <w:right w:val="none" w:sz="0" w:space="0" w:color="auto"/>
      </w:divBdr>
    </w:div>
    <w:div w:id="468090551">
      <w:bodyDiv w:val="1"/>
      <w:marLeft w:val="0"/>
      <w:marRight w:val="0"/>
      <w:marTop w:val="0"/>
      <w:marBottom w:val="0"/>
      <w:divBdr>
        <w:top w:val="none" w:sz="0" w:space="0" w:color="auto"/>
        <w:left w:val="none" w:sz="0" w:space="0" w:color="auto"/>
        <w:bottom w:val="none" w:sz="0" w:space="0" w:color="auto"/>
        <w:right w:val="none" w:sz="0" w:space="0" w:color="auto"/>
      </w:divBdr>
    </w:div>
    <w:div w:id="474374814">
      <w:bodyDiv w:val="1"/>
      <w:marLeft w:val="0"/>
      <w:marRight w:val="0"/>
      <w:marTop w:val="0"/>
      <w:marBottom w:val="0"/>
      <w:divBdr>
        <w:top w:val="none" w:sz="0" w:space="0" w:color="auto"/>
        <w:left w:val="none" w:sz="0" w:space="0" w:color="auto"/>
        <w:bottom w:val="none" w:sz="0" w:space="0" w:color="auto"/>
        <w:right w:val="none" w:sz="0" w:space="0" w:color="auto"/>
      </w:divBdr>
    </w:div>
    <w:div w:id="476150771">
      <w:bodyDiv w:val="1"/>
      <w:marLeft w:val="0"/>
      <w:marRight w:val="0"/>
      <w:marTop w:val="0"/>
      <w:marBottom w:val="0"/>
      <w:divBdr>
        <w:top w:val="none" w:sz="0" w:space="0" w:color="auto"/>
        <w:left w:val="none" w:sz="0" w:space="0" w:color="auto"/>
        <w:bottom w:val="none" w:sz="0" w:space="0" w:color="auto"/>
        <w:right w:val="none" w:sz="0" w:space="0" w:color="auto"/>
      </w:divBdr>
    </w:div>
    <w:div w:id="484469127">
      <w:bodyDiv w:val="1"/>
      <w:marLeft w:val="0"/>
      <w:marRight w:val="0"/>
      <w:marTop w:val="0"/>
      <w:marBottom w:val="0"/>
      <w:divBdr>
        <w:top w:val="none" w:sz="0" w:space="0" w:color="auto"/>
        <w:left w:val="none" w:sz="0" w:space="0" w:color="auto"/>
        <w:bottom w:val="none" w:sz="0" w:space="0" w:color="auto"/>
        <w:right w:val="none" w:sz="0" w:space="0" w:color="auto"/>
      </w:divBdr>
    </w:div>
    <w:div w:id="490803392">
      <w:bodyDiv w:val="1"/>
      <w:marLeft w:val="0"/>
      <w:marRight w:val="0"/>
      <w:marTop w:val="0"/>
      <w:marBottom w:val="0"/>
      <w:divBdr>
        <w:top w:val="none" w:sz="0" w:space="0" w:color="auto"/>
        <w:left w:val="none" w:sz="0" w:space="0" w:color="auto"/>
        <w:bottom w:val="none" w:sz="0" w:space="0" w:color="auto"/>
        <w:right w:val="none" w:sz="0" w:space="0" w:color="auto"/>
      </w:divBdr>
    </w:div>
    <w:div w:id="501049668">
      <w:bodyDiv w:val="1"/>
      <w:marLeft w:val="0"/>
      <w:marRight w:val="0"/>
      <w:marTop w:val="0"/>
      <w:marBottom w:val="0"/>
      <w:divBdr>
        <w:top w:val="none" w:sz="0" w:space="0" w:color="auto"/>
        <w:left w:val="none" w:sz="0" w:space="0" w:color="auto"/>
        <w:bottom w:val="none" w:sz="0" w:space="0" w:color="auto"/>
        <w:right w:val="none" w:sz="0" w:space="0" w:color="auto"/>
      </w:divBdr>
    </w:div>
    <w:div w:id="503394838">
      <w:bodyDiv w:val="1"/>
      <w:marLeft w:val="0"/>
      <w:marRight w:val="0"/>
      <w:marTop w:val="0"/>
      <w:marBottom w:val="0"/>
      <w:divBdr>
        <w:top w:val="none" w:sz="0" w:space="0" w:color="auto"/>
        <w:left w:val="none" w:sz="0" w:space="0" w:color="auto"/>
        <w:bottom w:val="none" w:sz="0" w:space="0" w:color="auto"/>
        <w:right w:val="none" w:sz="0" w:space="0" w:color="auto"/>
      </w:divBdr>
    </w:div>
    <w:div w:id="508788510">
      <w:bodyDiv w:val="1"/>
      <w:marLeft w:val="0"/>
      <w:marRight w:val="0"/>
      <w:marTop w:val="0"/>
      <w:marBottom w:val="0"/>
      <w:divBdr>
        <w:top w:val="none" w:sz="0" w:space="0" w:color="auto"/>
        <w:left w:val="none" w:sz="0" w:space="0" w:color="auto"/>
        <w:bottom w:val="none" w:sz="0" w:space="0" w:color="auto"/>
        <w:right w:val="none" w:sz="0" w:space="0" w:color="auto"/>
      </w:divBdr>
    </w:div>
    <w:div w:id="509493165">
      <w:bodyDiv w:val="1"/>
      <w:marLeft w:val="0"/>
      <w:marRight w:val="0"/>
      <w:marTop w:val="0"/>
      <w:marBottom w:val="0"/>
      <w:divBdr>
        <w:top w:val="none" w:sz="0" w:space="0" w:color="auto"/>
        <w:left w:val="none" w:sz="0" w:space="0" w:color="auto"/>
        <w:bottom w:val="none" w:sz="0" w:space="0" w:color="auto"/>
        <w:right w:val="none" w:sz="0" w:space="0" w:color="auto"/>
      </w:divBdr>
    </w:div>
    <w:div w:id="519046100">
      <w:bodyDiv w:val="1"/>
      <w:marLeft w:val="0"/>
      <w:marRight w:val="0"/>
      <w:marTop w:val="0"/>
      <w:marBottom w:val="0"/>
      <w:divBdr>
        <w:top w:val="none" w:sz="0" w:space="0" w:color="auto"/>
        <w:left w:val="none" w:sz="0" w:space="0" w:color="auto"/>
        <w:bottom w:val="none" w:sz="0" w:space="0" w:color="auto"/>
        <w:right w:val="none" w:sz="0" w:space="0" w:color="auto"/>
      </w:divBdr>
    </w:div>
    <w:div w:id="521668264">
      <w:bodyDiv w:val="1"/>
      <w:marLeft w:val="0"/>
      <w:marRight w:val="0"/>
      <w:marTop w:val="0"/>
      <w:marBottom w:val="0"/>
      <w:divBdr>
        <w:top w:val="none" w:sz="0" w:space="0" w:color="auto"/>
        <w:left w:val="none" w:sz="0" w:space="0" w:color="auto"/>
        <w:bottom w:val="none" w:sz="0" w:space="0" w:color="auto"/>
        <w:right w:val="none" w:sz="0" w:space="0" w:color="auto"/>
      </w:divBdr>
    </w:div>
    <w:div w:id="525099285">
      <w:bodyDiv w:val="1"/>
      <w:marLeft w:val="0"/>
      <w:marRight w:val="0"/>
      <w:marTop w:val="0"/>
      <w:marBottom w:val="0"/>
      <w:divBdr>
        <w:top w:val="none" w:sz="0" w:space="0" w:color="auto"/>
        <w:left w:val="none" w:sz="0" w:space="0" w:color="auto"/>
        <w:bottom w:val="none" w:sz="0" w:space="0" w:color="auto"/>
        <w:right w:val="none" w:sz="0" w:space="0" w:color="auto"/>
      </w:divBdr>
    </w:div>
    <w:div w:id="553737041">
      <w:bodyDiv w:val="1"/>
      <w:marLeft w:val="0"/>
      <w:marRight w:val="0"/>
      <w:marTop w:val="0"/>
      <w:marBottom w:val="0"/>
      <w:divBdr>
        <w:top w:val="none" w:sz="0" w:space="0" w:color="auto"/>
        <w:left w:val="none" w:sz="0" w:space="0" w:color="auto"/>
        <w:bottom w:val="none" w:sz="0" w:space="0" w:color="auto"/>
        <w:right w:val="none" w:sz="0" w:space="0" w:color="auto"/>
      </w:divBdr>
    </w:div>
    <w:div w:id="555511765">
      <w:bodyDiv w:val="1"/>
      <w:marLeft w:val="0"/>
      <w:marRight w:val="0"/>
      <w:marTop w:val="0"/>
      <w:marBottom w:val="0"/>
      <w:divBdr>
        <w:top w:val="none" w:sz="0" w:space="0" w:color="auto"/>
        <w:left w:val="none" w:sz="0" w:space="0" w:color="auto"/>
        <w:bottom w:val="none" w:sz="0" w:space="0" w:color="auto"/>
        <w:right w:val="none" w:sz="0" w:space="0" w:color="auto"/>
      </w:divBdr>
    </w:div>
    <w:div w:id="566913014">
      <w:bodyDiv w:val="1"/>
      <w:marLeft w:val="0"/>
      <w:marRight w:val="0"/>
      <w:marTop w:val="0"/>
      <w:marBottom w:val="0"/>
      <w:divBdr>
        <w:top w:val="none" w:sz="0" w:space="0" w:color="auto"/>
        <w:left w:val="none" w:sz="0" w:space="0" w:color="auto"/>
        <w:bottom w:val="none" w:sz="0" w:space="0" w:color="auto"/>
        <w:right w:val="none" w:sz="0" w:space="0" w:color="auto"/>
      </w:divBdr>
    </w:div>
    <w:div w:id="567804797">
      <w:bodyDiv w:val="1"/>
      <w:marLeft w:val="0"/>
      <w:marRight w:val="0"/>
      <w:marTop w:val="0"/>
      <w:marBottom w:val="0"/>
      <w:divBdr>
        <w:top w:val="none" w:sz="0" w:space="0" w:color="auto"/>
        <w:left w:val="none" w:sz="0" w:space="0" w:color="auto"/>
        <w:bottom w:val="none" w:sz="0" w:space="0" w:color="auto"/>
        <w:right w:val="none" w:sz="0" w:space="0" w:color="auto"/>
      </w:divBdr>
    </w:div>
    <w:div w:id="568002085">
      <w:bodyDiv w:val="1"/>
      <w:marLeft w:val="0"/>
      <w:marRight w:val="0"/>
      <w:marTop w:val="0"/>
      <w:marBottom w:val="0"/>
      <w:divBdr>
        <w:top w:val="none" w:sz="0" w:space="0" w:color="auto"/>
        <w:left w:val="none" w:sz="0" w:space="0" w:color="auto"/>
        <w:bottom w:val="none" w:sz="0" w:space="0" w:color="auto"/>
        <w:right w:val="none" w:sz="0" w:space="0" w:color="auto"/>
      </w:divBdr>
    </w:div>
    <w:div w:id="569195080">
      <w:bodyDiv w:val="1"/>
      <w:marLeft w:val="0"/>
      <w:marRight w:val="0"/>
      <w:marTop w:val="0"/>
      <w:marBottom w:val="0"/>
      <w:divBdr>
        <w:top w:val="none" w:sz="0" w:space="0" w:color="auto"/>
        <w:left w:val="none" w:sz="0" w:space="0" w:color="auto"/>
        <w:bottom w:val="none" w:sz="0" w:space="0" w:color="auto"/>
        <w:right w:val="none" w:sz="0" w:space="0" w:color="auto"/>
      </w:divBdr>
    </w:div>
    <w:div w:id="570700683">
      <w:bodyDiv w:val="1"/>
      <w:marLeft w:val="0"/>
      <w:marRight w:val="0"/>
      <w:marTop w:val="0"/>
      <w:marBottom w:val="0"/>
      <w:divBdr>
        <w:top w:val="none" w:sz="0" w:space="0" w:color="auto"/>
        <w:left w:val="none" w:sz="0" w:space="0" w:color="auto"/>
        <w:bottom w:val="none" w:sz="0" w:space="0" w:color="auto"/>
        <w:right w:val="none" w:sz="0" w:space="0" w:color="auto"/>
      </w:divBdr>
      <w:divsChild>
        <w:div w:id="1834298899">
          <w:marLeft w:val="274"/>
          <w:marRight w:val="0"/>
          <w:marTop w:val="0"/>
          <w:marBottom w:val="0"/>
          <w:divBdr>
            <w:top w:val="none" w:sz="0" w:space="0" w:color="auto"/>
            <w:left w:val="none" w:sz="0" w:space="0" w:color="auto"/>
            <w:bottom w:val="none" w:sz="0" w:space="0" w:color="auto"/>
            <w:right w:val="none" w:sz="0" w:space="0" w:color="auto"/>
          </w:divBdr>
        </w:div>
      </w:divsChild>
    </w:div>
    <w:div w:id="571545188">
      <w:bodyDiv w:val="1"/>
      <w:marLeft w:val="0"/>
      <w:marRight w:val="0"/>
      <w:marTop w:val="0"/>
      <w:marBottom w:val="0"/>
      <w:divBdr>
        <w:top w:val="none" w:sz="0" w:space="0" w:color="auto"/>
        <w:left w:val="none" w:sz="0" w:space="0" w:color="auto"/>
        <w:bottom w:val="none" w:sz="0" w:space="0" w:color="auto"/>
        <w:right w:val="none" w:sz="0" w:space="0" w:color="auto"/>
      </w:divBdr>
    </w:div>
    <w:div w:id="573441378">
      <w:bodyDiv w:val="1"/>
      <w:marLeft w:val="0"/>
      <w:marRight w:val="0"/>
      <w:marTop w:val="0"/>
      <w:marBottom w:val="0"/>
      <w:divBdr>
        <w:top w:val="none" w:sz="0" w:space="0" w:color="auto"/>
        <w:left w:val="none" w:sz="0" w:space="0" w:color="auto"/>
        <w:bottom w:val="none" w:sz="0" w:space="0" w:color="auto"/>
        <w:right w:val="none" w:sz="0" w:space="0" w:color="auto"/>
      </w:divBdr>
    </w:div>
    <w:div w:id="581455613">
      <w:bodyDiv w:val="1"/>
      <w:marLeft w:val="0"/>
      <w:marRight w:val="0"/>
      <w:marTop w:val="0"/>
      <w:marBottom w:val="0"/>
      <w:divBdr>
        <w:top w:val="none" w:sz="0" w:space="0" w:color="auto"/>
        <w:left w:val="none" w:sz="0" w:space="0" w:color="auto"/>
        <w:bottom w:val="none" w:sz="0" w:space="0" w:color="auto"/>
        <w:right w:val="none" w:sz="0" w:space="0" w:color="auto"/>
      </w:divBdr>
    </w:div>
    <w:div w:id="582490728">
      <w:bodyDiv w:val="1"/>
      <w:marLeft w:val="0"/>
      <w:marRight w:val="0"/>
      <w:marTop w:val="0"/>
      <w:marBottom w:val="0"/>
      <w:divBdr>
        <w:top w:val="none" w:sz="0" w:space="0" w:color="auto"/>
        <w:left w:val="none" w:sz="0" w:space="0" w:color="auto"/>
        <w:bottom w:val="none" w:sz="0" w:space="0" w:color="auto"/>
        <w:right w:val="none" w:sz="0" w:space="0" w:color="auto"/>
      </w:divBdr>
    </w:div>
    <w:div w:id="586117523">
      <w:bodyDiv w:val="1"/>
      <w:marLeft w:val="0"/>
      <w:marRight w:val="0"/>
      <w:marTop w:val="0"/>
      <w:marBottom w:val="0"/>
      <w:divBdr>
        <w:top w:val="none" w:sz="0" w:space="0" w:color="auto"/>
        <w:left w:val="none" w:sz="0" w:space="0" w:color="auto"/>
        <w:bottom w:val="none" w:sz="0" w:space="0" w:color="auto"/>
        <w:right w:val="none" w:sz="0" w:space="0" w:color="auto"/>
      </w:divBdr>
    </w:div>
    <w:div w:id="586764494">
      <w:bodyDiv w:val="1"/>
      <w:marLeft w:val="0"/>
      <w:marRight w:val="0"/>
      <w:marTop w:val="0"/>
      <w:marBottom w:val="0"/>
      <w:divBdr>
        <w:top w:val="none" w:sz="0" w:space="0" w:color="auto"/>
        <w:left w:val="none" w:sz="0" w:space="0" w:color="auto"/>
        <w:bottom w:val="none" w:sz="0" w:space="0" w:color="auto"/>
        <w:right w:val="none" w:sz="0" w:space="0" w:color="auto"/>
      </w:divBdr>
    </w:div>
    <w:div w:id="618533988">
      <w:bodyDiv w:val="1"/>
      <w:marLeft w:val="0"/>
      <w:marRight w:val="0"/>
      <w:marTop w:val="0"/>
      <w:marBottom w:val="0"/>
      <w:divBdr>
        <w:top w:val="none" w:sz="0" w:space="0" w:color="auto"/>
        <w:left w:val="none" w:sz="0" w:space="0" w:color="auto"/>
        <w:bottom w:val="none" w:sz="0" w:space="0" w:color="auto"/>
        <w:right w:val="none" w:sz="0" w:space="0" w:color="auto"/>
      </w:divBdr>
    </w:div>
    <w:div w:id="624852435">
      <w:bodyDiv w:val="1"/>
      <w:marLeft w:val="0"/>
      <w:marRight w:val="0"/>
      <w:marTop w:val="0"/>
      <w:marBottom w:val="0"/>
      <w:divBdr>
        <w:top w:val="none" w:sz="0" w:space="0" w:color="auto"/>
        <w:left w:val="none" w:sz="0" w:space="0" w:color="auto"/>
        <w:bottom w:val="none" w:sz="0" w:space="0" w:color="auto"/>
        <w:right w:val="none" w:sz="0" w:space="0" w:color="auto"/>
      </w:divBdr>
    </w:div>
    <w:div w:id="626350015">
      <w:bodyDiv w:val="1"/>
      <w:marLeft w:val="0"/>
      <w:marRight w:val="0"/>
      <w:marTop w:val="0"/>
      <w:marBottom w:val="0"/>
      <w:divBdr>
        <w:top w:val="none" w:sz="0" w:space="0" w:color="auto"/>
        <w:left w:val="none" w:sz="0" w:space="0" w:color="auto"/>
        <w:bottom w:val="none" w:sz="0" w:space="0" w:color="auto"/>
        <w:right w:val="none" w:sz="0" w:space="0" w:color="auto"/>
      </w:divBdr>
    </w:div>
    <w:div w:id="632368851">
      <w:bodyDiv w:val="1"/>
      <w:marLeft w:val="0"/>
      <w:marRight w:val="0"/>
      <w:marTop w:val="0"/>
      <w:marBottom w:val="0"/>
      <w:divBdr>
        <w:top w:val="none" w:sz="0" w:space="0" w:color="auto"/>
        <w:left w:val="none" w:sz="0" w:space="0" w:color="auto"/>
        <w:bottom w:val="none" w:sz="0" w:space="0" w:color="auto"/>
        <w:right w:val="none" w:sz="0" w:space="0" w:color="auto"/>
      </w:divBdr>
    </w:div>
    <w:div w:id="632715445">
      <w:bodyDiv w:val="1"/>
      <w:marLeft w:val="0"/>
      <w:marRight w:val="0"/>
      <w:marTop w:val="0"/>
      <w:marBottom w:val="0"/>
      <w:divBdr>
        <w:top w:val="none" w:sz="0" w:space="0" w:color="auto"/>
        <w:left w:val="none" w:sz="0" w:space="0" w:color="auto"/>
        <w:bottom w:val="none" w:sz="0" w:space="0" w:color="auto"/>
        <w:right w:val="none" w:sz="0" w:space="0" w:color="auto"/>
      </w:divBdr>
    </w:div>
    <w:div w:id="643045292">
      <w:bodyDiv w:val="1"/>
      <w:marLeft w:val="0"/>
      <w:marRight w:val="0"/>
      <w:marTop w:val="0"/>
      <w:marBottom w:val="0"/>
      <w:divBdr>
        <w:top w:val="none" w:sz="0" w:space="0" w:color="auto"/>
        <w:left w:val="none" w:sz="0" w:space="0" w:color="auto"/>
        <w:bottom w:val="none" w:sz="0" w:space="0" w:color="auto"/>
        <w:right w:val="none" w:sz="0" w:space="0" w:color="auto"/>
      </w:divBdr>
    </w:div>
    <w:div w:id="674456765">
      <w:bodyDiv w:val="1"/>
      <w:marLeft w:val="0"/>
      <w:marRight w:val="0"/>
      <w:marTop w:val="0"/>
      <w:marBottom w:val="0"/>
      <w:divBdr>
        <w:top w:val="none" w:sz="0" w:space="0" w:color="auto"/>
        <w:left w:val="none" w:sz="0" w:space="0" w:color="auto"/>
        <w:bottom w:val="none" w:sz="0" w:space="0" w:color="auto"/>
        <w:right w:val="none" w:sz="0" w:space="0" w:color="auto"/>
      </w:divBdr>
    </w:div>
    <w:div w:id="685670168">
      <w:bodyDiv w:val="1"/>
      <w:marLeft w:val="0"/>
      <w:marRight w:val="0"/>
      <w:marTop w:val="0"/>
      <w:marBottom w:val="0"/>
      <w:divBdr>
        <w:top w:val="none" w:sz="0" w:space="0" w:color="auto"/>
        <w:left w:val="none" w:sz="0" w:space="0" w:color="auto"/>
        <w:bottom w:val="none" w:sz="0" w:space="0" w:color="auto"/>
        <w:right w:val="none" w:sz="0" w:space="0" w:color="auto"/>
      </w:divBdr>
    </w:div>
    <w:div w:id="698311350">
      <w:bodyDiv w:val="1"/>
      <w:marLeft w:val="0"/>
      <w:marRight w:val="0"/>
      <w:marTop w:val="0"/>
      <w:marBottom w:val="0"/>
      <w:divBdr>
        <w:top w:val="none" w:sz="0" w:space="0" w:color="auto"/>
        <w:left w:val="none" w:sz="0" w:space="0" w:color="auto"/>
        <w:bottom w:val="none" w:sz="0" w:space="0" w:color="auto"/>
        <w:right w:val="none" w:sz="0" w:space="0" w:color="auto"/>
      </w:divBdr>
    </w:div>
    <w:div w:id="703362935">
      <w:bodyDiv w:val="1"/>
      <w:marLeft w:val="0"/>
      <w:marRight w:val="0"/>
      <w:marTop w:val="0"/>
      <w:marBottom w:val="0"/>
      <w:divBdr>
        <w:top w:val="none" w:sz="0" w:space="0" w:color="auto"/>
        <w:left w:val="none" w:sz="0" w:space="0" w:color="auto"/>
        <w:bottom w:val="none" w:sz="0" w:space="0" w:color="auto"/>
        <w:right w:val="none" w:sz="0" w:space="0" w:color="auto"/>
      </w:divBdr>
    </w:div>
    <w:div w:id="710113343">
      <w:bodyDiv w:val="1"/>
      <w:marLeft w:val="0"/>
      <w:marRight w:val="0"/>
      <w:marTop w:val="0"/>
      <w:marBottom w:val="0"/>
      <w:divBdr>
        <w:top w:val="none" w:sz="0" w:space="0" w:color="auto"/>
        <w:left w:val="none" w:sz="0" w:space="0" w:color="auto"/>
        <w:bottom w:val="none" w:sz="0" w:space="0" w:color="auto"/>
        <w:right w:val="none" w:sz="0" w:space="0" w:color="auto"/>
      </w:divBdr>
      <w:divsChild>
        <w:div w:id="1545169665">
          <w:marLeft w:val="274"/>
          <w:marRight w:val="0"/>
          <w:marTop w:val="0"/>
          <w:marBottom w:val="0"/>
          <w:divBdr>
            <w:top w:val="none" w:sz="0" w:space="0" w:color="auto"/>
            <w:left w:val="none" w:sz="0" w:space="0" w:color="auto"/>
            <w:bottom w:val="none" w:sz="0" w:space="0" w:color="auto"/>
            <w:right w:val="none" w:sz="0" w:space="0" w:color="auto"/>
          </w:divBdr>
        </w:div>
      </w:divsChild>
    </w:div>
    <w:div w:id="710150280">
      <w:bodyDiv w:val="1"/>
      <w:marLeft w:val="0"/>
      <w:marRight w:val="0"/>
      <w:marTop w:val="0"/>
      <w:marBottom w:val="0"/>
      <w:divBdr>
        <w:top w:val="none" w:sz="0" w:space="0" w:color="auto"/>
        <w:left w:val="none" w:sz="0" w:space="0" w:color="auto"/>
        <w:bottom w:val="none" w:sz="0" w:space="0" w:color="auto"/>
        <w:right w:val="none" w:sz="0" w:space="0" w:color="auto"/>
      </w:divBdr>
    </w:div>
    <w:div w:id="715199605">
      <w:bodyDiv w:val="1"/>
      <w:marLeft w:val="0"/>
      <w:marRight w:val="0"/>
      <w:marTop w:val="0"/>
      <w:marBottom w:val="0"/>
      <w:divBdr>
        <w:top w:val="none" w:sz="0" w:space="0" w:color="auto"/>
        <w:left w:val="none" w:sz="0" w:space="0" w:color="auto"/>
        <w:bottom w:val="none" w:sz="0" w:space="0" w:color="auto"/>
        <w:right w:val="none" w:sz="0" w:space="0" w:color="auto"/>
      </w:divBdr>
    </w:div>
    <w:div w:id="715542117">
      <w:bodyDiv w:val="1"/>
      <w:marLeft w:val="0"/>
      <w:marRight w:val="0"/>
      <w:marTop w:val="0"/>
      <w:marBottom w:val="0"/>
      <w:divBdr>
        <w:top w:val="none" w:sz="0" w:space="0" w:color="auto"/>
        <w:left w:val="none" w:sz="0" w:space="0" w:color="auto"/>
        <w:bottom w:val="none" w:sz="0" w:space="0" w:color="auto"/>
        <w:right w:val="none" w:sz="0" w:space="0" w:color="auto"/>
      </w:divBdr>
      <w:divsChild>
        <w:div w:id="162090055">
          <w:marLeft w:val="850"/>
          <w:marRight w:val="0"/>
          <w:marTop w:val="0"/>
          <w:marBottom w:val="120"/>
          <w:divBdr>
            <w:top w:val="none" w:sz="0" w:space="0" w:color="auto"/>
            <w:left w:val="none" w:sz="0" w:space="0" w:color="auto"/>
            <w:bottom w:val="none" w:sz="0" w:space="0" w:color="auto"/>
            <w:right w:val="none" w:sz="0" w:space="0" w:color="auto"/>
          </w:divBdr>
        </w:div>
        <w:div w:id="217713199">
          <w:marLeft w:val="850"/>
          <w:marRight w:val="0"/>
          <w:marTop w:val="0"/>
          <w:marBottom w:val="120"/>
          <w:divBdr>
            <w:top w:val="none" w:sz="0" w:space="0" w:color="auto"/>
            <w:left w:val="none" w:sz="0" w:space="0" w:color="auto"/>
            <w:bottom w:val="none" w:sz="0" w:space="0" w:color="auto"/>
            <w:right w:val="none" w:sz="0" w:space="0" w:color="auto"/>
          </w:divBdr>
        </w:div>
        <w:div w:id="464200202">
          <w:marLeft w:val="274"/>
          <w:marRight w:val="0"/>
          <w:marTop w:val="0"/>
          <w:marBottom w:val="120"/>
          <w:divBdr>
            <w:top w:val="none" w:sz="0" w:space="0" w:color="auto"/>
            <w:left w:val="none" w:sz="0" w:space="0" w:color="auto"/>
            <w:bottom w:val="none" w:sz="0" w:space="0" w:color="auto"/>
            <w:right w:val="none" w:sz="0" w:space="0" w:color="auto"/>
          </w:divBdr>
        </w:div>
        <w:div w:id="523131050">
          <w:marLeft w:val="850"/>
          <w:marRight w:val="0"/>
          <w:marTop w:val="0"/>
          <w:marBottom w:val="120"/>
          <w:divBdr>
            <w:top w:val="none" w:sz="0" w:space="0" w:color="auto"/>
            <w:left w:val="none" w:sz="0" w:space="0" w:color="auto"/>
            <w:bottom w:val="none" w:sz="0" w:space="0" w:color="auto"/>
            <w:right w:val="none" w:sz="0" w:space="0" w:color="auto"/>
          </w:divBdr>
        </w:div>
        <w:div w:id="1290278696">
          <w:marLeft w:val="274"/>
          <w:marRight w:val="0"/>
          <w:marTop w:val="0"/>
          <w:marBottom w:val="120"/>
          <w:divBdr>
            <w:top w:val="none" w:sz="0" w:space="0" w:color="auto"/>
            <w:left w:val="none" w:sz="0" w:space="0" w:color="auto"/>
            <w:bottom w:val="none" w:sz="0" w:space="0" w:color="auto"/>
            <w:right w:val="none" w:sz="0" w:space="0" w:color="auto"/>
          </w:divBdr>
        </w:div>
        <w:div w:id="1306205094">
          <w:marLeft w:val="274"/>
          <w:marRight w:val="0"/>
          <w:marTop w:val="0"/>
          <w:marBottom w:val="120"/>
          <w:divBdr>
            <w:top w:val="none" w:sz="0" w:space="0" w:color="auto"/>
            <w:left w:val="none" w:sz="0" w:space="0" w:color="auto"/>
            <w:bottom w:val="none" w:sz="0" w:space="0" w:color="auto"/>
            <w:right w:val="none" w:sz="0" w:space="0" w:color="auto"/>
          </w:divBdr>
        </w:div>
        <w:div w:id="1344817051">
          <w:marLeft w:val="274"/>
          <w:marRight w:val="0"/>
          <w:marTop w:val="0"/>
          <w:marBottom w:val="120"/>
          <w:divBdr>
            <w:top w:val="none" w:sz="0" w:space="0" w:color="auto"/>
            <w:left w:val="none" w:sz="0" w:space="0" w:color="auto"/>
            <w:bottom w:val="none" w:sz="0" w:space="0" w:color="auto"/>
            <w:right w:val="none" w:sz="0" w:space="0" w:color="auto"/>
          </w:divBdr>
        </w:div>
        <w:div w:id="1746877492">
          <w:marLeft w:val="850"/>
          <w:marRight w:val="0"/>
          <w:marTop w:val="0"/>
          <w:marBottom w:val="120"/>
          <w:divBdr>
            <w:top w:val="none" w:sz="0" w:space="0" w:color="auto"/>
            <w:left w:val="none" w:sz="0" w:space="0" w:color="auto"/>
            <w:bottom w:val="none" w:sz="0" w:space="0" w:color="auto"/>
            <w:right w:val="none" w:sz="0" w:space="0" w:color="auto"/>
          </w:divBdr>
        </w:div>
        <w:div w:id="1943143370">
          <w:marLeft w:val="274"/>
          <w:marRight w:val="0"/>
          <w:marTop w:val="0"/>
          <w:marBottom w:val="120"/>
          <w:divBdr>
            <w:top w:val="none" w:sz="0" w:space="0" w:color="auto"/>
            <w:left w:val="none" w:sz="0" w:space="0" w:color="auto"/>
            <w:bottom w:val="none" w:sz="0" w:space="0" w:color="auto"/>
            <w:right w:val="none" w:sz="0" w:space="0" w:color="auto"/>
          </w:divBdr>
        </w:div>
      </w:divsChild>
    </w:div>
    <w:div w:id="722143471">
      <w:bodyDiv w:val="1"/>
      <w:marLeft w:val="0"/>
      <w:marRight w:val="0"/>
      <w:marTop w:val="0"/>
      <w:marBottom w:val="0"/>
      <w:divBdr>
        <w:top w:val="none" w:sz="0" w:space="0" w:color="auto"/>
        <w:left w:val="none" w:sz="0" w:space="0" w:color="auto"/>
        <w:bottom w:val="none" w:sz="0" w:space="0" w:color="auto"/>
        <w:right w:val="none" w:sz="0" w:space="0" w:color="auto"/>
      </w:divBdr>
    </w:div>
    <w:div w:id="743379483">
      <w:bodyDiv w:val="1"/>
      <w:marLeft w:val="0"/>
      <w:marRight w:val="0"/>
      <w:marTop w:val="0"/>
      <w:marBottom w:val="0"/>
      <w:divBdr>
        <w:top w:val="none" w:sz="0" w:space="0" w:color="auto"/>
        <w:left w:val="none" w:sz="0" w:space="0" w:color="auto"/>
        <w:bottom w:val="none" w:sz="0" w:space="0" w:color="auto"/>
        <w:right w:val="none" w:sz="0" w:space="0" w:color="auto"/>
      </w:divBdr>
    </w:div>
    <w:div w:id="747457045">
      <w:bodyDiv w:val="1"/>
      <w:marLeft w:val="0"/>
      <w:marRight w:val="0"/>
      <w:marTop w:val="0"/>
      <w:marBottom w:val="0"/>
      <w:divBdr>
        <w:top w:val="none" w:sz="0" w:space="0" w:color="auto"/>
        <w:left w:val="none" w:sz="0" w:space="0" w:color="auto"/>
        <w:bottom w:val="none" w:sz="0" w:space="0" w:color="auto"/>
        <w:right w:val="none" w:sz="0" w:space="0" w:color="auto"/>
      </w:divBdr>
    </w:div>
    <w:div w:id="765342605">
      <w:bodyDiv w:val="1"/>
      <w:marLeft w:val="0"/>
      <w:marRight w:val="0"/>
      <w:marTop w:val="0"/>
      <w:marBottom w:val="0"/>
      <w:divBdr>
        <w:top w:val="none" w:sz="0" w:space="0" w:color="auto"/>
        <w:left w:val="none" w:sz="0" w:space="0" w:color="auto"/>
        <w:bottom w:val="none" w:sz="0" w:space="0" w:color="auto"/>
        <w:right w:val="none" w:sz="0" w:space="0" w:color="auto"/>
      </w:divBdr>
    </w:div>
    <w:div w:id="772896096">
      <w:bodyDiv w:val="1"/>
      <w:marLeft w:val="0"/>
      <w:marRight w:val="0"/>
      <w:marTop w:val="0"/>
      <w:marBottom w:val="0"/>
      <w:divBdr>
        <w:top w:val="none" w:sz="0" w:space="0" w:color="auto"/>
        <w:left w:val="none" w:sz="0" w:space="0" w:color="auto"/>
        <w:bottom w:val="none" w:sz="0" w:space="0" w:color="auto"/>
        <w:right w:val="none" w:sz="0" w:space="0" w:color="auto"/>
      </w:divBdr>
    </w:div>
    <w:div w:id="813764451">
      <w:bodyDiv w:val="1"/>
      <w:marLeft w:val="0"/>
      <w:marRight w:val="0"/>
      <w:marTop w:val="0"/>
      <w:marBottom w:val="0"/>
      <w:divBdr>
        <w:top w:val="none" w:sz="0" w:space="0" w:color="auto"/>
        <w:left w:val="none" w:sz="0" w:space="0" w:color="auto"/>
        <w:bottom w:val="none" w:sz="0" w:space="0" w:color="auto"/>
        <w:right w:val="none" w:sz="0" w:space="0" w:color="auto"/>
      </w:divBdr>
    </w:div>
    <w:div w:id="816185354">
      <w:bodyDiv w:val="1"/>
      <w:marLeft w:val="0"/>
      <w:marRight w:val="0"/>
      <w:marTop w:val="0"/>
      <w:marBottom w:val="0"/>
      <w:divBdr>
        <w:top w:val="none" w:sz="0" w:space="0" w:color="auto"/>
        <w:left w:val="none" w:sz="0" w:space="0" w:color="auto"/>
        <w:bottom w:val="none" w:sz="0" w:space="0" w:color="auto"/>
        <w:right w:val="none" w:sz="0" w:space="0" w:color="auto"/>
      </w:divBdr>
    </w:div>
    <w:div w:id="824318298">
      <w:bodyDiv w:val="1"/>
      <w:marLeft w:val="0"/>
      <w:marRight w:val="0"/>
      <w:marTop w:val="0"/>
      <w:marBottom w:val="0"/>
      <w:divBdr>
        <w:top w:val="none" w:sz="0" w:space="0" w:color="auto"/>
        <w:left w:val="none" w:sz="0" w:space="0" w:color="auto"/>
        <w:bottom w:val="none" w:sz="0" w:space="0" w:color="auto"/>
        <w:right w:val="none" w:sz="0" w:space="0" w:color="auto"/>
      </w:divBdr>
    </w:div>
    <w:div w:id="829441118">
      <w:bodyDiv w:val="1"/>
      <w:marLeft w:val="0"/>
      <w:marRight w:val="0"/>
      <w:marTop w:val="0"/>
      <w:marBottom w:val="0"/>
      <w:divBdr>
        <w:top w:val="none" w:sz="0" w:space="0" w:color="auto"/>
        <w:left w:val="none" w:sz="0" w:space="0" w:color="auto"/>
        <w:bottom w:val="none" w:sz="0" w:space="0" w:color="auto"/>
        <w:right w:val="none" w:sz="0" w:space="0" w:color="auto"/>
      </w:divBdr>
    </w:div>
    <w:div w:id="835193905">
      <w:bodyDiv w:val="1"/>
      <w:marLeft w:val="0"/>
      <w:marRight w:val="0"/>
      <w:marTop w:val="0"/>
      <w:marBottom w:val="0"/>
      <w:divBdr>
        <w:top w:val="none" w:sz="0" w:space="0" w:color="auto"/>
        <w:left w:val="none" w:sz="0" w:space="0" w:color="auto"/>
        <w:bottom w:val="none" w:sz="0" w:space="0" w:color="auto"/>
        <w:right w:val="none" w:sz="0" w:space="0" w:color="auto"/>
      </w:divBdr>
    </w:div>
    <w:div w:id="835460496">
      <w:bodyDiv w:val="1"/>
      <w:marLeft w:val="0"/>
      <w:marRight w:val="0"/>
      <w:marTop w:val="0"/>
      <w:marBottom w:val="0"/>
      <w:divBdr>
        <w:top w:val="none" w:sz="0" w:space="0" w:color="auto"/>
        <w:left w:val="none" w:sz="0" w:space="0" w:color="auto"/>
        <w:bottom w:val="none" w:sz="0" w:space="0" w:color="auto"/>
        <w:right w:val="none" w:sz="0" w:space="0" w:color="auto"/>
      </w:divBdr>
    </w:div>
    <w:div w:id="843009695">
      <w:bodyDiv w:val="1"/>
      <w:marLeft w:val="0"/>
      <w:marRight w:val="0"/>
      <w:marTop w:val="0"/>
      <w:marBottom w:val="0"/>
      <w:divBdr>
        <w:top w:val="none" w:sz="0" w:space="0" w:color="auto"/>
        <w:left w:val="none" w:sz="0" w:space="0" w:color="auto"/>
        <w:bottom w:val="none" w:sz="0" w:space="0" w:color="auto"/>
        <w:right w:val="none" w:sz="0" w:space="0" w:color="auto"/>
      </w:divBdr>
      <w:divsChild>
        <w:div w:id="357505811">
          <w:marLeft w:val="274"/>
          <w:marRight w:val="0"/>
          <w:marTop w:val="0"/>
          <w:marBottom w:val="0"/>
          <w:divBdr>
            <w:top w:val="none" w:sz="0" w:space="0" w:color="auto"/>
            <w:left w:val="none" w:sz="0" w:space="0" w:color="auto"/>
            <w:bottom w:val="none" w:sz="0" w:space="0" w:color="auto"/>
            <w:right w:val="none" w:sz="0" w:space="0" w:color="auto"/>
          </w:divBdr>
        </w:div>
      </w:divsChild>
    </w:div>
    <w:div w:id="843251830">
      <w:bodyDiv w:val="1"/>
      <w:marLeft w:val="0"/>
      <w:marRight w:val="0"/>
      <w:marTop w:val="0"/>
      <w:marBottom w:val="0"/>
      <w:divBdr>
        <w:top w:val="none" w:sz="0" w:space="0" w:color="auto"/>
        <w:left w:val="none" w:sz="0" w:space="0" w:color="auto"/>
        <w:bottom w:val="none" w:sz="0" w:space="0" w:color="auto"/>
        <w:right w:val="none" w:sz="0" w:space="0" w:color="auto"/>
      </w:divBdr>
    </w:div>
    <w:div w:id="845170433">
      <w:bodyDiv w:val="1"/>
      <w:marLeft w:val="0"/>
      <w:marRight w:val="0"/>
      <w:marTop w:val="0"/>
      <w:marBottom w:val="0"/>
      <w:divBdr>
        <w:top w:val="none" w:sz="0" w:space="0" w:color="auto"/>
        <w:left w:val="none" w:sz="0" w:space="0" w:color="auto"/>
        <w:bottom w:val="none" w:sz="0" w:space="0" w:color="auto"/>
        <w:right w:val="none" w:sz="0" w:space="0" w:color="auto"/>
      </w:divBdr>
    </w:div>
    <w:div w:id="846939115">
      <w:bodyDiv w:val="1"/>
      <w:marLeft w:val="0"/>
      <w:marRight w:val="0"/>
      <w:marTop w:val="0"/>
      <w:marBottom w:val="0"/>
      <w:divBdr>
        <w:top w:val="none" w:sz="0" w:space="0" w:color="auto"/>
        <w:left w:val="none" w:sz="0" w:space="0" w:color="auto"/>
        <w:bottom w:val="none" w:sz="0" w:space="0" w:color="auto"/>
        <w:right w:val="none" w:sz="0" w:space="0" w:color="auto"/>
      </w:divBdr>
    </w:div>
    <w:div w:id="849369193">
      <w:bodyDiv w:val="1"/>
      <w:marLeft w:val="0"/>
      <w:marRight w:val="0"/>
      <w:marTop w:val="0"/>
      <w:marBottom w:val="0"/>
      <w:divBdr>
        <w:top w:val="none" w:sz="0" w:space="0" w:color="auto"/>
        <w:left w:val="none" w:sz="0" w:space="0" w:color="auto"/>
        <w:bottom w:val="none" w:sz="0" w:space="0" w:color="auto"/>
        <w:right w:val="none" w:sz="0" w:space="0" w:color="auto"/>
      </w:divBdr>
      <w:divsChild>
        <w:div w:id="765465369">
          <w:marLeft w:val="259"/>
          <w:marRight w:val="0"/>
          <w:marTop w:val="0"/>
          <w:marBottom w:val="120"/>
          <w:divBdr>
            <w:top w:val="none" w:sz="0" w:space="0" w:color="auto"/>
            <w:left w:val="none" w:sz="0" w:space="0" w:color="auto"/>
            <w:bottom w:val="none" w:sz="0" w:space="0" w:color="auto"/>
            <w:right w:val="none" w:sz="0" w:space="0" w:color="auto"/>
          </w:divBdr>
        </w:div>
        <w:div w:id="1810515901">
          <w:marLeft w:val="259"/>
          <w:marRight w:val="0"/>
          <w:marTop w:val="0"/>
          <w:marBottom w:val="120"/>
          <w:divBdr>
            <w:top w:val="none" w:sz="0" w:space="0" w:color="auto"/>
            <w:left w:val="none" w:sz="0" w:space="0" w:color="auto"/>
            <w:bottom w:val="none" w:sz="0" w:space="0" w:color="auto"/>
            <w:right w:val="none" w:sz="0" w:space="0" w:color="auto"/>
          </w:divBdr>
        </w:div>
      </w:divsChild>
    </w:div>
    <w:div w:id="866020494">
      <w:bodyDiv w:val="1"/>
      <w:marLeft w:val="0"/>
      <w:marRight w:val="0"/>
      <w:marTop w:val="0"/>
      <w:marBottom w:val="0"/>
      <w:divBdr>
        <w:top w:val="none" w:sz="0" w:space="0" w:color="auto"/>
        <w:left w:val="none" w:sz="0" w:space="0" w:color="auto"/>
        <w:bottom w:val="none" w:sz="0" w:space="0" w:color="auto"/>
        <w:right w:val="none" w:sz="0" w:space="0" w:color="auto"/>
      </w:divBdr>
    </w:div>
    <w:div w:id="877084336">
      <w:bodyDiv w:val="1"/>
      <w:marLeft w:val="0"/>
      <w:marRight w:val="0"/>
      <w:marTop w:val="0"/>
      <w:marBottom w:val="0"/>
      <w:divBdr>
        <w:top w:val="none" w:sz="0" w:space="0" w:color="auto"/>
        <w:left w:val="none" w:sz="0" w:space="0" w:color="auto"/>
        <w:bottom w:val="none" w:sz="0" w:space="0" w:color="auto"/>
        <w:right w:val="none" w:sz="0" w:space="0" w:color="auto"/>
      </w:divBdr>
    </w:div>
    <w:div w:id="889851517">
      <w:bodyDiv w:val="1"/>
      <w:marLeft w:val="0"/>
      <w:marRight w:val="0"/>
      <w:marTop w:val="0"/>
      <w:marBottom w:val="0"/>
      <w:divBdr>
        <w:top w:val="none" w:sz="0" w:space="0" w:color="auto"/>
        <w:left w:val="none" w:sz="0" w:space="0" w:color="auto"/>
        <w:bottom w:val="none" w:sz="0" w:space="0" w:color="auto"/>
        <w:right w:val="none" w:sz="0" w:space="0" w:color="auto"/>
      </w:divBdr>
    </w:div>
    <w:div w:id="896628785">
      <w:bodyDiv w:val="1"/>
      <w:marLeft w:val="0"/>
      <w:marRight w:val="0"/>
      <w:marTop w:val="0"/>
      <w:marBottom w:val="0"/>
      <w:divBdr>
        <w:top w:val="none" w:sz="0" w:space="0" w:color="auto"/>
        <w:left w:val="none" w:sz="0" w:space="0" w:color="auto"/>
        <w:bottom w:val="none" w:sz="0" w:space="0" w:color="auto"/>
        <w:right w:val="none" w:sz="0" w:space="0" w:color="auto"/>
      </w:divBdr>
    </w:div>
    <w:div w:id="910509557">
      <w:bodyDiv w:val="1"/>
      <w:marLeft w:val="0"/>
      <w:marRight w:val="0"/>
      <w:marTop w:val="0"/>
      <w:marBottom w:val="0"/>
      <w:divBdr>
        <w:top w:val="none" w:sz="0" w:space="0" w:color="auto"/>
        <w:left w:val="none" w:sz="0" w:space="0" w:color="auto"/>
        <w:bottom w:val="none" w:sz="0" w:space="0" w:color="auto"/>
        <w:right w:val="none" w:sz="0" w:space="0" w:color="auto"/>
      </w:divBdr>
    </w:div>
    <w:div w:id="928345564">
      <w:bodyDiv w:val="1"/>
      <w:marLeft w:val="0"/>
      <w:marRight w:val="0"/>
      <w:marTop w:val="0"/>
      <w:marBottom w:val="0"/>
      <w:divBdr>
        <w:top w:val="none" w:sz="0" w:space="0" w:color="auto"/>
        <w:left w:val="none" w:sz="0" w:space="0" w:color="auto"/>
        <w:bottom w:val="none" w:sz="0" w:space="0" w:color="auto"/>
        <w:right w:val="none" w:sz="0" w:space="0" w:color="auto"/>
      </w:divBdr>
    </w:div>
    <w:div w:id="934746435">
      <w:bodyDiv w:val="1"/>
      <w:marLeft w:val="0"/>
      <w:marRight w:val="0"/>
      <w:marTop w:val="0"/>
      <w:marBottom w:val="0"/>
      <w:divBdr>
        <w:top w:val="none" w:sz="0" w:space="0" w:color="auto"/>
        <w:left w:val="none" w:sz="0" w:space="0" w:color="auto"/>
        <w:bottom w:val="none" w:sz="0" w:space="0" w:color="auto"/>
        <w:right w:val="none" w:sz="0" w:space="0" w:color="auto"/>
      </w:divBdr>
    </w:div>
    <w:div w:id="937636043">
      <w:bodyDiv w:val="1"/>
      <w:marLeft w:val="0"/>
      <w:marRight w:val="0"/>
      <w:marTop w:val="0"/>
      <w:marBottom w:val="0"/>
      <w:divBdr>
        <w:top w:val="none" w:sz="0" w:space="0" w:color="auto"/>
        <w:left w:val="none" w:sz="0" w:space="0" w:color="auto"/>
        <w:bottom w:val="none" w:sz="0" w:space="0" w:color="auto"/>
        <w:right w:val="none" w:sz="0" w:space="0" w:color="auto"/>
      </w:divBdr>
    </w:div>
    <w:div w:id="942499292">
      <w:bodyDiv w:val="1"/>
      <w:marLeft w:val="0"/>
      <w:marRight w:val="0"/>
      <w:marTop w:val="0"/>
      <w:marBottom w:val="0"/>
      <w:divBdr>
        <w:top w:val="none" w:sz="0" w:space="0" w:color="auto"/>
        <w:left w:val="none" w:sz="0" w:space="0" w:color="auto"/>
        <w:bottom w:val="none" w:sz="0" w:space="0" w:color="auto"/>
        <w:right w:val="none" w:sz="0" w:space="0" w:color="auto"/>
      </w:divBdr>
    </w:div>
    <w:div w:id="945843921">
      <w:bodyDiv w:val="1"/>
      <w:marLeft w:val="0"/>
      <w:marRight w:val="0"/>
      <w:marTop w:val="0"/>
      <w:marBottom w:val="0"/>
      <w:divBdr>
        <w:top w:val="none" w:sz="0" w:space="0" w:color="auto"/>
        <w:left w:val="none" w:sz="0" w:space="0" w:color="auto"/>
        <w:bottom w:val="none" w:sz="0" w:space="0" w:color="auto"/>
        <w:right w:val="none" w:sz="0" w:space="0" w:color="auto"/>
      </w:divBdr>
    </w:div>
    <w:div w:id="947127126">
      <w:bodyDiv w:val="1"/>
      <w:marLeft w:val="0"/>
      <w:marRight w:val="0"/>
      <w:marTop w:val="0"/>
      <w:marBottom w:val="0"/>
      <w:divBdr>
        <w:top w:val="none" w:sz="0" w:space="0" w:color="auto"/>
        <w:left w:val="none" w:sz="0" w:space="0" w:color="auto"/>
        <w:bottom w:val="none" w:sz="0" w:space="0" w:color="auto"/>
        <w:right w:val="none" w:sz="0" w:space="0" w:color="auto"/>
      </w:divBdr>
    </w:div>
    <w:div w:id="952710534">
      <w:bodyDiv w:val="1"/>
      <w:marLeft w:val="0"/>
      <w:marRight w:val="0"/>
      <w:marTop w:val="0"/>
      <w:marBottom w:val="0"/>
      <w:divBdr>
        <w:top w:val="none" w:sz="0" w:space="0" w:color="auto"/>
        <w:left w:val="none" w:sz="0" w:space="0" w:color="auto"/>
        <w:bottom w:val="none" w:sz="0" w:space="0" w:color="auto"/>
        <w:right w:val="none" w:sz="0" w:space="0" w:color="auto"/>
      </w:divBdr>
    </w:div>
    <w:div w:id="954292089">
      <w:bodyDiv w:val="1"/>
      <w:marLeft w:val="0"/>
      <w:marRight w:val="0"/>
      <w:marTop w:val="0"/>
      <w:marBottom w:val="0"/>
      <w:divBdr>
        <w:top w:val="none" w:sz="0" w:space="0" w:color="auto"/>
        <w:left w:val="none" w:sz="0" w:space="0" w:color="auto"/>
        <w:bottom w:val="none" w:sz="0" w:space="0" w:color="auto"/>
        <w:right w:val="none" w:sz="0" w:space="0" w:color="auto"/>
      </w:divBdr>
    </w:div>
    <w:div w:id="964234144">
      <w:bodyDiv w:val="1"/>
      <w:marLeft w:val="0"/>
      <w:marRight w:val="0"/>
      <w:marTop w:val="0"/>
      <w:marBottom w:val="0"/>
      <w:divBdr>
        <w:top w:val="none" w:sz="0" w:space="0" w:color="auto"/>
        <w:left w:val="none" w:sz="0" w:space="0" w:color="auto"/>
        <w:bottom w:val="none" w:sz="0" w:space="0" w:color="auto"/>
        <w:right w:val="none" w:sz="0" w:space="0" w:color="auto"/>
      </w:divBdr>
    </w:div>
    <w:div w:id="968322619">
      <w:bodyDiv w:val="1"/>
      <w:marLeft w:val="0"/>
      <w:marRight w:val="0"/>
      <w:marTop w:val="0"/>
      <w:marBottom w:val="0"/>
      <w:divBdr>
        <w:top w:val="none" w:sz="0" w:space="0" w:color="auto"/>
        <w:left w:val="none" w:sz="0" w:space="0" w:color="auto"/>
        <w:bottom w:val="none" w:sz="0" w:space="0" w:color="auto"/>
        <w:right w:val="none" w:sz="0" w:space="0" w:color="auto"/>
      </w:divBdr>
    </w:div>
    <w:div w:id="980766910">
      <w:bodyDiv w:val="1"/>
      <w:marLeft w:val="0"/>
      <w:marRight w:val="0"/>
      <w:marTop w:val="0"/>
      <w:marBottom w:val="0"/>
      <w:divBdr>
        <w:top w:val="none" w:sz="0" w:space="0" w:color="auto"/>
        <w:left w:val="none" w:sz="0" w:space="0" w:color="auto"/>
        <w:bottom w:val="none" w:sz="0" w:space="0" w:color="auto"/>
        <w:right w:val="none" w:sz="0" w:space="0" w:color="auto"/>
      </w:divBdr>
      <w:divsChild>
        <w:div w:id="591206394">
          <w:marLeft w:val="0"/>
          <w:marRight w:val="0"/>
          <w:marTop w:val="0"/>
          <w:marBottom w:val="0"/>
          <w:divBdr>
            <w:top w:val="none" w:sz="0" w:space="0" w:color="auto"/>
            <w:left w:val="none" w:sz="0" w:space="0" w:color="auto"/>
            <w:bottom w:val="none" w:sz="0" w:space="0" w:color="auto"/>
            <w:right w:val="none" w:sz="0" w:space="0" w:color="auto"/>
          </w:divBdr>
        </w:div>
        <w:div w:id="1835535215">
          <w:marLeft w:val="0"/>
          <w:marRight w:val="0"/>
          <w:marTop w:val="0"/>
          <w:marBottom w:val="0"/>
          <w:divBdr>
            <w:top w:val="none" w:sz="0" w:space="0" w:color="auto"/>
            <w:left w:val="none" w:sz="0" w:space="0" w:color="auto"/>
            <w:bottom w:val="none" w:sz="0" w:space="0" w:color="auto"/>
            <w:right w:val="none" w:sz="0" w:space="0" w:color="auto"/>
          </w:divBdr>
        </w:div>
      </w:divsChild>
    </w:div>
    <w:div w:id="985087733">
      <w:bodyDiv w:val="1"/>
      <w:marLeft w:val="0"/>
      <w:marRight w:val="0"/>
      <w:marTop w:val="0"/>
      <w:marBottom w:val="0"/>
      <w:divBdr>
        <w:top w:val="none" w:sz="0" w:space="0" w:color="auto"/>
        <w:left w:val="none" w:sz="0" w:space="0" w:color="auto"/>
        <w:bottom w:val="none" w:sz="0" w:space="0" w:color="auto"/>
        <w:right w:val="none" w:sz="0" w:space="0" w:color="auto"/>
      </w:divBdr>
    </w:div>
    <w:div w:id="989404760">
      <w:bodyDiv w:val="1"/>
      <w:marLeft w:val="0"/>
      <w:marRight w:val="0"/>
      <w:marTop w:val="0"/>
      <w:marBottom w:val="0"/>
      <w:divBdr>
        <w:top w:val="none" w:sz="0" w:space="0" w:color="auto"/>
        <w:left w:val="none" w:sz="0" w:space="0" w:color="auto"/>
        <w:bottom w:val="none" w:sz="0" w:space="0" w:color="auto"/>
        <w:right w:val="none" w:sz="0" w:space="0" w:color="auto"/>
      </w:divBdr>
    </w:div>
    <w:div w:id="995719043">
      <w:bodyDiv w:val="1"/>
      <w:marLeft w:val="0"/>
      <w:marRight w:val="0"/>
      <w:marTop w:val="0"/>
      <w:marBottom w:val="0"/>
      <w:divBdr>
        <w:top w:val="none" w:sz="0" w:space="0" w:color="auto"/>
        <w:left w:val="none" w:sz="0" w:space="0" w:color="auto"/>
        <w:bottom w:val="none" w:sz="0" w:space="0" w:color="auto"/>
        <w:right w:val="none" w:sz="0" w:space="0" w:color="auto"/>
      </w:divBdr>
    </w:div>
    <w:div w:id="996686748">
      <w:bodyDiv w:val="1"/>
      <w:marLeft w:val="0"/>
      <w:marRight w:val="0"/>
      <w:marTop w:val="0"/>
      <w:marBottom w:val="0"/>
      <w:divBdr>
        <w:top w:val="none" w:sz="0" w:space="0" w:color="auto"/>
        <w:left w:val="none" w:sz="0" w:space="0" w:color="auto"/>
        <w:bottom w:val="none" w:sz="0" w:space="0" w:color="auto"/>
        <w:right w:val="none" w:sz="0" w:space="0" w:color="auto"/>
      </w:divBdr>
    </w:div>
    <w:div w:id="998508709">
      <w:bodyDiv w:val="1"/>
      <w:marLeft w:val="0"/>
      <w:marRight w:val="0"/>
      <w:marTop w:val="0"/>
      <w:marBottom w:val="0"/>
      <w:divBdr>
        <w:top w:val="none" w:sz="0" w:space="0" w:color="auto"/>
        <w:left w:val="none" w:sz="0" w:space="0" w:color="auto"/>
        <w:bottom w:val="none" w:sz="0" w:space="0" w:color="auto"/>
        <w:right w:val="none" w:sz="0" w:space="0" w:color="auto"/>
      </w:divBdr>
    </w:div>
    <w:div w:id="1002661835">
      <w:bodyDiv w:val="1"/>
      <w:marLeft w:val="0"/>
      <w:marRight w:val="0"/>
      <w:marTop w:val="0"/>
      <w:marBottom w:val="0"/>
      <w:divBdr>
        <w:top w:val="none" w:sz="0" w:space="0" w:color="auto"/>
        <w:left w:val="none" w:sz="0" w:space="0" w:color="auto"/>
        <w:bottom w:val="none" w:sz="0" w:space="0" w:color="auto"/>
        <w:right w:val="none" w:sz="0" w:space="0" w:color="auto"/>
      </w:divBdr>
    </w:div>
    <w:div w:id="1007901318">
      <w:bodyDiv w:val="1"/>
      <w:marLeft w:val="0"/>
      <w:marRight w:val="0"/>
      <w:marTop w:val="0"/>
      <w:marBottom w:val="0"/>
      <w:divBdr>
        <w:top w:val="none" w:sz="0" w:space="0" w:color="auto"/>
        <w:left w:val="none" w:sz="0" w:space="0" w:color="auto"/>
        <w:bottom w:val="none" w:sz="0" w:space="0" w:color="auto"/>
        <w:right w:val="none" w:sz="0" w:space="0" w:color="auto"/>
      </w:divBdr>
    </w:div>
    <w:div w:id="1016538235">
      <w:bodyDiv w:val="1"/>
      <w:marLeft w:val="0"/>
      <w:marRight w:val="0"/>
      <w:marTop w:val="0"/>
      <w:marBottom w:val="0"/>
      <w:divBdr>
        <w:top w:val="none" w:sz="0" w:space="0" w:color="auto"/>
        <w:left w:val="none" w:sz="0" w:space="0" w:color="auto"/>
        <w:bottom w:val="none" w:sz="0" w:space="0" w:color="auto"/>
        <w:right w:val="none" w:sz="0" w:space="0" w:color="auto"/>
      </w:divBdr>
    </w:div>
    <w:div w:id="1019283219">
      <w:bodyDiv w:val="1"/>
      <w:marLeft w:val="0"/>
      <w:marRight w:val="0"/>
      <w:marTop w:val="0"/>
      <w:marBottom w:val="0"/>
      <w:divBdr>
        <w:top w:val="none" w:sz="0" w:space="0" w:color="auto"/>
        <w:left w:val="none" w:sz="0" w:space="0" w:color="auto"/>
        <w:bottom w:val="none" w:sz="0" w:space="0" w:color="auto"/>
        <w:right w:val="none" w:sz="0" w:space="0" w:color="auto"/>
      </w:divBdr>
    </w:div>
    <w:div w:id="1036201740">
      <w:bodyDiv w:val="1"/>
      <w:marLeft w:val="0"/>
      <w:marRight w:val="0"/>
      <w:marTop w:val="0"/>
      <w:marBottom w:val="0"/>
      <w:divBdr>
        <w:top w:val="none" w:sz="0" w:space="0" w:color="auto"/>
        <w:left w:val="none" w:sz="0" w:space="0" w:color="auto"/>
        <w:bottom w:val="none" w:sz="0" w:space="0" w:color="auto"/>
        <w:right w:val="none" w:sz="0" w:space="0" w:color="auto"/>
      </w:divBdr>
    </w:div>
    <w:div w:id="1038310355">
      <w:bodyDiv w:val="1"/>
      <w:marLeft w:val="0"/>
      <w:marRight w:val="0"/>
      <w:marTop w:val="0"/>
      <w:marBottom w:val="0"/>
      <w:divBdr>
        <w:top w:val="none" w:sz="0" w:space="0" w:color="auto"/>
        <w:left w:val="none" w:sz="0" w:space="0" w:color="auto"/>
        <w:bottom w:val="none" w:sz="0" w:space="0" w:color="auto"/>
        <w:right w:val="none" w:sz="0" w:space="0" w:color="auto"/>
      </w:divBdr>
    </w:div>
    <w:div w:id="1040202041">
      <w:bodyDiv w:val="1"/>
      <w:marLeft w:val="0"/>
      <w:marRight w:val="0"/>
      <w:marTop w:val="0"/>
      <w:marBottom w:val="0"/>
      <w:divBdr>
        <w:top w:val="none" w:sz="0" w:space="0" w:color="auto"/>
        <w:left w:val="none" w:sz="0" w:space="0" w:color="auto"/>
        <w:bottom w:val="none" w:sz="0" w:space="0" w:color="auto"/>
        <w:right w:val="none" w:sz="0" w:space="0" w:color="auto"/>
      </w:divBdr>
    </w:div>
    <w:div w:id="1041712864">
      <w:bodyDiv w:val="1"/>
      <w:marLeft w:val="0"/>
      <w:marRight w:val="0"/>
      <w:marTop w:val="0"/>
      <w:marBottom w:val="0"/>
      <w:divBdr>
        <w:top w:val="none" w:sz="0" w:space="0" w:color="auto"/>
        <w:left w:val="none" w:sz="0" w:space="0" w:color="auto"/>
        <w:bottom w:val="none" w:sz="0" w:space="0" w:color="auto"/>
        <w:right w:val="none" w:sz="0" w:space="0" w:color="auto"/>
      </w:divBdr>
    </w:div>
    <w:div w:id="1046219767">
      <w:bodyDiv w:val="1"/>
      <w:marLeft w:val="0"/>
      <w:marRight w:val="0"/>
      <w:marTop w:val="0"/>
      <w:marBottom w:val="0"/>
      <w:divBdr>
        <w:top w:val="none" w:sz="0" w:space="0" w:color="auto"/>
        <w:left w:val="none" w:sz="0" w:space="0" w:color="auto"/>
        <w:bottom w:val="none" w:sz="0" w:space="0" w:color="auto"/>
        <w:right w:val="none" w:sz="0" w:space="0" w:color="auto"/>
      </w:divBdr>
    </w:div>
    <w:div w:id="1050570178">
      <w:bodyDiv w:val="1"/>
      <w:marLeft w:val="0"/>
      <w:marRight w:val="0"/>
      <w:marTop w:val="0"/>
      <w:marBottom w:val="0"/>
      <w:divBdr>
        <w:top w:val="none" w:sz="0" w:space="0" w:color="auto"/>
        <w:left w:val="none" w:sz="0" w:space="0" w:color="auto"/>
        <w:bottom w:val="none" w:sz="0" w:space="0" w:color="auto"/>
        <w:right w:val="none" w:sz="0" w:space="0" w:color="auto"/>
      </w:divBdr>
    </w:div>
    <w:div w:id="1050880983">
      <w:bodyDiv w:val="1"/>
      <w:marLeft w:val="0"/>
      <w:marRight w:val="0"/>
      <w:marTop w:val="0"/>
      <w:marBottom w:val="0"/>
      <w:divBdr>
        <w:top w:val="none" w:sz="0" w:space="0" w:color="auto"/>
        <w:left w:val="none" w:sz="0" w:space="0" w:color="auto"/>
        <w:bottom w:val="none" w:sz="0" w:space="0" w:color="auto"/>
        <w:right w:val="none" w:sz="0" w:space="0" w:color="auto"/>
      </w:divBdr>
    </w:div>
    <w:div w:id="1054543702">
      <w:bodyDiv w:val="1"/>
      <w:marLeft w:val="0"/>
      <w:marRight w:val="0"/>
      <w:marTop w:val="0"/>
      <w:marBottom w:val="0"/>
      <w:divBdr>
        <w:top w:val="none" w:sz="0" w:space="0" w:color="auto"/>
        <w:left w:val="none" w:sz="0" w:space="0" w:color="auto"/>
        <w:bottom w:val="none" w:sz="0" w:space="0" w:color="auto"/>
        <w:right w:val="none" w:sz="0" w:space="0" w:color="auto"/>
      </w:divBdr>
    </w:div>
    <w:div w:id="1067148482">
      <w:bodyDiv w:val="1"/>
      <w:marLeft w:val="0"/>
      <w:marRight w:val="0"/>
      <w:marTop w:val="0"/>
      <w:marBottom w:val="0"/>
      <w:divBdr>
        <w:top w:val="none" w:sz="0" w:space="0" w:color="auto"/>
        <w:left w:val="none" w:sz="0" w:space="0" w:color="auto"/>
        <w:bottom w:val="none" w:sz="0" w:space="0" w:color="auto"/>
        <w:right w:val="none" w:sz="0" w:space="0" w:color="auto"/>
      </w:divBdr>
    </w:div>
    <w:div w:id="1072386834">
      <w:bodyDiv w:val="1"/>
      <w:marLeft w:val="0"/>
      <w:marRight w:val="0"/>
      <w:marTop w:val="0"/>
      <w:marBottom w:val="0"/>
      <w:divBdr>
        <w:top w:val="none" w:sz="0" w:space="0" w:color="auto"/>
        <w:left w:val="none" w:sz="0" w:space="0" w:color="auto"/>
        <w:bottom w:val="none" w:sz="0" w:space="0" w:color="auto"/>
        <w:right w:val="none" w:sz="0" w:space="0" w:color="auto"/>
      </w:divBdr>
    </w:div>
    <w:div w:id="1072703118">
      <w:bodyDiv w:val="1"/>
      <w:marLeft w:val="0"/>
      <w:marRight w:val="0"/>
      <w:marTop w:val="0"/>
      <w:marBottom w:val="0"/>
      <w:divBdr>
        <w:top w:val="none" w:sz="0" w:space="0" w:color="auto"/>
        <w:left w:val="none" w:sz="0" w:space="0" w:color="auto"/>
        <w:bottom w:val="none" w:sz="0" w:space="0" w:color="auto"/>
        <w:right w:val="none" w:sz="0" w:space="0" w:color="auto"/>
      </w:divBdr>
    </w:div>
    <w:div w:id="1083838413">
      <w:bodyDiv w:val="1"/>
      <w:marLeft w:val="0"/>
      <w:marRight w:val="0"/>
      <w:marTop w:val="0"/>
      <w:marBottom w:val="0"/>
      <w:divBdr>
        <w:top w:val="none" w:sz="0" w:space="0" w:color="auto"/>
        <w:left w:val="none" w:sz="0" w:space="0" w:color="auto"/>
        <w:bottom w:val="none" w:sz="0" w:space="0" w:color="auto"/>
        <w:right w:val="none" w:sz="0" w:space="0" w:color="auto"/>
      </w:divBdr>
    </w:div>
    <w:div w:id="1084230963">
      <w:bodyDiv w:val="1"/>
      <w:marLeft w:val="0"/>
      <w:marRight w:val="0"/>
      <w:marTop w:val="0"/>
      <w:marBottom w:val="0"/>
      <w:divBdr>
        <w:top w:val="none" w:sz="0" w:space="0" w:color="auto"/>
        <w:left w:val="none" w:sz="0" w:space="0" w:color="auto"/>
        <w:bottom w:val="none" w:sz="0" w:space="0" w:color="auto"/>
        <w:right w:val="none" w:sz="0" w:space="0" w:color="auto"/>
      </w:divBdr>
    </w:div>
    <w:div w:id="1090273370">
      <w:bodyDiv w:val="1"/>
      <w:marLeft w:val="0"/>
      <w:marRight w:val="0"/>
      <w:marTop w:val="0"/>
      <w:marBottom w:val="0"/>
      <w:divBdr>
        <w:top w:val="none" w:sz="0" w:space="0" w:color="auto"/>
        <w:left w:val="none" w:sz="0" w:space="0" w:color="auto"/>
        <w:bottom w:val="none" w:sz="0" w:space="0" w:color="auto"/>
        <w:right w:val="none" w:sz="0" w:space="0" w:color="auto"/>
      </w:divBdr>
    </w:div>
    <w:div w:id="1093816732">
      <w:bodyDiv w:val="1"/>
      <w:marLeft w:val="0"/>
      <w:marRight w:val="0"/>
      <w:marTop w:val="0"/>
      <w:marBottom w:val="0"/>
      <w:divBdr>
        <w:top w:val="none" w:sz="0" w:space="0" w:color="auto"/>
        <w:left w:val="none" w:sz="0" w:space="0" w:color="auto"/>
        <w:bottom w:val="none" w:sz="0" w:space="0" w:color="auto"/>
        <w:right w:val="none" w:sz="0" w:space="0" w:color="auto"/>
      </w:divBdr>
    </w:div>
    <w:div w:id="1098059935">
      <w:bodyDiv w:val="1"/>
      <w:marLeft w:val="0"/>
      <w:marRight w:val="0"/>
      <w:marTop w:val="0"/>
      <w:marBottom w:val="0"/>
      <w:divBdr>
        <w:top w:val="none" w:sz="0" w:space="0" w:color="auto"/>
        <w:left w:val="none" w:sz="0" w:space="0" w:color="auto"/>
        <w:bottom w:val="none" w:sz="0" w:space="0" w:color="auto"/>
        <w:right w:val="none" w:sz="0" w:space="0" w:color="auto"/>
      </w:divBdr>
    </w:div>
    <w:div w:id="1110396447">
      <w:bodyDiv w:val="1"/>
      <w:marLeft w:val="0"/>
      <w:marRight w:val="0"/>
      <w:marTop w:val="0"/>
      <w:marBottom w:val="0"/>
      <w:divBdr>
        <w:top w:val="none" w:sz="0" w:space="0" w:color="auto"/>
        <w:left w:val="none" w:sz="0" w:space="0" w:color="auto"/>
        <w:bottom w:val="none" w:sz="0" w:space="0" w:color="auto"/>
        <w:right w:val="none" w:sz="0" w:space="0" w:color="auto"/>
      </w:divBdr>
    </w:div>
    <w:div w:id="1120223243">
      <w:bodyDiv w:val="1"/>
      <w:marLeft w:val="0"/>
      <w:marRight w:val="0"/>
      <w:marTop w:val="0"/>
      <w:marBottom w:val="0"/>
      <w:divBdr>
        <w:top w:val="none" w:sz="0" w:space="0" w:color="auto"/>
        <w:left w:val="none" w:sz="0" w:space="0" w:color="auto"/>
        <w:bottom w:val="none" w:sz="0" w:space="0" w:color="auto"/>
        <w:right w:val="none" w:sz="0" w:space="0" w:color="auto"/>
      </w:divBdr>
    </w:div>
    <w:div w:id="1128282649">
      <w:bodyDiv w:val="1"/>
      <w:marLeft w:val="0"/>
      <w:marRight w:val="0"/>
      <w:marTop w:val="0"/>
      <w:marBottom w:val="0"/>
      <w:divBdr>
        <w:top w:val="none" w:sz="0" w:space="0" w:color="auto"/>
        <w:left w:val="none" w:sz="0" w:space="0" w:color="auto"/>
        <w:bottom w:val="none" w:sz="0" w:space="0" w:color="auto"/>
        <w:right w:val="none" w:sz="0" w:space="0" w:color="auto"/>
      </w:divBdr>
    </w:div>
    <w:div w:id="1133250177">
      <w:bodyDiv w:val="1"/>
      <w:marLeft w:val="0"/>
      <w:marRight w:val="0"/>
      <w:marTop w:val="0"/>
      <w:marBottom w:val="0"/>
      <w:divBdr>
        <w:top w:val="none" w:sz="0" w:space="0" w:color="auto"/>
        <w:left w:val="none" w:sz="0" w:space="0" w:color="auto"/>
        <w:bottom w:val="none" w:sz="0" w:space="0" w:color="auto"/>
        <w:right w:val="none" w:sz="0" w:space="0" w:color="auto"/>
      </w:divBdr>
    </w:div>
    <w:div w:id="1136097642">
      <w:bodyDiv w:val="1"/>
      <w:marLeft w:val="0"/>
      <w:marRight w:val="0"/>
      <w:marTop w:val="0"/>
      <w:marBottom w:val="0"/>
      <w:divBdr>
        <w:top w:val="none" w:sz="0" w:space="0" w:color="auto"/>
        <w:left w:val="none" w:sz="0" w:space="0" w:color="auto"/>
        <w:bottom w:val="none" w:sz="0" w:space="0" w:color="auto"/>
        <w:right w:val="none" w:sz="0" w:space="0" w:color="auto"/>
      </w:divBdr>
    </w:div>
    <w:div w:id="1137604944">
      <w:bodyDiv w:val="1"/>
      <w:marLeft w:val="0"/>
      <w:marRight w:val="0"/>
      <w:marTop w:val="0"/>
      <w:marBottom w:val="0"/>
      <w:divBdr>
        <w:top w:val="none" w:sz="0" w:space="0" w:color="auto"/>
        <w:left w:val="none" w:sz="0" w:space="0" w:color="auto"/>
        <w:bottom w:val="none" w:sz="0" w:space="0" w:color="auto"/>
        <w:right w:val="none" w:sz="0" w:space="0" w:color="auto"/>
      </w:divBdr>
    </w:div>
    <w:div w:id="1137796134">
      <w:bodyDiv w:val="1"/>
      <w:marLeft w:val="0"/>
      <w:marRight w:val="0"/>
      <w:marTop w:val="0"/>
      <w:marBottom w:val="0"/>
      <w:divBdr>
        <w:top w:val="none" w:sz="0" w:space="0" w:color="auto"/>
        <w:left w:val="none" w:sz="0" w:space="0" w:color="auto"/>
        <w:bottom w:val="none" w:sz="0" w:space="0" w:color="auto"/>
        <w:right w:val="none" w:sz="0" w:space="0" w:color="auto"/>
      </w:divBdr>
    </w:div>
    <w:div w:id="1142236567">
      <w:bodyDiv w:val="1"/>
      <w:marLeft w:val="0"/>
      <w:marRight w:val="0"/>
      <w:marTop w:val="0"/>
      <w:marBottom w:val="0"/>
      <w:divBdr>
        <w:top w:val="none" w:sz="0" w:space="0" w:color="auto"/>
        <w:left w:val="none" w:sz="0" w:space="0" w:color="auto"/>
        <w:bottom w:val="none" w:sz="0" w:space="0" w:color="auto"/>
        <w:right w:val="none" w:sz="0" w:space="0" w:color="auto"/>
      </w:divBdr>
      <w:divsChild>
        <w:div w:id="334839874">
          <w:marLeft w:val="274"/>
          <w:marRight w:val="0"/>
          <w:marTop w:val="0"/>
          <w:marBottom w:val="120"/>
          <w:divBdr>
            <w:top w:val="none" w:sz="0" w:space="0" w:color="auto"/>
            <w:left w:val="none" w:sz="0" w:space="0" w:color="auto"/>
            <w:bottom w:val="none" w:sz="0" w:space="0" w:color="auto"/>
            <w:right w:val="none" w:sz="0" w:space="0" w:color="auto"/>
          </w:divBdr>
        </w:div>
        <w:div w:id="441152401">
          <w:marLeft w:val="274"/>
          <w:marRight w:val="0"/>
          <w:marTop w:val="0"/>
          <w:marBottom w:val="120"/>
          <w:divBdr>
            <w:top w:val="none" w:sz="0" w:space="0" w:color="auto"/>
            <w:left w:val="none" w:sz="0" w:space="0" w:color="auto"/>
            <w:bottom w:val="none" w:sz="0" w:space="0" w:color="auto"/>
            <w:right w:val="none" w:sz="0" w:space="0" w:color="auto"/>
          </w:divBdr>
        </w:div>
        <w:div w:id="1501391259">
          <w:marLeft w:val="274"/>
          <w:marRight w:val="0"/>
          <w:marTop w:val="0"/>
          <w:marBottom w:val="120"/>
          <w:divBdr>
            <w:top w:val="none" w:sz="0" w:space="0" w:color="auto"/>
            <w:left w:val="none" w:sz="0" w:space="0" w:color="auto"/>
            <w:bottom w:val="none" w:sz="0" w:space="0" w:color="auto"/>
            <w:right w:val="none" w:sz="0" w:space="0" w:color="auto"/>
          </w:divBdr>
        </w:div>
      </w:divsChild>
    </w:div>
    <w:div w:id="1145899276">
      <w:bodyDiv w:val="1"/>
      <w:marLeft w:val="0"/>
      <w:marRight w:val="0"/>
      <w:marTop w:val="0"/>
      <w:marBottom w:val="0"/>
      <w:divBdr>
        <w:top w:val="none" w:sz="0" w:space="0" w:color="auto"/>
        <w:left w:val="none" w:sz="0" w:space="0" w:color="auto"/>
        <w:bottom w:val="none" w:sz="0" w:space="0" w:color="auto"/>
        <w:right w:val="none" w:sz="0" w:space="0" w:color="auto"/>
      </w:divBdr>
    </w:div>
    <w:div w:id="1155487130">
      <w:bodyDiv w:val="1"/>
      <w:marLeft w:val="0"/>
      <w:marRight w:val="0"/>
      <w:marTop w:val="0"/>
      <w:marBottom w:val="0"/>
      <w:divBdr>
        <w:top w:val="none" w:sz="0" w:space="0" w:color="auto"/>
        <w:left w:val="none" w:sz="0" w:space="0" w:color="auto"/>
        <w:bottom w:val="none" w:sz="0" w:space="0" w:color="auto"/>
        <w:right w:val="none" w:sz="0" w:space="0" w:color="auto"/>
      </w:divBdr>
    </w:div>
    <w:div w:id="1155603325">
      <w:bodyDiv w:val="1"/>
      <w:marLeft w:val="0"/>
      <w:marRight w:val="0"/>
      <w:marTop w:val="0"/>
      <w:marBottom w:val="0"/>
      <w:divBdr>
        <w:top w:val="none" w:sz="0" w:space="0" w:color="auto"/>
        <w:left w:val="none" w:sz="0" w:space="0" w:color="auto"/>
        <w:bottom w:val="none" w:sz="0" w:space="0" w:color="auto"/>
        <w:right w:val="none" w:sz="0" w:space="0" w:color="auto"/>
      </w:divBdr>
    </w:div>
    <w:div w:id="1161895797">
      <w:bodyDiv w:val="1"/>
      <w:marLeft w:val="0"/>
      <w:marRight w:val="0"/>
      <w:marTop w:val="0"/>
      <w:marBottom w:val="0"/>
      <w:divBdr>
        <w:top w:val="none" w:sz="0" w:space="0" w:color="auto"/>
        <w:left w:val="none" w:sz="0" w:space="0" w:color="auto"/>
        <w:bottom w:val="none" w:sz="0" w:space="0" w:color="auto"/>
        <w:right w:val="none" w:sz="0" w:space="0" w:color="auto"/>
      </w:divBdr>
    </w:div>
    <w:div w:id="1162163787">
      <w:bodyDiv w:val="1"/>
      <w:marLeft w:val="0"/>
      <w:marRight w:val="0"/>
      <w:marTop w:val="0"/>
      <w:marBottom w:val="0"/>
      <w:divBdr>
        <w:top w:val="none" w:sz="0" w:space="0" w:color="auto"/>
        <w:left w:val="none" w:sz="0" w:space="0" w:color="auto"/>
        <w:bottom w:val="none" w:sz="0" w:space="0" w:color="auto"/>
        <w:right w:val="none" w:sz="0" w:space="0" w:color="auto"/>
      </w:divBdr>
    </w:div>
    <w:div w:id="1163469833">
      <w:bodyDiv w:val="1"/>
      <w:marLeft w:val="0"/>
      <w:marRight w:val="0"/>
      <w:marTop w:val="0"/>
      <w:marBottom w:val="0"/>
      <w:divBdr>
        <w:top w:val="none" w:sz="0" w:space="0" w:color="auto"/>
        <w:left w:val="none" w:sz="0" w:space="0" w:color="auto"/>
        <w:bottom w:val="none" w:sz="0" w:space="0" w:color="auto"/>
        <w:right w:val="none" w:sz="0" w:space="0" w:color="auto"/>
      </w:divBdr>
    </w:div>
    <w:div w:id="1170414666">
      <w:bodyDiv w:val="1"/>
      <w:marLeft w:val="0"/>
      <w:marRight w:val="0"/>
      <w:marTop w:val="0"/>
      <w:marBottom w:val="0"/>
      <w:divBdr>
        <w:top w:val="none" w:sz="0" w:space="0" w:color="auto"/>
        <w:left w:val="none" w:sz="0" w:space="0" w:color="auto"/>
        <w:bottom w:val="none" w:sz="0" w:space="0" w:color="auto"/>
        <w:right w:val="none" w:sz="0" w:space="0" w:color="auto"/>
      </w:divBdr>
    </w:div>
    <w:div w:id="1174684225">
      <w:bodyDiv w:val="1"/>
      <w:marLeft w:val="0"/>
      <w:marRight w:val="0"/>
      <w:marTop w:val="0"/>
      <w:marBottom w:val="0"/>
      <w:divBdr>
        <w:top w:val="none" w:sz="0" w:space="0" w:color="auto"/>
        <w:left w:val="none" w:sz="0" w:space="0" w:color="auto"/>
        <w:bottom w:val="none" w:sz="0" w:space="0" w:color="auto"/>
        <w:right w:val="none" w:sz="0" w:space="0" w:color="auto"/>
      </w:divBdr>
      <w:divsChild>
        <w:div w:id="357858465">
          <w:marLeft w:val="0"/>
          <w:marRight w:val="0"/>
          <w:marTop w:val="0"/>
          <w:marBottom w:val="0"/>
          <w:divBdr>
            <w:top w:val="none" w:sz="0" w:space="0" w:color="auto"/>
            <w:left w:val="none" w:sz="0" w:space="0" w:color="auto"/>
            <w:bottom w:val="none" w:sz="0" w:space="0" w:color="auto"/>
            <w:right w:val="none" w:sz="0" w:space="0" w:color="auto"/>
          </w:divBdr>
        </w:div>
        <w:div w:id="888691958">
          <w:marLeft w:val="0"/>
          <w:marRight w:val="0"/>
          <w:marTop w:val="0"/>
          <w:marBottom w:val="0"/>
          <w:divBdr>
            <w:top w:val="none" w:sz="0" w:space="0" w:color="auto"/>
            <w:left w:val="none" w:sz="0" w:space="0" w:color="auto"/>
            <w:bottom w:val="none" w:sz="0" w:space="0" w:color="auto"/>
            <w:right w:val="none" w:sz="0" w:space="0" w:color="auto"/>
          </w:divBdr>
        </w:div>
        <w:div w:id="1137530028">
          <w:marLeft w:val="0"/>
          <w:marRight w:val="0"/>
          <w:marTop w:val="0"/>
          <w:marBottom w:val="0"/>
          <w:divBdr>
            <w:top w:val="none" w:sz="0" w:space="0" w:color="auto"/>
            <w:left w:val="none" w:sz="0" w:space="0" w:color="auto"/>
            <w:bottom w:val="none" w:sz="0" w:space="0" w:color="auto"/>
            <w:right w:val="none" w:sz="0" w:space="0" w:color="auto"/>
          </w:divBdr>
        </w:div>
        <w:div w:id="1334845464">
          <w:marLeft w:val="0"/>
          <w:marRight w:val="0"/>
          <w:marTop w:val="0"/>
          <w:marBottom w:val="0"/>
          <w:divBdr>
            <w:top w:val="none" w:sz="0" w:space="0" w:color="auto"/>
            <w:left w:val="none" w:sz="0" w:space="0" w:color="auto"/>
            <w:bottom w:val="none" w:sz="0" w:space="0" w:color="auto"/>
            <w:right w:val="none" w:sz="0" w:space="0" w:color="auto"/>
          </w:divBdr>
        </w:div>
        <w:div w:id="1557619520">
          <w:marLeft w:val="0"/>
          <w:marRight w:val="0"/>
          <w:marTop w:val="0"/>
          <w:marBottom w:val="0"/>
          <w:divBdr>
            <w:top w:val="none" w:sz="0" w:space="0" w:color="auto"/>
            <w:left w:val="none" w:sz="0" w:space="0" w:color="auto"/>
            <w:bottom w:val="none" w:sz="0" w:space="0" w:color="auto"/>
            <w:right w:val="none" w:sz="0" w:space="0" w:color="auto"/>
          </w:divBdr>
        </w:div>
        <w:div w:id="1610041394">
          <w:marLeft w:val="0"/>
          <w:marRight w:val="0"/>
          <w:marTop w:val="0"/>
          <w:marBottom w:val="0"/>
          <w:divBdr>
            <w:top w:val="none" w:sz="0" w:space="0" w:color="auto"/>
            <w:left w:val="none" w:sz="0" w:space="0" w:color="auto"/>
            <w:bottom w:val="none" w:sz="0" w:space="0" w:color="auto"/>
            <w:right w:val="none" w:sz="0" w:space="0" w:color="auto"/>
          </w:divBdr>
        </w:div>
        <w:div w:id="1677346111">
          <w:marLeft w:val="0"/>
          <w:marRight w:val="0"/>
          <w:marTop w:val="0"/>
          <w:marBottom w:val="0"/>
          <w:divBdr>
            <w:top w:val="none" w:sz="0" w:space="0" w:color="auto"/>
            <w:left w:val="none" w:sz="0" w:space="0" w:color="auto"/>
            <w:bottom w:val="none" w:sz="0" w:space="0" w:color="auto"/>
            <w:right w:val="none" w:sz="0" w:space="0" w:color="auto"/>
          </w:divBdr>
        </w:div>
        <w:div w:id="1701977950">
          <w:marLeft w:val="0"/>
          <w:marRight w:val="0"/>
          <w:marTop w:val="0"/>
          <w:marBottom w:val="0"/>
          <w:divBdr>
            <w:top w:val="none" w:sz="0" w:space="0" w:color="auto"/>
            <w:left w:val="none" w:sz="0" w:space="0" w:color="auto"/>
            <w:bottom w:val="none" w:sz="0" w:space="0" w:color="auto"/>
            <w:right w:val="none" w:sz="0" w:space="0" w:color="auto"/>
          </w:divBdr>
        </w:div>
        <w:div w:id="2066566265">
          <w:marLeft w:val="0"/>
          <w:marRight w:val="0"/>
          <w:marTop w:val="0"/>
          <w:marBottom w:val="0"/>
          <w:divBdr>
            <w:top w:val="none" w:sz="0" w:space="0" w:color="auto"/>
            <w:left w:val="none" w:sz="0" w:space="0" w:color="auto"/>
            <w:bottom w:val="none" w:sz="0" w:space="0" w:color="auto"/>
            <w:right w:val="none" w:sz="0" w:space="0" w:color="auto"/>
          </w:divBdr>
        </w:div>
      </w:divsChild>
    </w:div>
    <w:div w:id="1193422435">
      <w:bodyDiv w:val="1"/>
      <w:marLeft w:val="0"/>
      <w:marRight w:val="0"/>
      <w:marTop w:val="0"/>
      <w:marBottom w:val="0"/>
      <w:divBdr>
        <w:top w:val="none" w:sz="0" w:space="0" w:color="auto"/>
        <w:left w:val="none" w:sz="0" w:space="0" w:color="auto"/>
        <w:bottom w:val="none" w:sz="0" w:space="0" w:color="auto"/>
        <w:right w:val="none" w:sz="0" w:space="0" w:color="auto"/>
      </w:divBdr>
    </w:div>
    <w:div w:id="1194348789">
      <w:bodyDiv w:val="1"/>
      <w:marLeft w:val="0"/>
      <w:marRight w:val="0"/>
      <w:marTop w:val="0"/>
      <w:marBottom w:val="0"/>
      <w:divBdr>
        <w:top w:val="none" w:sz="0" w:space="0" w:color="auto"/>
        <w:left w:val="none" w:sz="0" w:space="0" w:color="auto"/>
        <w:bottom w:val="none" w:sz="0" w:space="0" w:color="auto"/>
        <w:right w:val="none" w:sz="0" w:space="0" w:color="auto"/>
      </w:divBdr>
    </w:div>
    <w:div w:id="1199976240">
      <w:bodyDiv w:val="1"/>
      <w:marLeft w:val="0"/>
      <w:marRight w:val="0"/>
      <w:marTop w:val="0"/>
      <w:marBottom w:val="0"/>
      <w:divBdr>
        <w:top w:val="none" w:sz="0" w:space="0" w:color="auto"/>
        <w:left w:val="none" w:sz="0" w:space="0" w:color="auto"/>
        <w:bottom w:val="none" w:sz="0" w:space="0" w:color="auto"/>
        <w:right w:val="none" w:sz="0" w:space="0" w:color="auto"/>
      </w:divBdr>
    </w:div>
    <w:div w:id="1200050041">
      <w:bodyDiv w:val="1"/>
      <w:marLeft w:val="0"/>
      <w:marRight w:val="0"/>
      <w:marTop w:val="0"/>
      <w:marBottom w:val="0"/>
      <w:divBdr>
        <w:top w:val="none" w:sz="0" w:space="0" w:color="auto"/>
        <w:left w:val="none" w:sz="0" w:space="0" w:color="auto"/>
        <w:bottom w:val="none" w:sz="0" w:space="0" w:color="auto"/>
        <w:right w:val="none" w:sz="0" w:space="0" w:color="auto"/>
      </w:divBdr>
    </w:div>
    <w:div w:id="1204713918">
      <w:bodyDiv w:val="1"/>
      <w:marLeft w:val="0"/>
      <w:marRight w:val="0"/>
      <w:marTop w:val="0"/>
      <w:marBottom w:val="0"/>
      <w:divBdr>
        <w:top w:val="none" w:sz="0" w:space="0" w:color="auto"/>
        <w:left w:val="none" w:sz="0" w:space="0" w:color="auto"/>
        <w:bottom w:val="none" w:sz="0" w:space="0" w:color="auto"/>
        <w:right w:val="none" w:sz="0" w:space="0" w:color="auto"/>
      </w:divBdr>
    </w:div>
    <w:div w:id="1207915263">
      <w:bodyDiv w:val="1"/>
      <w:marLeft w:val="0"/>
      <w:marRight w:val="0"/>
      <w:marTop w:val="0"/>
      <w:marBottom w:val="0"/>
      <w:divBdr>
        <w:top w:val="none" w:sz="0" w:space="0" w:color="auto"/>
        <w:left w:val="none" w:sz="0" w:space="0" w:color="auto"/>
        <w:bottom w:val="none" w:sz="0" w:space="0" w:color="auto"/>
        <w:right w:val="none" w:sz="0" w:space="0" w:color="auto"/>
      </w:divBdr>
      <w:divsChild>
        <w:div w:id="126629625">
          <w:marLeft w:val="274"/>
          <w:marRight w:val="0"/>
          <w:marTop w:val="0"/>
          <w:marBottom w:val="120"/>
          <w:divBdr>
            <w:top w:val="none" w:sz="0" w:space="0" w:color="auto"/>
            <w:left w:val="none" w:sz="0" w:space="0" w:color="auto"/>
            <w:bottom w:val="none" w:sz="0" w:space="0" w:color="auto"/>
            <w:right w:val="none" w:sz="0" w:space="0" w:color="auto"/>
          </w:divBdr>
        </w:div>
        <w:div w:id="185102040">
          <w:marLeft w:val="274"/>
          <w:marRight w:val="0"/>
          <w:marTop w:val="0"/>
          <w:marBottom w:val="120"/>
          <w:divBdr>
            <w:top w:val="none" w:sz="0" w:space="0" w:color="auto"/>
            <w:left w:val="none" w:sz="0" w:space="0" w:color="auto"/>
            <w:bottom w:val="none" w:sz="0" w:space="0" w:color="auto"/>
            <w:right w:val="none" w:sz="0" w:space="0" w:color="auto"/>
          </w:divBdr>
        </w:div>
        <w:div w:id="312952858">
          <w:marLeft w:val="850"/>
          <w:marRight w:val="0"/>
          <w:marTop w:val="0"/>
          <w:marBottom w:val="120"/>
          <w:divBdr>
            <w:top w:val="none" w:sz="0" w:space="0" w:color="auto"/>
            <w:left w:val="none" w:sz="0" w:space="0" w:color="auto"/>
            <w:bottom w:val="none" w:sz="0" w:space="0" w:color="auto"/>
            <w:right w:val="none" w:sz="0" w:space="0" w:color="auto"/>
          </w:divBdr>
        </w:div>
        <w:div w:id="719399467">
          <w:marLeft w:val="850"/>
          <w:marRight w:val="0"/>
          <w:marTop w:val="0"/>
          <w:marBottom w:val="120"/>
          <w:divBdr>
            <w:top w:val="none" w:sz="0" w:space="0" w:color="auto"/>
            <w:left w:val="none" w:sz="0" w:space="0" w:color="auto"/>
            <w:bottom w:val="none" w:sz="0" w:space="0" w:color="auto"/>
            <w:right w:val="none" w:sz="0" w:space="0" w:color="auto"/>
          </w:divBdr>
        </w:div>
        <w:div w:id="821117540">
          <w:marLeft w:val="274"/>
          <w:marRight w:val="0"/>
          <w:marTop w:val="0"/>
          <w:marBottom w:val="120"/>
          <w:divBdr>
            <w:top w:val="none" w:sz="0" w:space="0" w:color="auto"/>
            <w:left w:val="none" w:sz="0" w:space="0" w:color="auto"/>
            <w:bottom w:val="none" w:sz="0" w:space="0" w:color="auto"/>
            <w:right w:val="none" w:sz="0" w:space="0" w:color="auto"/>
          </w:divBdr>
        </w:div>
        <w:div w:id="1202474484">
          <w:marLeft w:val="850"/>
          <w:marRight w:val="0"/>
          <w:marTop w:val="0"/>
          <w:marBottom w:val="120"/>
          <w:divBdr>
            <w:top w:val="none" w:sz="0" w:space="0" w:color="auto"/>
            <w:left w:val="none" w:sz="0" w:space="0" w:color="auto"/>
            <w:bottom w:val="none" w:sz="0" w:space="0" w:color="auto"/>
            <w:right w:val="none" w:sz="0" w:space="0" w:color="auto"/>
          </w:divBdr>
        </w:div>
        <w:div w:id="1876768118">
          <w:marLeft w:val="274"/>
          <w:marRight w:val="0"/>
          <w:marTop w:val="0"/>
          <w:marBottom w:val="120"/>
          <w:divBdr>
            <w:top w:val="none" w:sz="0" w:space="0" w:color="auto"/>
            <w:left w:val="none" w:sz="0" w:space="0" w:color="auto"/>
            <w:bottom w:val="none" w:sz="0" w:space="0" w:color="auto"/>
            <w:right w:val="none" w:sz="0" w:space="0" w:color="auto"/>
          </w:divBdr>
        </w:div>
        <w:div w:id="1903520047">
          <w:marLeft w:val="850"/>
          <w:marRight w:val="0"/>
          <w:marTop w:val="0"/>
          <w:marBottom w:val="120"/>
          <w:divBdr>
            <w:top w:val="none" w:sz="0" w:space="0" w:color="auto"/>
            <w:left w:val="none" w:sz="0" w:space="0" w:color="auto"/>
            <w:bottom w:val="none" w:sz="0" w:space="0" w:color="auto"/>
            <w:right w:val="none" w:sz="0" w:space="0" w:color="auto"/>
          </w:divBdr>
        </w:div>
        <w:div w:id="1963614251">
          <w:marLeft w:val="274"/>
          <w:marRight w:val="0"/>
          <w:marTop w:val="0"/>
          <w:marBottom w:val="120"/>
          <w:divBdr>
            <w:top w:val="none" w:sz="0" w:space="0" w:color="auto"/>
            <w:left w:val="none" w:sz="0" w:space="0" w:color="auto"/>
            <w:bottom w:val="none" w:sz="0" w:space="0" w:color="auto"/>
            <w:right w:val="none" w:sz="0" w:space="0" w:color="auto"/>
          </w:divBdr>
        </w:div>
      </w:divsChild>
    </w:div>
    <w:div w:id="1208184443">
      <w:bodyDiv w:val="1"/>
      <w:marLeft w:val="0"/>
      <w:marRight w:val="0"/>
      <w:marTop w:val="0"/>
      <w:marBottom w:val="0"/>
      <w:divBdr>
        <w:top w:val="none" w:sz="0" w:space="0" w:color="auto"/>
        <w:left w:val="none" w:sz="0" w:space="0" w:color="auto"/>
        <w:bottom w:val="none" w:sz="0" w:space="0" w:color="auto"/>
        <w:right w:val="none" w:sz="0" w:space="0" w:color="auto"/>
      </w:divBdr>
    </w:div>
    <w:div w:id="1224831314">
      <w:bodyDiv w:val="1"/>
      <w:marLeft w:val="0"/>
      <w:marRight w:val="0"/>
      <w:marTop w:val="0"/>
      <w:marBottom w:val="0"/>
      <w:divBdr>
        <w:top w:val="none" w:sz="0" w:space="0" w:color="auto"/>
        <w:left w:val="none" w:sz="0" w:space="0" w:color="auto"/>
        <w:bottom w:val="none" w:sz="0" w:space="0" w:color="auto"/>
        <w:right w:val="none" w:sz="0" w:space="0" w:color="auto"/>
      </w:divBdr>
    </w:div>
    <w:div w:id="1232038133">
      <w:bodyDiv w:val="1"/>
      <w:marLeft w:val="0"/>
      <w:marRight w:val="0"/>
      <w:marTop w:val="0"/>
      <w:marBottom w:val="0"/>
      <w:divBdr>
        <w:top w:val="none" w:sz="0" w:space="0" w:color="auto"/>
        <w:left w:val="none" w:sz="0" w:space="0" w:color="auto"/>
        <w:bottom w:val="none" w:sz="0" w:space="0" w:color="auto"/>
        <w:right w:val="none" w:sz="0" w:space="0" w:color="auto"/>
      </w:divBdr>
    </w:div>
    <w:div w:id="1233006446">
      <w:bodyDiv w:val="1"/>
      <w:marLeft w:val="0"/>
      <w:marRight w:val="0"/>
      <w:marTop w:val="0"/>
      <w:marBottom w:val="0"/>
      <w:divBdr>
        <w:top w:val="none" w:sz="0" w:space="0" w:color="auto"/>
        <w:left w:val="none" w:sz="0" w:space="0" w:color="auto"/>
        <w:bottom w:val="none" w:sz="0" w:space="0" w:color="auto"/>
        <w:right w:val="none" w:sz="0" w:space="0" w:color="auto"/>
      </w:divBdr>
    </w:div>
    <w:div w:id="1233278358">
      <w:bodyDiv w:val="1"/>
      <w:marLeft w:val="0"/>
      <w:marRight w:val="0"/>
      <w:marTop w:val="0"/>
      <w:marBottom w:val="0"/>
      <w:divBdr>
        <w:top w:val="none" w:sz="0" w:space="0" w:color="auto"/>
        <w:left w:val="none" w:sz="0" w:space="0" w:color="auto"/>
        <w:bottom w:val="none" w:sz="0" w:space="0" w:color="auto"/>
        <w:right w:val="none" w:sz="0" w:space="0" w:color="auto"/>
      </w:divBdr>
    </w:div>
    <w:div w:id="1233664177">
      <w:bodyDiv w:val="1"/>
      <w:marLeft w:val="0"/>
      <w:marRight w:val="0"/>
      <w:marTop w:val="0"/>
      <w:marBottom w:val="0"/>
      <w:divBdr>
        <w:top w:val="none" w:sz="0" w:space="0" w:color="auto"/>
        <w:left w:val="none" w:sz="0" w:space="0" w:color="auto"/>
        <w:bottom w:val="none" w:sz="0" w:space="0" w:color="auto"/>
        <w:right w:val="none" w:sz="0" w:space="0" w:color="auto"/>
      </w:divBdr>
    </w:div>
    <w:div w:id="1234662151">
      <w:bodyDiv w:val="1"/>
      <w:marLeft w:val="0"/>
      <w:marRight w:val="0"/>
      <w:marTop w:val="0"/>
      <w:marBottom w:val="0"/>
      <w:divBdr>
        <w:top w:val="none" w:sz="0" w:space="0" w:color="auto"/>
        <w:left w:val="none" w:sz="0" w:space="0" w:color="auto"/>
        <w:bottom w:val="none" w:sz="0" w:space="0" w:color="auto"/>
        <w:right w:val="none" w:sz="0" w:space="0" w:color="auto"/>
      </w:divBdr>
    </w:div>
    <w:div w:id="1261719191">
      <w:bodyDiv w:val="1"/>
      <w:marLeft w:val="0"/>
      <w:marRight w:val="0"/>
      <w:marTop w:val="0"/>
      <w:marBottom w:val="0"/>
      <w:divBdr>
        <w:top w:val="none" w:sz="0" w:space="0" w:color="auto"/>
        <w:left w:val="none" w:sz="0" w:space="0" w:color="auto"/>
        <w:bottom w:val="none" w:sz="0" w:space="0" w:color="auto"/>
        <w:right w:val="none" w:sz="0" w:space="0" w:color="auto"/>
      </w:divBdr>
    </w:div>
    <w:div w:id="1265921484">
      <w:bodyDiv w:val="1"/>
      <w:marLeft w:val="0"/>
      <w:marRight w:val="0"/>
      <w:marTop w:val="0"/>
      <w:marBottom w:val="0"/>
      <w:divBdr>
        <w:top w:val="none" w:sz="0" w:space="0" w:color="auto"/>
        <w:left w:val="none" w:sz="0" w:space="0" w:color="auto"/>
        <w:bottom w:val="none" w:sz="0" w:space="0" w:color="auto"/>
        <w:right w:val="none" w:sz="0" w:space="0" w:color="auto"/>
      </w:divBdr>
    </w:div>
    <w:div w:id="1269969927">
      <w:bodyDiv w:val="1"/>
      <w:marLeft w:val="0"/>
      <w:marRight w:val="0"/>
      <w:marTop w:val="0"/>
      <w:marBottom w:val="0"/>
      <w:divBdr>
        <w:top w:val="none" w:sz="0" w:space="0" w:color="auto"/>
        <w:left w:val="none" w:sz="0" w:space="0" w:color="auto"/>
        <w:bottom w:val="none" w:sz="0" w:space="0" w:color="auto"/>
        <w:right w:val="none" w:sz="0" w:space="0" w:color="auto"/>
      </w:divBdr>
    </w:div>
    <w:div w:id="1279263435">
      <w:bodyDiv w:val="1"/>
      <w:marLeft w:val="0"/>
      <w:marRight w:val="0"/>
      <w:marTop w:val="0"/>
      <w:marBottom w:val="0"/>
      <w:divBdr>
        <w:top w:val="none" w:sz="0" w:space="0" w:color="auto"/>
        <w:left w:val="none" w:sz="0" w:space="0" w:color="auto"/>
        <w:bottom w:val="none" w:sz="0" w:space="0" w:color="auto"/>
        <w:right w:val="none" w:sz="0" w:space="0" w:color="auto"/>
      </w:divBdr>
    </w:div>
    <w:div w:id="1286548887">
      <w:bodyDiv w:val="1"/>
      <w:marLeft w:val="0"/>
      <w:marRight w:val="0"/>
      <w:marTop w:val="0"/>
      <w:marBottom w:val="0"/>
      <w:divBdr>
        <w:top w:val="none" w:sz="0" w:space="0" w:color="auto"/>
        <w:left w:val="none" w:sz="0" w:space="0" w:color="auto"/>
        <w:bottom w:val="none" w:sz="0" w:space="0" w:color="auto"/>
        <w:right w:val="none" w:sz="0" w:space="0" w:color="auto"/>
      </w:divBdr>
    </w:div>
    <w:div w:id="1295872744">
      <w:bodyDiv w:val="1"/>
      <w:marLeft w:val="0"/>
      <w:marRight w:val="0"/>
      <w:marTop w:val="0"/>
      <w:marBottom w:val="0"/>
      <w:divBdr>
        <w:top w:val="none" w:sz="0" w:space="0" w:color="auto"/>
        <w:left w:val="none" w:sz="0" w:space="0" w:color="auto"/>
        <w:bottom w:val="none" w:sz="0" w:space="0" w:color="auto"/>
        <w:right w:val="none" w:sz="0" w:space="0" w:color="auto"/>
      </w:divBdr>
    </w:div>
    <w:div w:id="1296907126">
      <w:bodyDiv w:val="1"/>
      <w:marLeft w:val="0"/>
      <w:marRight w:val="0"/>
      <w:marTop w:val="0"/>
      <w:marBottom w:val="0"/>
      <w:divBdr>
        <w:top w:val="none" w:sz="0" w:space="0" w:color="auto"/>
        <w:left w:val="none" w:sz="0" w:space="0" w:color="auto"/>
        <w:bottom w:val="none" w:sz="0" w:space="0" w:color="auto"/>
        <w:right w:val="none" w:sz="0" w:space="0" w:color="auto"/>
      </w:divBdr>
    </w:div>
    <w:div w:id="1299610306">
      <w:bodyDiv w:val="1"/>
      <w:marLeft w:val="0"/>
      <w:marRight w:val="0"/>
      <w:marTop w:val="0"/>
      <w:marBottom w:val="0"/>
      <w:divBdr>
        <w:top w:val="none" w:sz="0" w:space="0" w:color="auto"/>
        <w:left w:val="none" w:sz="0" w:space="0" w:color="auto"/>
        <w:bottom w:val="none" w:sz="0" w:space="0" w:color="auto"/>
        <w:right w:val="none" w:sz="0" w:space="0" w:color="auto"/>
      </w:divBdr>
    </w:div>
    <w:div w:id="1301497735">
      <w:bodyDiv w:val="1"/>
      <w:marLeft w:val="0"/>
      <w:marRight w:val="0"/>
      <w:marTop w:val="0"/>
      <w:marBottom w:val="0"/>
      <w:divBdr>
        <w:top w:val="none" w:sz="0" w:space="0" w:color="auto"/>
        <w:left w:val="none" w:sz="0" w:space="0" w:color="auto"/>
        <w:bottom w:val="none" w:sz="0" w:space="0" w:color="auto"/>
        <w:right w:val="none" w:sz="0" w:space="0" w:color="auto"/>
      </w:divBdr>
    </w:div>
    <w:div w:id="1302077056">
      <w:bodyDiv w:val="1"/>
      <w:marLeft w:val="0"/>
      <w:marRight w:val="0"/>
      <w:marTop w:val="0"/>
      <w:marBottom w:val="0"/>
      <w:divBdr>
        <w:top w:val="none" w:sz="0" w:space="0" w:color="auto"/>
        <w:left w:val="none" w:sz="0" w:space="0" w:color="auto"/>
        <w:bottom w:val="none" w:sz="0" w:space="0" w:color="auto"/>
        <w:right w:val="none" w:sz="0" w:space="0" w:color="auto"/>
      </w:divBdr>
    </w:div>
    <w:div w:id="1303343922">
      <w:bodyDiv w:val="1"/>
      <w:marLeft w:val="0"/>
      <w:marRight w:val="0"/>
      <w:marTop w:val="0"/>
      <w:marBottom w:val="0"/>
      <w:divBdr>
        <w:top w:val="none" w:sz="0" w:space="0" w:color="auto"/>
        <w:left w:val="none" w:sz="0" w:space="0" w:color="auto"/>
        <w:bottom w:val="none" w:sz="0" w:space="0" w:color="auto"/>
        <w:right w:val="none" w:sz="0" w:space="0" w:color="auto"/>
      </w:divBdr>
    </w:div>
    <w:div w:id="1324507738">
      <w:bodyDiv w:val="1"/>
      <w:marLeft w:val="0"/>
      <w:marRight w:val="0"/>
      <w:marTop w:val="0"/>
      <w:marBottom w:val="0"/>
      <w:divBdr>
        <w:top w:val="none" w:sz="0" w:space="0" w:color="auto"/>
        <w:left w:val="none" w:sz="0" w:space="0" w:color="auto"/>
        <w:bottom w:val="none" w:sz="0" w:space="0" w:color="auto"/>
        <w:right w:val="none" w:sz="0" w:space="0" w:color="auto"/>
      </w:divBdr>
    </w:div>
    <w:div w:id="1325666198">
      <w:bodyDiv w:val="1"/>
      <w:marLeft w:val="0"/>
      <w:marRight w:val="0"/>
      <w:marTop w:val="0"/>
      <w:marBottom w:val="0"/>
      <w:divBdr>
        <w:top w:val="none" w:sz="0" w:space="0" w:color="auto"/>
        <w:left w:val="none" w:sz="0" w:space="0" w:color="auto"/>
        <w:bottom w:val="none" w:sz="0" w:space="0" w:color="auto"/>
        <w:right w:val="none" w:sz="0" w:space="0" w:color="auto"/>
      </w:divBdr>
    </w:div>
    <w:div w:id="1331324396">
      <w:bodyDiv w:val="1"/>
      <w:marLeft w:val="0"/>
      <w:marRight w:val="0"/>
      <w:marTop w:val="0"/>
      <w:marBottom w:val="0"/>
      <w:divBdr>
        <w:top w:val="none" w:sz="0" w:space="0" w:color="auto"/>
        <w:left w:val="none" w:sz="0" w:space="0" w:color="auto"/>
        <w:bottom w:val="none" w:sz="0" w:space="0" w:color="auto"/>
        <w:right w:val="none" w:sz="0" w:space="0" w:color="auto"/>
      </w:divBdr>
    </w:div>
    <w:div w:id="1337343136">
      <w:bodyDiv w:val="1"/>
      <w:marLeft w:val="0"/>
      <w:marRight w:val="0"/>
      <w:marTop w:val="0"/>
      <w:marBottom w:val="0"/>
      <w:divBdr>
        <w:top w:val="none" w:sz="0" w:space="0" w:color="auto"/>
        <w:left w:val="none" w:sz="0" w:space="0" w:color="auto"/>
        <w:bottom w:val="none" w:sz="0" w:space="0" w:color="auto"/>
        <w:right w:val="none" w:sz="0" w:space="0" w:color="auto"/>
      </w:divBdr>
    </w:div>
    <w:div w:id="1343779581">
      <w:bodyDiv w:val="1"/>
      <w:marLeft w:val="0"/>
      <w:marRight w:val="0"/>
      <w:marTop w:val="0"/>
      <w:marBottom w:val="0"/>
      <w:divBdr>
        <w:top w:val="none" w:sz="0" w:space="0" w:color="auto"/>
        <w:left w:val="none" w:sz="0" w:space="0" w:color="auto"/>
        <w:bottom w:val="none" w:sz="0" w:space="0" w:color="auto"/>
        <w:right w:val="none" w:sz="0" w:space="0" w:color="auto"/>
      </w:divBdr>
    </w:div>
    <w:div w:id="1352075250">
      <w:bodyDiv w:val="1"/>
      <w:marLeft w:val="0"/>
      <w:marRight w:val="0"/>
      <w:marTop w:val="0"/>
      <w:marBottom w:val="0"/>
      <w:divBdr>
        <w:top w:val="none" w:sz="0" w:space="0" w:color="auto"/>
        <w:left w:val="none" w:sz="0" w:space="0" w:color="auto"/>
        <w:bottom w:val="none" w:sz="0" w:space="0" w:color="auto"/>
        <w:right w:val="none" w:sz="0" w:space="0" w:color="auto"/>
      </w:divBdr>
    </w:div>
    <w:div w:id="1353996921">
      <w:bodyDiv w:val="1"/>
      <w:marLeft w:val="0"/>
      <w:marRight w:val="0"/>
      <w:marTop w:val="0"/>
      <w:marBottom w:val="0"/>
      <w:divBdr>
        <w:top w:val="none" w:sz="0" w:space="0" w:color="auto"/>
        <w:left w:val="none" w:sz="0" w:space="0" w:color="auto"/>
        <w:bottom w:val="none" w:sz="0" w:space="0" w:color="auto"/>
        <w:right w:val="none" w:sz="0" w:space="0" w:color="auto"/>
      </w:divBdr>
    </w:div>
    <w:div w:id="1372070033">
      <w:bodyDiv w:val="1"/>
      <w:marLeft w:val="0"/>
      <w:marRight w:val="0"/>
      <w:marTop w:val="0"/>
      <w:marBottom w:val="0"/>
      <w:divBdr>
        <w:top w:val="none" w:sz="0" w:space="0" w:color="auto"/>
        <w:left w:val="none" w:sz="0" w:space="0" w:color="auto"/>
        <w:bottom w:val="none" w:sz="0" w:space="0" w:color="auto"/>
        <w:right w:val="none" w:sz="0" w:space="0" w:color="auto"/>
      </w:divBdr>
    </w:div>
    <w:div w:id="1373338893">
      <w:bodyDiv w:val="1"/>
      <w:marLeft w:val="0"/>
      <w:marRight w:val="0"/>
      <w:marTop w:val="0"/>
      <w:marBottom w:val="0"/>
      <w:divBdr>
        <w:top w:val="none" w:sz="0" w:space="0" w:color="auto"/>
        <w:left w:val="none" w:sz="0" w:space="0" w:color="auto"/>
        <w:bottom w:val="none" w:sz="0" w:space="0" w:color="auto"/>
        <w:right w:val="none" w:sz="0" w:space="0" w:color="auto"/>
      </w:divBdr>
    </w:div>
    <w:div w:id="1375620021">
      <w:bodyDiv w:val="1"/>
      <w:marLeft w:val="0"/>
      <w:marRight w:val="0"/>
      <w:marTop w:val="0"/>
      <w:marBottom w:val="0"/>
      <w:divBdr>
        <w:top w:val="none" w:sz="0" w:space="0" w:color="auto"/>
        <w:left w:val="none" w:sz="0" w:space="0" w:color="auto"/>
        <w:bottom w:val="none" w:sz="0" w:space="0" w:color="auto"/>
        <w:right w:val="none" w:sz="0" w:space="0" w:color="auto"/>
      </w:divBdr>
    </w:div>
    <w:div w:id="1393769952">
      <w:bodyDiv w:val="1"/>
      <w:marLeft w:val="0"/>
      <w:marRight w:val="0"/>
      <w:marTop w:val="0"/>
      <w:marBottom w:val="0"/>
      <w:divBdr>
        <w:top w:val="none" w:sz="0" w:space="0" w:color="auto"/>
        <w:left w:val="none" w:sz="0" w:space="0" w:color="auto"/>
        <w:bottom w:val="none" w:sz="0" w:space="0" w:color="auto"/>
        <w:right w:val="none" w:sz="0" w:space="0" w:color="auto"/>
      </w:divBdr>
    </w:div>
    <w:div w:id="1406227308">
      <w:bodyDiv w:val="1"/>
      <w:marLeft w:val="0"/>
      <w:marRight w:val="0"/>
      <w:marTop w:val="0"/>
      <w:marBottom w:val="0"/>
      <w:divBdr>
        <w:top w:val="none" w:sz="0" w:space="0" w:color="auto"/>
        <w:left w:val="none" w:sz="0" w:space="0" w:color="auto"/>
        <w:bottom w:val="none" w:sz="0" w:space="0" w:color="auto"/>
        <w:right w:val="none" w:sz="0" w:space="0" w:color="auto"/>
      </w:divBdr>
      <w:divsChild>
        <w:div w:id="929463347">
          <w:marLeft w:val="0"/>
          <w:marRight w:val="0"/>
          <w:marTop w:val="0"/>
          <w:marBottom w:val="0"/>
          <w:divBdr>
            <w:top w:val="none" w:sz="0" w:space="0" w:color="auto"/>
            <w:left w:val="none" w:sz="0" w:space="0" w:color="auto"/>
            <w:bottom w:val="none" w:sz="0" w:space="0" w:color="auto"/>
            <w:right w:val="none" w:sz="0" w:space="0" w:color="auto"/>
          </w:divBdr>
        </w:div>
        <w:div w:id="1175651967">
          <w:marLeft w:val="0"/>
          <w:marRight w:val="0"/>
          <w:marTop w:val="0"/>
          <w:marBottom w:val="0"/>
          <w:divBdr>
            <w:top w:val="none" w:sz="0" w:space="0" w:color="auto"/>
            <w:left w:val="none" w:sz="0" w:space="0" w:color="auto"/>
            <w:bottom w:val="none" w:sz="0" w:space="0" w:color="auto"/>
            <w:right w:val="none" w:sz="0" w:space="0" w:color="auto"/>
          </w:divBdr>
        </w:div>
        <w:div w:id="1188956122">
          <w:marLeft w:val="0"/>
          <w:marRight w:val="0"/>
          <w:marTop w:val="0"/>
          <w:marBottom w:val="0"/>
          <w:divBdr>
            <w:top w:val="none" w:sz="0" w:space="0" w:color="auto"/>
            <w:left w:val="none" w:sz="0" w:space="0" w:color="auto"/>
            <w:bottom w:val="none" w:sz="0" w:space="0" w:color="auto"/>
            <w:right w:val="none" w:sz="0" w:space="0" w:color="auto"/>
          </w:divBdr>
        </w:div>
        <w:div w:id="2112239074">
          <w:marLeft w:val="0"/>
          <w:marRight w:val="0"/>
          <w:marTop w:val="0"/>
          <w:marBottom w:val="0"/>
          <w:divBdr>
            <w:top w:val="none" w:sz="0" w:space="0" w:color="auto"/>
            <w:left w:val="none" w:sz="0" w:space="0" w:color="auto"/>
            <w:bottom w:val="none" w:sz="0" w:space="0" w:color="auto"/>
            <w:right w:val="none" w:sz="0" w:space="0" w:color="auto"/>
          </w:divBdr>
        </w:div>
      </w:divsChild>
    </w:div>
    <w:div w:id="1416978205">
      <w:bodyDiv w:val="1"/>
      <w:marLeft w:val="0"/>
      <w:marRight w:val="0"/>
      <w:marTop w:val="0"/>
      <w:marBottom w:val="0"/>
      <w:divBdr>
        <w:top w:val="none" w:sz="0" w:space="0" w:color="auto"/>
        <w:left w:val="none" w:sz="0" w:space="0" w:color="auto"/>
        <w:bottom w:val="none" w:sz="0" w:space="0" w:color="auto"/>
        <w:right w:val="none" w:sz="0" w:space="0" w:color="auto"/>
      </w:divBdr>
    </w:div>
    <w:div w:id="1423064304">
      <w:bodyDiv w:val="1"/>
      <w:marLeft w:val="0"/>
      <w:marRight w:val="0"/>
      <w:marTop w:val="0"/>
      <w:marBottom w:val="0"/>
      <w:divBdr>
        <w:top w:val="none" w:sz="0" w:space="0" w:color="auto"/>
        <w:left w:val="none" w:sz="0" w:space="0" w:color="auto"/>
        <w:bottom w:val="none" w:sz="0" w:space="0" w:color="auto"/>
        <w:right w:val="none" w:sz="0" w:space="0" w:color="auto"/>
      </w:divBdr>
    </w:div>
    <w:div w:id="1427579346">
      <w:bodyDiv w:val="1"/>
      <w:marLeft w:val="0"/>
      <w:marRight w:val="0"/>
      <w:marTop w:val="0"/>
      <w:marBottom w:val="0"/>
      <w:divBdr>
        <w:top w:val="none" w:sz="0" w:space="0" w:color="auto"/>
        <w:left w:val="none" w:sz="0" w:space="0" w:color="auto"/>
        <w:bottom w:val="none" w:sz="0" w:space="0" w:color="auto"/>
        <w:right w:val="none" w:sz="0" w:space="0" w:color="auto"/>
      </w:divBdr>
      <w:divsChild>
        <w:div w:id="371461366">
          <w:marLeft w:val="0"/>
          <w:marRight w:val="0"/>
          <w:marTop w:val="0"/>
          <w:marBottom w:val="0"/>
          <w:divBdr>
            <w:top w:val="none" w:sz="0" w:space="0" w:color="auto"/>
            <w:left w:val="none" w:sz="0" w:space="0" w:color="auto"/>
            <w:bottom w:val="none" w:sz="0" w:space="0" w:color="auto"/>
            <w:right w:val="none" w:sz="0" w:space="0" w:color="auto"/>
          </w:divBdr>
        </w:div>
        <w:div w:id="728070852">
          <w:marLeft w:val="0"/>
          <w:marRight w:val="0"/>
          <w:marTop w:val="0"/>
          <w:marBottom w:val="0"/>
          <w:divBdr>
            <w:top w:val="none" w:sz="0" w:space="0" w:color="auto"/>
            <w:left w:val="none" w:sz="0" w:space="0" w:color="auto"/>
            <w:bottom w:val="none" w:sz="0" w:space="0" w:color="auto"/>
            <w:right w:val="none" w:sz="0" w:space="0" w:color="auto"/>
          </w:divBdr>
        </w:div>
        <w:div w:id="734083926">
          <w:marLeft w:val="0"/>
          <w:marRight w:val="0"/>
          <w:marTop w:val="0"/>
          <w:marBottom w:val="0"/>
          <w:divBdr>
            <w:top w:val="none" w:sz="0" w:space="0" w:color="auto"/>
            <w:left w:val="none" w:sz="0" w:space="0" w:color="auto"/>
            <w:bottom w:val="none" w:sz="0" w:space="0" w:color="auto"/>
            <w:right w:val="none" w:sz="0" w:space="0" w:color="auto"/>
          </w:divBdr>
        </w:div>
        <w:div w:id="754934856">
          <w:marLeft w:val="0"/>
          <w:marRight w:val="0"/>
          <w:marTop w:val="0"/>
          <w:marBottom w:val="0"/>
          <w:divBdr>
            <w:top w:val="none" w:sz="0" w:space="0" w:color="auto"/>
            <w:left w:val="none" w:sz="0" w:space="0" w:color="auto"/>
            <w:bottom w:val="none" w:sz="0" w:space="0" w:color="auto"/>
            <w:right w:val="none" w:sz="0" w:space="0" w:color="auto"/>
          </w:divBdr>
        </w:div>
        <w:div w:id="816454492">
          <w:marLeft w:val="0"/>
          <w:marRight w:val="0"/>
          <w:marTop w:val="0"/>
          <w:marBottom w:val="0"/>
          <w:divBdr>
            <w:top w:val="none" w:sz="0" w:space="0" w:color="auto"/>
            <w:left w:val="none" w:sz="0" w:space="0" w:color="auto"/>
            <w:bottom w:val="none" w:sz="0" w:space="0" w:color="auto"/>
            <w:right w:val="none" w:sz="0" w:space="0" w:color="auto"/>
          </w:divBdr>
        </w:div>
        <w:div w:id="897860017">
          <w:marLeft w:val="0"/>
          <w:marRight w:val="0"/>
          <w:marTop w:val="0"/>
          <w:marBottom w:val="0"/>
          <w:divBdr>
            <w:top w:val="none" w:sz="0" w:space="0" w:color="auto"/>
            <w:left w:val="none" w:sz="0" w:space="0" w:color="auto"/>
            <w:bottom w:val="none" w:sz="0" w:space="0" w:color="auto"/>
            <w:right w:val="none" w:sz="0" w:space="0" w:color="auto"/>
          </w:divBdr>
        </w:div>
        <w:div w:id="1008337022">
          <w:marLeft w:val="0"/>
          <w:marRight w:val="0"/>
          <w:marTop w:val="0"/>
          <w:marBottom w:val="0"/>
          <w:divBdr>
            <w:top w:val="none" w:sz="0" w:space="0" w:color="auto"/>
            <w:left w:val="none" w:sz="0" w:space="0" w:color="auto"/>
            <w:bottom w:val="none" w:sz="0" w:space="0" w:color="auto"/>
            <w:right w:val="none" w:sz="0" w:space="0" w:color="auto"/>
          </w:divBdr>
        </w:div>
        <w:div w:id="1018001248">
          <w:marLeft w:val="0"/>
          <w:marRight w:val="0"/>
          <w:marTop w:val="0"/>
          <w:marBottom w:val="0"/>
          <w:divBdr>
            <w:top w:val="none" w:sz="0" w:space="0" w:color="auto"/>
            <w:left w:val="none" w:sz="0" w:space="0" w:color="auto"/>
            <w:bottom w:val="none" w:sz="0" w:space="0" w:color="auto"/>
            <w:right w:val="none" w:sz="0" w:space="0" w:color="auto"/>
          </w:divBdr>
        </w:div>
        <w:div w:id="1127237671">
          <w:marLeft w:val="0"/>
          <w:marRight w:val="0"/>
          <w:marTop w:val="0"/>
          <w:marBottom w:val="0"/>
          <w:divBdr>
            <w:top w:val="none" w:sz="0" w:space="0" w:color="auto"/>
            <w:left w:val="none" w:sz="0" w:space="0" w:color="auto"/>
            <w:bottom w:val="none" w:sz="0" w:space="0" w:color="auto"/>
            <w:right w:val="none" w:sz="0" w:space="0" w:color="auto"/>
          </w:divBdr>
        </w:div>
        <w:div w:id="1526093624">
          <w:marLeft w:val="0"/>
          <w:marRight w:val="0"/>
          <w:marTop w:val="0"/>
          <w:marBottom w:val="0"/>
          <w:divBdr>
            <w:top w:val="none" w:sz="0" w:space="0" w:color="auto"/>
            <w:left w:val="none" w:sz="0" w:space="0" w:color="auto"/>
            <w:bottom w:val="none" w:sz="0" w:space="0" w:color="auto"/>
            <w:right w:val="none" w:sz="0" w:space="0" w:color="auto"/>
          </w:divBdr>
        </w:div>
        <w:div w:id="1797873545">
          <w:marLeft w:val="0"/>
          <w:marRight w:val="0"/>
          <w:marTop w:val="0"/>
          <w:marBottom w:val="0"/>
          <w:divBdr>
            <w:top w:val="none" w:sz="0" w:space="0" w:color="auto"/>
            <w:left w:val="none" w:sz="0" w:space="0" w:color="auto"/>
            <w:bottom w:val="none" w:sz="0" w:space="0" w:color="auto"/>
            <w:right w:val="none" w:sz="0" w:space="0" w:color="auto"/>
          </w:divBdr>
        </w:div>
        <w:div w:id="2041008578">
          <w:marLeft w:val="0"/>
          <w:marRight w:val="0"/>
          <w:marTop w:val="0"/>
          <w:marBottom w:val="0"/>
          <w:divBdr>
            <w:top w:val="none" w:sz="0" w:space="0" w:color="auto"/>
            <w:left w:val="none" w:sz="0" w:space="0" w:color="auto"/>
            <w:bottom w:val="none" w:sz="0" w:space="0" w:color="auto"/>
            <w:right w:val="none" w:sz="0" w:space="0" w:color="auto"/>
          </w:divBdr>
        </w:div>
      </w:divsChild>
    </w:div>
    <w:div w:id="1434587851">
      <w:bodyDiv w:val="1"/>
      <w:marLeft w:val="0"/>
      <w:marRight w:val="0"/>
      <w:marTop w:val="0"/>
      <w:marBottom w:val="0"/>
      <w:divBdr>
        <w:top w:val="none" w:sz="0" w:space="0" w:color="auto"/>
        <w:left w:val="none" w:sz="0" w:space="0" w:color="auto"/>
        <w:bottom w:val="none" w:sz="0" w:space="0" w:color="auto"/>
        <w:right w:val="none" w:sz="0" w:space="0" w:color="auto"/>
      </w:divBdr>
    </w:div>
    <w:div w:id="1437289344">
      <w:bodyDiv w:val="1"/>
      <w:marLeft w:val="0"/>
      <w:marRight w:val="0"/>
      <w:marTop w:val="0"/>
      <w:marBottom w:val="0"/>
      <w:divBdr>
        <w:top w:val="none" w:sz="0" w:space="0" w:color="auto"/>
        <w:left w:val="none" w:sz="0" w:space="0" w:color="auto"/>
        <w:bottom w:val="none" w:sz="0" w:space="0" w:color="auto"/>
        <w:right w:val="none" w:sz="0" w:space="0" w:color="auto"/>
      </w:divBdr>
    </w:div>
    <w:div w:id="1443184376">
      <w:bodyDiv w:val="1"/>
      <w:marLeft w:val="0"/>
      <w:marRight w:val="0"/>
      <w:marTop w:val="0"/>
      <w:marBottom w:val="0"/>
      <w:divBdr>
        <w:top w:val="none" w:sz="0" w:space="0" w:color="auto"/>
        <w:left w:val="none" w:sz="0" w:space="0" w:color="auto"/>
        <w:bottom w:val="none" w:sz="0" w:space="0" w:color="auto"/>
        <w:right w:val="none" w:sz="0" w:space="0" w:color="auto"/>
      </w:divBdr>
    </w:div>
    <w:div w:id="1448428815">
      <w:bodyDiv w:val="1"/>
      <w:marLeft w:val="0"/>
      <w:marRight w:val="0"/>
      <w:marTop w:val="0"/>
      <w:marBottom w:val="0"/>
      <w:divBdr>
        <w:top w:val="none" w:sz="0" w:space="0" w:color="auto"/>
        <w:left w:val="none" w:sz="0" w:space="0" w:color="auto"/>
        <w:bottom w:val="none" w:sz="0" w:space="0" w:color="auto"/>
        <w:right w:val="none" w:sz="0" w:space="0" w:color="auto"/>
      </w:divBdr>
    </w:div>
    <w:div w:id="1448769935">
      <w:bodyDiv w:val="1"/>
      <w:marLeft w:val="0"/>
      <w:marRight w:val="0"/>
      <w:marTop w:val="0"/>
      <w:marBottom w:val="0"/>
      <w:divBdr>
        <w:top w:val="none" w:sz="0" w:space="0" w:color="auto"/>
        <w:left w:val="none" w:sz="0" w:space="0" w:color="auto"/>
        <w:bottom w:val="none" w:sz="0" w:space="0" w:color="auto"/>
        <w:right w:val="none" w:sz="0" w:space="0" w:color="auto"/>
      </w:divBdr>
    </w:div>
    <w:div w:id="1453550301">
      <w:bodyDiv w:val="1"/>
      <w:marLeft w:val="0"/>
      <w:marRight w:val="0"/>
      <w:marTop w:val="0"/>
      <w:marBottom w:val="0"/>
      <w:divBdr>
        <w:top w:val="none" w:sz="0" w:space="0" w:color="auto"/>
        <w:left w:val="none" w:sz="0" w:space="0" w:color="auto"/>
        <w:bottom w:val="none" w:sz="0" w:space="0" w:color="auto"/>
        <w:right w:val="none" w:sz="0" w:space="0" w:color="auto"/>
      </w:divBdr>
    </w:div>
    <w:div w:id="1463841283">
      <w:bodyDiv w:val="1"/>
      <w:marLeft w:val="0"/>
      <w:marRight w:val="0"/>
      <w:marTop w:val="0"/>
      <w:marBottom w:val="0"/>
      <w:divBdr>
        <w:top w:val="none" w:sz="0" w:space="0" w:color="auto"/>
        <w:left w:val="none" w:sz="0" w:space="0" w:color="auto"/>
        <w:bottom w:val="none" w:sz="0" w:space="0" w:color="auto"/>
        <w:right w:val="none" w:sz="0" w:space="0" w:color="auto"/>
      </w:divBdr>
    </w:div>
    <w:div w:id="1467434329">
      <w:bodyDiv w:val="1"/>
      <w:marLeft w:val="0"/>
      <w:marRight w:val="0"/>
      <w:marTop w:val="0"/>
      <w:marBottom w:val="0"/>
      <w:divBdr>
        <w:top w:val="none" w:sz="0" w:space="0" w:color="auto"/>
        <w:left w:val="none" w:sz="0" w:space="0" w:color="auto"/>
        <w:bottom w:val="none" w:sz="0" w:space="0" w:color="auto"/>
        <w:right w:val="none" w:sz="0" w:space="0" w:color="auto"/>
      </w:divBdr>
    </w:div>
    <w:div w:id="1470056018">
      <w:bodyDiv w:val="1"/>
      <w:marLeft w:val="0"/>
      <w:marRight w:val="0"/>
      <w:marTop w:val="0"/>
      <w:marBottom w:val="0"/>
      <w:divBdr>
        <w:top w:val="none" w:sz="0" w:space="0" w:color="auto"/>
        <w:left w:val="none" w:sz="0" w:space="0" w:color="auto"/>
        <w:bottom w:val="none" w:sz="0" w:space="0" w:color="auto"/>
        <w:right w:val="none" w:sz="0" w:space="0" w:color="auto"/>
      </w:divBdr>
    </w:div>
    <w:div w:id="1478454853">
      <w:bodyDiv w:val="1"/>
      <w:marLeft w:val="0"/>
      <w:marRight w:val="0"/>
      <w:marTop w:val="0"/>
      <w:marBottom w:val="0"/>
      <w:divBdr>
        <w:top w:val="none" w:sz="0" w:space="0" w:color="auto"/>
        <w:left w:val="none" w:sz="0" w:space="0" w:color="auto"/>
        <w:bottom w:val="none" w:sz="0" w:space="0" w:color="auto"/>
        <w:right w:val="none" w:sz="0" w:space="0" w:color="auto"/>
      </w:divBdr>
    </w:div>
    <w:div w:id="1481658204">
      <w:bodyDiv w:val="1"/>
      <w:marLeft w:val="0"/>
      <w:marRight w:val="0"/>
      <w:marTop w:val="0"/>
      <w:marBottom w:val="0"/>
      <w:divBdr>
        <w:top w:val="none" w:sz="0" w:space="0" w:color="auto"/>
        <w:left w:val="none" w:sz="0" w:space="0" w:color="auto"/>
        <w:bottom w:val="none" w:sz="0" w:space="0" w:color="auto"/>
        <w:right w:val="none" w:sz="0" w:space="0" w:color="auto"/>
      </w:divBdr>
      <w:divsChild>
        <w:div w:id="176309375">
          <w:marLeft w:val="446"/>
          <w:marRight w:val="0"/>
          <w:marTop w:val="0"/>
          <w:marBottom w:val="0"/>
          <w:divBdr>
            <w:top w:val="none" w:sz="0" w:space="0" w:color="auto"/>
            <w:left w:val="none" w:sz="0" w:space="0" w:color="auto"/>
            <w:bottom w:val="none" w:sz="0" w:space="0" w:color="auto"/>
            <w:right w:val="none" w:sz="0" w:space="0" w:color="auto"/>
          </w:divBdr>
        </w:div>
        <w:div w:id="334186133">
          <w:marLeft w:val="446"/>
          <w:marRight w:val="0"/>
          <w:marTop w:val="0"/>
          <w:marBottom w:val="0"/>
          <w:divBdr>
            <w:top w:val="none" w:sz="0" w:space="0" w:color="auto"/>
            <w:left w:val="none" w:sz="0" w:space="0" w:color="auto"/>
            <w:bottom w:val="none" w:sz="0" w:space="0" w:color="auto"/>
            <w:right w:val="none" w:sz="0" w:space="0" w:color="auto"/>
          </w:divBdr>
        </w:div>
        <w:div w:id="2062947650">
          <w:marLeft w:val="446"/>
          <w:marRight w:val="0"/>
          <w:marTop w:val="0"/>
          <w:marBottom w:val="0"/>
          <w:divBdr>
            <w:top w:val="none" w:sz="0" w:space="0" w:color="auto"/>
            <w:left w:val="none" w:sz="0" w:space="0" w:color="auto"/>
            <w:bottom w:val="none" w:sz="0" w:space="0" w:color="auto"/>
            <w:right w:val="none" w:sz="0" w:space="0" w:color="auto"/>
          </w:divBdr>
        </w:div>
      </w:divsChild>
    </w:div>
    <w:div w:id="1496073186">
      <w:bodyDiv w:val="1"/>
      <w:marLeft w:val="0"/>
      <w:marRight w:val="0"/>
      <w:marTop w:val="0"/>
      <w:marBottom w:val="0"/>
      <w:divBdr>
        <w:top w:val="none" w:sz="0" w:space="0" w:color="auto"/>
        <w:left w:val="none" w:sz="0" w:space="0" w:color="auto"/>
        <w:bottom w:val="none" w:sz="0" w:space="0" w:color="auto"/>
        <w:right w:val="none" w:sz="0" w:space="0" w:color="auto"/>
      </w:divBdr>
    </w:div>
    <w:div w:id="1497695338">
      <w:bodyDiv w:val="1"/>
      <w:marLeft w:val="0"/>
      <w:marRight w:val="0"/>
      <w:marTop w:val="0"/>
      <w:marBottom w:val="0"/>
      <w:divBdr>
        <w:top w:val="none" w:sz="0" w:space="0" w:color="auto"/>
        <w:left w:val="none" w:sz="0" w:space="0" w:color="auto"/>
        <w:bottom w:val="none" w:sz="0" w:space="0" w:color="auto"/>
        <w:right w:val="none" w:sz="0" w:space="0" w:color="auto"/>
      </w:divBdr>
    </w:div>
    <w:div w:id="1512379460">
      <w:bodyDiv w:val="1"/>
      <w:marLeft w:val="0"/>
      <w:marRight w:val="0"/>
      <w:marTop w:val="0"/>
      <w:marBottom w:val="0"/>
      <w:divBdr>
        <w:top w:val="none" w:sz="0" w:space="0" w:color="auto"/>
        <w:left w:val="none" w:sz="0" w:space="0" w:color="auto"/>
        <w:bottom w:val="none" w:sz="0" w:space="0" w:color="auto"/>
        <w:right w:val="none" w:sz="0" w:space="0" w:color="auto"/>
      </w:divBdr>
    </w:div>
    <w:div w:id="1514680947">
      <w:bodyDiv w:val="1"/>
      <w:marLeft w:val="0"/>
      <w:marRight w:val="0"/>
      <w:marTop w:val="0"/>
      <w:marBottom w:val="0"/>
      <w:divBdr>
        <w:top w:val="none" w:sz="0" w:space="0" w:color="auto"/>
        <w:left w:val="none" w:sz="0" w:space="0" w:color="auto"/>
        <w:bottom w:val="none" w:sz="0" w:space="0" w:color="auto"/>
        <w:right w:val="none" w:sz="0" w:space="0" w:color="auto"/>
      </w:divBdr>
    </w:div>
    <w:div w:id="1519735779">
      <w:bodyDiv w:val="1"/>
      <w:marLeft w:val="0"/>
      <w:marRight w:val="0"/>
      <w:marTop w:val="0"/>
      <w:marBottom w:val="0"/>
      <w:divBdr>
        <w:top w:val="none" w:sz="0" w:space="0" w:color="auto"/>
        <w:left w:val="none" w:sz="0" w:space="0" w:color="auto"/>
        <w:bottom w:val="none" w:sz="0" w:space="0" w:color="auto"/>
        <w:right w:val="none" w:sz="0" w:space="0" w:color="auto"/>
      </w:divBdr>
    </w:div>
    <w:div w:id="1528257813">
      <w:bodyDiv w:val="1"/>
      <w:marLeft w:val="0"/>
      <w:marRight w:val="0"/>
      <w:marTop w:val="0"/>
      <w:marBottom w:val="0"/>
      <w:divBdr>
        <w:top w:val="none" w:sz="0" w:space="0" w:color="auto"/>
        <w:left w:val="none" w:sz="0" w:space="0" w:color="auto"/>
        <w:bottom w:val="none" w:sz="0" w:space="0" w:color="auto"/>
        <w:right w:val="none" w:sz="0" w:space="0" w:color="auto"/>
      </w:divBdr>
    </w:div>
    <w:div w:id="1539314392">
      <w:bodyDiv w:val="1"/>
      <w:marLeft w:val="0"/>
      <w:marRight w:val="0"/>
      <w:marTop w:val="0"/>
      <w:marBottom w:val="0"/>
      <w:divBdr>
        <w:top w:val="none" w:sz="0" w:space="0" w:color="auto"/>
        <w:left w:val="none" w:sz="0" w:space="0" w:color="auto"/>
        <w:bottom w:val="none" w:sz="0" w:space="0" w:color="auto"/>
        <w:right w:val="none" w:sz="0" w:space="0" w:color="auto"/>
      </w:divBdr>
    </w:div>
    <w:div w:id="1551965550">
      <w:bodyDiv w:val="1"/>
      <w:marLeft w:val="0"/>
      <w:marRight w:val="0"/>
      <w:marTop w:val="0"/>
      <w:marBottom w:val="0"/>
      <w:divBdr>
        <w:top w:val="none" w:sz="0" w:space="0" w:color="auto"/>
        <w:left w:val="none" w:sz="0" w:space="0" w:color="auto"/>
        <w:bottom w:val="none" w:sz="0" w:space="0" w:color="auto"/>
        <w:right w:val="none" w:sz="0" w:space="0" w:color="auto"/>
      </w:divBdr>
    </w:div>
    <w:div w:id="1558472845">
      <w:bodyDiv w:val="1"/>
      <w:marLeft w:val="0"/>
      <w:marRight w:val="0"/>
      <w:marTop w:val="0"/>
      <w:marBottom w:val="0"/>
      <w:divBdr>
        <w:top w:val="none" w:sz="0" w:space="0" w:color="auto"/>
        <w:left w:val="none" w:sz="0" w:space="0" w:color="auto"/>
        <w:bottom w:val="none" w:sz="0" w:space="0" w:color="auto"/>
        <w:right w:val="none" w:sz="0" w:space="0" w:color="auto"/>
      </w:divBdr>
    </w:div>
    <w:div w:id="1570842193">
      <w:bodyDiv w:val="1"/>
      <w:marLeft w:val="0"/>
      <w:marRight w:val="0"/>
      <w:marTop w:val="0"/>
      <w:marBottom w:val="0"/>
      <w:divBdr>
        <w:top w:val="none" w:sz="0" w:space="0" w:color="auto"/>
        <w:left w:val="none" w:sz="0" w:space="0" w:color="auto"/>
        <w:bottom w:val="none" w:sz="0" w:space="0" w:color="auto"/>
        <w:right w:val="none" w:sz="0" w:space="0" w:color="auto"/>
      </w:divBdr>
    </w:div>
    <w:div w:id="1576473471">
      <w:bodyDiv w:val="1"/>
      <w:marLeft w:val="0"/>
      <w:marRight w:val="0"/>
      <w:marTop w:val="0"/>
      <w:marBottom w:val="0"/>
      <w:divBdr>
        <w:top w:val="none" w:sz="0" w:space="0" w:color="auto"/>
        <w:left w:val="none" w:sz="0" w:space="0" w:color="auto"/>
        <w:bottom w:val="none" w:sz="0" w:space="0" w:color="auto"/>
        <w:right w:val="none" w:sz="0" w:space="0" w:color="auto"/>
      </w:divBdr>
    </w:div>
    <w:div w:id="1583833932">
      <w:bodyDiv w:val="1"/>
      <w:marLeft w:val="0"/>
      <w:marRight w:val="0"/>
      <w:marTop w:val="0"/>
      <w:marBottom w:val="0"/>
      <w:divBdr>
        <w:top w:val="none" w:sz="0" w:space="0" w:color="auto"/>
        <w:left w:val="none" w:sz="0" w:space="0" w:color="auto"/>
        <w:bottom w:val="none" w:sz="0" w:space="0" w:color="auto"/>
        <w:right w:val="none" w:sz="0" w:space="0" w:color="auto"/>
      </w:divBdr>
    </w:div>
    <w:div w:id="1587109714">
      <w:bodyDiv w:val="1"/>
      <w:marLeft w:val="0"/>
      <w:marRight w:val="0"/>
      <w:marTop w:val="0"/>
      <w:marBottom w:val="0"/>
      <w:divBdr>
        <w:top w:val="none" w:sz="0" w:space="0" w:color="auto"/>
        <w:left w:val="none" w:sz="0" w:space="0" w:color="auto"/>
        <w:bottom w:val="none" w:sz="0" w:space="0" w:color="auto"/>
        <w:right w:val="none" w:sz="0" w:space="0" w:color="auto"/>
      </w:divBdr>
    </w:div>
    <w:div w:id="1587885030">
      <w:bodyDiv w:val="1"/>
      <w:marLeft w:val="0"/>
      <w:marRight w:val="0"/>
      <w:marTop w:val="0"/>
      <w:marBottom w:val="0"/>
      <w:divBdr>
        <w:top w:val="none" w:sz="0" w:space="0" w:color="auto"/>
        <w:left w:val="none" w:sz="0" w:space="0" w:color="auto"/>
        <w:bottom w:val="none" w:sz="0" w:space="0" w:color="auto"/>
        <w:right w:val="none" w:sz="0" w:space="0" w:color="auto"/>
      </w:divBdr>
    </w:div>
    <w:div w:id="1590236768">
      <w:bodyDiv w:val="1"/>
      <w:marLeft w:val="0"/>
      <w:marRight w:val="0"/>
      <w:marTop w:val="0"/>
      <w:marBottom w:val="0"/>
      <w:divBdr>
        <w:top w:val="none" w:sz="0" w:space="0" w:color="auto"/>
        <w:left w:val="none" w:sz="0" w:space="0" w:color="auto"/>
        <w:bottom w:val="none" w:sz="0" w:space="0" w:color="auto"/>
        <w:right w:val="none" w:sz="0" w:space="0" w:color="auto"/>
      </w:divBdr>
    </w:div>
    <w:div w:id="1591543798">
      <w:bodyDiv w:val="1"/>
      <w:marLeft w:val="0"/>
      <w:marRight w:val="0"/>
      <w:marTop w:val="0"/>
      <w:marBottom w:val="0"/>
      <w:divBdr>
        <w:top w:val="none" w:sz="0" w:space="0" w:color="auto"/>
        <w:left w:val="none" w:sz="0" w:space="0" w:color="auto"/>
        <w:bottom w:val="none" w:sz="0" w:space="0" w:color="auto"/>
        <w:right w:val="none" w:sz="0" w:space="0" w:color="auto"/>
      </w:divBdr>
    </w:div>
    <w:div w:id="1593582527">
      <w:bodyDiv w:val="1"/>
      <w:marLeft w:val="0"/>
      <w:marRight w:val="0"/>
      <w:marTop w:val="0"/>
      <w:marBottom w:val="0"/>
      <w:divBdr>
        <w:top w:val="none" w:sz="0" w:space="0" w:color="auto"/>
        <w:left w:val="none" w:sz="0" w:space="0" w:color="auto"/>
        <w:bottom w:val="none" w:sz="0" w:space="0" w:color="auto"/>
        <w:right w:val="none" w:sz="0" w:space="0" w:color="auto"/>
      </w:divBdr>
    </w:div>
    <w:div w:id="1598246811">
      <w:bodyDiv w:val="1"/>
      <w:marLeft w:val="0"/>
      <w:marRight w:val="0"/>
      <w:marTop w:val="0"/>
      <w:marBottom w:val="0"/>
      <w:divBdr>
        <w:top w:val="none" w:sz="0" w:space="0" w:color="auto"/>
        <w:left w:val="none" w:sz="0" w:space="0" w:color="auto"/>
        <w:bottom w:val="none" w:sz="0" w:space="0" w:color="auto"/>
        <w:right w:val="none" w:sz="0" w:space="0" w:color="auto"/>
      </w:divBdr>
    </w:div>
    <w:div w:id="1599630626">
      <w:bodyDiv w:val="1"/>
      <w:marLeft w:val="0"/>
      <w:marRight w:val="0"/>
      <w:marTop w:val="0"/>
      <w:marBottom w:val="0"/>
      <w:divBdr>
        <w:top w:val="none" w:sz="0" w:space="0" w:color="auto"/>
        <w:left w:val="none" w:sz="0" w:space="0" w:color="auto"/>
        <w:bottom w:val="none" w:sz="0" w:space="0" w:color="auto"/>
        <w:right w:val="none" w:sz="0" w:space="0" w:color="auto"/>
      </w:divBdr>
      <w:divsChild>
        <w:div w:id="801003202">
          <w:marLeft w:val="288"/>
          <w:marRight w:val="0"/>
          <w:marTop w:val="0"/>
          <w:marBottom w:val="0"/>
          <w:divBdr>
            <w:top w:val="none" w:sz="0" w:space="0" w:color="auto"/>
            <w:left w:val="none" w:sz="0" w:space="0" w:color="auto"/>
            <w:bottom w:val="none" w:sz="0" w:space="0" w:color="auto"/>
            <w:right w:val="none" w:sz="0" w:space="0" w:color="auto"/>
          </w:divBdr>
        </w:div>
        <w:div w:id="1422528219">
          <w:marLeft w:val="288"/>
          <w:marRight w:val="0"/>
          <w:marTop w:val="0"/>
          <w:marBottom w:val="0"/>
          <w:divBdr>
            <w:top w:val="none" w:sz="0" w:space="0" w:color="auto"/>
            <w:left w:val="none" w:sz="0" w:space="0" w:color="auto"/>
            <w:bottom w:val="none" w:sz="0" w:space="0" w:color="auto"/>
            <w:right w:val="none" w:sz="0" w:space="0" w:color="auto"/>
          </w:divBdr>
        </w:div>
        <w:div w:id="2131823074">
          <w:marLeft w:val="288"/>
          <w:marRight w:val="0"/>
          <w:marTop w:val="0"/>
          <w:marBottom w:val="0"/>
          <w:divBdr>
            <w:top w:val="none" w:sz="0" w:space="0" w:color="auto"/>
            <w:left w:val="none" w:sz="0" w:space="0" w:color="auto"/>
            <w:bottom w:val="none" w:sz="0" w:space="0" w:color="auto"/>
            <w:right w:val="none" w:sz="0" w:space="0" w:color="auto"/>
          </w:divBdr>
        </w:div>
      </w:divsChild>
    </w:div>
    <w:div w:id="1600216388">
      <w:bodyDiv w:val="1"/>
      <w:marLeft w:val="0"/>
      <w:marRight w:val="0"/>
      <w:marTop w:val="0"/>
      <w:marBottom w:val="0"/>
      <w:divBdr>
        <w:top w:val="none" w:sz="0" w:space="0" w:color="auto"/>
        <w:left w:val="none" w:sz="0" w:space="0" w:color="auto"/>
        <w:bottom w:val="none" w:sz="0" w:space="0" w:color="auto"/>
        <w:right w:val="none" w:sz="0" w:space="0" w:color="auto"/>
      </w:divBdr>
    </w:div>
    <w:div w:id="1604724506">
      <w:bodyDiv w:val="1"/>
      <w:marLeft w:val="0"/>
      <w:marRight w:val="0"/>
      <w:marTop w:val="0"/>
      <w:marBottom w:val="0"/>
      <w:divBdr>
        <w:top w:val="none" w:sz="0" w:space="0" w:color="auto"/>
        <w:left w:val="none" w:sz="0" w:space="0" w:color="auto"/>
        <w:bottom w:val="none" w:sz="0" w:space="0" w:color="auto"/>
        <w:right w:val="none" w:sz="0" w:space="0" w:color="auto"/>
      </w:divBdr>
    </w:div>
    <w:div w:id="1604804783">
      <w:bodyDiv w:val="1"/>
      <w:marLeft w:val="0"/>
      <w:marRight w:val="0"/>
      <w:marTop w:val="0"/>
      <w:marBottom w:val="0"/>
      <w:divBdr>
        <w:top w:val="none" w:sz="0" w:space="0" w:color="auto"/>
        <w:left w:val="none" w:sz="0" w:space="0" w:color="auto"/>
        <w:bottom w:val="none" w:sz="0" w:space="0" w:color="auto"/>
        <w:right w:val="none" w:sz="0" w:space="0" w:color="auto"/>
      </w:divBdr>
    </w:div>
    <w:div w:id="1618412003">
      <w:bodyDiv w:val="1"/>
      <w:marLeft w:val="0"/>
      <w:marRight w:val="0"/>
      <w:marTop w:val="0"/>
      <w:marBottom w:val="0"/>
      <w:divBdr>
        <w:top w:val="none" w:sz="0" w:space="0" w:color="auto"/>
        <w:left w:val="none" w:sz="0" w:space="0" w:color="auto"/>
        <w:bottom w:val="none" w:sz="0" w:space="0" w:color="auto"/>
        <w:right w:val="none" w:sz="0" w:space="0" w:color="auto"/>
      </w:divBdr>
    </w:div>
    <w:div w:id="1635677306">
      <w:bodyDiv w:val="1"/>
      <w:marLeft w:val="0"/>
      <w:marRight w:val="0"/>
      <w:marTop w:val="0"/>
      <w:marBottom w:val="0"/>
      <w:divBdr>
        <w:top w:val="none" w:sz="0" w:space="0" w:color="auto"/>
        <w:left w:val="none" w:sz="0" w:space="0" w:color="auto"/>
        <w:bottom w:val="none" w:sz="0" w:space="0" w:color="auto"/>
        <w:right w:val="none" w:sz="0" w:space="0" w:color="auto"/>
      </w:divBdr>
    </w:div>
    <w:div w:id="1637686581">
      <w:bodyDiv w:val="1"/>
      <w:marLeft w:val="0"/>
      <w:marRight w:val="0"/>
      <w:marTop w:val="0"/>
      <w:marBottom w:val="0"/>
      <w:divBdr>
        <w:top w:val="none" w:sz="0" w:space="0" w:color="auto"/>
        <w:left w:val="none" w:sz="0" w:space="0" w:color="auto"/>
        <w:bottom w:val="none" w:sz="0" w:space="0" w:color="auto"/>
        <w:right w:val="none" w:sz="0" w:space="0" w:color="auto"/>
      </w:divBdr>
      <w:divsChild>
        <w:div w:id="692531272">
          <w:marLeft w:val="1181"/>
          <w:marRight w:val="0"/>
          <w:marTop w:val="0"/>
          <w:marBottom w:val="0"/>
          <w:divBdr>
            <w:top w:val="none" w:sz="0" w:space="0" w:color="auto"/>
            <w:left w:val="none" w:sz="0" w:space="0" w:color="auto"/>
            <w:bottom w:val="none" w:sz="0" w:space="0" w:color="auto"/>
            <w:right w:val="none" w:sz="0" w:space="0" w:color="auto"/>
          </w:divBdr>
        </w:div>
        <w:div w:id="932973971">
          <w:marLeft w:val="1181"/>
          <w:marRight w:val="0"/>
          <w:marTop w:val="0"/>
          <w:marBottom w:val="0"/>
          <w:divBdr>
            <w:top w:val="none" w:sz="0" w:space="0" w:color="auto"/>
            <w:left w:val="none" w:sz="0" w:space="0" w:color="auto"/>
            <w:bottom w:val="none" w:sz="0" w:space="0" w:color="auto"/>
            <w:right w:val="none" w:sz="0" w:space="0" w:color="auto"/>
          </w:divBdr>
        </w:div>
        <w:div w:id="1819032617">
          <w:marLeft w:val="547"/>
          <w:marRight w:val="0"/>
          <w:marTop w:val="0"/>
          <w:marBottom w:val="0"/>
          <w:divBdr>
            <w:top w:val="none" w:sz="0" w:space="0" w:color="auto"/>
            <w:left w:val="none" w:sz="0" w:space="0" w:color="auto"/>
            <w:bottom w:val="none" w:sz="0" w:space="0" w:color="auto"/>
            <w:right w:val="none" w:sz="0" w:space="0" w:color="auto"/>
          </w:divBdr>
        </w:div>
        <w:div w:id="2102097140">
          <w:marLeft w:val="1181"/>
          <w:marRight w:val="0"/>
          <w:marTop w:val="0"/>
          <w:marBottom w:val="0"/>
          <w:divBdr>
            <w:top w:val="none" w:sz="0" w:space="0" w:color="auto"/>
            <w:left w:val="none" w:sz="0" w:space="0" w:color="auto"/>
            <w:bottom w:val="none" w:sz="0" w:space="0" w:color="auto"/>
            <w:right w:val="none" w:sz="0" w:space="0" w:color="auto"/>
          </w:divBdr>
        </w:div>
      </w:divsChild>
    </w:div>
    <w:div w:id="1637829260">
      <w:bodyDiv w:val="1"/>
      <w:marLeft w:val="0"/>
      <w:marRight w:val="0"/>
      <w:marTop w:val="0"/>
      <w:marBottom w:val="0"/>
      <w:divBdr>
        <w:top w:val="none" w:sz="0" w:space="0" w:color="auto"/>
        <w:left w:val="none" w:sz="0" w:space="0" w:color="auto"/>
        <w:bottom w:val="none" w:sz="0" w:space="0" w:color="auto"/>
        <w:right w:val="none" w:sz="0" w:space="0" w:color="auto"/>
      </w:divBdr>
    </w:div>
    <w:div w:id="1640646039">
      <w:bodyDiv w:val="1"/>
      <w:marLeft w:val="0"/>
      <w:marRight w:val="0"/>
      <w:marTop w:val="0"/>
      <w:marBottom w:val="0"/>
      <w:divBdr>
        <w:top w:val="none" w:sz="0" w:space="0" w:color="auto"/>
        <w:left w:val="none" w:sz="0" w:space="0" w:color="auto"/>
        <w:bottom w:val="none" w:sz="0" w:space="0" w:color="auto"/>
        <w:right w:val="none" w:sz="0" w:space="0" w:color="auto"/>
      </w:divBdr>
    </w:div>
    <w:div w:id="1651523739">
      <w:bodyDiv w:val="1"/>
      <w:marLeft w:val="0"/>
      <w:marRight w:val="0"/>
      <w:marTop w:val="0"/>
      <w:marBottom w:val="0"/>
      <w:divBdr>
        <w:top w:val="none" w:sz="0" w:space="0" w:color="auto"/>
        <w:left w:val="none" w:sz="0" w:space="0" w:color="auto"/>
        <w:bottom w:val="none" w:sz="0" w:space="0" w:color="auto"/>
        <w:right w:val="none" w:sz="0" w:space="0" w:color="auto"/>
      </w:divBdr>
    </w:div>
    <w:div w:id="1653169805">
      <w:bodyDiv w:val="1"/>
      <w:marLeft w:val="0"/>
      <w:marRight w:val="0"/>
      <w:marTop w:val="0"/>
      <w:marBottom w:val="0"/>
      <w:divBdr>
        <w:top w:val="none" w:sz="0" w:space="0" w:color="auto"/>
        <w:left w:val="none" w:sz="0" w:space="0" w:color="auto"/>
        <w:bottom w:val="none" w:sz="0" w:space="0" w:color="auto"/>
        <w:right w:val="none" w:sz="0" w:space="0" w:color="auto"/>
      </w:divBdr>
    </w:div>
    <w:div w:id="1665350351">
      <w:bodyDiv w:val="1"/>
      <w:marLeft w:val="0"/>
      <w:marRight w:val="0"/>
      <w:marTop w:val="0"/>
      <w:marBottom w:val="0"/>
      <w:divBdr>
        <w:top w:val="none" w:sz="0" w:space="0" w:color="auto"/>
        <w:left w:val="none" w:sz="0" w:space="0" w:color="auto"/>
        <w:bottom w:val="none" w:sz="0" w:space="0" w:color="auto"/>
        <w:right w:val="none" w:sz="0" w:space="0" w:color="auto"/>
      </w:divBdr>
    </w:div>
    <w:div w:id="1668709255">
      <w:bodyDiv w:val="1"/>
      <w:marLeft w:val="0"/>
      <w:marRight w:val="0"/>
      <w:marTop w:val="0"/>
      <w:marBottom w:val="0"/>
      <w:divBdr>
        <w:top w:val="none" w:sz="0" w:space="0" w:color="auto"/>
        <w:left w:val="none" w:sz="0" w:space="0" w:color="auto"/>
        <w:bottom w:val="none" w:sz="0" w:space="0" w:color="auto"/>
        <w:right w:val="none" w:sz="0" w:space="0" w:color="auto"/>
      </w:divBdr>
      <w:divsChild>
        <w:div w:id="1701935489">
          <w:marLeft w:val="274"/>
          <w:marRight w:val="0"/>
          <w:marTop w:val="0"/>
          <w:marBottom w:val="0"/>
          <w:divBdr>
            <w:top w:val="none" w:sz="0" w:space="0" w:color="auto"/>
            <w:left w:val="none" w:sz="0" w:space="0" w:color="auto"/>
            <w:bottom w:val="none" w:sz="0" w:space="0" w:color="auto"/>
            <w:right w:val="none" w:sz="0" w:space="0" w:color="auto"/>
          </w:divBdr>
        </w:div>
      </w:divsChild>
    </w:div>
    <w:div w:id="1670710283">
      <w:bodyDiv w:val="1"/>
      <w:marLeft w:val="0"/>
      <w:marRight w:val="0"/>
      <w:marTop w:val="0"/>
      <w:marBottom w:val="0"/>
      <w:divBdr>
        <w:top w:val="none" w:sz="0" w:space="0" w:color="auto"/>
        <w:left w:val="none" w:sz="0" w:space="0" w:color="auto"/>
        <w:bottom w:val="none" w:sz="0" w:space="0" w:color="auto"/>
        <w:right w:val="none" w:sz="0" w:space="0" w:color="auto"/>
      </w:divBdr>
    </w:div>
    <w:div w:id="1680158115">
      <w:bodyDiv w:val="1"/>
      <w:marLeft w:val="0"/>
      <w:marRight w:val="0"/>
      <w:marTop w:val="0"/>
      <w:marBottom w:val="0"/>
      <w:divBdr>
        <w:top w:val="none" w:sz="0" w:space="0" w:color="auto"/>
        <w:left w:val="none" w:sz="0" w:space="0" w:color="auto"/>
        <w:bottom w:val="none" w:sz="0" w:space="0" w:color="auto"/>
        <w:right w:val="none" w:sz="0" w:space="0" w:color="auto"/>
      </w:divBdr>
    </w:div>
    <w:div w:id="1684210260">
      <w:bodyDiv w:val="1"/>
      <w:marLeft w:val="0"/>
      <w:marRight w:val="0"/>
      <w:marTop w:val="0"/>
      <w:marBottom w:val="0"/>
      <w:divBdr>
        <w:top w:val="none" w:sz="0" w:space="0" w:color="auto"/>
        <w:left w:val="none" w:sz="0" w:space="0" w:color="auto"/>
        <w:bottom w:val="none" w:sz="0" w:space="0" w:color="auto"/>
        <w:right w:val="none" w:sz="0" w:space="0" w:color="auto"/>
      </w:divBdr>
    </w:div>
    <w:div w:id="1691105658">
      <w:bodyDiv w:val="1"/>
      <w:marLeft w:val="0"/>
      <w:marRight w:val="0"/>
      <w:marTop w:val="0"/>
      <w:marBottom w:val="0"/>
      <w:divBdr>
        <w:top w:val="none" w:sz="0" w:space="0" w:color="auto"/>
        <w:left w:val="none" w:sz="0" w:space="0" w:color="auto"/>
        <w:bottom w:val="none" w:sz="0" w:space="0" w:color="auto"/>
        <w:right w:val="none" w:sz="0" w:space="0" w:color="auto"/>
      </w:divBdr>
    </w:div>
    <w:div w:id="1701970497">
      <w:bodyDiv w:val="1"/>
      <w:marLeft w:val="0"/>
      <w:marRight w:val="0"/>
      <w:marTop w:val="0"/>
      <w:marBottom w:val="0"/>
      <w:divBdr>
        <w:top w:val="none" w:sz="0" w:space="0" w:color="auto"/>
        <w:left w:val="none" w:sz="0" w:space="0" w:color="auto"/>
        <w:bottom w:val="none" w:sz="0" w:space="0" w:color="auto"/>
        <w:right w:val="none" w:sz="0" w:space="0" w:color="auto"/>
      </w:divBdr>
    </w:div>
    <w:div w:id="1707833122">
      <w:bodyDiv w:val="1"/>
      <w:marLeft w:val="0"/>
      <w:marRight w:val="0"/>
      <w:marTop w:val="0"/>
      <w:marBottom w:val="0"/>
      <w:divBdr>
        <w:top w:val="none" w:sz="0" w:space="0" w:color="auto"/>
        <w:left w:val="none" w:sz="0" w:space="0" w:color="auto"/>
        <w:bottom w:val="none" w:sz="0" w:space="0" w:color="auto"/>
        <w:right w:val="none" w:sz="0" w:space="0" w:color="auto"/>
      </w:divBdr>
    </w:div>
    <w:div w:id="1714429355">
      <w:bodyDiv w:val="1"/>
      <w:marLeft w:val="0"/>
      <w:marRight w:val="0"/>
      <w:marTop w:val="0"/>
      <w:marBottom w:val="0"/>
      <w:divBdr>
        <w:top w:val="none" w:sz="0" w:space="0" w:color="auto"/>
        <w:left w:val="none" w:sz="0" w:space="0" w:color="auto"/>
        <w:bottom w:val="none" w:sz="0" w:space="0" w:color="auto"/>
        <w:right w:val="none" w:sz="0" w:space="0" w:color="auto"/>
      </w:divBdr>
    </w:div>
    <w:div w:id="1715156729">
      <w:bodyDiv w:val="1"/>
      <w:marLeft w:val="0"/>
      <w:marRight w:val="0"/>
      <w:marTop w:val="0"/>
      <w:marBottom w:val="0"/>
      <w:divBdr>
        <w:top w:val="none" w:sz="0" w:space="0" w:color="auto"/>
        <w:left w:val="none" w:sz="0" w:space="0" w:color="auto"/>
        <w:bottom w:val="none" w:sz="0" w:space="0" w:color="auto"/>
        <w:right w:val="none" w:sz="0" w:space="0" w:color="auto"/>
      </w:divBdr>
    </w:div>
    <w:div w:id="1717388518">
      <w:bodyDiv w:val="1"/>
      <w:marLeft w:val="0"/>
      <w:marRight w:val="0"/>
      <w:marTop w:val="0"/>
      <w:marBottom w:val="0"/>
      <w:divBdr>
        <w:top w:val="none" w:sz="0" w:space="0" w:color="auto"/>
        <w:left w:val="none" w:sz="0" w:space="0" w:color="auto"/>
        <w:bottom w:val="none" w:sz="0" w:space="0" w:color="auto"/>
        <w:right w:val="none" w:sz="0" w:space="0" w:color="auto"/>
      </w:divBdr>
    </w:div>
    <w:div w:id="1718813681">
      <w:bodyDiv w:val="1"/>
      <w:marLeft w:val="0"/>
      <w:marRight w:val="0"/>
      <w:marTop w:val="0"/>
      <w:marBottom w:val="0"/>
      <w:divBdr>
        <w:top w:val="none" w:sz="0" w:space="0" w:color="auto"/>
        <w:left w:val="none" w:sz="0" w:space="0" w:color="auto"/>
        <w:bottom w:val="none" w:sz="0" w:space="0" w:color="auto"/>
        <w:right w:val="none" w:sz="0" w:space="0" w:color="auto"/>
      </w:divBdr>
    </w:div>
    <w:div w:id="1720275284">
      <w:bodyDiv w:val="1"/>
      <w:marLeft w:val="0"/>
      <w:marRight w:val="0"/>
      <w:marTop w:val="0"/>
      <w:marBottom w:val="0"/>
      <w:divBdr>
        <w:top w:val="none" w:sz="0" w:space="0" w:color="auto"/>
        <w:left w:val="none" w:sz="0" w:space="0" w:color="auto"/>
        <w:bottom w:val="none" w:sz="0" w:space="0" w:color="auto"/>
        <w:right w:val="none" w:sz="0" w:space="0" w:color="auto"/>
      </w:divBdr>
    </w:div>
    <w:div w:id="1720786982">
      <w:bodyDiv w:val="1"/>
      <w:marLeft w:val="0"/>
      <w:marRight w:val="0"/>
      <w:marTop w:val="0"/>
      <w:marBottom w:val="0"/>
      <w:divBdr>
        <w:top w:val="none" w:sz="0" w:space="0" w:color="auto"/>
        <w:left w:val="none" w:sz="0" w:space="0" w:color="auto"/>
        <w:bottom w:val="none" w:sz="0" w:space="0" w:color="auto"/>
        <w:right w:val="none" w:sz="0" w:space="0" w:color="auto"/>
      </w:divBdr>
      <w:divsChild>
        <w:div w:id="1797330638">
          <w:marLeft w:val="274"/>
          <w:marRight w:val="0"/>
          <w:marTop w:val="0"/>
          <w:marBottom w:val="0"/>
          <w:divBdr>
            <w:top w:val="none" w:sz="0" w:space="0" w:color="auto"/>
            <w:left w:val="none" w:sz="0" w:space="0" w:color="auto"/>
            <w:bottom w:val="none" w:sz="0" w:space="0" w:color="auto"/>
            <w:right w:val="none" w:sz="0" w:space="0" w:color="auto"/>
          </w:divBdr>
        </w:div>
        <w:div w:id="2089955114">
          <w:marLeft w:val="547"/>
          <w:marRight w:val="0"/>
          <w:marTop w:val="0"/>
          <w:marBottom w:val="0"/>
          <w:divBdr>
            <w:top w:val="none" w:sz="0" w:space="0" w:color="auto"/>
            <w:left w:val="none" w:sz="0" w:space="0" w:color="auto"/>
            <w:bottom w:val="none" w:sz="0" w:space="0" w:color="auto"/>
            <w:right w:val="none" w:sz="0" w:space="0" w:color="auto"/>
          </w:divBdr>
        </w:div>
      </w:divsChild>
    </w:div>
    <w:div w:id="1724209342">
      <w:bodyDiv w:val="1"/>
      <w:marLeft w:val="0"/>
      <w:marRight w:val="0"/>
      <w:marTop w:val="0"/>
      <w:marBottom w:val="0"/>
      <w:divBdr>
        <w:top w:val="none" w:sz="0" w:space="0" w:color="auto"/>
        <w:left w:val="none" w:sz="0" w:space="0" w:color="auto"/>
        <w:bottom w:val="none" w:sz="0" w:space="0" w:color="auto"/>
        <w:right w:val="none" w:sz="0" w:space="0" w:color="auto"/>
      </w:divBdr>
      <w:divsChild>
        <w:div w:id="1045833753">
          <w:marLeft w:val="0"/>
          <w:marRight w:val="0"/>
          <w:marTop w:val="0"/>
          <w:marBottom w:val="0"/>
          <w:divBdr>
            <w:top w:val="none" w:sz="0" w:space="0" w:color="auto"/>
            <w:left w:val="none" w:sz="0" w:space="0" w:color="auto"/>
            <w:bottom w:val="none" w:sz="0" w:space="0" w:color="auto"/>
            <w:right w:val="none" w:sz="0" w:space="0" w:color="auto"/>
          </w:divBdr>
        </w:div>
        <w:div w:id="1411349138">
          <w:marLeft w:val="0"/>
          <w:marRight w:val="0"/>
          <w:marTop w:val="0"/>
          <w:marBottom w:val="0"/>
          <w:divBdr>
            <w:top w:val="none" w:sz="0" w:space="0" w:color="auto"/>
            <w:left w:val="none" w:sz="0" w:space="0" w:color="auto"/>
            <w:bottom w:val="none" w:sz="0" w:space="0" w:color="auto"/>
            <w:right w:val="none" w:sz="0" w:space="0" w:color="auto"/>
          </w:divBdr>
        </w:div>
        <w:div w:id="1513717235">
          <w:marLeft w:val="0"/>
          <w:marRight w:val="0"/>
          <w:marTop w:val="0"/>
          <w:marBottom w:val="0"/>
          <w:divBdr>
            <w:top w:val="none" w:sz="0" w:space="0" w:color="auto"/>
            <w:left w:val="none" w:sz="0" w:space="0" w:color="auto"/>
            <w:bottom w:val="none" w:sz="0" w:space="0" w:color="auto"/>
            <w:right w:val="none" w:sz="0" w:space="0" w:color="auto"/>
          </w:divBdr>
        </w:div>
        <w:div w:id="1602252362">
          <w:marLeft w:val="0"/>
          <w:marRight w:val="0"/>
          <w:marTop w:val="0"/>
          <w:marBottom w:val="0"/>
          <w:divBdr>
            <w:top w:val="none" w:sz="0" w:space="0" w:color="auto"/>
            <w:left w:val="none" w:sz="0" w:space="0" w:color="auto"/>
            <w:bottom w:val="none" w:sz="0" w:space="0" w:color="auto"/>
            <w:right w:val="none" w:sz="0" w:space="0" w:color="auto"/>
          </w:divBdr>
        </w:div>
        <w:div w:id="1833372825">
          <w:marLeft w:val="0"/>
          <w:marRight w:val="0"/>
          <w:marTop w:val="0"/>
          <w:marBottom w:val="0"/>
          <w:divBdr>
            <w:top w:val="none" w:sz="0" w:space="0" w:color="auto"/>
            <w:left w:val="none" w:sz="0" w:space="0" w:color="auto"/>
            <w:bottom w:val="none" w:sz="0" w:space="0" w:color="auto"/>
            <w:right w:val="none" w:sz="0" w:space="0" w:color="auto"/>
          </w:divBdr>
        </w:div>
        <w:div w:id="1953976061">
          <w:marLeft w:val="0"/>
          <w:marRight w:val="0"/>
          <w:marTop w:val="0"/>
          <w:marBottom w:val="0"/>
          <w:divBdr>
            <w:top w:val="none" w:sz="0" w:space="0" w:color="auto"/>
            <w:left w:val="none" w:sz="0" w:space="0" w:color="auto"/>
            <w:bottom w:val="none" w:sz="0" w:space="0" w:color="auto"/>
            <w:right w:val="none" w:sz="0" w:space="0" w:color="auto"/>
          </w:divBdr>
        </w:div>
        <w:div w:id="2011055362">
          <w:marLeft w:val="0"/>
          <w:marRight w:val="0"/>
          <w:marTop w:val="0"/>
          <w:marBottom w:val="0"/>
          <w:divBdr>
            <w:top w:val="none" w:sz="0" w:space="0" w:color="auto"/>
            <w:left w:val="none" w:sz="0" w:space="0" w:color="auto"/>
            <w:bottom w:val="none" w:sz="0" w:space="0" w:color="auto"/>
            <w:right w:val="none" w:sz="0" w:space="0" w:color="auto"/>
          </w:divBdr>
        </w:div>
      </w:divsChild>
    </w:div>
    <w:div w:id="1724209592">
      <w:bodyDiv w:val="1"/>
      <w:marLeft w:val="0"/>
      <w:marRight w:val="0"/>
      <w:marTop w:val="0"/>
      <w:marBottom w:val="0"/>
      <w:divBdr>
        <w:top w:val="none" w:sz="0" w:space="0" w:color="auto"/>
        <w:left w:val="none" w:sz="0" w:space="0" w:color="auto"/>
        <w:bottom w:val="none" w:sz="0" w:space="0" w:color="auto"/>
        <w:right w:val="none" w:sz="0" w:space="0" w:color="auto"/>
      </w:divBdr>
    </w:div>
    <w:div w:id="1726174155">
      <w:bodyDiv w:val="1"/>
      <w:marLeft w:val="0"/>
      <w:marRight w:val="0"/>
      <w:marTop w:val="0"/>
      <w:marBottom w:val="0"/>
      <w:divBdr>
        <w:top w:val="none" w:sz="0" w:space="0" w:color="auto"/>
        <w:left w:val="none" w:sz="0" w:space="0" w:color="auto"/>
        <w:bottom w:val="none" w:sz="0" w:space="0" w:color="auto"/>
        <w:right w:val="none" w:sz="0" w:space="0" w:color="auto"/>
      </w:divBdr>
    </w:div>
    <w:div w:id="1735859813">
      <w:bodyDiv w:val="1"/>
      <w:marLeft w:val="0"/>
      <w:marRight w:val="0"/>
      <w:marTop w:val="0"/>
      <w:marBottom w:val="0"/>
      <w:divBdr>
        <w:top w:val="none" w:sz="0" w:space="0" w:color="auto"/>
        <w:left w:val="none" w:sz="0" w:space="0" w:color="auto"/>
        <w:bottom w:val="none" w:sz="0" w:space="0" w:color="auto"/>
        <w:right w:val="none" w:sz="0" w:space="0" w:color="auto"/>
      </w:divBdr>
    </w:div>
    <w:div w:id="1736126781">
      <w:bodyDiv w:val="1"/>
      <w:marLeft w:val="0"/>
      <w:marRight w:val="0"/>
      <w:marTop w:val="0"/>
      <w:marBottom w:val="0"/>
      <w:divBdr>
        <w:top w:val="none" w:sz="0" w:space="0" w:color="auto"/>
        <w:left w:val="none" w:sz="0" w:space="0" w:color="auto"/>
        <w:bottom w:val="none" w:sz="0" w:space="0" w:color="auto"/>
        <w:right w:val="none" w:sz="0" w:space="0" w:color="auto"/>
      </w:divBdr>
    </w:div>
    <w:div w:id="1743520598">
      <w:bodyDiv w:val="1"/>
      <w:marLeft w:val="0"/>
      <w:marRight w:val="0"/>
      <w:marTop w:val="0"/>
      <w:marBottom w:val="0"/>
      <w:divBdr>
        <w:top w:val="none" w:sz="0" w:space="0" w:color="auto"/>
        <w:left w:val="none" w:sz="0" w:space="0" w:color="auto"/>
        <w:bottom w:val="none" w:sz="0" w:space="0" w:color="auto"/>
        <w:right w:val="none" w:sz="0" w:space="0" w:color="auto"/>
      </w:divBdr>
    </w:div>
    <w:div w:id="1751543451">
      <w:bodyDiv w:val="1"/>
      <w:marLeft w:val="0"/>
      <w:marRight w:val="0"/>
      <w:marTop w:val="0"/>
      <w:marBottom w:val="0"/>
      <w:divBdr>
        <w:top w:val="none" w:sz="0" w:space="0" w:color="auto"/>
        <w:left w:val="none" w:sz="0" w:space="0" w:color="auto"/>
        <w:bottom w:val="none" w:sz="0" w:space="0" w:color="auto"/>
        <w:right w:val="none" w:sz="0" w:space="0" w:color="auto"/>
      </w:divBdr>
    </w:div>
    <w:div w:id="1757484178">
      <w:bodyDiv w:val="1"/>
      <w:marLeft w:val="0"/>
      <w:marRight w:val="0"/>
      <w:marTop w:val="0"/>
      <w:marBottom w:val="0"/>
      <w:divBdr>
        <w:top w:val="none" w:sz="0" w:space="0" w:color="auto"/>
        <w:left w:val="none" w:sz="0" w:space="0" w:color="auto"/>
        <w:bottom w:val="none" w:sz="0" w:space="0" w:color="auto"/>
        <w:right w:val="none" w:sz="0" w:space="0" w:color="auto"/>
      </w:divBdr>
    </w:div>
    <w:div w:id="1759405014">
      <w:bodyDiv w:val="1"/>
      <w:marLeft w:val="0"/>
      <w:marRight w:val="0"/>
      <w:marTop w:val="0"/>
      <w:marBottom w:val="0"/>
      <w:divBdr>
        <w:top w:val="none" w:sz="0" w:space="0" w:color="auto"/>
        <w:left w:val="none" w:sz="0" w:space="0" w:color="auto"/>
        <w:bottom w:val="none" w:sz="0" w:space="0" w:color="auto"/>
        <w:right w:val="none" w:sz="0" w:space="0" w:color="auto"/>
      </w:divBdr>
    </w:div>
    <w:div w:id="1761412190">
      <w:bodyDiv w:val="1"/>
      <w:marLeft w:val="0"/>
      <w:marRight w:val="0"/>
      <w:marTop w:val="0"/>
      <w:marBottom w:val="0"/>
      <w:divBdr>
        <w:top w:val="none" w:sz="0" w:space="0" w:color="auto"/>
        <w:left w:val="none" w:sz="0" w:space="0" w:color="auto"/>
        <w:bottom w:val="none" w:sz="0" w:space="0" w:color="auto"/>
        <w:right w:val="none" w:sz="0" w:space="0" w:color="auto"/>
      </w:divBdr>
    </w:div>
    <w:div w:id="1761561173">
      <w:bodyDiv w:val="1"/>
      <w:marLeft w:val="0"/>
      <w:marRight w:val="0"/>
      <w:marTop w:val="0"/>
      <w:marBottom w:val="0"/>
      <w:divBdr>
        <w:top w:val="none" w:sz="0" w:space="0" w:color="auto"/>
        <w:left w:val="none" w:sz="0" w:space="0" w:color="auto"/>
        <w:bottom w:val="none" w:sz="0" w:space="0" w:color="auto"/>
        <w:right w:val="none" w:sz="0" w:space="0" w:color="auto"/>
      </w:divBdr>
    </w:div>
    <w:div w:id="1778132898">
      <w:bodyDiv w:val="1"/>
      <w:marLeft w:val="0"/>
      <w:marRight w:val="0"/>
      <w:marTop w:val="0"/>
      <w:marBottom w:val="0"/>
      <w:divBdr>
        <w:top w:val="none" w:sz="0" w:space="0" w:color="auto"/>
        <w:left w:val="none" w:sz="0" w:space="0" w:color="auto"/>
        <w:bottom w:val="none" w:sz="0" w:space="0" w:color="auto"/>
        <w:right w:val="none" w:sz="0" w:space="0" w:color="auto"/>
      </w:divBdr>
    </w:div>
    <w:div w:id="1779375682">
      <w:bodyDiv w:val="1"/>
      <w:marLeft w:val="0"/>
      <w:marRight w:val="0"/>
      <w:marTop w:val="0"/>
      <w:marBottom w:val="0"/>
      <w:divBdr>
        <w:top w:val="none" w:sz="0" w:space="0" w:color="auto"/>
        <w:left w:val="none" w:sz="0" w:space="0" w:color="auto"/>
        <w:bottom w:val="none" w:sz="0" w:space="0" w:color="auto"/>
        <w:right w:val="none" w:sz="0" w:space="0" w:color="auto"/>
      </w:divBdr>
      <w:divsChild>
        <w:div w:id="749082425">
          <w:marLeft w:val="288"/>
          <w:marRight w:val="0"/>
          <w:marTop w:val="0"/>
          <w:marBottom w:val="0"/>
          <w:divBdr>
            <w:top w:val="none" w:sz="0" w:space="0" w:color="auto"/>
            <w:left w:val="none" w:sz="0" w:space="0" w:color="auto"/>
            <w:bottom w:val="none" w:sz="0" w:space="0" w:color="auto"/>
            <w:right w:val="none" w:sz="0" w:space="0" w:color="auto"/>
          </w:divBdr>
        </w:div>
        <w:div w:id="1971478690">
          <w:marLeft w:val="288"/>
          <w:marRight w:val="0"/>
          <w:marTop w:val="0"/>
          <w:marBottom w:val="0"/>
          <w:divBdr>
            <w:top w:val="none" w:sz="0" w:space="0" w:color="auto"/>
            <w:left w:val="none" w:sz="0" w:space="0" w:color="auto"/>
            <w:bottom w:val="none" w:sz="0" w:space="0" w:color="auto"/>
            <w:right w:val="none" w:sz="0" w:space="0" w:color="auto"/>
          </w:divBdr>
        </w:div>
      </w:divsChild>
    </w:div>
    <w:div w:id="1785609091">
      <w:bodyDiv w:val="1"/>
      <w:marLeft w:val="0"/>
      <w:marRight w:val="0"/>
      <w:marTop w:val="0"/>
      <w:marBottom w:val="0"/>
      <w:divBdr>
        <w:top w:val="none" w:sz="0" w:space="0" w:color="auto"/>
        <w:left w:val="none" w:sz="0" w:space="0" w:color="auto"/>
        <w:bottom w:val="none" w:sz="0" w:space="0" w:color="auto"/>
        <w:right w:val="none" w:sz="0" w:space="0" w:color="auto"/>
      </w:divBdr>
    </w:div>
    <w:div w:id="1790664615">
      <w:bodyDiv w:val="1"/>
      <w:marLeft w:val="0"/>
      <w:marRight w:val="0"/>
      <w:marTop w:val="0"/>
      <w:marBottom w:val="0"/>
      <w:divBdr>
        <w:top w:val="none" w:sz="0" w:space="0" w:color="auto"/>
        <w:left w:val="none" w:sz="0" w:space="0" w:color="auto"/>
        <w:bottom w:val="none" w:sz="0" w:space="0" w:color="auto"/>
        <w:right w:val="none" w:sz="0" w:space="0" w:color="auto"/>
      </w:divBdr>
    </w:div>
    <w:div w:id="1794203313">
      <w:bodyDiv w:val="1"/>
      <w:marLeft w:val="0"/>
      <w:marRight w:val="0"/>
      <w:marTop w:val="0"/>
      <w:marBottom w:val="0"/>
      <w:divBdr>
        <w:top w:val="none" w:sz="0" w:space="0" w:color="auto"/>
        <w:left w:val="none" w:sz="0" w:space="0" w:color="auto"/>
        <w:bottom w:val="none" w:sz="0" w:space="0" w:color="auto"/>
        <w:right w:val="none" w:sz="0" w:space="0" w:color="auto"/>
      </w:divBdr>
    </w:div>
    <w:div w:id="1798721263">
      <w:bodyDiv w:val="1"/>
      <w:marLeft w:val="0"/>
      <w:marRight w:val="0"/>
      <w:marTop w:val="0"/>
      <w:marBottom w:val="0"/>
      <w:divBdr>
        <w:top w:val="none" w:sz="0" w:space="0" w:color="auto"/>
        <w:left w:val="none" w:sz="0" w:space="0" w:color="auto"/>
        <w:bottom w:val="none" w:sz="0" w:space="0" w:color="auto"/>
        <w:right w:val="none" w:sz="0" w:space="0" w:color="auto"/>
      </w:divBdr>
    </w:div>
    <w:div w:id="1799569337">
      <w:bodyDiv w:val="1"/>
      <w:marLeft w:val="0"/>
      <w:marRight w:val="0"/>
      <w:marTop w:val="0"/>
      <w:marBottom w:val="0"/>
      <w:divBdr>
        <w:top w:val="none" w:sz="0" w:space="0" w:color="auto"/>
        <w:left w:val="none" w:sz="0" w:space="0" w:color="auto"/>
        <w:bottom w:val="none" w:sz="0" w:space="0" w:color="auto"/>
        <w:right w:val="none" w:sz="0" w:space="0" w:color="auto"/>
      </w:divBdr>
    </w:div>
    <w:div w:id="1803421579">
      <w:bodyDiv w:val="1"/>
      <w:marLeft w:val="0"/>
      <w:marRight w:val="0"/>
      <w:marTop w:val="0"/>
      <w:marBottom w:val="0"/>
      <w:divBdr>
        <w:top w:val="none" w:sz="0" w:space="0" w:color="auto"/>
        <w:left w:val="none" w:sz="0" w:space="0" w:color="auto"/>
        <w:bottom w:val="none" w:sz="0" w:space="0" w:color="auto"/>
        <w:right w:val="none" w:sz="0" w:space="0" w:color="auto"/>
      </w:divBdr>
    </w:div>
    <w:div w:id="1814057880">
      <w:bodyDiv w:val="1"/>
      <w:marLeft w:val="0"/>
      <w:marRight w:val="0"/>
      <w:marTop w:val="0"/>
      <w:marBottom w:val="0"/>
      <w:divBdr>
        <w:top w:val="none" w:sz="0" w:space="0" w:color="auto"/>
        <w:left w:val="none" w:sz="0" w:space="0" w:color="auto"/>
        <w:bottom w:val="none" w:sz="0" w:space="0" w:color="auto"/>
        <w:right w:val="none" w:sz="0" w:space="0" w:color="auto"/>
      </w:divBdr>
    </w:div>
    <w:div w:id="1821925215">
      <w:bodyDiv w:val="1"/>
      <w:marLeft w:val="0"/>
      <w:marRight w:val="0"/>
      <w:marTop w:val="0"/>
      <w:marBottom w:val="0"/>
      <w:divBdr>
        <w:top w:val="none" w:sz="0" w:space="0" w:color="auto"/>
        <w:left w:val="none" w:sz="0" w:space="0" w:color="auto"/>
        <w:bottom w:val="none" w:sz="0" w:space="0" w:color="auto"/>
        <w:right w:val="none" w:sz="0" w:space="0" w:color="auto"/>
      </w:divBdr>
    </w:div>
    <w:div w:id="1835874126">
      <w:bodyDiv w:val="1"/>
      <w:marLeft w:val="0"/>
      <w:marRight w:val="0"/>
      <w:marTop w:val="0"/>
      <w:marBottom w:val="0"/>
      <w:divBdr>
        <w:top w:val="none" w:sz="0" w:space="0" w:color="auto"/>
        <w:left w:val="none" w:sz="0" w:space="0" w:color="auto"/>
        <w:bottom w:val="none" w:sz="0" w:space="0" w:color="auto"/>
        <w:right w:val="none" w:sz="0" w:space="0" w:color="auto"/>
      </w:divBdr>
      <w:divsChild>
        <w:div w:id="264196269">
          <w:marLeft w:val="0"/>
          <w:marRight w:val="0"/>
          <w:marTop w:val="0"/>
          <w:marBottom w:val="0"/>
          <w:divBdr>
            <w:top w:val="none" w:sz="0" w:space="0" w:color="auto"/>
            <w:left w:val="none" w:sz="0" w:space="0" w:color="auto"/>
            <w:bottom w:val="none" w:sz="0" w:space="0" w:color="auto"/>
            <w:right w:val="none" w:sz="0" w:space="0" w:color="auto"/>
          </w:divBdr>
        </w:div>
        <w:div w:id="436487800">
          <w:marLeft w:val="0"/>
          <w:marRight w:val="0"/>
          <w:marTop w:val="0"/>
          <w:marBottom w:val="0"/>
          <w:divBdr>
            <w:top w:val="none" w:sz="0" w:space="0" w:color="auto"/>
            <w:left w:val="none" w:sz="0" w:space="0" w:color="auto"/>
            <w:bottom w:val="none" w:sz="0" w:space="0" w:color="auto"/>
            <w:right w:val="none" w:sz="0" w:space="0" w:color="auto"/>
          </w:divBdr>
        </w:div>
        <w:div w:id="721906180">
          <w:marLeft w:val="0"/>
          <w:marRight w:val="0"/>
          <w:marTop w:val="0"/>
          <w:marBottom w:val="0"/>
          <w:divBdr>
            <w:top w:val="none" w:sz="0" w:space="0" w:color="auto"/>
            <w:left w:val="none" w:sz="0" w:space="0" w:color="auto"/>
            <w:bottom w:val="none" w:sz="0" w:space="0" w:color="auto"/>
            <w:right w:val="none" w:sz="0" w:space="0" w:color="auto"/>
          </w:divBdr>
        </w:div>
        <w:div w:id="1059209233">
          <w:marLeft w:val="0"/>
          <w:marRight w:val="0"/>
          <w:marTop w:val="0"/>
          <w:marBottom w:val="0"/>
          <w:divBdr>
            <w:top w:val="none" w:sz="0" w:space="0" w:color="auto"/>
            <w:left w:val="none" w:sz="0" w:space="0" w:color="auto"/>
            <w:bottom w:val="none" w:sz="0" w:space="0" w:color="auto"/>
            <w:right w:val="none" w:sz="0" w:space="0" w:color="auto"/>
          </w:divBdr>
        </w:div>
        <w:div w:id="1120415410">
          <w:marLeft w:val="0"/>
          <w:marRight w:val="0"/>
          <w:marTop w:val="0"/>
          <w:marBottom w:val="0"/>
          <w:divBdr>
            <w:top w:val="none" w:sz="0" w:space="0" w:color="auto"/>
            <w:left w:val="none" w:sz="0" w:space="0" w:color="auto"/>
            <w:bottom w:val="none" w:sz="0" w:space="0" w:color="auto"/>
            <w:right w:val="none" w:sz="0" w:space="0" w:color="auto"/>
          </w:divBdr>
        </w:div>
        <w:div w:id="1888760176">
          <w:marLeft w:val="0"/>
          <w:marRight w:val="0"/>
          <w:marTop w:val="0"/>
          <w:marBottom w:val="0"/>
          <w:divBdr>
            <w:top w:val="none" w:sz="0" w:space="0" w:color="auto"/>
            <w:left w:val="none" w:sz="0" w:space="0" w:color="auto"/>
            <w:bottom w:val="none" w:sz="0" w:space="0" w:color="auto"/>
            <w:right w:val="none" w:sz="0" w:space="0" w:color="auto"/>
          </w:divBdr>
        </w:div>
      </w:divsChild>
    </w:div>
    <w:div w:id="1838232671">
      <w:bodyDiv w:val="1"/>
      <w:marLeft w:val="0"/>
      <w:marRight w:val="0"/>
      <w:marTop w:val="0"/>
      <w:marBottom w:val="0"/>
      <w:divBdr>
        <w:top w:val="none" w:sz="0" w:space="0" w:color="auto"/>
        <w:left w:val="none" w:sz="0" w:space="0" w:color="auto"/>
        <w:bottom w:val="none" w:sz="0" w:space="0" w:color="auto"/>
        <w:right w:val="none" w:sz="0" w:space="0" w:color="auto"/>
      </w:divBdr>
    </w:div>
    <w:div w:id="1846018306">
      <w:bodyDiv w:val="1"/>
      <w:marLeft w:val="0"/>
      <w:marRight w:val="0"/>
      <w:marTop w:val="0"/>
      <w:marBottom w:val="0"/>
      <w:divBdr>
        <w:top w:val="none" w:sz="0" w:space="0" w:color="auto"/>
        <w:left w:val="none" w:sz="0" w:space="0" w:color="auto"/>
        <w:bottom w:val="none" w:sz="0" w:space="0" w:color="auto"/>
        <w:right w:val="none" w:sz="0" w:space="0" w:color="auto"/>
      </w:divBdr>
    </w:div>
    <w:div w:id="1856992385">
      <w:bodyDiv w:val="1"/>
      <w:marLeft w:val="0"/>
      <w:marRight w:val="0"/>
      <w:marTop w:val="0"/>
      <w:marBottom w:val="0"/>
      <w:divBdr>
        <w:top w:val="none" w:sz="0" w:space="0" w:color="auto"/>
        <w:left w:val="none" w:sz="0" w:space="0" w:color="auto"/>
        <w:bottom w:val="none" w:sz="0" w:space="0" w:color="auto"/>
        <w:right w:val="none" w:sz="0" w:space="0" w:color="auto"/>
      </w:divBdr>
      <w:divsChild>
        <w:div w:id="292903659">
          <w:marLeft w:val="0"/>
          <w:marRight w:val="0"/>
          <w:marTop w:val="0"/>
          <w:marBottom w:val="0"/>
          <w:divBdr>
            <w:top w:val="none" w:sz="0" w:space="0" w:color="auto"/>
            <w:left w:val="none" w:sz="0" w:space="0" w:color="auto"/>
            <w:bottom w:val="none" w:sz="0" w:space="0" w:color="auto"/>
            <w:right w:val="none" w:sz="0" w:space="0" w:color="auto"/>
          </w:divBdr>
        </w:div>
        <w:div w:id="405222223">
          <w:marLeft w:val="0"/>
          <w:marRight w:val="0"/>
          <w:marTop w:val="0"/>
          <w:marBottom w:val="0"/>
          <w:divBdr>
            <w:top w:val="none" w:sz="0" w:space="0" w:color="auto"/>
            <w:left w:val="none" w:sz="0" w:space="0" w:color="auto"/>
            <w:bottom w:val="none" w:sz="0" w:space="0" w:color="auto"/>
            <w:right w:val="none" w:sz="0" w:space="0" w:color="auto"/>
          </w:divBdr>
        </w:div>
        <w:div w:id="407002759">
          <w:marLeft w:val="0"/>
          <w:marRight w:val="0"/>
          <w:marTop w:val="0"/>
          <w:marBottom w:val="0"/>
          <w:divBdr>
            <w:top w:val="none" w:sz="0" w:space="0" w:color="auto"/>
            <w:left w:val="none" w:sz="0" w:space="0" w:color="auto"/>
            <w:bottom w:val="none" w:sz="0" w:space="0" w:color="auto"/>
            <w:right w:val="none" w:sz="0" w:space="0" w:color="auto"/>
          </w:divBdr>
        </w:div>
        <w:div w:id="690448438">
          <w:marLeft w:val="0"/>
          <w:marRight w:val="0"/>
          <w:marTop w:val="0"/>
          <w:marBottom w:val="0"/>
          <w:divBdr>
            <w:top w:val="none" w:sz="0" w:space="0" w:color="auto"/>
            <w:left w:val="none" w:sz="0" w:space="0" w:color="auto"/>
            <w:bottom w:val="none" w:sz="0" w:space="0" w:color="auto"/>
            <w:right w:val="none" w:sz="0" w:space="0" w:color="auto"/>
          </w:divBdr>
        </w:div>
        <w:div w:id="839193990">
          <w:marLeft w:val="0"/>
          <w:marRight w:val="0"/>
          <w:marTop w:val="0"/>
          <w:marBottom w:val="0"/>
          <w:divBdr>
            <w:top w:val="none" w:sz="0" w:space="0" w:color="auto"/>
            <w:left w:val="none" w:sz="0" w:space="0" w:color="auto"/>
            <w:bottom w:val="none" w:sz="0" w:space="0" w:color="auto"/>
            <w:right w:val="none" w:sz="0" w:space="0" w:color="auto"/>
          </w:divBdr>
        </w:div>
        <w:div w:id="1092507006">
          <w:marLeft w:val="0"/>
          <w:marRight w:val="0"/>
          <w:marTop w:val="0"/>
          <w:marBottom w:val="0"/>
          <w:divBdr>
            <w:top w:val="none" w:sz="0" w:space="0" w:color="auto"/>
            <w:left w:val="none" w:sz="0" w:space="0" w:color="auto"/>
            <w:bottom w:val="none" w:sz="0" w:space="0" w:color="auto"/>
            <w:right w:val="none" w:sz="0" w:space="0" w:color="auto"/>
          </w:divBdr>
        </w:div>
        <w:div w:id="1500076681">
          <w:marLeft w:val="0"/>
          <w:marRight w:val="0"/>
          <w:marTop w:val="0"/>
          <w:marBottom w:val="0"/>
          <w:divBdr>
            <w:top w:val="none" w:sz="0" w:space="0" w:color="auto"/>
            <w:left w:val="none" w:sz="0" w:space="0" w:color="auto"/>
            <w:bottom w:val="none" w:sz="0" w:space="0" w:color="auto"/>
            <w:right w:val="none" w:sz="0" w:space="0" w:color="auto"/>
          </w:divBdr>
        </w:div>
        <w:div w:id="1761949337">
          <w:marLeft w:val="0"/>
          <w:marRight w:val="0"/>
          <w:marTop w:val="0"/>
          <w:marBottom w:val="0"/>
          <w:divBdr>
            <w:top w:val="none" w:sz="0" w:space="0" w:color="auto"/>
            <w:left w:val="none" w:sz="0" w:space="0" w:color="auto"/>
            <w:bottom w:val="none" w:sz="0" w:space="0" w:color="auto"/>
            <w:right w:val="none" w:sz="0" w:space="0" w:color="auto"/>
          </w:divBdr>
        </w:div>
        <w:div w:id="1816337265">
          <w:marLeft w:val="0"/>
          <w:marRight w:val="0"/>
          <w:marTop w:val="0"/>
          <w:marBottom w:val="0"/>
          <w:divBdr>
            <w:top w:val="none" w:sz="0" w:space="0" w:color="auto"/>
            <w:left w:val="none" w:sz="0" w:space="0" w:color="auto"/>
            <w:bottom w:val="none" w:sz="0" w:space="0" w:color="auto"/>
            <w:right w:val="none" w:sz="0" w:space="0" w:color="auto"/>
          </w:divBdr>
        </w:div>
        <w:div w:id="2135168837">
          <w:marLeft w:val="0"/>
          <w:marRight w:val="0"/>
          <w:marTop w:val="0"/>
          <w:marBottom w:val="0"/>
          <w:divBdr>
            <w:top w:val="none" w:sz="0" w:space="0" w:color="auto"/>
            <w:left w:val="none" w:sz="0" w:space="0" w:color="auto"/>
            <w:bottom w:val="none" w:sz="0" w:space="0" w:color="auto"/>
            <w:right w:val="none" w:sz="0" w:space="0" w:color="auto"/>
          </w:divBdr>
        </w:div>
      </w:divsChild>
    </w:div>
    <w:div w:id="1864396993">
      <w:bodyDiv w:val="1"/>
      <w:marLeft w:val="0"/>
      <w:marRight w:val="0"/>
      <w:marTop w:val="0"/>
      <w:marBottom w:val="0"/>
      <w:divBdr>
        <w:top w:val="none" w:sz="0" w:space="0" w:color="auto"/>
        <w:left w:val="none" w:sz="0" w:space="0" w:color="auto"/>
        <w:bottom w:val="none" w:sz="0" w:space="0" w:color="auto"/>
        <w:right w:val="none" w:sz="0" w:space="0" w:color="auto"/>
      </w:divBdr>
    </w:div>
    <w:div w:id="1868175975">
      <w:bodyDiv w:val="1"/>
      <w:marLeft w:val="0"/>
      <w:marRight w:val="0"/>
      <w:marTop w:val="0"/>
      <w:marBottom w:val="0"/>
      <w:divBdr>
        <w:top w:val="none" w:sz="0" w:space="0" w:color="auto"/>
        <w:left w:val="none" w:sz="0" w:space="0" w:color="auto"/>
        <w:bottom w:val="none" w:sz="0" w:space="0" w:color="auto"/>
        <w:right w:val="none" w:sz="0" w:space="0" w:color="auto"/>
      </w:divBdr>
    </w:div>
    <w:div w:id="1871647398">
      <w:bodyDiv w:val="1"/>
      <w:marLeft w:val="0"/>
      <w:marRight w:val="0"/>
      <w:marTop w:val="0"/>
      <w:marBottom w:val="0"/>
      <w:divBdr>
        <w:top w:val="none" w:sz="0" w:space="0" w:color="auto"/>
        <w:left w:val="none" w:sz="0" w:space="0" w:color="auto"/>
        <w:bottom w:val="none" w:sz="0" w:space="0" w:color="auto"/>
        <w:right w:val="none" w:sz="0" w:space="0" w:color="auto"/>
      </w:divBdr>
    </w:div>
    <w:div w:id="1878732608">
      <w:bodyDiv w:val="1"/>
      <w:marLeft w:val="0"/>
      <w:marRight w:val="0"/>
      <w:marTop w:val="0"/>
      <w:marBottom w:val="0"/>
      <w:divBdr>
        <w:top w:val="none" w:sz="0" w:space="0" w:color="auto"/>
        <w:left w:val="none" w:sz="0" w:space="0" w:color="auto"/>
        <w:bottom w:val="none" w:sz="0" w:space="0" w:color="auto"/>
        <w:right w:val="none" w:sz="0" w:space="0" w:color="auto"/>
      </w:divBdr>
    </w:div>
    <w:div w:id="1883012784">
      <w:bodyDiv w:val="1"/>
      <w:marLeft w:val="0"/>
      <w:marRight w:val="0"/>
      <w:marTop w:val="0"/>
      <w:marBottom w:val="0"/>
      <w:divBdr>
        <w:top w:val="none" w:sz="0" w:space="0" w:color="auto"/>
        <w:left w:val="none" w:sz="0" w:space="0" w:color="auto"/>
        <w:bottom w:val="none" w:sz="0" w:space="0" w:color="auto"/>
        <w:right w:val="none" w:sz="0" w:space="0" w:color="auto"/>
      </w:divBdr>
    </w:div>
    <w:div w:id="1886334376">
      <w:bodyDiv w:val="1"/>
      <w:marLeft w:val="0"/>
      <w:marRight w:val="0"/>
      <w:marTop w:val="0"/>
      <w:marBottom w:val="0"/>
      <w:divBdr>
        <w:top w:val="none" w:sz="0" w:space="0" w:color="auto"/>
        <w:left w:val="none" w:sz="0" w:space="0" w:color="auto"/>
        <w:bottom w:val="none" w:sz="0" w:space="0" w:color="auto"/>
        <w:right w:val="none" w:sz="0" w:space="0" w:color="auto"/>
      </w:divBdr>
      <w:divsChild>
        <w:div w:id="327174130">
          <w:marLeft w:val="288"/>
          <w:marRight w:val="0"/>
          <w:marTop w:val="0"/>
          <w:marBottom w:val="0"/>
          <w:divBdr>
            <w:top w:val="none" w:sz="0" w:space="0" w:color="auto"/>
            <w:left w:val="none" w:sz="0" w:space="0" w:color="auto"/>
            <w:bottom w:val="none" w:sz="0" w:space="0" w:color="auto"/>
            <w:right w:val="none" w:sz="0" w:space="0" w:color="auto"/>
          </w:divBdr>
        </w:div>
        <w:div w:id="911348631">
          <w:marLeft w:val="288"/>
          <w:marRight w:val="0"/>
          <w:marTop w:val="0"/>
          <w:marBottom w:val="0"/>
          <w:divBdr>
            <w:top w:val="none" w:sz="0" w:space="0" w:color="auto"/>
            <w:left w:val="none" w:sz="0" w:space="0" w:color="auto"/>
            <w:bottom w:val="none" w:sz="0" w:space="0" w:color="auto"/>
            <w:right w:val="none" w:sz="0" w:space="0" w:color="auto"/>
          </w:divBdr>
        </w:div>
        <w:div w:id="1277251392">
          <w:marLeft w:val="288"/>
          <w:marRight w:val="0"/>
          <w:marTop w:val="0"/>
          <w:marBottom w:val="0"/>
          <w:divBdr>
            <w:top w:val="none" w:sz="0" w:space="0" w:color="auto"/>
            <w:left w:val="none" w:sz="0" w:space="0" w:color="auto"/>
            <w:bottom w:val="none" w:sz="0" w:space="0" w:color="auto"/>
            <w:right w:val="none" w:sz="0" w:space="0" w:color="auto"/>
          </w:divBdr>
        </w:div>
      </w:divsChild>
    </w:div>
    <w:div w:id="1892768168">
      <w:bodyDiv w:val="1"/>
      <w:marLeft w:val="0"/>
      <w:marRight w:val="0"/>
      <w:marTop w:val="0"/>
      <w:marBottom w:val="0"/>
      <w:divBdr>
        <w:top w:val="none" w:sz="0" w:space="0" w:color="auto"/>
        <w:left w:val="none" w:sz="0" w:space="0" w:color="auto"/>
        <w:bottom w:val="none" w:sz="0" w:space="0" w:color="auto"/>
        <w:right w:val="none" w:sz="0" w:space="0" w:color="auto"/>
      </w:divBdr>
    </w:div>
    <w:div w:id="1912886486">
      <w:bodyDiv w:val="1"/>
      <w:marLeft w:val="0"/>
      <w:marRight w:val="0"/>
      <w:marTop w:val="0"/>
      <w:marBottom w:val="0"/>
      <w:divBdr>
        <w:top w:val="none" w:sz="0" w:space="0" w:color="auto"/>
        <w:left w:val="none" w:sz="0" w:space="0" w:color="auto"/>
        <w:bottom w:val="none" w:sz="0" w:space="0" w:color="auto"/>
        <w:right w:val="none" w:sz="0" w:space="0" w:color="auto"/>
      </w:divBdr>
    </w:div>
    <w:div w:id="1914469371">
      <w:bodyDiv w:val="1"/>
      <w:marLeft w:val="0"/>
      <w:marRight w:val="0"/>
      <w:marTop w:val="0"/>
      <w:marBottom w:val="0"/>
      <w:divBdr>
        <w:top w:val="none" w:sz="0" w:space="0" w:color="auto"/>
        <w:left w:val="none" w:sz="0" w:space="0" w:color="auto"/>
        <w:bottom w:val="none" w:sz="0" w:space="0" w:color="auto"/>
        <w:right w:val="none" w:sz="0" w:space="0" w:color="auto"/>
      </w:divBdr>
    </w:div>
    <w:div w:id="1916354001">
      <w:bodyDiv w:val="1"/>
      <w:marLeft w:val="0"/>
      <w:marRight w:val="0"/>
      <w:marTop w:val="0"/>
      <w:marBottom w:val="0"/>
      <w:divBdr>
        <w:top w:val="none" w:sz="0" w:space="0" w:color="auto"/>
        <w:left w:val="none" w:sz="0" w:space="0" w:color="auto"/>
        <w:bottom w:val="none" w:sz="0" w:space="0" w:color="auto"/>
        <w:right w:val="none" w:sz="0" w:space="0" w:color="auto"/>
      </w:divBdr>
      <w:divsChild>
        <w:div w:id="1333803585">
          <w:marLeft w:val="274"/>
          <w:marRight w:val="0"/>
          <w:marTop w:val="0"/>
          <w:marBottom w:val="0"/>
          <w:divBdr>
            <w:top w:val="none" w:sz="0" w:space="0" w:color="auto"/>
            <w:left w:val="none" w:sz="0" w:space="0" w:color="auto"/>
            <w:bottom w:val="none" w:sz="0" w:space="0" w:color="auto"/>
            <w:right w:val="none" w:sz="0" w:space="0" w:color="auto"/>
          </w:divBdr>
        </w:div>
      </w:divsChild>
    </w:div>
    <w:div w:id="1925720692">
      <w:bodyDiv w:val="1"/>
      <w:marLeft w:val="0"/>
      <w:marRight w:val="0"/>
      <w:marTop w:val="0"/>
      <w:marBottom w:val="0"/>
      <w:divBdr>
        <w:top w:val="none" w:sz="0" w:space="0" w:color="auto"/>
        <w:left w:val="none" w:sz="0" w:space="0" w:color="auto"/>
        <w:bottom w:val="none" w:sz="0" w:space="0" w:color="auto"/>
        <w:right w:val="none" w:sz="0" w:space="0" w:color="auto"/>
      </w:divBdr>
    </w:div>
    <w:div w:id="1934123231">
      <w:bodyDiv w:val="1"/>
      <w:marLeft w:val="0"/>
      <w:marRight w:val="0"/>
      <w:marTop w:val="0"/>
      <w:marBottom w:val="0"/>
      <w:divBdr>
        <w:top w:val="none" w:sz="0" w:space="0" w:color="auto"/>
        <w:left w:val="none" w:sz="0" w:space="0" w:color="auto"/>
        <w:bottom w:val="none" w:sz="0" w:space="0" w:color="auto"/>
        <w:right w:val="none" w:sz="0" w:space="0" w:color="auto"/>
      </w:divBdr>
    </w:div>
    <w:div w:id="1948389491">
      <w:bodyDiv w:val="1"/>
      <w:marLeft w:val="0"/>
      <w:marRight w:val="0"/>
      <w:marTop w:val="0"/>
      <w:marBottom w:val="0"/>
      <w:divBdr>
        <w:top w:val="none" w:sz="0" w:space="0" w:color="auto"/>
        <w:left w:val="none" w:sz="0" w:space="0" w:color="auto"/>
        <w:bottom w:val="none" w:sz="0" w:space="0" w:color="auto"/>
        <w:right w:val="none" w:sz="0" w:space="0" w:color="auto"/>
      </w:divBdr>
    </w:div>
    <w:div w:id="1967420732">
      <w:bodyDiv w:val="1"/>
      <w:marLeft w:val="0"/>
      <w:marRight w:val="0"/>
      <w:marTop w:val="0"/>
      <w:marBottom w:val="0"/>
      <w:divBdr>
        <w:top w:val="none" w:sz="0" w:space="0" w:color="auto"/>
        <w:left w:val="none" w:sz="0" w:space="0" w:color="auto"/>
        <w:bottom w:val="none" w:sz="0" w:space="0" w:color="auto"/>
        <w:right w:val="none" w:sz="0" w:space="0" w:color="auto"/>
      </w:divBdr>
    </w:div>
    <w:div w:id="1970864498">
      <w:bodyDiv w:val="1"/>
      <w:marLeft w:val="0"/>
      <w:marRight w:val="0"/>
      <w:marTop w:val="0"/>
      <w:marBottom w:val="0"/>
      <w:divBdr>
        <w:top w:val="none" w:sz="0" w:space="0" w:color="auto"/>
        <w:left w:val="none" w:sz="0" w:space="0" w:color="auto"/>
        <w:bottom w:val="none" w:sz="0" w:space="0" w:color="auto"/>
        <w:right w:val="none" w:sz="0" w:space="0" w:color="auto"/>
      </w:divBdr>
    </w:div>
    <w:div w:id="1972665853">
      <w:bodyDiv w:val="1"/>
      <w:marLeft w:val="0"/>
      <w:marRight w:val="0"/>
      <w:marTop w:val="0"/>
      <w:marBottom w:val="0"/>
      <w:divBdr>
        <w:top w:val="none" w:sz="0" w:space="0" w:color="auto"/>
        <w:left w:val="none" w:sz="0" w:space="0" w:color="auto"/>
        <w:bottom w:val="none" w:sz="0" w:space="0" w:color="auto"/>
        <w:right w:val="none" w:sz="0" w:space="0" w:color="auto"/>
      </w:divBdr>
    </w:div>
    <w:div w:id="1974210587">
      <w:bodyDiv w:val="1"/>
      <w:marLeft w:val="0"/>
      <w:marRight w:val="0"/>
      <w:marTop w:val="0"/>
      <w:marBottom w:val="0"/>
      <w:divBdr>
        <w:top w:val="none" w:sz="0" w:space="0" w:color="auto"/>
        <w:left w:val="none" w:sz="0" w:space="0" w:color="auto"/>
        <w:bottom w:val="none" w:sz="0" w:space="0" w:color="auto"/>
        <w:right w:val="none" w:sz="0" w:space="0" w:color="auto"/>
      </w:divBdr>
    </w:div>
    <w:div w:id="1981567735">
      <w:bodyDiv w:val="1"/>
      <w:marLeft w:val="0"/>
      <w:marRight w:val="0"/>
      <w:marTop w:val="0"/>
      <w:marBottom w:val="0"/>
      <w:divBdr>
        <w:top w:val="none" w:sz="0" w:space="0" w:color="auto"/>
        <w:left w:val="none" w:sz="0" w:space="0" w:color="auto"/>
        <w:bottom w:val="none" w:sz="0" w:space="0" w:color="auto"/>
        <w:right w:val="none" w:sz="0" w:space="0" w:color="auto"/>
      </w:divBdr>
    </w:div>
    <w:div w:id="1984312023">
      <w:bodyDiv w:val="1"/>
      <w:marLeft w:val="0"/>
      <w:marRight w:val="0"/>
      <w:marTop w:val="0"/>
      <w:marBottom w:val="0"/>
      <w:divBdr>
        <w:top w:val="none" w:sz="0" w:space="0" w:color="auto"/>
        <w:left w:val="none" w:sz="0" w:space="0" w:color="auto"/>
        <w:bottom w:val="none" w:sz="0" w:space="0" w:color="auto"/>
        <w:right w:val="none" w:sz="0" w:space="0" w:color="auto"/>
      </w:divBdr>
    </w:div>
    <w:div w:id="1986935539">
      <w:bodyDiv w:val="1"/>
      <w:marLeft w:val="0"/>
      <w:marRight w:val="0"/>
      <w:marTop w:val="0"/>
      <w:marBottom w:val="0"/>
      <w:divBdr>
        <w:top w:val="none" w:sz="0" w:space="0" w:color="auto"/>
        <w:left w:val="none" w:sz="0" w:space="0" w:color="auto"/>
        <w:bottom w:val="none" w:sz="0" w:space="0" w:color="auto"/>
        <w:right w:val="none" w:sz="0" w:space="0" w:color="auto"/>
      </w:divBdr>
    </w:div>
    <w:div w:id="1988044598">
      <w:bodyDiv w:val="1"/>
      <w:marLeft w:val="0"/>
      <w:marRight w:val="0"/>
      <w:marTop w:val="0"/>
      <w:marBottom w:val="0"/>
      <w:divBdr>
        <w:top w:val="none" w:sz="0" w:space="0" w:color="auto"/>
        <w:left w:val="none" w:sz="0" w:space="0" w:color="auto"/>
        <w:bottom w:val="none" w:sz="0" w:space="0" w:color="auto"/>
        <w:right w:val="none" w:sz="0" w:space="0" w:color="auto"/>
      </w:divBdr>
    </w:div>
    <w:div w:id="1991203416">
      <w:bodyDiv w:val="1"/>
      <w:marLeft w:val="0"/>
      <w:marRight w:val="0"/>
      <w:marTop w:val="0"/>
      <w:marBottom w:val="0"/>
      <w:divBdr>
        <w:top w:val="none" w:sz="0" w:space="0" w:color="auto"/>
        <w:left w:val="none" w:sz="0" w:space="0" w:color="auto"/>
        <w:bottom w:val="none" w:sz="0" w:space="0" w:color="auto"/>
        <w:right w:val="none" w:sz="0" w:space="0" w:color="auto"/>
      </w:divBdr>
    </w:div>
    <w:div w:id="1998806605">
      <w:bodyDiv w:val="1"/>
      <w:marLeft w:val="0"/>
      <w:marRight w:val="0"/>
      <w:marTop w:val="0"/>
      <w:marBottom w:val="0"/>
      <w:divBdr>
        <w:top w:val="none" w:sz="0" w:space="0" w:color="auto"/>
        <w:left w:val="none" w:sz="0" w:space="0" w:color="auto"/>
        <w:bottom w:val="none" w:sz="0" w:space="0" w:color="auto"/>
        <w:right w:val="none" w:sz="0" w:space="0" w:color="auto"/>
      </w:divBdr>
    </w:div>
    <w:div w:id="2004620463">
      <w:bodyDiv w:val="1"/>
      <w:marLeft w:val="0"/>
      <w:marRight w:val="0"/>
      <w:marTop w:val="0"/>
      <w:marBottom w:val="0"/>
      <w:divBdr>
        <w:top w:val="none" w:sz="0" w:space="0" w:color="auto"/>
        <w:left w:val="none" w:sz="0" w:space="0" w:color="auto"/>
        <w:bottom w:val="none" w:sz="0" w:space="0" w:color="auto"/>
        <w:right w:val="none" w:sz="0" w:space="0" w:color="auto"/>
      </w:divBdr>
    </w:div>
    <w:div w:id="2012759515">
      <w:bodyDiv w:val="1"/>
      <w:marLeft w:val="0"/>
      <w:marRight w:val="0"/>
      <w:marTop w:val="0"/>
      <w:marBottom w:val="0"/>
      <w:divBdr>
        <w:top w:val="none" w:sz="0" w:space="0" w:color="auto"/>
        <w:left w:val="none" w:sz="0" w:space="0" w:color="auto"/>
        <w:bottom w:val="none" w:sz="0" w:space="0" w:color="auto"/>
        <w:right w:val="none" w:sz="0" w:space="0" w:color="auto"/>
      </w:divBdr>
    </w:div>
    <w:div w:id="2021616475">
      <w:bodyDiv w:val="1"/>
      <w:marLeft w:val="0"/>
      <w:marRight w:val="0"/>
      <w:marTop w:val="0"/>
      <w:marBottom w:val="0"/>
      <w:divBdr>
        <w:top w:val="none" w:sz="0" w:space="0" w:color="auto"/>
        <w:left w:val="none" w:sz="0" w:space="0" w:color="auto"/>
        <w:bottom w:val="none" w:sz="0" w:space="0" w:color="auto"/>
        <w:right w:val="none" w:sz="0" w:space="0" w:color="auto"/>
      </w:divBdr>
    </w:div>
    <w:div w:id="2027244295">
      <w:bodyDiv w:val="1"/>
      <w:marLeft w:val="0"/>
      <w:marRight w:val="0"/>
      <w:marTop w:val="0"/>
      <w:marBottom w:val="0"/>
      <w:divBdr>
        <w:top w:val="none" w:sz="0" w:space="0" w:color="auto"/>
        <w:left w:val="none" w:sz="0" w:space="0" w:color="auto"/>
        <w:bottom w:val="none" w:sz="0" w:space="0" w:color="auto"/>
        <w:right w:val="none" w:sz="0" w:space="0" w:color="auto"/>
      </w:divBdr>
    </w:div>
    <w:div w:id="2027558170">
      <w:bodyDiv w:val="1"/>
      <w:marLeft w:val="0"/>
      <w:marRight w:val="0"/>
      <w:marTop w:val="0"/>
      <w:marBottom w:val="0"/>
      <w:divBdr>
        <w:top w:val="none" w:sz="0" w:space="0" w:color="auto"/>
        <w:left w:val="none" w:sz="0" w:space="0" w:color="auto"/>
        <w:bottom w:val="none" w:sz="0" w:space="0" w:color="auto"/>
        <w:right w:val="none" w:sz="0" w:space="0" w:color="auto"/>
      </w:divBdr>
    </w:div>
    <w:div w:id="2028677764">
      <w:bodyDiv w:val="1"/>
      <w:marLeft w:val="0"/>
      <w:marRight w:val="0"/>
      <w:marTop w:val="0"/>
      <w:marBottom w:val="0"/>
      <w:divBdr>
        <w:top w:val="none" w:sz="0" w:space="0" w:color="auto"/>
        <w:left w:val="none" w:sz="0" w:space="0" w:color="auto"/>
        <w:bottom w:val="none" w:sz="0" w:space="0" w:color="auto"/>
        <w:right w:val="none" w:sz="0" w:space="0" w:color="auto"/>
      </w:divBdr>
    </w:div>
    <w:div w:id="2030060355">
      <w:bodyDiv w:val="1"/>
      <w:marLeft w:val="0"/>
      <w:marRight w:val="0"/>
      <w:marTop w:val="0"/>
      <w:marBottom w:val="0"/>
      <w:divBdr>
        <w:top w:val="none" w:sz="0" w:space="0" w:color="auto"/>
        <w:left w:val="none" w:sz="0" w:space="0" w:color="auto"/>
        <w:bottom w:val="none" w:sz="0" w:space="0" w:color="auto"/>
        <w:right w:val="none" w:sz="0" w:space="0" w:color="auto"/>
      </w:divBdr>
    </w:div>
    <w:div w:id="2031255051">
      <w:bodyDiv w:val="1"/>
      <w:marLeft w:val="0"/>
      <w:marRight w:val="0"/>
      <w:marTop w:val="0"/>
      <w:marBottom w:val="0"/>
      <w:divBdr>
        <w:top w:val="none" w:sz="0" w:space="0" w:color="auto"/>
        <w:left w:val="none" w:sz="0" w:space="0" w:color="auto"/>
        <w:bottom w:val="none" w:sz="0" w:space="0" w:color="auto"/>
        <w:right w:val="none" w:sz="0" w:space="0" w:color="auto"/>
      </w:divBdr>
    </w:div>
    <w:div w:id="2032682279">
      <w:bodyDiv w:val="1"/>
      <w:marLeft w:val="0"/>
      <w:marRight w:val="0"/>
      <w:marTop w:val="0"/>
      <w:marBottom w:val="0"/>
      <w:divBdr>
        <w:top w:val="none" w:sz="0" w:space="0" w:color="auto"/>
        <w:left w:val="none" w:sz="0" w:space="0" w:color="auto"/>
        <w:bottom w:val="none" w:sz="0" w:space="0" w:color="auto"/>
        <w:right w:val="none" w:sz="0" w:space="0" w:color="auto"/>
      </w:divBdr>
    </w:div>
    <w:div w:id="2036156926">
      <w:bodyDiv w:val="1"/>
      <w:marLeft w:val="0"/>
      <w:marRight w:val="0"/>
      <w:marTop w:val="0"/>
      <w:marBottom w:val="0"/>
      <w:divBdr>
        <w:top w:val="none" w:sz="0" w:space="0" w:color="auto"/>
        <w:left w:val="none" w:sz="0" w:space="0" w:color="auto"/>
        <w:bottom w:val="none" w:sz="0" w:space="0" w:color="auto"/>
        <w:right w:val="none" w:sz="0" w:space="0" w:color="auto"/>
      </w:divBdr>
      <w:divsChild>
        <w:div w:id="28074339">
          <w:marLeft w:val="0"/>
          <w:marRight w:val="0"/>
          <w:marTop w:val="0"/>
          <w:marBottom w:val="0"/>
          <w:divBdr>
            <w:top w:val="none" w:sz="0" w:space="0" w:color="auto"/>
            <w:left w:val="none" w:sz="0" w:space="0" w:color="auto"/>
            <w:bottom w:val="none" w:sz="0" w:space="0" w:color="auto"/>
            <w:right w:val="none" w:sz="0" w:space="0" w:color="auto"/>
          </w:divBdr>
        </w:div>
        <w:div w:id="42292534">
          <w:marLeft w:val="0"/>
          <w:marRight w:val="0"/>
          <w:marTop w:val="0"/>
          <w:marBottom w:val="0"/>
          <w:divBdr>
            <w:top w:val="none" w:sz="0" w:space="0" w:color="auto"/>
            <w:left w:val="none" w:sz="0" w:space="0" w:color="auto"/>
            <w:bottom w:val="none" w:sz="0" w:space="0" w:color="auto"/>
            <w:right w:val="none" w:sz="0" w:space="0" w:color="auto"/>
          </w:divBdr>
        </w:div>
        <w:div w:id="44716112">
          <w:marLeft w:val="0"/>
          <w:marRight w:val="0"/>
          <w:marTop w:val="0"/>
          <w:marBottom w:val="0"/>
          <w:divBdr>
            <w:top w:val="none" w:sz="0" w:space="0" w:color="auto"/>
            <w:left w:val="none" w:sz="0" w:space="0" w:color="auto"/>
            <w:bottom w:val="none" w:sz="0" w:space="0" w:color="auto"/>
            <w:right w:val="none" w:sz="0" w:space="0" w:color="auto"/>
          </w:divBdr>
        </w:div>
        <w:div w:id="58669904">
          <w:marLeft w:val="0"/>
          <w:marRight w:val="0"/>
          <w:marTop w:val="0"/>
          <w:marBottom w:val="0"/>
          <w:divBdr>
            <w:top w:val="none" w:sz="0" w:space="0" w:color="auto"/>
            <w:left w:val="none" w:sz="0" w:space="0" w:color="auto"/>
            <w:bottom w:val="none" w:sz="0" w:space="0" w:color="auto"/>
            <w:right w:val="none" w:sz="0" w:space="0" w:color="auto"/>
          </w:divBdr>
        </w:div>
        <w:div w:id="75714782">
          <w:marLeft w:val="0"/>
          <w:marRight w:val="0"/>
          <w:marTop w:val="0"/>
          <w:marBottom w:val="0"/>
          <w:divBdr>
            <w:top w:val="none" w:sz="0" w:space="0" w:color="auto"/>
            <w:left w:val="none" w:sz="0" w:space="0" w:color="auto"/>
            <w:bottom w:val="none" w:sz="0" w:space="0" w:color="auto"/>
            <w:right w:val="none" w:sz="0" w:space="0" w:color="auto"/>
          </w:divBdr>
        </w:div>
        <w:div w:id="76945158">
          <w:marLeft w:val="0"/>
          <w:marRight w:val="0"/>
          <w:marTop w:val="0"/>
          <w:marBottom w:val="0"/>
          <w:divBdr>
            <w:top w:val="none" w:sz="0" w:space="0" w:color="auto"/>
            <w:left w:val="none" w:sz="0" w:space="0" w:color="auto"/>
            <w:bottom w:val="none" w:sz="0" w:space="0" w:color="auto"/>
            <w:right w:val="none" w:sz="0" w:space="0" w:color="auto"/>
          </w:divBdr>
        </w:div>
        <w:div w:id="97063871">
          <w:marLeft w:val="0"/>
          <w:marRight w:val="0"/>
          <w:marTop w:val="0"/>
          <w:marBottom w:val="0"/>
          <w:divBdr>
            <w:top w:val="none" w:sz="0" w:space="0" w:color="auto"/>
            <w:left w:val="none" w:sz="0" w:space="0" w:color="auto"/>
            <w:bottom w:val="none" w:sz="0" w:space="0" w:color="auto"/>
            <w:right w:val="none" w:sz="0" w:space="0" w:color="auto"/>
          </w:divBdr>
        </w:div>
        <w:div w:id="106849100">
          <w:marLeft w:val="0"/>
          <w:marRight w:val="0"/>
          <w:marTop w:val="0"/>
          <w:marBottom w:val="0"/>
          <w:divBdr>
            <w:top w:val="none" w:sz="0" w:space="0" w:color="auto"/>
            <w:left w:val="none" w:sz="0" w:space="0" w:color="auto"/>
            <w:bottom w:val="none" w:sz="0" w:space="0" w:color="auto"/>
            <w:right w:val="none" w:sz="0" w:space="0" w:color="auto"/>
          </w:divBdr>
        </w:div>
        <w:div w:id="109279871">
          <w:marLeft w:val="0"/>
          <w:marRight w:val="0"/>
          <w:marTop w:val="0"/>
          <w:marBottom w:val="0"/>
          <w:divBdr>
            <w:top w:val="none" w:sz="0" w:space="0" w:color="auto"/>
            <w:left w:val="none" w:sz="0" w:space="0" w:color="auto"/>
            <w:bottom w:val="none" w:sz="0" w:space="0" w:color="auto"/>
            <w:right w:val="none" w:sz="0" w:space="0" w:color="auto"/>
          </w:divBdr>
        </w:div>
        <w:div w:id="120997129">
          <w:marLeft w:val="0"/>
          <w:marRight w:val="0"/>
          <w:marTop w:val="0"/>
          <w:marBottom w:val="0"/>
          <w:divBdr>
            <w:top w:val="none" w:sz="0" w:space="0" w:color="auto"/>
            <w:left w:val="none" w:sz="0" w:space="0" w:color="auto"/>
            <w:bottom w:val="none" w:sz="0" w:space="0" w:color="auto"/>
            <w:right w:val="none" w:sz="0" w:space="0" w:color="auto"/>
          </w:divBdr>
        </w:div>
        <w:div w:id="143162273">
          <w:marLeft w:val="0"/>
          <w:marRight w:val="0"/>
          <w:marTop w:val="0"/>
          <w:marBottom w:val="0"/>
          <w:divBdr>
            <w:top w:val="none" w:sz="0" w:space="0" w:color="auto"/>
            <w:left w:val="none" w:sz="0" w:space="0" w:color="auto"/>
            <w:bottom w:val="none" w:sz="0" w:space="0" w:color="auto"/>
            <w:right w:val="none" w:sz="0" w:space="0" w:color="auto"/>
          </w:divBdr>
        </w:div>
        <w:div w:id="149952893">
          <w:marLeft w:val="0"/>
          <w:marRight w:val="0"/>
          <w:marTop w:val="0"/>
          <w:marBottom w:val="0"/>
          <w:divBdr>
            <w:top w:val="none" w:sz="0" w:space="0" w:color="auto"/>
            <w:left w:val="none" w:sz="0" w:space="0" w:color="auto"/>
            <w:bottom w:val="none" w:sz="0" w:space="0" w:color="auto"/>
            <w:right w:val="none" w:sz="0" w:space="0" w:color="auto"/>
          </w:divBdr>
        </w:div>
        <w:div w:id="152533859">
          <w:marLeft w:val="0"/>
          <w:marRight w:val="0"/>
          <w:marTop w:val="0"/>
          <w:marBottom w:val="0"/>
          <w:divBdr>
            <w:top w:val="none" w:sz="0" w:space="0" w:color="auto"/>
            <w:left w:val="none" w:sz="0" w:space="0" w:color="auto"/>
            <w:bottom w:val="none" w:sz="0" w:space="0" w:color="auto"/>
            <w:right w:val="none" w:sz="0" w:space="0" w:color="auto"/>
          </w:divBdr>
        </w:div>
        <w:div w:id="172843739">
          <w:marLeft w:val="0"/>
          <w:marRight w:val="0"/>
          <w:marTop w:val="0"/>
          <w:marBottom w:val="0"/>
          <w:divBdr>
            <w:top w:val="none" w:sz="0" w:space="0" w:color="auto"/>
            <w:left w:val="none" w:sz="0" w:space="0" w:color="auto"/>
            <w:bottom w:val="none" w:sz="0" w:space="0" w:color="auto"/>
            <w:right w:val="none" w:sz="0" w:space="0" w:color="auto"/>
          </w:divBdr>
        </w:div>
        <w:div w:id="180246669">
          <w:marLeft w:val="0"/>
          <w:marRight w:val="0"/>
          <w:marTop w:val="0"/>
          <w:marBottom w:val="0"/>
          <w:divBdr>
            <w:top w:val="none" w:sz="0" w:space="0" w:color="auto"/>
            <w:left w:val="none" w:sz="0" w:space="0" w:color="auto"/>
            <w:bottom w:val="none" w:sz="0" w:space="0" w:color="auto"/>
            <w:right w:val="none" w:sz="0" w:space="0" w:color="auto"/>
          </w:divBdr>
        </w:div>
        <w:div w:id="198395473">
          <w:marLeft w:val="0"/>
          <w:marRight w:val="0"/>
          <w:marTop w:val="0"/>
          <w:marBottom w:val="0"/>
          <w:divBdr>
            <w:top w:val="none" w:sz="0" w:space="0" w:color="auto"/>
            <w:left w:val="none" w:sz="0" w:space="0" w:color="auto"/>
            <w:bottom w:val="none" w:sz="0" w:space="0" w:color="auto"/>
            <w:right w:val="none" w:sz="0" w:space="0" w:color="auto"/>
          </w:divBdr>
        </w:div>
        <w:div w:id="216823099">
          <w:marLeft w:val="0"/>
          <w:marRight w:val="0"/>
          <w:marTop w:val="0"/>
          <w:marBottom w:val="0"/>
          <w:divBdr>
            <w:top w:val="none" w:sz="0" w:space="0" w:color="auto"/>
            <w:left w:val="none" w:sz="0" w:space="0" w:color="auto"/>
            <w:bottom w:val="none" w:sz="0" w:space="0" w:color="auto"/>
            <w:right w:val="none" w:sz="0" w:space="0" w:color="auto"/>
          </w:divBdr>
        </w:div>
        <w:div w:id="217011248">
          <w:marLeft w:val="0"/>
          <w:marRight w:val="0"/>
          <w:marTop w:val="0"/>
          <w:marBottom w:val="0"/>
          <w:divBdr>
            <w:top w:val="none" w:sz="0" w:space="0" w:color="auto"/>
            <w:left w:val="none" w:sz="0" w:space="0" w:color="auto"/>
            <w:bottom w:val="none" w:sz="0" w:space="0" w:color="auto"/>
            <w:right w:val="none" w:sz="0" w:space="0" w:color="auto"/>
          </w:divBdr>
        </w:div>
        <w:div w:id="241720140">
          <w:marLeft w:val="0"/>
          <w:marRight w:val="0"/>
          <w:marTop w:val="0"/>
          <w:marBottom w:val="0"/>
          <w:divBdr>
            <w:top w:val="none" w:sz="0" w:space="0" w:color="auto"/>
            <w:left w:val="none" w:sz="0" w:space="0" w:color="auto"/>
            <w:bottom w:val="none" w:sz="0" w:space="0" w:color="auto"/>
            <w:right w:val="none" w:sz="0" w:space="0" w:color="auto"/>
          </w:divBdr>
        </w:div>
        <w:div w:id="242955883">
          <w:marLeft w:val="0"/>
          <w:marRight w:val="0"/>
          <w:marTop w:val="0"/>
          <w:marBottom w:val="0"/>
          <w:divBdr>
            <w:top w:val="none" w:sz="0" w:space="0" w:color="auto"/>
            <w:left w:val="none" w:sz="0" w:space="0" w:color="auto"/>
            <w:bottom w:val="none" w:sz="0" w:space="0" w:color="auto"/>
            <w:right w:val="none" w:sz="0" w:space="0" w:color="auto"/>
          </w:divBdr>
        </w:div>
        <w:div w:id="244190920">
          <w:marLeft w:val="0"/>
          <w:marRight w:val="0"/>
          <w:marTop w:val="0"/>
          <w:marBottom w:val="0"/>
          <w:divBdr>
            <w:top w:val="none" w:sz="0" w:space="0" w:color="auto"/>
            <w:left w:val="none" w:sz="0" w:space="0" w:color="auto"/>
            <w:bottom w:val="none" w:sz="0" w:space="0" w:color="auto"/>
            <w:right w:val="none" w:sz="0" w:space="0" w:color="auto"/>
          </w:divBdr>
        </w:div>
        <w:div w:id="248975099">
          <w:marLeft w:val="0"/>
          <w:marRight w:val="0"/>
          <w:marTop w:val="0"/>
          <w:marBottom w:val="0"/>
          <w:divBdr>
            <w:top w:val="none" w:sz="0" w:space="0" w:color="auto"/>
            <w:left w:val="none" w:sz="0" w:space="0" w:color="auto"/>
            <w:bottom w:val="none" w:sz="0" w:space="0" w:color="auto"/>
            <w:right w:val="none" w:sz="0" w:space="0" w:color="auto"/>
          </w:divBdr>
        </w:div>
        <w:div w:id="249895474">
          <w:marLeft w:val="0"/>
          <w:marRight w:val="0"/>
          <w:marTop w:val="0"/>
          <w:marBottom w:val="0"/>
          <w:divBdr>
            <w:top w:val="none" w:sz="0" w:space="0" w:color="auto"/>
            <w:left w:val="none" w:sz="0" w:space="0" w:color="auto"/>
            <w:bottom w:val="none" w:sz="0" w:space="0" w:color="auto"/>
            <w:right w:val="none" w:sz="0" w:space="0" w:color="auto"/>
          </w:divBdr>
        </w:div>
        <w:div w:id="268244039">
          <w:marLeft w:val="0"/>
          <w:marRight w:val="0"/>
          <w:marTop w:val="0"/>
          <w:marBottom w:val="0"/>
          <w:divBdr>
            <w:top w:val="none" w:sz="0" w:space="0" w:color="auto"/>
            <w:left w:val="none" w:sz="0" w:space="0" w:color="auto"/>
            <w:bottom w:val="none" w:sz="0" w:space="0" w:color="auto"/>
            <w:right w:val="none" w:sz="0" w:space="0" w:color="auto"/>
          </w:divBdr>
        </w:div>
        <w:div w:id="275988651">
          <w:marLeft w:val="0"/>
          <w:marRight w:val="0"/>
          <w:marTop w:val="0"/>
          <w:marBottom w:val="0"/>
          <w:divBdr>
            <w:top w:val="none" w:sz="0" w:space="0" w:color="auto"/>
            <w:left w:val="none" w:sz="0" w:space="0" w:color="auto"/>
            <w:bottom w:val="none" w:sz="0" w:space="0" w:color="auto"/>
            <w:right w:val="none" w:sz="0" w:space="0" w:color="auto"/>
          </w:divBdr>
        </w:div>
        <w:div w:id="280232650">
          <w:marLeft w:val="0"/>
          <w:marRight w:val="0"/>
          <w:marTop w:val="0"/>
          <w:marBottom w:val="0"/>
          <w:divBdr>
            <w:top w:val="none" w:sz="0" w:space="0" w:color="auto"/>
            <w:left w:val="none" w:sz="0" w:space="0" w:color="auto"/>
            <w:bottom w:val="none" w:sz="0" w:space="0" w:color="auto"/>
            <w:right w:val="none" w:sz="0" w:space="0" w:color="auto"/>
          </w:divBdr>
        </w:div>
        <w:div w:id="287587701">
          <w:marLeft w:val="0"/>
          <w:marRight w:val="0"/>
          <w:marTop w:val="0"/>
          <w:marBottom w:val="0"/>
          <w:divBdr>
            <w:top w:val="none" w:sz="0" w:space="0" w:color="auto"/>
            <w:left w:val="none" w:sz="0" w:space="0" w:color="auto"/>
            <w:bottom w:val="none" w:sz="0" w:space="0" w:color="auto"/>
            <w:right w:val="none" w:sz="0" w:space="0" w:color="auto"/>
          </w:divBdr>
        </w:div>
        <w:div w:id="290283480">
          <w:marLeft w:val="0"/>
          <w:marRight w:val="0"/>
          <w:marTop w:val="0"/>
          <w:marBottom w:val="0"/>
          <w:divBdr>
            <w:top w:val="none" w:sz="0" w:space="0" w:color="auto"/>
            <w:left w:val="none" w:sz="0" w:space="0" w:color="auto"/>
            <w:bottom w:val="none" w:sz="0" w:space="0" w:color="auto"/>
            <w:right w:val="none" w:sz="0" w:space="0" w:color="auto"/>
          </w:divBdr>
        </w:div>
        <w:div w:id="290791013">
          <w:marLeft w:val="0"/>
          <w:marRight w:val="0"/>
          <w:marTop w:val="0"/>
          <w:marBottom w:val="0"/>
          <w:divBdr>
            <w:top w:val="none" w:sz="0" w:space="0" w:color="auto"/>
            <w:left w:val="none" w:sz="0" w:space="0" w:color="auto"/>
            <w:bottom w:val="none" w:sz="0" w:space="0" w:color="auto"/>
            <w:right w:val="none" w:sz="0" w:space="0" w:color="auto"/>
          </w:divBdr>
        </w:div>
        <w:div w:id="297734141">
          <w:marLeft w:val="0"/>
          <w:marRight w:val="0"/>
          <w:marTop w:val="0"/>
          <w:marBottom w:val="0"/>
          <w:divBdr>
            <w:top w:val="none" w:sz="0" w:space="0" w:color="auto"/>
            <w:left w:val="none" w:sz="0" w:space="0" w:color="auto"/>
            <w:bottom w:val="none" w:sz="0" w:space="0" w:color="auto"/>
            <w:right w:val="none" w:sz="0" w:space="0" w:color="auto"/>
          </w:divBdr>
        </w:div>
        <w:div w:id="325524277">
          <w:marLeft w:val="0"/>
          <w:marRight w:val="0"/>
          <w:marTop w:val="0"/>
          <w:marBottom w:val="0"/>
          <w:divBdr>
            <w:top w:val="none" w:sz="0" w:space="0" w:color="auto"/>
            <w:left w:val="none" w:sz="0" w:space="0" w:color="auto"/>
            <w:bottom w:val="none" w:sz="0" w:space="0" w:color="auto"/>
            <w:right w:val="none" w:sz="0" w:space="0" w:color="auto"/>
          </w:divBdr>
        </w:div>
        <w:div w:id="338896778">
          <w:marLeft w:val="0"/>
          <w:marRight w:val="0"/>
          <w:marTop w:val="0"/>
          <w:marBottom w:val="0"/>
          <w:divBdr>
            <w:top w:val="none" w:sz="0" w:space="0" w:color="auto"/>
            <w:left w:val="none" w:sz="0" w:space="0" w:color="auto"/>
            <w:bottom w:val="none" w:sz="0" w:space="0" w:color="auto"/>
            <w:right w:val="none" w:sz="0" w:space="0" w:color="auto"/>
          </w:divBdr>
        </w:div>
        <w:div w:id="348413420">
          <w:marLeft w:val="0"/>
          <w:marRight w:val="0"/>
          <w:marTop w:val="0"/>
          <w:marBottom w:val="0"/>
          <w:divBdr>
            <w:top w:val="none" w:sz="0" w:space="0" w:color="auto"/>
            <w:left w:val="none" w:sz="0" w:space="0" w:color="auto"/>
            <w:bottom w:val="none" w:sz="0" w:space="0" w:color="auto"/>
            <w:right w:val="none" w:sz="0" w:space="0" w:color="auto"/>
          </w:divBdr>
        </w:div>
        <w:div w:id="358051814">
          <w:marLeft w:val="0"/>
          <w:marRight w:val="0"/>
          <w:marTop w:val="0"/>
          <w:marBottom w:val="0"/>
          <w:divBdr>
            <w:top w:val="none" w:sz="0" w:space="0" w:color="auto"/>
            <w:left w:val="none" w:sz="0" w:space="0" w:color="auto"/>
            <w:bottom w:val="none" w:sz="0" w:space="0" w:color="auto"/>
            <w:right w:val="none" w:sz="0" w:space="0" w:color="auto"/>
          </w:divBdr>
        </w:div>
        <w:div w:id="369721275">
          <w:marLeft w:val="0"/>
          <w:marRight w:val="0"/>
          <w:marTop w:val="0"/>
          <w:marBottom w:val="0"/>
          <w:divBdr>
            <w:top w:val="none" w:sz="0" w:space="0" w:color="auto"/>
            <w:left w:val="none" w:sz="0" w:space="0" w:color="auto"/>
            <w:bottom w:val="none" w:sz="0" w:space="0" w:color="auto"/>
            <w:right w:val="none" w:sz="0" w:space="0" w:color="auto"/>
          </w:divBdr>
        </w:div>
        <w:div w:id="378284886">
          <w:marLeft w:val="0"/>
          <w:marRight w:val="0"/>
          <w:marTop w:val="0"/>
          <w:marBottom w:val="0"/>
          <w:divBdr>
            <w:top w:val="none" w:sz="0" w:space="0" w:color="auto"/>
            <w:left w:val="none" w:sz="0" w:space="0" w:color="auto"/>
            <w:bottom w:val="none" w:sz="0" w:space="0" w:color="auto"/>
            <w:right w:val="none" w:sz="0" w:space="0" w:color="auto"/>
          </w:divBdr>
        </w:div>
        <w:div w:id="383140215">
          <w:marLeft w:val="0"/>
          <w:marRight w:val="0"/>
          <w:marTop w:val="0"/>
          <w:marBottom w:val="0"/>
          <w:divBdr>
            <w:top w:val="none" w:sz="0" w:space="0" w:color="auto"/>
            <w:left w:val="none" w:sz="0" w:space="0" w:color="auto"/>
            <w:bottom w:val="none" w:sz="0" w:space="0" w:color="auto"/>
            <w:right w:val="none" w:sz="0" w:space="0" w:color="auto"/>
          </w:divBdr>
        </w:div>
        <w:div w:id="409544406">
          <w:marLeft w:val="0"/>
          <w:marRight w:val="0"/>
          <w:marTop w:val="0"/>
          <w:marBottom w:val="0"/>
          <w:divBdr>
            <w:top w:val="none" w:sz="0" w:space="0" w:color="auto"/>
            <w:left w:val="none" w:sz="0" w:space="0" w:color="auto"/>
            <w:bottom w:val="none" w:sz="0" w:space="0" w:color="auto"/>
            <w:right w:val="none" w:sz="0" w:space="0" w:color="auto"/>
          </w:divBdr>
        </w:div>
        <w:div w:id="410078476">
          <w:marLeft w:val="0"/>
          <w:marRight w:val="0"/>
          <w:marTop w:val="0"/>
          <w:marBottom w:val="0"/>
          <w:divBdr>
            <w:top w:val="none" w:sz="0" w:space="0" w:color="auto"/>
            <w:left w:val="none" w:sz="0" w:space="0" w:color="auto"/>
            <w:bottom w:val="none" w:sz="0" w:space="0" w:color="auto"/>
            <w:right w:val="none" w:sz="0" w:space="0" w:color="auto"/>
          </w:divBdr>
        </w:div>
        <w:div w:id="423844179">
          <w:marLeft w:val="0"/>
          <w:marRight w:val="0"/>
          <w:marTop w:val="0"/>
          <w:marBottom w:val="0"/>
          <w:divBdr>
            <w:top w:val="none" w:sz="0" w:space="0" w:color="auto"/>
            <w:left w:val="none" w:sz="0" w:space="0" w:color="auto"/>
            <w:bottom w:val="none" w:sz="0" w:space="0" w:color="auto"/>
            <w:right w:val="none" w:sz="0" w:space="0" w:color="auto"/>
          </w:divBdr>
        </w:div>
        <w:div w:id="446241469">
          <w:marLeft w:val="0"/>
          <w:marRight w:val="0"/>
          <w:marTop w:val="0"/>
          <w:marBottom w:val="0"/>
          <w:divBdr>
            <w:top w:val="none" w:sz="0" w:space="0" w:color="auto"/>
            <w:left w:val="none" w:sz="0" w:space="0" w:color="auto"/>
            <w:bottom w:val="none" w:sz="0" w:space="0" w:color="auto"/>
            <w:right w:val="none" w:sz="0" w:space="0" w:color="auto"/>
          </w:divBdr>
        </w:div>
        <w:div w:id="509295359">
          <w:marLeft w:val="0"/>
          <w:marRight w:val="0"/>
          <w:marTop w:val="0"/>
          <w:marBottom w:val="0"/>
          <w:divBdr>
            <w:top w:val="none" w:sz="0" w:space="0" w:color="auto"/>
            <w:left w:val="none" w:sz="0" w:space="0" w:color="auto"/>
            <w:bottom w:val="none" w:sz="0" w:space="0" w:color="auto"/>
            <w:right w:val="none" w:sz="0" w:space="0" w:color="auto"/>
          </w:divBdr>
        </w:div>
        <w:div w:id="538512740">
          <w:marLeft w:val="0"/>
          <w:marRight w:val="0"/>
          <w:marTop w:val="0"/>
          <w:marBottom w:val="0"/>
          <w:divBdr>
            <w:top w:val="none" w:sz="0" w:space="0" w:color="auto"/>
            <w:left w:val="none" w:sz="0" w:space="0" w:color="auto"/>
            <w:bottom w:val="none" w:sz="0" w:space="0" w:color="auto"/>
            <w:right w:val="none" w:sz="0" w:space="0" w:color="auto"/>
          </w:divBdr>
        </w:div>
        <w:div w:id="544217928">
          <w:marLeft w:val="0"/>
          <w:marRight w:val="0"/>
          <w:marTop w:val="0"/>
          <w:marBottom w:val="0"/>
          <w:divBdr>
            <w:top w:val="none" w:sz="0" w:space="0" w:color="auto"/>
            <w:left w:val="none" w:sz="0" w:space="0" w:color="auto"/>
            <w:bottom w:val="none" w:sz="0" w:space="0" w:color="auto"/>
            <w:right w:val="none" w:sz="0" w:space="0" w:color="auto"/>
          </w:divBdr>
        </w:div>
        <w:div w:id="555166787">
          <w:marLeft w:val="0"/>
          <w:marRight w:val="0"/>
          <w:marTop w:val="0"/>
          <w:marBottom w:val="0"/>
          <w:divBdr>
            <w:top w:val="none" w:sz="0" w:space="0" w:color="auto"/>
            <w:left w:val="none" w:sz="0" w:space="0" w:color="auto"/>
            <w:bottom w:val="none" w:sz="0" w:space="0" w:color="auto"/>
            <w:right w:val="none" w:sz="0" w:space="0" w:color="auto"/>
          </w:divBdr>
        </w:div>
        <w:div w:id="558592049">
          <w:marLeft w:val="0"/>
          <w:marRight w:val="0"/>
          <w:marTop w:val="0"/>
          <w:marBottom w:val="0"/>
          <w:divBdr>
            <w:top w:val="none" w:sz="0" w:space="0" w:color="auto"/>
            <w:left w:val="none" w:sz="0" w:space="0" w:color="auto"/>
            <w:bottom w:val="none" w:sz="0" w:space="0" w:color="auto"/>
            <w:right w:val="none" w:sz="0" w:space="0" w:color="auto"/>
          </w:divBdr>
        </w:div>
        <w:div w:id="572279288">
          <w:marLeft w:val="0"/>
          <w:marRight w:val="0"/>
          <w:marTop w:val="0"/>
          <w:marBottom w:val="0"/>
          <w:divBdr>
            <w:top w:val="none" w:sz="0" w:space="0" w:color="auto"/>
            <w:left w:val="none" w:sz="0" w:space="0" w:color="auto"/>
            <w:bottom w:val="none" w:sz="0" w:space="0" w:color="auto"/>
            <w:right w:val="none" w:sz="0" w:space="0" w:color="auto"/>
          </w:divBdr>
        </w:div>
        <w:div w:id="597256143">
          <w:marLeft w:val="0"/>
          <w:marRight w:val="0"/>
          <w:marTop w:val="0"/>
          <w:marBottom w:val="0"/>
          <w:divBdr>
            <w:top w:val="none" w:sz="0" w:space="0" w:color="auto"/>
            <w:left w:val="none" w:sz="0" w:space="0" w:color="auto"/>
            <w:bottom w:val="none" w:sz="0" w:space="0" w:color="auto"/>
            <w:right w:val="none" w:sz="0" w:space="0" w:color="auto"/>
          </w:divBdr>
        </w:div>
        <w:div w:id="624117449">
          <w:marLeft w:val="0"/>
          <w:marRight w:val="0"/>
          <w:marTop w:val="0"/>
          <w:marBottom w:val="0"/>
          <w:divBdr>
            <w:top w:val="none" w:sz="0" w:space="0" w:color="auto"/>
            <w:left w:val="none" w:sz="0" w:space="0" w:color="auto"/>
            <w:bottom w:val="none" w:sz="0" w:space="0" w:color="auto"/>
            <w:right w:val="none" w:sz="0" w:space="0" w:color="auto"/>
          </w:divBdr>
        </w:div>
        <w:div w:id="651250815">
          <w:marLeft w:val="0"/>
          <w:marRight w:val="0"/>
          <w:marTop w:val="0"/>
          <w:marBottom w:val="0"/>
          <w:divBdr>
            <w:top w:val="none" w:sz="0" w:space="0" w:color="auto"/>
            <w:left w:val="none" w:sz="0" w:space="0" w:color="auto"/>
            <w:bottom w:val="none" w:sz="0" w:space="0" w:color="auto"/>
            <w:right w:val="none" w:sz="0" w:space="0" w:color="auto"/>
          </w:divBdr>
        </w:div>
        <w:div w:id="651561121">
          <w:marLeft w:val="0"/>
          <w:marRight w:val="0"/>
          <w:marTop w:val="0"/>
          <w:marBottom w:val="0"/>
          <w:divBdr>
            <w:top w:val="none" w:sz="0" w:space="0" w:color="auto"/>
            <w:left w:val="none" w:sz="0" w:space="0" w:color="auto"/>
            <w:bottom w:val="none" w:sz="0" w:space="0" w:color="auto"/>
            <w:right w:val="none" w:sz="0" w:space="0" w:color="auto"/>
          </w:divBdr>
        </w:div>
        <w:div w:id="701319090">
          <w:marLeft w:val="0"/>
          <w:marRight w:val="0"/>
          <w:marTop w:val="0"/>
          <w:marBottom w:val="0"/>
          <w:divBdr>
            <w:top w:val="none" w:sz="0" w:space="0" w:color="auto"/>
            <w:left w:val="none" w:sz="0" w:space="0" w:color="auto"/>
            <w:bottom w:val="none" w:sz="0" w:space="0" w:color="auto"/>
            <w:right w:val="none" w:sz="0" w:space="0" w:color="auto"/>
          </w:divBdr>
        </w:div>
        <w:div w:id="702368154">
          <w:marLeft w:val="0"/>
          <w:marRight w:val="0"/>
          <w:marTop w:val="0"/>
          <w:marBottom w:val="0"/>
          <w:divBdr>
            <w:top w:val="none" w:sz="0" w:space="0" w:color="auto"/>
            <w:left w:val="none" w:sz="0" w:space="0" w:color="auto"/>
            <w:bottom w:val="none" w:sz="0" w:space="0" w:color="auto"/>
            <w:right w:val="none" w:sz="0" w:space="0" w:color="auto"/>
          </w:divBdr>
        </w:div>
        <w:div w:id="702634271">
          <w:marLeft w:val="0"/>
          <w:marRight w:val="0"/>
          <w:marTop w:val="0"/>
          <w:marBottom w:val="0"/>
          <w:divBdr>
            <w:top w:val="none" w:sz="0" w:space="0" w:color="auto"/>
            <w:left w:val="none" w:sz="0" w:space="0" w:color="auto"/>
            <w:bottom w:val="none" w:sz="0" w:space="0" w:color="auto"/>
            <w:right w:val="none" w:sz="0" w:space="0" w:color="auto"/>
          </w:divBdr>
        </w:div>
        <w:div w:id="718481907">
          <w:marLeft w:val="0"/>
          <w:marRight w:val="0"/>
          <w:marTop w:val="0"/>
          <w:marBottom w:val="0"/>
          <w:divBdr>
            <w:top w:val="none" w:sz="0" w:space="0" w:color="auto"/>
            <w:left w:val="none" w:sz="0" w:space="0" w:color="auto"/>
            <w:bottom w:val="none" w:sz="0" w:space="0" w:color="auto"/>
            <w:right w:val="none" w:sz="0" w:space="0" w:color="auto"/>
          </w:divBdr>
        </w:div>
        <w:div w:id="736438015">
          <w:marLeft w:val="0"/>
          <w:marRight w:val="0"/>
          <w:marTop w:val="0"/>
          <w:marBottom w:val="0"/>
          <w:divBdr>
            <w:top w:val="none" w:sz="0" w:space="0" w:color="auto"/>
            <w:left w:val="none" w:sz="0" w:space="0" w:color="auto"/>
            <w:bottom w:val="none" w:sz="0" w:space="0" w:color="auto"/>
            <w:right w:val="none" w:sz="0" w:space="0" w:color="auto"/>
          </w:divBdr>
        </w:div>
        <w:div w:id="749161052">
          <w:marLeft w:val="0"/>
          <w:marRight w:val="0"/>
          <w:marTop w:val="0"/>
          <w:marBottom w:val="0"/>
          <w:divBdr>
            <w:top w:val="none" w:sz="0" w:space="0" w:color="auto"/>
            <w:left w:val="none" w:sz="0" w:space="0" w:color="auto"/>
            <w:bottom w:val="none" w:sz="0" w:space="0" w:color="auto"/>
            <w:right w:val="none" w:sz="0" w:space="0" w:color="auto"/>
          </w:divBdr>
        </w:div>
        <w:div w:id="763188431">
          <w:marLeft w:val="0"/>
          <w:marRight w:val="0"/>
          <w:marTop w:val="0"/>
          <w:marBottom w:val="0"/>
          <w:divBdr>
            <w:top w:val="none" w:sz="0" w:space="0" w:color="auto"/>
            <w:left w:val="none" w:sz="0" w:space="0" w:color="auto"/>
            <w:bottom w:val="none" w:sz="0" w:space="0" w:color="auto"/>
            <w:right w:val="none" w:sz="0" w:space="0" w:color="auto"/>
          </w:divBdr>
        </w:div>
        <w:div w:id="825627833">
          <w:marLeft w:val="0"/>
          <w:marRight w:val="0"/>
          <w:marTop w:val="0"/>
          <w:marBottom w:val="0"/>
          <w:divBdr>
            <w:top w:val="none" w:sz="0" w:space="0" w:color="auto"/>
            <w:left w:val="none" w:sz="0" w:space="0" w:color="auto"/>
            <w:bottom w:val="none" w:sz="0" w:space="0" w:color="auto"/>
            <w:right w:val="none" w:sz="0" w:space="0" w:color="auto"/>
          </w:divBdr>
        </w:div>
        <w:div w:id="828862129">
          <w:marLeft w:val="0"/>
          <w:marRight w:val="0"/>
          <w:marTop w:val="0"/>
          <w:marBottom w:val="0"/>
          <w:divBdr>
            <w:top w:val="none" w:sz="0" w:space="0" w:color="auto"/>
            <w:left w:val="none" w:sz="0" w:space="0" w:color="auto"/>
            <w:bottom w:val="none" w:sz="0" w:space="0" w:color="auto"/>
            <w:right w:val="none" w:sz="0" w:space="0" w:color="auto"/>
          </w:divBdr>
        </w:div>
        <w:div w:id="856507472">
          <w:marLeft w:val="0"/>
          <w:marRight w:val="0"/>
          <w:marTop w:val="0"/>
          <w:marBottom w:val="0"/>
          <w:divBdr>
            <w:top w:val="none" w:sz="0" w:space="0" w:color="auto"/>
            <w:left w:val="none" w:sz="0" w:space="0" w:color="auto"/>
            <w:bottom w:val="none" w:sz="0" w:space="0" w:color="auto"/>
            <w:right w:val="none" w:sz="0" w:space="0" w:color="auto"/>
          </w:divBdr>
        </w:div>
        <w:div w:id="899481951">
          <w:marLeft w:val="0"/>
          <w:marRight w:val="0"/>
          <w:marTop w:val="0"/>
          <w:marBottom w:val="0"/>
          <w:divBdr>
            <w:top w:val="none" w:sz="0" w:space="0" w:color="auto"/>
            <w:left w:val="none" w:sz="0" w:space="0" w:color="auto"/>
            <w:bottom w:val="none" w:sz="0" w:space="0" w:color="auto"/>
            <w:right w:val="none" w:sz="0" w:space="0" w:color="auto"/>
          </w:divBdr>
        </w:div>
        <w:div w:id="903685773">
          <w:marLeft w:val="0"/>
          <w:marRight w:val="0"/>
          <w:marTop w:val="0"/>
          <w:marBottom w:val="0"/>
          <w:divBdr>
            <w:top w:val="none" w:sz="0" w:space="0" w:color="auto"/>
            <w:left w:val="none" w:sz="0" w:space="0" w:color="auto"/>
            <w:bottom w:val="none" w:sz="0" w:space="0" w:color="auto"/>
            <w:right w:val="none" w:sz="0" w:space="0" w:color="auto"/>
          </w:divBdr>
        </w:div>
        <w:div w:id="997423961">
          <w:marLeft w:val="0"/>
          <w:marRight w:val="0"/>
          <w:marTop w:val="0"/>
          <w:marBottom w:val="0"/>
          <w:divBdr>
            <w:top w:val="none" w:sz="0" w:space="0" w:color="auto"/>
            <w:left w:val="none" w:sz="0" w:space="0" w:color="auto"/>
            <w:bottom w:val="none" w:sz="0" w:space="0" w:color="auto"/>
            <w:right w:val="none" w:sz="0" w:space="0" w:color="auto"/>
          </w:divBdr>
        </w:div>
        <w:div w:id="1001737556">
          <w:marLeft w:val="0"/>
          <w:marRight w:val="0"/>
          <w:marTop w:val="0"/>
          <w:marBottom w:val="0"/>
          <w:divBdr>
            <w:top w:val="none" w:sz="0" w:space="0" w:color="auto"/>
            <w:left w:val="none" w:sz="0" w:space="0" w:color="auto"/>
            <w:bottom w:val="none" w:sz="0" w:space="0" w:color="auto"/>
            <w:right w:val="none" w:sz="0" w:space="0" w:color="auto"/>
          </w:divBdr>
        </w:div>
        <w:div w:id="1016687114">
          <w:marLeft w:val="0"/>
          <w:marRight w:val="0"/>
          <w:marTop w:val="0"/>
          <w:marBottom w:val="0"/>
          <w:divBdr>
            <w:top w:val="none" w:sz="0" w:space="0" w:color="auto"/>
            <w:left w:val="none" w:sz="0" w:space="0" w:color="auto"/>
            <w:bottom w:val="none" w:sz="0" w:space="0" w:color="auto"/>
            <w:right w:val="none" w:sz="0" w:space="0" w:color="auto"/>
          </w:divBdr>
        </w:div>
        <w:div w:id="1050881989">
          <w:marLeft w:val="0"/>
          <w:marRight w:val="0"/>
          <w:marTop w:val="0"/>
          <w:marBottom w:val="0"/>
          <w:divBdr>
            <w:top w:val="none" w:sz="0" w:space="0" w:color="auto"/>
            <w:left w:val="none" w:sz="0" w:space="0" w:color="auto"/>
            <w:bottom w:val="none" w:sz="0" w:space="0" w:color="auto"/>
            <w:right w:val="none" w:sz="0" w:space="0" w:color="auto"/>
          </w:divBdr>
        </w:div>
        <w:div w:id="1061977275">
          <w:marLeft w:val="0"/>
          <w:marRight w:val="0"/>
          <w:marTop w:val="0"/>
          <w:marBottom w:val="0"/>
          <w:divBdr>
            <w:top w:val="none" w:sz="0" w:space="0" w:color="auto"/>
            <w:left w:val="none" w:sz="0" w:space="0" w:color="auto"/>
            <w:bottom w:val="none" w:sz="0" w:space="0" w:color="auto"/>
            <w:right w:val="none" w:sz="0" w:space="0" w:color="auto"/>
          </w:divBdr>
        </w:div>
        <w:div w:id="1101880078">
          <w:marLeft w:val="0"/>
          <w:marRight w:val="0"/>
          <w:marTop w:val="0"/>
          <w:marBottom w:val="0"/>
          <w:divBdr>
            <w:top w:val="none" w:sz="0" w:space="0" w:color="auto"/>
            <w:left w:val="none" w:sz="0" w:space="0" w:color="auto"/>
            <w:bottom w:val="none" w:sz="0" w:space="0" w:color="auto"/>
            <w:right w:val="none" w:sz="0" w:space="0" w:color="auto"/>
          </w:divBdr>
        </w:div>
        <w:div w:id="1116944331">
          <w:marLeft w:val="0"/>
          <w:marRight w:val="0"/>
          <w:marTop w:val="0"/>
          <w:marBottom w:val="0"/>
          <w:divBdr>
            <w:top w:val="none" w:sz="0" w:space="0" w:color="auto"/>
            <w:left w:val="none" w:sz="0" w:space="0" w:color="auto"/>
            <w:bottom w:val="none" w:sz="0" w:space="0" w:color="auto"/>
            <w:right w:val="none" w:sz="0" w:space="0" w:color="auto"/>
          </w:divBdr>
        </w:div>
        <w:div w:id="1127896115">
          <w:marLeft w:val="0"/>
          <w:marRight w:val="0"/>
          <w:marTop w:val="0"/>
          <w:marBottom w:val="0"/>
          <w:divBdr>
            <w:top w:val="none" w:sz="0" w:space="0" w:color="auto"/>
            <w:left w:val="none" w:sz="0" w:space="0" w:color="auto"/>
            <w:bottom w:val="none" w:sz="0" w:space="0" w:color="auto"/>
            <w:right w:val="none" w:sz="0" w:space="0" w:color="auto"/>
          </w:divBdr>
        </w:div>
        <w:div w:id="1128544475">
          <w:marLeft w:val="0"/>
          <w:marRight w:val="0"/>
          <w:marTop w:val="0"/>
          <w:marBottom w:val="0"/>
          <w:divBdr>
            <w:top w:val="none" w:sz="0" w:space="0" w:color="auto"/>
            <w:left w:val="none" w:sz="0" w:space="0" w:color="auto"/>
            <w:bottom w:val="none" w:sz="0" w:space="0" w:color="auto"/>
            <w:right w:val="none" w:sz="0" w:space="0" w:color="auto"/>
          </w:divBdr>
        </w:div>
        <w:div w:id="1143349113">
          <w:marLeft w:val="0"/>
          <w:marRight w:val="0"/>
          <w:marTop w:val="0"/>
          <w:marBottom w:val="0"/>
          <w:divBdr>
            <w:top w:val="none" w:sz="0" w:space="0" w:color="auto"/>
            <w:left w:val="none" w:sz="0" w:space="0" w:color="auto"/>
            <w:bottom w:val="none" w:sz="0" w:space="0" w:color="auto"/>
            <w:right w:val="none" w:sz="0" w:space="0" w:color="auto"/>
          </w:divBdr>
        </w:div>
        <w:div w:id="1148210533">
          <w:marLeft w:val="0"/>
          <w:marRight w:val="0"/>
          <w:marTop w:val="0"/>
          <w:marBottom w:val="0"/>
          <w:divBdr>
            <w:top w:val="none" w:sz="0" w:space="0" w:color="auto"/>
            <w:left w:val="none" w:sz="0" w:space="0" w:color="auto"/>
            <w:bottom w:val="none" w:sz="0" w:space="0" w:color="auto"/>
            <w:right w:val="none" w:sz="0" w:space="0" w:color="auto"/>
          </w:divBdr>
        </w:div>
        <w:div w:id="1181309860">
          <w:marLeft w:val="0"/>
          <w:marRight w:val="0"/>
          <w:marTop w:val="0"/>
          <w:marBottom w:val="0"/>
          <w:divBdr>
            <w:top w:val="none" w:sz="0" w:space="0" w:color="auto"/>
            <w:left w:val="none" w:sz="0" w:space="0" w:color="auto"/>
            <w:bottom w:val="none" w:sz="0" w:space="0" w:color="auto"/>
            <w:right w:val="none" w:sz="0" w:space="0" w:color="auto"/>
          </w:divBdr>
        </w:div>
        <w:div w:id="1183856754">
          <w:marLeft w:val="0"/>
          <w:marRight w:val="0"/>
          <w:marTop w:val="0"/>
          <w:marBottom w:val="0"/>
          <w:divBdr>
            <w:top w:val="none" w:sz="0" w:space="0" w:color="auto"/>
            <w:left w:val="none" w:sz="0" w:space="0" w:color="auto"/>
            <w:bottom w:val="none" w:sz="0" w:space="0" w:color="auto"/>
            <w:right w:val="none" w:sz="0" w:space="0" w:color="auto"/>
          </w:divBdr>
        </w:div>
        <w:div w:id="1196964494">
          <w:marLeft w:val="0"/>
          <w:marRight w:val="0"/>
          <w:marTop w:val="0"/>
          <w:marBottom w:val="0"/>
          <w:divBdr>
            <w:top w:val="none" w:sz="0" w:space="0" w:color="auto"/>
            <w:left w:val="none" w:sz="0" w:space="0" w:color="auto"/>
            <w:bottom w:val="none" w:sz="0" w:space="0" w:color="auto"/>
            <w:right w:val="none" w:sz="0" w:space="0" w:color="auto"/>
          </w:divBdr>
        </w:div>
        <w:div w:id="1203786137">
          <w:marLeft w:val="0"/>
          <w:marRight w:val="0"/>
          <w:marTop w:val="0"/>
          <w:marBottom w:val="0"/>
          <w:divBdr>
            <w:top w:val="none" w:sz="0" w:space="0" w:color="auto"/>
            <w:left w:val="none" w:sz="0" w:space="0" w:color="auto"/>
            <w:bottom w:val="none" w:sz="0" w:space="0" w:color="auto"/>
            <w:right w:val="none" w:sz="0" w:space="0" w:color="auto"/>
          </w:divBdr>
        </w:div>
        <w:div w:id="1274510396">
          <w:marLeft w:val="0"/>
          <w:marRight w:val="0"/>
          <w:marTop w:val="0"/>
          <w:marBottom w:val="0"/>
          <w:divBdr>
            <w:top w:val="none" w:sz="0" w:space="0" w:color="auto"/>
            <w:left w:val="none" w:sz="0" w:space="0" w:color="auto"/>
            <w:bottom w:val="none" w:sz="0" w:space="0" w:color="auto"/>
            <w:right w:val="none" w:sz="0" w:space="0" w:color="auto"/>
          </w:divBdr>
        </w:div>
        <w:div w:id="1280376955">
          <w:marLeft w:val="0"/>
          <w:marRight w:val="0"/>
          <w:marTop w:val="0"/>
          <w:marBottom w:val="0"/>
          <w:divBdr>
            <w:top w:val="none" w:sz="0" w:space="0" w:color="auto"/>
            <w:left w:val="none" w:sz="0" w:space="0" w:color="auto"/>
            <w:bottom w:val="none" w:sz="0" w:space="0" w:color="auto"/>
            <w:right w:val="none" w:sz="0" w:space="0" w:color="auto"/>
          </w:divBdr>
        </w:div>
        <w:div w:id="1287857479">
          <w:marLeft w:val="0"/>
          <w:marRight w:val="0"/>
          <w:marTop w:val="0"/>
          <w:marBottom w:val="0"/>
          <w:divBdr>
            <w:top w:val="none" w:sz="0" w:space="0" w:color="auto"/>
            <w:left w:val="none" w:sz="0" w:space="0" w:color="auto"/>
            <w:bottom w:val="none" w:sz="0" w:space="0" w:color="auto"/>
            <w:right w:val="none" w:sz="0" w:space="0" w:color="auto"/>
          </w:divBdr>
        </w:div>
        <w:div w:id="1293826663">
          <w:marLeft w:val="0"/>
          <w:marRight w:val="0"/>
          <w:marTop w:val="0"/>
          <w:marBottom w:val="0"/>
          <w:divBdr>
            <w:top w:val="none" w:sz="0" w:space="0" w:color="auto"/>
            <w:left w:val="none" w:sz="0" w:space="0" w:color="auto"/>
            <w:bottom w:val="none" w:sz="0" w:space="0" w:color="auto"/>
            <w:right w:val="none" w:sz="0" w:space="0" w:color="auto"/>
          </w:divBdr>
        </w:div>
        <w:div w:id="1301380363">
          <w:marLeft w:val="0"/>
          <w:marRight w:val="0"/>
          <w:marTop w:val="0"/>
          <w:marBottom w:val="0"/>
          <w:divBdr>
            <w:top w:val="none" w:sz="0" w:space="0" w:color="auto"/>
            <w:left w:val="none" w:sz="0" w:space="0" w:color="auto"/>
            <w:bottom w:val="none" w:sz="0" w:space="0" w:color="auto"/>
            <w:right w:val="none" w:sz="0" w:space="0" w:color="auto"/>
          </w:divBdr>
        </w:div>
        <w:div w:id="1321730828">
          <w:marLeft w:val="0"/>
          <w:marRight w:val="0"/>
          <w:marTop w:val="0"/>
          <w:marBottom w:val="0"/>
          <w:divBdr>
            <w:top w:val="none" w:sz="0" w:space="0" w:color="auto"/>
            <w:left w:val="none" w:sz="0" w:space="0" w:color="auto"/>
            <w:bottom w:val="none" w:sz="0" w:space="0" w:color="auto"/>
            <w:right w:val="none" w:sz="0" w:space="0" w:color="auto"/>
          </w:divBdr>
        </w:div>
        <w:div w:id="1341471426">
          <w:marLeft w:val="0"/>
          <w:marRight w:val="0"/>
          <w:marTop w:val="0"/>
          <w:marBottom w:val="0"/>
          <w:divBdr>
            <w:top w:val="none" w:sz="0" w:space="0" w:color="auto"/>
            <w:left w:val="none" w:sz="0" w:space="0" w:color="auto"/>
            <w:bottom w:val="none" w:sz="0" w:space="0" w:color="auto"/>
            <w:right w:val="none" w:sz="0" w:space="0" w:color="auto"/>
          </w:divBdr>
        </w:div>
        <w:div w:id="1346597309">
          <w:marLeft w:val="0"/>
          <w:marRight w:val="0"/>
          <w:marTop w:val="0"/>
          <w:marBottom w:val="0"/>
          <w:divBdr>
            <w:top w:val="none" w:sz="0" w:space="0" w:color="auto"/>
            <w:left w:val="none" w:sz="0" w:space="0" w:color="auto"/>
            <w:bottom w:val="none" w:sz="0" w:space="0" w:color="auto"/>
            <w:right w:val="none" w:sz="0" w:space="0" w:color="auto"/>
          </w:divBdr>
        </w:div>
        <w:div w:id="1352998141">
          <w:marLeft w:val="0"/>
          <w:marRight w:val="0"/>
          <w:marTop w:val="0"/>
          <w:marBottom w:val="0"/>
          <w:divBdr>
            <w:top w:val="none" w:sz="0" w:space="0" w:color="auto"/>
            <w:left w:val="none" w:sz="0" w:space="0" w:color="auto"/>
            <w:bottom w:val="none" w:sz="0" w:space="0" w:color="auto"/>
            <w:right w:val="none" w:sz="0" w:space="0" w:color="auto"/>
          </w:divBdr>
        </w:div>
        <w:div w:id="1363094838">
          <w:marLeft w:val="0"/>
          <w:marRight w:val="0"/>
          <w:marTop w:val="0"/>
          <w:marBottom w:val="0"/>
          <w:divBdr>
            <w:top w:val="none" w:sz="0" w:space="0" w:color="auto"/>
            <w:left w:val="none" w:sz="0" w:space="0" w:color="auto"/>
            <w:bottom w:val="none" w:sz="0" w:space="0" w:color="auto"/>
            <w:right w:val="none" w:sz="0" w:space="0" w:color="auto"/>
          </w:divBdr>
        </w:div>
        <w:div w:id="1364985833">
          <w:marLeft w:val="0"/>
          <w:marRight w:val="0"/>
          <w:marTop w:val="0"/>
          <w:marBottom w:val="0"/>
          <w:divBdr>
            <w:top w:val="none" w:sz="0" w:space="0" w:color="auto"/>
            <w:left w:val="none" w:sz="0" w:space="0" w:color="auto"/>
            <w:bottom w:val="none" w:sz="0" w:space="0" w:color="auto"/>
            <w:right w:val="none" w:sz="0" w:space="0" w:color="auto"/>
          </w:divBdr>
        </w:div>
        <w:div w:id="1372732292">
          <w:marLeft w:val="0"/>
          <w:marRight w:val="0"/>
          <w:marTop w:val="0"/>
          <w:marBottom w:val="0"/>
          <w:divBdr>
            <w:top w:val="none" w:sz="0" w:space="0" w:color="auto"/>
            <w:left w:val="none" w:sz="0" w:space="0" w:color="auto"/>
            <w:bottom w:val="none" w:sz="0" w:space="0" w:color="auto"/>
            <w:right w:val="none" w:sz="0" w:space="0" w:color="auto"/>
          </w:divBdr>
        </w:div>
        <w:div w:id="1389106616">
          <w:marLeft w:val="0"/>
          <w:marRight w:val="0"/>
          <w:marTop w:val="0"/>
          <w:marBottom w:val="0"/>
          <w:divBdr>
            <w:top w:val="none" w:sz="0" w:space="0" w:color="auto"/>
            <w:left w:val="none" w:sz="0" w:space="0" w:color="auto"/>
            <w:bottom w:val="none" w:sz="0" w:space="0" w:color="auto"/>
            <w:right w:val="none" w:sz="0" w:space="0" w:color="auto"/>
          </w:divBdr>
        </w:div>
        <w:div w:id="1505513228">
          <w:marLeft w:val="0"/>
          <w:marRight w:val="0"/>
          <w:marTop w:val="0"/>
          <w:marBottom w:val="0"/>
          <w:divBdr>
            <w:top w:val="none" w:sz="0" w:space="0" w:color="auto"/>
            <w:left w:val="none" w:sz="0" w:space="0" w:color="auto"/>
            <w:bottom w:val="none" w:sz="0" w:space="0" w:color="auto"/>
            <w:right w:val="none" w:sz="0" w:space="0" w:color="auto"/>
          </w:divBdr>
        </w:div>
        <w:div w:id="1552423371">
          <w:marLeft w:val="0"/>
          <w:marRight w:val="0"/>
          <w:marTop w:val="0"/>
          <w:marBottom w:val="0"/>
          <w:divBdr>
            <w:top w:val="none" w:sz="0" w:space="0" w:color="auto"/>
            <w:left w:val="none" w:sz="0" w:space="0" w:color="auto"/>
            <w:bottom w:val="none" w:sz="0" w:space="0" w:color="auto"/>
            <w:right w:val="none" w:sz="0" w:space="0" w:color="auto"/>
          </w:divBdr>
        </w:div>
        <w:div w:id="1567957391">
          <w:marLeft w:val="0"/>
          <w:marRight w:val="0"/>
          <w:marTop w:val="0"/>
          <w:marBottom w:val="0"/>
          <w:divBdr>
            <w:top w:val="none" w:sz="0" w:space="0" w:color="auto"/>
            <w:left w:val="none" w:sz="0" w:space="0" w:color="auto"/>
            <w:bottom w:val="none" w:sz="0" w:space="0" w:color="auto"/>
            <w:right w:val="none" w:sz="0" w:space="0" w:color="auto"/>
          </w:divBdr>
        </w:div>
        <w:div w:id="1636107535">
          <w:marLeft w:val="0"/>
          <w:marRight w:val="0"/>
          <w:marTop w:val="0"/>
          <w:marBottom w:val="0"/>
          <w:divBdr>
            <w:top w:val="none" w:sz="0" w:space="0" w:color="auto"/>
            <w:left w:val="none" w:sz="0" w:space="0" w:color="auto"/>
            <w:bottom w:val="none" w:sz="0" w:space="0" w:color="auto"/>
            <w:right w:val="none" w:sz="0" w:space="0" w:color="auto"/>
          </w:divBdr>
        </w:div>
        <w:div w:id="1645965647">
          <w:marLeft w:val="0"/>
          <w:marRight w:val="0"/>
          <w:marTop w:val="0"/>
          <w:marBottom w:val="0"/>
          <w:divBdr>
            <w:top w:val="none" w:sz="0" w:space="0" w:color="auto"/>
            <w:left w:val="none" w:sz="0" w:space="0" w:color="auto"/>
            <w:bottom w:val="none" w:sz="0" w:space="0" w:color="auto"/>
            <w:right w:val="none" w:sz="0" w:space="0" w:color="auto"/>
          </w:divBdr>
        </w:div>
        <w:div w:id="1650330253">
          <w:marLeft w:val="0"/>
          <w:marRight w:val="0"/>
          <w:marTop w:val="0"/>
          <w:marBottom w:val="0"/>
          <w:divBdr>
            <w:top w:val="none" w:sz="0" w:space="0" w:color="auto"/>
            <w:left w:val="none" w:sz="0" w:space="0" w:color="auto"/>
            <w:bottom w:val="none" w:sz="0" w:space="0" w:color="auto"/>
            <w:right w:val="none" w:sz="0" w:space="0" w:color="auto"/>
          </w:divBdr>
        </w:div>
        <w:div w:id="1657689931">
          <w:marLeft w:val="0"/>
          <w:marRight w:val="0"/>
          <w:marTop w:val="0"/>
          <w:marBottom w:val="0"/>
          <w:divBdr>
            <w:top w:val="none" w:sz="0" w:space="0" w:color="auto"/>
            <w:left w:val="none" w:sz="0" w:space="0" w:color="auto"/>
            <w:bottom w:val="none" w:sz="0" w:space="0" w:color="auto"/>
            <w:right w:val="none" w:sz="0" w:space="0" w:color="auto"/>
          </w:divBdr>
        </w:div>
        <w:div w:id="1705714711">
          <w:marLeft w:val="0"/>
          <w:marRight w:val="0"/>
          <w:marTop w:val="0"/>
          <w:marBottom w:val="0"/>
          <w:divBdr>
            <w:top w:val="none" w:sz="0" w:space="0" w:color="auto"/>
            <w:left w:val="none" w:sz="0" w:space="0" w:color="auto"/>
            <w:bottom w:val="none" w:sz="0" w:space="0" w:color="auto"/>
            <w:right w:val="none" w:sz="0" w:space="0" w:color="auto"/>
          </w:divBdr>
        </w:div>
        <w:div w:id="1728919592">
          <w:marLeft w:val="0"/>
          <w:marRight w:val="0"/>
          <w:marTop w:val="0"/>
          <w:marBottom w:val="0"/>
          <w:divBdr>
            <w:top w:val="none" w:sz="0" w:space="0" w:color="auto"/>
            <w:left w:val="none" w:sz="0" w:space="0" w:color="auto"/>
            <w:bottom w:val="none" w:sz="0" w:space="0" w:color="auto"/>
            <w:right w:val="none" w:sz="0" w:space="0" w:color="auto"/>
          </w:divBdr>
        </w:div>
        <w:div w:id="1740858115">
          <w:marLeft w:val="0"/>
          <w:marRight w:val="0"/>
          <w:marTop w:val="0"/>
          <w:marBottom w:val="0"/>
          <w:divBdr>
            <w:top w:val="none" w:sz="0" w:space="0" w:color="auto"/>
            <w:left w:val="none" w:sz="0" w:space="0" w:color="auto"/>
            <w:bottom w:val="none" w:sz="0" w:space="0" w:color="auto"/>
            <w:right w:val="none" w:sz="0" w:space="0" w:color="auto"/>
          </w:divBdr>
        </w:div>
        <w:div w:id="1755125491">
          <w:marLeft w:val="0"/>
          <w:marRight w:val="0"/>
          <w:marTop w:val="0"/>
          <w:marBottom w:val="0"/>
          <w:divBdr>
            <w:top w:val="none" w:sz="0" w:space="0" w:color="auto"/>
            <w:left w:val="none" w:sz="0" w:space="0" w:color="auto"/>
            <w:bottom w:val="none" w:sz="0" w:space="0" w:color="auto"/>
            <w:right w:val="none" w:sz="0" w:space="0" w:color="auto"/>
          </w:divBdr>
        </w:div>
        <w:div w:id="1758945260">
          <w:marLeft w:val="0"/>
          <w:marRight w:val="0"/>
          <w:marTop w:val="0"/>
          <w:marBottom w:val="0"/>
          <w:divBdr>
            <w:top w:val="none" w:sz="0" w:space="0" w:color="auto"/>
            <w:left w:val="none" w:sz="0" w:space="0" w:color="auto"/>
            <w:bottom w:val="none" w:sz="0" w:space="0" w:color="auto"/>
            <w:right w:val="none" w:sz="0" w:space="0" w:color="auto"/>
          </w:divBdr>
        </w:div>
        <w:div w:id="1775830032">
          <w:marLeft w:val="0"/>
          <w:marRight w:val="0"/>
          <w:marTop w:val="0"/>
          <w:marBottom w:val="0"/>
          <w:divBdr>
            <w:top w:val="none" w:sz="0" w:space="0" w:color="auto"/>
            <w:left w:val="none" w:sz="0" w:space="0" w:color="auto"/>
            <w:bottom w:val="none" w:sz="0" w:space="0" w:color="auto"/>
            <w:right w:val="none" w:sz="0" w:space="0" w:color="auto"/>
          </w:divBdr>
        </w:div>
        <w:div w:id="1800221259">
          <w:marLeft w:val="0"/>
          <w:marRight w:val="0"/>
          <w:marTop w:val="0"/>
          <w:marBottom w:val="0"/>
          <w:divBdr>
            <w:top w:val="none" w:sz="0" w:space="0" w:color="auto"/>
            <w:left w:val="none" w:sz="0" w:space="0" w:color="auto"/>
            <w:bottom w:val="none" w:sz="0" w:space="0" w:color="auto"/>
            <w:right w:val="none" w:sz="0" w:space="0" w:color="auto"/>
          </w:divBdr>
        </w:div>
        <w:div w:id="1867908263">
          <w:marLeft w:val="0"/>
          <w:marRight w:val="0"/>
          <w:marTop w:val="0"/>
          <w:marBottom w:val="0"/>
          <w:divBdr>
            <w:top w:val="none" w:sz="0" w:space="0" w:color="auto"/>
            <w:left w:val="none" w:sz="0" w:space="0" w:color="auto"/>
            <w:bottom w:val="none" w:sz="0" w:space="0" w:color="auto"/>
            <w:right w:val="none" w:sz="0" w:space="0" w:color="auto"/>
          </w:divBdr>
        </w:div>
        <w:div w:id="1879538996">
          <w:marLeft w:val="0"/>
          <w:marRight w:val="0"/>
          <w:marTop w:val="0"/>
          <w:marBottom w:val="0"/>
          <w:divBdr>
            <w:top w:val="none" w:sz="0" w:space="0" w:color="auto"/>
            <w:left w:val="none" w:sz="0" w:space="0" w:color="auto"/>
            <w:bottom w:val="none" w:sz="0" w:space="0" w:color="auto"/>
            <w:right w:val="none" w:sz="0" w:space="0" w:color="auto"/>
          </w:divBdr>
        </w:div>
        <w:div w:id="1899437295">
          <w:marLeft w:val="0"/>
          <w:marRight w:val="0"/>
          <w:marTop w:val="0"/>
          <w:marBottom w:val="0"/>
          <w:divBdr>
            <w:top w:val="none" w:sz="0" w:space="0" w:color="auto"/>
            <w:left w:val="none" w:sz="0" w:space="0" w:color="auto"/>
            <w:bottom w:val="none" w:sz="0" w:space="0" w:color="auto"/>
            <w:right w:val="none" w:sz="0" w:space="0" w:color="auto"/>
          </w:divBdr>
        </w:div>
        <w:div w:id="1906796639">
          <w:marLeft w:val="0"/>
          <w:marRight w:val="0"/>
          <w:marTop w:val="0"/>
          <w:marBottom w:val="0"/>
          <w:divBdr>
            <w:top w:val="none" w:sz="0" w:space="0" w:color="auto"/>
            <w:left w:val="none" w:sz="0" w:space="0" w:color="auto"/>
            <w:bottom w:val="none" w:sz="0" w:space="0" w:color="auto"/>
            <w:right w:val="none" w:sz="0" w:space="0" w:color="auto"/>
          </w:divBdr>
        </w:div>
        <w:div w:id="1974826082">
          <w:marLeft w:val="0"/>
          <w:marRight w:val="0"/>
          <w:marTop w:val="0"/>
          <w:marBottom w:val="0"/>
          <w:divBdr>
            <w:top w:val="none" w:sz="0" w:space="0" w:color="auto"/>
            <w:left w:val="none" w:sz="0" w:space="0" w:color="auto"/>
            <w:bottom w:val="none" w:sz="0" w:space="0" w:color="auto"/>
            <w:right w:val="none" w:sz="0" w:space="0" w:color="auto"/>
          </w:divBdr>
        </w:div>
        <w:div w:id="1976904761">
          <w:marLeft w:val="0"/>
          <w:marRight w:val="0"/>
          <w:marTop w:val="0"/>
          <w:marBottom w:val="0"/>
          <w:divBdr>
            <w:top w:val="none" w:sz="0" w:space="0" w:color="auto"/>
            <w:left w:val="none" w:sz="0" w:space="0" w:color="auto"/>
            <w:bottom w:val="none" w:sz="0" w:space="0" w:color="auto"/>
            <w:right w:val="none" w:sz="0" w:space="0" w:color="auto"/>
          </w:divBdr>
        </w:div>
        <w:div w:id="2000889287">
          <w:marLeft w:val="0"/>
          <w:marRight w:val="0"/>
          <w:marTop w:val="0"/>
          <w:marBottom w:val="0"/>
          <w:divBdr>
            <w:top w:val="none" w:sz="0" w:space="0" w:color="auto"/>
            <w:left w:val="none" w:sz="0" w:space="0" w:color="auto"/>
            <w:bottom w:val="none" w:sz="0" w:space="0" w:color="auto"/>
            <w:right w:val="none" w:sz="0" w:space="0" w:color="auto"/>
          </w:divBdr>
        </w:div>
        <w:div w:id="2005861903">
          <w:marLeft w:val="0"/>
          <w:marRight w:val="0"/>
          <w:marTop w:val="0"/>
          <w:marBottom w:val="0"/>
          <w:divBdr>
            <w:top w:val="none" w:sz="0" w:space="0" w:color="auto"/>
            <w:left w:val="none" w:sz="0" w:space="0" w:color="auto"/>
            <w:bottom w:val="none" w:sz="0" w:space="0" w:color="auto"/>
            <w:right w:val="none" w:sz="0" w:space="0" w:color="auto"/>
          </w:divBdr>
        </w:div>
        <w:div w:id="2012679419">
          <w:marLeft w:val="0"/>
          <w:marRight w:val="0"/>
          <w:marTop w:val="0"/>
          <w:marBottom w:val="0"/>
          <w:divBdr>
            <w:top w:val="none" w:sz="0" w:space="0" w:color="auto"/>
            <w:left w:val="none" w:sz="0" w:space="0" w:color="auto"/>
            <w:bottom w:val="none" w:sz="0" w:space="0" w:color="auto"/>
            <w:right w:val="none" w:sz="0" w:space="0" w:color="auto"/>
          </w:divBdr>
        </w:div>
        <w:div w:id="2014064592">
          <w:marLeft w:val="0"/>
          <w:marRight w:val="0"/>
          <w:marTop w:val="0"/>
          <w:marBottom w:val="0"/>
          <w:divBdr>
            <w:top w:val="none" w:sz="0" w:space="0" w:color="auto"/>
            <w:left w:val="none" w:sz="0" w:space="0" w:color="auto"/>
            <w:bottom w:val="none" w:sz="0" w:space="0" w:color="auto"/>
            <w:right w:val="none" w:sz="0" w:space="0" w:color="auto"/>
          </w:divBdr>
        </w:div>
        <w:div w:id="2028747976">
          <w:marLeft w:val="0"/>
          <w:marRight w:val="0"/>
          <w:marTop w:val="0"/>
          <w:marBottom w:val="0"/>
          <w:divBdr>
            <w:top w:val="none" w:sz="0" w:space="0" w:color="auto"/>
            <w:left w:val="none" w:sz="0" w:space="0" w:color="auto"/>
            <w:bottom w:val="none" w:sz="0" w:space="0" w:color="auto"/>
            <w:right w:val="none" w:sz="0" w:space="0" w:color="auto"/>
          </w:divBdr>
        </w:div>
        <w:div w:id="2094816283">
          <w:marLeft w:val="0"/>
          <w:marRight w:val="0"/>
          <w:marTop w:val="0"/>
          <w:marBottom w:val="0"/>
          <w:divBdr>
            <w:top w:val="none" w:sz="0" w:space="0" w:color="auto"/>
            <w:left w:val="none" w:sz="0" w:space="0" w:color="auto"/>
            <w:bottom w:val="none" w:sz="0" w:space="0" w:color="auto"/>
            <w:right w:val="none" w:sz="0" w:space="0" w:color="auto"/>
          </w:divBdr>
        </w:div>
        <w:div w:id="2140488770">
          <w:marLeft w:val="0"/>
          <w:marRight w:val="0"/>
          <w:marTop w:val="0"/>
          <w:marBottom w:val="0"/>
          <w:divBdr>
            <w:top w:val="none" w:sz="0" w:space="0" w:color="auto"/>
            <w:left w:val="none" w:sz="0" w:space="0" w:color="auto"/>
            <w:bottom w:val="none" w:sz="0" w:space="0" w:color="auto"/>
            <w:right w:val="none" w:sz="0" w:space="0" w:color="auto"/>
          </w:divBdr>
        </w:div>
      </w:divsChild>
    </w:div>
    <w:div w:id="2041125764">
      <w:bodyDiv w:val="1"/>
      <w:marLeft w:val="0"/>
      <w:marRight w:val="0"/>
      <w:marTop w:val="0"/>
      <w:marBottom w:val="0"/>
      <w:divBdr>
        <w:top w:val="none" w:sz="0" w:space="0" w:color="auto"/>
        <w:left w:val="none" w:sz="0" w:space="0" w:color="auto"/>
        <w:bottom w:val="none" w:sz="0" w:space="0" w:color="auto"/>
        <w:right w:val="none" w:sz="0" w:space="0" w:color="auto"/>
      </w:divBdr>
    </w:div>
    <w:div w:id="2043088761">
      <w:bodyDiv w:val="1"/>
      <w:marLeft w:val="0"/>
      <w:marRight w:val="0"/>
      <w:marTop w:val="0"/>
      <w:marBottom w:val="0"/>
      <w:divBdr>
        <w:top w:val="none" w:sz="0" w:space="0" w:color="auto"/>
        <w:left w:val="none" w:sz="0" w:space="0" w:color="auto"/>
        <w:bottom w:val="none" w:sz="0" w:space="0" w:color="auto"/>
        <w:right w:val="none" w:sz="0" w:space="0" w:color="auto"/>
      </w:divBdr>
    </w:div>
    <w:div w:id="2049867238">
      <w:bodyDiv w:val="1"/>
      <w:marLeft w:val="0"/>
      <w:marRight w:val="0"/>
      <w:marTop w:val="0"/>
      <w:marBottom w:val="0"/>
      <w:divBdr>
        <w:top w:val="none" w:sz="0" w:space="0" w:color="auto"/>
        <w:left w:val="none" w:sz="0" w:space="0" w:color="auto"/>
        <w:bottom w:val="none" w:sz="0" w:space="0" w:color="auto"/>
        <w:right w:val="none" w:sz="0" w:space="0" w:color="auto"/>
      </w:divBdr>
    </w:div>
    <w:div w:id="2051756801">
      <w:bodyDiv w:val="1"/>
      <w:marLeft w:val="0"/>
      <w:marRight w:val="0"/>
      <w:marTop w:val="0"/>
      <w:marBottom w:val="0"/>
      <w:divBdr>
        <w:top w:val="none" w:sz="0" w:space="0" w:color="auto"/>
        <w:left w:val="none" w:sz="0" w:space="0" w:color="auto"/>
        <w:bottom w:val="none" w:sz="0" w:space="0" w:color="auto"/>
        <w:right w:val="none" w:sz="0" w:space="0" w:color="auto"/>
      </w:divBdr>
    </w:div>
    <w:div w:id="2066220296">
      <w:bodyDiv w:val="1"/>
      <w:marLeft w:val="0"/>
      <w:marRight w:val="0"/>
      <w:marTop w:val="0"/>
      <w:marBottom w:val="0"/>
      <w:divBdr>
        <w:top w:val="none" w:sz="0" w:space="0" w:color="auto"/>
        <w:left w:val="none" w:sz="0" w:space="0" w:color="auto"/>
        <w:bottom w:val="none" w:sz="0" w:space="0" w:color="auto"/>
        <w:right w:val="none" w:sz="0" w:space="0" w:color="auto"/>
      </w:divBdr>
    </w:div>
    <w:div w:id="2067558465">
      <w:bodyDiv w:val="1"/>
      <w:marLeft w:val="0"/>
      <w:marRight w:val="0"/>
      <w:marTop w:val="0"/>
      <w:marBottom w:val="0"/>
      <w:divBdr>
        <w:top w:val="none" w:sz="0" w:space="0" w:color="auto"/>
        <w:left w:val="none" w:sz="0" w:space="0" w:color="auto"/>
        <w:bottom w:val="none" w:sz="0" w:space="0" w:color="auto"/>
        <w:right w:val="none" w:sz="0" w:space="0" w:color="auto"/>
      </w:divBdr>
    </w:div>
    <w:div w:id="2068913210">
      <w:bodyDiv w:val="1"/>
      <w:marLeft w:val="0"/>
      <w:marRight w:val="0"/>
      <w:marTop w:val="0"/>
      <w:marBottom w:val="0"/>
      <w:divBdr>
        <w:top w:val="none" w:sz="0" w:space="0" w:color="auto"/>
        <w:left w:val="none" w:sz="0" w:space="0" w:color="auto"/>
        <w:bottom w:val="none" w:sz="0" w:space="0" w:color="auto"/>
        <w:right w:val="none" w:sz="0" w:space="0" w:color="auto"/>
      </w:divBdr>
    </w:div>
    <w:div w:id="2071540639">
      <w:bodyDiv w:val="1"/>
      <w:marLeft w:val="0"/>
      <w:marRight w:val="0"/>
      <w:marTop w:val="0"/>
      <w:marBottom w:val="0"/>
      <w:divBdr>
        <w:top w:val="none" w:sz="0" w:space="0" w:color="auto"/>
        <w:left w:val="none" w:sz="0" w:space="0" w:color="auto"/>
        <w:bottom w:val="none" w:sz="0" w:space="0" w:color="auto"/>
        <w:right w:val="none" w:sz="0" w:space="0" w:color="auto"/>
      </w:divBdr>
    </w:div>
    <w:div w:id="2074622309">
      <w:bodyDiv w:val="1"/>
      <w:marLeft w:val="0"/>
      <w:marRight w:val="0"/>
      <w:marTop w:val="0"/>
      <w:marBottom w:val="0"/>
      <w:divBdr>
        <w:top w:val="none" w:sz="0" w:space="0" w:color="auto"/>
        <w:left w:val="none" w:sz="0" w:space="0" w:color="auto"/>
        <w:bottom w:val="none" w:sz="0" w:space="0" w:color="auto"/>
        <w:right w:val="none" w:sz="0" w:space="0" w:color="auto"/>
      </w:divBdr>
    </w:div>
    <w:div w:id="2075733552">
      <w:bodyDiv w:val="1"/>
      <w:marLeft w:val="0"/>
      <w:marRight w:val="0"/>
      <w:marTop w:val="0"/>
      <w:marBottom w:val="0"/>
      <w:divBdr>
        <w:top w:val="none" w:sz="0" w:space="0" w:color="auto"/>
        <w:left w:val="none" w:sz="0" w:space="0" w:color="auto"/>
        <w:bottom w:val="none" w:sz="0" w:space="0" w:color="auto"/>
        <w:right w:val="none" w:sz="0" w:space="0" w:color="auto"/>
      </w:divBdr>
    </w:div>
    <w:div w:id="2075734843">
      <w:bodyDiv w:val="1"/>
      <w:marLeft w:val="0"/>
      <w:marRight w:val="0"/>
      <w:marTop w:val="0"/>
      <w:marBottom w:val="0"/>
      <w:divBdr>
        <w:top w:val="none" w:sz="0" w:space="0" w:color="auto"/>
        <w:left w:val="none" w:sz="0" w:space="0" w:color="auto"/>
        <w:bottom w:val="none" w:sz="0" w:space="0" w:color="auto"/>
        <w:right w:val="none" w:sz="0" w:space="0" w:color="auto"/>
      </w:divBdr>
      <w:divsChild>
        <w:div w:id="305550070">
          <w:marLeft w:val="0"/>
          <w:marRight w:val="0"/>
          <w:marTop w:val="0"/>
          <w:marBottom w:val="0"/>
          <w:divBdr>
            <w:top w:val="none" w:sz="0" w:space="0" w:color="auto"/>
            <w:left w:val="none" w:sz="0" w:space="0" w:color="auto"/>
            <w:bottom w:val="none" w:sz="0" w:space="0" w:color="auto"/>
            <w:right w:val="none" w:sz="0" w:space="0" w:color="auto"/>
          </w:divBdr>
        </w:div>
        <w:div w:id="459497738">
          <w:marLeft w:val="0"/>
          <w:marRight w:val="0"/>
          <w:marTop w:val="0"/>
          <w:marBottom w:val="0"/>
          <w:divBdr>
            <w:top w:val="none" w:sz="0" w:space="0" w:color="auto"/>
            <w:left w:val="none" w:sz="0" w:space="0" w:color="auto"/>
            <w:bottom w:val="none" w:sz="0" w:space="0" w:color="auto"/>
            <w:right w:val="none" w:sz="0" w:space="0" w:color="auto"/>
          </w:divBdr>
        </w:div>
        <w:div w:id="757557238">
          <w:marLeft w:val="0"/>
          <w:marRight w:val="0"/>
          <w:marTop w:val="0"/>
          <w:marBottom w:val="0"/>
          <w:divBdr>
            <w:top w:val="none" w:sz="0" w:space="0" w:color="auto"/>
            <w:left w:val="none" w:sz="0" w:space="0" w:color="auto"/>
            <w:bottom w:val="none" w:sz="0" w:space="0" w:color="auto"/>
            <w:right w:val="none" w:sz="0" w:space="0" w:color="auto"/>
          </w:divBdr>
        </w:div>
        <w:div w:id="1513912603">
          <w:marLeft w:val="0"/>
          <w:marRight w:val="0"/>
          <w:marTop w:val="0"/>
          <w:marBottom w:val="0"/>
          <w:divBdr>
            <w:top w:val="none" w:sz="0" w:space="0" w:color="auto"/>
            <w:left w:val="none" w:sz="0" w:space="0" w:color="auto"/>
            <w:bottom w:val="none" w:sz="0" w:space="0" w:color="auto"/>
            <w:right w:val="none" w:sz="0" w:space="0" w:color="auto"/>
          </w:divBdr>
        </w:div>
        <w:div w:id="1594705509">
          <w:marLeft w:val="0"/>
          <w:marRight w:val="0"/>
          <w:marTop w:val="0"/>
          <w:marBottom w:val="0"/>
          <w:divBdr>
            <w:top w:val="none" w:sz="0" w:space="0" w:color="auto"/>
            <w:left w:val="none" w:sz="0" w:space="0" w:color="auto"/>
            <w:bottom w:val="none" w:sz="0" w:space="0" w:color="auto"/>
            <w:right w:val="none" w:sz="0" w:space="0" w:color="auto"/>
          </w:divBdr>
        </w:div>
        <w:div w:id="1950089346">
          <w:marLeft w:val="0"/>
          <w:marRight w:val="0"/>
          <w:marTop w:val="0"/>
          <w:marBottom w:val="0"/>
          <w:divBdr>
            <w:top w:val="none" w:sz="0" w:space="0" w:color="auto"/>
            <w:left w:val="none" w:sz="0" w:space="0" w:color="auto"/>
            <w:bottom w:val="none" w:sz="0" w:space="0" w:color="auto"/>
            <w:right w:val="none" w:sz="0" w:space="0" w:color="auto"/>
          </w:divBdr>
        </w:div>
      </w:divsChild>
    </w:div>
    <w:div w:id="2076664218">
      <w:bodyDiv w:val="1"/>
      <w:marLeft w:val="0"/>
      <w:marRight w:val="0"/>
      <w:marTop w:val="0"/>
      <w:marBottom w:val="0"/>
      <w:divBdr>
        <w:top w:val="none" w:sz="0" w:space="0" w:color="auto"/>
        <w:left w:val="none" w:sz="0" w:space="0" w:color="auto"/>
        <w:bottom w:val="none" w:sz="0" w:space="0" w:color="auto"/>
        <w:right w:val="none" w:sz="0" w:space="0" w:color="auto"/>
      </w:divBdr>
    </w:div>
    <w:div w:id="2082562089">
      <w:bodyDiv w:val="1"/>
      <w:marLeft w:val="0"/>
      <w:marRight w:val="0"/>
      <w:marTop w:val="0"/>
      <w:marBottom w:val="0"/>
      <w:divBdr>
        <w:top w:val="none" w:sz="0" w:space="0" w:color="auto"/>
        <w:left w:val="none" w:sz="0" w:space="0" w:color="auto"/>
        <w:bottom w:val="none" w:sz="0" w:space="0" w:color="auto"/>
        <w:right w:val="none" w:sz="0" w:space="0" w:color="auto"/>
      </w:divBdr>
    </w:div>
    <w:div w:id="2092921198">
      <w:bodyDiv w:val="1"/>
      <w:marLeft w:val="0"/>
      <w:marRight w:val="0"/>
      <w:marTop w:val="0"/>
      <w:marBottom w:val="0"/>
      <w:divBdr>
        <w:top w:val="none" w:sz="0" w:space="0" w:color="auto"/>
        <w:left w:val="none" w:sz="0" w:space="0" w:color="auto"/>
        <w:bottom w:val="none" w:sz="0" w:space="0" w:color="auto"/>
        <w:right w:val="none" w:sz="0" w:space="0" w:color="auto"/>
      </w:divBdr>
    </w:div>
    <w:div w:id="2100827662">
      <w:bodyDiv w:val="1"/>
      <w:marLeft w:val="0"/>
      <w:marRight w:val="0"/>
      <w:marTop w:val="0"/>
      <w:marBottom w:val="0"/>
      <w:divBdr>
        <w:top w:val="none" w:sz="0" w:space="0" w:color="auto"/>
        <w:left w:val="none" w:sz="0" w:space="0" w:color="auto"/>
        <w:bottom w:val="none" w:sz="0" w:space="0" w:color="auto"/>
        <w:right w:val="none" w:sz="0" w:space="0" w:color="auto"/>
      </w:divBdr>
    </w:div>
    <w:div w:id="2111536178">
      <w:bodyDiv w:val="1"/>
      <w:marLeft w:val="0"/>
      <w:marRight w:val="0"/>
      <w:marTop w:val="0"/>
      <w:marBottom w:val="0"/>
      <w:divBdr>
        <w:top w:val="none" w:sz="0" w:space="0" w:color="auto"/>
        <w:left w:val="none" w:sz="0" w:space="0" w:color="auto"/>
        <w:bottom w:val="none" w:sz="0" w:space="0" w:color="auto"/>
        <w:right w:val="none" w:sz="0" w:space="0" w:color="auto"/>
      </w:divBdr>
    </w:div>
    <w:div w:id="2113547447">
      <w:bodyDiv w:val="1"/>
      <w:marLeft w:val="0"/>
      <w:marRight w:val="0"/>
      <w:marTop w:val="0"/>
      <w:marBottom w:val="0"/>
      <w:divBdr>
        <w:top w:val="none" w:sz="0" w:space="0" w:color="auto"/>
        <w:left w:val="none" w:sz="0" w:space="0" w:color="auto"/>
        <w:bottom w:val="none" w:sz="0" w:space="0" w:color="auto"/>
        <w:right w:val="none" w:sz="0" w:space="0" w:color="auto"/>
      </w:divBdr>
    </w:div>
    <w:div w:id="2120904137">
      <w:bodyDiv w:val="1"/>
      <w:marLeft w:val="0"/>
      <w:marRight w:val="0"/>
      <w:marTop w:val="0"/>
      <w:marBottom w:val="0"/>
      <w:divBdr>
        <w:top w:val="none" w:sz="0" w:space="0" w:color="auto"/>
        <w:left w:val="none" w:sz="0" w:space="0" w:color="auto"/>
        <w:bottom w:val="none" w:sz="0" w:space="0" w:color="auto"/>
        <w:right w:val="none" w:sz="0" w:space="0" w:color="auto"/>
      </w:divBdr>
    </w:div>
    <w:div w:id="2128111714">
      <w:bodyDiv w:val="1"/>
      <w:marLeft w:val="0"/>
      <w:marRight w:val="0"/>
      <w:marTop w:val="0"/>
      <w:marBottom w:val="0"/>
      <w:divBdr>
        <w:top w:val="none" w:sz="0" w:space="0" w:color="auto"/>
        <w:left w:val="none" w:sz="0" w:space="0" w:color="auto"/>
        <w:bottom w:val="none" w:sz="0" w:space="0" w:color="auto"/>
        <w:right w:val="none" w:sz="0" w:space="0" w:color="auto"/>
      </w:divBdr>
    </w:div>
    <w:div w:id="2134129339">
      <w:bodyDiv w:val="1"/>
      <w:marLeft w:val="0"/>
      <w:marRight w:val="0"/>
      <w:marTop w:val="0"/>
      <w:marBottom w:val="0"/>
      <w:divBdr>
        <w:top w:val="none" w:sz="0" w:space="0" w:color="auto"/>
        <w:left w:val="none" w:sz="0" w:space="0" w:color="auto"/>
        <w:bottom w:val="none" w:sz="0" w:space="0" w:color="auto"/>
        <w:right w:val="none" w:sz="0" w:space="0" w:color="auto"/>
      </w:divBdr>
    </w:div>
    <w:div w:id="2136025765">
      <w:bodyDiv w:val="1"/>
      <w:marLeft w:val="0"/>
      <w:marRight w:val="0"/>
      <w:marTop w:val="0"/>
      <w:marBottom w:val="0"/>
      <w:divBdr>
        <w:top w:val="none" w:sz="0" w:space="0" w:color="auto"/>
        <w:left w:val="none" w:sz="0" w:space="0" w:color="auto"/>
        <w:bottom w:val="none" w:sz="0" w:space="0" w:color="auto"/>
        <w:right w:val="none" w:sz="0" w:space="0" w:color="auto"/>
      </w:divBdr>
    </w:div>
    <w:div w:id="2137485263">
      <w:bodyDiv w:val="1"/>
      <w:marLeft w:val="0"/>
      <w:marRight w:val="0"/>
      <w:marTop w:val="0"/>
      <w:marBottom w:val="0"/>
      <w:divBdr>
        <w:top w:val="none" w:sz="0" w:space="0" w:color="auto"/>
        <w:left w:val="none" w:sz="0" w:space="0" w:color="auto"/>
        <w:bottom w:val="none" w:sz="0" w:space="0" w:color="auto"/>
        <w:right w:val="none" w:sz="0" w:space="0" w:color="auto"/>
      </w:divBdr>
    </w:div>
    <w:div w:id="2138791792">
      <w:bodyDiv w:val="1"/>
      <w:marLeft w:val="0"/>
      <w:marRight w:val="0"/>
      <w:marTop w:val="0"/>
      <w:marBottom w:val="0"/>
      <w:divBdr>
        <w:top w:val="none" w:sz="0" w:space="0" w:color="auto"/>
        <w:left w:val="none" w:sz="0" w:space="0" w:color="auto"/>
        <w:bottom w:val="none" w:sz="0" w:space="0" w:color="auto"/>
        <w:right w:val="none" w:sz="0" w:space="0" w:color="auto"/>
      </w:divBdr>
    </w:div>
    <w:div w:id="214264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chart" Target="charts/chart5.xml"/><Relationship Id="rId39" Type="http://schemas.openxmlformats.org/officeDocument/2006/relationships/chart" Target="charts/chart16.xml"/><Relationship Id="rId21" Type="http://schemas.openxmlformats.org/officeDocument/2006/relationships/image" Target="media/image2.png"/><Relationship Id="rId34" Type="http://schemas.openxmlformats.org/officeDocument/2006/relationships/chart" Target="charts/chart13.xml"/><Relationship Id="rId42" Type="http://schemas.openxmlformats.org/officeDocument/2006/relationships/chart" Target="charts/chart19.xml"/><Relationship Id="rId47" Type="http://schemas.openxmlformats.org/officeDocument/2006/relationships/chart" Target="charts/chart24.xml"/><Relationship Id="rId50" Type="http://schemas.openxmlformats.org/officeDocument/2006/relationships/chart" Target="charts/chart27.xml"/><Relationship Id="rId55" Type="http://schemas.openxmlformats.org/officeDocument/2006/relationships/chart" Target="charts/chart28.xml"/><Relationship Id="rId63" Type="http://schemas.openxmlformats.org/officeDocument/2006/relationships/hyperlink" Target="https://maps.vilnius.lt/pastatai" TargetMode="External"/><Relationship Id="rId68" Type="http://schemas.openxmlformats.org/officeDocument/2006/relationships/hyperlink" Target="http://citynvest.eu/sites/default/files/library-documents/RenoWatt%20Toolkit%20disclaimer%2004.01.17.pdf" TargetMode="External"/><Relationship Id="rId7" Type="http://schemas.openxmlformats.org/officeDocument/2006/relationships/footnotes" Target="footnotes.xml"/><Relationship Id="rId71" Type="http://schemas.openxmlformats.org/officeDocument/2006/relationships/hyperlink" Target="https://epilietis.lrv.lt/lt/konsultacijos/viesoji-konsultacija-gauti-pasiulymus-lietuvos-ilgalaikei-renovacijos-strategijai"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chart" Target="charts/chart8.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s://www.eea.europa.eu/data-and-maps/figures/trend-in-heating-and-cooling-1" TargetMode="External"/><Relationship Id="rId40" Type="http://schemas.openxmlformats.org/officeDocument/2006/relationships/chart" Target="charts/chart17.xml"/><Relationship Id="rId45" Type="http://schemas.openxmlformats.org/officeDocument/2006/relationships/chart" Target="charts/chart22.xml"/><Relationship Id="rId53" Type="http://schemas.openxmlformats.org/officeDocument/2006/relationships/image" Target="media/image7.png"/><Relationship Id="rId58" Type="http://schemas.openxmlformats.org/officeDocument/2006/relationships/chart" Target="charts/chart31.xml"/><Relationship Id="rId66" Type="http://schemas.openxmlformats.org/officeDocument/2006/relationships/hyperlink" Target="https://www.drive0.eu/"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4.png"/><Relationship Id="rId28" Type="http://schemas.openxmlformats.org/officeDocument/2006/relationships/chart" Target="charts/chart7.xml"/><Relationship Id="rId36" Type="http://schemas.openxmlformats.org/officeDocument/2006/relationships/image" Target="media/image5.png"/><Relationship Id="rId49" Type="http://schemas.openxmlformats.org/officeDocument/2006/relationships/chart" Target="charts/chart26.xml"/><Relationship Id="rId57" Type="http://schemas.openxmlformats.org/officeDocument/2006/relationships/chart" Target="charts/chart30.xml"/><Relationship Id="rId61" Type="http://schemas.openxmlformats.org/officeDocument/2006/relationships/chart" Target="charts/chart34.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chart" Target="charts/chart10.xml"/><Relationship Id="rId44" Type="http://schemas.openxmlformats.org/officeDocument/2006/relationships/chart" Target="charts/chart21.xml"/><Relationship Id="rId52" Type="http://schemas.openxmlformats.org/officeDocument/2006/relationships/hyperlink" Target="https://ismaniejiskaitikliai.lt/" TargetMode="External"/><Relationship Id="rId60" Type="http://schemas.openxmlformats.org/officeDocument/2006/relationships/chart" Target="charts/chart33.xml"/><Relationship Id="rId65" Type="http://schemas.openxmlformats.org/officeDocument/2006/relationships/hyperlink" Target="https://www.apva.lt/lietuvoje-individualiu-namu-modernizavimo-bumas-virs-730-gyventoju-paraisku-kompensacijoms-gauti/"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png"/><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chart" Target="charts/chart14.xml"/><Relationship Id="rId43" Type="http://schemas.openxmlformats.org/officeDocument/2006/relationships/chart" Target="charts/chart20.xml"/><Relationship Id="rId48" Type="http://schemas.openxmlformats.org/officeDocument/2006/relationships/chart" Target="charts/chart25.xml"/><Relationship Id="rId56" Type="http://schemas.openxmlformats.org/officeDocument/2006/relationships/chart" Target="charts/chart29.xml"/><Relationship Id="rId64" Type="http://schemas.openxmlformats.org/officeDocument/2006/relationships/hyperlink" Target="http://embuild.eu/knowledge-center/data-analysis/" TargetMode="External"/><Relationship Id="rId69" Type="http://schemas.openxmlformats.org/officeDocument/2006/relationships/hyperlink" Target="http://www.betalt.lt/data/public/uploads/2018/10/info-leidinys-apie-techn.prieziura.pdf" TargetMode="External"/><Relationship Id="rId8" Type="http://schemas.openxmlformats.org/officeDocument/2006/relationships/endnotes" Target="endnotes.xml"/><Relationship Id="rId51" Type="http://schemas.openxmlformats.org/officeDocument/2006/relationships/image" Target="media/image6.png"/><Relationship Id="rId72" Type="http://schemas.openxmlformats.org/officeDocument/2006/relationships/header" Target="header6.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chart" Target="charts/chart15.xml"/><Relationship Id="rId46" Type="http://schemas.openxmlformats.org/officeDocument/2006/relationships/chart" Target="charts/chart23.xml"/><Relationship Id="rId59" Type="http://schemas.openxmlformats.org/officeDocument/2006/relationships/chart" Target="charts/chart32.xml"/><Relationship Id="rId67" Type="http://schemas.openxmlformats.org/officeDocument/2006/relationships/hyperlink" Target="https://e3p.jrc.ec.europa.eu/sites/default/files/documents/publications/jrc113301_jrc113301_reportononestopshop_2017_v12_pubsy_science_for_policy_.pdf" TargetMode="External"/><Relationship Id="rId20" Type="http://schemas.openxmlformats.org/officeDocument/2006/relationships/image" Target="media/image1.png"/><Relationship Id="rId41" Type="http://schemas.openxmlformats.org/officeDocument/2006/relationships/chart" Target="charts/chart18.xml"/><Relationship Id="rId54" Type="http://schemas.openxmlformats.org/officeDocument/2006/relationships/image" Target="media/image8.png"/><Relationship Id="rId62" Type="http://schemas.openxmlformats.org/officeDocument/2006/relationships/image" Target="media/image9.png"/><Relationship Id="rId70" Type="http://schemas.openxmlformats.org/officeDocument/2006/relationships/hyperlink" Target="https://epilietis.lrv.lt/lt/konsultacijos/viesoji-konsultacija-del-lietuvos-ilgalaikes-renovacijos-strategijo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op.europa.eu/webpub/eca/special-reports/energy-efficiency-11-2020/lt/index.html" TargetMode="External"/><Relationship Id="rId13" Type="http://schemas.openxmlformats.org/officeDocument/2006/relationships/hyperlink" Target="https://www.lzpt.lt/" TargetMode="External"/><Relationship Id="rId18" Type="http://schemas.openxmlformats.org/officeDocument/2006/relationships/hyperlink" Target="http://kurklt.lt/wp-content/uploads/2019/04/DI_strategija_LT_koreguota.pdf" TargetMode="External"/><Relationship Id="rId26" Type="http://schemas.openxmlformats.org/officeDocument/2006/relationships/hyperlink" Target="https://www.ober-haus.lt/rinkos_apzvalga/nekilnojamojo-turto-kainos-2020-m-geguzes-men/" TargetMode="External"/><Relationship Id="rId3" Type="http://schemas.openxmlformats.org/officeDocument/2006/relationships/hyperlink" Target="https://ec.europa.eu/energy/studies/comprehensive-study-building-energy-renovation-activities-and-uptake-nearly-zero-energy_en" TargetMode="External"/><Relationship Id="rId21" Type="http://schemas.openxmlformats.org/officeDocument/2006/relationships/hyperlink" Target="https://www.embuild.eu/knowledge-center/wider-benefits/" TargetMode="External"/><Relationship Id="rId7" Type="http://schemas.openxmlformats.org/officeDocument/2006/relationships/hyperlink" Target="https://eur-lex.europa.eu/legal-content/EN/TXT/PDF/?uri=CELEX:52016SC0414&amp;from=EN" TargetMode="External"/><Relationship Id="rId12" Type="http://schemas.openxmlformats.org/officeDocument/2006/relationships/hyperlink" Target="https://e-seimas.lrs.lt/portal/legalAct/lt/TAD/c1259440f7dd11eab72ddb4a109da1b5?jfwid=-whxwii77y" TargetMode="External"/><Relationship Id="rId17" Type="http://schemas.openxmlformats.org/officeDocument/2006/relationships/hyperlink" Target="https://webgate.ec.europa.eu/dashboard/sense/app/a976d168-2023-41d8-acec-e77640154726/sheet/0c8af38b-b73c-4da2-ba41-73ea34ab7ac4/state/0" TargetMode="External"/><Relationship Id="rId25" Type="http://schemas.openxmlformats.org/officeDocument/2006/relationships/hyperlink" Target="https://www.copenhageneconomics.com/publications/publication/multiple-benefits-of-investing-in-energy-efficient-renovation-of-buildings" TargetMode="External"/><Relationship Id="rId2" Type="http://schemas.openxmlformats.org/officeDocument/2006/relationships/hyperlink" Target="https://www.spsc.lt/cms/index.php?option=com_content&amp;view=article&amp;id=57&amp;Itemid=331&amp;lang=lt" TargetMode="External"/><Relationship Id="rId16" Type="http://schemas.openxmlformats.org/officeDocument/2006/relationships/hyperlink" Target="http://www.nmva.smm.lt/wp-content/uploads/2019/10/Svietimo-bukles-apzvalga-2019-web.pdf" TargetMode="External"/><Relationship Id="rId20" Type="http://schemas.openxmlformats.org/officeDocument/2006/relationships/hyperlink" Target="https://ec.europa.eu/info/strategy/priorities-2019-2024/european-green-deal_en" TargetMode="External"/><Relationship Id="rId29" Type="http://schemas.openxmlformats.org/officeDocument/2006/relationships/hyperlink" Target="https://am.lrv.lt/lt/naujienos/aplinkosaugininkai-praso-renovuojant-daugiabucius-issaugoti-ciurlius" TargetMode="External"/><Relationship Id="rId1" Type="http://schemas.openxmlformats.org/officeDocument/2006/relationships/hyperlink" Target="https://www.spsc.lt/cms/index.php?option=com_wrapper&amp;view=wrapper&amp;Itemid=288&amp;lang=lt" TargetMode="External"/><Relationship Id="rId6" Type="http://schemas.openxmlformats.org/officeDocument/2006/relationships/hyperlink" Target="http://www.betalt.lt/doclib/eqs6hohgh1wu2ebycsbsmtbg9f2xmspu" TargetMode="External"/><Relationship Id="rId11" Type="http://schemas.openxmlformats.org/officeDocument/2006/relationships/hyperlink" Target="https://strata.gov.lt/lt/sumani-specializacija/apie" TargetMode="External"/><Relationship Id="rId24" Type="http://schemas.openxmlformats.org/officeDocument/2006/relationships/hyperlink" Target="http://www.bpie.eu/publication/policy-paper-how-to-integrate-indoor-environmental-quality-within-national-long-term-renovation-strategies/" TargetMode="External"/><Relationship Id="rId5" Type="http://schemas.openxmlformats.org/officeDocument/2006/relationships/hyperlink" Target="https://www.vkontrole.lt/pranesimas_spaudai.aspx?id=25019" TargetMode="External"/><Relationship Id="rId15" Type="http://schemas.openxmlformats.org/officeDocument/2006/relationships/hyperlink" Target="https://strata.gov.lt/images/tyrimai/2020-metai/inovaciju-politika/2020-03-13_Inovaciju_apzvalga.pdf" TargetMode="External"/><Relationship Id="rId23" Type="http://schemas.openxmlformats.org/officeDocument/2006/relationships/hyperlink" Target="https://www.copenhageneconomics.com/publications/publication/multiple-benefits-of-investing-in-energy-efficient-renovation-of-buildings" TargetMode="External"/><Relationship Id="rId28" Type="http://schemas.openxmlformats.org/officeDocument/2006/relationships/hyperlink" Target="http://bpie.eu/wp-content/uploads/2020/04/An-action-plan-for-the-renovation-wave_DIGITAL_final.pdf" TargetMode="External"/><Relationship Id="rId10" Type="http://schemas.openxmlformats.org/officeDocument/2006/relationships/hyperlink" Target="https://e-seimas.lrs.lt/portal/legalAct/lt/TAD/TAIS.429490/asr" TargetMode="External"/><Relationship Id="rId19" Type="http://schemas.openxmlformats.org/officeDocument/2006/relationships/hyperlink" Target="https://lsta.lt/wp-content/uploads/2019/10/LSTA_apzvalga_2018.pdf" TargetMode="External"/><Relationship Id="rId4" Type="http://schemas.openxmlformats.org/officeDocument/2006/relationships/hyperlink" Target="https://appsso.eurostat.ec.europa.eu/nui/submitViewTableAction.do" TargetMode="External"/><Relationship Id="rId9" Type="http://schemas.openxmlformats.org/officeDocument/2006/relationships/hyperlink" Target="https://am.lrv.lt/uploads/am/documents/files/KLIMATO%20KAITA/Integruotas%20planas/Final%20NECP.pdf" TargetMode="External"/><Relationship Id="rId14" Type="http://schemas.openxmlformats.org/officeDocument/2006/relationships/hyperlink" Target="https://e-seimas.lrs.lt/portal/legalAct/lt/TAD/TAIS.439448" TargetMode="External"/><Relationship Id="rId22" Type="http://schemas.openxmlformats.org/officeDocument/2006/relationships/hyperlink" Target="https://www.copenhageneconomics.com/publications/publication/multiple-benefits-of-investing-in-energy-efficient-renovation-of-buildings" TargetMode="External"/><Relationship Id="rId27" Type="http://schemas.openxmlformats.org/officeDocument/2006/relationships/hyperlink" Target="http://www.betalt.lt/veiklos-sritys/programos/daugiabuciu-namu-atnaujinimo-modernizavimo-programa/102?c-19/t-46" TargetMode="External"/><Relationship Id="rId30" Type="http://schemas.openxmlformats.org/officeDocument/2006/relationships/hyperlink" Target="http://publications.jrc.ec.europa.eu/repository/bitstream/JRC118815/jrc118815.pdf"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Admin\Dropbox%20(vilnius%20economics)\1%20-%20Renovacijos%20strategija\Modelis\1%20-%20Fondas%200727%20-%20AA.xlsm"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30.xlsm"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Ataskaita\pagalbiniai\irs%20ataskaita.xlsx" TargetMode="External"/></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dmin\Dropbox%20(vilnius%20economics)\1%20-%20Renovacijos%20strategija\Modelis\1%20-%20Fondas%200727%20-%20AA.xlsm"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C:\Users\Admin\Dropbox%20(vilnius%20economics)\1%20-%20Renovacijos%20strategija\Modelis\1%20-%20Fondas%200727%20-%20AA.xlsm"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Rapolas%20Striukas\Dropbox%20(vilnius%20economics)\Ve%20Team%20Folder\_Projektai\Aplinkos%20ministerija\1%20-%20Renovacijos%20strategija\Modelis\3%20-%20Suvartojimai%20SUM.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Rapolas%20Striukas\Desktop\Grafikai.xlsx" TargetMode="External"/></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Rapolas%20Striukas\Desktop\Grafikai.xlsx" TargetMode="External"/></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Rapolas%20Striukas\Desktop\Grafikai.xlsx" TargetMode="Externa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Admin\Dropbox%20(vilnius%20economics)\1%20-%20Renovacijos%20strategija\Modelis\6%20-%20IRS%20rodikliai%2001_19%20(III%20pabaiga).xlsx" TargetMode="External"/></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Admin\Dropbox%20(vilnius%20economics)\1%20-%20Renovacijos%20strategija\Modelis\6%20-%20IRS%20rodikliai%2001_19%20(III%20pabaig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B%20rodikliai%20naujos%20DGB%20kainos%20nji&#363;.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C:\Users\Admin\Desktop\B%20rodikliai%20naujos%20DGB%20kaino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C:\Users\Andrius\Desktop\Darbas\CBA%20EE_.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Dropbox%20(vilnius%20economics)\1%20-%20Renovacijos%20strategija\Modelis\1%20-%20Fondas%200727%20-%20AA.xlsm"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Admin\Desktop\3%20-%20Fondas%200722%20-%20Copy.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a:t>
            </a:r>
            <a:r>
              <a:rPr lang="en-US" sz="900"/>
              <a:t> </a:t>
            </a:r>
            <a:r>
              <a:rPr lang="lt-LT" sz="900"/>
              <a:t>(tūkst. </a:t>
            </a:r>
            <a:r>
              <a:rPr lang="en-US" sz="900"/>
              <a:t>vnt.</a:t>
            </a:r>
            <a:r>
              <a:rPr lang="lt-LT" sz="900"/>
              <a:t>)</a:t>
            </a:r>
            <a:endParaRPr lang="en-US" sz="900"/>
          </a:p>
        </c:rich>
      </c:tx>
      <c:layout/>
      <c:overlay val="0"/>
      <c:spPr>
        <a:noFill/>
        <a:ln>
          <a:noFill/>
        </a:ln>
        <a:effectLst/>
      </c:spPr>
    </c:title>
    <c:autoTitleDeleted val="0"/>
    <c:plotArea>
      <c:layout>
        <c:manualLayout>
          <c:layoutTarget val="inner"/>
          <c:xMode val="edge"/>
          <c:yMode val="edge"/>
          <c:x val="0.30242901597801702"/>
          <c:y val="0.18667950452477963"/>
          <c:w val="0.58501202319769918"/>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Body)"/>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'2'!$E$23:$E$26</c:f>
              <c:numCache>
                <c:formatCode>#,##0</c:formatCode>
                <c:ptCount val="4"/>
                <c:pt idx="0">
                  <c:v>41.994999999999997</c:v>
                </c:pt>
                <c:pt idx="1">
                  <c:v>48.774999999999999</c:v>
                </c:pt>
                <c:pt idx="2">
                  <c:v>41.020999999999972</c:v>
                </c:pt>
                <c:pt idx="3">
                  <c:v>529.49200000000042</c:v>
                </c:pt>
              </c:numCache>
            </c:numRef>
          </c:val>
          <c:extLst xmlns:c16r2="http://schemas.microsoft.com/office/drawing/2015/06/chart">
            <c:ext xmlns:c15="http://schemas.microsoft.com/office/drawing/2012/chart" uri="{02D57815-91ED-43cb-92C2-25804820EDAC}">
              <c15:datalabelsRange>
                <c15:f>'2'!$F$23:$F$26</c15:f>
                <c15:dlblRangeCache>
                  <c:ptCount val="4"/>
                  <c:pt idx="0">
                    <c:v>6%</c:v>
                  </c:pt>
                  <c:pt idx="1">
                    <c:v>7%</c:v>
                  </c:pt>
                  <c:pt idx="2">
                    <c:v>6%</c:v>
                  </c:pt>
                  <c:pt idx="3">
                    <c:v>80%</c:v>
                  </c:pt>
                </c15:dlblRangeCache>
              </c15:datalabelsRange>
            </c:ext>
            <c:ext xmlns:c16="http://schemas.microsoft.com/office/drawing/2014/chart" uri="{C3380CC4-5D6E-409C-BE32-E72D297353CC}">
              <c16:uniqueId val="{00000004-158F-45E8-9740-3362894EAAA3}"/>
            </c:ext>
          </c:extLst>
        </c:ser>
        <c:dLbls>
          <c:dLblPos val="outEnd"/>
          <c:showLegendKey val="0"/>
          <c:showVal val="1"/>
          <c:showCatName val="0"/>
          <c:showSerName val="0"/>
          <c:showPercent val="0"/>
          <c:showBubbleSize val="0"/>
        </c:dLbls>
        <c:gapWidth val="182"/>
        <c:axId val="160702848"/>
        <c:axId val="160705920"/>
      </c:barChart>
      <c:catAx>
        <c:axId val="160702848"/>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60705920"/>
        <c:crosses val="autoZero"/>
        <c:auto val="1"/>
        <c:lblAlgn val="ctr"/>
        <c:lblOffset val="100"/>
        <c:noMultiLvlLbl val="0"/>
      </c:catAx>
      <c:valAx>
        <c:axId val="160705920"/>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607028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sienų medžiagiškumą (mln. m</a:t>
            </a:r>
            <a:r>
              <a:rPr lang="lt-LT" sz="900" baseline="30000"/>
              <a:t>2</a:t>
            </a:r>
            <a:r>
              <a:rPr lang="lt-LT" sz="900"/>
              <a:t>)</a:t>
            </a:r>
            <a:endParaRPr lang="en-US" sz="900"/>
          </a:p>
        </c:rich>
      </c:tx>
      <c:layout/>
      <c:overlay val="0"/>
      <c:spPr>
        <a:noFill/>
        <a:ln>
          <a:noFill/>
        </a:ln>
        <a:effectLst/>
      </c:spPr>
    </c:title>
    <c:autoTitleDeleted val="0"/>
    <c:plotArea>
      <c:layout>
        <c:manualLayout>
          <c:layoutTarget val="inner"/>
          <c:xMode val="edge"/>
          <c:yMode val="edge"/>
          <c:x val="0.33502312210973628"/>
          <c:y val="0.24396467124631993"/>
          <c:w val="0.61735783027121605"/>
          <c:h val="0.51387919864447329"/>
        </c:manualLayout>
      </c:layout>
      <c:barChart>
        <c:barDir val="bar"/>
        <c:grouping val="stacked"/>
        <c:varyColors val="0"/>
        <c:ser>
          <c:idx val="0"/>
          <c:order val="0"/>
          <c:tx>
            <c:strRef>
              <c:f>'6'!$E$45</c:f>
              <c:strCache>
                <c:ptCount val="1"/>
                <c:pt idx="0">
                  <c:v>Plytų ir blokelių</c:v>
                </c:pt>
              </c:strCache>
            </c:strRef>
          </c:tx>
          <c:spPr>
            <a:solidFill>
              <a:schemeClr val="bg2">
                <a:lumMod val="65000"/>
              </a:schemeClr>
            </a:solidFill>
            <a:ln>
              <a:solidFill>
                <a:schemeClr val="bg1"/>
              </a:solidFill>
            </a:ln>
            <a:effectLst/>
          </c:spPr>
          <c:invertIfNegative val="0"/>
          <c:dLbls>
            <c:dLbl>
              <c:idx val="0"/>
              <c:layout>
                <c:manualLayout>
                  <c:x val="0"/>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259-4B04-83A1-A074100AB17B}"/>
                </c:ext>
                <c:ext xmlns:c15="http://schemas.microsoft.com/office/drawing/2012/chart" uri="{CE6537A1-D6FC-4f65-9D91-7224C49458BB}"/>
              </c:extLst>
            </c:dLbl>
            <c:dLbl>
              <c:idx val="1"/>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259-4B04-83A1-A074100AB17B}"/>
                </c:ext>
                <c:ext xmlns:c15="http://schemas.microsoft.com/office/drawing/2012/chart" uri="{CE6537A1-D6FC-4f65-9D91-7224C49458BB}"/>
              </c:extLst>
            </c:dLbl>
            <c:dLbl>
              <c:idx val="2"/>
              <c:layout>
                <c:manualLayout>
                  <c:x val="-5.1035098814635596E-17"/>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259-4B04-83A1-A074100AB17B}"/>
                </c:ext>
                <c:ext xmlns:c15="http://schemas.microsoft.com/office/drawing/2012/chart" uri="{CE6537A1-D6FC-4f65-9D91-7224C49458BB}"/>
              </c:extLst>
            </c:dLbl>
            <c:dLbl>
              <c:idx val="3"/>
              <c:layout>
                <c:manualLayout>
                  <c:x val="-5.1035098814635596E-17"/>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'6'!$E$46:$E$49</c:f>
              <c:numCache>
                <c:formatCode>_(* #,##0_);_(* \(#,##0\);_(* "-"??_);_(@_)</c:formatCode>
                <c:ptCount val="4"/>
                <c:pt idx="0">
                  <c:v>23.828032999999998</c:v>
                </c:pt>
                <c:pt idx="1">
                  <c:v>17.890112999999999</c:v>
                </c:pt>
                <c:pt idx="2">
                  <c:v>35.824809000000002</c:v>
                </c:pt>
                <c:pt idx="3">
                  <c:v>41.055381000000018</c:v>
                </c:pt>
              </c:numCache>
            </c:numRef>
          </c:val>
          <c:extLst xmlns:c16r2="http://schemas.microsoft.com/office/drawing/2015/06/chart">
            <c:ext xmlns:c16="http://schemas.microsoft.com/office/drawing/2014/chart" uri="{C3380CC4-5D6E-409C-BE32-E72D297353CC}">
              <c16:uniqueId val="{00000004-6259-4B04-83A1-A074100AB17B}"/>
            </c:ext>
          </c:extLst>
        </c:ser>
        <c:ser>
          <c:idx val="1"/>
          <c:order val="1"/>
          <c:tx>
            <c:strRef>
              <c:f>'6'!$F$45</c:f>
              <c:strCache>
                <c:ptCount val="1"/>
                <c:pt idx="0">
                  <c:v>Gelžb. plokščių</c:v>
                </c:pt>
              </c:strCache>
            </c:strRef>
          </c:tx>
          <c:spPr>
            <a:solidFill>
              <a:srgbClr val="002060"/>
            </a:solidFill>
            <a:ln>
              <a:solidFill>
                <a:schemeClr val="bg1"/>
              </a:solidFill>
            </a:ln>
            <a:effectLst/>
          </c:spPr>
          <c:invertIfNegative val="0"/>
          <c:dLbls>
            <c:dLbl>
              <c:idx val="0"/>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259-4B04-83A1-A074100AB17B}"/>
                </c:ext>
                <c:ext xmlns:c15="http://schemas.microsoft.com/office/drawing/2012/chart" uri="{CE6537A1-D6FC-4f65-9D91-7224C49458BB}"/>
              </c:extLst>
            </c:dLbl>
            <c:dLbl>
              <c:idx val="1"/>
              <c:layout>
                <c:manualLayout>
                  <c:x val="-5.1035098814635596E-17"/>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6259-4B04-83A1-A074100AB17B}"/>
                </c:ext>
                <c:ext xmlns:c15="http://schemas.microsoft.com/office/drawing/2012/chart" uri="{CE6537A1-D6FC-4f65-9D91-7224C49458BB}"/>
              </c:extLst>
            </c:dLbl>
            <c:dLbl>
              <c:idx val="2"/>
              <c:layout>
                <c:manualLayout>
                  <c:x val="0"/>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6259-4B04-83A1-A074100AB17B}"/>
                </c:ext>
                <c:ext xmlns:c15="http://schemas.microsoft.com/office/drawing/2012/chart" uri="{CE6537A1-D6FC-4f65-9D91-7224C49458BB}"/>
              </c:extLst>
            </c:dLbl>
            <c:dLbl>
              <c:idx val="3"/>
              <c:layout>
                <c:manualLayout>
                  <c:x val="-1.0207019762927119E-16"/>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'6'!$F$46:$F$49</c:f>
              <c:numCache>
                <c:formatCode>_(* #,##0_);_(* \(#,##0\);_(* "-"??_);_(@_)</c:formatCode>
                <c:ptCount val="4"/>
                <c:pt idx="0">
                  <c:v>6.4803030000000001</c:v>
                </c:pt>
                <c:pt idx="1">
                  <c:v>8.6178099999999986</c:v>
                </c:pt>
                <c:pt idx="2">
                  <c:v>20.654714999999999</c:v>
                </c:pt>
                <c:pt idx="3">
                  <c:v>1.1368529999999997</c:v>
                </c:pt>
              </c:numCache>
            </c:numRef>
          </c:val>
          <c:extLst xmlns:c16r2="http://schemas.microsoft.com/office/drawing/2015/06/chart">
            <c:ext xmlns:c16="http://schemas.microsoft.com/office/drawing/2014/chart" uri="{C3380CC4-5D6E-409C-BE32-E72D297353CC}">
              <c16:uniqueId val="{00000009-6259-4B04-83A1-A074100AB17B}"/>
            </c:ext>
          </c:extLst>
        </c:ser>
        <c:ser>
          <c:idx val="2"/>
          <c:order val="2"/>
          <c:tx>
            <c:strRef>
              <c:f>'6'!$G$45</c:f>
              <c:strCache>
                <c:ptCount val="1"/>
                <c:pt idx="0">
                  <c:v>Rąstų</c:v>
                </c:pt>
              </c:strCache>
            </c:strRef>
          </c:tx>
          <c:spPr>
            <a:solidFill>
              <a:srgbClr val="C00000"/>
            </a:solidFill>
            <a:ln>
              <a:solidFill>
                <a:schemeClr val="bg1"/>
              </a:solidFill>
            </a:ln>
            <a:effectLst/>
          </c:spPr>
          <c:invertIfNegative val="0"/>
          <c:dLbls>
            <c:dLbl>
              <c:idx val="0"/>
              <c:layout>
                <c:manualLayout>
                  <c:x val="0"/>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6259-4B04-83A1-A074100AB17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6259-4B04-83A1-A074100AB17B}"/>
                </c:ext>
                <c:ext xmlns:c15="http://schemas.microsoft.com/office/drawing/2012/chart" uri="{CE6537A1-D6FC-4f65-9D91-7224C49458BB}"/>
              </c:extLst>
            </c:dLbl>
            <c:dLbl>
              <c:idx val="2"/>
              <c:layout>
                <c:manualLayout>
                  <c:x val="-5.567529641067501E-3"/>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6259-4B04-83A1-A074100AB17B}"/>
                </c:ext>
                <c:ext xmlns:c15="http://schemas.microsoft.com/office/drawing/2012/chart" uri="{CE6537A1-D6FC-4f65-9D91-7224C49458BB}"/>
              </c:extLst>
            </c:dLbl>
            <c:dLbl>
              <c:idx val="3"/>
              <c:layout>
                <c:manualLayout>
                  <c:x val="-1.0207019762927119E-16"/>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'6'!$G$46:$G$49</c:f>
              <c:numCache>
                <c:formatCode>_(* #,##0_);_(* \(#,##0\);_(* "-"??_);_(@_)</c:formatCode>
                <c:ptCount val="4"/>
                <c:pt idx="0">
                  <c:v>0.63158000000000014</c:v>
                </c:pt>
                <c:pt idx="1">
                  <c:v>0.15879099999999999</c:v>
                </c:pt>
                <c:pt idx="2">
                  <c:v>1.2721359999999999</c:v>
                </c:pt>
                <c:pt idx="3">
                  <c:v>20.665761999999994</c:v>
                </c:pt>
              </c:numCache>
            </c:numRef>
          </c:val>
          <c:extLst xmlns:c16r2="http://schemas.microsoft.com/office/drawing/2015/06/chart">
            <c:ext xmlns:c16="http://schemas.microsoft.com/office/drawing/2014/chart" uri="{C3380CC4-5D6E-409C-BE32-E72D297353CC}">
              <c16:uniqueId val="{0000000E-6259-4B04-83A1-A074100AB17B}"/>
            </c:ext>
          </c:extLst>
        </c:ser>
        <c:ser>
          <c:idx val="3"/>
          <c:order val="3"/>
          <c:tx>
            <c:strRef>
              <c:f>'6'!$H$45</c:f>
              <c:strCache>
                <c:ptCount val="1"/>
                <c:pt idx="0">
                  <c:v>Fasadinės sistemos</c:v>
                </c:pt>
              </c:strCache>
            </c:strRef>
          </c:tx>
          <c:spPr>
            <a:solidFill>
              <a:schemeClr val="tx2"/>
            </a:solidFill>
            <a:ln>
              <a:solidFill>
                <a:schemeClr val="bg1"/>
              </a:solidFill>
            </a:ln>
            <a:effectLst/>
          </c:spPr>
          <c:invertIfNegative val="0"/>
          <c:dLbls>
            <c:dLbl>
              <c:idx val="0"/>
              <c:layout>
                <c:manualLayout>
                  <c:x val="-1.0207019762927119E-16"/>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6259-4B04-83A1-A074100AB17B}"/>
                </c:ext>
                <c:ext xmlns:c15="http://schemas.microsoft.com/office/drawing/2012/chart" uri="{CE6537A1-D6FC-4f65-9D91-7224C49458BB}"/>
              </c:extLst>
            </c:dLbl>
            <c:dLbl>
              <c:idx val="1"/>
              <c:layout>
                <c:manualLayout>
                  <c:x val="0"/>
                  <c:y val="-6.00141245941745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6259-4B04-83A1-A074100AB17B}"/>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11-6259-4B04-83A1-A074100AB17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12-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'6'!$H$46:$H$49</c:f>
              <c:numCache>
                <c:formatCode>_(* #,##0_);_(* \(#,##0\);_(* "-"??_);_(@_)</c:formatCode>
                <c:ptCount val="4"/>
                <c:pt idx="0">
                  <c:v>4.2678830000000003</c:v>
                </c:pt>
                <c:pt idx="1">
                  <c:v>6.9320399999999998</c:v>
                </c:pt>
                <c:pt idx="2">
                  <c:v>2.4347000000000001E-2</c:v>
                </c:pt>
                <c:pt idx="3">
                  <c:v>2.5447000000000004E-2</c:v>
                </c:pt>
              </c:numCache>
            </c:numRef>
          </c:val>
          <c:extLst xmlns:c16r2="http://schemas.microsoft.com/office/drawing/2015/06/chart">
            <c:ext xmlns:c16="http://schemas.microsoft.com/office/drawing/2014/chart" uri="{C3380CC4-5D6E-409C-BE32-E72D297353CC}">
              <c16:uniqueId val="{00000013-6259-4B04-83A1-A074100AB17B}"/>
            </c:ext>
          </c:extLst>
        </c:ser>
        <c:ser>
          <c:idx val="5"/>
          <c:order val="4"/>
          <c:tx>
            <c:strRef>
              <c:f>'6'!$I$45</c:f>
              <c:strCache>
                <c:ptCount val="1"/>
                <c:pt idx="0">
                  <c:v>Kita</c:v>
                </c:pt>
              </c:strCache>
            </c:strRef>
          </c:tx>
          <c:spPr>
            <a:solidFill>
              <a:srgbClr val="00B0F0"/>
            </a:solidFill>
            <a:ln>
              <a:solidFill>
                <a:schemeClr val="bg1"/>
              </a:solidFill>
            </a:ln>
            <a:effectLst/>
          </c:spPr>
          <c:invertIfNegative val="0"/>
          <c:dLbls>
            <c:dLbl>
              <c:idx val="0"/>
              <c:layout>
                <c:manualLayout>
                  <c:x val="1.1135059282135002E-2"/>
                  <c:y val="-5.997024371674575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6259-4B04-83A1-A074100AB17B}"/>
                </c:ext>
                <c:ext xmlns:c15="http://schemas.microsoft.com/office/drawing/2012/chart" uri="{CE6537A1-D6FC-4f65-9D91-7224C49458BB}"/>
              </c:extLst>
            </c:dLbl>
            <c:dLbl>
              <c:idx val="1"/>
              <c:layout>
                <c:manualLayout>
                  <c:x val="0"/>
                  <c:y val="-6.0014124594174593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6259-4B04-83A1-A074100AB17B}"/>
                </c:ext>
                <c:ext xmlns:c15="http://schemas.microsoft.com/office/drawing/2012/chart" uri="{CE6537A1-D6FC-4f65-9D91-7224C49458BB}"/>
              </c:extLst>
            </c:dLbl>
            <c:dLbl>
              <c:idx val="2"/>
              <c:layout>
                <c:manualLayout>
                  <c:x val="1.1135059282135002E-2"/>
                  <c:y val="-5.997024371674579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6-6259-4B04-83A1-A074100AB17B}"/>
                </c:ext>
                <c:ext xmlns:c15="http://schemas.microsoft.com/office/drawing/2012/chart" uri="{CE6537A1-D6FC-4f65-9D91-7224C49458BB}"/>
              </c:extLst>
            </c:dLbl>
            <c:dLbl>
              <c:idx val="3"/>
              <c:layout>
                <c:manualLayout>
                  <c:x val="0"/>
                  <c:y val="-5.535714804622685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7-6259-4B04-83A1-A074100AB17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'6'!$D$46:$D$49</c:f>
              <c:strCache>
                <c:ptCount val="4"/>
                <c:pt idx="0">
                  <c:v>Kiti negyvenamieji</c:v>
                </c:pt>
                <c:pt idx="1">
                  <c:v>Pramonės</c:v>
                </c:pt>
                <c:pt idx="2">
                  <c:v>Daugiabučiai</c:v>
                </c:pt>
                <c:pt idx="3">
                  <c:v>Individualūs</c:v>
                </c:pt>
              </c:strCache>
            </c:strRef>
          </c:cat>
          <c:val>
            <c:numRef>
              <c:f>'6'!$I$46:$I$49</c:f>
              <c:numCache>
                <c:formatCode>_(* #,##0_);_(* \(#,##0\);_(* "-"??_);_(@_)</c:formatCode>
                <c:ptCount val="4"/>
                <c:pt idx="0">
                  <c:v>1.9720470000000001</c:v>
                </c:pt>
                <c:pt idx="1">
                  <c:v>1.8795459999999999</c:v>
                </c:pt>
                <c:pt idx="2">
                  <c:v>1.6870400000000001</c:v>
                </c:pt>
                <c:pt idx="3">
                  <c:v>6.6513379999999991</c:v>
                </c:pt>
              </c:numCache>
            </c:numRef>
          </c:val>
          <c:extLst xmlns:c16r2="http://schemas.microsoft.com/office/drawing/2015/06/chart">
            <c:ext xmlns:c16="http://schemas.microsoft.com/office/drawing/2014/chart" uri="{C3380CC4-5D6E-409C-BE32-E72D297353CC}">
              <c16:uniqueId val="{00000018-6259-4B04-83A1-A074100AB17B}"/>
            </c:ext>
          </c:extLst>
        </c:ser>
        <c:dLbls>
          <c:dLblPos val="ctr"/>
          <c:showLegendKey val="0"/>
          <c:showVal val="1"/>
          <c:showCatName val="0"/>
          <c:showSerName val="0"/>
          <c:showPercent val="0"/>
          <c:showBubbleSize val="0"/>
        </c:dLbls>
        <c:gapWidth val="150"/>
        <c:overlap val="100"/>
        <c:axId val="144908672"/>
        <c:axId val="144910208"/>
      </c:barChart>
      <c:catAx>
        <c:axId val="144908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4910208"/>
        <c:crosses val="autoZero"/>
        <c:auto val="1"/>
        <c:lblAlgn val="ctr"/>
        <c:lblOffset val="100"/>
        <c:noMultiLvlLbl val="0"/>
      </c:catAx>
      <c:valAx>
        <c:axId val="144910208"/>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4908672"/>
        <c:crosses val="autoZero"/>
        <c:crossBetween val="between"/>
      </c:valAx>
      <c:spPr>
        <a:noFill/>
        <a:ln>
          <a:noFill/>
        </a:ln>
        <a:effectLst/>
      </c:spPr>
    </c:plotArea>
    <c:legend>
      <c:legendPos val="b"/>
      <c:layout>
        <c:manualLayout>
          <c:xMode val="edge"/>
          <c:yMode val="edge"/>
          <c:x val="5.02688362277064E-2"/>
          <c:y val="0.84337685637396587"/>
          <c:w val="0.89531820805203421"/>
          <c:h val="0.15189148537100297"/>
        </c:manualLayout>
      </c:layout>
      <c:overlay val="0"/>
      <c:spPr>
        <a:noFill/>
        <a:ln>
          <a:noFill/>
        </a:ln>
        <a:effectLst/>
      </c:spPr>
      <c:txPr>
        <a:bodyPr rot="0" spcFirstLastPara="1" vertOverflow="ellipsis" vert="horz" wrap="square" anchor="ctr" anchorCtr="1"/>
        <a:lstStyle/>
        <a:p>
          <a:pPr>
            <a:defRPr sz="700" b="1"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energetinę klasę (mln. m</a:t>
            </a:r>
            <a:r>
              <a:rPr lang="lt-LT" sz="900" baseline="30000"/>
              <a:t>2</a:t>
            </a:r>
            <a:r>
              <a:rPr lang="lt-LT" sz="900"/>
              <a:t>)</a:t>
            </a:r>
            <a:endParaRPr lang="en-US" sz="900"/>
          </a:p>
        </c:rich>
      </c:tx>
      <c:layout/>
      <c:overlay val="0"/>
      <c:spPr>
        <a:noFill/>
        <a:ln>
          <a:noFill/>
        </a:ln>
        <a:effectLst/>
      </c:spPr>
    </c:title>
    <c:autoTitleDeleted val="0"/>
    <c:plotArea>
      <c:layout/>
      <c:barChart>
        <c:barDir val="col"/>
        <c:grouping val="clustered"/>
        <c:varyColors val="0"/>
        <c:ser>
          <c:idx val="0"/>
          <c:order val="0"/>
          <c:spPr>
            <a:solidFill>
              <a:schemeClr val="bg1">
                <a:lumMod val="65000"/>
              </a:schemeClr>
            </a:solidFill>
            <a:ln>
              <a:noFill/>
            </a:ln>
            <a:effectLst/>
          </c:spPr>
          <c:invertIfNegative val="0"/>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521-4999-AB86-D04C83038F0F}"/>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0521-4999-AB86-D04C83038F0F}"/>
              </c:ext>
            </c:extLst>
          </c:dPt>
          <c:dPt>
            <c:idx val="3"/>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5-0521-4999-AB86-D04C83038F0F}"/>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'7enk'!$E$47:$H$47</c:f>
              <c:strCache>
                <c:ptCount val="4"/>
                <c:pt idx="0">
                  <c:v>D/E/F/G</c:v>
                </c:pt>
                <c:pt idx="1">
                  <c:v>C</c:v>
                </c:pt>
                <c:pt idx="2">
                  <c:v>B</c:v>
                </c:pt>
                <c:pt idx="3">
                  <c:v>A - A++</c:v>
                </c:pt>
              </c:strCache>
            </c:strRef>
          </c:cat>
          <c:val>
            <c:numRef>
              <c:f>'7enk'!$E$52:$H$52</c:f>
              <c:numCache>
                <c:formatCode>#,##0\ ;\ \-\ #,##0\ ;\ \-\ </c:formatCode>
                <c:ptCount val="4"/>
                <c:pt idx="0">
                  <c:v>132.73520080999998</c:v>
                </c:pt>
                <c:pt idx="1">
                  <c:v>39.466358789999987</c:v>
                </c:pt>
                <c:pt idx="2">
                  <c:v>25.524198400000003</c:v>
                </c:pt>
                <c:pt idx="3">
                  <c:v>3.9479639999999998</c:v>
                </c:pt>
              </c:numCache>
            </c:numRef>
          </c:val>
          <c:extLst xmlns:c16r2="http://schemas.microsoft.com/office/drawing/2015/06/chart">
            <c:ext xmlns:c16="http://schemas.microsoft.com/office/drawing/2014/chart" uri="{C3380CC4-5D6E-409C-BE32-E72D297353CC}">
              <c16:uniqueId val="{00000007-0521-4999-AB86-D04C83038F0F}"/>
            </c:ext>
            <c:ext xmlns:c15="http://schemas.microsoft.com/office/drawing/2012/chart" uri="{02D57815-91ED-43cb-92C2-25804820EDAC}">
              <c15:datalabelsRange>
                <c15:f>'7enk'!$E$53:$H$53</c15:f>
                <c15:dlblRangeCache>
                  <c:ptCount val="4"/>
                  <c:pt idx="0">
                    <c:v>66%</c:v>
                  </c:pt>
                  <c:pt idx="1">
                    <c:v>20%</c:v>
                  </c:pt>
                  <c:pt idx="2">
                    <c:v>13%</c:v>
                  </c:pt>
                  <c:pt idx="3">
                    <c:v>2%</c:v>
                  </c:pt>
                </c15:dlblRangeCache>
              </c15:datalabelsRange>
            </c:ext>
          </c:extLst>
        </c:ser>
        <c:dLbls>
          <c:dLblPos val="outEnd"/>
          <c:showLegendKey val="0"/>
          <c:showVal val="1"/>
          <c:showCatName val="0"/>
          <c:showSerName val="0"/>
          <c:showPercent val="0"/>
          <c:showBubbleSize val="0"/>
        </c:dLbls>
        <c:gapWidth val="219"/>
        <c:overlap val="-27"/>
        <c:axId val="144960896"/>
        <c:axId val="144964992"/>
      </c:barChart>
      <c:catAx>
        <c:axId val="14496089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4964992"/>
        <c:crosses val="autoZero"/>
        <c:auto val="1"/>
        <c:lblAlgn val="ctr"/>
        <c:lblOffset val="100"/>
        <c:noMultiLvlLbl val="0"/>
      </c:catAx>
      <c:valAx>
        <c:axId val="144964992"/>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496089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energetinę klasę ir paskirtį (mln. m</a:t>
            </a:r>
            <a:r>
              <a:rPr lang="lt-LT" sz="900" baseline="30000"/>
              <a:t>2</a:t>
            </a:r>
            <a:r>
              <a:rPr lang="lt-LT" sz="900"/>
              <a:t>)</a:t>
            </a:r>
            <a:endParaRPr lang="en-US" sz="900"/>
          </a:p>
        </c:rich>
      </c:tx>
      <c:layout/>
      <c:overlay val="0"/>
      <c:spPr>
        <a:noFill/>
        <a:ln>
          <a:noFill/>
        </a:ln>
        <a:effectLst/>
      </c:spPr>
    </c:title>
    <c:autoTitleDeleted val="0"/>
    <c:plotArea>
      <c:layout/>
      <c:barChart>
        <c:barDir val="bar"/>
        <c:grouping val="stacked"/>
        <c:varyColors val="0"/>
        <c:ser>
          <c:idx val="0"/>
          <c:order val="0"/>
          <c:tx>
            <c:strRef>
              <c:f>'7enk'!$E$47</c:f>
              <c:strCache>
                <c:ptCount val="1"/>
                <c:pt idx="0">
                  <c:v>D/E/F/G</c:v>
                </c:pt>
              </c:strCache>
            </c:strRef>
          </c:tx>
          <c:spPr>
            <a:solidFill>
              <a:schemeClr val="bg1">
                <a:lumMod val="65000"/>
              </a:schemeClr>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7FB-4395-A109-4E46A42FA3B8}"/>
                </c:ext>
                <c:ext xmlns:c15="http://schemas.microsoft.com/office/drawing/2012/chart" uri="{CE6537A1-D6FC-4f65-9D91-7224C49458BB}"/>
              </c:extLst>
            </c:dLbl>
            <c:dLbl>
              <c:idx val="2"/>
              <c:layout>
                <c:manualLayout>
                  <c:x val="-5.0631812655171544E-17"/>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7FB-4395-A109-4E46A42FA3B8}"/>
                </c:ext>
                <c:ext xmlns:c15="http://schemas.microsoft.com/office/drawing/2012/chart" uri="{CE6537A1-D6FC-4f65-9D91-7224C49458BB}"/>
              </c:extLst>
            </c:dLbl>
            <c:dLbl>
              <c:idx val="3"/>
              <c:layout>
                <c:manualLayout>
                  <c:x val="0"/>
                  <c:y val="-5.87405262667282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'7enk'!$E$48:$E$51</c:f>
              <c:numCache>
                <c:formatCode>_(* #,##0_);_(* \(#,##0\);_(* "-"??_);_(@_)</c:formatCode>
                <c:ptCount val="4"/>
                <c:pt idx="0">
                  <c:v>23.673828</c:v>
                </c:pt>
                <c:pt idx="1">
                  <c:v>29.135252000000001</c:v>
                </c:pt>
                <c:pt idx="2">
                  <c:v>42.239184149999986</c:v>
                </c:pt>
                <c:pt idx="3">
                  <c:v>37.686936659999994</c:v>
                </c:pt>
              </c:numCache>
            </c:numRef>
          </c:val>
          <c:extLst xmlns:c16r2="http://schemas.microsoft.com/office/drawing/2015/06/chart">
            <c:ext xmlns:c16="http://schemas.microsoft.com/office/drawing/2014/chart" uri="{C3380CC4-5D6E-409C-BE32-E72D297353CC}">
              <c16:uniqueId val="{00000004-47FB-4395-A109-4E46A42FA3B8}"/>
            </c:ext>
          </c:extLst>
        </c:ser>
        <c:ser>
          <c:idx val="1"/>
          <c:order val="1"/>
          <c:tx>
            <c:strRef>
              <c:f>'7enk'!$F$47</c:f>
              <c:strCache>
                <c:ptCount val="1"/>
                <c:pt idx="0">
                  <c:v>C</c:v>
                </c:pt>
              </c:strCache>
            </c:strRef>
          </c:tx>
          <c:spPr>
            <a:solidFill>
              <a:srgbClr val="002060"/>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'7enk'!$F$48:$F$51</c:f>
              <c:numCache>
                <c:formatCode>_(* #,##0_);_(* \(#,##0\);_(* "-"??_);_(@_)</c:formatCode>
                <c:ptCount val="4"/>
                <c:pt idx="0">
                  <c:v>5.9327660000000018</c:v>
                </c:pt>
                <c:pt idx="1">
                  <c:v>1.9624739999999998</c:v>
                </c:pt>
                <c:pt idx="2">
                  <c:v>7.842653449999994</c:v>
                </c:pt>
                <c:pt idx="3">
                  <c:v>23.728465339999996</c:v>
                </c:pt>
              </c:numCache>
            </c:numRef>
          </c:val>
          <c:extLst xmlns:c16r2="http://schemas.microsoft.com/office/drawing/2015/06/chart">
            <c:ext xmlns:c16="http://schemas.microsoft.com/office/drawing/2014/chart" uri="{C3380CC4-5D6E-409C-BE32-E72D297353CC}">
              <c16:uniqueId val="{00000009-47FB-4395-A109-4E46A42FA3B8}"/>
            </c:ext>
          </c:extLst>
        </c:ser>
        <c:ser>
          <c:idx val="2"/>
          <c:order val="2"/>
          <c:tx>
            <c:strRef>
              <c:f>'7enk'!$G$47</c:f>
              <c:strCache>
                <c:ptCount val="1"/>
                <c:pt idx="0">
                  <c:v>B</c:v>
                </c:pt>
              </c:strCache>
            </c:strRef>
          </c:tx>
          <c:spPr>
            <a:solidFill>
              <a:srgbClr val="C00000"/>
            </a:solidFill>
            <a:ln>
              <a:solidFill>
                <a:schemeClr val="bg1"/>
              </a:solidFill>
            </a:ln>
            <a:effectLst/>
          </c:spPr>
          <c:invertIfNegative val="0"/>
          <c:dLbls>
            <c:dLbl>
              <c:idx val="0"/>
              <c:layout>
                <c:manualLayout>
                  <c:x val="0"/>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47FB-4395-A109-4E46A42FA3B8}"/>
                </c:ext>
                <c:ext xmlns:c15="http://schemas.microsoft.com/office/drawing/2012/chart" uri="{CE6537A1-D6FC-4f65-9D91-7224C49458BB}"/>
              </c:extLst>
            </c:dLbl>
            <c:dLbl>
              <c:idx val="1"/>
              <c:layout>
                <c:manualLayout>
                  <c:x val="-1.0126362531034309E-16"/>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'7enk'!$G$48:$G$51</c:f>
              <c:numCache>
                <c:formatCode>_(* #,##0_);_(* \(#,##0\);_(* "-"??_);_(@_)</c:formatCode>
                <c:ptCount val="4"/>
                <c:pt idx="0">
                  <c:v>6.4898449999999999</c:v>
                </c:pt>
                <c:pt idx="1">
                  <c:v>3.5337620000000003</c:v>
                </c:pt>
                <c:pt idx="2">
                  <c:v>8.6343204000000018</c:v>
                </c:pt>
                <c:pt idx="3">
                  <c:v>6.8662709999999993</c:v>
                </c:pt>
              </c:numCache>
            </c:numRef>
          </c:val>
          <c:extLst xmlns:c16r2="http://schemas.microsoft.com/office/drawing/2015/06/chart">
            <c:ext xmlns:c16="http://schemas.microsoft.com/office/drawing/2014/chart" uri="{C3380CC4-5D6E-409C-BE32-E72D297353CC}">
              <c16:uniqueId val="{0000000E-47FB-4395-A109-4E46A42FA3B8}"/>
            </c:ext>
          </c:extLst>
        </c:ser>
        <c:ser>
          <c:idx val="3"/>
          <c:order val="3"/>
          <c:tx>
            <c:strRef>
              <c:f>'7enk'!$H$47</c:f>
              <c:strCache>
                <c:ptCount val="1"/>
                <c:pt idx="0">
                  <c:v>A - A++</c:v>
                </c:pt>
              </c:strCache>
            </c:strRef>
          </c:tx>
          <c:spPr>
            <a:solidFill>
              <a:schemeClr val="accent1"/>
            </a:solidFill>
            <a:ln>
              <a:solidFill>
                <a:schemeClr val="bg1"/>
              </a:solidFill>
            </a:ln>
            <a:effectLst/>
          </c:spPr>
          <c:invertIfNegative val="0"/>
          <c:dLbls>
            <c:dLbl>
              <c:idx val="0"/>
              <c:layout>
                <c:manualLayout>
                  <c:x val="-1.0126362531034309E-16"/>
                  <c:y val="-5.932538663012049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47FB-4395-A109-4E46A42FA3B8}"/>
                </c:ext>
                <c:ext xmlns:c15="http://schemas.microsoft.com/office/drawing/2012/chart" uri="{CE6537A1-D6FC-4f65-9D91-7224C49458BB}"/>
              </c:extLst>
            </c:dLbl>
            <c:dLbl>
              <c:idx val="1"/>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47FB-4395-A109-4E46A42FA3B8}"/>
                </c:ext>
                <c:ext xmlns:c15="http://schemas.microsoft.com/office/drawing/2012/chart" uri="{CE6537A1-D6FC-4f65-9D91-7224C49458BB}"/>
              </c:extLst>
            </c:dLbl>
            <c:dLbl>
              <c:idx val="2"/>
              <c:layout>
                <c:manualLayout>
                  <c:x val="0"/>
                  <c:y val="-5.93253866301204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47FB-4395-A109-4E46A42FA3B8}"/>
                </c:ext>
                <c:ext xmlns:c15="http://schemas.microsoft.com/office/drawing/2012/chart" uri="{CE6537A1-D6FC-4f65-9D91-7224C49458BB}"/>
              </c:extLst>
            </c:dLbl>
            <c:dLbl>
              <c:idx val="3"/>
              <c:layout>
                <c:manualLayout>
                  <c:x val="0"/>
                  <c:y val="-5.9325386630120408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47FB-4395-A109-4E46A42FA3B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'7enk'!$D$48:$D$51</c:f>
              <c:strCache>
                <c:ptCount val="4"/>
                <c:pt idx="0">
                  <c:v>Kiti negyvenamieji</c:v>
                </c:pt>
                <c:pt idx="1">
                  <c:v>Pramonės</c:v>
                </c:pt>
                <c:pt idx="2">
                  <c:v>Daugiabučiai</c:v>
                </c:pt>
                <c:pt idx="3">
                  <c:v>Individualūs</c:v>
                </c:pt>
              </c:strCache>
            </c:strRef>
          </c:cat>
          <c:val>
            <c:numRef>
              <c:f>'7enk'!$H$48:$H$51</c:f>
              <c:numCache>
                <c:formatCode>_(* #,##0_);_(* \(#,##0\);_(* "-"??_);_(@_)</c:formatCode>
                <c:ptCount val="4"/>
                <c:pt idx="0">
                  <c:v>1.0839999999999999</c:v>
                </c:pt>
                <c:pt idx="1">
                  <c:v>0.85822200000000004</c:v>
                </c:pt>
                <c:pt idx="2">
                  <c:v>0.74741400000000002</c:v>
                </c:pt>
                <c:pt idx="3">
                  <c:v>1.2583279999999999</c:v>
                </c:pt>
              </c:numCache>
            </c:numRef>
          </c:val>
          <c:extLst xmlns:c16r2="http://schemas.microsoft.com/office/drawing/2015/06/chart">
            <c:ext xmlns:c16="http://schemas.microsoft.com/office/drawing/2014/chart" uri="{C3380CC4-5D6E-409C-BE32-E72D297353CC}">
              <c16:uniqueId val="{00000013-47FB-4395-A109-4E46A42FA3B8}"/>
            </c:ext>
          </c:extLst>
        </c:ser>
        <c:dLbls>
          <c:dLblPos val="ctr"/>
          <c:showLegendKey val="0"/>
          <c:showVal val="1"/>
          <c:showCatName val="0"/>
          <c:showSerName val="0"/>
          <c:showPercent val="0"/>
          <c:showBubbleSize val="0"/>
        </c:dLbls>
        <c:gapWidth val="150"/>
        <c:overlap val="100"/>
        <c:axId val="152723456"/>
        <c:axId val="152724992"/>
      </c:barChart>
      <c:catAx>
        <c:axId val="15272345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724992"/>
        <c:crosses val="autoZero"/>
        <c:auto val="1"/>
        <c:lblAlgn val="ctr"/>
        <c:lblOffset val="100"/>
        <c:noMultiLvlLbl val="0"/>
      </c:catAx>
      <c:valAx>
        <c:axId val="152724992"/>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527234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en-US" sz="900" b="1"/>
              <a:t>≤</a:t>
            </a:r>
            <a:r>
              <a:rPr lang="lt-LT" sz="900" b="1"/>
              <a:t>D energinio naudingumo klasė</a:t>
            </a:r>
            <a:endParaRPr lang="en-US" sz="900" b="1"/>
          </a:p>
        </c:rich>
      </c:tx>
      <c:layout/>
      <c:overlay val="0"/>
      <c:spPr>
        <a:noFill/>
        <a:ln>
          <a:noFill/>
        </a:ln>
        <a:effectLst/>
      </c:spPr>
    </c:title>
    <c:autoTitleDeleted val="0"/>
    <c:plotArea>
      <c:layout/>
      <c:barChart>
        <c:barDir val="col"/>
        <c:grouping val="clustered"/>
        <c:varyColors val="0"/>
        <c:ser>
          <c:idx val="0"/>
          <c:order val="0"/>
          <c:spPr>
            <a:solidFill>
              <a:schemeClr val="bg1">
                <a:lumMod val="50000"/>
              </a:schemeClr>
            </a:solidFill>
            <a:ln>
              <a:noFill/>
            </a:ln>
            <a:effectLst/>
          </c:spPr>
          <c:invertIfNegative val="0"/>
          <c:dLbls>
            <c:dLbl>
              <c:idx val="2"/>
              <c:layout>
                <c:manualLayout>
                  <c:x val="0"/>
                  <c:y val="0.1086671193750550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441-48E8-BFBE-6DF66D4248DC}"/>
                </c:ext>
                <c:ext xmlns:c15="http://schemas.microsoft.com/office/drawing/2012/chart" uri="{CE6537A1-D6FC-4f65-9D91-7224C49458BB}"/>
              </c:extLst>
            </c:dLbl>
            <c:numFmt formatCode="#,##0" sourceLinked="0"/>
            <c:spPr>
              <a:noFill/>
              <a:ln>
                <a:noFill/>
              </a:ln>
              <a:effectLst/>
            </c:spPr>
            <c:txPr>
              <a:bodyPr rot="0" spcFirstLastPara="1" vertOverflow="ellipsis" vert="horz" wrap="square" anchor="ctr" anchorCtr="1"/>
              <a:lstStyle/>
              <a:p>
                <a:pPr>
                  <a:defRPr sz="800" b="0" i="0" u="none" strike="noStrike" kern="1200" baseline="0">
                    <a:solidFill>
                      <a:schemeClr val="bg2"/>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Sheet3!$AE$36:$AG$36</c:f>
              <c:strCache>
                <c:ptCount val="3"/>
                <c:pt idx="0">
                  <c:v>Šildymas</c:v>
                </c:pt>
                <c:pt idx="1">
                  <c:v>Karštas vanuo</c:v>
                </c:pt>
                <c:pt idx="2">
                  <c:v>Elektra</c:v>
                </c:pt>
              </c:strCache>
            </c:strRef>
          </c:cat>
          <c:val>
            <c:numRef>
              <c:f>Sheet3!$AE$37:$AG$37</c:f>
              <c:numCache>
                <c:formatCode>#\.##0;\-#\.##0;\-</c:formatCode>
                <c:ptCount val="3"/>
                <c:pt idx="0">
                  <c:v>106.80804285730738</c:v>
                </c:pt>
                <c:pt idx="1">
                  <c:v>70.81</c:v>
                </c:pt>
                <c:pt idx="2">
                  <c:v>20.6</c:v>
                </c:pt>
              </c:numCache>
            </c:numRef>
          </c:val>
          <c:extLst xmlns:c16r2="http://schemas.microsoft.com/office/drawing/2015/06/chart">
            <c:ext xmlns:c16="http://schemas.microsoft.com/office/drawing/2014/chart" uri="{C3380CC4-5D6E-409C-BE32-E72D297353CC}">
              <c16:uniqueId val="{00000000-725D-41B3-A26F-2349F8E0AAFE}"/>
            </c:ext>
          </c:extLst>
        </c:ser>
        <c:ser>
          <c:idx val="1"/>
          <c:order val="1"/>
          <c:spPr>
            <a:noFill/>
            <a:ln>
              <a:noFill/>
            </a:ln>
            <a:effectLst/>
          </c:spPr>
          <c:invertIfNegative val="0"/>
          <c:cat>
            <c:strRef>
              <c:f>Sheet3!$AE$36:$AG$36</c:f>
              <c:strCache>
                <c:ptCount val="3"/>
                <c:pt idx="0">
                  <c:v>Šildymas</c:v>
                </c:pt>
                <c:pt idx="1">
                  <c:v>Karštas vanuo</c:v>
                </c:pt>
                <c:pt idx="2">
                  <c:v>Elektra</c:v>
                </c:pt>
              </c:strCache>
            </c:strRef>
          </c:cat>
          <c:val>
            <c:numRef>
              <c:f>Sheet3!$AE$38:$AG$38</c:f>
              <c:numCache>
                <c:formatCode>#\.##0;\-#\.##0;\-</c:formatCode>
                <c:ptCount val="3"/>
                <c:pt idx="0">
                  <c:v>106.80804285730738</c:v>
                </c:pt>
                <c:pt idx="1">
                  <c:v>70.81</c:v>
                </c:pt>
                <c:pt idx="2">
                  <c:v>20.6</c:v>
                </c:pt>
              </c:numCache>
            </c:numRef>
          </c:val>
          <c:extLst xmlns:c16r2="http://schemas.microsoft.com/office/drawing/2015/06/chart">
            <c:ext xmlns:c16="http://schemas.microsoft.com/office/drawing/2014/chart" uri="{C3380CC4-5D6E-409C-BE32-E72D297353CC}">
              <c16:uniqueId val="{00000004-725D-41B3-A26F-2349F8E0AAFE}"/>
            </c:ext>
            <c:ext xmlns:c15="http://schemas.microsoft.com/office/drawing/2012/chart" uri="{02D57815-91ED-43cb-92C2-25804820EDAC}">
              <c15:datalabelsRange>
                <c15:f>Sheet3!$AE$39:$AG$39</c15:f>
                <c15:dlblRangeCache>
                  <c:ptCount val="3"/>
                  <c:pt idx="0">
                    <c:v>54%</c:v>
                  </c:pt>
                  <c:pt idx="1">
                    <c:v>36%</c:v>
                  </c:pt>
                  <c:pt idx="2">
                    <c:v>10%</c:v>
                  </c:pt>
                </c15:dlblRangeCache>
              </c15:datalabelsRange>
            </c:ext>
          </c:extLst>
        </c:ser>
        <c:dLbls>
          <c:showLegendKey val="0"/>
          <c:showVal val="0"/>
          <c:showCatName val="0"/>
          <c:showSerName val="0"/>
          <c:showPercent val="0"/>
          <c:showBubbleSize val="0"/>
        </c:dLbls>
        <c:gapWidth val="50"/>
        <c:overlap val="100"/>
        <c:axId val="152761088"/>
        <c:axId val="152762624"/>
      </c:barChart>
      <c:catAx>
        <c:axId val="15276108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762624"/>
        <c:crosses val="autoZero"/>
        <c:auto val="1"/>
        <c:lblAlgn val="ctr"/>
        <c:lblOffset val="100"/>
        <c:noMultiLvlLbl val="0"/>
      </c:catAx>
      <c:valAx>
        <c:axId val="152762624"/>
        <c:scaling>
          <c:orientation val="minMax"/>
          <c:max val="14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r>
                  <a:rPr lang="lt-LT" sz="800" b="1"/>
                  <a:t>kWh/m</a:t>
                </a:r>
                <a:r>
                  <a:rPr lang="lt-LT" sz="800" b="1" baseline="30000"/>
                  <a:t>2</a:t>
                </a:r>
                <a:r>
                  <a:rPr lang="lt-LT" sz="800" b="1"/>
                  <a:t>/metus</a:t>
                </a:r>
                <a:endParaRPr lang="en-US" sz="800" b="1"/>
              </a:p>
            </c:rich>
          </c:tx>
          <c:layout>
            <c:manualLayout>
              <c:xMode val="edge"/>
              <c:yMode val="edge"/>
              <c:x val="3.2942145357216387E-2"/>
              <c:y val="0.32948738550538326"/>
            </c:manualLayout>
          </c:layout>
          <c:overlay val="0"/>
          <c:spPr>
            <a:noFill/>
            <a:ln>
              <a:noFill/>
            </a:ln>
            <a:effectLst/>
          </c:sp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2761088"/>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9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A++ energinio naudingumo klasė</a:t>
            </a:r>
            <a:endParaRPr lang="en-US" sz="900" b="1"/>
          </a:p>
        </c:rich>
      </c:tx>
      <c:layout/>
      <c:overlay val="0"/>
      <c:spPr>
        <a:noFill/>
        <a:ln>
          <a:noFill/>
        </a:ln>
        <a:effectLst/>
      </c:spPr>
    </c:title>
    <c:autoTitleDeleted val="0"/>
    <c:plotArea>
      <c:layout>
        <c:manualLayout>
          <c:layoutTarget val="inner"/>
          <c:xMode val="edge"/>
          <c:yMode val="edge"/>
          <c:x val="0.17673518406063093"/>
          <c:y val="0.20408163265306123"/>
          <c:w val="0.77986647080575522"/>
          <c:h val="0.65121790651744571"/>
        </c:manualLayout>
      </c:layout>
      <c:barChart>
        <c:barDir val="col"/>
        <c:grouping val="clustered"/>
        <c:varyColors val="0"/>
        <c:ser>
          <c:idx val="0"/>
          <c:order val="0"/>
          <c:spPr>
            <a:solidFill>
              <a:schemeClr val="bg1">
                <a:lumMod val="50000"/>
              </a:schemeClr>
            </a:solidFill>
            <a:ln>
              <a:noFill/>
            </a:ln>
            <a:effectLst/>
          </c:spPr>
          <c:invertIfNegative val="0"/>
          <c:dLbls>
            <c:dLbl>
              <c:idx val="0"/>
              <c:layout>
                <c:manualLayout>
                  <c:x val="0"/>
                  <c:y val="0.10784343201339452"/>
                </c:manualLayout>
              </c:layout>
              <c:dLblPos val="outEnd"/>
              <c:showLegendKey val="0"/>
              <c:showVal val="1"/>
              <c:showCatName val="0"/>
              <c:showSerName val="0"/>
              <c:showPercent val="0"/>
              <c:showBubbleSize val="0"/>
              <c:separator> </c:separator>
              <c:extLst xmlns:c16r2="http://schemas.microsoft.com/office/drawing/2015/06/chart">
                <c:ext xmlns:c16="http://schemas.microsoft.com/office/drawing/2014/chart" uri="{C3380CC4-5D6E-409C-BE32-E72D297353CC}">
                  <c16:uniqueId val="{00000000-1CBB-4E9D-82C5-C35526A9BE0D}"/>
                </c:ext>
                <c:ext xmlns:c15="http://schemas.microsoft.com/office/drawing/2012/chart" uri="{CE6537A1-D6FC-4f65-9D91-7224C49458BB}">
                  <c15:dlblFieldTable/>
                  <c15:showDataLabelsRange val="1"/>
                </c:ext>
              </c:extLst>
            </c:dLbl>
            <c:dLbl>
              <c:idx val="1"/>
              <c:layout>
                <c:manualLayout>
                  <c:x val="0"/>
                  <c:y val="0.23973008558262016"/>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878-4C1C-9449-00FE2BCB845E}"/>
                </c:ext>
                <c:ext xmlns:c15="http://schemas.microsoft.com/office/drawing/2012/chart" uri="{CE6537A1-D6FC-4f65-9D91-7224C49458BB}">
                  <c15:layout>
                    <c:manualLayout>
                      <c:w val="9.6919600905121667E-2"/>
                      <c:h val="0.44812376563528633"/>
                    </c:manualLayout>
                  </c15:layout>
                  <c15:dlblFieldTable/>
                  <c15:showDataLabelsRange val="1"/>
                </c:ext>
              </c:extLst>
            </c:dLbl>
            <c:dLbl>
              <c:idx val="2"/>
              <c:layout>
                <c:manualLayout>
                  <c:x val="-1.579760581434622E-16"/>
                  <c:y val="0.1220083664657125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120-49CE-9D33-F344CA23D31F}"/>
                </c:ex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'15'!$W$4:$Y$4</c:f>
              <c:strCache>
                <c:ptCount val="3"/>
                <c:pt idx="0">
                  <c:v>Šildymas</c:v>
                </c:pt>
                <c:pt idx="1">
                  <c:v>Karštas vanduo</c:v>
                </c:pt>
                <c:pt idx="2">
                  <c:v>Elektra</c:v>
                </c:pt>
              </c:strCache>
            </c:strRef>
          </c:cat>
          <c:val>
            <c:numRef>
              <c:f>'15'!$W$5:$Y$5</c:f>
              <c:numCache>
                <c:formatCode>0</c:formatCode>
                <c:ptCount val="3"/>
                <c:pt idx="0">
                  <c:v>15.0052820353923</c:v>
                </c:pt>
                <c:pt idx="1">
                  <c:v>49.309999999999995</c:v>
                </c:pt>
                <c:pt idx="2">
                  <c:v>24.700000000000003</c:v>
                </c:pt>
              </c:numCache>
            </c:numRef>
          </c:val>
          <c:extLst xmlns:c16r2="http://schemas.microsoft.com/office/drawing/2015/06/chart">
            <c:ext xmlns:c16="http://schemas.microsoft.com/office/drawing/2014/chart" uri="{C3380CC4-5D6E-409C-BE32-E72D297353CC}">
              <c16:uniqueId val="{00000003-5120-49CE-9D33-F344CA23D31F}"/>
            </c:ext>
            <c:ext xmlns:c15="http://schemas.microsoft.com/office/drawing/2012/chart" uri="{02D57815-91ED-43cb-92C2-25804820EDAC}">
              <c15:datalabelsRange>
                <c15:f>'15'!$W$6:$Y$6</c15:f>
                <c15:dlblRangeCache>
                  <c:ptCount val="3"/>
                  <c:pt idx="0">
                    <c:v>17%</c:v>
                  </c:pt>
                  <c:pt idx="1">
                    <c:v>55%</c:v>
                  </c:pt>
                  <c:pt idx="2">
                    <c:v>28%</c:v>
                  </c:pt>
                </c15:dlblRangeCache>
              </c15:datalabelsRange>
            </c:ext>
          </c:extLst>
        </c:ser>
        <c:dLbls>
          <c:dLblPos val="outEnd"/>
          <c:showLegendKey val="0"/>
          <c:showVal val="1"/>
          <c:showCatName val="0"/>
          <c:showSerName val="0"/>
          <c:showPercent val="0"/>
          <c:showBubbleSize val="0"/>
        </c:dLbls>
        <c:gapWidth val="50"/>
        <c:overlap val="-27"/>
        <c:axId val="155014656"/>
        <c:axId val="155024768"/>
      </c:barChart>
      <c:catAx>
        <c:axId val="15501465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024768"/>
        <c:crosses val="autoZero"/>
        <c:auto val="1"/>
        <c:lblAlgn val="ctr"/>
        <c:lblOffset val="100"/>
        <c:noMultiLvlLbl val="0"/>
      </c:catAx>
      <c:valAx>
        <c:axId val="155024768"/>
        <c:scaling>
          <c:orientation val="minMax"/>
          <c:max val="140"/>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r>
                  <a:rPr lang="lt-LT" b="1"/>
                  <a:t>kWh/m</a:t>
                </a:r>
                <a:r>
                  <a:rPr lang="lt-LT" b="1" baseline="30000"/>
                  <a:t>2</a:t>
                </a:r>
                <a:r>
                  <a:rPr lang="lt-LT" b="1"/>
                  <a:t>/metus</a:t>
                </a:r>
              </a:p>
            </c:rich>
          </c:tx>
          <c:layout>
            <c:manualLayout>
              <c:xMode val="edge"/>
              <c:yMode val="edge"/>
              <c:x val="2.5829553511756743E-2"/>
              <c:y val="0.32325504242845221"/>
            </c:manualLayout>
          </c:layout>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5014656"/>
        <c:crosses val="autoZero"/>
        <c:crossBetween val="between"/>
      </c:valAx>
      <c:spPr>
        <a:noFill/>
        <a:ln>
          <a:solidFill>
            <a:schemeClr val="tx1"/>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Šiluminės energijos vartojimas, GWh/metus</a:t>
            </a:r>
          </a:p>
        </c:rich>
      </c:tx>
      <c:layout/>
      <c:overlay val="0"/>
      <c:spPr>
        <a:noFill/>
        <a:ln>
          <a:noFill/>
        </a:ln>
        <a:effectLst/>
      </c:spPr>
    </c:title>
    <c:autoTitleDeleted val="0"/>
    <c:plotArea>
      <c:layout>
        <c:manualLayout>
          <c:layoutTarget val="inner"/>
          <c:xMode val="edge"/>
          <c:yMode val="edge"/>
          <c:x val="0.28196543862674101"/>
          <c:y val="0.18762343647136273"/>
          <c:w val="0.3914624723004515"/>
          <c:h val="0.63551445470237877"/>
        </c:manualLayout>
      </c:layout>
      <c:pieChart>
        <c:varyColors val="1"/>
        <c:ser>
          <c:idx val="0"/>
          <c:order val="0"/>
          <c:spPr>
            <a:solidFill>
              <a:schemeClr val="bg1">
                <a:lumMod val="65000"/>
              </a:schemeClr>
            </a:solidFill>
            <a:ln w="9525"/>
          </c:spPr>
          <c:dPt>
            <c:idx val="0"/>
            <c:bubble3D val="0"/>
            <c:spPr>
              <a:solidFill>
                <a:schemeClr val="bg1">
                  <a:lumMod val="65000"/>
                </a:schemeClr>
              </a:solidFill>
              <a:ln w="9525">
                <a:solidFill>
                  <a:schemeClr val="lt1"/>
                </a:solidFill>
              </a:ln>
              <a:effectLst/>
            </c:spPr>
            <c:extLst xmlns:c16r2="http://schemas.microsoft.com/office/drawing/2015/06/chart">
              <c:ext xmlns:c16="http://schemas.microsoft.com/office/drawing/2014/chart" uri="{C3380CC4-5D6E-409C-BE32-E72D297353CC}">
                <c16:uniqueId val="{00000001-21B0-4180-894D-9FF115EC6434}"/>
              </c:ext>
            </c:extLst>
          </c:dPt>
          <c:dPt>
            <c:idx val="1"/>
            <c:bubble3D val="0"/>
            <c:spPr>
              <a:solidFill>
                <a:srgbClr val="002060"/>
              </a:solidFill>
              <a:ln w="9525">
                <a:solidFill>
                  <a:schemeClr val="lt1"/>
                </a:solidFill>
              </a:ln>
              <a:effectLst/>
            </c:spPr>
            <c:extLst xmlns:c16r2="http://schemas.microsoft.com/office/drawing/2015/06/chart">
              <c:ext xmlns:c16="http://schemas.microsoft.com/office/drawing/2014/chart" uri="{C3380CC4-5D6E-409C-BE32-E72D297353CC}">
                <c16:uniqueId val="{00000003-21B0-4180-894D-9FF115EC6434}"/>
              </c:ext>
            </c:extLst>
          </c:dPt>
          <c:dLbls>
            <c:dLbl>
              <c:idx val="1"/>
              <c:layout/>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dLblPos val="in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in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Sheet1!$C$26:$D$26</c:f>
              <c:strCache>
                <c:ptCount val="2"/>
                <c:pt idx="0">
                  <c:v>Šilumai</c:v>
                </c:pt>
                <c:pt idx="1">
                  <c:v>Karštam vandeniui</c:v>
                </c:pt>
              </c:strCache>
            </c:strRef>
          </c:cat>
          <c:val>
            <c:numRef>
              <c:f>Sheet1!$C$31:$D$31</c:f>
              <c:numCache>
                <c:formatCode>#,##0</c:formatCode>
                <c:ptCount val="2"/>
                <c:pt idx="0">
                  <c:v>20143</c:v>
                </c:pt>
                <c:pt idx="1">
                  <c:v>8491</c:v>
                </c:pt>
              </c:numCache>
            </c:numRef>
          </c:val>
          <c:extLst xmlns:c16r2="http://schemas.microsoft.com/office/drawing/2015/06/chart">
            <c:ext xmlns:c16="http://schemas.microsoft.com/office/drawing/2014/chart" uri="{C3380CC4-5D6E-409C-BE32-E72D297353CC}">
              <c16:uniqueId val="{00000004-21B0-4180-894D-9FF115EC6434}"/>
            </c:ext>
            <c:ext xmlns:c15="http://schemas.microsoft.com/office/drawing/2012/chart" uri="{02D57815-91ED-43cb-92C2-25804820EDAC}">
              <c15:datalabelsRange>
                <c15:f>Sheet1!$F$31:$G$31</c15:f>
                <c15:dlblRangeCache>
                  <c:ptCount val="2"/>
                  <c:pt idx="0">
                    <c:v>70%</c:v>
                  </c:pt>
                  <c:pt idx="1">
                    <c:v>30%</c:v>
                  </c:pt>
                </c15:dlblRangeCache>
              </c15:datalabelsRange>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Šiluminės energijos vartojimas, GWh/metus</a:t>
            </a:r>
          </a:p>
        </c:rich>
      </c:tx>
      <c:layout/>
      <c:overlay val="0"/>
      <c:spPr>
        <a:noFill/>
        <a:ln>
          <a:noFill/>
        </a:ln>
        <a:effectLst/>
      </c:spPr>
    </c:title>
    <c:autoTitleDeleted val="0"/>
    <c:plotArea>
      <c:layout/>
      <c:barChart>
        <c:barDir val="col"/>
        <c:grouping val="stacked"/>
        <c:varyColors val="0"/>
        <c:ser>
          <c:idx val="0"/>
          <c:order val="0"/>
          <c:tx>
            <c:strRef>
              <c:f>Sheet1!$C$26</c:f>
              <c:strCache>
                <c:ptCount val="1"/>
                <c:pt idx="0">
                  <c:v>Šilumai</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Sheet1!$B$27:$B$30</c:f>
              <c:strCache>
                <c:ptCount val="4"/>
                <c:pt idx="0">
                  <c:v>IND</c:v>
                </c:pt>
                <c:pt idx="1">
                  <c:v>DGB</c:v>
                </c:pt>
                <c:pt idx="2">
                  <c:v>PRA</c:v>
                </c:pt>
                <c:pt idx="3">
                  <c:v>NEG</c:v>
                </c:pt>
              </c:strCache>
            </c:strRef>
          </c:cat>
          <c:val>
            <c:numRef>
              <c:f>Sheet1!$C$27:$C$30</c:f>
              <c:numCache>
                <c:formatCode>#,##0</c:formatCode>
                <c:ptCount val="4"/>
                <c:pt idx="0">
                  <c:v>9089</c:v>
                </c:pt>
                <c:pt idx="1">
                  <c:v>4384</c:v>
                </c:pt>
                <c:pt idx="2">
                  <c:v>3784</c:v>
                </c:pt>
                <c:pt idx="3" formatCode="General">
                  <c:v>2886</c:v>
                </c:pt>
              </c:numCache>
            </c:numRef>
          </c:val>
          <c:extLst xmlns:c16r2="http://schemas.microsoft.com/office/drawing/2015/06/chart">
            <c:ext xmlns:c16="http://schemas.microsoft.com/office/drawing/2014/chart" uri="{C3380CC4-5D6E-409C-BE32-E72D297353CC}">
              <c16:uniqueId val="{00000004-ACD8-4E5E-8F12-AE9A47E254AD}"/>
            </c:ext>
            <c:ext xmlns:c15="http://schemas.microsoft.com/office/drawing/2012/chart" uri="{02D57815-91ED-43cb-92C2-25804820EDAC}">
              <c15:datalabelsRange>
                <c15:f>Sheet1!$F$27:$F$30</c15:f>
                <c15:dlblRangeCache>
                  <c:ptCount val="4"/>
                  <c:pt idx="0">
                    <c:v>91%</c:v>
                  </c:pt>
                  <c:pt idx="1">
                    <c:v>59%</c:v>
                  </c:pt>
                  <c:pt idx="2">
                    <c:v>70%</c:v>
                  </c:pt>
                  <c:pt idx="3">
                    <c:v>50%</c:v>
                  </c:pt>
                </c15:dlblRangeCache>
              </c15:datalabelsRange>
            </c:ext>
          </c:extLst>
        </c:ser>
        <c:ser>
          <c:idx val="1"/>
          <c:order val="1"/>
          <c:tx>
            <c:strRef>
              <c:f>Sheet1!$D$26</c:f>
              <c:strCache>
                <c:ptCount val="1"/>
                <c:pt idx="0">
                  <c:v>Karštam vandeniui</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Sheet1!$B$27:$B$30</c:f>
              <c:strCache>
                <c:ptCount val="4"/>
                <c:pt idx="0">
                  <c:v>IND</c:v>
                </c:pt>
                <c:pt idx="1">
                  <c:v>DGB</c:v>
                </c:pt>
                <c:pt idx="2">
                  <c:v>PRA</c:v>
                </c:pt>
                <c:pt idx="3">
                  <c:v>NEG</c:v>
                </c:pt>
              </c:strCache>
            </c:strRef>
          </c:cat>
          <c:val>
            <c:numRef>
              <c:f>Sheet1!$D$27:$D$30</c:f>
              <c:numCache>
                <c:formatCode>#,##0</c:formatCode>
                <c:ptCount val="4"/>
                <c:pt idx="0">
                  <c:v>908</c:v>
                </c:pt>
                <c:pt idx="1">
                  <c:v>3076</c:v>
                </c:pt>
                <c:pt idx="2">
                  <c:v>1645</c:v>
                </c:pt>
                <c:pt idx="3" formatCode="General">
                  <c:v>2862</c:v>
                </c:pt>
              </c:numCache>
            </c:numRef>
          </c:val>
          <c:extLst xmlns:c16r2="http://schemas.microsoft.com/office/drawing/2015/06/chart">
            <c:ext xmlns:c16="http://schemas.microsoft.com/office/drawing/2014/chart" uri="{C3380CC4-5D6E-409C-BE32-E72D297353CC}">
              <c16:uniqueId val="{00000009-ACD8-4E5E-8F12-AE9A47E254AD}"/>
            </c:ext>
            <c:ext xmlns:c15="http://schemas.microsoft.com/office/drawing/2012/chart" uri="{02D57815-91ED-43cb-92C2-25804820EDAC}">
              <c15:datalabelsRange>
                <c15:f>Sheet1!$G$27:$G$30</c15:f>
                <c15:dlblRangeCache>
                  <c:ptCount val="4"/>
                  <c:pt idx="0">
                    <c:v>9%</c:v>
                  </c:pt>
                  <c:pt idx="1">
                    <c:v>41%</c:v>
                  </c:pt>
                  <c:pt idx="2">
                    <c:v>30%</c:v>
                  </c:pt>
                  <c:pt idx="3">
                    <c:v>50%</c:v>
                  </c:pt>
                </c15:dlblRangeCache>
              </c15:datalabelsRange>
            </c:ext>
          </c:extLst>
        </c:ser>
        <c:dLbls>
          <c:showLegendKey val="0"/>
          <c:showVal val="0"/>
          <c:showCatName val="0"/>
          <c:showSerName val="0"/>
          <c:showPercent val="0"/>
          <c:showBubbleSize val="0"/>
        </c:dLbls>
        <c:gapWidth val="150"/>
        <c:overlap val="100"/>
        <c:axId val="157219840"/>
        <c:axId val="158159616"/>
      </c:barChart>
      <c:lineChart>
        <c:grouping val="standard"/>
        <c:varyColors val="0"/>
        <c:ser>
          <c:idx val="2"/>
          <c:order val="2"/>
          <c:tx>
            <c:strRef>
              <c:f>Sheet1!$E$26</c:f>
              <c:strCache>
                <c:ptCount val="1"/>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Sheet1!$B$27:$B$30</c:f>
              <c:strCache>
                <c:ptCount val="4"/>
                <c:pt idx="0">
                  <c:v>IND</c:v>
                </c:pt>
                <c:pt idx="1">
                  <c:v>DGB</c:v>
                </c:pt>
                <c:pt idx="2">
                  <c:v>PRA</c:v>
                </c:pt>
                <c:pt idx="3">
                  <c:v>NEG</c:v>
                </c:pt>
              </c:strCache>
            </c:strRef>
          </c:cat>
          <c:val>
            <c:numRef>
              <c:f>Sheet1!$E$27:$E$30</c:f>
              <c:numCache>
                <c:formatCode>#,##0</c:formatCode>
                <c:ptCount val="4"/>
                <c:pt idx="0">
                  <c:v>9997</c:v>
                </c:pt>
                <c:pt idx="1">
                  <c:v>7460</c:v>
                </c:pt>
                <c:pt idx="2">
                  <c:v>5429</c:v>
                </c:pt>
                <c:pt idx="3">
                  <c:v>5748</c:v>
                </c:pt>
              </c:numCache>
            </c:numRef>
          </c:val>
          <c:smooth val="0"/>
          <c:extLst xmlns:c16r2="http://schemas.microsoft.com/office/drawing/2015/06/chart">
            <c:ext xmlns:c16="http://schemas.microsoft.com/office/drawing/2014/chart" uri="{C3380CC4-5D6E-409C-BE32-E72D297353CC}">
              <c16:uniqueId val="{0000000A-ACD8-4E5E-8F12-AE9A47E254AD}"/>
            </c:ext>
          </c:extLst>
        </c:ser>
        <c:dLbls>
          <c:showLegendKey val="0"/>
          <c:showVal val="0"/>
          <c:showCatName val="0"/>
          <c:showSerName val="0"/>
          <c:showPercent val="0"/>
          <c:showBubbleSize val="0"/>
        </c:dLbls>
        <c:marker val="1"/>
        <c:smooth val="0"/>
        <c:axId val="157219840"/>
        <c:axId val="158159616"/>
      </c:lineChart>
      <c:catAx>
        <c:axId val="157219840"/>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159616"/>
        <c:crosses val="autoZero"/>
        <c:auto val="1"/>
        <c:lblAlgn val="ctr"/>
        <c:lblOffset val="100"/>
        <c:noMultiLvlLbl val="0"/>
      </c:catAx>
      <c:valAx>
        <c:axId val="158159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72198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Patiektos energijos vartojimas, GWh/metus</a:t>
            </a:r>
          </a:p>
        </c:rich>
      </c:tx>
      <c:layout/>
      <c:overlay val="0"/>
      <c:spPr>
        <a:noFill/>
        <a:ln>
          <a:noFill/>
        </a:ln>
        <a:effectLst/>
      </c:spPr>
    </c:title>
    <c:autoTitleDeleted val="0"/>
    <c:plotArea>
      <c:layout>
        <c:manualLayout>
          <c:layoutTarget val="inner"/>
          <c:xMode val="edge"/>
          <c:yMode val="edge"/>
          <c:x val="0.33829905557609202"/>
          <c:y val="0.28535816663470059"/>
          <c:w val="0.3483291842362663"/>
          <c:h val="0.55196072841125277"/>
        </c:manualLayout>
      </c:layout>
      <c:pieChart>
        <c:varyColors val="1"/>
        <c:ser>
          <c:idx val="0"/>
          <c:order val="0"/>
          <c:dPt>
            <c:idx val="0"/>
            <c:bubble3D val="0"/>
            <c:spPr>
              <a:solidFill>
                <a:schemeClr val="bg1">
                  <a:lumMod val="6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3E3-463D-BB49-C0CF6D5CDE5B}"/>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E3E3-463D-BB49-C0CF6D5CDE5B}"/>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E3E3-463D-BB49-C0CF6D5CDE5B}"/>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showDataLabelsRange val="1"/>
              </c:ext>
            </c:extLst>
          </c:dLbls>
          <c:cat>
            <c:strRef>
              <c:f>Sheet1!$AH$15:$AJ$15</c:f>
              <c:strCache>
                <c:ptCount val="3"/>
                <c:pt idx="0">
                  <c:v>Šiluma</c:v>
                </c:pt>
                <c:pt idx="1">
                  <c:v>KV</c:v>
                </c:pt>
                <c:pt idx="2">
                  <c:v>Elektra</c:v>
                </c:pt>
              </c:strCache>
            </c:strRef>
          </c:cat>
          <c:val>
            <c:numRef>
              <c:f>Sheet1!$AH$20:$AJ$20</c:f>
              <c:numCache>
                <c:formatCode>#,##0</c:formatCode>
                <c:ptCount val="3"/>
                <c:pt idx="0">
                  <c:v>20143</c:v>
                </c:pt>
                <c:pt idx="1">
                  <c:v>8491</c:v>
                </c:pt>
                <c:pt idx="2">
                  <c:v>2548</c:v>
                </c:pt>
              </c:numCache>
            </c:numRef>
          </c:val>
          <c:extLst xmlns:c16r2="http://schemas.microsoft.com/office/drawing/2015/06/chart">
            <c:ext xmlns:c15="http://schemas.microsoft.com/office/drawing/2012/chart" uri="{02D57815-91ED-43cb-92C2-25804820EDAC}">
              <c15:datalabelsRange>
                <c15:f>Sheet1!$AH$21:$AJ$21</c15:f>
                <c15:dlblRangeCache>
                  <c:ptCount val="3"/>
                  <c:pt idx="0">
                    <c:v>65%</c:v>
                  </c:pt>
                  <c:pt idx="1">
                    <c:v>27%</c:v>
                  </c:pt>
                  <c:pt idx="2">
                    <c:v>8%</c:v>
                  </c:pt>
                </c15:dlblRangeCache>
              </c15:datalabelsRange>
            </c:ext>
            <c:ext xmlns:c16="http://schemas.microsoft.com/office/drawing/2014/chart" uri="{C3380CC4-5D6E-409C-BE32-E72D297353CC}">
              <c16:uniqueId val="{00000006-E3E3-463D-BB49-C0CF6D5CDE5B}"/>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b="1"/>
              <a:t>Patiektos energijos vartojimas, GWh/metus</a:t>
            </a:r>
          </a:p>
        </c:rich>
      </c:tx>
      <c:layout/>
      <c:overlay val="0"/>
      <c:spPr>
        <a:noFill/>
        <a:ln>
          <a:noFill/>
        </a:ln>
        <a:effectLst/>
      </c:spPr>
    </c:title>
    <c:autoTitleDeleted val="0"/>
    <c:plotArea>
      <c:layout/>
      <c:barChart>
        <c:barDir val="bar"/>
        <c:grouping val="stacked"/>
        <c:varyColors val="0"/>
        <c:ser>
          <c:idx val="0"/>
          <c:order val="0"/>
          <c:tx>
            <c:strRef>
              <c:f>Sheet1!$AH$10</c:f>
              <c:strCache>
                <c:ptCount val="1"/>
                <c:pt idx="0">
                  <c:v>Šiluma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Sheet1!$AH$16:$AH$19</c:f>
              <c:numCache>
                <c:formatCode>General</c:formatCode>
                <c:ptCount val="4"/>
                <c:pt idx="0" formatCode="#,##0">
                  <c:v>2886</c:v>
                </c:pt>
                <c:pt idx="1">
                  <c:v>3784</c:v>
                </c:pt>
                <c:pt idx="2">
                  <c:v>4384</c:v>
                </c:pt>
                <c:pt idx="3" formatCode="#,##0">
                  <c:v>9089</c:v>
                </c:pt>
              </c:numCache>
            </c:numRef>
          </c:val>
          <c:extLst xmlns:c16r2="http://schemas.microsoft.com/office/drawing/2015/06/chart">
            <c:ext xmlns:c16="http://schemas.microsoft.com/office/drawing/2014/chart" uri="{C3380CC4-5D6E-409C-BE32-E72D297353CC}">
              <c16:uniqueId val="{00000004-B0D0-4414-9A26-FA1B9115285E}"/>
            </c:ext>
            <c:ext xmlns:c15="http://schemas.microsoft.com/office/drawing/2012/chart" uri="{02D57815-91ED-43cb-92C2-25804820EDAC}">
              <c15:datalabelsRange>
                <c15:f>Sheet1!$AL$16:$AL$19</c15:f>
                <c15:dlblRangeCache>
                  <c:ptCount val="4"/>
                  <c:pt idx="0">
                    <c:v>46%</c:v>
                  </c:pt>
                  <c:pt idx="1">
                    <c:v>65%</c:v>
                  </c:pt>
                  <c:pt idx="2">
                    <c:v>52%</c:v>
                  </c:pt>
                  <c:pt idx="3">
                    <c:v>85%</c:v>
                  </c:pt>
                </c15:dlblRangeCache>
              </c15:datalabelsRange>
            </c:ext>
          </c:extLst>
        </c:ser>
        <c:ser>
          <c:idx val="1"/>
          <c:order val="1"/>
          <c:tx>
            <c:strRef>
              <c:f>Sheet1!$AI$10</c:f>
              <c:strCache>
                <c:ptCount val="1"/>
                <c:pt idx="0">
                  <c:v>KV</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Sheet1!$AI$16:$AI$19</c:f>
              <c:numCache>
                <c:formatCode>General</c:formatCode>
                <c:ptCount val="4"/>
                <c:pt idx="0" formatCode="#,##0">
                  <c:v>2862</c:v>
                </c:pt>
                <c:pt idx="1">
                  <c:v>1645</c:v>
                </c:pt>
                <c:pt idx="2">
                  <c:v>3076</c:v>
                </c:pt>
                <c:pt idx="3" formatCode="#,##0">
                  <c:v>908</c:v>
                </c:pt>
              </c:numCache>
            </c:numRef>
          </c:val>
          <c:extLst xmlns:c16r2="http://schemas.microsoft.com/office/drawing/2015/06/chart">
            <c:ext xmlns:c16="http://schemas.microsoft.com/office/drawing/2014/chart" uri="{C3380CC4-5D6E-409C-BE32-E72D297353CC}">
              <c16:uniqueId val="{00000009-B0D0-4414-9A26-FA1B9115285E}"/>
            </c:ext>
            <c:ext xmlns:c15="http://schemas.microsoft.com/office/drawing/2012/chart" uri="{02D57815-91ED-43cb-92C2-25804820EDAC}">
              <c15:datalabelsRange>
                <c15:f>Sheet1!$AM$16:$AM$20</c15:f>
                <c15:dlblRangeCache>
                  <c:ptCount val="5"/>
                  <c:pt idx="0">
                    <c:v>46%</c:v>
                  </c:pt>
                  <c:pt idx="1">
                    <c:v>28%</c:v>
                  </c:pt>
                  <c:pt idx="2">
                    <c:v>36%</c:v>
                  </c:pt>
                  <c:pt idx="3">
                    <c:v>9%</c:v>
                  </c:pt>
                </c15:dlblRangeCache>
              </c15:datalabelsRange>
            </c:ext>
          </c:extLst>
        </c:ser>
        <c:ser>
          <c:idx val="2"/>
          <c:order val="2"/>
          <c:tx>
            <c:strRef>
              <c:f>Sheet1!$AJ$10</c:f>
              <c:strCache>
                <c:ptCount val="1"/>
                <c:pt idx="0">
                  <c:v>Elektra</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DataLabelsRange val="1"/>
                <c15:showLeaderLines val="0"/>
              </c:ext>
            </c:extLst>
          </c:dLbls>
          <c:cat>
            <c:strRef>
              <c:f>Sheet1!$AG$16:$AG$19</c:f>
              <c:strCache>
                <c:ptCount val="4"/>
                <c:pt idx="0">
                  <c:v>NEG</c:v>
                </c:pt>
                <c:pt idx="1">
                  <c:v>PRA</c:v>
                </c:pt>
                <c:pt idx="2">
                  <c:v>DGB</c:v>
                </c:pt>
                <c:pt idx="3">
                  <c:v>IND</c:v>
                </c:pt>
              </c:strCache>
            </c:strRef>
          </c:cat>
          <c:val>
            <c:numRef>
              <c:f>Sheet1!$AJ$16:$AJ$19</c:f>
              <c:numCache>
                <c:formatCode>General</c:formatCode>
                <c:ptCount val="4"/>
                <c:pt idx="0" formatCode="#,##0">
                  <c:v>460</c:v>
                </c:pt>
                <c:pt idx="1">
                  <c:v>413</c:v>
                </c:pt>
                <c:pt idx="2">
                  <c:v>991</c:v>
                </c:pt>
                <c:pt idx="3" formatCode="#,##0">
                  <c:v>684</c:v>
                </c:pt>
              </c:numCache>
            </c:numRef>
          </c:val>
          <c:extLst xmlns:c16r2="http://schemas.microsoft.com/office/drawing/2015/06/chart">
            <c:ext xmlns:c16="http://schemas.microsoft.com/office/drawing/2014/chart" uri="{C3380CC4-5D6E-409C-BE32-E72D297353CC}">
              <c16:uniqueId val="{0000000E-B0D0-4414-9A26-FA1B9115285E}"/>
            </c:ext>
            <c:ext xmlns:c15="http://schemas.microsoft.com/office/drawing/2012/chart" uri="{02D57815-91ED-43cb-92C2-25804820EDAC}">
              <c15:datalabelsRange>
                <c15:f>Sheet1!$AN$16:$AN$19</c15:f>
                <c15:dlblRangeCache>
                  <c:ptCount val="4"/>
                  <c:pt idx="0">
                    <c:v>7%</c:v>
                  </c:pt>
                  <c:pt idx="1">
                    <c:v>7%</c:v>
                  </c:pt>
                  <c:pt idx="2">
                    <c:v>12%</c:v>
                  </c:pt>
                  <c:pt idx="3">
                    <c:v>6%</c:v>
                  </c:pt>
                </c15:dlblRangeCache>
              </c15:datalabelsRange>
            </c:ext>
          </c:extLst>
        </c:ser>
        <c:ser>
          <c:idx val="3"/>
          <c:order val="3"/>
          <c:tx>
            <c:strRef>
              <c:f>Sheet1!$AK$16:$AK$19</c:f>
              <c:strCache>
                <c:ptCount val="4"/>
                <c:pt idx="0">
                  <c:v>460</c:v>
                </c:pt>
                <c:pt idx="1">
                  <c:v>413</c:v>
                </c:pt>
                <c:pt idx="2">
                  <c:v>991</c:v>
                </c:pt>
                <c:pt idx="3">
                  <c:v>684</c:v>
                </c:pt>
              </c:strCache>
            </c:strRef>
          </c:tx>
          <c:spPr>
            <a:solidFill>
              <a:schemeClr val="accent4"/>
            </a:solidFill>
            <a:ln>
              <a:noFill/>
            </a:ln>
            <a:effectLst/>
          </c:spPr>
          <c:invertIfNegative val="0"/>
          <c:val>
            <c:numRef>
              <c:f>Sheet1!$AK$16:$AK$19</c:f>
              <c:numCache>
                <c:formatCode>General</c:formatCode>
                <c:ptCount val="4"/>
              </c:numCache>
            </c:numRef>
          </c:val>
          <c:extLst xmlns:c16r2="http://schemas.microsoft.com/office/drawing/2015/06/chart">
            <c:ext xmlns:c16="http://schemas.microsoft.com/office/drawing/2014/chart" uri="{C3380CC4-5D6E-409C-BE32-E72D297353CC}">
              <c16:uniqueId val="{0000000F-B0D0-4414-9A26-FA1B9115285E}"/>
            </c:ext>
          </c:extLst>
        </c:ser>
        <c:dLbls>
          <c:showLegendKey val="0"/>
          <c:showVal val="0"/>
          <c:showCatName val="0"/>
          <c:showSerName val="0"/>
          <c:showPercent val="0"/>
          <c:showBubbleSize val="0"/>
        </c:dLbls>
        <c:gapWidth val="50"/>
        <c:overlap val="100"/>
        <c:axId val="158210304"/>
        <c:axId val="158240768"/>
      </c:barChart>
      <c:catAx>
        <c:axId val="158210304"/>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Times New Roman" panose="02020603050405020304" pitchFamily="18" charset="0"/>
              </a:defRPr>
            </a:pPr>
            <a:endParaRPr lang="lt-LT"/>
          </a:p>
        </c:txPr>
        <c:crossAx val="158240768"/>
        <c:crosses val="autoZero"/>
        <c:auto val="1"/>
        <c:lblAlgn val="ctr"/>
        <c:lblOffset val="100"/>
        <c:noMultiLvlLbl val="0"/>
      </c:catAx>
      <c:valAx>
        <c:axId val="15824076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210304"/>
        <c:crosses val="autoZero"/>
        <c:crossBetween val="between"/>
      </c:valAx>
      <c:spPr>
        <a:noFill/>
        <a:ln>
          <a:noFill/>
        </a:ln>
        <a:effectLst/>
      </c:spPr>
    </c:plotArea>
    <c:legend>
      <c:legendPos val="b"/>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'12pirm'!$H$74</c:f>
              <c:strCache>
                <c:ptCount val="1"/>
                <c:pt idx="0">
                  <c:v>AEI</c:v>
                </c:pt>
              </c:strCache>
            </c:strRef>
          </c:tx>
          <c:spPr>
            <a:solidFill>
              <a:schemeClr val="accent1"/>
            </a:solidFill>
            <a:ln>
              <a:noFill/>
            </a:ln>
            <a:effectLst/>
          </c:spPr>
          <c:invertIfNegative val="0"/>
          <c:dLbls>
            <c:dLbl>
              <c:idx val="0"/>
              <c:layout/>
              <c:tx>
                <c:rich>
                  <a:bodyPr/>
                  <a:lstStyle/>
                  <a:p>
                    <a:fld id="{BE3C4768-6500-4622-99F3-2C66C920477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1"/>
              <c:layout/>
              <c:tx>
                <c:rich>
                  <a:bodyPr/>
                  <a:lstStyle/>
                  <a:p>
                    <a:fld id="{618EE83B-5737-40DD-80BA-D24C31B3C11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2"/>
              <c:layout/>
              <c:tx>
                <c:rich>
                  <a:bodyPr/>
                  <a:lstStyle/>
                  <a:p>
                    <a:fld id="{1FEA6DAE-A72C-42B1-AC3F-4869E96C634E}"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3"/>
              <c:layout/>
              <c:tx>
                <c:rich>
                  <a:bodyPr/>
                  <a:lstStyle/>
                  <a:p>
                    <a:fld id="{CD5A52AF-02CD-45FD-8F42-08368A4970F4}"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4"/>
              <c:layout/>
              <c:tx>
                <c:rich>
                  <a:bodyPr/>
                  <a:lstStyle/>
                  <a:p>
                    <a:fld id="{34F50578-E2B2-4783-A98C-9A21BED3BB70}"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Lst>
            </c:dLbl>
            <c:dLbl>
              <c:idx val="5"/>
              <c:layout>
                <c:manualLayout>
                  <c:x val="0"/>
                  <c:y val="3.9267096821230571E-2"/>
                </c:manualLayout>
              </c:layout>
              <c:tx>
                <c:rich>
                  <a:bodyPr/>
                  <a:lstStyle/>
                  <a:p>
                    <a:fld id="{C80D001C-2B81-4BB1-9C31-9755D3D03E85}" type="CELLRANGE">
                      <a:rPr lang="en-US"/>
                      <a:pPr/>
                      <a:t>[CELLRANGE]</a:t>
                    </a:fld>
                    <a:endParaRPr lang="lt-LT"/>
                  </a:p>
                </c:rich>
              </c:tx>
              <c:dLblPos val="outEnd"/>
              <c:showLegendKey val="0"/>
              <c:showVal val="0"/>
              <c:showCatName val="0"/>
              <c:showSerName val="0"/>
              <c:showPercent val="0"/>
              <c:showBubbleSize val="0"/>
              <c:extLst xmlns:c16r2="http://schemas.microsoft.com/office/drawing/2015/06/chart">
                <c:ext xmlns:c16="http://schemas.microsoft.com/office/drawing/2014/chart" uri="{C3380CC4-5D6E-409C-BE32-E72D297353CC}">
                  <c16:uniqueId val="{00000005-8EC9-477C-A3F9-7829453F8C0F}"/>
                </c:ext>
                <c:ext xmlns:c15="http://schemas.microsoft.com/office/drawing/2012/chart" uri="{CE6537A1-D6FC-4f65-9D91-7224C49458BB}">
                  <c15:dlblFieldTable/>
                  <c15:showDataLabelsRange val="1"/>
                </c:ext>
              </c:extLst>
            </c:dLbl>
            <c:dLbl>
              <c:idx val="6"/>
              <c:layout/>
              <c:tx>
                <c:rich>
                  <a:bodyPr/>
                  <a:lstStyle/>
                  <a:p>
                    <a:fld id="{1385459E-C588-4568-A4DC-1B5126BB229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7"/>
              <c:layout/>
              <c:tx>
                <c:rich>
                  <a:bodyPr/>
                  <a:lstStyle/>
                  <a:p>
                    <a:fld id="{8BD6832D-9D2C-4103-A3DE-023035768D7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8"/>
              <c:layout/>
              <c:tx>
                <c:rich>
                  <a:bodyPr/>
                  <a:lstStyle/>
                  <a:p>
                    <a:fld id="{D07E05E0-F596-4378-8BEB-2DD8466AE832}"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9"/>
              <c:layout/>
              <c:tx>
                <c:rich>
                  <a:bodyPr/>
                  <a:lstStyle/>
                  <a:p>
                    <a:fld id="{0DC7AD5B-301E-4059-90AB-D6C67719C0BD}"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0"/>
              <c:layout/>
              <c:tx>
                <c:rich>
                  <a:bodyPr/>
                  <a:lstStyle/>
                  <a:p>
                    <a:fld id="{CAC183F3-D737-473E-ABA3-49E56C8B54B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1"/>
              <c:layout/>
              <c:tx>
                <c:rich>
                  <a:bodyPr/>
                  <a:lstStyle/>
                  <a:p>
                    <a:fld id="{256FE650-03A8-492F-8587-B25FB92A563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2"/>
              <c:layout/>
              <c:tx>
                <c:rich>
                  <a:bodyPr/>
                  <a:lstStyle/>
                  <a:p>
                    <a:fld id="{C67409A9-BF0B-4EA8-A309-DA0F7F031A7C}"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3"/>
              <c:layout/>
              <c:tx>
                <c:rich>
                  <a:bodyPr/>
                  <a:lstStyle/>
                  <a:p>
                    <a:fld id="{6F78104D-C523-4719-BF31-1896B241857A}"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4"/>
              <c:layout/>
              <c:tx>
                <c:rich>
                  <a:bodyPr/>
                  <a:lstStyle/>
                  <a:p>
                    <a:fld id="{7ACBCFF5-9809-4A09-BC30-A7C5959885A5}"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dLbl>
              <c:idx val="15"/>
              <c:layout/>
              <c:tx>
                <c:rich>
                  <a:bodyPr/>
                  <a:lstStyle/>
                  <a:p>
                    <a:fld id="{457B19C1-9C9F-41BC-A8A4-5705CFE1B2E3}" type="CELLRANGE">
                      <a:rPr lang="lt-LT"/>
                      <a:pPr/>
                      <a:t>[CELLRANGE]</a:t>
                    </a:fld>
                    <a:endParaRPr lang="lt-LT"/>
                  </a:p>
                </c:rich>
              </c:tx>
              <c:dLblPos val="inBase"/>
              <c:showLegendKey val="0"/>
              <c:showVal val="0"/>
              <c:showCatName val="0"/>
              <c:showSerName val="0"/>
              <c:showPercent val="0"/>
              <c:showBubbleSize val="0"/>
              <c:extLst>
                <c:ext xmlns:c15="http://schemas.microsoft.com/office/drawing/2012/chart" uri="{CE6537A1-D6FC-4f65-9D91-7224C49458BB}">
                  <c15:dlblFieldTable/>
                  <c15:showDataLabelsRange val="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bg1"/>
                    </a:solidFill>
                    <a:latin typeface="+mn-lt"/>
                    <a:ea typeface="+mn-ea"/>
                    <a:cs typeface="Times New Roman" panose="02020603050405020304" pitchFamily="18" charset="0"/>
                  </a:defRPr>
                </a:pPr>
                <a:endParaRPr lang="lt-LT"/>
              </a:p>
            </c:txPr>
            <c:dLblPos val="inBase"/>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multiLvlStrRef>
              <c:f>'12pirm'!$F$75:$G$90</c:f>
              <c:multiLvlStrCache>
                <c:ptCount val="16"/>
                <c:lvl>
                  <c:pt idx="0">
                    <c:v>IND</c:v>
                  </c:pt>
                  <c:pt idx="1">
                    <c:v>DGB</c:v>
                  </c:pt>
                  <c:pt idx="2">
                    <c:v>PRA</c:v>
                  </c:pt>
                  <c:pt idx="3">
                    <c:v>NEG</c:v>
                  </c:pt>
                  <c:pt idx="4">
                    <c:v>IND</c:v>
                  </c:pt>
                  <c:pt idx="5">
                    <c:v>DGB</c:v>
                  </c:pt>
                  <c:pt idx="6">
                    <c:v>NEG</c:v>
                  </c:pt>
                  <c:pt idx="7">
                    <c:v>NEG</c:v>
                  </c:pt>
                  <c:pt idx="8">
                    <c:v>IND</c:v>
                  </c:pt>
                  <c:pt idx="9">
                    <c:v>DGB</c:v>
                  </c:pt>
                  <c:pt idx="10">
                    <c:v>PRA</c:v>
                  </c:pt>
                  <c:pt idx="11">
                    <c:v>PRA</c:v>
                  </c:pt>
                  <c:pt idx="12">
                    <c:v>NEG</c:v>
                  </c:pt>
                  <c:pt idx="13">
                    <c:v>IND</c:v>
                  </c:pt>
                  <c:pt idx="14">
                    <c:v>DGB</c:v>
                  </c:pt>
                  <c:pt idx="15">
                    <c:v>PRA</c:v>
                  </c:pt>
                </c:lvl>
                <c:lvl>
                  <c:pt idx="0">
                    <c:v>≤ D</c:v>
                  </c:pt>
                  <c:pt idx="4">
                    <c:v>C</c:v>
                  </c:pt>
                  <c:pt idx="7">
                    <c:v>B</c:v>
                  </c:pt>
                  <c:pt idx="11">
                    <c:v>C</c:v>
                  </c:pt>
                  <c:pt idx="12">
                    <c:v>≥ A</c:v>
                  </c:pt>
                </c:lvl>
              </c:multiLvlStrCache>
            </c:multiLvlStrRef>
          </c:cat>
          <c:val>
            <c:numRef>
              <c:f>'12pirm'!$H$75:$H$90</c:f>
              <c:numCache>
                <c:formatCode>_(* #,##0.0_);_(* \(#,##0.0\);_(* "-"??_);_(@_)</c:formatCode>
                <c:ptCount val="16"/>
                <c:pt idx="0">
                  <c:v>4.9136246168571214</c:v>
                </c:pt>
                <c:pt idx="1">
                  <c:v>3.8645297848951761</c:v>
                </c:pt>
                <c:pt idx="2">
                  <c:v>1.5046410689200509</c:v>
                </c:pt>
                <c:pt idx="3">
                  <c:v>1.3331242048053868</c:v>
                </c:pt>
                <c:pt idx="4">
                  <c:v>1.3703194138607855</c:v>
                </c:pt>
                <c:pt idx="5">
                  <c:v>0.41559581875629015</c:v>
                </c:pt>
                <c:pt idx="6">
                  <c:v>0.20455607531656306</c:v>
                </c:pt>
                <c:pt idx="7">
                  <c:v>0.22646216146447096</c:v>
                </c:pt>
                <c:pt idx="8">
                  <c:v>0.31487800052901516</c:v>
                </c:pt>
                <c:pt idx="9">
                  <c:v>0.42883862860924876</c:v>
                </c:pt>
                <c:pt idx="10">
                  <c:v>7.2718245342154472E-2</c:v>
                </c:pt>
                <c:pt idx="11">
                  <c:v>5.2970960025967177E-2</c:v>
                </c:pt>
                <c:pt idx="12">
                  <c:v>3.8248790534520641E-2</c:v>
                </c:pt>
                <c:pt idx="13">
                  <c:v>3.9751928420991178E-2</c:v>
                </c:pt>
                <c:pt idx="14">
                  <c:v>1.9042700478410775E-2</c:v>
                </c:pt>
                <c:pt idx="15">
                  <c:v>1.0033934872296705E-2</c:v>
                </c:pt>
              </c:numCache>
            </c:numRef>
          </c:val>
          <c:extLst xmlns:c16r2="http://schemas.microsoft.com/office/drawing/2015/06/chart">
            <c:ext xmlns:c16="http://schemas.microsoft.com/office/drawing/2014/chart" uri="{C3380CC4-5D6E-409C-BE32-E72D297353CC}">
              <c16:uniqueId val="{00000010-811B-4BD5-8907-72210256BFDD}"/>
            </c:ext>
            <c:ext xmlns:c15="http://schemas.microsoft.com/office/drawing/2012/chart" uri="{02D57815-91ED-43cb-92C2-25804820EDAC}">
              <c15:datalabelsRange>
                <c15:f>'12pirm'!$I$56:$I$71</c15:f>
                <c15:dlblRangeCache>
                  <c:ptCount val="16"/>
                  <c:pt idx="0">
                    <c:v>25%</c:v>
                  </c:pt>
                  <c:pt idx="1">
                    <c:v>23%</c:v>
                  </c:pt>
                  <c:pt idx="2">
                    <c:v>16%</c:v>
                  </c:pt>
                  <c:pt idx="3">
                    <c:v>14%</c:v>
                  </c:pt>
                  <c:pt idx="4">
                    <c:v>8%</c:v>
                  </c:pt>
                  <c:pt idx="5">
                    <c:v>3%</c:v>
                  </c:pt>
                </c15:dlblRangeCache>
              </c15:datalabelsRange>
            </c:ext>
          </c:extLst>
        </c:ser>
        <c:ser>
          <c:idx val="1"/>
          <c:order val="1"/>
          <c:spPr>
            <a:solidFill>
              <a:schemeClr val="bg1">
                <a:lumMod val="50000"/>
              </a:schemeClr>
            </a:solidFill>
            <a:ln>
              <a:noFill/>
            </a:ln>
            <a:effectLst/>
          </c:spPr>
          <c:invertIfNegative val="0"/>
          <c:dLbls>
            <c:dLbl>
              <c:idx val="0"/>
              <c:numFmt formatCode="#,##0.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multiLvlStrRef>
              <c:f>'12pirm'!$F$75:$G$90</c:f>
              <c:multiLvlStrCache>
                <c:ptCount val="16"/>
                <c:lvl>
                  <c:pt idx="0">
                    <c:v>IND</c:v>
                  </c:pt>
                  <c:pt idx="1">
                    <c:v>DGB</c:v>
                  </c:pt>
                  <c:pt idx="2">
                    <c:v>PRA</c:v>
                  </c:pt>
                  <c:pt idx="3">
                    <c:v>NEG</c:v>
                  </c:pt>
                  <c:pt idx="4">
                    <c:v>IND</c:v>
                  </c:pt>
                  <c:pt idx="5">
                    <c:v>DGB</c:v>
                  </c:pt>
                  <c:pt idx="6">
                    <c:v>NEG</c:v>
                  </c:pt>
                  <c:pt idx="7">
                    <c:v>NEG</c:v>
                  </c:pt>
                  <c:pt idx="8">
                    <c:v>IND</c:v>
                  </c:pt>
                  <c:pt idx="9">
                    <c:v>DGB</c:v>
                  </c:pt>
                  <c:pt idx="10">
                    <c:v>PRA</c:v>
                  </c:pt>
                  <c:pt idx="11">
                    <c:v>PRA</c:v>
                  </c:pt>
                  <c:pt idx="12">
                    <c:v>NEG</c:v>
                  </c:pt>
                  <c:pt idx="13">
                    <c:v>IND</c:v>
                  </c:pt>
                  <c:pt idx="14">
                    <c:v>DGB</c:v>
                  </c:pt>
                  <c:pt idx="15">
                    <c:v>PRA</c:v>
                  </c:pt>
                </c:lvl>
                <c:lvl>
                  <c:pt idx="0">
                    <c:v>≤ D</c:v>
                  </c:pt>
                  <c:pt idx="4">
                    <c:v>C</c:v>
                  </c:pt>
                  <c:pt idx="7">
                    <c:v>B</c:v>
                  </c:pt>
                  <c:pt idx="11">
                    <c:v>C</c:v>
                  </c:pt>
                  <c:pt idx="12">
                    <c:v>≥ A</c:v>
                  </c:pt>
                </c:lvl>
              </c:multiLvlStrCache>
            </c:multiLvlStrRef>
          </c:cat>
          <c:val>
            <c:numRef>
              <c:f>'12pirm'!$H$56:$H$71</c:f>
              <c:numCache>
                <c:formatCode>_(* #,##0.0_);_(* \(#,##0.0\);_(* "-"??_);_(@_)</c:formatCode>
                <c:ptCount val="16"/>
                <c:pt idx="0">
                  <c:v>10.430882781574452</c:v>
                </c:pt>
                <c:pt idx="1">
                  <c:v>9.54806609786956</c:v>
                </c:pt>
                <c:pt idx="2">
                  <c:v>6.5516219315640667</c:v>
                </c:pt>
                <c:pt idx="3">
                  <c:v>5.7875532705283765</c:v>
                </c:pt>
                <c:pt idx="4">
                  <c:v>3.2222727372112727</c:v>
                </c:pt>
                <c:pt idx="5">
                  <c:v>1.1352859248623663</c:v>
                </c:pt>
                <c:pt idx="6">
                  <c:v>0.92360846270002273</c:v>
                </c:pt>
                <c:pt idx="7">
                  <c:v>0.92098862606807519</c:v>
                </c:pt>
                <c:pt idx="8">
                  <c:v>0.89818034828675475</c:v>
                </c:pt>
                <c:pt idx="9">
                  <c:v>1.213331035922518</c:v>
                </c:pt>
                <c:pt idx="10">
                  <c:v>0.37898177038433778</c:v>
                </c:pt>
                <c:pt idx="11">
                  <c:v>0.25232970528810789</c:v>
                </c:pt>
                <c:pt idx="12">
                  <c:v>0.13260227248063194</c:v>
                </c:pt>
                <c:pt idx="13">
                  <c:v>0.126053278209665</c:v>
                </c:pt>
                <c:pt idx="14">
                  <c:v>6.111412679792725E-2</c:v>
                </c:pt>
                <c:pt idx="15">
                  <c:v>5.4963150637937531E-2</c:v>
                </c:pt>
              </c:numCache>
            </c:numRef>
          </c:val>
          <c:extLst xmlns:c16r2="http://schemas.microsoft.com/office/drawing/2015/06/chart">
            <c:ext xmlns:c16="http://schemas.microsoft.com/office/drawing/2014/chart" uri="{C3380CC4-5D6E-409C-BE32-E72D297353CC}">
              <c16:uniqueId val="{00000012-811B-4BD5-8907-72210256BFDD}"/>
            </c:ext>
          </c:extLst>
        </c:ser>
        <c:dLbls>
          <c:dLblPos val="outEnd"/>
          <c:showLegendKey val="0"/>
          <c:showVal val="1"/>
          <c:showCatName val="0"/>
          <c:showSerName val="0"/>
          <c:showPercent val="0"/>
          <c:showBubbleSize val="0"/>
        </c:dLbls>
        <c:gapWidth val="50"/>
        <c:overlap val="100"/>
        <c:axId val="158476544"/>
        <c:axId val="158490624"/>
      </c:barChart>
      <c:catAx>
        <c:axId val="158476544"/>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8490624"/>
        <c:crosses val="autoZero"/>
        <c:auto val="1"/>
        <c:lblAlgn val="ctr"/>
        <c:lblOffset val="100"/>
        <c:noMultiLvlLbl val="0"/>
      </c:catAx>
      <c:valAx>
        <c:axId val="158490624"/>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58476544"/>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(mln.</a:t>
            </a:r>
            <a:r>
              <a:rPr lang="en-US" sz="900"/>
              <a:t> m</a:t>
            </a:r>
            <a:r>
              <a:rPr lang="en-US" sz="900" baseline="30000"/>
              <a:t>2</a:t>
            </a:r>
            <a:r>
              <a:rPr lang="lt-LT" sz="900"/>
              <a:t>)</a:t>
            </a:r>
            <a:endParaRPr lang="en-US" sz="900"/>
          </a:p>
        </c:rich>
      </c:tx>
      <c:layout/>
      <c:overlay val="0"/>
      <c:spPr>
        <a:noFill/>
        <a:ln>
          <a:noFill/>
        </a:ln>
        <a:effectLst/>
      </c:spPr>
    </c:title>
    <c:autoTitleDeleted val="0"/>
    <c:plotArea>
      <c:layout>
        <c:manualLayout>
          <c:layoutTarget val="inner"/>
          <c:xMode val="edge"/>
          <c:yMode val="edge"/>
          <c:x val="0.30270794310225069"/>
          <c:y val="0.18667950452477963"/>
          <c:w val="0.61155808913716292"/>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'2'!$G$23:$G$26</c:f>
              <c:numCache>
                <c:formatCode>#,##0</c:formatCode>
                <c:ptCount val="4"/>
                <c:pt idx="0">
                  <c:v>37.180439</c:v>
                </c:pt>
                <c:pt idx="1">
                  <c:v>35.489710000000002</c:v>
                </c:pt>
                <c:pt idx="2">
                  <c:v>59.463571999999999</c:v>
                </c:pt>
                <c:pt idx="3">
                  <c:v>69.540000999999975</c:v>
                </c:pt>
              </c:numCache>
            </c:numRef>
          </c:val>
          <c:extLst xmlns:c16r2="http://schemas.microsoft.com/office/drawing/2015/06/chart">
            <c:ext xmlns:c15="http://schemas.microsoft.com/office/drawing/2012/chart" uri="{02D57815-91ED-43cb-92C2-25804820EDAC}">
              <c15:datalabelsRange>
                <c15:f>'2'!$H$23:$H$26</c15:f>
                <c15:dlblRangeCache>
                  <c:ptCount val="4"/>
                  <c:pt idx="0">
                    <c:v>18%</c:v>
                  </c:pt>
                  <c:pt idx="1">
                    <c:v>18%</c:v>
                  </c:pt>
                  <c:pt idx="2">
                    <c:v>29%</c:v>
                  </c:pt>
                  <c:pt idx="3">
                    <c:v>34%</c:v>
                  </c:pt>
                </c15:dlblRangeCache>
              </c15:datalabelsRange>
            </c:ext>
            <c:ext xmlns:c16="http://schemas.microsoft.com/office/drawing/2014/chart" uri="{C3380CC4-5D6E-409C-BE32-E72D297353CC}">
              <c16:uniqueId val="{00000004-60EF-453C-A319-0A9C33B27DF4}"/>
            </c:ext>
          </c:extLst>
        </c:ser>
        <c:dLbls>
          <c:dLblPos val="outEnd"/>
          <c:showLegendKey val="0"/>
          <c:showVal val="1"/>
          <c:showCatName val="0"/>
          <c:showSerName val="0"/>
          <c:showPercent val="0"/>
          <c:showBubbleSize val="0"/>
        </c:dLbls>
        <c:gapWidth val="182"/>
        <c:axId val="218855680"/>
        <c:axId val="219081344"/>
      </c:barChart>
      <c:catAx>
        <c:axId val="218855680"/>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219081344"/>
        <c:crosses val="autoZero"/>
        <c:auto val="1"/>
        <c:lblAlgn val="ctr"/>
        <c:lblOffset val="100"/>
        <c:noMultiLvlLbl val="0"/>
      </c:catAx>
      <c:valAx>
        <c:axId val="21908134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21885568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'13kur'!$E$55</c:f>
              <c:strCache>
                <c:ptCount val="1"/>
                <c:pt idx="0">
                  <c:v>CŠT</c:v>
                </c:pt>
              </c:strCache>
            </c:strRef>
          </c:tx>
          <c:spPr>
            <a:solidFill>
              <a:srgbClr val="00B0F0"/>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0463-4E19-8A21-6CEE8E1DA5F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'13kur'!$E$56:$E$59</c:f>
              <c:numCache>
                <c:formatCode>_(* #,##0_);_(* \(#,##0\);_(* "-"??_);_(@_)</c:formatCode>
                <c:ptCount val="4"/>
                <c:pt idx="0">
                  <c:v>6.7663839935410017</c:v>
                </c:pt>
                <c:pt idx="1">
                  <c:v>1.7307811848198114</c:v>
                </c:pt>
                <c:pt idx="2">
                  <c:v>1.4888109269955816</c:v>
                </c:pt>
                <c:pt idx="3">
                  <c:v>3.7445124733144187E-2</c:v>
                </c:pt>
              </c:numCache>
            </c:numRef>
          </c:val>
          <c:extLst xmlns:c16r2="http://schemas.microsoft.com/office/drawing/2015/06/chart">
            <c:ext xmlns:c16="http://schemas.microsoft.com/office/drawing/2014/chart" uri="{C3380CC4-5D6E-409C-BE32-E72D297353CC}">
              <c16:uniqueId val="{00000001-0463-4E19-8A21-6CEE8E1DA5F8}"/>
            </c:ext>
          </c:extLst>
        </c:ser>
        <c:ser>
          <c:idx val="1"/>
          <c:order val="1"/>
          <c:tx>
            <c:strRef>
              <c:f>'13kur'!$F$55</c:f>
              <c:strCache>
                <c:ptCount val="1"/>
                <c:pt idx="0">
                  <c:v>Biokuras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'13kur'!$F$56:$F$59</c:f>
              <c:numCache>
                <c:formatCode>_(* #,##0_);_(* \(#,##0\);_(* "-"??_);_(@_)</c:formatCode>
                <c:ptCount val="4"/>
                <c:pt idx="0">
                  <c:v>1.3522156231583691</c:v>
                </c:pt>
                <c:pt idx="1">
                  <c:v>1.0224657682935772</c:v>
                </c:pt>
                <c:pt idx="2">
                  <c:v>0.98918073222988412</c:v>
                </c:pt>
                <c:pt idx="3">
                  <c:v>7.6846949376929512</c:v>
                </c:pt>
              </c:numCache>
            </c:numRef>
          </c:val>
          <c:extLst xmlns:c16r2="http://schemas.microsoft.com/office/drawing/2015/06/chart">
            <c:ext xmlns:c16="http://schemas.microsoft.com/office/drawing/2014/chart" uri="{C3380CC4-5D6E-409C-BE32-E72D297353CC}">
              <c16:uniqueId val="{00000002-0463-4E19-8A21-6CEE8E1DA5F8}"/>
            </c:ext>
          </c:extLst>
        </c:ser>
        <c:ser>
          <c:idx val="2"/>
          <c:order val="2"/>
          <c:tx>
            <c:strRef>
              <c:f>'13kur'!$G$55</c:f>
              <c:strCache>
                <c:ptCount val="1"/>
                <c:pt idx="0">
                  <c:v>Dujos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'13kur'!$G$56:$G$59</c:f>
              <c:numCache>
                <c:formatCode>_(* #,##0_);_(* \(#,##0\);_(* "-"??_);_(@_)</c:formatCode>
                <c:ptCount val="4"/>
                <c:pt idx="0">
                  <c:v>0.43861947716857685</c:v>
                </c:pt>
                <c:pt idx="1">
                  <c:v>2.4134552088364543</c:v>
                </c:pt>
                <c:pt idx="2">
                  <c:v>2.3531795740506203</c:v>
                </c:pt>
                <c:pt idx="3">
                  <c:v>2.6019181313064101</c:v>
                </c:pt>
              </c:numCache>
            </c:numRef>
          </c:val>
          <c:extLst xmlns:c16r2="http://schemas.microsoft.com/office/drawing/2015/06/chart">
            <c:ext xmlns:c16="http://schemas.microsoft.com/office/drawing/2014/chart" uri="{C3380CC4-5D6E-409C-BE32-E72D297353CC}">
              <c16:uniqueId val="{00000003-0463-4E19-8A21-6CEE8E1DA5F8}"/>
            </c:ext>
          </c:extLst>
        </c:ser>
        <c:ser>
          <c:idx val="3"/>
          <c:order val="3"/>
          <c:tx>
            <c:strRef>
              <c:f>'13kur'!$H$55</c:f>
              <c:strCache>
                <c:ptCount val="1"/>
                <c:pt idx="0">
                  <c:v>Kietas kuras</c:v>
                </c:pt>
              </c:strCache>
            </c:strRef>
          </c:tx>
          <c:spPr>
            <a:solidFill>
              <a:srgbClr val="002060"/>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0463-4E19-8A21-6CEE8E1DA5F8}"/>
                </c:ex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'13kur'!$H$56:$H$59</c:f>
              <c:numCache>
                <c:formatCode>_(* #,##0_);_(* \(#,##0\);_(* "-"??_);_(@_)</c:formatCode>
                <c:ptCount val="4"/>
                <c:pt idx="0">
                  <c:v>0.28353649253409069</c:v>
                </c:pt>
                <c:pt idx="1">
                  <c:v>1.4496885005897648</c:v>
                </c:pt>
                <c:pt idx="2">
                  <c:v>1.4022918664509192</c:v>
                </c:pt>
                <c:pt idx="3">
                  <c:v>1.6186421270073454</c:v>
                </c:pt>
              </c:numCache>
            </c:numRef>
          </c:val>
          <c:extLst xmlns:c16r2="http://schemas.microsoft.com/office/drawing/2015/06/chart">
            <c:ext xmlns:c16="http://schemas.microsoft.com/office/drawing/2014/chart" uri="{C3380CC4-5D6E-409C-BE32-E72D297353CC}">
              <c16:uniqueId val="{00000005-0463-4E19-8A21-6CEE8E1DA5F8}"/>
            </c:ext>
          </c:extLst>
        </c:ser>
        <c:ser>
          <c:idx val="4"/>
          <c:order val="4"/>
          <c:tx>
            <c:strRef>
              <c:f>'13kur'!$I$55</c:f>
              <c:strCache>
                <c:ptCount val="1"/>
                <c:pt idx="0">
                  <c:v>Elektra</c:v>
                </c:pt>
              </c:strCache>
            </c:strRef>
          </c:tx>
          <c:spPr>
            <a:solidFill>
              <a:schemeClr val="bg1">
                <a:lumMod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'13kur'!$D$56:$D$59</c:f>
              <c:strCache>
                <c:ptCount val="4"/>
                <c:pt idx="0">
                  <c:v>Daugiabučiai</c:v>
                </c:pt>
                <c:pt idx="1">
                  <c:v>Kiti negyvenamieji</c:v>
                </c:pt>
                <c:pt idx="2">
                  <c:v>Pramonės</c:v>
                </c:pt>
                <c:pt idx="3">
                  <c:v>Individualūs</c:v>
                </c:pt>
              </c:strCache>
            </c:strRef>
          </c:cat>
          <c:val>
            <c:numRef>
              <c:f>'13kur'!$I$56:$I$59</c:f>
              <c:numCache>
                <c:formatCode>_(* #,##0_);_(* \(#,##0\);_(* "-"??_);_(@_)</c:formatCode>
                <c:ptCount val="4"/>
                <c:pt idx="0">
                  <c:v>3.1363715417125029</c:v>
                </c:pt>
                <c:pt idx="1">
                  <c:v>1.1483619692375</c:v>
                </c:pt>
                <c:pt idx="2">
                  <c:v>1.0331500209249995</c:v>
                </c:pt>
                <c:pt idx="3">
                  <c:v>2.746533524087404</c:v>
                </c:pt>
              </c:numCache>
            </c:numRef>
          </c:val>
          <c:extLst xmlns:c16r2="http://schemas.microsoft.com/office/drawing/2015/06/chart">
            <c:ext xmlns:c16="http://schemas.microsoft.com/office/drawing/2014/chart" uri="{C3380CC4-5D6E-409C-BE32-E72D297353CC}">
              <c16:uniqueId val="{00000006-0463-4E19-8A21-6CEE8E1DA5F8}"/>
            </c:ext>
          </c:extLst>
        </c:ser>
        <c:dLbls>
          <c:showLegendKey val="0"/>
          <c:showVal val="0"/>
          <c:showCatName val="0"/>
          <c:showSerName val="0"/>
          <c:showPercent val="0"/>
          <c:showBubbleSize val="0"/>
        </c:dLbls>
        <c:gapWidth val="50"/>
        <c:overlap val="100"/>
        <c:axId val="158539136"/>
        <c:axId val="158545024"/>
      </c:barChart>
      <c:catAx>
        <c:axId val="1585391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545024"/>
        <c:crosses val="autoZero"/>
        <c:auto val="1"/>
        <c:lblAlgn val="ctr"/>
        <c:lblOffset val="100"/>
        <c:noMultiLvlLbl val="0"/>
      </c:catAx>
      <c:valAx>
        <c:axId val="158545024"/>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5391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0543491385611"/>
          <c:y val="4.4247787610619468E-2"/>
          <c:w val="0.84400392747516728"/>
          <c:h val="0.7329549413724733"/>
        </c:manualLayout>
      </c:layout>
      <c:barChart>
        <c:barDir val="col"/>
        <c:grouping val="stacked"/>
        <c:varyColors val="0"/>
        <c:ser>
          <c:idx val="0"/>
          <c:order val="0"/>
          <c:tx>
            <c:strRef>
              <c:f>'13kur'!$D$56</c:f>
              <c:strCache>
                <c:ptCount val="1"/>
                <c:pt idx="0">
                  <c:v>Daugiabučiai</c:v>
                </c:pt>
              </c:strCache>
            </c:strRef>
          </c:tx>
          <c:spPr>
            <a:solidFill>
              <a:schemeClr val="accent1"/>
            </a:solidFill>
            <a:ln>
              <a:noFill/>
            </a:ln>
            <a:effectLst/>
          </c:spPr>
          <c:invertIfNegative val="0"/>
          <c:dLbls>
            <c:dLbl>
              <c:idx val="3"/>
              <c:delete val="1"/>
              <c:extLst xmlns:c16r2="http://schemas.microsoft.com/office/drawing/2015/06/chart">
                <c:ext xmlns:c16="http://schemas.microsoft.com/office/drawing/2014/chart" uri="{C3380CC4-5D6E-409C-BE32-E72D297353CC}">
                  <c16:uniqueId val="{00000000-9F35-4DDE-82DE-384F36795B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'13kur'!$E$56:$I$56</c:f>
              <c:numCache>
                <c:formatCode>_(* #,##0_);_(* \(#,##0\);_(* "-"??_);_(@_)</c:formatCode>
                <c:ptCount val="5"/>
                <c:pt idx="0">
                  <c:v>6.7663839935410017</c:v>
                </c:pt>
                <c:pt idx="1">
                  <c:v>1.3522156231583691</c:v>
                </c:pt>
                <c:pt idx="2">
                  <c:v>0.43861947716857685</c:v>
                </c:pt>
                <c:pt idx="3">
                  <c:v>0.28353649253409069</c:v>
                </c:pt>
                <c:pt idx="4">
                  <c:v>3.1363715417125029</c:v>
                </c:pt>
              </c:numCache>
            </c:numRef>
          </c:val>
          <c:extLst xmlns:c16r2="http://schemas.microsoft.com/office/drawing/2015/06/chart">
            <c:ext xmlns:c16="http://schemas.microsoft.com/office/drawing/2014/chart" uri="{C3380CC4-5D6E-409C-BE32-E72D297353CC}">
              <c16:uniqueId val="{00000001-9F35-4DDE-82DE-384F36795B12}"/>
            </c:ext>
          </c:extLst>
        </c:ser>
        <c:ser>
          <c:idx val="1"/>
          <c:order val="1"/>
          <c:tx>
            <c:strRef>
              <c:f>'13kur'!$D$57</c:f>
              <c:strCache>
                <c:ptCount val="1"/>
                <c:pt idx="0">
                  <c:v>Kiti negyvenamieji</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'13kur'!$E$57:$I$57</c:f>
              <c:numCache>
                <c:formatCode>_(* #,##0_);_(* \(#,##0\);_(* "-"??_);_(@_)</c:formatCode>
                <c:ptCount val="5"/>
                <c:pt idx="0">
                  <c:v>1.7307811848198114</c:v>
                </c:pt>
                <c:pt idx="1">
                  <c:v>1.0224657682935772</c:v>
                </c:pt>
                <c:pt idx="2">
                  <c:v>2.4134552088364543</c:v>
                </c:pt>
                <c:pt idx="3">
                  <c:v>1.4496885005897648</c:v>
                </c:pt>
                <c:pt idx="4">
                  <c:v>1.1483619692375</c:v>
                </c:pt>
              </c:numCache>
            </c:numRef>
          </c:val>
          <c:extLst xmlns:c16r2="http://schemas.microsoft.com/office/drawing/2015/06/chart">
            <c:ext xmlns:c16="http://schemas.microsoft.com/office/drawing/2014/chart" uri="{C3380CC4-5D6E-409C-BE32-E72D297353CC}">
              <c16:uniqueId val="{00000002-9F35-4DDE-82DE-384F36795B12}"/>
            </c:ext>
          </c:extLst>
        </c:ser>
        <c:ser>
          <c:idx val="2"/>
          <c:order val="2"/>
          <c:tx>
            <c:strRef>
              <c:f>'13kur'!$D$58</c:f>
              <c:strCache>
                <c:ptCount val="1"/>
                <c:pt idx="0">
                  <c:v>Pramonės</c:v>
                </c:pt>
              </c:strCache>
            </c:strRef>
          </c:tx>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'13kur'!$E$58:$I$58</c:f>
              <c:numCache>
                <c:formatCode>_(* #,##0_);_(* \(#,##0\);_(* "-"??_);_(@_)</c:formatCode>
                <c:ptCount val="5"/>
                <c:pt idx="0">
                  <c:v>1.4888109269955816</c:v>
                </c:pt>
                <c:pt idx="1">
                  <c:v>0.98918073222988412</c:v>
                </c:pt>
                <c:pt idx="2">
                  <c:v>2.3531795740506203</c:v>
                </c:pt>
                <c:pt idx="3">
                  <c:v>1.4022918664509192</c:v>
                </c:pt>
                <c:pt idx="4">
                  <c:v>1.0331500209249995</c:v>
                </c:pt>
              </c:numCache>
            </c:numRef>
          </c:val>
          <c:extLst xmlns:c16r2="http://schemas.microsoft.com/office/drawing/2015/06/chart">
            <c:ext xmlns:c16="http://schemas.microsoft.com/office/drawing/2014/chart" uri="{C3380CC4-5D6E-409C-BE32-E72D297353CC}">
              <c16:uniqueId val="{00000003-9F35-4DDE-82DE-384F36795B12}"/>
            </c:ext>
          </c:extLst>
        </c:ser>
        <c:ser>
          <c:idx val="3"/>
          <c:order val="3"/>
          <c:tx>
            <c:strRef>
              <c:f>'13kur'!$D$59</c:f>
              <c:strCache>
                <c:ptCount val="1"/>
                <c:pt idx="0">
                  <c:v>Individualūs</c:v>
                </c:pt>
              </c:strCache>
            </c:strRef>
          </c:tx>
          <c:spPr>
            <a:solidFill>
              <a:schemeClr val="bg1">
                <a:lumMod val="65000"/>
              </a:schemeClr>
            </a:solidFill>
            <a:ln>
              <a:noFill/>
            </a:ln>
            <a:effectLst/>
          </c:spPr>
          <c:invertIfNegative val="0"/>
          <c:dLbls>
            <c:dLbl>
              <c:idx val="0"/>
              <c:delete val="1"/>
              <c:extLst xmlns:c16r2="http://schemas.microsoft.com/office/drawing/2015/06/chart">
                <c:ext xmlns:c16="http://schemas.microsoft.com/office/drawing/2014/chart" uri="{C3380CC4-5D6E-409C-BE32-E72D297353CC}">
                  <c16:uniqueId val="{00000004-9F35-4DDE-82DE-384F36795B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'13kur'!$E$55:$I$55</c:f>
              <c:strCache>
                <c:ptCount val="5"/>
                <c:pt idx="0">
                  <c:v>CŠT</c:v>
                </c:pt>
                <c:pt idx="1">
                  <c:v>Biokuras</c:v>
                </c:pt>
                <c:pt idx="2">
                  <c:v>Dujos</c:v>
                </c:pt>
                <c:pt idx="3">
                  <c:v>Kietas kuras</c:v>
                </c:pt>
                <c:pt idx="4">
                  <c:v>Elektra</c:v>
                </c:pt>
              </c:strCache>
            </c:strRef>
          </c:cat>
          <c:val>
            <c:numRef>
              <c:f>'13kur'!$E$59:$I$59</c:f>
              <c:numCache>
                <c:formatCode>_(* #,##0_);_(* \(#,##0\);_(* "-"??_);_(@_)</c:formatCode>
                <c:ptCount val="5"/>
                <c:pt idx="0">
                  <c:v>3.7445124733144187E-2</c:v>
                </c:pt>
                <c:pt idx="1">
                  <c:v>7.6846949376929512</c:v>
                </c:pt>
                <c:pt idx="2">
                  <c:v>2.6019181313064101</c:v>
                </c:pt>
                <c:pt idx="3">
                  <c:v>1.6186421270073454</c:v>
                </c:pt>
                <c:pt idx="4">
                  <c:v>2.746533524087404</c:v>
                </c:pt>
              </c:numCache>
            </c:numRef>
          </c:val>
          <c:extLst xmlns:c16r2="http://schemas.microsoft.com/office/drawing/2015/06/chart">
            <c:ext xmlns:c16="http://schemas.microsoft.com/office/drawing/2014/chart" uri="{C3380CC4-5D6E-409C-BE32-E72D297353CC}">
              <c16:uniqueId val="{00000005-9F35-4DDE-82DE-384F36795B12}"/>
            </c:ext>
          </c:extLst>
        </c:ser>
        <c:dLbls>
          <c:showLegendKey val="0"/>
          <c:showVal val="0"/>
          <c:showCatName val="0"/>
          <c:showSerName val="0"/>
          <c:showPercent val="0"/>
          <c:showBubbleSize val="0"/>
        </c:dLbls>
        <c:gapWidth val="50"/>
        <c:overlap val="100"/>
        <c:axId val="158859264"/>
        <c:axId val="158860800"/>
      </c:barChart>
      <c:catAx>
        <c:axId val="158859264"/>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860800"/>
        <c:crosses val="autoZero"/>
        <c:auto val="1"/>
        <c:lblAlgn val="ctr"/>
        <c:lblOffset val="100"/>
        <c:noMultiLvlLbl val="0"/>
      </c:catAx>
      <c:valAx>
        <c:axId val="158860800"/>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859264"/>
        <c:crosses val="autoZero"/>
        <c:crossBetween val="between"/>
      </c:valAx>
      <c:spPr>
        <a:noFill/>
        <a:ln>
          <a:noFill/>
        </a:ln>
        <a:effectLst/>
      </c:spPr>
    </c:plotArea>
    <c:legend>
      <c:legendPos val="b"/>
      <c:layout>
        <c:manualLayout>
          <c:xMode val="edge"/>
          <c:yMode val="edge"/>
          <c:x val="1.8972310664556759E-2"/>
          <c:y val="0.89448628857032453"/>
          <c:w val="0.98102768933544326"/>
          <c:h val="9.34461329904156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'14co2'!$H$55</c:f>
              <c:strCache>
                <c:ptCount val="1"/>
                <c:pt idx="0">
                  <c:v>Vartojimas</c:v>
                </c:pt>
              </c:strCache>
            </c:strRef>
          </c:tx>
          <c:spPr>
            <a:solidFill>
              <a:schemeClr val="bg1">
                <a:lumMod val="5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'14co2'!$F$56:$G$71</c:f>
              <c:multiLvlStrCache>
                <c:ptCount val="16"/>
                <c:lvl>
                  <c:pt idx="0">
                    <c:v>IND</c:v>
                  </c:pt>
                  <c:pt idx="1">
                    <c:v>PRA</c:v>
                  </c:pt>
                  <c:pt idx="2">
                    <c:v>NEG</c:v>
                  </c:pt>
                  <c:pt idx="3">
                    <c:v>IND</c:v>
                  </c:pt>
                  <c:pt idx="4">
                    <c:v>DGB</c:v>
                  </c:pt>
                  <c:pt idx="5">
                    <c:v>IND</c:v>
                  </c:pt>
                  <c:pt idx="6">
                    <c:v>NEG</c:v>
                  </c:pt>
                  <c:pt idx="7">
                    <c:v>NEG</c:v>
                  </c:pt>
                  <c:pt idx="8">
                    <c:v>PRA</c:v>
                  </c:pt>
                  <c:pt idx="9">
                    <c:v>PRA</c:v>
                  </c:pt>
                  <c:pt idx="10">
                    <c:v>DGB</c:v>
                  </c:pt>
                  <c:pt idx="11">
                    <c:v>IND</c:v>
                  </c:pt>
                  <c:pt idx="12">
                    <c:v>NEG</c:v>
                  </c:pt>
                  <c:pt idx="13">
                    <c:v>DGB</c:v>
                  </c:pt>
                  <c:pt idx="14">
                    <c:v>PRA</c:v>
                  </c:pt>
                  <c:pt idx="15">
                    <c:v>DGB</c:v>
                  </c:pt>
                </c:lvl>
                <c:lvl>
                  <c:pt idx="0">
                    <c:v>≤ D</c:v>
                  </c:pt>
                  <c:pt idx="3">
                    <c:v>C</c:v>
                  </c:pt>
                  <c:pt idx="4">
                    <c:v>≤ D</c:v>
                  </c:pt>
                  <c:pt idx="5">
                    <c:v>B</c:v>
                  </c:pt>
                  <c:pt idx="6">
                    <c:v>C</c:v>
                  </c:pt>
                  <c:pt idx="7">
                    <c:v>B</c:v>
                  </c:pt>
                  <c:pt idx="8">
                    <c:v>B</c:v>
                  </c:pt>
                  <c:pt idx="9">
                    <c:v>C</c:v>
                  </c:pt>
                  <c:pt idx="10">
                    <c:v>C</c:v>
                  </c:pt>
                  <c:pt idx="11">
                    <c:v>≥ A</c:v>
                  </c:pt>
                  <c:pt idx="12">
                    <c:v>≥ A</c:v>
                  </c:pt>
                  <c:pt idx="13">
                    <c:v>B</c:v>
                  </c:pt>
                  <c:pt idx="14">
                    <c:v>≥ A</c:v>
                  </c:pt>
                  <c:pt idx="15">
                    <c:v>≥ A</c:v>
                  </c:pt>
                </c:lvl>
              </c:multiLvlStrCache>
            </c:multiLvlStrRef>
          </c:cat>
          <c:val>
            <c:numRef>
              <c:f>'14co2'!$H$56:$H$71</c:f>
              <c:numCache>
                <c:formatCode>_(* #,##0.0_);_(* \(#,##0.0\);_(* "-"??_);_(@_)</c:formatCode>
                <c:ptCount val="16"/>
                <c:pt idx="0">
                  <c:v>1163.6217179648327</c:v>
                </c:pt>
                <c:pt idx="1">
                  <c:v>1063.0313942635578</c:v>
                </c:pt>
                <c:pt idx="2">
                  <c:v>938.8893441565375</c:v>
                </c:pt>
                <c:pt idx="3">
                  <c:v>379.27680583034305</c:v>
                </c:pt>
                <c:pt idx="4">
                  <c:v>1002.0033500770026</c:v>
                </c:pt>
                <c:pt idx="5">
                  <c:v>107.95462657910606</c:v>
                </c:pt>
                <c:pt idx="6">
                  <c:v>150.10060149706518</c:v>
                </c:pt>
                <c:pt idx="7">
                  <c:v>148.19840366865276</c:v>
                </c:pt>
                <c:pt idx="8">
                  <c:v>61.838409783065018</c:v>
                </c:pt>
                <c:pt idx="9">
                  <c:v>41.121544323876215</c:v>
                </c:pt>
                <c:pt idx="10">
                  <c:v>128.86185350231005</c:v>
                </c:pt>
                <c:pt idx="11">
                  <c:v>15.640115137400636</c:v>
                </c:pt>
                <c:pt idx="12">
                  <c:v>14.846602426438521</c:v>
                </c:pt>
                <c:pt idx="13">
                  <c:v>138.43231288494283</c:v>
                </c:pt>
                <c:pt idx="14">
                  <c:v>8.9624296783460569</c:v>
                </c:pt>
                <c:pt idx="15">
                  <c:v>7.5962294552060365</c:v>
                </c:pt>
              </c:numCache>
            </c:numRef>
          </c:val>
          <c:extLst xmlns:c16r2="http://schemas.microsoft.com/office/drawing/2015/06/chart">
            <c:ext xmlns:c16="http://schemas.microsoft.com/office/drawing/2014/chart" uri="{C3380CC4-5D6E-409C-BE32-E72D297353CC}">
              <c16:uniqueId val="{00000000-A2AC-470C-BFD6-93BA7ADD29B3}"/>
            </c:ext>
          </c:extLst>
        </c:ser>
        <c:ser>
          <c:idx val="1"/>
          <c:order val="1"/>
          <c:spPr>
            <a:noFill/>
            <a:ln>
              <a:noFill/>
            </a:ln>
            <a:effectLst/>
          </c:spPr>
          <c:invertIfNegative val="0"/>
          <c:cat>
            <c:multiLvlStrRef>
              <c:f>'14co2'!$F$56:$G$71</c:f>
              <c:multiLvlStrCache>
                <c:ptCount val="16"/>
                <c:lvl>
                  <c:pt idx="0">
                    <c:v>IND</c:v>
                  </c:pt>
                  <c:pt idx="1">
                    <c:v>PRA</c:v>
                  </c:pt>
                  <c:pt idx="2">
                    <c:v>NEG</c:v>
                  </c:pt>
                  <c:pt idx="3">
                    <c:v>IND</c:v>
                  </c:pt>
                  <c:pt idx="4">
                    <c:v>DGB</c:v>
                  </c:pt>
                  <c:pt idx="5">
                    <c:v>IND</c:v>
                  </c:pt>
                  <c:pt idx="6">
                    <c:v>NEG</c:v>
                  </c:pt>
                  <c:pt idx="7">
                    <c:v>NEG</c:v>
                  </c:pt>
                  <c:pt idx="8">
                    <c:v>PRA</c:v>
                  </c:pt>
                  <c:pt idx="9">
                    <c:v>PRA</c:v>
                  </c:pt>
                  <c:pt idx="10">
                    <c:v>DGB</c:v>
                  </c:pt>
                  <c:pt idx="11">
                    <c:v>IND</c:v>
                  </c:pt>
                  <c:pt idx="12">
                    <c:v>NEG</c:v>
                  </c:pt>
                  <c:pt idx="13">
                    <c:v>DGB</c:v>
                  </c:pt>
                  <c:pt idx="14">
                    <c:v>PRA</c:v>
                  </c:pt>
                  <c:pt idx="15">
                    <c:v>DGB</c:v>
                  </c:pt>
                </c:lvl>
                <c:lvl>
                  <c:pt idx="0">
                    <c:v>≤ D</c:v>
                  </c:pt>
                  <c:pt idx="3">
                    <c:v>C</c:v>
                  </c:pt>
                  <c:pt idx="4">
                    <c:v>≤ D</c:v>
                  </c:pt>
                  <c:pt idx="5">
                    <c:v>B</c:v>
                  </c:pt>
                  <c:pt idx="6">
                    <c:v>C</c:v>
                  </c:pt>
                  <c:pt idx="7">
                    <c:v>B</c:v>
                  </c:pt>
                  <c:pt idx="8">
                    <c:v>B</c:v>
                  </c:pt>
                  <c:pt idx="9">
                    <c:v>C</c:v>
                  </c:pt>
                  <c:pt idx="10">
                    <c:v>C</c:v>
                  </c:pt>
                  <c:pt idx="11">
                    <c:v>≥ A</c:v>
                  </c:pt>
                  <c:pt idx="12">
                    <c:v>≥ A</c:v>
                  </c:pt>
                  <c:pt idx="13">
                    <c:v>B</c:v>
                  </c:pt>
                  <c:pt idx="14">
                    <c:v>≥ A</c:v>
                  </c:pt>
                  <c:pt idx="15">
                    <c:v>≥ A</c:v>
                  </c:pt>
                </c:lvl>
              </c:multiLvlStrCache>
            </c:multiLvlStrRef>
          </c:cat>
          <c:val>
            <c:numRef>
              <c:f>'14co2'!$H$56:$H$71</c:f>
              <c:numCache>
                <c:formatCode>_(* #,##0.0_);_(* \(#,##0.0\);_(* "-"??_);_(@_)</c:formatCode>
                <c:ptCount val="16"/>
                <c:pt idx="0">
                  <c:v>1163.6217179648327</c:v>
                </c:pt>
                <c:pt idx="1">
                  <c:v>1063.0313942635578</c:v>
                </c:pt>
                <c:pt idx="2">
                  <c:v>938.8893441565375</c:v>
                </c:pt>
                <c:pt idx="3">
                  <c:v>379.27680583034305</c:v>
                </c:pt>
                <c:pt idx="4">
                  <c:v>1002.0033500770026</c:v>
                </c:pt>
                <c:pt idx="5">
                  <c:v>107.95462657910606</c:v>
                </c:pt>
                <c:pt idx="6">
                  <c:v>150.10060149706518</c:v>
                </c:pt>
                <c:pt idx="7">
                  <c:v>148.19840366865276</c:v>
                </c:pt>
                <c:pt idx="8">
                  <c:v>61.838409783065018</c:v>
                </c:pt>
                <c:pt idx="9">
                  <c:v>41.121544323876215</c:v>
                </c:pt>
                <c:pt idx="10">
                  <c:v>128.86185350231005</c:v>
                </c:pt>
                <c:pt idx="11">
                  <c:v>15.640115137400636</c:v>
                </c:pt>
                <c:pt idx="12">
                  <c:v>14.846602426438521</c:v>
                </c:pt>
                <c:pt idx="13">
                  <c:v>138.43231288494283</c:v>
                </c:pt>
                <c:pt idx="14">
                  <c:v>8.9624296783460569</c:v>
                </c:pt>
                <c:pt idx="15">
                  <c:v>7.5962294552060365</c:v>
                </c:pt>
              </c:numCache>
            </c:numRef>
          </c:val>
          <c:extLst xmlns:c16r2="http://schemas.microsoft.com/office/drawing/2015/06/chart">
            <c:ext xmlns:c16="http://schemas.microsoft.com/office/drawing/2014/chart" uri="{C3380CC4-5D6E-409C-BE32-E72D297353CC}">
              <c16:uniqueId val="{00000011-A2AC-470C-BFD6-93BA7ADD29B3}"/>
            </c:ext>
            <c:ext xmlns:c15="http://schemas.microsoft.com/office/drawing/2012/chart" uri="{02D57815-91ED-43cb-92C2-25804820EDAC}">
              <c15:datalabelsRange>
                <c15:f>'14co2'!$I$56:$I$71</c15:f>
                <c15:dlblRangeCache>
                  <c:ptCount val="16"/>
                  <c:pt idx="0">
                    <c:v>22%</c:v>
                  </c:pt>
                  <c:pt idx="1">
                    <c:v>20%</c:v>
                  </c:pt>
                  <c:pt idx="2">
                    <c:v>17%</c:v>
                  </c:pt>
                  <c:pt idx="3">
                    <c:v>7%</c:v>
                  </c:pt>
                  <c:pt idx="4">
                    <c:v>19%</c:v>
                  </c:pt>
                  <c:pt idx="5">
                    <c:v>2%</c:v>
                  </c:pt>
                  <c:pt idx="6">
                    <c:v>3%</c:v>
                  </c:pt>
                  <c:pt idx="7">
                    <c:v>3%</c:v>
                  </c:pt>
                </c15:dlblRangeCache>
              </c15:datalabelsRange>
            </c:ext>
          </c:extLst>
        </c:ser>
        <c:dLbls>
          <c:showLegendKey val="0"/>
          <c:showVal val="0"/>
          <c:showCatName val="0"/>
          <c:showSerName val="0"/>
          <c:showPercent val="0"/>
          <c:showBubbleSize val="0"/>
        </c:dLbls>
        <c:gapWidth val="50"/>
        <c:overlap val="100"/>
        <c:axId val="158896896"/>
        <c:axId val="158898432"/>
      </c:barChart>
      <c:catAx>
        <c:axId val="158896896"/>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898432"/>
        <c:crosses val="autoZero"/>
        <c:auto val="1"/>
        <c:lblAlgn val="ctr"/>
        <c:lblOffset val="100"/>
        <c:noMultiLvlLbl val="0"/>
      </c:catAx>
      <c:valAx>
        <c:axId val="1588984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896896"/>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50000"/>
        </a:schemeClr>
      </a:solidFill>
      <a:round/>
    </a:ln>
    <a:effectLst/>
  </c:spPr>
  <c:txPr>
    <a:bodyPr/>
    <a:lstStyle/>
    <a:p>
      <a:pPr>
        <a:defRPr sz="800">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1">
                <a:lumMod val="50000"/>
              </a:schemeClr>
            </a:solidFill>
            <a:ln>
              <a:solidFill>
                <a:schemeClr val="bg1">
                  <a:lumMod val="50000"/>
                </a:schemeClr>
              </a:solid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'a9'!$C$11:$C$18</c:f>
              <c:strCache>
                <c:ptCount val="8"/>
                <c:pt idx="0">
                  <c:v>Individualūs</c:v>
                </c:pt>
                <c:pt idx="1">
                  <c:v>Daugiabučiai</c:v>
                </c:pt>
                <c:pt idx="2">
                  <c:v>Garažų, gamybos ir pramonės</c:v>
                </c:pt>
                <c:pt idx="3">
                  <c:v>Sandėliavimo</c:v>
                </c:pt>
                <c:pt idx="4">
                  <c:v>Prekybos</c:v>
                </c:pt>
                <c:pt idx="5">
                  <c:v>Gydymo</c:v>
                </c:pt>
                <c:pt idx="6">
                  <c:v>Transporto</c:v>
                </c:pt>
                <c:pt idx="7">
                  <c:v>Poilsio</c:v>
                </c:pt>
              </c:strCache>
            </c:strRef>
          </c:cat>
          <c:val>
            <c:numRef>
              <c:f>'a9'!$E$11:$E$18</c:f>
              <c:numCache>
                <c:formatCode>#\.##0\ ;\ \-\ #\.##0\ ;\ \-\ </c:formatCode>
                <c:ptCount val="8"/>
                <c:pt idx="0">
                  <c:v>17</c:v>
                </c:pt>
                <c:pt idx="1">
                  <c:v>12</c:v>
                </c:pt>
                <c:pt idx="2">
                  <c:v>7</c:v>
                </c:pt>
                <c:pt idx="3">
                  <c:v>4</c:v>
                </c:pt>
                <c:pt idx="4">
                  <c:v>2</c:v>
                </c:pt>
                <c:pt idx="5">
                  <c:v>2</c:v>
                </c:pt>
                <c:pt idx="6">
                  <c:v>1</c:v>
                </c:pt>
                <c:pt idx="7">
                  <c:v>1</c:v>
                </c:pt>
              </c:numCache>
            </c:numRef>
          </c:val>
          <c:extLst xmlns:c16r2="http://schemas.microsoft.com/office/drawing/2015/06/chart">
            <c:ext xmlns:c16="http://schemas.microsoft.com/office/drawing/2014/chart" uri="{C3380CC4-5D6E-409C-BE32-E72D297353CC}">
              <c16:uniqueId val="{00000000-85E9-4992-BBB4-7D19692FED00}"/>
            </c:ext>
          </c:extLst>
        </c:ser>
        <c:dLbls>
          <c:showLegendKey val="0"/>
          <c:showVal val="0"/>
          <c:showCatName val="0"/>
          <c:showSerName val="0"/>
          <c:showPercent val="0"/>
          <c:showBubbleSize val="0"/>
        </c:dLbls>
        <c:gapWidth val="100"/>
        <c:overlap val="-27"/>
        <c:axId val="158923008"/>
        <c:axId val="158928896"/>
      </c:barChart>
      <c:catAx>
        <c:axId val="158923008"/>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928896"/>
        <c:crosses val="autoZero"/>
        <c:auto val="1"/>
        <c:lblAlgn val="ctr"/>
        <c:lblOffset val="100"/>
        <c:noMultiLvlLbl val="0"/>
      </c:catAx>
      <c:valAx>
        <c:axId val="158928896"/>
        <c:scaling>
          <c:orientation val="minMax"/>
          <c:max val="2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8923008"/>
        <c:crosses val="autoZero"/>
        <c:crossBetween val="between"/>
      </c:valAx>
      <c:spPr>
        <a:noFill/>
        <a:ln>
          <a:solidFill>
            <a:sysClr val="windowText" lastClr="000000"/>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chemeClr val="bg1">
                <a:lumMod val="50000"/>
              </a:schemeClr>
            </a:solidFill>
            <a:ln>
              <a:solidFill>
                <a:schemeClr val="tx1"/>
              </a:solidFill>
            </a:ln>
          </c:spPr>
          <c:invertIfNegative val="0"/>
          <c:dLbls>
            <c:txPr>
              <a:bodyPr/>
              <a:lstStyle/>
              <a:p>
                <a:pPr>
                  <a:defRPr sz="800"/>
                </a:pPr>
                <a:endParaRPr lang="lt-LT"/>
              </a:p>
            </c:txPr>
            <c:dLblPos val="outEnd"/>
            <c:showLegendKey val="0"/>
            <c:showVal val="1"/>
            <c:showCatName val="0"/>
            <c:showSerName val="0"/>
            <c:showPercent val="0"/>
            <c:showBubbleSize val="0"/>
            <c:showLeaderLines val="0"/>
          </c:dLbls>
          <c:cat>
            <c:strRef>
              <c:f>Sheet1!$A$5:$A$12</c:f>
              <c:strCache>
                <c:ptCount val="8"/>
                <c:pt idx="0">
                  <c:v>2013 m.</c:v>
                </c:pt>
                <c:pt idx="1">
                  <c:v>2014 m.</c:v>
                </c:pt>
                <c:pt idx="2">
                  <c:v>2015 m.</c:v>
                </c:pt>
                <c:pt idx="3">
                  <c:v>2016 m.</c:v>
                </c:pt>
                <c:pt idx="4">
                  <c:v>2017 m.</c:v>
                </c:pt>
                <c:pt idx="5">
                  <c:v>2018 m.</c:v>
                </c:pt>
                <c:pt idx="6">
                  <c:v>2019 m.</c:v>
                </c:pt>
                <c:pt idx="7">
                  <c:v>2020 m.</c:v>
                </c:pt>
              </c:strCache>
            </c:strRef>
          </c:cat>
          <c:val>
            <c:numRef>
              <c:f>Sheet1!$B$5:$B$12</c:f>
              <c:numCache>
                <c:formatCode>General</c:formatCode>
                <c:ptCount val="8"/>
                <c:pt idx="0">
                  <c:v>41</c:v>
                </c:pt>
                <c:pt idx="1">
                  <c:v>123</c:v>
                </c:pt>
                <c:pt idx="2">
                  <c:v>574</c:v>
                </c:pt>
                <c:pt idx="3">
                  <c:v>769</c:v>
                </c:pt>
                <c:pt idx="4">
                  <c:v>403</c:v>
                </c:pt>
                <c:pt idx="5">
                  <c:v>224</c:v>
                </c:pt>
                <c:pt idx="6">
                  <c:v>269</c:v>
                </c:pt>
                <c:pt idx="7">
                  <c:v>304</c:v>
                </c:pt>
              </c:numCache>
            </c:numRef>
          </c:val>
        </c:ser>
        <c:dLbls>
          <c:showLegendKey val="0"/>
          <c:showVal val="0"/>
          <c:showCatName val="0"/>
          <c:showSerName val="0"/>
          <c:showPercent val="0"/>
          <c:showBubbleSize val="0"/>
        </c:dLbls>
        <c:gapWidth val="40"/>
        <c:axId val="158949376"/>
        <c:axId val="158950912"/>
      </c:barChart>
      <c:catAx>
        <c:axId val="158949376"/>
        <c:scaling>
          <c:orientation val="minMax"/>
        </c:scaling>
        <c:delete val="0"/>
        <c:axPos val="b"/>
        <c:majorTickMark val="out"/>
        <c:minorTickMark val="none"/>
        <c:tickLblPos val="nextTo"/>
        <c:txPr>
          <a:bodyPr/>
          <a:lstStyle/>
          <a:p>
            <a:pPr>
              <a:defRPr sz="800"/>
            </a:pPr>
            <a:endParaRPr lang="lt-LT"/>
          </a:p>
        </c:txPr>
        <c:crossAx val="158950912"/>
        <c:crosses val="autoZero"/>
        <c:auto val="1"/>
        <c:lblAlgn val="ctr"/>
        <c:lblOffset val="100"/>
        <c:noMultiLvlLbl val="0"/>
      </c:catAx>
      <c:valAx>
        <c:axId val="158950912"/>
        <c:scaling>
          <c:orientation val="minMax"/>
        </c:scaling>
        <c:delete val="0"/>
        <c:axPos val="l"/>
        <c:majorGridlines>
          <c:spPr>
            <a:ln>
              <a:noFill/>
            </a:ln>
          </c:spPr>
        </c:majorGridlines>
        <c:numFmt formatCode="General" sourceLinked="1"/>
        <c:majorTickMark val="out"/>
        <c:minorTickMark val="none"/>
        <c:tickLblPos val="nextTo"/>
        <c:txPr>
          <a:bodyPr/>
          <a:lstStyle/>
          <a:p>
            <a:pPr>
              <a:defRPr sz="800"/>
            </a:pPr>
            <a:endParaRPr lang="lt-LT"/>
          </a:p>
        </c:txPr>
        <c:crossAx val="158949376"/>
        <c:crosses val="autoZero"/>
        <c:crossBetween val="between"/>
      </c:valAx>
      <c:spPr>
        <a:ln>
          <a:solidFill>
            <a:schemeClr val="tx1"/>
          </a:solidFill>
        </a:ln>
      </c:spPr>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312161663385828E-2"/>
          <c:y val="3.9139784946236565E-2"/>
          <c:w val="0.67466320127952761"/>
          <c:h val="0.79121730044407979"/>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FC93-4B1B-928D-A68D21E05016}"/>
            </c:ext>
          </c:extLst>
        </c:ser>
        <c:ser>
          <c:idx val="1"/>
          <c:order val="1"/>
          <c:tx>
            <c:strRef>
              <c:f>Sheet1!$D$3</c:f>
              <c:strCache>
                <c:ptCount val="1"/>
                <c:pt idx="0">
                  <c:v>Sutaupymo vertė (prie 47 €/MWh)</c:v>
                </c:pt>
              </c:strCache>
            </c:strRef>
          </c:tx>
          <c:spPr>
            <a:ln w="19050" cap="rnd">
              <a:solidFill>
                <a:srgbClr val="00B0F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Sheet1!$D$4:$D$24</c:f>
              <c:numCache>
                <c:formatCode>#,##0</c:formatCode>
                <c:ptCount val="21"/>
                <c:pt idx="1">
                  <c:v>0</c:v>
                </c:pt>
                <c:pt idx="2">
                  <c:v>2.0224191684136552</c:v>
                </c:pt>
                <c:pt idx="3">
                  <c:v>4.1363946303888186</c:v>
                </c:pt>
                <c:pt idx="4">
                  <c:v>6.1526005300587201</c:v>
                </c:pt>
                <c:pt idx="5">
                  <c:v>8.5630193407496904</c:v>
                </c:pt>
                <c:pt idx="6">
                  <c:v>10.529046537702545</c:v>
                </c:pt>
                <c:pt idx="7">
                  <c:v>12.594639614607077</c:v>
                </c:pt>
                <c:pt idx="8">
                  <c:v>14.901256081190846</c:v>
                </c:pt>
                <c:pt idx="9">
                  <c:v>17.095501141302233</c:v>
                </c:pt>
                <c:pt idx="10">
                  <c:v>19.029632705265463</c:v>
                </c:pt>
                <c:pt idx="11">
                  <c:v>21.013777764091287</c:v>
                </c:pt>
                <c:pt idx="12">
                  <c:v>23.461562677611184</c:v>
                </c:pt>
                <c:pt idx="13">
                  <c:v>25.752504360612686</c:v>
                </c:pt>
                <c:pt idx="14">
                  <c:v>27.935507929320451</c:v>
                </c:pt>
                <c:pt idx="15">
                  <c:v>28.084642389506172</c:v>
                </c:pt>
                <c:pt idx="16">
                  <c:v>28.084642389506172</c:v>
                </c:pt>
                <c:pt idx="17">
                  <c:v>28.084642389506172</c:v>
                </c:pt>
                <c:pt idx="18">
                  <c:v>28.084642389506172</c:v>
                </c:pt>
                <c:pt idx="19">
                  <c:v>28.084642389506172</c:v>
                </c:pt>
                <c:pt idx="20">
                  <c:v>28.084642389506172</c:v>
                </c:pt>
              </c:numCache>
            </c:numRef>
          </c:yVal>
          <c:smooth val="1"/>
          <c:extLst xmlns:c16r2="http://schemas.microsoft.com/office/drawing/2015/06/chart">
            <c:ext xmlns:c16="http://schemas.microsoft.com/office/drawing/2014/chart" uri="{C3380CC4-5D6E-409C-BE32-E72D297353CC}">
              <c16:uniqueId val="{00000001-FC93-4B1B-928D-A68D21E05016}"/>
            </c:ext>
          </c:extLst>
        </c:ser>
        <c:ser>
          <c:idx val="3"/>
          <c:order val="2"/>
          <c:tx>
            <c:strRef>
              <c:f>Sheet1!$H$3</c:f>
              <c:strCache>
                <c:ptCount val="1"/>
                <c:pt idx="0">
                  <c:v>Sutaupymo vertė + ekonominės naudos
</c:v>
                </c:pt>
              </c:strCache>
            </c:strRef>
          </c:tx>
          <c:spPr>
            <a:ln w="19050" cap="rnd">
              <a:solidFill>
                <a:srgbClr val="00206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Sheet1!$H$4:$H$24</c:f>
              <c:numCache>
                <c:formatCode>#,##0</c:formatCode>
                <c:ptCount val="21"/>
                <c:pt idx="1">
                  <c:v>0</c:v>
                </c:pt>
                <c:pt idx="2">
                  <c:v>3.6410554773984152</c:v>
                </c:pt>
                <c:pt idx="3">
                  <c:v>7.8878485804407532</c:v>
                </c:pt>
                <c:pt idx="4">
                  <c:v>12.314453216670859</c:v>
                </c:pt>
                <c:pt idx="5">
                  <c:v>17.818700280817211</c:v>
                </c:pt>
                <c:pt idx="6">
                  <c:v>22.3781802356615</c:v>
                </c:pt>
                <c:pt idx="7">
                  <c:v>27.424912913510269</c:v>
                </c:pt>
                <c:pt idx="8">
                  <c:v>33.023167688276722</c:v>
                </c:pt>
                <c:pt idx="9">
                  <c:v>39.548936362875935</c:v>
                </c:pt>
                <c:pt idx="10">
                  <c:v>45.201218268662721</c:v>
                </c:pt>
                <c:pt idx="11">
                  <c:v>51.415864450504799</c:v>
                </c:pt>
                <c:pt idx="12">
                  <c:v>59.689397146589272</c:v>
                </c:pt>
                <c:pt idx="13">
                  <c:v>68.94167598817404</c:v>
                </c:pt>
                <c:pt idx="14">
                  <c:v>79.790792517540041</c:v>
                </c:pt>
                <c:pt idx="15">
                  <c:v>80.696971667975276</c:v>
                </c:pt>
                <c:pt idx="16">
                  <c:v>80.696971667975276</c:v>
                </c:pt>
                <c:pt idx="17">
                  <c:v>80.696971667975276</c:v>
                </c:pt>
                <c:pt idx="18">
                  <c:v>80.696971667975276</c:v>
                </c:pt>
                <c:pt idx="19">
                  <c:v>80.696971667975276</c:v>
                </c:pt>
                <c:pt idx="20">
                  <c:v>80.696971667975276</c:v>
                </c:pt>
              </c:numCache>
            </c:numRef>
          </c:yVal>
          <c:smooth val="1"/>
          <c:extLst xmlns:c16r2="http://schemas.microsoft.com/office/drawing/2015/06/chart">
            <c:ext xmlns:c16="http://schemas.microsoft.com/office/drawing/2014/chart" uri="{C3380CC4-5D6E-409C-BE32-E72D297353CC}">
              <c16:uniqueId val="{00000002-FC93-4B1B-928D-A68D21E05016}"/>
            </c:ext>
          </c:extLst>
        </c:ser>
        <c:dLbls>
          <c:showLegendKey val="0"/>
          <c:showVal val="0"/>
          <c:showCatName val="0"/>
          <c:showSerName val="0"/>
          <c:showPercent val="0"/>
          <c:showBubbleSize val="0"/>
        </c:dLbls>
        <c:axId val="159042560"/>
        <c:axId val="159048832"/>
      </c:scatterChart>
      <c:valAx>
        <c:axId val="159042560"/>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Pasiektas pirminės energijos sutaupymas, proc.</a:t>
                </a:r>
              </a:p>
            </c:rich>
          </c:tx>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048832"/>
        <c:crosses val="autoZero"/>
        <c:crossBetween val="midCat"/>
        <c:majorUnit val="0.1"/>
      </c:valAx>
      <c:valAx>
        <c:axId val="15904883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sutaupymų vertė, mlrd. Eur</a:t>
                </a:r>
              </a:p>
            </c:rich>
          </c:tx>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042560"/>
        <c:crosses val="autoZero"/>
        <c:crossBetween val="midCat"/>
      </c:valAx>
      <c:spPr>
        <a:noFill/>
        <a:ln>
          <a:solidFill>
            <a:sysClr val="windowText" lastClr="000000"/>
          </a:solidFill>
        </a:ln>
        <a:effectLst/>
      </c:spPr>
    </c:plotArea>
    <c:legend>
      <c:legendPos val="r"/>
      <c:layout>
        <c:manualLayout>
          <c:xMode val="edge"/>
          <c:yMode val="edge"/>
          <c:x val="0.77994801919291334"/>
          <c:y val="0.18041757683515366"/>
          <c:w val="0.20833323080708666"/>
          <c:h val="0.4210847515028363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98939122221646E-2"/>
          <c:y val="3.0715528909534964E-2"/>
          <c:w val="0.68598156659269027"/>
          <c:h val="0.8511367603977672"/>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CB5C-4BDA-9DF9-657CE135F6A4}"/>
            </c:ext>
          </c:extLst>
        </c:ser>
        <c:ser>
          <c:idx val="1"/>
          <c:order val="1"/>
          <c:tx>
            <c:strRef>
              <c:f>Sheet1!$D$3</c:f>
              <c:strCache>
                <c:ptCount val="1"/>
                <c:pt idx="0">
                  <c:v>Sutaupymo vertė (prie 47 €/MWh)</c:v>
                </c:pt>
              </c:strCache>
            </c:strRef>
          </c:tx>
          <c:spPr>
            <a:ln w="19050" cap="rnd">
              <a:solidFill>
                <a:srgbClr val="00B0F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Sheet1!$D$4:$D$24</c:f>
              <c:numCache>
                <c:formatCode>#,##0</c:formatCode>
                <c:ptCount val="21"/>
                <c:pt idx="1">
                  <c:v>0</c:v>
                </c:pt>
                <c:pt idx="2">
                  <c:v>2.0224191684136552</c:v>
                </c:pt>
                <c:pt idx="3">
                  <c:v>4.1363946303888186</c:v>
                </c:pt>
                <c:pt idx="4">
                  <c:v>6.1526005300587201</c:v>
                </c:pt>
                <c:pt idx="5">
                  <c:v>8.5630193407496904</c:v>
                </c:pt>
                <c:pt idx="6">
                  <c:v>10.529046537702545</c:v>
                </c:pt>
                <c:pt idx="7">
                  <c:v>12.594639614607077</c:v>
                </c:pt>
                <c:pt idx="8">
                  <c:v>14.901256081190846</c:v>
                </c:pt>
                <c:pt idx="9">
                  <c:v>17.095501141302233</c:v>
                </c:pt>
                <c:pt idx="10">
                  <c:v>19.029632705265463</c:v>
                </c:pt>
                <c:pt idx="11">
                  <c:v>21.013777764091287</c:v>
                </c:pt>
                <c:pt idx="12">
                  <c:v>23.461562677611184</c:v>
                </c:pt>
                <c:pt idx="13">
                  <c:v>25.752504360612686</c:v>
                </c:pt>
                <c:pt idx="14">
                  <c:v>27.935507929320451</c:v>
                </c:pt>
                <c:pt idx="15">
                  <c:v>28.084642389506172</c:v>
                </c:pt>
                <c:pt idx="16">
                  <c:v>28.084642389506172</c:v>
                </c:pt>
                <c:pt idx="17">
                  <c:v>28.084642389506172</c:v>
                </c:pt>
                <c:pt idx="18">
                  <c:v>28.084642389506172</c:v>
                </c:pt>
                <c:pt idx="19">
                  <c:v>28.084642389506172</c:v>
                </c:pt>
                <c:pt idx="20">
                  <c:v>28.084642389506172</c:v>
                </c:pt>
              </c:numCache>
            </c:numRef>
          </c:yVal>
          <c:smooth val="1"/>
          <c:extLst xmlns:c16r2="http://schemas.microsoft.com/office/drawing/2015/06/chart">
            <c:ext xmlns:c16="http://schemas.microsoft.com/office/drawing/2014/chart" uri="{C3380CC4-5D6E-409C-BE32-E72D297353CC}">
              <c16:uniqueId val="{00000001-CB5C-4BDA-9DF9-657CE135F6A4}"/>
            </c:ext>
          </c:extLst>
        </c:ser>
        <c:ser>
          <c:idx val="2"/>
          <c:order val="2"/>
          <c:tx>
            <c:strRef>
              <c:f>Sheet1!$E$3</c:f>
              <c:strCache>
                <c:ptCount val="1"/>
                <c:pt idx="0">
                  <c:v>Sutaupymo vertė (prie 51 €/MWh)</c:v>
                </c:pt>
              </c:strCache>
            </c:strRef>
          </c:tx>
          <c:spPr>
            <a:ln w="19050" cap="rnd">
              <a:solidFill>
                <a:srgbClr val="00206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Sheet1!$E$4:$E$24</c:f>
              <c:numCache>
                <c:formatCode>#,##0</c:formatCode>
                <c:ptCount val="21"/>
                <c:pt idx="1">
                  <c:v>0</c:v>
                </c:pt>
                <c:pt idx="2">
                  <c:v>2.3602514098360561</c:v>
                </c:pt>
                <c:pt idx="3">
                  <c:v>4.8443247820813733</c:v>
                </c:pt>
                <c:pt idx="4">
                  <c:v>7.2434394907698278</c:v>
                </c:pt>
                <c:pt idx="5">
                  <c:v>10.067878188177438</c:v>
                </c:pt>
                <c:pt idx="6">
                  <c:v>12.502209581373272</c:v>
                </c:pt>
                <c:pt idx="7">
                  <c:v>14.765221121254797</c:v>
                </c:pt>
                <c:pt idx="8">
                  <c:v>17.452898289712831</c:v>
                </c:pt>
                <c:pt idx="9">
                  <c:v>19.981716766902306</c:v>
                </c:pt>
                <c:pt idx="10">
                  <c:v>22.226283339930752</c:v>
                </c:pt>
                <c:pt idx="11">
                  <c:v>24.560681554092472</c:v>
                </c:pt>
                <c:pt idx="12">
                  <c:v>27.387167177854327</c:v>
                </c:pt>
                <c:pt idx="13">
                  <c:v>30.06638632280794</c:v>
                </c:pt>
                <c:pt idx="14">
                  <c:v>32.600261189714367</c:v>
                </c:pt>
                <c:pt idx="15">
                  <c:v>32.774802435101137</c:v>
                </c:pt>
                <c:pt idx="16">
                  <c:v>32.774802435101137</c:v>
                </c:pt>
                <c:pt idx="17">
                  <c:v>32.774802435101137</c:v>
                </c:pt>
                <c:pt idx="18">
                  <c:v>32.774802435101137</c:v>
                </c:pt>
                <c:pt idx="19">
                  <c:v>32.774802435101137</c:v>
                </c:pt>
                <c:pt idx="20">
                  <c:v>32.774802435101137</c:v>
                </c:pt>
              </c:numCache>
            </c:numRef>
          </c:yVal>
          <c:smooth val="1"/>
          <c:extLst xmlns:c16r2="http://schemas.microsoft.com/office/drawing/2015/06/chart">
            <c:ext xmlns:c16="http://schemas.microsoft.com/office/drawing/2014/chart" uri="{C3380CC4-5D6E-409C-BE32-E72D297353CC}">
              <c16:uniqueId val="{00000002-CB5C-4BDA-9DF9-657CE135F6A4}"/>
            </c:ext>
          </c:extLst>
        </c:ser>
        <c:ser>
          <c:idx val="3"/>
          <c:order val="3"/>
          <c:tx>
            <c:strRef>
              <c:f>Sheet1!$F$3</c:f>
              <c:strCache>
                <c:ptCount val="1"/>
                <c:pt idx="0">
                  <c:v>Sutaupymo vertė (prie 64 €/MWh)</c:v>
                </c:pt>
              </c:strCache>
            </c:strRef>
          </c:tx>
          <c:spPr>
            <a:ln w="19050" cap="rnd">
              <a:solidFill>
                <a:schemeClr val="bg1">
                  <a:lumMod val="50000"/>
                </a:schemeClr>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Sheet1!$F$4:$F$24</c:f>
              <c:numCache>
                <c:formatCode>#,##0</c:formatCode>
                <c:ptCount val="21"/>
                <c:pt idx="1">
                  <c:v>0</c:v>
                </c:pt>
                <c:pt idx="2">
                  <c:v>2.6888677959151126</c:v>
                </c:pt>
                <c:pt idx="3">
                  <c:v>5.5090069096609691</c:v>
                </c:pt>
                <c:pt idx="4">
                  <c:v>8.2040931516414748</c:v>
                </c:pt>
                <c:pt idx="5">
                  <c:v>11.429873148374769</c:v>
                </c:pt>
                <c:pt idx="6">
                  <c:v>14.389928643098699</c:v>
                </c:pt>
                <c:pt idx="7">
                  <c:v>16.869097855418914</c:v>
                </c:pt>
                <c:pt idx="8">
                  <c:v>19.76513610878883</c:v>
                </c:pt>
                <c:pt idx="9">
                  <c:v>22.620839681306435</c:v>
                </c:pt>
                <c:pt idx="10">
                  <c:v>25.140923916855868</c:v>
                </c:pt>
                <c:pt idx="11">
                  <c:v>27.80850348738711</c:v>
                </c:pt>
                <c:pt idx="12">
                  <c:v>30.978449404034524</c:v>
                </c:pt>
                <c:pt idx="13">
                  <c:v>34.022001231705808</c:v>
                </c:pt>
                <c:pt idx="14">
                  <c:v>36.868547454664707</c:v>
                </c:pt>
                <c:pt idx="15">
                  <c:v>37.06630537388758</c:v>
                </c:pt>
                <c:pt idx="16">
                  <c:v>37.066305373887587</c:v>
                </c:pt>
                <c:pt idx="17">
                  <c:v>37.066305373887587</c:v>
                </c:pt>
                <c:pt idx="18">
                  <c:v>37.066305373887587</c:v>
                </c:pt>
                <c:pt idx="19">
                  <c:v>37.066305373887587</c:v>
                </c:pt>
                <c:pt idx="20">
                  <c:v>37.066305373887587</c:v>
                </c:pt>
              </c:numCache>
            </c:numRef>
          </c:yVal>
          <c:smooth val="1"/>
          <c:extLst xmlns:c16r2="http://schemas.microsoft.com/office/drawing/2015/06/chart">
            <c:ext xmlns:c16="http://schemas.microsoft.com/office/drawing/2014/chart" uri="{C3380CC4-5D6E-409C-BE32-E72D297353CC}">
              <c16:uniqueId val="{00000003-CB5C-4BDA-9DF9-657CE135F6A4}"/>
            </c:ext>
          </c:extLst>
        </c:ser>
        <c:dLbls>
          <c:showLegendKey val="0"/>
          <c:showVal val="0"/>
          <c:showCatName val="0"/>
          <c:showSerName val="0"/>
          <c:showPercent val="0"/>
          <c:showBubbleSize val="0"/>
        </c:dLbls>
        <c:axId val="159105408"/>
        <c:axId val="159107328"/>
      </c:scatterChart>
      <c:valAx>
        <c:axId val="159105408"/>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Sutaupytas pirminė energija, proc.</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107328"/>
        <c:crosses val="autoZero"/>
        <c:crossBetween val="midCat"/>
      </c:valAx>
      <c:valAx>
        <c:axId val="159107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energijos sutaupymų vertė. mlrd. Eur</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105408"/>
        <c:crosses val="autoZero"/>
        <c:crossBetween val="midCat"/>
      </c:valAx>
      <c:spPr>
        <a:noFill/>
        <a:ln>
          <a:solidFill>
            <a:sysClr val="windowText" lastClr="000000"/>
          </a:solidFill>
        </a:ln>
        <a:effectLst/>
      </c:spPr>
    </c:plotArea>
    <c:legend>
      <c:legendPos val="r"/>
      <c:layout>
        <c:manualLayout>
          <c:xMode val="edge"/>
          <c:yMode val="edge"/>
          <c:x val="0.81279946451541041"/>
          <c:y val="0.15171184656395031"/>
          <c:w val="0.15100675340535658"/>
          <c:h val="0.5704361520027388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667537177377234"/>
          <c:y val="3.0715528909534964E-2"/>
          <c:w val="0.66740512254491346"/>
          <c:h val="0.82227676085943779"/>
        </c:manualLayout>
      </c:layout>
      <c:scatterChart>
        <c:scatterStyle val="smoothMarker"/>
        <c:varyColors val="0"/>
        <c:ser>
          <c:idx val="0"/>
          <c:order val="0"/>
          <c:tx>
            <c:strRef>
              <c:f>Sheet1!$C$3</c:f>
              <c:strCache>
                <c:ptCount val="1"/>
                <c:pt idx="0">
                  <c:v>Investicijos</c:v>
                </c:pt>
              </c:strCache>
            </c:strRef>
          </c:tx>
          <c:spPr>
            <a:ln w="19050" cap="rnd">
              <a:solidFill>
                <a:srgbClr val="C00000"/>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Sheet1!$C$4:$C$24</c:f>
              <c:numCache>
                <c:formatCode>#,##0</c:formatCode>
                <c:ptCount val="21"/>
                <c:pt idx="1">
                  <c:v>0</c:v>
                </c:pt>
                <c:pt idx="2">
                  <c:v>1.8393594420281363</c:v>
                </c:pt>
                <c:pt idx="3">
                  <c:v>4.2630158523317441</c:v>
                </c:pt>
                <c:pt idx="4">
                  <c:v>7.0021053256956129</c:v>
                </c:pt>
                <c:pt idx="5">
                  <c:v>10.517819250076725</c:v>
                </c:pt>
                <c:pt idx="6">
                  <c:v>13.46492465677154</c:v>
                </c:pt>
                <c:pt idx="7">
                  <c:v>16.85258329420817</c:v>
                </c:pt>
                <c:pt idx="8">
                  <c:v>20.593081371688491</c:v>
                </c:pt>
                <c:pt idx="9">
                  <c:v>25.515267297242843</c:v>
                </c:pt>
                <c:pt idx="10">
                  <c:v>29.740438140224157</c:v>
                </c:pt>
                <c:pt idx="11">
                  <c:v>34.547825780015351</c:v>
                </c:pt>
                <c:pt idx="12">
                  <c:v>41.16799371474783</c:v>
                </c:pt>
                <c:pt idx="13">
                  <c:v>49.078604122228818</c:v>
                </c:pt>
                <c:pt idx="14">
                  <c:v>58.926459759340446</c:v>
                </c:pt>
                <c:pt idx="15">
                  <c:v>59.786737816442155</c:v>
                </c:pt>
                <c:pt idx="16">
                  <c:v>59.786737816442155</c:v>
                </c:pt>
                <c:pt idx="17">
                  <c:v>59.786737816442155</c:v>
                </c:pt>
                <c:pt idx="18">
                  <c:v>59.786737816442155</c:v>
                </c:pt>
                <c:pt idx="19">
                  <c:v>59.786737816442155</c:v>
                </c:pt>
                <c:pt idx="20">
                  <c:v>59.786737816442155</c:v>
                </c:pt>
              </c:numCache>
            </c:numRef>
          </c:yVal>
          <c:smooth val="1"/>
          <c:extLst xmlns:c16r2="http://schemas.microsoft.com/office/drawing/2015/06/chart">
            <c:ext xmlns:c16="http://schemas.microsoft.com/office/drawing/2014/chart" uri="{C3380CC4-5D6E-409C-BE32-E72D297353CC}">
              <c16:uniqueId val="{00000000-7C28-4742-BB38-A05A78DDC6F1}"/>
            </c:ext>
          </c:extLst>
        </c:ser>
        <c:ser>
          <c:idx val="3"/>
          <c:order val="1"/>
          <c:tx>
            <c:strRef>
              <c:f>Sheet1!$F$3</c:f>
              <c:strCache>
                <c:ptCount val="1"/>
                <c:pt idx="0">
                  <c:v>Sutaupymo vertė (prie 64 €/MWh)</c:v>
                </c:pt>
              </c:strCache>
            </c:strRef>
          </c:tx>
          <c:spPr>
            <a:ln w="19050" cap="rnd">
              <a:solidFill>
                <a:schemeClr val="bg1">
                  <a:lumMod val="50000"/>
                </a:schemeClr>
              </a:solidFill>
              <a:round/>
            </a:ln>
            <a:effectLst/>
          </c:spPr>
          <c:marker>
            <c:symbol val="none"/>
          </c:marker>
          <c:xVal>
            <c:numRef>
              <c:f>Sheet1!$B$4:$B$24</c:f>
              <c:numCache>
                <c:formatCode>0%</c:formatCode>
                <c:ptCount val="21"/>
                <c:pt idx="1">
                  <c:v>0</c:v>
                </c:pt>
                <c:pt idx="2">
                  <c:v>0.05</c:v>
                </c:pt>
                <c:pt idx="3">
                  <c:v>0.1</c:v>
                </c:pt>
                <c:pt idx="4">
                  <c:v>0.15</c:v>
                </c:pt>
                <c:pt idx="5">
                  <c:v>0.2</c:v>
                </c:pt>
                <c:pt idx="6">
                  <c:v>0.25</c:v>
                </c:pt>
                <c:pt idx="7">
                  <c:v>0.3</c:v>
                </c:pt>
                <c:pt idx="8">
                  <c:v>0.35</c:v>
                </c:pt>
                <c:pt idx="9">
                  <c:v>0.4</c:v>
                </c:pt>
                <c:pt idx="10">
                  <c:v>0.45</c:v>
                </c:pt>
                <c:pt idx="11">
                  <c:v>0.5</c:v>
                </c:pt>
                <c:pt idx="12">
                  <c:v>0.55000000000000004</c:v>
                </c:pt>
                <c:pt idx="13">
                  <c:v>0.6</c:v>
                </c:pt>
                <c:pt idx="14">
                  <c:v>0.65</c:v>
                </c:pt>
                <c:pt idx="15" formatCode="0.0%">
                  <c:v>0.65300000000000002</c:v>
                </c:pt>
                <c:pt idx="16">
                  <c:v>0.7</c:v>
                </c:pt>
                <c:pt idx="17">
                  <c:v>0.75</c:v>
                </c:pt>
                <c:pt idx="18">
                  <c:v>0.8</c:v>
                </c:pt>
                <c:pt idx="19">
                  <c:v>0.9</c:v>
                </c:pt>
                <c:pt idx="20">
                  <c:v>1</c:v>
                </c:pt>
              </c:numCache>
            </c:numRef>
          </c:xVal>
          <c:yVal>
            <c:numRef>
              <c:f>Sheet1!$F$4:$F$24</c:f>
              <c:numCache>
                <c:formatCode>#,##0</c:formatCode>
                <c:ptCount val="21"/>
                <c:pt idx="1">
                  <c:v>0</c:v>
                </c:pt>
                <c:pt idx="2">
                  <c:v>2.6888677959151126</c:v>
                </c:pt>
                <c:pt idx="3">
                  <c:v>5.5090069096609691</c:v>
                </c:pt>
                <c:pt idx="4">
                  <c:v>8.2040931516414748</c:v>
                </c:pt>
                <c:pt idx="5">
                  <c:v>11.429873148374769</c:v>
                </c:pt>
                <c:pt idx="6">
                  <c:v>14.389928643098699</c:v>
                </c:pt>
                <c:pt idx="7">
                  <c:v>16.869097855418914</c:v>
                </c:pt>
                <c:pt idx="8">
                  <c:v>19.76513610878883</c:v>
                </c:pt>
                <c:pt idx="9">
                  <c:v>22.620839681306435</c:v>
                </c:pt>
                <c:pt idx="10">
                  <c:v>25.140923916855868</c:v>
                </c:pt>
                <c:pt idx="11">
                  <c:v>27.80850348738711</c:v>
                </c:pt>
                <c:pt idx="12">
                  <c:v>30.978449404034524</c:v>
                </c:pt>
                <c:pt idx="13">
                  <c:v>34.022001231705808</c:v>
                </c:pt>
                <c:pt idx="14">
                  <c:v>36.868547454664707</c:v>
                </c:pt>
                <c:pt idx="15">
                  <c:v>37.06630537388758</c:v>
                </c:pt>
                <c:pt idx="16">
                  <c:v>37.066305373887587</c:v>
                </c:pt>
                <c:pt idx="17">
                  <c:v>37.066305373887587</c:v>
                </c:pt>
                <c:pt idx="18">
                  <c:v>37.066305373887587</c:v>
                </c:pt>
                <c:pt idx="19">
                  <c:v>37.066305373887587</c:v>
                </c:pt>
                <c:pt idx="20">
                  <c:v>37.066305373887587</c:v>
                </c:pt>
              </c:numCache>
            </c:numRef>
          </c:yVal>
          <c:smooth val="1"/>
          <c:extLst xmlns:c16r2="http://schemas.microsoft.com/office/drawing/2015/06/chart">
            <c:ext xmlns:c16="http://schemas.microsoft.com/office/drawing/2014/chart" uri="{C3380CC4-5D6E-409C-BE32-E72D297353CC}">
              <c16:uniqueId val="{00000001-7C28-4742-BB38-A05A78DDC6F1}"/>
            </c:ext>
          </c:extLst>
        </c:ser>
        <c:ser>
          <c:idx val="1"/>
          <c:order val="2"/>
          <c:tx>
            <c:strRef>
              <c:f>Sheet1!$J$3</c:f>
              <c:strCache>
                <c:ptCount val="1"/>
                <c:pt idx="0">
                  <c:v>Sutaupymo vertė + ekonominės naudos
</c:v>
                </c:pt>
              </c:strCache>
            </c:strRef>
          </c:tx>
          <c:spPr>
            <a:ln w="19050" cap="rnd">
              <a:solidFill>
                <a:schemeClr val="bg1">
                  <a:lumMod val="50000"/>
                </a:schemeClr>
              </a:solidFill>
              <a:prstDash val="sysDash"/>
              <a:round/>
            </a:ln>
            <a:effectLst/>
          </c:spPr>
          <c:marker>
            <c:symbol val="none"/>
          </c:marker>
          <c:xVal>
            <c:numRef>
              <c:f>Sheet1!$B$5:$B$24</c:f>
              <c:numCache>
                <c:formatCode>0%</c:formatCode>
                <c:ptCount val="20"/>
                <c:pt idx="0">
                  <c:v>0</c:v>
                </c:pt>
                <c:pt idx="1">
                  <c:v>0.05</c:v>
                </c:pt>
                <c:pt idx="2">
                  <c:v>0.1</c:v>
                </c:pt>
                <c:pt idx="3">
                  <c:v>0.15</c:v>
                </c:pt>
                <c:pt idx="4">
                  <c:v>0.2</c:v>
                </c:pt>
                <c:pt idx="5">
                  <c:v>0.25</c:v>
                </c:pt>
                <c:pt idx="6">
                  <c:v>0.3</c:v>
                </c:pt>
                <c:pt idx="7">
                  <c:v>0.35</c:v>
                </c:pt>
                <c:pt idx="8">
                  <c:v>0.4</c:v>
                </c:pt>
                <c:pt idx="9">
                  <c:v>0.45</c:v>
                </c:pt>
                <c:pt idx="10">
                  <c:v>0.5</c:v>
                </c:pt>
                <c:pt idx="11">
                  <c:v>0.55000000000000004</c:v>
                </c:pt>
                <c:pt idx="12">
                  <c:v>0.6</c:v>
                </c:pt>
                <c:pt idx="13">
                  <c:v>0.65</c:v>
                </c:pt>
                <c:pt idx="14" formatCode="0.0%">
                  <c:v>0.65300000000000002</c:v>
                </c:pt>
                <c:pt idx="15">
                  <c:v>0.7</c:v>
                </c:pt>
                <c:pt idx="16">
                  <c:v>0.75</c:v>
                </c:pt>
                <c:pt idx="17">
                  <c:v>0.8</c:v>
                </c:pt>
                <c:pt idx="18">
                  <c:v>0.9</c:v>
                </c:pt>
                <c:pt idx="19">
                  <c:v>1</c:v>
                </c:pt>
              </c:numCache>
            </c:numRef>
          </c:xVal>
          <c:yVal>
            <c:numRef>
              <c:f>Sheet1!$J$5:$J$24</c:f>
              <c:numCache>
                <c:formatCode>#,##0</c:formatCode>
                <c:ptCount val="20"/>
                <c:pt idx="0">
                  <c:v>0</c:v>
                </c:pt>
                <c:pt idx="1">
                  <c:v>4.3075041048998726</c:v>
                </c:pt>
                <c:pt idx="2">
                  <c:v>9.2604608597129037</c:v>
                </c:pt>
                <c:pt idx="3">
                  <c:v>14.365945838253614</c:v>
                </c:pt>
                <c:pt idx="4">
                  <c:v>20.685554088442288</c:v>
                </c:pt>
                <c:pt idx="5">
                  <c:v>26.239062341057654</c:v>
                </c:pt>
                <c:pt idx="6">
                  <c:v>31.699371154322105</c:v>
                </c:pt>
                <c:pt idx="7">
                  <c:v>37.887047715874701</c:v>
                </c:pt>
                <c:pt idx="8">
                  <c:v>45.074274902880134</c:v>
                </c:pt>
                <c:pt idx="9">
                  <c:v>51.312509480253127</c:v>
                </c:pt>
                <c:pt idx="10">
                  <c:v>58.210590173800618</c:v>
                </c:pt>
                <c:pt idx="11">
                  <c:v>67.206283873012609</c:v>
                </c:pt>
                <c:pt idx="12">
                  <c:v>77.211172859267165</c:v>
                </c:pt>
                <c:pt idx="13">
                  <c:v>88.723832042884297</c:v>
                </c:pt>
                <c:pt idx="14">
                  <c:v>89.678634652356678</c:v>
                </c:pt>
                <c:pt idx="15">
                  <c:v>89.678634652356692</c:v>
                </c:pt>
                <c:pt idx="16">
                  <c:v>89.678634652356692</c:v>
                </c:pt>
                <c:pt idx="17">
                  <c:v>89.678634652356692</c:v>
                </c:pt>
                <c:pt idx="18">
                  <c:v>89.678634652356692</c:v>
                </c:pt>
                <c:pt idx="19">
                  <c:v>89.678634652356692</c:v>
                </c:pt>
              </c:numCache>
            </c:numRef>
          </c:yVal>
          <c:smooth val="1"/>
          <c:extLst xmlns:c16r2="http://schemas.microsoft.com/office/drawing/2015/06/chart">
            <c:ext xmlns:c16="http://schemas.microsoft.com/office/drawing/2014/chart" uri="{C3380CC4-5D6E-409C-BE32-E72D297353CC}">
              <c16:uniqueId val="{00000002-7C28-4742-BB38-A05A78DDC6F1}"/>
            </c:ext>
          </c:extLst>
        </c:ser>
        <c:dLbls>
          <c:showLegendKey val="0"/>
          <c:showVal val="0"/>
          <c:showCatName val="0"/>
          <c:showSerName val="0"/>
          <c:showPercent val="0"/>
          <c:showBubbleSize val="0"/>
        </c:dLbls>
        <c:axId val="159295744"/>
        <c:axId val="159302016"/>
      </c:scatterChart>
      <c:valAx>
        <c:axId val="159295744"/>
        <c:scaling>
          <c:orientation val="minMax"/>
          <c:max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Sutaupyta pirminė energija, proc.</a:t>
                </a:r>
              </a:p>
            </c:rich>
          </c:tx>
          <c:layout/>
          <c:overlay val="0"/>
          <c:spPr>
            <a:noFill/>
            <a:ln>
              <a:noFill/>
            </a:ln>
            <a:effectLst/>
          </c:spPr>
        </c:title>
        <c:numFmt formatCode="0%" sourceLinked="0"/>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302016"/>
        <c:crosses val="autoZero"/>
        <c:crossBetween val="midCat"/>
      </c:valAx>
      <c:valAx>
        <c:axId val="159302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r>
                  <a:rPr lang="lt-LT" sz="900"/>
                  <a:t>Investicijų ir energijos sutaupymų vertė. mlrd. Eur</a:t>
                </a:r>
              </a:p>
            </c:rich>
          </c:tx>
          <c:layout/>
          <c:overlay val="0"/>
          <c:spPr>
            <a:noFill/>
            <a:ln>
              <a:noFill/>
            </a:ln>
            <a:effectLst/>
          </c:spPr>
        </c:title>
        <c:numFmt formatCode="#,##0"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crossAx val="159295744"/>
        <c:crosses val="autoZero"/>
        <c:crossBetween val="midCat"/>
      </c:valAx>
      <c:spPr>
        <a:noFill/>
        <a:ln>
          <a:solidFill>
            <a:sysClr val="windowText" lastClr="000000"/>
          </a:solidFill>
        </a:ln>
        <a:effectLst/>
      </c:spPr>
    </c:plotArea>
    <c:legend>
      <c:legendPos val="r"/>
      <c:layout>
        <c:manualLayout>
          <c:xMode val="edge"/>
          <c:yMode val="edge"/>
          <c:x val="0.79670421360033372"/>
          <c:y val="0.16043259744047145"/>
          <c:w val="0.18869420108468921"/>
          <c:h val="0.640654766639018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solidFill>
            <a:sysClr val="windowText" lastClr="000000"/>
          </a:solidFill>
          <a:latin typeface="+mn-lt"/>
          <a:cs typeface="Times New Roman" panose="02020603050405020304" pitchFamily="18" charset="0"/>
        </a:defRPr>
      </a:pPr>
      <a:endParaRPr lang="lt-LT"/>
    </a:p>
  </c:txPr>
  <c:externalData r:id="rId1">
    <c:autoUpdate val="0"/>
  </c:externalData>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54288899204498"/>
          <c:y val="5.627195319745671E-2"/>
          <c:w val="0.8738205110615429"/>
          <c:h val="0.82862388989905211"/>
        </c:manualLayout>
      </c:layout>
      <c:barChart>
        <c:barDir val="col"/>
        <c:grouping val="stacked"/>
        <c:varyColors val="0"/>
        <c:ser>
          <c:idx val="0"/>
          <c:order val="0"/>
          <c:tx>
            <c:strRef>
              <c:f>'Waterfall (2)'!$C$4</c:f>
              <c:strCache>
                <c:ptCount val="1"/>
                <c:pt idx="0">
                  <c:v>Base</c:v>
                </c:pt>
              </c:strCache>
            </c:strRef>
          </c:tx>
          <c:spPr>
            <a:no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1-16C5-499B-AA8B-D1839F6DB44A}"/>
              </c:ext>
            </c:extLst>
          </c:dPt>
          <c:dPt>
            <c:idx val="1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16C5-499B-AA8B-D1839F6DB44A}"/>
              </c:ext>
            </c:extLst>
          </c:dPt>
          <c:dPt>
            <c:idx val="1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5-16C5-499B-AA8B-D1839F6DB44A}"/>
              </c:ext>
            </c:extLst>
          </c:dPt>
          <c:dLbls>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6C5-499B-AA8B-D1839F6DB44A}"/>
                </c:ext>
              </c:extLst>
            </c:dLbl>
            <c:dLbl>
              <c:idx val="14"/>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6C5-499B-AA8B-D1839F6DB44A}"/>
                </c:ext>
              </c:extLst>
            </c:dLbl>
            <c:numFmt formatCode="#,##0.0" sourceLinked="0"/>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(2)'!$C$5:$C$19</c:f>
              <c:numCache>
                <c:formatCode>#,##0.0\ ;\ \-\ #,##0.0\ ;\ \-\ </c:formatCode>
                <c:ptCount val="15"/>
                <c:pt idx="1">
                  <c:v>36.744579653159974</c:v>
                </c:pt>
                <c:pt idx="2">
                  <c:v>35.068011187037669</c:v>
                </c:pt>
                <c:pt idx="3">
                  <c:v>31.339724259177213</c:v>
                </c:pt>
                <c:pt idx="4">
                  <c:v>25.35876341174837</c:v>
                </c:pt>
                <c:pt idx="5">
                  <c:v>23.273381616325487</c:v>
                </c:pt>
                <c:pt idx="6">
                  <c:v>19.997324449260375</c:v>
                </c:pt>
                <c:pt idx="7">
                  <c:v>19.693831731727268</c:v>
                </c:pt>
                <c:pt idx="8">
                  <c:v>18.142398513315982</c:v>
                </c:pt>
                <c:pt idx="9">
                  <c:v>18.07710777965038</c:v>
                </c:pt>
                <c:pt idx="10">
                  <c:v>17.624789060302891</c:v>
                </c:pt>
                <c:pt idx="11">
                  <c:v>15.839169040042506</c:v>
                </c:pt>
                <c:pt idx="12">
                  <c:v>15.839169040042506</c:v>
                </c:pt>
                <c:pt idx="13">
                  <c:v>15.839169040042506</c:v>
                </c:pt>
                <c:pt idx="14">
                  <c:v>16.162355587344955</c:v>
                </c:pt>
              </c:numCache>
            </c:numRef>
          </c:val>
          <c:extLst xmlns:c16r2="http://schemas.microsoft.com/office/drawing/2015/06/chart">
            <c:ext xmlns:c16="http://schemas.microsoft.com/office/drawing/2014/chart" uri="{C3380CC4-5D6E-409C-BE32-E72D297353CC}">
              <c16:uniqueId val="{00000006-16C5-499B-AA8B-D1839F6DB44A}"/>
            </c:ext>
          </c:extLst>
        </c:ser>
        <c:ser>
          <c:idx val="1"/>
          <c:order val="1"/>
          <c:tx>
            <c:strRef>
              <c:f>'Waterfall (2)'!$D$4</c:f>
              <c:strCache>
                <c:ptCount val="1"/>
                <c:pt idx="0">
                  <c:v>Down</c:v>
                </c:pt>
              </c:strCache>
            </c:strRef>
          </c:tx>
          <c:spPr>
            <a:solidFill>
              <a:srgbClr val="00206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6C5-499B-AA8B-D1839F6DB44A}"/>
                </c:ext>
              </c:extLst>
            </c:dLbl>
            <c:dLbl>
              <c:idx val="1"/>
              <c:layout>
                <c:manualLayout>
                  <c:x val="-2.3968291452904917E-17"/>
                  <c:y val="-5.676576798074015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6C5-499B-AA8B-D1839F6DB44A}"/>
                </c:ext>
              </c:extLst>
            </c:dLbl>
            <c:dLbl>
              <c:idx val="2"/>
              <c:layout>
                <c:manualLayout>
                  <c:x val="-4.7936582905809834E-17"/>
                  <c:y val="-4.130411401452499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16C5-499B-AA8B-D1839F6DB44A}"/>
                </c:ext>
              </c:extLst>
            </c:dLbl>
            <c:dLbl>
              <c:idx val="3"/>
              <c:layout>
                <c:manualLayout>
                  <c:x val="-4.7936582905809834E-17"/>
                  <c:y val="-6.1704849307973583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6C5-499B-AA8B-D1839F6DB44A}"/>
                </c:ext>
              </c:extLst>
            </c:dLbl>
            <c:dLbl>
              <c:idx val="4"/>
              <c:layout>
                <c:manualLayout>
                  <c:x val="0"/>
                  <c:y val="-8.025515796415949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6C5-499B-AA8B-D1839F6DB44A}"/>
                </c:ext>
              </c:extLst>
            </c:dLbl>
            <c:dLbl>
              <c:idx val="5"/>
              <c:layout>
                <c:manualLayout>
                  <c:x val="-4.7936582905809834E-17"/>
                  <c:y val="-4.407520433765631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6C5-499B-AA8B-D1839F6DB44A}"/>
                </c:ext>
              </c:extLst>
            </c:dLbl>
            <c:dLbl>
              <c:idx val="6"/>
              <c:layout>
                <c:manualLayout>
                  <c:x val="-9.5873165811619668E-17"/>
                  <c:y val="-5.4312424009758782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6C5-499B-AA8B-D1839F6DB44A}"/>
                </c:ext>
              </c:extLst>
            </c:dLbl>
            <c:dLbl>
              <c:idx val="8"/>
              <c:layout>
                <c:manualLayout>
                  <c:x val="-9.5873165811619668E-17"/>
                  <c:y val="-4.0145049571888657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16C5-499B-AA8B-D1839F6DB44A}"/>
                </c:ext>
              </c:extLst>
            </c:dLbl>
            <c:dLbl>
              <c:idx val="11"/>
              <c:layout>
                <c:manualLayout>
                  <c:x val="9.5873165811619668E-17"/>
                  <c:y val="-4.261131449991627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16C5-499B-AA8B-D1839F6DB44A}"/>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16C5-499B-AA8B-D1839F6DB44A}"/>
                </c:ext>
              </c:extLst>
            </c:dLbl>
            <c:dLbl>
              <c:idx val="13"/>
              <c:layout>
                <c:manualLayout>
                  <c:x val="-1.3292030940928899E-3"/>
                  <c:y val="-3.9117067844525302E-2"/>
                </c:manualLayout>
              </c:layout>
              <c:tx>
                <c:rich>
                  <a:bodyPr/>
                  <a:lstStyle/>
                  <a:p>
                    <a:r>
                      <a:rPr lang="en-US"/>
                      <a:t>0,3</a:t>
                    </a:r>
                  </a:p>
                </c:rich>
              </c:tx>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7161604056845108E-2"/>
                      <c:h val="2.9201811650376549E-2"/>
                    </c:manualLayout>
                  </c15:layout>
                  <c15:showDataLabelsRange val="0"/>
                </c:ext>
                <c:ext xmlns:c16="http://schemas.microsoft.com/office/drawing/2014/chart" uri="{C3380CC4-5D6E-409C-BE32-E72D297353CC}">
                  <c16:uniqueId val="{00000011-16C5-499B-AA8B-D1839F6DB44A}"/>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16C5-499B-AA8B-D1839F6DB44A}"/>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(2)'!$D$5:$D$19</c:f>
              <c:numCache>
                <c:formatCode>#,##0.0\ ;\ \-\ #,##0.0\ ;\ \-\ </c:formatCode>
                <c:ptCount val="15"/>
                <c:pt idx="0">
                  <c:v>0</c:v>
                </c:pt>
                <c:pt idx="1">
                  <c:v>4.0827310725733303</c:v>
                </c:pt>
                <c:pt idx="2">
                  <c:v>1.6765684661223079</c:v>
                </c:pt>
                <c:pt idx="3">
                  <c:v>3.7282869278604549</c:v>
                </c:pt>
                <c:pt idx="4">
                  <c:v>5.9809608474288414</c:v>
                </c:pt>
                <c:pt idx="5">
                  <c:v>2.0853817954228813</c:v>
                </c:pt>
                <c:pt idx="6">
                  <c:v>3.2760571670651135</c:v>
                </c:pt>
                <c:pt idx="7">
                  <c:v>0.30349271753310741</c:v>
                </c:pt>
                <c:pt idx="8">
                  <c:v>1.5514332184112858</c:v>
                </c:pt>
                <c:pt idx="9">
                  <c:v>6.529073366560309E-2</c:v>
                </c:pt>
                <c:pt idx="10">
                  <c:v>0.45231871934748674</c:v>
                </c:pt>
                <c:pt idx="11">
                  <c:v>1.7856200202603854</c:v>
                </c:pt>
                <c:pt idx="12">
                  <c:v>0</c:v>
                </c:pt>
                <c:pt idx="13">
                  <c:v>0</c:v>
                </c:pt>
                <c:pt idx="14">
                  <c:v>0</c:v>
                </c:pt>
              </c:numCache>
            </c:numRef>
          </c:val>
          <c:extLst xmlns:c16r2="http://schemas.microsoft.com/office/drawing/2015/06/chart">
            <c:ext xmlns:c16="http://schemas.microsoft.com/office/drawing/2014/chart" uri="{C3380CC4-5D6E-409C-BE32-E72D297353CC}">
              <c16:uniqueId val="{00000013-16C5-499B-AA8B-D1839F6DB44A}"/>
            </c:ext>
          </c:extLst>
        </c:ser>
        <c:ser>
          <c:idx val="2"/>
          <c:order val="2"/>
          <c:tx>
            <c:strRef>
              <c:f>'Waterfall (2)'!$E$4</c:f>
              <c:strCache>
                <c:ptCount val="1"/>
                <c:pt idx="0">
                  <c:v>Up</c:v>
                </c:pt>
              </c:strCache>
            </c:strRef>
          </c:tx>
          <c:spPr>
            <a:solidFill>
              <a:schemeClr val="tx1">
                <a:lumMod val="50000"/>
                <a:lumOff val="50000"/>
              </a:schemeClr>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15-16C5-499B-AA8B-D1839F6DB44A}"/>
              </c:ext>
            </c:extLst>
          </c:dPt>
          <c:dPt>
            <c:idx val="13"/>
            <c:invertIfNegative val="0"/>
            <c:bubble3D val="0"/>
            <c:extLst xmlns:c16r2="http://schemas.microsoft.com/office/drawing/2015/06/chart">
              <c:ext xmlns:c16="http://schemas.microsoft.com/office/drawing/2014/chart" uri="{C3380CC4-5D6E-409C-BE32-E72D297353CC}">
                <c16:uniqueId val="{00000017-16C5-499B-AA8B-D1839F6DB44A}"/>
              </c:ext>
            </c:extLst>
          </c:dPt>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16C5-499B-AA8B-D1839F6DB44A}"/>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(2)'!$E$5:$E$19</c:f>
              <c:numCache>
                <c:formatCode>#,##0.0\ ;\ \-\ #,##0.0\ ;\ \-\ </c:formatCode>
                <c:ptCount val="15"/>
                <c:pt idx="0">
                  <c:v>40.827310725733305</c:v>
                </c:pt>
                <c:pt idx="1">
                  <c:v>0</c:v>
                </c:pt>
                <c:pt idx="2">
                  <c:v>0</c:v>
                </c:pt>
                <c:pt idx="3">
                  <c:v>0</c:v>
                </c:pt>
                <c:pt idx="4">
                  <c:v>0</c:v>
                </c:pt>
                <c:pt idx="5">
                  <c:v>0</c:v>
                </c:pt>
                <c:pt idx="6">
                  <c:v>0</c:v>
                </c:pt>
                <c:pt idx="7">
                  <c:v>0</c:v>
                </c:pt>
                <c:pt idx="8">
                  <c:v>0</c:v>
                </c:pt>
                <c:pt idx="9">
                  <c:v>0</c:v>
                </c:pt>
                <c:pt idx="10">
                  <c:v>0</c:v>
                </c:pt>
                <c:pt idx="11">
                  <c:v>0</c:v>
                </c:pt>
                <c:pt idx="12">
                  <c:v>0</c:v>
                </c:pt>
                <c:pt idx="13">
                  <c:v>0.32318654730244817</c:v>
                </c:pt>
                <c:pt idx="14">
                  <c:v>0</c:v>
                </c:pt>
              </c:numCache>
            </c:numRef>
          </c:val>
          <c:extLst xmlns:c16r2="http://schemas.microsoft.com/office/drawing/2015/06/chart">
            <c:ext xmlns:c16="http://schemas.microsoft.com/office/drawing/2014/chart" uri="{C3380CC4-5D6E-409C-BE32-E72D297353CC}">
              <c16:uniqueId val="{00000018-16C5-499B-AA8B-D1839F6DB44A}"/>
            </c:ext>
          </c:extLst>
        </c:ser>
        <c:dLbls>
          <c:showLegendKey val="0"/>
          <c:showVal val="0"/>
          <c:showCatName val="0"/>
          <c:showSerName val="0"/>
          <c:showPercent val="0"/>
          <c:showBubbleSize val="0"/>
        </c:dLbls>
        <c:gapWidth val="29"/>
        <c:overlap val="100"/>
        <c:axId val="159618560"/>
        <c:axId val="159620096"/>
      </c:barChart>
      <c:catAx>
        <c:axId val="159618560"/>
        <c:scaling>
          <c:orientation val="minMax"/>
        </c:scaling>
        <c:delete val="1"/>
        <c:axPos val="b"/>
        <c:numFmt formatCode="General" sourceLinked="1"/>
        <c:majorTickMark val="none"/>
        <c:minorTickMark val="none"/>
        <c:tickLblPos val="nextTo"/>
        <c:crossAx val="159620096"/>
        <c:crosses val="autoZero"/>
        <c:auto val="1"/>
        <c:lblAlgn val="ctr"/>
        <c:lblOffset val="100"/>
        <c:noMultiLvlLbl val="0"/>
      </c:catAx>
      <c:valAx>
        <c:axId val="15962009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sz="1000" b="1"/>
                  <a:t>TWh/metus</a:t>
                </a:r>
              </a:p>
            </c:rich>
          </c:tx>
          <c:layout>
            <c:manualLayout>
              <c:xMode val="edge"/>
              <c:yMode val="edge"/>
              <c:x val="1.945661347975346E-2"/>
              <c:y val="0.38593460033687976"/>
            </c:manualLayout>
          </c:layout>
          <c:overlay val="0"/>
          <c:spPr>
            <a:noFill/>
            <a:ln>
              <a:noFill/>
            </a:ln>
            <a:effectLst/>
          </c:spPr>
        </c:title>
        <c:numFmt formatCode="#,##0.0\ ;\ \-\ #,##0.0\ ;\ \-\ "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9618560"/>
        <c:crosses val="autoZero"/>
        <c:crossBetween val="between"/>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100" b="0">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3062322229621255E-2"/>
          <c:y val="4.7532570876794245E-2"/>
          <c:w val="0.88939422565675019"/>
          <c:h val="0.85468713218426351"/>
        </c:manualLayout>
      </c:layout>
      <c:barChart>
        <c:barDir val="col"/>
        <c:grouping val="stacked"/>
        <c:varyColors val="0"/>
        <c:ser>
          <c:idx val="0"/>
          <c:order val="0"/>
          <c:tx>
            <c:strRef>
              <c:f>'Waterfall co2 (2)'!$C$4</c:f>
              <c:strCache>
                <c:ptCount val="1"/>
                <c:pt idx="0">
                  <c:v>Base</c:v>
                </c:pt>
              </c:strCache>
            </c:strRef>
          </c:tx>
          <c:spPr>
            <a:noFill/>
            <a:ln>
              <a:noFill/>
            </a:ln>
            <a:effectLst/>
          </c:spPr>
          <c:invertIfNegative val="0"/>
          <c:dPt>
            <c:idx val="4"/>
            <c:invertIfNegative val="0"/>
            <c:bubble3D val="0"/>
            <c:extLst xmlns:c16r2="http://schemas.microsoft.com/office/drawing/2015/06/chart">
              <c:ext xmlns:c16="http://schemas.microsoft.com/office/drawing/2014/chart" uri="{C3380CC4-5D6E-409C-BE32-E72D297353CC}">
                <c16:uniqueId val="{00000001-82B8-4DFE-A470-F1CC9D8E9C47}"/>
              </c:ext>
            </c:extLst>
          </c:dPt>
          <c:dPt>
            <c:idx val="12"/>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3-82B8-4DFE-A470-F1CC9D8E9C47}"/>
              </c:ext>
            </c:extLst>
          </c:dPt>
          <c:dPt>
            <c:idx val="14"/>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05-82B8-4DFE-A470-F1CC9D8E9C47}"/>
              </c:ext>
            </c:extLst>
          </c:dPt>
          <c:dLbls>
            <c:dLbl>
              <c:idx val="12"/>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2B8-4DFE-A470-F1CC9D8E9C47}"/>
                </c:ext>
              </c:extLst>
            </c:dLbl>
            <c:dLbl>
              <c:idx val="14"/>
              <c:layout>
                <c:manualLayout>
                  <c:x val="0"/>
                  <c:y val="-2.8137471117089162E-2"/>
                </c:manualLayout>
              </c:layout>
              <c:tx>
                <c:rich>
                  <a:bodyPr/>
                  <a:lstStyle/>
                  <a:p>
                    <a:r>
                      <a:rPr lang="en-US">
                        <a:solidFill>
                          <a:sysClr val="windowText" lastClr="000000"/>
                        </a:solidFill>
                      </a:rPr>
                      <a:t>0</a:t>
                    </a:r>
                  </a:p>
                </c:rich>
              </c:tx>
              <c:showLegendKey val="0"/>
              <c:showVal val="1"/>
              <c:showCatName val="0"/>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82B8-4DFE-A470-F1CC9D8E9C4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(2)'!$C$5:$C$19</c:f>
              <c:numCache>
                <c:formatCode>#,##0.0\ ;\ \-\ #,##0.0\ ;\ \-\ </c:formatCode>
                <c:ptCount val="15"/>
                <c:pt idx="1">
                  <c:v>4.7583577050127275</c:v>
                </c:pt>
                <c:pt idx="2">
                  <c:v>4.5454078979110362</c:v>
                </c:pt>
                <c:pt idx="3">
                  <c:v>4.1695903030260322</c:v>
                </c:pt>
                <c:pt idx="4">
                  <c:v>3.4687503023575603</c:v>
                </c:pt>
                <c:pt idx="5">
                  <c:v>3.0785729260331713</c:v>
                </c:pt>
                <c:pt idx="6">
                  <c:v>2.4576527903692766</c:v>
                </c:pt>
                <c:pt idx="7">
                  <c:v>2.4229502547235993</c:v>
                </c:pt>
                <c:pt idx="8">
                  <c:v>2.2191112451400254</c:v>
                </c:pt>
                <c:pt idx="9">
                  <c:v>2.205497116618143</c:v>
                </c:pt>
                <c:pt idx="10">
                  <c:v>2.109915146109028</c:v>
                </c:pt>
                <c:pt idx="11">
                  <c:v>1.4753893334894688</c:v>
                </c:pt>
                <c:pt idx="12">
                  <c:v>1.4753893334894688</c:v>
                </c:pt>
                <c:pt idx="13">
                  <c:v>2.2175228245921996E-2</c:v>
                </c:pt>
                <c:pt idx="14">
                  <c:v>2.2175228245921996E-2</c:v>
                </c:pt>
              </c:numCache>
            </c:numRef>
          </c:val>
          <c:extLst xmlns:c16r2="http://schemas.microsoft.com/office/drawing/2015/06/chart">
            <c:ext xmlns:c16="http://schemas.microsoft.com/office/drawing/2014/chart" uri="{C3380CC4-5D6E-409C-BE32-E72D297353CC}">
              <c16:uniqueId val="{00000006-82B8-4DFE-A470-F1CC9D8E9C47}"/>
            </c:ext>
          </c:extLst>
        </c:ser>
        <c:ser>
          <c:idx val="1"/>
          <c:order val="1"/>
          <c:tx>
            <c:strRef>
              <c:f>'Waterfall co2 (2)'!$D$4</c:f>
              <c:strCache>
                <c:ptCount val="1"/>
                <c:pt idx="0">
                  <c:v>Down</c:v>
                </c:pt>
              </c:strCache>
            </c:strRef>
          </c:tx>
          <c:spPr>
            <a:solidFill>
              <a:srgbClr val="002060"/>
            </a:solidFill>
            <a:ln>
              <a:noFill/>
            </a:ln>
            <a:effectLst/>
          </c:spPr>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2B8-4DFE-A470-F1CC9D8E9C47}"/>
                </c:ext>
              </c:extLst>
            </c:dLbl>
            <c:dLbl>
              <c:idx val="1"/>
              <c:layout>
                <c:manualLayout>
                  <c:x val="-2.4079157428716472E-17"/>
                  <c:y val="-5.672119070983417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2B8-4DFE-A470-F1CC9D8E9C47}"/>
                </c:ext>
              </c:extLst>
            </c:dLbl>
            <c:dLbl>
              <c:idx val="2"/>
              <c:layout>
                <c:manualLayout>
                  <c:x val="-4.8158314857432944E-17"/>
                  <c:y val="-3.751662815611865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2B8-4DFE-A470-F1CC9D8E9C47}"/>
                </c:ext>
              </c:extLst>
            </c:dLbl>
            <c:dLbl>
              <c:idx val="3"/>
              <c:layout>
                <c:manualLayout>
                  <c:x val="0"/>
                  <c:y val="-4.650732562014598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82B8-4DFE-A470-F1CC9D8E9C47}"/>
                </c:ext>
              </c:extLst>
            </c:dLbl>
            <c:dLbl>
              <c:idx val="4"/>
              <c:layout>
                <c:manualLayout>
                  <c:x val="-4.8158314857432944E-17"/>
                  <c:y val="-7.0253763432919225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2B8-4DFE-A470-F1CC9D8E9C47}"/>
                </c:ext>
              </c:extLst>
            </c:dLbl>
            <c:dLbl>
              <c:idx val="5"/>
              <c:layout>
                <c:manualLayout>
                  <c:x val="0"/>
                  <c:y val="-4.78294544303131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82B8-4DFE-A470-F1CC9D8E9C47}"/>
                </c:ext>
              </c:extLst>
            </c:dLbl>
            <c:dLbl>
              <c:idx val="6"/>
              <c:layout>
                <c:manualLayout>
                  <c:x val="-9.6316629714865889E-17"/>
                  <c:y val="-6.6566905422832889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82B8-4DFE-A470-F1CC9D8E9C47}"/>
                </c:ext>
              </c:extLst>
            </c:dLbl>
            <c:dLbl>
              <c:idx val="8"/>
              <c:layout>
                <c:manualLayout>
                  <c:x val="0"/>
                  <c:y val="-3.765325367204152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2B8-4DFE-A470-F1CC9D8E9C47}"/>
                </c:ext>
              </c:extLst>
            </c:dLbl>
            <c:dLbl>
              <c:idx val="11"/>
              <c:layout>
                <c:manualLayout>
                  <c:x val="-9.6316629714865889E-17"/>
                  <c:y val="-6.7942576664915766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82B8-4DFE-A470-F1CC9D8E9C47}"/>
                </c:ext>
              </c:extLst>
            </c:dLbl>
            <c:dLbl>
              <c:idx val="1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0-82B8-4DFE-A470-F1CC9D8E9C47}"/>
                </c:ext>
              </c:extLst>
            </c:dLbl>
            <c:dLbl>
              <c:idx val="13"/>
              <c:layout>
                <c:manualLayout>
                  <c:x val="1.3134237596289732E-3"/>
                  <c:y val="2.0914781680733863E-3"/>
                </c:manualLayout>
              </c:layout>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82B8-4DFE-A470-F1CC9D8E9C47}"/>
                </c:ext>
              </c:extLst>
            </c:dLbl>
            <c:dLbl>
              <c:idx val="1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82B8-4DFE-A470-F1CC9D8E9C47}"/>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(2)'!$D$5:$D$19</c:f>
              <c:numCache>
                <c:formatCode>#,##0.0\ ;\ \-\ #,##0.0\ ;\ \-\ </c:formatCode>
                <c:ptCount val="15"/>
                <c:pt idx="0">
                  <c:v>0</c:v>
                </c:pt>
                <c:pt idx="1">
                  <c:v>0.52870641166808108</c:v>
                </c:pt>
                <c:pt idx="2">
                  <c:v>0.2129498071016912</c:v>
                </c:pt>
                <c:pt idx="3">
                  <c:v>0.37581759488500383</c:v>
                </c:pt>
                <c:pt idx="4">
                  <c:v>0.70084000066847196</c:v>
                </c:pt>
                <c:pt idx="5">
                  <c:v>0.39017737632438887</c:v>
                </c:pt>
                <c:pt idx="6">
                  <c:v>0.62092013566389481</c:v>
                </c:pt>
                <c:pt idx="7" formatCode="#,##0.00\ ;\ \-\ #,##0.00\ ;\ \-\ ">
                  <c:v>3.47025356456774E-2</c:v>
                </c:pt>
                <c:pt idx="8">
                  <c:v>0.20383900958357379</c:v>
                </c:pt>
                <c:pt idx="9" formatCode="#,##0.00\ ;\ \-\ #,##0.00\ ;\ \-\ ">
                  <c:v>1.3614128521882502E-2</c:v>
                </c:pt>
                <c:pt idx="10">
                  <c:v>9.5581970509114822E-2</c:v>
                </c:pt>
                <c:pt idx="11">
                  <c:v>0.63452581261955932</c:v>
                </c:pt>
                <c:pt idx="12">
                  <c:v>0</c:v>
                </c:pt>
                <c:pt idx="13">
                  <c:v>1.4532141052435468</c:v>
                </c:pt>
                <c:pt idx="14">
                  <c:v>0</c:v>
                </c:pt>
              </c:numCache>
            </c:numRef>
          </c:val>
          <c:extLst xmlns:c16r2="http://schemas.microsoft.com/office/drawing/2015/06/chart">
            <c:ext xmlns:c16="http://schemas.microsoft.com/office/drawing/2014/chart" uri="{C3380CC4-5D6E-409C-BE32-E72D297353CC}">
              <c16:uniqueId val="{00000013-82B8-4DFE-A470-F1CC9D8E9C47}"/>
            </c:ext>
          </c:extLst>
        </c:ser>
        <c:ser>
          <c:idx val="2"/>
          <c:order val="2"/>
          <c:tx>
            <c:strRef>
              <c:f>'Waterfall co2 (2)'!$E$4</c:f>
              <c:strCache>
                <c:ptCount val="1"/>
                <c:pt idx="0">
                  <c:v>Up</c:v>
                </c:pt>
              </c:strCache>
            </c:strRef>
          </c:tx>
          <c:spPr>
            <a:solidFill>
              <a:schemeClr val="accent1"/>
            </a:solidFill>
            <a:ln>
              <a:noFill/>
            </a:ln>
            <a:effectLst/>
          </c:spPr>
          <c:invertIfNegative val="0"/>
          <c:dPt>
            <c:idx val="0"/>
            <c:invertIfNegative val="0"/>
            <c:bubble3D val="0"/>
            <c:spPr>
              <a:solidFill>
                <a:schemeClr val="bg1">
                  <a:lumMod val="50000"/>
                </a:schemeClr>
              </a:solidFill>
              <a:ln>
                <a:noFill/>
              </a:ln>
              <a:effectLst/>
            </c:spPr>
            <c:extLst xmlns:c16r2="http://schemas.microsoft.com/office/drawing/2015/06/chart">
              <c:ext xmlns:c16="http://schemas.microsoft.com/office/drawing/2014/chart" uri="{C3380CC4-5D6E-409C-BE32-E72D297353CC}">
                <c16:uniqueId val="{00000015-82B8-4DFE-A470-F1CC9D8E9C47}"/>
              </c:ext>
            </c:extLst>
          </c:dPt>
          <c:dLbls>
            <c:dLbl>
              <c:idx val="0"/>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5-82B8-4DFE-A470-F1CC9D8E9C47}"/>
                </c:ext>
              </c:extLst>
            </c:dLbl>
            <c:spPr>
              <a:noFill/>
              <a:ln>
                <a:noFill/>
              </a:ln>
              <a:effectLst/>
            </c:spPr>
            <c:txPr>
              <a:bodyPr rot="0" spcFirstLastPara="1" vertOverflow="ellipsis" vert="horz" wrap="square" anchor="ctr" anchorCtr="1"/>
              <a:lstStyle/>
              <a:p>
                <a:pPr>
                  <a:defRPr sz="900" b="1" i="0" u="none" strike="noStrike" kern="1200" baseline="0">
                    <a:solidFill>
                      <a:schemeClr val="bg1"/>
                    </a:solidFill>
                    <a:latin typeface="Arial" panose="020B0604020202020204" pitchFamily="34" charset="0"/>
                    <a:ea typeface="+mn-ea"/>
                    <a:cs typeface="Arial" panose="020B0604020202020204" pitchFamily="34" charset="0"/>
                  </a:defRPr>
                </a:pPr>
                <a:endParaRPr lang="lt-LT"/>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'Waterfall co2 (2)'!$B$5:$B$19</c:f>
              <c:strCache>
                <c:ptCount val="15"/>
                <c:pt idx="0">
                  <c:v>2020</c:v>
                </c:pt>
                <c:pt idx="1">
                  <c:v>Klimato
kaita</c:v>
                </c:pt>
                <c:pt idx="2">
                  <c:v>Natūralus mažėjimas</c:v>
                </c:pt>
                <c:pt idx="3">
                  <c:v>DGB
(≤D)</c:v>
                </c:pt>
                <c:pt idx="4">
                  <c:v>IND
(≤D)</c:v>
                </c:pt>
                <c:pt idx="5">
                  <c:v>PRA
(≤D)</c:v>
                </c:pt>
                <c:pt idx="6">
                  <c:v>NEG
(≤D)</c:v>
                </c:pt>
                <c:pt idx="7">
                  <c:v>DGB
(C)</c:v>
                </c:pt>
                <c:pt idx="8">
                  <c:v>IND
(C)</c:v>
                </c:pt>
                <c:pt idx="9">
                  <c:v>PRA
(C)</c:v>
                </c:pt>
                <c:pt idx="10">
                  <c:v>NEG
(C)</c:v>
                </c:pt>
                <c:pt idx="11">
                  <c:v>Pastatų žalėjimas</c:v>
                </c:pt>
                <c:pt idx="12">
                  <c:v>2050</c:v>
                </c:pt>
                <c:pt idx="13">
                  <c:v>Energetikos žalėjimas</c:v>
                </c:pt>
                <c:pt idx="14">
                  <c:v>2050+</c:v>
                </c:pt>
              </c:strCache>
            </c:strRef>
          </c:cat>
          <c:val>
            <c:numRef>
              <c:f>'Waterfall co2 (2)'!$E$5:$E$19</c:f>
              <c:numCache>
                <c:formatCode>#,##0.0\ ;\ \-\ #,##0.0\ ;\ \-\ </c:formatCode>
                <c:ptCount val="15"/>
                <c:pt idx="0">
                  <c:v>5.287064116680809</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extLst xmlns:c16r2="http://schemas.microsoft.com/office/drawing/2015/06/chart">
            <c:ext xmlns:c16="http://schemas.microsoft.com/office/drawing/2014/chart" uri="{C3380CC4-5D6E-409C-BE32-E72D297353CC}">
              <c16:uniqueId val="{00000016-82B8-4DFE-A470-F1CC9D8E9C47}"/>
            </c:ext>
          </c:extLst>
        </c:ser>
        <c:dLbls>
          <c:showLegendKey val="0"/>
          <c:showVal val="0"/>
          <c:showCatName val="0"/>
          <c:showSerName val="0"/>
          <c:showPercent val="0"/>
          <c:showBubbleSize val="0"/>
        </c:dLbls>
        <c:gapWidth val="29"/>
        <c:overlap val="100"/>
        <c:axId val="159830400"/>
        <c:axId val="159831936"/>
      </c:barChart>
      <c:catAx>
        <c:axId val="159830400"/>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9831936"/>
        <c:crosses val="autoZero"/>
        <c:auto val="1"/>
        <c:lblAlgn val="ctr"/>
        <c:lblOffset val="100"/>
        <c:noMultiLvlLbl val="0"/>
      </c:catAx>
      <c:valAx>
        <c:axId val="159831936"/>
        <c:scaling>
          <c:orientation val="minMax"/>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lt-LT"/>
                  <a:t>mCO2tne/metus</a:t>
                </a:r>
              </a:p>
            </c:rich>
          </c:tx>
          <c:layout>
            <c:manualLayout>
              <c:xMode val="edge"/>
              <c:yMode val="edge"/>
              <c:x val="8.1852361230699694E-3"/>
              <c:y val="0.34848015046372116"/>
            </c:manualLayout>
          </c:layout>
          <c:overlay val="0"/>
          <c:spPr>
            <a:noFill/>
            <a:ln>
              <a:noFill/>
            </a:ln>
            <a:effectLst/>
          </c:spPr>
        </c:title>
        <c:numFmt formatCode="#,##0.0\ ;\ \-\ #,##0.0\ ;\ \-\ "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lt-LT"/>
          </a:p>
        </c:txPr>
        <c:crossAx val="159830400"/>
        <c:crosses val="autoZero"/>
        <c:crossBetween val="between"/>
        <c:majorUnit val="0.5"/>
      </c:valAx>
      <c:spPr>
        <a:noFill/>
        <a:ln>
          <a:solidFill>
            <a:sysClr val="windowText" lastClr="000000"/>
          </a:solidFill>
        </a:ln>
        <a:effectLst/>
      </c:spPr>
    </c:plotArea>
    <c:plotVisOnly val="1"/>
    <c:dispBlanksAs val="gap"/>
    <c:showDLblsOverMax val="0"/>
  </c:chart>
  <c:spPr>
    <a:solidFill>
      <a:schemeClr val="bg1"/>
    </a:solidFill>
    <a:ln w="9525" cap="flat" cmpd="sng" algn="ctr">
      <a:noFill/>
      <a:round/>
    </a:ln>
    <a:effectLst/>
  </c:spPr>
  <c:txPr>
    <a:bodyPr/>
    <a:lstStyle/>
    <a:p>
      <a:pPr>
        <a:defRPr sz="1000" b="1">
          <a:solidFill>
            <a:sysClr val="windowText" lastClr="000000"/>
          </a:solidFill>
          <a:latin typeface="Arial" panose="020B0604020202020204" pitchFamily="34" charset="0"/>
          <a:cs typeface="Arial" panose="020B0604020202020204" pitchFamily="34" charset="0"/>
        </a:defRPr>
      </a:pPr>
      <a:endParaRPr lang="lt-LT"/>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a:t>
            </a:r>
            <a:r>
              <a:rPr lang="en-US" sz="900"/>
              <a:t> </a:t>
            </a:r>
            <a:r>
              <a:rPr lang="lt-LT" sz="900"/>
              <a:t>(tūkst. </a:t>
            </a:r>
            <a:r>
              <a:rPr lang="en-US" sz="900"/>
              <a:t>vnt.</a:t>
            </a:r>
            <a:r>
              <a:rPr lang="lt-LT" sz="900"/>
              <a:t>)</a:t>
            </a:r>
            <a:endParaRPr lang="en-US" sz="900"/>
          </a:p>
        </c:rich>
      </c:tx>
      <c:layout/>
      <c:overlay val="0"/>
      <c:spPr>
        <a:noFill/>
        <a:ln>
          <a:noFill/>
        </a:ln>
        <a:effectLst/>
      </c:spPr>
    </c:title>
    <c:autoTitleDeleted val="0"/>
    <c:plotArea>
      <c:layout>
        <c:manualLayout>
          <c:layoutTarget val="inner"/>
          <c:xMode val="edge"/>
          <c:yMode val="edge"/>
          <c:x val="0.30242901597801702"/>
          <c:y val="0.18667950452477963"/>
          <c:w val="0.58501202319769918"/>
          <c:h val="0.69285337487371979"/>
        </c:manualLayout>
      </c:layout>
      <c:barChart>
        <c:barDir val="bar"/>
        <c:grouping val="clustered"/>
        <c:varyColors val="0"/>
        <c:ser>
          <c:idx val="0"/>
          <c:order val="0"/>
          <c:spPr>
            <a:solidFill>
              <a:srgbClr val="002060"/>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1"/>
                    </a:solidFill>
                    <a:latin typeface="Arial (Body)"/>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'2'!$E$23:$E$26</c:f>
              <c:numCache>
                <c:formatCode>#,##0</c:formatCode>
                <c:ptCount val="4"/>
                <c:pt idx="0">
                  <c:v>41.994999999999997</c:v>
                </c:pt>
                <c:pt idx="1">
                  <c:v>48.774999999999999</c:v>
                </c:pt>
                <c:pt idx="2">
                  <c:v>41.020999999999972</c:v>
                </c:pt>
                <c:pt idx="3">
                  <c:v>529.49200000000042</c:v>
                </c:pt>
              </c:numCache>
            </c:numRef>
          </c:val>
          <c:extLst xmlns:c16r2="http://schemas.microsoft.com/office/drawing/2015/06/chart">
            <c:ext xmlns:c16="http://schemas.microsoft.com/office/drawing/2014/chart" uri="{C3380CC4-5D6E-409C-BE32-E72D297353CC}">
              <c16:uniqueId val="{00000004-75D1-4EF1-AB29-EFDBAF053422}"/>
            </c:ext>
            <c:ext xmlns:c15="http://schemas.microsoft.com/office/drawing/2012/chart" uri="{02D57815-91ED-43cb-92C2-25804820EDAC}">
              <c15:datalabelsRange>
                <c15:f>'2'!$F$23:$F$26</c15:f>
                <c15:dlblRangeCache>
                  <c:ptCount val="4"/>
                  <c:pt idx="0">
                    <c:v>6%</c:v>
                  </c:pt>
                  <c:pt idx="1">
                    <c:v>7%</c:v>
                  </c:pt>
                  <c:pt idx="2">
                    <c:v>6%</c:v>
                  </c:pt>
                  <c:pt idx="3">
                    <c:v>80%</c:v>
                  </c:pt>
                </c15:dlblRangeCache>
              </c15:datalabelsRange>
            </c:ext>
          </c:extLst>
        </c:ser>
        <c:dLbls>
          <c:dLblPos val="outEnd"/>
          <c:showLegendKey val="0"/>
          <c:showVal val="1"/>
          <c:showCatName val="0"/>
          <c:showSerName val="0"/>
          <c:showPercent val="0"/>
          <c:showBubbleSize val="0"/>
        </c:dLbls>
        <c:gapWidth val="182"/>
        <c:axId val="140667904"/>
        <c:axId val="140670848"/>
      </c:barChart>
      <c:catAx>
        <c:axId val="140667904"/>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0670848"/>
        <c:crosses val="autoZero"/>
        <c:auto val="1"/>
        <c:lblAlgn val="ctr"/>
        <c:lblOffset val="100"/>
        <c:noMultiLvlLbl val="0"/>
      </c:catAx>
      <c:valAx>
        <c:axId val="1406708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066790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ysClr val="windowText" lastClr="000000"/>
              </a:solidFill>
              <a:round/>
            </a:ln>
            <a:effectLst/>
          </c:spPr>
          <c:marker>
            <c:symbol val="none"/>
          </c:marker>
          <c:cat>
            <c:numRef>
              <c:f>'Suvestine (+DGB)'!$S$5:$AV$5</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(+DGB)'!$S$7:$AV$7</c:f>
              <c:numCache>
                <c:formatCode>#,##0</c:formatCode>
                <c:ptCount val="30"/>
                <c:pt idx="0">
                  <c:v>639.78009999999995</c:v>
                </c:pt>
                <c:pt idx="1">
                  <c:v>760.33333300000004</c:v>
                </c:pt>
                <c:pt idx="2">
                  <c:v>880.66666600000008</c:v>
                </c:pt>
                <c:pt idx="3">
                  <c:v>1000</c:v>
                </c:pt>
                <c:pt idx="4">
                  <c:v>1100</c:v>
                </c:pt>
                <c:pt idx="5">
                  <c:v>1100</c:v>
                </c:pt>
                <c:pt idx="6">
                  <c:v>1100</c:v>
                </c:pt>
                <c:pt idx="7">
                  <c:v>1100</c:v>
                </c:pt>
                <c:pt idx="8">
                  <c:v>1100</c:v>
                </c:pt>
                <c:pt idx="9">
                  <c:v>1100</c:v>
                </c:pt>
                <c:pt idx="10">
                  <c:v>1100</c:v>
                </c:pt>
                <c:pt idx="11">
                  <c:v>1100</c:v>
                </c:pt>
                <c:pt idx="12">
                  <c:v>1100</c:v>
                </c:pt>
                <c:pt idx="13">
                  <c:v>1100</c:v>
                </c:pt>
                <c:pt idx="14">
                  <c:v>1100</c:v>
                </c:pt>
                <c:pt idx="15">
                  <c:v>1100</c:v>
                </c:pt>
                <c:pt idx="16">
                  <c:v>1100</c:v>
                </c:pt>
                <c:pt idx="17">
                  <c:v>1100</c:v>
                </c:pt>
                <c:pt idx="18">
                  <c:v>1100</c:v>
                </c:pt>
                <c:pt idx="19">
                  <c:v>934.45450000000005</c:v>
                </c:pt>
                <c:pt idx="20">
                  <c:v>934.45450000000005</c:v>
                </c:pt>
                <c:pt idx="21">
                  <c:v>934.45450000000005</c:v>
                </c:pt>
                <c:pt idx="22">
                  <c:v>934.45450000000005</c:v>
                </c:pt>
                <c:pt idx="23">
                  <c:v>934.45450000000005</c:v>
                </c:pt>
                <c:pt idx="24">
                  <c:v>934.45450000000005</c:v>
                </c:pt>
                <c:pt idx="25">
                  <c:v>934.45450000000005</c:v>
                </c:pt>
                <c:pt idx="26">
                  <c:v>934.45450000000005</c:v>
                </c:pt>
                <c:pt idx="27">
                  <c:v>934.45450000000005</c:v>
                </c:pt>
                <c:pt idx="28">
                  <c:v>934.45450000000005</c:v>
                </c:pt>
                <c:pt idx="29">
                  <c:v>934.45450000000005</c:v>
                </c:pt>
              </c:numCache>
            </c:numRef>
          </c:val>
          <c:smooth val="0"/>
          <c:extLst xmlns:c16r2="http://schemas.microsoft.com/office/drawing/2015/06/chart">
            <c:ext xmlns:c16="http://schemas.microsoft.com/office/drawing/2014/chart" uri="{C3380CC4-5D6E-409C-BE32-E72D297353CC}">
              <c16:uniqueId val="{00000000-6E22-4E9B-88CE-2734FD99DB3A}"/>
            </c:ext>
          </c:extLst>
        </c:ser>
        <c:ser>
          <c:idx val="1"/>
          <c:order val="1"/>
          <c:tx>
            <c:v>tūkst. m2</c:v>
          </c:tx>
          <c:spPr>
            <a:ln w="28575" cap="rnd">
              <a:solidFill>
                <a:schemeClr val="bg2">
                  <a:lumMod val="75000"/>
                </a:schemeClr>
              </a:solidFill>
              <a:round/>
            </a:ln>
            <a:effectLst/>
          </c:spPr>
          <c:marker>
            <c:symbol val="none"/>
          </c:marker>
          <c:val>
            <c:numRef>
              <c:f>'Suvestine (+DGB)'!$S$71:$AV$71</c:f>
              <c:numCache>
                <c:formatCode>#,##0</c:formatCode>
                <c:ptCount val="30"/>
                <c:pt idx="0">
                  <c:v>799.72512499999993</c:v>
                </c:pt>
                <c:pt idx="1">
                  <c:v>950.41666625000005</c:v>
                </c:pt>
                <c:pt idx="2">
                  <c:v>1100.8333325000001</c:v>
                </c:pt>
                <c:pt idx="3">
                  <c:v>1250</c:v>
                </c:pt>
                <c:pt idx="4">
                  <c:v>1267.1999999999998</c:v>
                </c:pt>
                <c:pt idx="5">
                  <c:v>1267.1999999999998</c:v>
                </c:pt>
                <c:pt idx="6">
                  <c:v>1267.1999999999998</c:v>
                </c:pt>
                <c:pt idx="7">
                  <c:v>1267.1999999999998</c:v>
                </c:pt>
                <c:pt idx="8">
                  <c:v>1267.1999999999998</c:v>
                </c:pt>
                <c:pt idx="9">
                  <c:v>1267.1999999999998</c:v>
                </c:pt>
                <c:pt idx="10">
                  <c:v>1267.1999999999998</c:v>
                </c:pt>
                <c:pt idx="11">
                  <c:v>1267.1999999999998</c:v>
                </c:pt>
                <c:pt idx="12">
                  <c:v>1267.1999999999998</c:v>
                </c:pt>
                <c:pt idx="13">
                  <c:v>1267.1999999999998</c:v>
                </c:pt>
                <c:pt idx="14">
                  <c:v>1267.1999999999998</c:v>
                </c:pt>
                <c:pt idx="15">
                  <c:v>1267.1999999999998</c:v>
                </c:pt>
                <c:pt idx="16">
                  <c:v>1267.1999999999998</c:v>
                </c:pt>
                <c:pt idx="17">
                  <c:v>1267.1999999999998</c:v>
                </c:pt>
                <c:pt idx="18">
                  <c:v>1267.1999999999998</c:v>
                </c:pt>
                <c:pt idx="19">
                  <c:v>1027.8999500000002</c:v>
                </c:pt>
                <c:pt idx="20">
                  <c:v>1027.8999500000002</c:v>
                </c:pt>
                <c:pt idx="21">
                  <c:v>1027.8999500000002</c:v>
                </c:pt>
                <c:pt idx="22">
                  <c:v>1027.8999500000002</c:v>
                </c:pt>
                <c:pt idx="23">
                  <c:v>1027.8999500000002</c:v>
                </c:pt>
                <c:pt idx="24">
                  <c:v>1027.8999500000002</c:v>
                </c:pt>
                <c:pt idx="25">
                  <c:v>1027.8999500000002</c:v>
                </c:pt>
                <c:pt idx="26">
                  <c:v>1027.8999500000002</c:v>
                </c:pt>
                <c:pt idx="27">
                  <c:v>1027.8999500000002</c:v>
                </c:pt>
                <c:pt idx="28">
                  <c:v>1027.8999500000002</c:v>
                </c:pt>
                <c:pt idx="29">
                  <c:v>1027.4600728624864</c:v>
                </c:pt>
              </c:numCache>
            </c:numRef>
          </c:val>
          <c:smooth val="0"/>
          <c:extLst xmlns:c16r2="http://schemas.microsoft.com/office/drawing/2015/06/chart">
            <c:ext xmlns:c16="http://schemas.microsoft.com/office/drawing/2014/chart" uri="{C3380CC4-5D6E-409C-BE32-E72D297353CC}">
              <c16:uniqueId val="{00000001-6E22-4E9B-88CE-2734FD99DB3A}"/>
            </c:ext>
          </c:extLst>
        </c:ser>
        <c:dLbls>
          <c:showLegendKey val="0"/>
          <c:showVal val="0"/>
          <c:showCatName val="0"/>
          <c:showSerName val="0"/>
          <c:showPercent val="0"/>
          <c:showBubbleSize val="0"/>
        </c:dLbls>
        <c:marker val="1"/>
        <c:smooth val="0"/>
        <c:axId val="159931392"/>
        <c:axId val="159945472"/>
      </c:lineChart>
      <c:catAx>
        <c:axId val="15993139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945472"/>
        <c:crosses val="autoZero"/>
        <c:auto val="1"/>
        <c:lblAlgn val="ctr"/>
        <c:lblOffset val="100"/>
        <c:noMultiLvlLbl val="0"/>
      </c:catAx>
      <c:valAx>
        <c:axId val="159945472"/>
        <c:scaling>
          <c:orientation val="minMax"/>
          <c:max val="15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931392"/>
        <c:crosses val="autoZero"/>
        <c:crossBetween val="between"/>
        <c:majorUnit val="500"/>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(+DGB)'!$Q$6:$AT$6</c:f>
              <c:numCache>
                <c:formatCode>#,##0</c:formatCode>
                <c:ptCount val="30"/>
                <c:pt idx="0">
                  <c:v>6500</c:v>
                </c:pt>
                <c:pt idx="1">
                  <c:v>6500</c:v>
                </c:pt>
                <c:pt idx="2">
                  <c:v>6500</c:v>
                </c:pt>
                <c:pt idx="3">
                  <c:v>6996.1639411764709</c:v>
                </c:pt>
                <c:pt idx="4">
                  <c:v>7492.3278823529417</c:v>
                </c:pt>
                <c:pt idx="5">
                  <c:v>7988.4918235294126</c:v>
                </c:pt>
                <c:pt idx="6">
                  <c:v>8484.6557647058835</c:v>
                </c:pt>
                <c:pt idx="7">
                  <c:v>8980.8197058823534</c:v>
                </c:pt>
                <c:pt idx="8">
                  <c:v>9476.9836470588234</c:v>
                </c:pt>
                <c:pt idx="9">
                  <c:v>9973.1475882352934</c:v>
                </c:pt>
                <c:pt idx="10">
                  <c:v>10469.311529411763</c:v>
                </c:pt>
                <c:pt idx="11">
                  <c:v>10965.475470588233</c:v>
                </c:pt>
                <c:pt idx="12">
                  <c:v>11461.639411764703</c:v>
                </c:pt>
                <c:pt idx="13">
                  <c:v>11957.803352941173</c:v>
                </c:pt>
                <c:pt idx="14">
                  <c:v>12453.967294117643</c:v>
                </c:pt>
                <c:pt idx="15">
                  <c:v>12950.131235294113</c:v>
                </c:pt>
                <c:pt idx="16">
                  <c:v>13446.295176470583</c:v>
                </c:pt>
                <c:pt idx="17">
                  <c:v>13942.459117647053</c:v>
                </c:pt>
                <c:pt idx="18">
                  <c:v>14438.623058823523</c:v>
                </c:pt>
                <c:pt idx="19">
                  <c:v>14934.786999999993</c:v>
                </c:pt>
                <c:pt idx="20">
                  <c:v>14934.787</c:v>
                </c:pt>
                <c:pt idx="21">
                  <c:v>14934.787</c:v>
                </c:pt>
                <c:pt idx="22">
                  <c:v>14934.787</c:v>
                </c:pt>
                <c:pt idx="23">
                  <c:v>14934.787</c:v>
                </c:pt>
                <c:pt idx="24">
                  <c:v>14934.787</c:v>
                </c:pt>
                <c:pt idx="25">
                  <c:v>14934.787</c:v>
                </c:pt>
                <c:pt idx="26">
                  <c:v>14934.787</c:v>
                </c:pt>
                <c:pt idx="27">
                  <c:v>14934.787</c:v>
                </c:pt>
                <c:pt idx="28">
                  <c:v>14934.787</c:v>
                </c:pt>
                <c:pt idx="29">
                  <c:v>14934.787</c:v>
                </c:pt>
              </c:numCache>
            </c:numRef>
          </c:val>
          <c:smooth val="0"/>
          <c:extLst xmlns:c16r2="http://schemas.microsoft.com/office/drawing/2015/06/chart">
            <c:ext xmlns:c16="http://schemas.microsoft.com/office/drawing/2014/chart" uri="{C3380CC4-5D6E-409C-BE32-E72D297353CC}">
              <c16:uniqueId val="{00000000-8346-4174-9EB3-6C76553A70B3}"/>
            </c:ext>
          </c:extLst>
        </c:ser>
        <c:ser>
          <c:idx val="1"/>
          <c:order val="1"/>
          <c:tx>
            <c:v>tūkst. m2</c:v>
          </c:tx>
          <c:spPr>
            <a:ln w="28575" cap="rnd">
              <a:solidFill>
                <a:schemeClr val="bg2">
                  <a:lumMod val="75000"/>
                </a:schemeClr>
              </a:solidFill>
              <a:round/>
            </a:ln>
            <a:effectLst/>
          </c:spPr>
          <c:marker>
            <c:symbol val="none"/>
          </c:marker>
          <c:val>
            <c:numRef>
              <c:f>'Suvestine (+DGB)'!$Q$13:$AT$13</c:f>
              <c:numCache>
                <c:formatCode>#,##0</c:formatCode>
                <c:ptCount val="30"/>
                <c:pt idx="0">
                  <c:v>672.43779894463705</c:v>
                </c:pt>
                <c:pt idx="1">
                  <c:v>672.43779894463705</c:v>
                </c:pt>
                <c:pt idx="2">
                  <c:v>672.43779894463705</c:v>
                </c:pt>
                <c:pt idx="3">
                  <c:v>723.7669356400836</c:v>
                </c:pt>
                <c:pt idx="4">
                  <c:v>775.09607233553004</c:v>
                </c:pt>
                <c:pt idx="5">
                  <c:v>826.42520903097659</c:v>
                </c:pt>
                <c:pt idx="6">
                  <c:v>877.75434572642325</c:v>
                </c:pt>
                <c:pt idx="7">
                  <c:v>929.08348242186969</c:v>
                </c:pt>
                <c:pt idx="8">
                  <c:v>980.41261911731613</c:v>
                </c:pt>
                <c:pt idx="9">
                  <c:v>1031.7417558127624</c:v>
                </c:pt>
                <c:pt idx="10">
                  <c:v>1083.070892508209</c:v>
                </c:pt>
                <c:pt idx="11">
                  <c:v>1134.4000292036553</c:v>
                </c:pt>
                <c:pt idx="12">
                  <c:v>1185.7291658991019</c:v>
                </c:pt>
                <c:pt idx="13">
                  <c:v>1237.0583025945484</c:v>
                </c:pt>
                <c:pt idx="14">
                  <c:v>1288.3874392899947</c:v>
                </c:pt>
                <c:pt idx="15">
                  <c:v>1339.7165759854413</c:v>
                </c:pt>
                <c:pt idx="16">
                  <c:v>1391.0457126808876</c:v>
                </c:pt>
                <c:pt idx="17">
                  <c:v>1442.3748493763342</c:v>
                </c:pt>
                <c:pt idx="18">
                  <c:v>1493.7039860717803</c:v>
                </c:pt>
                <c:pt idx="19">
                  <c:v>1545.0331227672268</c:v>
                </c:pt>
                <c:pt idx="20">
                  <c:v>1545.0331227672277</c:v>
                </c:pt>
                <c:pt idx="21">
                  <c:v>1545.0331227672277</c:v>
                </c:pt>
                <c:pt idx="22">
                  <c:v>1545.0331227672277</c:v>
                </c:pt>
                <c:pt idx="23">
                  <c:v>1545.0331227672277</c:v>
                </c:pt>
                <c:pt idx="24">
                  <c:v>1545.0331227672277</c:v>
                </c:pt>
                <c:pt idx="25">
                  <c:v>1545.0331227672277</c:v>
                </c:pt>
                <c:pt idx="26">
                  <c:v>1545.0331227672277</c:v>
                </c:pt>
                <c:pt idx="27">
                  <c:v>1545.0331227672277</c:v>
                </c:pt>
                <c:pt idx="28">
                  <c:v>1545.0331227672277</c:v>
                </c:pt>
                <c:pt idx="29">
                  <c:v>1545.0331227672277</c:v>
                </c:pt>
              </c:numCache>
            </c:numRef>
          </c:val>
          <c:smooth val="0"/>
          <c:extLst xmlns:c16r2="http://schemas.microsoft.com/office/drawing/2015/06/chart">
            <c:ext xmlns:c16="http://schemas.microsoft.com/office/drawing/2014/chart" uri="{C3380CC4-5D6E-409C-BE32-E72D297353CC}">
              <c16:uniqueId val="{00000001-8346-4174-9EB3-6C76553A70B3}"/>
            </c:ext>
          </c:extLst>
        </c:ser>
        <c:dLbls>
          <c:showLegendKey val="0"/>
          <c:showVal val="0"/>
          <c:showCatName val="0"/>
          <c:showSerName val="0"/>
          <c:showPercent val="0"/>
          <c:showBubbleSize val="0"/>
        </c:dLbls>
        <c:marker val="1"/>
        <c:smooth val="0"/>
        <c:axId val="159968640"/>
        <c:axId val="159999104"/>
      </c:lineChart>
      <c:catAx>
        <c:axId val="1599686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999104"/>
        <c:crosses val="autoZero"/>
        <c:auto val="1"/>
        <c:lblAlgn val="ctr"/>
        <c:lblOffset val="100"/>
        <c:noMultiLvlLbl val="0"/>
      </c:catAx>
      <c:valAx>
        <c:axId val="1599991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9968640"/>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(+DGB)'!$Q$8:$AT$8</c:f>
              <c:numCache>
                <c:formatCode>#,##0</c:formatCode>
                <c:ptCount val="30"/>
                <c:pt idx="0">
                  <c:v>518.12305514999991</c:v>
                </c:pt>
                <c:pt idx="1">
                  <c:v>518.12305514999991</c:v>
                </c:pt>
                <c:pt idx="2">
                  <c:v>518.12305514999991</c:v>
                </c:pt>
                <c:pt idx="3">
                  <c:v>568.4109636705881</c:v>
                </c:pt>
                <c:pt idx="4">
                  <c:v>618.69887219117629</c:v>
                </c:pt>
                <c:pt idx="5">
                  <c:v>668.98678071176448</c:v>
                </c:pt>
                <c:pt idx="6">
                  <c:v>719.27468923235267</c:v>
                </c:pt>
                <c:pt idx="7">
                  <c:v>769.56259775294086</c:v>
                </c:pt>
                <c:pt idx="8">
                  <c:v>819.85050627352905</c:v>
                </c:pt>
                <c:pt idx="9">
                  <c:v>870.13841479411724</c:v>
                </c:pt>
                <c:pt idx="10">
                  <c:v>920.42632331470543</c:v>
                </c:pt>
                <c:pt idx="11">
                  <c:v>970.71423183529362</c:v>
                </c:pt>
                <c:pt idx="12">
                  <c:v>1021.0021403558818</c:v>
                </c:pt>
                <c:pt idx="13">
                  <c:v>1071.2900488764701</c:v>
                </c:pt>
                <c:pt idx="14">
                  <c:v>1121.5779573970583</c:v>
                </c:pt>
                <c:pt idx="15">
                  <c:v>1171.8658659176465</c:v>
                </c:pt>
                <c:pt idx="16">
                  <c:v>1222.1537744382347</c:v>
                </c:pt>
                <c:pt idx="17">
                  <c:v>1272.4416829588229</c:v>
                </c:pt>
                <c:pt idx="18">
                  <c:v>1322.7295914794111</c:v>
                </c:pt>
                <c:pt idx="19">
                  <c:v>1373.0174999999992</c:v>
                </c:pt>
                <c:pt idx="20">
                  <c:v>1373.0174999999999</c:v>
                </c:pt>
                <c:pt idx="21">
                  <c:v>1373.0174999999999</c:v>
                </c:pt>
                <c:pt idx="22">
                  <c:v>1373.0174999999999</c:v>
                </c:pt>
                <c:pt idx="23">
                  <c:v>1373.0174999999999</c:v>
                </c:pt>
                <c:pt idx="24">
                  <c:v>1373.0174999999999</c:v>
                </c:pt>
                <c:pt idx="25">
                  <c:v>1373.0174999999999</c:v>
                </c:pt>
                <c:pt idx="26">
                  <c:v>1373.0174999999999</c:v>
                </c:pt>
                <c:pt idx="27">
                  <c:v>1373.0174999999999</c:v>
                </c:pt>
                <c:pt idx="28">
                  <c:v>1373.0174999999999</c:v>
                </c:pt>
                <c:pt idx="29">
                  <c:v>1373.0174999999999</c:v>
                </c:pt>
              </c:numCache>
            </c:numRef>
          </c:val>
          <c:smooth val="0"/>
          <c:extLst xmlns:c16r2="http://schemas.microsoft.com/office/drawing/2015/06/chart">
            <c:ext xmlns:c16="http://schemas.microsoft.com/office/drawing/2014/chart" uri="{C3380CC4-5D6E-409C-BE32-E72D297353CC}">
              <c16:uniqueId val="{00000000-4782-4F0C-B08F-70BD5511C0C8}"/>
            </c:ext>
          </c:extLst>
        </c:ser>
        <c:ser>
          <c:idx val="1"/>
          <c:order val="1"/>
          <c:tx>
            <c:v>tūkst. m2</c:v>
          </c:tx>
          <c:spPr>
            <a:ln w="28575" cap="rnd">
              <a:solidFill>
                <a:schemeClr val="bg2">
                  <a:lumMod val="75000"/>
                </a:schemeClr>
              </a:solidFill>
              <a:round/>
            </a:ln>
            <a:effectLst/>
          </c:spPr>
          <c:marker>
            <c:symbol val="none"/>
          </c:marker>
          <c:val>
            <c:numRef>
              <c:f>'Suvestine (+DGB)'!$Q$15:$AT$15</c:f>
              <c:numCache>
                <c:formatCode>#,##0</c:formatCode>
                <c:ptCount val="30"/>
                <c:pt idx="0">
                  <c:v>412.91632995029988</c:v>
                </c:pt>
                <c:pt idx="1">
                  <c:v>412.91632995029988</c:v>
                </c:pt>
                <c:pt idx="2">
                  <c:v>412.91632995029988</c:v>
                </c:pt>
                <c:pt idx="3">
                  <c:v>452.99310017081473</c:v>
                </c:pt>
                <c:pt idx="4">
                  <c:v>493.06987039132957</c:v>
                </c:pt>
                <c:pt idx="5">
                  <c:v>533.14664061184453</c:v>
                </c:pt>
                <c:pt idx="6">
                  <c:v>573.22341083235938</c:v>
                </c:pt>
                <c:pt idx="7">
                  <c:v>613.30018105287422</c:v>
                </c:pt>
                <c:pt idx="8">
                  <c:v>653.37695127338907</c:v>
                </c:pt>
                <c:pt idx="9">
                  <c:v>693.45372149390391</c:v>
                </c:pt>
                <c:pt idx="10">
                  <c:v>733.53049171441876</c:v>
                </c:pt>
                <c:pt idx="11">
                  <c:v>773.6072619349336</c:v>
                </c:pt>
                <c:pt idx="12">
                  <c:v>813.68403215544845</c:v>
                </c:pt>
                <c:pt idx="13">
                  <c:v>853.76080237596329</c:v>
                </c:pt>
                <c:pt idx="14">
                  <c:v>893.83757259647814</c:v>
                </c:pt>
                <c:pt idx="15">
                  <c:v>933.91434281699298</c:v>
                </c:pt>
                <c:pt idx="16">
                  <c:v>973.99111303750783</c:v>
                </c:pt>
                <c:pt idx="17">
                  <c:v>1014.0678832580227</c:v>
                </c:pt>
                <c:pt idx="18">
                  <c:v>1054.1446534785377</c:v>
                </c:pt>
                <c:pt idx="19">
                  <c:v>1094.2214236990526</c:v>
                </c:pt>
                <c:pt idx="20">
                  <c:v>1094.221423699053</c:v>
                </c:pt>
                <c:pt idx="21">
                  <c:v>1094.221423699053</c:v>
                </c:pt>
                <c:pt idx="22">
                  <c:v>1094.221423699053</c:v>
                </c:pt>
                <c:pt idx="23">
                  <c:v>1094.221423699053</c:v>
                </c:pt>
                <c:pt idx="24">
                  <c:v>1094.221423699053</c:v>
                </c:pt>
                <c:pt idx="25">
                  <c:v>1094.221423699053</c:v>
                </c:pt>
                <c:pt idx="26">
                  <c:v>1094.221423699053</c:v>
                </c:pt>
                <c:pt idx="27">
                  <c:v>1094.221423699053</c:v>
                </c:pt>
                <c:pt idx="28">
                  <c:v>1094.221423699053</c:v>
                </c:pt>
                <c:pt idx="29">
                  <c:v>1094.221423699053</c:v>
                </c:pt>
              </c:numCache>
            </c:numRef>
          </c:val>
          <c:smooth val="0"/>
          <c:extLst xmlns:c16r2="http://schemas.microsoft.com/office/drawing/2015/06/chart">
            <c:ext xmlns:c16="http://schemas.microsoft.com/office/drawing/2014/chart" uri="{C3380CC4-5D6E-409C-BE32-E72D297353CC}">
              <c16:uniqueId val="{00000001-4782-4F0C-B08F-70BD5511C0C8}"/>
            </c:ext>
          </c:extLst>
        </c:ser>
        <c:dLbls>
          <c:showLegendKey val="0"/>
          <c:showVal val="0"/>
          <c:showCatName val="0"/>
          <c:showSerName val="0"/>
          <c:showPercent val="0"/>
          <c:showBubbleSize val="0"/>
        </c:dLbls>
        <c:marker val="1"/>
        <c:smooth val="0"/>
        <c:axId val="160033792"/>
        <c:axId val="160035584"/>
      </c:lineChart>
      <c:catAx>
        <c:axId val="16003379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60035584"/>
        <c:crosses val="autoZero"/>
        <c:auto val="1"/>
        <c:lblAlgn val="ctr"/>
        <c:lblOffset val="100"/>
        <c:noMultiLvlLbl val="0"/>
      </c:catAx>
      <c:valAx>
        <c:axId val="16003558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160033792"/>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102705581472732E-2"/>
          <c:y val="6.0404437326396693E-2"/>
          <c:w val="0.91857754059948771"/>
          <c:h val="0.63892674675623418"/>
        </c:manualLayout>
      </c:layout>
      <c:lineChart>
        <c:grouping val="standard"/>
        <c:varyColors val="0"/>
        <c:ser>
          <c:idx val="0"/>
          <c:order val="0"/>
          <c:tx>
            <c:v>vnt.</c:v>
          </c:tx>
          <c:spPr>
            <a:ln w="28575" cap="rnd">
              <a:solidFill>
                <a:schemeClr val="tx1"/>
              </a:solidFill>
              <a:round/>
            </a:ln>
            <a:effectLst/>
          </c:spPr>
          <c:marker>
            <c:symbol val="none"/>
          </c:marker>
          <c:cat>
            <c:numRef>
              <c:f>'Suvestine (+DGB)'!$Q$4:$AT$4</c:f>
              <c:numCache>
                <c:formatCode>General</c:formatCode>
                <c:ptCount val="30"/>
                <c:pt idx="0">
                  <c:v>2021</c:v>
                </c:pt>
                <c:pt idx="1">
                  <c:v>2022</c:v>
                </c:pt>
                <c:pt idx="2">
                  <c:v>2023</c:v>
                </c:pt>
                <c:pt idx="3">
                  <c:v>2024</c:v>
                </c:pt>
                <c:pt idx="4">
                  <c:v>2025</c:v>
                </c:pt>
                <c:pt idx="5">
                  <c:v>2026</c:v>
                </c:pt>
                <c:pt idx="6">
                  <c:v>2027</c:v>
                </c:pt>
                <c:pt idx="7">
                  <c:v>2028</c:v>
                </c:pt>
                <c:pt idx="8">
                  <c:v>2029</c:v>
                </c:pt>
                <c:pt idx="9">
                  <c:v>2030</c:v>
                </c:pt>
                <c:pt idx="10">
                  <c:v>2031</c:v>
                </c:pt>
                <c:pt idx="11">
                  <c:v>2032</c:v>
                </c:pt>
                <c:pt idx="12">
                  <c:v>2033</c:v>
                </c:pt>
                <c:pt idx="13">
                  <c:v>2034</c:v>
                </c:pt>
                <c:pt idx="14">
                  <c:v>2035</c:v>
                </c:pt>
                <c:pt idx="15">
                  <c:v>2036</c:v>
                </c:pt>
                <c:pt idx="16">
                  <c:v>2037</c:v>
                </c:pt>
                <c:pt idx="17">
                  <c:v>2038</c:v>
                </c:pt>
                <c:pt idx="18">
                  <c:v>2039</c:v>
                </c:pt>
                <c:pt idx="19">
                  <c:v>2040</c:v>
                </c:pt>
                <c:pt idx="20">
                  <c:v>2041</c:v>
                </c:pt>
                <c:pt idx="21">
                  <c:v>2042</c:v>
                </c:pt>
                <c:pt idx="22">
                  <c:v>2043</c:v>
                </c:pt>
                <c:pt idx="23">
                  <c:v>2044</c:v>
                </c:pt>
                <c:pt idx="24">
                  <c:v>2045</c:v>
                </c:pt>
                <c:pt idx="25">
                  <c:v>2046</c:v>
                </c:pt>
                <c:pt idx="26">
                  <c:v>2047</c:v>
                </c:pt>
                <c:pt idx="27">
                  <c:v>2048</c:v>
                </c:pt>
                <c:pt idx="28">
                  <c:v>2049</c:v>
                </c:pt>
                <c:pt idx="29">
                  <c:v>2050</c:v>
                </c:pt>
              </c:numCache>
            </c:numRef>
          </c:cat>
          <c:val>
            <c:numRef>
              <c:f>'Suvestine (+DGB)'!$Q$7:$AT$7</c:f>
              <c:numCache>
                <c:formatCode>#,##0</c:formatCode>
                <c:ptCount val="30"/>
                <c:pt idx="0">
                  <c:v>308.07829262500013</c:v>
                </c:pt>
                <c:pt idx="1">
                  <c:v>308.07829262500013</c:v>
                </c:pt>
                <c:pt idx="2">
                  <c:v>308.07829262500013</c:v>
                </c:pt>
                <c:pt idx="3">
                  <c:v>337.97971658823542</c:v>
                </c:pt>
                <c:pt idx="4">
                  <c:v>367.88114055147071</c:v>
                </c:pt>
                <c:pt idx="5">
                  <c:v>397.782564514706</c:v>
                </c:pt>
                <c:pt idx="6">
                  <c:v>427.68398847794128</c:v>
                </c:pt>
                <c:pt idx="7">
                  <c:v>457.58541244117657</c:v>
                </c:pt>
                <c:pt idx="8">
                  <c:v>487.48683640441186</c:v>
                </c:pt>
                <c:pt idx="9">
                  <c:v>517.38826036764715</c:v>
                </c:pt>
                <c:pt idx="10">
                  <c:v>547.28968433088244</c:v>
                </c:pt>
                <c:pt idx="11">
                  <c:v>577.19110829411773</c:v>
                </c:pt>
                <c:pt idx="12">
                  <c:v>607.09253225735301</c:v>
                </c:pt>
                <c:pt idx="13">
                  <c:v>636.9939562205883</c:v>
                </c:pt>
                <c:pt idx="14">
                  <c:v>666.89538018382359</c:v>
                </c:pt>
                <c:pt idx="15">
                  <c:v>696.79680414705888</c:v>
                </c:pt>
                <c:pt idx="16">
                  <c:v>726.69822811029417</c:v>
                </c:pt>
                <c:pt idx="17">
                  <c:v>756.59965207352946</c:v>
                </c:pt>
                <c:pt idx="18">
                  <c:v>786.50107603676474</c:v>
                </c:pt>
                <c:pt idx="19">
                  <c:v>816.40250000000003</c:v>
                </c:pt>
                <c:pt idx="20">
                  <c:v>816.40250000000003</c:v>
                </c:pt>
                <c:pt idx="21">
                  <c:v>816.40250000000003</c:v>
                </c:pt>
                <c:pt idx="22">
                  <c:v>816.40250000000003</c:v>
                </c:pt>
                <c:pt idx="23">
                  <c:v>816.40250000000003</c:v>
                </c:pt>
                <c:pt idx="24">
                  <c:v>816.40250000000003</c:v>
                </c:pt>
                <c:pt idx="25">
                  <c:v>816.40250000000003</c:v>
                </c:pt>
                <c:pt idx="26">
                  <c:v>816.40250000000003</c:v>
                </c:pt>
                <c:pt idx="27">
                  <c:v>816.40250000000003</c:v>
                </c:pt>
                <c:pt idx="28">
                  <c:v>816.40250000000003</c:v>
                </c:pt>
                <c:pt idx="29">
                  <c:v>816.40250000000003</c:v>
                </c:pt>
              </c:numCache>
            </c:numRef>
          </c:val>
          <c:smooth val="0"/>
          <c:extLst xmlns:c16r2="http://schemas.microsoft.com/office/drawing/2015/06/chart">
            <c:ext xmlns:c16="http://schemas.microsoft.com/office/drawing/2014/chart" uri="{C3380CC4-5D6E-409C-BE32-E72D297353CC}">
              <c16:uniqueId val="{00000000-86D3-4753-819E-4BEE772B110B}"/>
            </c:ext>
          </c:extLst>
        </c:ser>
        <c:ser>
          <c:idx val="1"/>
          <c:order val="1"/>
          <c:tx>
            <c:v>tūkst. m2</c:v>
          </c:tx>
          <c:spPr>
            <a:ln w="28575" cap="rnd">
              <a:solidFill>
                <a:schemeClr val="bg2">
                  <a:lumMod val="75000"/>
                </a:schemeClr>
              </a:solidFill>
              <a:round/>
            </a:ln>
            <a:effectLst/>
          </c:spPr>
          <c:marker>
            <c:symbol val="none"/>
          </c:marker>
          <c:val>
            <c:numRef>
              <c:f>'Suvestine (+DGB)'!$Q$14:$AT$14</c:f>
              <c:numCache>
                <c:formatCode>#,##0</c:formatCode>
                <c:ptCount val="30"/>
                <c:pt idx="0">
                  <c:v>212.44336522700002</c:v>
                </c:pt>
                <c:pt idx="1">
                  <c:v>212.44336522700002</c:v>
                </c:pt>
                <c:pt idx="2">
                  <c:v>212.44336522700002</c:v>
                </c:pt>
                <c:pt idx="3">
                  <c:v>233.06266650169641</c:v>
                </c:pt>
                <c:pt idx="4">
                  <c:v>253.68196777639284</c:v>
                </c:pt>
                <c:pt idx="5">
                  <c:v>274.30126905108932</c:v>
                </c:pt>
                <c:pt idx="6">
                  <c:v>294.92057032578572</c:v>
                </c:pt>
                <c:pt idx="7">
                  <c:v>315.53987160048217</c:v>
                </c:pt>
                <c:pt idx="8">
                  <c:v>336.15917287517857</c:v>
                </c:pt>
                <c:pt idx="9">
                  <c:v>356.77847414987497</c:v>
                </c:pt>
                <c:pt idx="10">
                  <c:v>377.39777542457142</c:v>
                </c:pt>
                <c:pt idx="11">
                  <c:v>398.01707669926782</c:v>
                </c:pt>
                <c:pt idx="12">
                  <c:v>418.63637797396427</c:v>
                </c:pt>
                <c:pt idx="13">
                  <c:v>439.25567924866067</c:v>
                </c:pt>
                <c:pt idx="14">
                  <c:v>459.87498052335712</c:v>
                </c:pt>
                <c:pt idx="15">
                  <c:v>480.49428179805352</c:v>
                </c:pt>
                <c:pt idx="16">
                  <c:v>501.11358307274998</c:v>
                </c:pt>
                <c:pt idx="17">
                  <c:v>521.73288434744643</c:v>
                </c:pt>
                <c:pt idx="18">
                  <c:v>542.35218562214288</c:v>
                </c:pt>
                <c:pt idx="19">
                  <c:v>562.97148689683922</c:v>
                </c:pt>
                <c:pt idx="20">
                  <c:v>562.97148689683922</c:v>
                </c:pt>
                <c:pt idx="21">
                  <c:v>562.97148689683922</c:v>
                </c:pt>
                <c:pt idx="22">
                  <c:v>562.97148689683922</c:v>
                </c:pt>
                <c:pt idx="23">
                  <c:v>562.97148689683922</c:v>
                </c:pt>
                <c:pt idx="24">
                  <c:v>562.97148689683922</c:v>
                </c:pt>
                <c:pt idx="25">
                  <c:v>562.97148689683922</c:v>
                </c:pt>
                <c:pt idx="26">
                  <c:v>562.97148689683922</c:v>
                </c:pt>
                <c:pt idx="27">
                  <c:v>562.97148689683922</c:v>
                </c:pt>
                <c:pt idx="28">
                  <c:v>562.97148689683922</c:v>
                </c:pt>
                <c:pt idx="29">
                  <c:v>562.97148689683922</c:v>
                </c:pt>
              </c:numCache>
            </c:numRef>
          </c:val>
          <c:smooth val="0"/>
          <c:extLst xmlns:c16r2="http://schemas.microsoft.com/office/drawing/2015/06/chart">
            <c:ext xmlns:c16="http://schemas.microsoft.com/office/drawing/2014/chart" uri="{C3380CC4-5D6E-409C-BE32-E72D297353CC}">
              <c16:uniqueId val="{00000001-86D3-4753-819E-4BEE772B110B}"/>
            </c:ext>
          </c:extLst>
        </c:ser>
        <c:dLbls>
          <c:showLegendKey val="0"/>
          <c:showVal val="0"/>
          <c:showCatName val="0"/>
          <c:showSerName val="0"/>
          <c:showPercent val="0"/>
          <c:showBubbleSize val="0"/>
        </c:dLbls>
        <c:marker val="1"/>
        <c:smooth val="0"/>
        <c:axId val="160066176"/>
        <c:axId val="160076160"/>
      </c:lineChart>
      <c:catAx>
        <c:axId val="160066176"/>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0076160"/>
        <c:crosses val="autoZero"/>
        <c:auto val="1"/>
        <c:lblAlgn val="ctr"/>
        <c:lblOffset val="100"/>
        <c:noMultiLvlLbl val="0"/>
      </c:catAx>
      <c:valAx>
        <c:axId val="160076160"/>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0066176"/>
        <c:crosses val="autoZero"/>
        <c:crossBetween val="between"/>
      </c:valAx>
      <c:spPr>
        <a:noFill/>
        <a:ln>
          <a:solidFill>
            <a:sysClr val="windowText" lastClr="000000"/>
          </a:solid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lt-LT"/>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Prielaidos!$A$53</c:f>
              <c:strCache>
                <c:ptCount val="1"/>
                <c:pt idx="0">
                  <c:v>Gavėjai, tūkst. Žmonių</c:v>
                </c:pt>
              </c:strCache>
            </c:strRef>
          </c:tx>
          <c:spPr>
            <a:solidFill>
              <a:schemeClr val="bg1">
                <a:lumMod val="50000"/>
              </a:schemeClr>
            </a:solidFill>
            <a:ln>
              <a:noFill/>
            </a:ln>
            <a:effectLst/>
          </c:spPr>
          <c:invertIfNegative val="0"/>
          <c:cat>
            <c:numRef>
              <c:f>Prielaidos!$B$51:$H$51</c:f>
              <c:numCache>
                <c:formatCode>General</c:formatCode>
                <c:ptCount val="7"/>
                <c:pt idx="0">
                  <c:v>2012</c:v>
                </c:pt>
                <c:pt idx="1">
                  <c:v>2013</c:v>
                </c:pt>
                <c:pt idx="2">
                  <c:v>2014</c:v>
                </c:pt>
                <c:pt idx="3">
                  <c:v>2015</c:v>
                </c:pt>
                <c:pt idx="4">
                  <c:v>2016</c:v>
                </c:pt>
                <c:pt idx="5">
                  <c:v>2017</c:v>
                </c:pt>
                <c:pt idx="6">
                  <c:v>2018</c:v>
                </c:pt>
              </c:numCache>
            </c:numRef>
          </c:cat>
          <c:val>
            <c:numRef>
              <c:f>Prielaidos!$B$53:$H$53</c:f>
              <c:numCache>
                <c:formatCode>General</c:formatCode>
                <c:ptCount val="7"/>
                <c:pt idx="0">
                  <c:v>198.8</c:v>
                </c:pt>
                <c:pt idx="1">
                  <c:v>204.9</c:v>
                </c:pt>
                <c:pt idx="2">
                  <c:v>188.5</c:v>
                </c:pt>
                <c:pt idx="3">
                  <c:v>144.6</c:v>
                </c:pt>
                <c:pt idx="4">
                  <c:v>129.80000000000001</c:v>
                </c:pt>
                <c:pt idx="5">
                  <c:v>97.3</c:v>
                </c:pt>
                <c:pt idx="6">
                  <c:v>122.6</c:v>
                </c:pt>
              </c:numCache>
            </c:numRef>
          </c:val>
          <c:extLst xmlns:c16r2="http://schemas.microsoft.com/office/drawing/2015/06/chart">
            <c:ext xmlns:c16="http://schemas.microsoft.com/office/drawing/2014/chart" uri="{C3380CC4-5D6E-409C-BE32-E72D297353CC}">
              <c16:uniqueId val="{00000000-634D-4486-9EA8-E2138467C136}"/>
            </c:ext>
          </c:extLst>
        </c:ser>
        <c:dLbls>
          <c:showLegendKey val="0"/>
          <c:showVal val="0"/>
          <c:showCatName val="0"/>
          <c:showSerName val="0"/>
          <c:showPercent val="0"/>
          <c:showBubbleSize val="0"/>
        </c:dLbls>
        <c:gapWidth val="150"/>
        <c:axId val="160178176"/>
        <c:axId val="160176384"/>
      </c:barChart>
      <c:lineChart>
        <c:grouping val="standard"/>
        <c:varyColors val="0"/>
        <c:ser>
          <c:idx val="0"/>
          <c:order val="0"/>
          <c:tx>
            <c:strRef>
              <c:f>Prielaidos!$A$52</c:f>
              <c:strCache>
                <c:ptCount val="1"/>
                <c:pt idx="0">
                  <c:v>Būsto kompensavimo išmokos, mln. Eurų</c:v>
                </c:pt>
              </c:strCache>
            </c:strRef>
          </c:tx>
          <c:spPr>
            <a:ln w="28575" cap="rnd">
              <a:solidFill>
                <a:schemeClr val="tx1"/>
              </a:solidFill>
              <a:round/>
            </a:ln>
            <a:effectLst/>
          </c:spPr>
          <c:marker>
            <c:symbol val="none"/>
          </c:marker>
          <c:cat>
            <c:numRef>
              <c:f>Prielaidos!$B$51:$H$51</c:f>
              <c:numCache>
                <c:formatCode>General</c:formatCode>
                <c:ptCount val="7"/>
                <c:pt idx="0">
                  <c:v>2012</c:v>
                </c:pt>
                <c:pt idx="1">
                  <c:v>2013</c:v>
                </c:pt>
                <c:pt idx="2">
                  <c:v>2014</c:v>
                </c:pt>
                <c:pt idx="3">
                  <c:v>2015</c:v>
                </c:pt>
                <c:pt idx="4">
                  <c:v>2016</c:v>
                </c:pt>
                <c:pt idx="5">
                  <c:v>2017</c:v>
                </c:pt>
                <c:pt idx="6">
                  <c:v>2018</c:v>
                </c:pt>
              </c:numCache>
            </c:numRef>
          </c:cat>
          <c:val>
            <c:numRef>
              <c:f>Prielaidos!$B$52:$H$52</c:f>
              <c:numCache>
                <c:formatCode>General</c:formatCode>
                <c:ptCount val="7"/>
                <c:pt idx="0">
                  <c:v>49.1</c:v>
                </c:pt>
                <c:pt idx="1">
                  <c:v>44.1</c:v>
                </c:pt>
                <c:pt idx="2">
                  <c:v>31.3</c:v>
                </c:pt>
                <c:pt idx="3">
                  <c:v>20.9</c:v>
                </c:pt>
                <c:pt idx="4">
                  <c:v>17.899999999999999</c:v>
                </c:pt>
                <c:pt idx="5">
                  <c:v>15.8</c:v>
                </c:pt>
                <c:pt idx="6">
                  <c:v>22.1</c:v>
                </c:pt>
              </c:numCache>
            </c:numRef>
          </c:val>
          <c:smooth val="0"/>
          <c:extLst xmlns:c16r2="http://schemas.microsoft.com/office/drawing/2015/06/chart">
            <c:ext xmlns:c16="http://schemas.microsoft.com/office/drawing/2014/chart" uri="{C3380CC4-5D6E-409C-BE32-E72D297353CC}">
              <c16:uniqueId val="{00000001-634D-4486-9EA8-E2138467C136}"/>
            </c:ext>
          </c:extLst>
        </c:ser>
        <c:dLbls>
          <c:showLegendKey val="0"/>
          <c:showVal val="0"/>
          <c:showCatName val="0"/>
          <c:showSerName val="0"/>
          <c:showPercent val="0"/>
          <c:showBubbleSize val="0"/>
        </c:dLbls>
        <c:marker val="1"/>
        <c:smooth val="0"/>
        <c:axId val="160140288"/>
        <c:axId val="160174848"/>
      </c:lineChart>
      <c:catAx>
        <c:axId val="16014028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60174848"/>
        <c:crosses val="autoZero"/>
        <c:auto val="1"/>
        <c:lblAlgn val="ctr"/>
        <c:lblOffset val="100"/>
        <c:noMultiLvlLbl val="0"/>
      </c:catAx>
      <c:valAx>
        <c:axId val="1601748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60140288"/>
        <c:crosses val="autoZero"/>
        <c:crossBetween val="between"/>
      </c:valAx>
      <c:valAx>
        <c:axId val="160176384"/>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crossAx val="160178176"/>
        <c:crosses val="max"/>
        <c:crossBetween val="between"/>
      </c:valAx>
      <c:catAx>
        <c:axId val="160178176"/>
        <c:scaling>
          <c:orientation val="minMax"/>
        </c:scaling>
        <c:delete val="1"/>
        <c:axPos val="b"/>
        <c:numFmt formatCode="General" sourceLinked="1"/>
        <c:majorTickMark val="out"/>
        <c:minorTickMark val="none"/>
        <c:tickLblPos val="nextTo"/>
        <c:crossAx val="160176384"/>
        <c:crosses val="autoZero"/>
        <c:auto val="1"/>
        <c:lblAlgn val="ctr"/>
        <c:lblOffset val="100"/>
        <c:noMultiLvlLbl val="0"/>
      </c:catAx>
      <c:spPr>
        <a:noFill/>
        <a:ln>
          <a:solidFill>
            <a:schemeClr val="tx1"/>
          </a:solid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sz="800">
          <a:solidFill>
            <a:sysClr val="windowText" lastClr="000000"/>
          </a:solidFill>
        </a:defRPr>
      </a:pPr>
      <a:endParaRPr lang="lt-LT"/>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(mln.</a:t>
            </a:r>
            <a:r>
              <a:rPr lang="en-US" sz="900"/>
              <a:t> m</a:t>
            </a:r>
            <a:r>
              <a:rPr lang="en-US" sz="900" baseline="30000"/>
              <a:t>2</a:t>
            </a:r>
            <a:r>
              <a:rPr lang="lt-LT" sz="900"/>
              <a:t>)</a:t>
            </a:r>
            <a:endParaRPr lang="en-US" sz="900"/>
          </a:p>
        </c:rich>
      </c:tx>
      <c:layout/>
      <c:overlay val="0"/>
      <c:spPr>
        <a:noFill/>
        <a:ln>
          <a:noFill/>
        </a:ln>
        <a:effectLst/>
      </c:spPr>
    </c:title>
    <c:autoTitleDeleted val="0"/>
    <c:plotArea>
      <c:layout>
        <c:manualLayout>
          <c:layoutTarget val="inner"/>
          <c:xMode val="edge"/>
          <c:yMode val="edge"/>
          <c:x val="0.30270794310225069"/>
          <c:y val="0.18667950452477963"/>
          <c:w val="0.61155808913716292"/>
          <c:h val="0.69285337487371979"/>
        </c:manualLayout>
      </c:layout>
      <c:barChart>
        <c:barDir val="bar"/>
        <c:grouping val="clustered"/>
        <c:varyColors val="0"/>
        <c:ser>
          <c:idx val="0"/>
          <c:order val="0"/>
          <c:spPr>
            <a:solidFill>
              <a:srgbClr val="002060"/>
            </a:solidFill>
            <a:ln>
              <a:noFill/>
            </a:ln>
            <a:effectLst/>
          </c:spPr>
          <c:invertIfNegative val="0"/>
          <c:dLbls>
            <c:txPr>
              <a:bodyPr rot="0" vert="horz"/>
              <a:lstStyle/>
              <a:p>
                <a:pPr>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'2'!$D$23:$D$26</c:f>
              <c:strCache>
                <c:ptCount val="4"/>
                <c:pt idx="0">
                  <c:v>Kiti negyvenamieji</c:v>
                </c:pt>
                <c:pt idx="1">
                  <c:v>Pramonė</c:v>
                </c:pt>
                <c:pt idx="2">
                  <c:v>Daugiabučiai</c:v>
                </c:pt>
                <c:pt idx="3">
                  <c:v>Individualūs</c:v>
                </c:pt>
              </c:strCache>
            </c:strRef>
          </c:cat>
          <c:val>
            <c:numRef>
              <c:f>'2'!$G$23:$G$26</c:f>
              <c:numCache>
                <c:formatCode>#,##0</c:formatCode>
                <c:ptCount val="4"/>
                <c:pt idx="0">
                  <c:v>37.180439</c:v>
                </c:pt>
                <c:pt idx="1">
                  <c:v>35.489710000000002</c:v>
                </c:pt>
                <c:pt idx="2">
                  <c:v>59.463571999999999</c:v>
                </c:pt>
                <c:pt idx="3">
                  <c:v>69.540000999999975</c:v>
                </c:pt>
              </c:numCache>
            </c:numRef>
          </c:val>
          <c:extLst xmlns:c16r2="http://schemas.microsoft.com/office/drawing/2015/06/chart">
            <c:ext xmlns:c16="http://schemas.microsoft.com/office/drawing/2014/chart" uri="{C3380CC4-5D6E-409C-BE32-E72D297353CC}">
              <c16:uniqueId val="{00000004-0854-4703-BFCE-0119CA1F6A49}"/>
            </c:ext>
            <c:ext xmlns:c15="http://schemas.microsoft.com/office/drawing/2012/chart" uri="{02D57815-91ED-43cb-92C2-25804820EDAC}">
              <c15:datalabelsRange>
                <c15:f>'2'!$H$23:$H$26</c15:f>
                <c15:dlblRangeCache>
                  <c:ptCount val="4"/>
                  <c:pt idx="0">
                    <c:v>18%</c:v>
                  </c:pt>
                  <c:pt idx="1">
                    <c:v>18%</c:v>
                  </c:pt>
                  <c:pt idx="2">
                    <c:v>29%</c:v>
                  </c:pt>
                  <c:pt idx="3">
                    <c:v>34%</c:v>
                  </c:pt>
                </c15:dlblRangeCache>
              </c15:datalabelsRange>
            </c:ext>
          </c:extLst>
        </c:ser>
        <c:dLbls>
          <c:dLblPos val="outEnd"/>
          <c:showLegendKey val="0"/>
          <c:showVal val="1"/>
          <c:showCatName val="0"/>
          <c:showSerName val="0"/>
          <c:showPercent val="0"/>
          <c:showBubbleSize val="0"/>
        </c:dLbls>
        <c:gapWidth val="182"/>
        <c:axId val="140703616"/>
        <c:axId val="141333248"/>
      </c:barChart>
      <c:catAx>
        <c:axId val="140703616"/>
        <c:scaling>
          <c:orientation val="minMax"/>
        </c:scaling>
        <c:delete val="0"/>
        <c:axPos val="l"/>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1333248"/>
        <c:crosses val="autoZero"/>
        <c:auto val="1"/>
        <c:lblAlgn val="ctr"/>
        <c:lblOffset val="100"/>
        <c:noMultiLvlLbl val="0"/>
      </c:catAx>
      <c:valAx>
        <c:axId val="14133324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07036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chemeClr val="tx1"/>
                </a:solidFill>
                <a:latin typeface="+mn-lt"/>
                <a:ea typeface="+mn-ea"/>
                <a:cs typeface="Times New Roman" panose="02020603050405020304" pitchFamily="18" charset="0"/>
              </a:defRPr>
            </a:pPr>
            <a:r>
              <a:rPr lang="lt-LT" sz="900"/>
              <a:t>Pastatų fondas pagal statybos pabaigos metus (mln. m</a:t>
            </a:r>
            <a:r>
              <a:rPr lang="lt-LT" sz="900" baseline="30000"/>
              <a:t>2</a:t>
            </a:r>
            <a:r>
              <a:rPr lang="lt-LT" sz="900"/>
              <a:t>)</a:t>
            </a:r>
            <a:endParaRPr lang="en-US" sz="900"/>
          </a:p>
        </c:rich>
      </c:tx>
      <c:layout/>
      <c:overlay val="0"/>
      <c:spPr>
        <a:noFill/>
        <a:ln>
          <a:noFill/>
        </a:ln>
        <a:effectLst/>
      </c:spPr>
    </c:title>
    <c:autoTitleDeleted val="0"/>
    <c:plotArea>
      <c:layout/>
      <c:barChart>
        <c:barDir val="col"/>
        <c:grouping val="clustered"/>
        <c:varyColors val="0"/>
        <c:ser>
          <c:idx val="0"/>
          <c:order val="0"/>
          <c:tx>
            <c:strRef>
              <c:f>'3'!$J$55</c:f>
              <c:strCache>
                <c:ptCount val="1"/>
                <c:pt idx="0">
                  <c:v>Plotas</c:v>
                </c:pt>
              </c:strCache>
            </c:strRef>
          </c:tx>
          <c:spPr>
            <a:solidFill>
              <a:srgbClr val="002060"/>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1-4DE6-444D-AAF4-7FBD0ACDFC95}"/>
              </c:ext>
            </c:extLst>
          </c:dPt>
          <c:dPt>
            <c:idx val="1"/>
            <c:invertIfNegative val="0"/>
            <c:bubble3D val="0"/>
            <c:extLst xmlns:c16r2="http://schemas.microsoft.com/office/drawing/2015/06/chart">
              <c:ext xmlns:c16="http://schemas.microsoft.com/office/drawing/2014/chart" uri="{C3380CC4-5D6E-409C-BE32-E72D297353CC}">
                <c16:uniqueId val="{00000003-4DE6-444D-AAF4-7FBD0ACDFC95}"/>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4DE6-444D-AAF4-7FBD0ACDFC95}"/>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'3'!$J$56:$J$58</c:f>
              <c:strCache>
                <c:ptCount val="3"/>
                <c:pt idx="0">
                  <c:v>Iki 1960</c:v>
                </c:pt>
                <c:pt idx="1">
                  <c:v>1961 - 1992</c:v>
                </c:pt>
                <c:pt idx="2">
                  <c:v>1992&lt;</c:v>
                </c:pt>
              </c:strCache>
            </c:strRef>
          </c:cat>
          <c:val>
            <c:numRef>
              <c:f>'3'!$K$56:$K$58</c:f>
              <c:numCache>
                <c:formatCode>#,##0</c:formatCode>
                <c:ptCount val="3"/>
                <c:pt idx="0">
                  <c:v>34.094186999999991</c:v>
                </c:pt>
                <c:pt idx="1">
                  <c:v>116.37509399999999</c:v>
                </c:pt>
                <c:pt idx="2">
                  <c:v>51.204441000000003</c:v>
                </c:pt>
              </c:numCache>
            </c:numRef>
          </c:val>
          <c:extLst xmlns:c16r2="http://schemas.microsoft.com/office/drawing/2015/06/chart">
            <c:ext xmlns:c15="http://schemas.microsoft.com/office/drawing/2012/chart" uri="{02D57815-91ED-43cb-92C2-25804820EDAC}">
              <c15:datalabelsRange>
                <c15:f>'3'!$L$56:$L$58</c15:f>
                <c15:dlblRangeCache>
                  <c:ptCount val="3"/>
                  <c:pt idx="0">
                    <c:v>17%</c:v>
                  </c:pt>
                  <c:pt idx="1">
                    <c:v>58%</c:v>
                  </c:pt>
                  <c:pt idx="2">
                    <c:v>25%</c:v>
                  </c:pt>
                </c15:dlblRangeCache>
              </c15:datalabelsRange>
            </c:ext>
            <c:ext xmlns:c16="http://schemas.microsoft.com/office/drawing/2014/chart" uri="{C3380CC4-5D6E-409C-BE32-E72D297353CC}">
              <c16:uniqueId val="{00000006-4DE6-444D-AAF4-7FBD0ACDFC95}"/>
            </c:ext>
          </c:extLst>
        </c:ser>
        <c:dLbls>
          <c:showLegendKey val="0"/>
          <c:showVal val="0"/>
          <c:showCatName val="0"/>
          <c:showSerName val="0"/>
          <c:showPercent val="0"/>
          <c:showBubbleSize val="0"/>
        </c:dLbls>
        <c:gapWidth val="219"/>
        <c:overlap val="-27"/>
        <c:axId val="141377536"/>
        <c:axId val="141379072"/>
      </c:barChart>
      <c:catAx>
        <c:axId val="14137753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1379072"/>
        <c:crosses val="autoZero"/>
        <c:auto val="1"/>
        <c:lblAlgn val="ctr"/>
        <c:lblOffset val="100"/>
        <c:noMultiLvlLbl val="0"/>
      </c:catAx>
      <c:valAx>
        <c:axId val="141379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solidFill>
                <a:latin typeface="+mn-lt"/>
                <a:ea typeface="+mn-ea"/>
                <a:cs typeface="Times New Roman" panose="02020603050405020304" pitchFamily="18" charset="0"/>
              </a:defRPr>
            </a:pPr>
            <a:endParaRPr lang="lt-LT"/>
          </a:p>
        </c:txPr>
        <c:crossAx val="14137753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chemeClr val="tx1"/>
          </a:solidFill>
          <a:latin typeface="+mn-lt"/>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900"/>
            </a:pPr>
            <a:r>
              <a:rPr lang="lt-LT" sz="900"/>
              <a:t>Pastatų fondas pagal statybos pabaigos metus ir paskirtį (mln. m2)</a:t>
            </a:r>
            <a:endParaRPr lang="en-US" sz="900"/>
          </a:p>
        </c:rich>
      </c:tx>
      <c:layout/>
      <c:overlay val="0"/>
      <c:spPr>
        <a:noFill/>
        <a:ln>
          <a:noFill/>
        </a:ln>
        <a:effectLst/>
      </c:spPr>
    </c:title>
    <c:autoTitleDeleted val="0"/>
    <c:plotArea>
      <c:layout>
        <c:manualLayout>
          <c:layoutTarget val="inner"/>
          <c:xMode val="edge"/>
          <c:yMode val="edge"/>
          <c:x val="0.31386522963308938"/>
          <c:y val="0.21401252549408709"/>
          <c:w val="0.62994358497577285"/>
          <c:h val="0.5634259626616277"/>
        </c:manualLayout>
      </c:layout>
      <c:barChart>
        <c:barDir val="bar"/>
        <c:grouping val="stacked"/>
        <c:varyColors val="0"/>
        <c:ser>
          <c:idx val="2"/>
          <c:order val="0"/>
          <c:tx>
            <c:strRef>
              <c:f>'3'!$E$47:$H$47</c:f>
              <c:strCache>
                <c:ptCount val="1"/>
                <c:pt idx="0">
                  <c:v>Iki 1960</c:v>
                </c:pt>
              </c:strCache>
            </c:strRef>
          </c:tx>
          <c:spPr>
            <a:solidFill>
              <a:schemeClr val="bg2">
                <a:lumMod val="65000"/>
              </a:schemeClr>
            </a:solidFill>
            <a:ln>
              <a:solidFill>
                <a:schemeClr val="bg1"/>
              </a:solidFill>
            </a:ln>
            <a:effectLst/>
          </c:spPr>
          <c:invertIfNegative val="0"/>
          <c:dLbls>
            <c:dLbl>
              <c:idx val="0"/>
              <c:layout>
                <c:manualLayout>
                  <c:x val="-5.0977139861256569E-17"/>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9CB-4577-B249-1F74EA31954B}"/>
                </c:ext>
              </c:extLst>
            </c:dLbl>
            <c:dLbl>
              <c:idx val="1"/>
              <c:layout>
                <c:manualLayout>
                  <c:x val="-2.5488569930628285E-17"/>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9CB-4577-B249-1F74EA31954B}"/>
                </c:ext>
              </c:extLst>
            </c:dLbl>
            <c:dLbl>
              <c:idx val="3"/>
              <c:layout>
                <c:manualLayout>
                  <c:x val="-5.0977139861256569E-17"/>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'3'!$F$49:$F$52</c:f>
              <c:numCache>
                <c:formatCode>#,##0</c:formatCode>
                <c:ptCount val="4"/>
                <c:pt idx="0">
                  <c:v>5.5727220000000006</c:v>
                </c:pt>
                <c:pt idx="1">
                  <c:v>3.651338</c:v>
                </c:pt>
                <c:pt idx="2">
                  <c:v>6.5632850000000014</c:v>
                </c:pt>
                <c:pt idx="3">
                  <c:v>18.306841999999996</c:v>
                </c:pt>
              </c:numCache>
            </c:numRef>
          </c:val>
          <c:extLst xmlns:c16r2="http://schemas.microsoft.com/office/drawing/2015/06/chart">
            <c:ext xmlns:c16="http://schemas.microsoft.com/office/drawing/2014/chart" uri="{C3380CC4-5D6E-409C-BE32-E72D297353CC}">
              <c16:uniqueId val="{00000004-19CB-4577-B249-1F74EA31954B}"/>
            </c:ext>
          </c:extLst>
        </c:ser>
        <c:ser>
          <c:idx val="5"/>
          <c:order val="1"/>
          <c:tx>
            <c:strRef>
              <c:f>'3'!$I$47:$L$47</c:f>
              <c:strCache>
                <c:ptCount val="1"/>
                <c:pt idx="0">
                  <c:v>1961 - 1992</c:v>
                </c:pt>
              </c:strCache>
            </c:strRef>
          </c:tx>
          <c:spPr>
            <a:solidFill>
              <a:srgbClr val="002060"/>
            </a:solidFill>
            <a:ln>
              <a:solidFill>
                <a:schemeClr val="bg1"/>
              </a:solidFill>
            </a:ln>
            <a:effectLst/>
          </c:spPr>
          <c:invertIfNegative val="0"/>
          <c:dLbls>
            <c:dLbl>
              <c:idx val="0"/>
              <c:layout>
                <c:manualLayout>
                  <c:x val="-5.0977139861256569E-17"/>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9CB-4577-B249-1F74EA31954B}"/>
                </c:ext>
              </c:extLst>
            </c:dLbl>
            <c:dLbl>
              <c:idx val="1"/>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9CB-4577-B249-1F74EA31954B}"/>
                </c:ext>
              </c:extLst>
            </c:dLbl>
            <c:dLbl>
              <c:idx val="3"/>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'3'!$J$49:$J$52</c:f>
              <c:numCache>
                <c:formatCode>#,##0</c:formatCode>
                <c:ptCount val="4"/>
                <c:pt idx="0">
                  <c:v>20.799603000000001</c:v>
                </c:pt>
                <c:pt idx="1">
                  <c:v>23.537438999999999</c:v>
                </c:pt>
                <c:pt idx="2">
                  <c:v>42.878102999999989</c:v>
                </c:pt>
                <c:pt idx="3">
                  <c:v>29.159948999999994</c:v>
                </c:pt>
              </c:numCache>
            </c:numRef>
          </c:val>
          <c:extLst xmlns:c16r2="http://schemas.microsoft.com/office/drawing/2015/06/chart">
            <c:ext xmlns:c16="http://schemas.microsoft.com/office/drawing/2014/chart" uri="{C3380CC4-5D6E-409C-BE32-E72D297353CC}">
              <c16:uniqueId val="{00000009-19CB-4577-B249-1F74EA31954B}"/>
            </c:ext>
          </c:extLst>
        </c:ser>
        <c:ser>
          <c:idx val="9"/>
          <c:order val="2"/>
          <c:tx>
            <c:strRef>
              <c:f>'3'!$M$47:$P$47</c:f>
              <c:strCache>
                <c:ptCount val="1"/>
                <c:pt idx="0">
                  <c:v>1992&lt;</c:v>
                </c:pt>
              </c:strCache>
            </c:strRef>
          </c:tx>
          <c:spPr>
            <a:solidFill>
              <a:srgbClr val="C00000"/>
            </a:solidFill>
            <a:ln>
              <a:solidFill>
                <a:schemeClr val="bg1"/>
              </a:solidFill>
            </a:ln>
            <a:effectLst/>
          </c:spPr>
          <c:invertIfNegative val="0"/>
          <c:dLbls>
            <c:dLbl>
              <c:idx val="0"/>
              <c:layout>
                <c:manualLayout>
                  <c:x val="0"/>
                  <c:y val="-5.9926360629651544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19CB-4577-B249-1F74EA31954B}"/>
                </c:ext>
              </c:extLst>
            </c:dLbl>
            <c:dLbl>
              <c:idx val="1"/>
              <c:layout>
                <c:manualLayout>
                  <c:x val="-1.0195427972251314E-16"/>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9CB-4577-B249-1F74EA31954B}"/>
                </c:ext>
              </c:extLst>
            </c:dLbl>
            <c:dLbl>
              <c:idx val="2"/>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19CB-4577-B249-1F74EA31954B}"/>
                </c:ext>
              </c:extLst>
            </c:dLbl>
            <c:dLbl>
              <c:idx val="3"/>
              <c:layout>
                <c:manualLayout>
                  <c:x val="0"/>
                  <c:y val="-5.9926360629651461E-2"/>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19CB-4577-B249-1F74EA31954B}"/>
                </c:ext>
              </c:extLst>
            </c:dLbl>
            <c:spPr>
              <a:noFill/>
              <a:ln>
                <a:noFill/>
              </a:ln>
              <a:effectLst/>
            </c:spPr>
            <c:txPr>
              <a:bodyPr rot="0" vert="horz"/>
              <a:lstStyle/>
              <a:p>
                <a:pPr>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'3'!$D$49:$D$52</c:f>
              <c:strCache>
                <c:ptCount val="4"/>
                <c:pt idx="0">
                  <c:v>Kiti negyvenamieji</c:v>
                </c:pt>
                <c:pt idx="1">
                  <c:v>Pramonės</c:v>
                </c:pt>
                <c:pt idx="2">
                  <c:v>Daugiabučiai</c:v>
                </c:pt>
                <c:pt idx="3">
                  <c:v>Individualūs</c:v>
                </c:pt>
              </c:strCache>
            </c:strRef>
          </c:cat>
          <c:val>
            <c:numRef>
              <c:f>'3'!$N$49:$N$52</c:f>
              <c:numCache>
                <c:formatCode>#,##0</c:formatCode>
                <c:ptCount val="4"/>
                <c:pt idx="0">
                  <c:v>10.808191999999995</c:v>
                </c:pt>
                <c:pt idx="1">
                  <c:v>8.3009330000000006</c:v>
                </c:pt>
                <c:pt idx="2">
                  <c:v>10.022183999999999</c:v>
                </c:pt>
                <c:pt idx="3">
                  <c:v>22.073210000000003</c:v>
                </c:pt>
              </c:numCache>
            </c:numRef>
          </c:val>
          <c:extLst xmlns:c16r2="http://schemas.microsoft.com/office/drawing/2015/06/chart">
            <c:ext xmlns:c16="http://schemas.microsoft.com/office/drawing/2014/chart" uri="{C3380CC4-5D6E-409C-BE32-E72D297353CC}">
              <c16:uniqueId val="{0000000E-19CB-4577-B249-1F74EA31954B}"/>
            </c:ext>
          </c:extLst>
        </c:ser>
        <c:dLbls>
          <c:dLblPos val="ctr"/>
          <c:showLegendKey val="0"/>
          <c:showVal val="1"/>
          <c:showCatName val="0"/>
          <c:showSerName val="0"/>
          <c:showPercent val="0"/>
          <c:showBubbleSize val="0"/>
        </c:dLbls>
        <c:gapWidth val="150"/>
        <c:overlap val="100"/>
        <c:axId val="141421568"/>
        <c:axId val="141427456"/>
        <c:extLst xmlns:c16r2="http://schemas.microsoft.com/office/drawing/2015/06/chart">
          <c:ext xmlns:c15="http://schemas.microsoft.com/office/drawing/2012/chart" uri="{02D57815-91ED-43cb-92C2-25804820EDAC}">
            <c15:filteredBarSeries>
              <c15:ser>
                <c:idx val="1"/>
                <c:order val="0"/>
                <c:tx>
                  <c:strRef>
                    <c:extLst>
                      <c:ext uri="{02D57815-91ED-43cb-92C2-25804820EDAC}">
                        <c15:formulaRef>
                          <c15:sqref>'3'!$E$47</c15:sqref>
                        </c15:formulaRef>
                      </c:ext>
                    </c:extLst>
                    <c:strCache>
                      <c:ptCount val="1"/>
                      <c:pt idx="0">
                        <c:v>Iki 1960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c:ext uri="{02D57815-91ED-43cb-92C2-25804820EDAC}">
                        <c15:formulaRef>
                          <c15:sqref>'3'!$E$49:$E$51</c15:sqref>
                        </c15:formulaRef>
                      </c:ext>
                    </c:extLst>
                    <c:numCache>
                      <c:formatCode>#,##0.0</c:formatCode>
                      <c:ptCount val="3"/>
                      <c:pt idx="0">
                        <c:v>8.1630000000000003</c:v>
                      </c:pt>
                      <c:pt idx="1">
                        <c:v>6.4050000000000002</c:v>
                      </c:pt>
                      <c:pt idx="2">
                        <c:v>14.381999999999998</c:v>
                      </c:pt>
                    </c:numCache>
                  </c:numRef>
                </c:val>
                <c:extLst>
                  <c:ext xmlns:c16="http://schemas.microsoft.com/office/drawing/2014/chart" uri="{C3380CC4-5D6E-409C-BE32-E72D297353CC}">
                    <c16:uniqueId val="{0000000F-19CB-4577-B249-1F74EA31954B}"/>
                  </c:ext>
                </c:extLst>
              </c15:ser>
            </c15:filteredBarSeries>
            <c15:filteredBarSeries>
              <c15:ser>
                <c:idx val="3"/>
                <c:order val="2"/>
                <c:tx>
                  <c:strRef>
                    <c:extLst xmlns:c15="http://schemas.microsoft.com/office/drawing/2012/chart">
                      <c:ext xmlns:c15="http://schemas.microsoft.com/office/drawing/2012/chart" uri="{02D57815-91ED-43cb-92C2-25804820EDAC}">
                        <c15:formulaRef>
                          <c15:sqref>'3'!$G$47</c15:sqref>
                        </c15:formulaRef>
                      </c:ext>
                    </c:extLst>
                    <c:strCache>
                      <c:ptCount val="1"/>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'3'!$G$49:$G$51</c15:sqref>
                        </c15:formulaRef>
                      </c:ext>
                    </c:extLst>
                    <c:numCache>
                      <c:formatCode>0%</c:formatCode>
                      <c:ptCount val="3"/>
                      <c:pt idx="0">
                        <c:v>0.35298664848332634</c:v>
                      </c:pt>
                      <c:pt idx="1">
                        <c:v>0.23128258741415986</c:v>
                      </c:pt>
                      <c:pt idx="2">
                        <c:v>0.41573076410251381</c:v>
                      </c:pt>
                    </c:numCache>
                  </c:numRef>
                </c:val>
                <c:extLst xmlns:c15="http://schemas.microsoft.com/office/drawing/2012/chart">
                  <c:ext xmlns:c16="http://schemas.microsoft.com/office/drawing/2014/chart" uri="{C3380CC4-5D6E-409C-BE32-E72D297353CC}">
                    <c16:uniqueId val="{00000010-19CB-4577-B249-1F74EA31954B}"/>
                  </c:ext>
                </c:extLst>
              </c15:ser>
            </c15:filteredBarSeries>
            <c15:filteredBarSeries>
              <c15:ser>
                <c:idx val="4"/>
                <c:order val="3"/>
                <c:tx>
                  <c:strRef>
                    <c:extLst xmlns:c15="http://schemas.microsoft.com/office/drawing/2012/chart">
                      <c:ext xmlns:c15="http://schemas.microsoft.com/office/drawing/2012/chart" uri="{02D57815-91ED-43cb-92C2-25804820EDAC}">
                        <c15:formulaRef>
                          <c15:sqref>'3'!$H$47</c15:sqref>
                        </c15:formulaRef>
                      </c:ext>
                    </c:extLst>
                    <c:strCache>
                      <c:ptCount val="1"/>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'3'!$H$49:$H$51</c15:sqref>
                        </c15:formulaRef>
                      </c:ext>
                    </c:extLst>
                    <c:numCache>
                      <c:formatCode>0%</c:formatCode>
                      <c:ptCount val="3"/>
                      <c:pt idx="0">
                        <c:v>0.28196891191709844</c:v>
                      </c:pt>
                      <c:pt idx="1">
                        <c:v>0.2212435233160622</c:v>
                      </c:pt>
                      <c:pt idx="2">
                        <c:v>0.49678756476683933</c:v>
                      </c:pt>
                    </c:numCache>
                  </c:numRef>
                </c:val>
                <c:extLst xmlns:c15="http://schemas.microsoft.com/office/drawing/2012/chart">
                  <c:ext xmlns:c16="http://schemas.microsoft.com/office/drawing/2014/chart" uri="{C3380CC4-5D6E-409C-BE32-E72D297353CC}">
                    <c16:uniqueId val="{00000011-19CB-4577-B249-1F74EA31954B}"/>
                  </c:ext>
                </c:extLst>
              </c15:ser>
            </c15:filteredBarSeries>
            <c15:filteredBarSeries>
              <c15:ser>
                <c:idx val="0"/>
                <c:order val="4"/>
                <c:tx>
                  <c:strRef>
                    <c:extLst xmlns:c15="http://schemas.microsoft.com/office/drawing/2012/chart">
                      <c:ext xmlns:c15="http://schemas.microsoft.com/office/drawing/2012/chart" uri="{02D57815-91ED-43cb-92C2-25804820EDAC}">
                        <c15:formulaRef>
                          <c15:sqref>'3'!$I$47</c15:sqref>
                        </c15:formulaRef>
                      </c:ext>
                    </c:extLst>
                    <c:strCache>
                      <c:ptCount val="1"/>
                      <c:pt idx="0">
                        <c:v>1961 - 1992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'3'!$I$49:$I$51</c15:sqref>
                        </c15:formulaRef>
                      </c:ext>
                    </c:extLst>
                    <c:numCache>
                      <c:formatCode>#,##0.0</c:formatCode>
                      <c:ptCount val="3"/>
                      <c:pt idx="0">
                        <c:v>23.262</c:v>
                      </c:pt>
                      <c:pt idx="1">
                        <c:v>34.521000000000001</c:v>
                      </c:pt>
                      <c:pt idx="2">
                        <c:v>22.669</c:v>
                      </c:pt>
                    </c:numCache>
                  </c:numRef>
                </c:val>
                <c:extLst xmlns:c15="http://schemas.microsoft.com/office/drawing/2012/chart">
                  <c:ext xmlns:c16="http://schemas.microsoft.com/office/drawing/2014/chart" uri="{C3380CC4-5D6E-409C-BE32-E72D297353CC}">
                    <c16:uniqueId val="{00000012-19CB-4577-B249-1F74EA31954B}"/>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'3'!$K$47</c15:sqref>
                        </c15:formulaRef>
                      </c:ext>
                    </c:extLst>
                    <c:strCache>
                      <c:ptCount val="1"/>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'3'!$K$49:$K$51</c15:sqref>
                        </c15:formulaRef>
                      </c:ext>
                    </c:extLst>
                    <c:numCache>
                      <c:formatCode>0%</c:formatCode>
                      <c:ptCount val="3"/>
                      <c:pt idx="0">
                        <c:v>0.23848613678278016</c:v>
                      </c:pt>
                      <c:pt idx="1">
                        <c:v>0.26987788646111871</c:v>
                      </c:pt>
                      <c:pt idx="2">
                        <c:v>0.49163597675610127</c:v>
                      </c:pt>
                    </c:numCache>
                  </c:numRef>
                </c:val>
                <c:extLst xmlns:c15="http://schemas.microsoft.com/office/drawing/2012/chart">
                  <c:ext xmlns:c16="http://schemas.microsoft.com/office/drawing/2014/chart" uri="{C3380CC4-5D6E-409C-BE32-E72D297353CC}">
                    <c16:uniqueId val="{00000013-19CB-4577-B249-1F74EA31954B}"/>
                  </c:ext>
                </c:extLst>
              </c15:ser>
            </c15:filteredBarSeries>
            <c15:filteredBarSeries>
              <c15:ser>
                <c:idx val="7"/>
                <c:order val="7"/>
                <c:tx>
                  <c:strRef>
                    <c:extLst xmlns:c15="http://schemas.microsoft.com/office/drawing/2012/chart">
                      <c:ext xmlns:c15="http://schemas.microsoft.com/office/drawing/2012/chart" uri="{02D57815-91ED-43cb-92C2-25804820EDAC}">
                        <c15:formulaRef>
                          <c15:sqref>'3'!$L$47</c15:sqref>
                        </c15:formulaRef>
                      </c:ext>
                    </c:extLst>
                    <c:strCache>
                      <c:ptCount val="1"/>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'3'!$L$49:$L$51</c15:sqref>
                        </c15:formulaRef>
                      </c:ext>
                    </c:extLst>
                    <c:numCache>
                      <c:formatCode>0%</c:formatCode>
                      <c:ptCount val="3"/>
                      <c:pt idx="0">
                        <c:v>0.28914135136478897</c:v>
                      </c:pt>
                      <c:pt idx="1">
                        <c:v>0.42908815194153038</c:v>
                      </c:pt>
                      <c:pt idx="2">
                        <c:v>0.28177049669368071</c:v>
                      </c:pt>
                    </c:numCache>
                  </c:numRef>
                </c:val>
                <c:extLst xmlns:c15="http://schemas.microsoft.com/office/drawing/2012/chart">
                  <c:ext xmlns:c16="http://schemas.microsoft.com/office/drawing/2014/chart" uri="{C3380CC4-5D6E-409C-BE32-E72D297353CC}">
                    <c16:uniqueId val="{00000014-19CB-4577-B249-1F74EA31954B}"/>
                  </c:ext>
                </c:extLst>
              </c15:ser>
            </c15:filteredBarSeries>
            <c15:filteredBarSeries>
              <c15:ser>
                <c:idx val="8"/>
                <c:order val="8"/>
                <c:tx>
                  <c:strRef>
                    <c:extLst xmlns:c15="http://schemas.microsoft.com/office/drawing/2012/chart">
                      <c:ext xmlns:c15="http://schemas.microsoft.com/office/drawing/2012/chart" uri="{02D57815-91ED-43cb-92C2-25804820EDAC}">
                        <c15:formulaRef>
                          <c15:sqref>'3'!$M$47</c15:sqref>
                        </c15:formulaRef>
                      </c:ext>
                    </c:extLst>
                    <c:strCache>
                      <c:ptCount val="1"/>
                      <c:pt idx="0">
                        <c:v>1992&lt;</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'3'!$M$49:$M$51</c15:sqref>
                        </c15:formulaRef>
                      </c:ext>
                    </c:extLst>
                    <c:numCache>
                      <c:formatCode>#,##0.0</c:formatCode>
                      <c:ptCount val="3"/>
                      <c:pt idx="0">
                        <c:v>10.571</c:v>
                      </c:pt>
                      <c:pt idx="1">
                        <c:v>7.8490000000000002</c:v>
                      </c:pt>
                      <c:pt idx="2">
                        <c:v>3.97</c:v>
                      </c:pt>
                    </c:numCache>
                  </c:numRef>
                </c:val>
                <c:extLst xmlns:c15="http://schemas.microsoft.com/office/drawing/2012/chart">
                  <c:ext xmlns:c16="http://schemas.microsoft.com/office/drawing/2014/chart" uri="{C3380CC4-5D6E-409C-BE32-E72D297353CC}">
                    <c16:uniqueId val="{00000015-19CB-4577-B249-1F74EA31954B}"/>
                  </c:ext>
                </c:extLst>
              </c15:ser>
            </c15:filteredBarSeries>
            <c15:filteredBarSeries>
              <c15:ser>
                <c:idx val="10"/>
                <c:order val="10"/>
                <c:tx>
                  <c:strRef>
                    <c:extLst xmlns:c15="http://schemas.microsoft.com/office/drawing/2012/chart">
                      <c:ext xmlns:c15="http://schemas.microsoft.com/office/drawing/2012/chart" uri="{02D57815-91ED-43cb-92C2-25804820EDAC}">
                        <c15:formulaRef>
                          <c15:sqref>'3'!$O$47</c15:sqref>
                        </c15:formulaRef>
                      </c:ext>
                    </c:extLst>
                    <c:strCache>
                      <c:ptCount val="1"/>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'3'!$O$49:$O$51</c15:sqref>
                        </c15:formulaRef>
                      </c:ext>
                    </c:extLst>
                    <c:numCache>
                      <c:formatCode>0%</c:formatCode>
                      <c:ptCount val="3"/>
                      <c:pt idx="0">
                        <c:v>0.37101635220030782</c:v>
                      </c:pt>
                      <c:pt idx="1">
                        <c:v>0.28494885004995835</c:v>
                      </c:pt>
                      <c:pt idx="2">
                        <c:v>0.34403479774973383</c:v>
                      </c:pt>
                    </c:numCache>
                  </c:numRef>
                </c:val>
                <c:extLst xmlns:c15="http://schemas.microsoft.com/office/drawing/2012/chart">
                  <c:ext xmlns:c16="http://schemas.microsoft.com/office/drawing/2014/chart" uri="{C3380CC4-5D6E-409C-BE32-E72D297353CC}">
                    <c16:uniqueId val="{00000016-19CB-4577-B249-1F74EA31954B}"/>
                  </c:ext>
                </c:extLst>
              </c15:ser>
            </c15:filteredBarSeries>
            <c15:filteredBarSeries>
              <c15:ser>
                <c:idx val="11"/>
                <c:order val="11"/>
                <c:tx>
                  <c:strRef>
                    <c:extLst xmlns:c15="http://schemas.microsoft.com/office/drawing/2012/chart">
                      <c:ext xmlns:c15="http://schemas.microsoft.com/office/drawing/2012/chart" uri="{02D57815-91ED-43cb-92C2-25804820EDAC}">
                        <c15:formulaRef>
                          <c15:sqref>'3'!$P$47</c15:sqref>
                        </c15:formulaRef>
                      </c:ext>
                    </c:extLst>
                    <c:strCache>
                      <c:ptCount val="1"/>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'3'!$D$49:$D$52</c15:sqref>
                        </c15:formulaRef>
                      </c:ext>
                    </c:extLst>
                    <c:strCache>
                      <c:ptCount val="4"/>
                      <c:pt idx="0">
                        <c:v>Kiti negyvenamieji</c:v>
                      </c:pt>
                      <c:pt idx="1">
                        <c:v>Pramonės</c:v>
                      </c:pt>
                      <c:pt idx="2">
                        <c:v>Daugiabučiai</c:v>
                      </c:pt>
                      <c:pt idx="3">
                        <c:v>Individualūs</c:v>
                      </c:pt>
                    </c:strCache>
                  </c:strRef>
                </c:cat>
                <c:val>
                  <c:numRef>
                    <c:extLst xmlns:c15="http://schemas.microsoft.com/office/drawing/2012/chart">
                      <c:ext xmlns:c15="http://schemas.microsoft.com/office/drawing/2012/chart" uri="{02D57815-91ED-43cb-92C2-25804820EDAC}">
                        <c15:formulaRef>
                          <c15:sqref>'3'!$P$49:$P$51</c15:sqref>
                        </c15:formulaRef>
                      </c:ext>
                    </c:extLst>
                    <c:numCache>
                      <c:formatCode>0%</c:formatCode>
                      <c:ptCount val="3"/>
                      <c:pt idx="0">
                        <c:v>0.47213041536400174</c:v>
                      </c:pt>
                      <c:pt idx="1">
                        <c:v>0.35055828494863778</c:v>
                      </c:pt>
                      <c:pt idx="2">
                        <c:v>0.17731129968736042</c:v>
                      </c:pt>
                    </c:numCache>
                  </c:numRef>
                </c:val>
                <c:extLst xmlns:c15="http://schemas.microsoft.com/office/drawing/2012/chart">
                  <c:ext xmlns:c16="http://schemas.microsoft.com/office/drawing/2014/chart" uri="{C3380CC4-5D6E-409C-BE32-E72D297353CC}">
                    <c16:uniqueId val="{00000017-19CB-4577-B249-1F74EA31954B}"/>
                  </c:ext>
                </c:extLst>
              </c15:ser>
            </c15:filteredBarSeries>
          </c:ext>
        </c:extLst>
      </c:barChart>
      <c:catAx>
        <c:axId val="141421568"/>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lt-LT"/>
          </a:p>
        </c:txPr>
        <c:crossAx val="141427456"/>
        <c:crosses val="autoZero"/>
        <c:auto val="1"/>
        <c:lblAlgn val="ctr"/>
        <c:lblOffset val="100"/>
        <c:noMultiLvlLbl val="0"/>
      </c:catAx>
      <c:valAx>
        <c:axId val="14142745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lt-LT"/>
          </a:p>
        </c:txPr>
        <c:crossAx val="141421568"/>
        <c:crosses val="autoZero"/>
        <c:crossBetween val="between"/>
      </c:valAx>
      <c:spPr>
        <a:noFill/>
        <a:ln>
          <a:noFill/>
        </a:ln>
        <a:effectLst/>
      </c:spPr>
    </c:plotArea>
    <c:legend>
      <c:legendPos val="b"/>
      <c:layout/>
      <c:overlay val="0"/>
      <c:spPr>
        <a:noFill/>
        <a:ln>
          <a:noFill/>
        </a:ln>
        <a:effectLst/>
      </c:spPr>
      <c:txPr>
        <a:bodyPr rot="0" vert="horz"/>
        <a:lstStyle/>
        <a:p>
          <a:pPr>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latin typeface="+mn-lt"/>
          <a:cs typeface="Times New Roman" panose="02020603050405020304" pitchFamily="18" charset="0"/>
        </a:defRPr>
      </a:pPr>
      <a:endParaRPr lang="lt-LT"/>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nuosavybės tipą </a:t>
            </a:r>
          </a:p>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(mln. m</a:t>
            </a:r>
            <a:r>
              <a:rPr lang="lt-LT" sz="900" baseline="30000"/>
              <a:t>2</a:t>
            </a:r>
            <a:r>
              <a:rPr lang="lt-LT" sz="900"/>
              <a:t>)</a:t>
            </a:r>
            <a:endParaRPr lang="en-US" sz="900"/>
          </a:p>
        </c:rich>
      </c:tx>
      <c:layout/>
      <c:overlay val="0"/>
      <c:spPr>
        <a:noFill/>
        <a:ln>
          <a:noFill/>
        </a:ln>
        <a:effectLst/>
      </c:spPr>
    </c:title>
    <c:autoTitleDeleted val="0"/>
    <c:plotArea>
      <c:layout/>
      <c:barChart>
        <c:barDir val="col"/>
        <c:grouping val="clustered"/>
        <c:varyColors val="0"/>
        <c:ser>
          <c:idx val="0"/>
          <c:order val="0"/>
          <c:spPr>
            <a:solidFill>
              <a:schemeClr val="tx1">
                <a:lumMod val="50000"/>
                <a:lumOff val="50000"/>
              </a:schemeClr>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6-012D-4A0F-96CD-FCBF5A690C8C}"/>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12D-4A0F-96CD-FCBF5A690C8C}"/>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3-012D-4A0F-96CD-FCBF5A690C8C}"/>
              </c:ext>
            </c:extLst>
          </c:dPt>
          <c:dPt>
            <c:idx val="3"/>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5-012D-4A0F-96CD-FCBF5A690C8C}"/>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'4'!$E$47:$H$47</c:f>
              <c:strCache>
                <c:ptCount val="4"/>
                <c:pt idx="0">
                  <c:v>Fizinių asmenų</c:v>
                </c:pt>
                <c:pt idx="1">
                  <c:v>Juridinių asmenų</c:v>
                </c:pt>
                <c:pt idx="2">
                  <c:v>Vieša</c:v>
                </c:pt>
                <c:pt idx="3">
                  <c:v>Mišri</c:v>
                </c:pt>
              </c:strCache>
            </c:strRef>
          </c:cat>
          <c:val>
            <c:numRef>
              <c:f>'4'!$E$52:$H$52</c:f>
              <c:numCache>
                <c:formatCode>#,##0\ ;\ \-\ #,##0\ ;\ \-\ </c:formatCode>
                <c:ptCount val="4"/>
                <c:pt idx="0">
                  <c:v>62.040175000000012</c:v>
                </c:pt>
                <c:pt idx="1">
                  <c:v>31.928361000000002</c:v>
                </c:pt>
                <c:pt idx="2">
                  <c:v>14.947192000000001</c:v>
                </c:pt>
                <c:pt idx="3">
                  <c:v>90.868030000000005</c:v>
                </c:pt>
              </c:numCache>
            </c:numRef>
          </c:val>
          <c:extLst xmlns:c16r2="http://schemas.microsoft.com/office/drawing/2015/06/chart">
            <c:ext xmlns:c16="http://schemas.microsoft.com/office/drawing/2014/chart" uri="{C3380CC4-5D6E-409C-BE32-E72D297353CC}">
              <c16:uniqueId val="{00000007-012D-4A0F-96CD-FCBF5A690C8C}"/>
            </c:ext>
            <c:ext xmlns:c15="http://schemas.microsoft.com/office/drawing/2012/chart" uri="{02D57815-91ED-43cb-92C2-25804820EDAC}">
              <c15:datalabelsRange>
                <c15:f>'4'!$E$53:$H$53</c15:f>
                <c15:dlblRangeCache>
                  <c:ptCount val="4"/>
                  <c:pt idx="0">
                    <c:v>31%</c:v>
                  </c:pt>
                  <c:pt idx="1">
                    <c:v>16%</c:v>
                  </c:pt>
                  <c:pt idx="2">
                    <c:v>7%</c:v>
                  </c:pt>
                  <c:pt idx="3">
                    <c:v>45%</c:v>
                  </c:pt>
                </c15:dlblRangeCache>
              </c15:datalabelsRange>
            </c:ext>
          </c:extLst>
        </c:ser>
        <c:dLbls>
          <c:dLblPos val="outEnd"/>
          <c:showLegendKey val="0"/>
          <c:showVal val="1"/>
          <c:showCatName val="0"/>
          <c:showSerName val="0"/>
          <c:showPercent val="0"/>
          <c:showBubbleSize val="0"/>
        </c:dLbls>
        <c:gapWidth val="219"/>
        <c:overlap val="-27"/>
        <c:axId val="141442048"/>
        <c:axId val="141446528"/>
      </c:barChart>
      <c:catAx>
        <c:axId val="14144204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1446528"/>
        <c:crosses val="autoZero"/>
        <c:auto val="1"/>
        <c:lblAlgn val="ctr"/>
        <c:lblOffset val="100"/>
        <c:noMultiLvlLbl val="0"/>
      </c:catAx>
      <c:valAx>
        <c:axId val="141446528"/>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1442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nuosavybės tipą ir paskirtį (mln. m</a:t>
            </a:r>
            <a:r>
              <a:rPr lang="lt-LT" sz="900" baseline="30000"/>
              <a:t>2</a:t>
            </a:r>
            <a:r>
              <a:rPr lang="lt-LT" sz="900"/>
              <a:t>)</a:t>
            </a:r>
            <a:endParaRPr lang="en-US" sz="900"/>
          </a:p>
        </c:rich>
      </c:tx>
      <c:layout/>
      <c:overlay val="0"/>
      <c:spPr>
        <a:noFill/>
        <a:ln>
          <a:noFill/>
        </a:ln>
        <a:effectLst/>
      </c:spPr>
    </c:title>
    <c:autoTitleDeleted val="0"/>
    <c:plotArea>
      <c:layout/>
      <c:barChart>
        <c:barDir val="bar"/>
        <c:grouping val="stacked"/>
        <c:varyColors val="0"/>
        <c:ser>
          <c:idx val="0"/>
          <c:order val="0"/>
          <c:tx>
            <c:strRef>
              <c:f>'4'!$E$47</c:f>
              <c:strCache>
                <c:ptCount val="1"/>
                <c:pt idx="0">
                  <c:v>Fizinių asmenų</c:v>
                </c:pt>
              </c:strCache>
            </c:strRef>
          </c:tx>
          <c:spPr>
            <a:solidFill>
              <a:schemeClr val="bg2">
                <a:lumMod val="65000"/>
              </a:schemeClr>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D9C-4964-B2F4-3805077CDA63}"/>
                </c:ext>
                <c:ext xmlns:c15="http://schemas.microsoft.com/office/drawing/2012/chart" uri="{CE6537A1-D6FC-4f65-9D91-7224C49458BB}"/>
              </c:extLst>
            </c:dLbl>
            <c:dLbl>
              <c:idx val="1"/>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D9C-4964-B2F4-3805077CDA6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2-8D9C-4964-B2F4-3805077CDA63}"/>
                </c:ext>
                <c:ext xmlns:c15="http://schemas.microsoft.com/office/drawing/2012/chart" uri="{CE6537A1-D6FC-4f65-9D91-7224C49458BB}"/>
              </c:extLst>
            </c:dLbl>
            <c:dLbl>
              <c:idx val="3"/>
              <c:layout>
                <c:manualLayout>
                  <c:x val="5.1300656014192554E-17"/>
                  <c:y val="-6.1070162025874904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'4'!$E$48:$E$51</c:f>
              <c:numCache>
                <c:formatCode>_(* #,##0_);_(* \(#,##0\);_(* "-"??_);_(@_)</c:formatCode>
                <c:ptCount val="4"/>
                <c:pt idx="0">
                  <c:v>3.1416630000000003</c:v>
                </c:pt>
                <c:pt idx="1">
                  <c:v>6.2476789999999998</c:v>
                </c:pt>
                <c:pt idx="2">
                  <c:v>0.31954700000000019</c:v>
                </c:pt>
                <c:pt idx="3">
                  <c:v>52.331286000000013</c:v>
                </c:pt>
              </c:numCache>
            </c:numRef>
          </c:val>
          <c:extLst xmlns:c16r2="http://schemas.microsoft.com/office/drawing/2015/06/chart">
            <c:ext xmlns:c16="http://schemas.microsoft.com/office/drawing/2014/chart" uri="{C3380CC4-5D6E-409C-BE32-E72D297353CC}">
              <c16:uniqueId val="{00000004-8D9C-4964-B2F4-3805077CDA63}"/>
            </c:ext>
          </c:extLst>
        </c:ser>
        <c:ser>
          <c:idx val="1"/>
          <c:order val="1"/>
          <c:tx>
            <c:strRef>
              <c:f>'4'!$F$47</c:f>
              <c:strCache>
                <c:ptCount val="1"/>
                <c:pt idx="0">
                  <c:v>Juridinių asmenų</c:v>
                </c:pt>
              </c:strCache>
            </c:strRef>
          </c:tx>
          <c:spPr>
            <a:solidFill>
              <a:srgbClr val="00206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D9C-4964-B2F4-3805077CDA63}"/>
                </c:ext>
                <c:ext xmlns:c15="http://schemas.microsoft.com/office/drawing/2012/chart" uri="{CE6537A1-D6FC-4f65-9D91-7224C49458BB}"/>
              </c:extLst>
            </c:dLbl>
            <c:dLbl>
              <c:idx val="1"/>
              <c:layout>
                <c:manualLayout>
                  <c:x val="0"/>
                  <c:y val="-6.143482122690295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D9C-4964-B2F4-3805077CDA63}"/>
                </c:ext>
                <c:ext xmlns:c15="http://schemas.microsoft.com/office/drawing/2012/chart" uri="{CE6537A1-D6FC-4f65-9D91-7224C49458BB}"/>
              </c:extLst>
            </c:dLbl>
            <c:dLbl>
              <c:idx val="2"/>
              <c:delete val="1"/>
              <c:extLst xmlns:c16r2="http://schemas.microsoft.com/office/drawing/2015/06/chart">
                <c:ext xmlns:c16="http://schemas.microsoft.com/office/drawing/2014/chart" uri="{C3380CC4-5D6E-409C-BE32-E72D297353CC}">
                  <c16:uniqueId val="{00000007-8D9C-4964-B2F4-3805077CDA63}"/>
                </c:ext>
                <c:ext xmlns:c15="http://schemas.microsoft.com/office/drawing/2012/chart" uri="{CE6537A1-D6FC-4f65-9D91-7224C49458BB}"/>
              </c:extLst>
            </c:dLbl>
            <c:dLbl>
              <c:idx val="3"/>
              <c:layout>
                <c:manualLayout>
                  <c:x val="0"/>
                  <c:y val="-6.14348212269028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'4'!$F$48:$F$51</c:f>
              <c:numCache>
                <c:formatCode>_(* #,##0_);_(* \(#,##0\);_(* "-"??_);_(@_)</c:formatCode>
                <c:ptCount val="4"/>
                <c:pt idx="0">
                  <c:v>11.041991999999999</c:v>
                </c:pt>
                <c:pt idx="1">
                  <c:v>19.690213</c:v>
                </c:pt>
                <c:pt idx="2">
                  <c:v>0.47448500000000016</c:v>
                </c:pt>
                <c:pt idx="3">
                  <c:v>0.72167100000000028</c:v>
                </c:pt>
              </c:numCache>
            </c:numRef>
          </c:val>
          <c:extLst xmlns:c16r2="http://schemas.microsoft.com/office/drawing/2015/06/chart">
            <c:ext xmlns:c16="http://schemas.microsoft.com/office/drawing/2014/chart" uri="{C3380CC4-5D6E-409C-BE32-E72D297353CC}">
              <c16:uniqueId val="{00000009-8D9C-4964-B2F4-3805077CDA63}"/>
            </c:ext>
          </c:extLst>
        </c:ser>
        <c:ser>
          <c:idx val="2"/>
          <c:order val="2"/>
          <c:tx>
            <c:strRef>
              <c:f>'4'!$G$47</c:f>
              <c:strCache>
                <c:ptCount val="1"/>
                <c:pt idx="0">
                  <c:v>Vieša</c:v>
                </c:pt>
              </c:strCache>
            </c:strRef>
          </c:tx>
          <c:spPr>
            <a:solidFill>
              <a:srgbClr val="C0000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D9C-4964-B2F4-3805077CDA63}"/>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B-8D9C-4964-B2F4-3805077CDA63}"/>
                </c:ext>
                <c:ext xmlns:c15="http://schemas.microsoft.com/office/drawing/2012/chart" uri="{CE6537A1-D6FC-4f65-9D91-7224C49458BB}"/>
              </c:extLst>
            </c:dLbl>
            <c:dLbl>
              <c:idx val="2"/>
              <c:layout>
                <c:manualLayout>
                  <c:x val="-5.1027515432557898E-17"/>
                  <c:y val="-5.6709065747910382E-2"/>
                </c:manualLayout>
              </c:layout>
              <c:tx>
                <c:rich>
                  <a:bodyPr/>
                  <a:lstStyle/>
                  <a:p>
                    <a:r>
                      <a:rPr lang="en-US"/>
                      <a:t>1</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D9C-4964-B2F4-3805077CDA63}"/>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D-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'4'!$G$48:$G$51</c:f>
              <c:numCache>
                <c:formatCode>_(* #,##0_);_(* \(#,##0\);_(* "-"??_);_(@_)</c:formatCode>
                <c:ptCount val="4"/>
                <c:pt idx="0">
                  <c:v>14.061325000000002</c:v>
                </c:pt>
                <c:pt idx="1">
                  <c:v>0.296296</c:v>
                </c:pt>
                <c:pt idx="2">
                  <c:v>0.43304599999999993</c:v>
                </c:pt>
                <c:pt idx="3">
                  <c:v>0.15652499999999997</c:v>
                </c:pt>
              </c:numCache>
            </c:numRef>
          </c:val>
          <c:extLst xmlns:c16r2="http://schemas.microsoft.com/office/drawing/2015/06/chart">
            <c:ext xmlns:c16="http://schemas.microsoft.com/office/drawing/2014/chart" uri="{C3380CC4-5D6E-409C-BE32-E72D297353CC}">
              <c16:uniqueId val="{0000000E-8D9C-4964-B2F4-3805077CDA63}"/>
            </c:ext>
          </c:extLst>
        </c:ser>
        <c:ser>
          <c:idx val="3"/>
          <c:order val="3"/>
          <c:tx>
            <c:strRef>
              <c:f>'4'!$H$47</c:f>
              <c:strCache>
                <c:ptCount val="1"/>
                <c:pt idx="0">
                  <c:v>Mišri</c:v>
                </c:pt>
              </c:strCache>
            </c:strRef>
          </c:tx>
          <c:spPr>
            <a:solidFill>
              <a:srgbClr val="00B0F0"/>
            </a:solidFill>
            <a:ln w="9525">
              <a:solidFill>
                <a:schemeClr val="bg1"/>
              </a:solidFill>
            </a:ln>
            <a:effectLst/>
          </c:spPr>
          <c:invertIfNegative val="0"/>
          <c:dLbls>
            <c:dLbl>
              <c:idx val="0"/>
              <c:layout>
                <c:manualLayout>
                  <c:x val="0"/>
                  <c:y val="-5.6709065747910431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D9C-4964-B2F4-3805077CDA63}"/>
                </c:ext>
                <c:ext xmlns:c15="http://schemas.microsoft.com/office/drawing/2012/chart" uri="{CE6537A1-D6FC-4f65-9D91-7224C49458BB}"/>
              </c:extLst>
            </c:dLbl>
            <c:dLbl>
              <c:idx val="1"/>
              <c:layout>
                <c:manualLayout>
                  <c:x val="-1.020550308651158E-16"/>
                  <c:y val="-6.1434821226902955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D9C-4964-B2F4-3805077CDA63}"/>
                </c:ext>
                <c:ext xmlns:c15="http://schemas.microsoft.com/office/drawing/2012/chart" uri="{CE6537A1-D6FC-4f65-9D91-7224C49458BB}"/>
              </c:extLst>
            </c:dLbl>
            <c:dLbl>
              <c:idx val="2"/>
              <c:layout>
                <c:manualLayout>
                  <c:x val="0"/>
                  <c:y val="-5.670906574791038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D9C-4964-B2F4-3805077CDA63}"/>
                </c:ext>
                <c:ext xmlns:c15="http://schemas.microsoft.com/office/drawing/2012/chart" uri="{CE6537A1-D6FC-4f65-9D91-7224C49458BB}"/>
              </c:extLst>
            </c:dLbl>
            <c:dLbl>
              <c:idx val="3"/>
              <c:layout>
                <c:manualLayout>
                  <c:x val="0"/>
                  <c:y val="-6.1434821226902872E-2"/>
                </c:manualLayout>
              </c:layout>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D9C-4964-B2F4-3805077CDA6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'4'!$D$48:$D$51</c:f>
              <c:strCache>
                <c:ptCount val="4"/>
                <c:pt idx="0">
                  <c:v>Kiti negyvenamieji</c:v>
                </c:pt>
                <c:pt idx="1">
                  <c:v>Pramonės</c:v>
                </c:pt>
                <c:pt idx="2">
                  <c:v>Daugiabučiai</c:v>
                </c:pt>
                <c:pt idx="3">
                  <c:v>Individualūs</c:v>
                </c:pt>
              </c:strCache>
            </c:strRef>
          </c:cat>
          <c:val>
            <c:numRef>
              <c:f>'4'!$H$48:$H$51</c:f>
              <c:numCache>
                <c:formatCode>_(* #,##0_);_(* \(#,##0\);_(* "-"??_);_(@_)</c:formatCode>
                <c:ptCount val="4"/>
                <c:pt idx="0">
                  <c:v>8.9355370000000001</c:v>
                </c:pt>
                <c:pt idx="1">
                  <c:v>8.2800599999999989</c:v>
                </c:pt>
                <c:pt idx="2">
                  <c:v>57.427733000000011</c:v>
                </c:pt>
                <c:pt idx="3">
                  <c:v>16.224700000000002</c:v>
                </c:pt>
              </c:numCache>
            </c:numRef>
          </c:val>
          <c:extLst xmlns:c16r2="http://schemas.microsoft.com/office/drawing/2015/06/chart">
            <c:ext xmlns:c16="http://schemas.microsoft.com/office/drawing/2014/chart" uri="{C3380CC4-5D6E-409C-BE32-E72D297353CC}">
              <c16:uniqueId val="{00000013-8D9C-4964-B2F4-3805077CDA63}"/>
            </c:ext>
          </c:extLst>
        </c:ser>
        <c:dLbls>
          <c:dLblPos val="ctr"/>
          <c:showLegendKey val="0"/>
          <c:showVal val="1"/>
          <c:showCatName val="0"/>
          <c:showSerName val="0"/>
          <c:showPercent val="0"/>
          <c:showBubbleSize val="0"/>
        </c:dLbls>
        <c:gapWidth val="150"/>
        <c:overlap val="100"/>
        <c:axId val="141479296"/>
        <c:axId val="141485184"/>
      </c:barChart>
      <c:catAx>
        <c:axId val="141479296"/>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1485184"/>
        <c:crosses val="autoZero"/>
        <c:auto val="1"/>
        <c:lblAlgn val="ctr"/>
        <c:lblOffset val="100"/>
        <c:noMultiLvlLbl val="0"/>
      </c:catAx>
      <c:valAx>
        <c:axId val="141485184"/>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147929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Times New Roman" panose="02020603050405020304" pitchFamily="18" charset="0"/>
              </a:defRPr>
            </a:pPr>
            <a:r>
              <a:rPr lang="lt-LT" sz="900"/>
              <a:t>Pastatų fondas pagal sienų medžiagiškumą (mln. m</a:t>
            </a:r>
            <a:r>
              <a:rPr lang="lt-LT" sz="900" baseline="30000"/>
              <a:t>2</a:t>
            </a:r>
            <a:r>
              <a:rPr lang="lt-LT" sz="900"/>
              <a:t>)</a:t>
            </a:r>
            <a:endParaRPr lang="en-US" sz="900"/>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bg2">
                  <a:lumMod val="65000"/>
                </a:schemeClr>
              </a:solidFill>
              <a:ln>
                <a:noFill/>
              </a:ln>
              <a:effectLst/>
            </c:spPr>
            <c:extLst xmlns:c16r2="http://schemas.microsoft.com/office/drawing/2015/06/chart">
              <c:ext xmlns:c16="http://schemas.microsoft.com/office/drawing/2014/chart" uri="{C3380CC4-5D6E-409C-BE32-E72D297353CC}">
                <c16:uniqueId val="{00000001-3682-4B8D-924F-2845BABF95E7}"/>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3682-4B8D-924F-2845BABF95E7}"/>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3682-4B8D-924F-2845BABF95E7}"/>
              </c:ext>
            </c:extLst>
          </c:dPt>
          <c:dPt>
            <c:idx val="3"/>
            <c:invertIfNegative val="0"/>
            <c:bubble3D val="0"/>
            <c:spPr>
              <a:solidFill>
                <a:schemeClr val="tx2"/>
              </a:solidFill>
              <a:ln>
                <a:noFill/>
              </a:ln>
              <a:effectLst/>
            </c:spPr>
            <c:extLst xmlns:c16r2="http://schemas.microsoft.com/office/drawing/2015/06/chart">
              <c:ext xmlns:c16="http://schemas.microsoft.com/office/drawing/2014/chart" uri="{C3380CC4-5D6E-409C-BE32-E72D297353CC}">
                <c16:uniqueId val="{00000007-3682-4B8D-924F-2845BABF95E7}"/>
              </c:ext>
            </c:extLst>
          </c:dPt>
          <c:dPt>
            <c:idx val="4"/>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8-3682-4B8D-924F-2845BABF95E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dLblPos val="outEnd"/>
            <c:showLegendKey val="0"/>
            <c:showVal val="1"/>
            <c:showCatName val="0"/>
            <c:showSerName val="0"/>
            <c:showPercent val="0"/>
            <c:showBubbleSize val="0"/>
            <c:separator> </c:separator>
            <c:showLeaderLines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'6'!$E$45:$I$45</c:f>
              <c:strCache>
                <c:ptCount val="5"/>
                <c:pt idx="0">
                  <c:v>Plytų ir blokelių</c:v>
                </c:pt>
                <c:pt idx="1">
                  <c:v>Gelžb. plokščių</c:v>
                </c:pt>
                <c:pt idx="2">
                  <c:v>Rąstų</c:v>
                </c:pt>
                <c:pt idx="3">
                  <c:v>Fasadinės sistemos</c:v>
                </c:pt>
                <c:pt idx="4">
                  <c:v>Kita</c:v>
                </c:pt>
              </c:strCache>
            </c:strRef>
          </c:cat>
          <c:val>
            <c:numRef>
              <c:f>'6'!$E$50:$I$50</c:f>
              <c:numCache>
                <c:formatCode>#,##0\ ;\ \-\ #,##0\ ;\ \-\ </c:formatCode>
                <c:ptCount val="5"/>
                <c:pt idx="0">
                  <c:v>118.59833600000002</c:v>
                </c:pt>
                <c:pt idx="1">
                  <c:v>36.889680999999996</c:v>
                </c:pt>
                <c:pt idx="2">
                  <c:v>22.728268999999994</c:v>
                </c:pt>
                <c:pt idx="3">
                  <c:v>11.249717</c:v>
                </c:pt>
                <c:pt idx="4">
                  <c:v>12.189971</c:v>
                </c:pt>
              </c:numCache>
            </c:numRef>
          </c:val>
          <c:extLst xmlns:c16r2="http://schemas.microsoft.com/office/drawing/2015/06/chart">
            <c:ext xmlns:c16="http://schemas.microsoft.com/office/drawing/2014/chart" uri="{C3380CC4-5D6E-409C-BE32-E72D297353CC}">
              <c16:uniqueId val="{00000009-3682-4B8D-924F-2845BABF95E7}"/>
            </c:ext>
            <c:ext xmlns:c15="http://schemas.microsoft.com/office/drawing/2012/chart" uri="{02D57815-91ED-43cb-92C2-25804820EDAC}">
              <c15:datalabelsRange>
                <c15:f>'6'!$E$51:$I$51</c15:f>
                <c15:dlblRangeCache>
                  <c:ptCount val="5"/>
                  <c:pt idx="0">
                    <c:v>59%</c:v>
                  </c:pt>
                  <c:pt idx="1">
                    <c:v>18%</c:v>
                  </c:pt>
                  <c:pt idx="2">
                    <c:v>11%</c:v>
                  </c:pt>
                  <c:pt idx="3">
                    <c:v>6%</c:v>
                  </c:pt>
                  <c:pt idx="4">
                    <c:v>6%</c:v>
                  </c:pt>
                </c15:dlblRangeCache>
              </c15:datalabelsRange>
            </c:ext>
          </c:extLst>
        </c:ser>
        <c:dLbls>
          <c:dLblPos val="outEnd"/>
          <c:showLegendKey val="0"/>
          <c:showVal val="1"/>
          <c:showCatName val="0"/>
          <c:showSerName val="0"/>
          <c:showPercent val="0"/>
          <c:showBubbleSize val="0"/>
        </c:dLbls>
        <c:gapWidth val="219"/>
        <c:overlap val="-27"/>
        <c:axId val="143412608"/>
        <c:axId val="143434112"/>
      </c:barChart>
      <c:catAx>
        <c:axId val="143412608"/>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3434112"/>
        <c:crosses val="autoZero"/>
        <c:auto val="1"/>
        <c:lblAlgn val="ctr"/>
        <c:lblOffset val="100"/>
        <c:noMultiLvlLbl val="0"/>
      </c:catAx>
      <c:valAx>
        <c:axId val="143434112"/>
        <c:scaling>
          <c:orientation val="minMax"/>
        </c:scaling>
        <c:delete val="0"/>
        <c:axPos val="l"/>
        <c:majorGridlines>
          <c:spPr>
            <a:ln w="9525" cap="flat" cmpd="sng" algn="ctr">
              <a:solidFill>
                <a:schemeClr val="tx1">
                  <a:lumMod val="15000"/>
                  <a:lumOff val="85000"/>
                </a:schemeClr>
              </a:solidFill>
              <a:round/>
            </a:ln>
            <a:effectLst/>
          </c:spPr>
        </c:majorGridlines>
        <c:numFmt formatCode="#,##0\ ;\ \-\ #,##0\ ;\ \-\ "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Times New Roman" panose="02020603050405020304" pitchFamily="18" charset="0"/>
              </a:defRPr>
            </a:pPr>
            <a:endParaRPr lang="lt-LT"/>
          </a:p>
        </c:txPr>
        <c:crossAx val="14341260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800" b="1">
          <a:solidFill>
            <a:sysClr val="windowText" lastClr="000000"/>
          </a:solidFill>
          <a:latin typeface="+mn-lt"/>
          <a:cs typeface="Times New Roman" panose="02020603050405020304" pitchFamily="18"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0.05512</cdr:x>
      <cdr:y>0.12842</cdr:y>
    </cdr:from>
    <cdr:to>
      <cdr:x>0.26363</cdr:x>
      <cdr:y>0.15988</cdr:y>
    </cdr:to>
    <cdr:sp macro="" textlink="">
      <cdr:nvSpPr>
        <cdr:cNvPr id="2" name="Right Brace 1">
          <a:extLst xmlns:a="http://schemas.openxmlformats.org/drawingml/2006/main">
            <a:ext uri="{FF2B5EF4-FFF2-40B4-BE49-F238E27FC236}">
              <a16:creationId xmlns="" xmlns:a16="http://schemas.microsoft.com/office/drawing/2014/main" id="{5E7A8C6F-8F56-49B9-90E9-61B5F32D4B64}"/>
            </a:ext>
          </a:extLst>
        </cdr:cNvPr>
        <cdr:cNvSpPr/>
      </cdr:nvSpPr>
      <cdr:spPr>
        <a:xfrm xmlns:a="http://schemas.openxmlformats.org/drawingml/2006/main" rot="16200000">
          <a:off x="1022532" y="-375136"/>
          <a:ext cx="69041" cy="1382958"/>
        </a:xfrm>
        <a:prstGeom xmlns:a="http://schemas.openxmlformats.org/drawingml/2006/main" prst="rightBrace">
          <a:avLst/>
        </a:prstGeom>
        <a:ln xmlns:a="http://schemas.openxmlformats.org/drawingml/2006/main" w="12700">
          <a:solidFill>
            <a:srgbClr val="00206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0.13649</cdr:x>
      <cdr:y>0.05081</cdr:y>
    </cdr:from>
    <cdr:to>
      <cdr:x>0.1953</cdr:x>
      <cdr:y>0.14662</cdr:y>
    </cdr:to>
    <cdr:sp macro="" textlink="">
      <cdr:nvSpPr>
        <cdr:cNvPr id="3" name="TextBox 4">
          <a:extLst xmlns:a="http://schemas.openxmlformats.org/drawingml/2006/main">
            <a:ext uri="{FF2B5EF4-FFF2-40B4-BE49-F238E27FC236}">
              <a16:creationId xmlns="" xmlns:a16="http://schemas.microsoft.com/office/drawing/2014/main" id="{63E495CC-F273-49D8-823E-DB7B276A928E}"/>
            </a:ext>
          </a:extLst>
        </cdr:cNvPr>
        <cdr:cNvSpPr txBox="1"/>
      </cdr:nvSpPr>
      <cdr:spPr>
        <a:xfrm xmlns:a="http://schemas.openxmlformats.org/drawingml/2006/main">
          <a:off x="905280" y="111506"/>
          <a:ext cx="390043" cy="21025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lt-LT" sz="800" b="0">
              <a:latin typeface="+mn-lt"/>
              <a:cs typeface="Times New Roman" panose="02020603050405020304" pitchFamily="18" charset="0"/>
            </a:rPr>
            <a:t>78</a:t>
          </a:r>
          <a:r>
            <a:rPr lang="en-US" sz="800" b="0">
              <a:latin typeface="+mn-lt"/>
              <a:cs typeface="Times New Roman" panose="02020603050405020304" pitchFamily="18"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0.52407</cdr:x>
      <cdr:y>0.04125</cdr:y>
    </cdr:from>
    <cdr:to>
      <cdr:x>0.52407</cdr:x>
      <cdr:y>0.82464</cdr:y>
    </cdr:to>
    <cdr:cxnSp macro="">
      <cdr:nvCxnSpPr>
        <cdr:cNvPr id="5" name="Straight Connector 4">
          <a:extLst xmlns:a="http://schemas.openxmlformats.org/drawingml/2006/main">
            <a:ext uri="{FF2B5EF4-FFF2-40B4-BE49-F238E27FC236}">
              <a16:creationId xmlns="" xmlns:a16="http://schemas.microsoft.com/office/drawing/2014/main" id="{8D917882-BEAF-45B8-B28A-180558501B5D}"/>
            </a:ext>
          </a:extLst>
        </cdr:cNvPr>
        <cdr:cNvCxnSpPr/>
      </cdr:nvCxnSpPr>
      <cdr:spPr>
        <a:xfrm xmlns:a="http://schemas.openxmlformats.org/drawingml/2006/main">
          <a:off x="3407684" y="110534"/>
          <a:ext cx="0" cy="2099266"/>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0.78711</cdr:x>
      <cdr:y>0.65594</cdr:y>
    </cdr:from>
    <cdr:to>
      <cdr:x>0.8252</cdr:x>
      <cdr:y>0.65594</cdr:y>
    </cdr:to>
    <cdr:cxnSp macro="">
      <cdr:nvCxnSpPr>
        <cdr:cNvPr id="4" name="Straight Connector 3"/>
        <cdr:cNvCxnSpPr/>
      </cdr:nvCxnSpPr>
      <cdr:spPr>
        <a:xfrm xmlns:a="http://schemas.openxmlformats.org/drawingml/2006/main" flipH="1">
          <a:off x="5118100" y="1682750"/>
          <a:ext cx="247650" cy="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0.83203</cdr:x>
      <cdr:y>0.63119</cdr:y>
    </cdr:from>
    <cdr:to>
      <cdr:x>0.97559</cdr:x>
      <cdr:y>0.73267</cdr:y>
    </cdr:to>
    <cdr:sp macro="" textlink="">
      <cdr:nvSpPr>
        <cdr:cNvPr id="9" name="Text Box 8"/>
        <cdr:cNvSpPr txBox="1"/>
      </cdr:nvSpPr>
      <cdr:spPr>
        <a:xfrm xmlns:a="http://schemas.openxmlformats.org/drawingml/2006/main">
          <a:off x="5410200" y="1619250"/>
          <a:ext cx="933450" cy="260350"/>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lt-LT" sz="900" dirty="0" err="1">
              <a:latin typeface="Times New Roman" panose="02020603050405020304" pitchFamily="18" charset="0"/>
              <a:cs typeface="Times New Roman" panose="02020603050405020304" pitchFamily="18" charset="0"/>
            </a:rPr>
            <a:t>Maksimali</a:t>
          </a:r>
          <a:r>
            <a:rPr lang="lt-LT" sz="900" baseline="0" dirty="0" err="1">
              <a:latin typeface="Times New Roman" panose="02020603050405020304" pitchFamily="18" charset="0"/>
              <a:cs typeface="Times New Roman" panose="02020603050405020304" pitchFamily="18" charset="0"/>
            </a:rPr>
            <a:t> reikšmė</a:t>
          </a:r>
          <a:endParaRPr lang="lt-LT" sz="900" dirty="0" err="1">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0.8292</cdr:x>
      <cdr:y>0.19415</cdr:y>
    </cdr:from>
    <cdr:to>
      <cdr:x>0.99286</cdr:x>
      <cdr:y>0.71482</cdr:y>
    </cdr:to>
    <cdr:sp macro="" textlink="">
      <cdr:nvSpPr>
        <cdr:cNvPr id="2" name="Text Box 1"/>
        <cdr:cNvSpPr txBox="1"/>
      </cdr:nvSpPr>
      <cdr:spPr>
        <a:xfrm xmlns:a="http://schemas.openxmlformats.org/drawingml/2006/main">
          <a:off x="5391806" y="520262"/>
          <a:ext cx="1064174" cy="1395249"/>
        </a:xfrm>
        <a:prstGeom xmlns:a="http://schemas.openxmlformats.org/drawingml/2006/main" prst="rect">
          <a:avLst/>
        </a:prstGeom>
        <a:solidFill xmlns:a="http://schemas.openxmlformats.org/drawingml/2006/main">
          <a:schemeClr val="bg1"/>
        </a:solidFill>
      </cdr:spPr>
      <cdr:txBody>
        <a:bodyPr xmlns:a="http://schemas.openxmlformats.org/drawingml/2006/main" vertOverflow="clip" wrap="square" lIns="72000" tIns="0" rIns="0" bIns="0" rtlCol="0">
          <a:noAutofit/>
        </a:bodyPr>
        <a:lstStyle xmlns:a="http://schemas.openxmlformats.org/drawingml/2006/main"/>
        <a:p xmlns:a="http://schemas.openxmlformats.org/drawingml/2006/main">
          <a:pPr indent="-274320">
            <a:spcAft>
              <a:spcPts val="900"/>
            </a:spcAft>
          </a:pPr>
          <a:r>
            <a:rPr lang="lt-LT" sz="1000" dirty="0" err="1">
              <a:latin typeface="+mn-lt"/>
            </a:rPr>
            <a:t>Investicijos</a:t>
          </a:r>
          <a:endParaRPr lang="en-US" sz="1000" dirty="0" err="1">
            <a:latin typeface="+mn-lt"/>
          </a:endParaRPr>
        </a:p>
        <a:p xmlns:a="http://schemas.openxmlformats.org/drawingml/2006/main">
          <a:pPr indent="-274320">
            <a:spcAft>
              <a:spcPts val="900"/>
            </a:spcAft>
          </a:pPr>
          <a:r>
            <a:rPr lang="en-US" sz="1000" dirty="0" err="1">
              <a:latin typeface="+mn-lt"/>
            </a:rPr>
            <a:t>Finansin</a:t>
          </a:r>
          <a:r>
            <a:rPr lang="lt-LT" sz="1000" dirty="0" err="1">
              <a:latin typeface="+mn-lt"/>
            </a:rPr>
            <a:t>ė</a:t>
          </a:r>
          <a:r>
            <a:rPr lang="lt-LT" sz="1000" baseline="0" dirty="0" err="1">
              <a:latin typeface="+mn-lt"/>
            </a:rPr>
            <a:t> </a:t>
          </a:r>
          <a:br>
            <a:rPr lang="lt-LT" sz="1000" baseline="0" dirty="0" err="1">
              <a:latin typeface="+mn-lt"/>
            </a:rPr>
          </a:br>
          <a:r>
            <a:rPr lang="lt-LT" sz="1000" baseline="0" dirty="0" err="1">
              <a:latin typeface="+mn-lt"/>
            </a:rPr>
            <a:t>nauda</a:t>
          </a:r>
        </a:p>
        <a:p xmlns:a="http://schemas.openxmlformats.org/drawingml/2006/main">
          <a:pPr indent="-274320">
            <a:spcAft>
              <a:spcPts val="900"/>
            </a:spcAft>
          </a:pPr>
          <a:r>
            <a:rPr lang="lt-LT" sz="1000" baseline="0" dirty="0" err="1">
              <a:latin typeface="+mn-lt"/>
            </a:rPr>
            <a:t>Ekonominė nauda</a:t>
          </a:r>
        </a:p>
        <a:p xmlns:a="http://schemas.openxmlformats.org/drawingml/2006/main">
          <a:pPr indent="-274320">
            <a:spcAft>
              <a:spcPts val="900"/>
            </a:spcAft>
          </a:pPr>
          <a:r>
            <a:rPr lang="lt-LT" sz="1000" baseline="0" dirty="0" err="1">
              <a:latin typeface="+mn-lt"/>
            </a:rPr>
            <a:t>Maksimali reikšmė</a:t>
          </a:r>
        </a:p>
      </cdr:txBody>
    </cdr:sp>
  </cdr:relSizeAnchor>
</c:userShapes>
</file>

<file path=word/drawings/drawing3.xml><?xml version="1.0" encoding="utf-8"?>
<c:userShapes xmlns:c="http://schemas.openxmlformats.org/drawingml/2006/chart">
  <cdr:relSizeAnchor xmlns:cdr="http://schemas.openxmlformats.org/drawingml/2006/chartDrawing">
    <cdr:from>
      <cdr:x>0.0915</cdr:x>
      <cdr:y>0.6722</cdr:y>
    </cdr:from>
    <cdr:to>
      <cdr:x>0.30804</cdr:x>
      <cdr:y>0.6722</cdr:y>
    </cdr:to>
    <cdr:cxnSp macro="">
      <cdr:nvCxnSpPr>
        <cdr:cNvPr id="2" name="Straight Connector 1">
          <a:extLst xmlns:a="http://schemas.openxmlformats.org/drawingml/2006/main">
            <a:ext uri="{FF2B5EF4-FFF2-40B4-BE49-F238E27FC236}">
              <a16:creationId xmlns="" xmlns:a16="http://schemas.microsoft.com/office/drawing/2014/main" id="{55C787ED-C8BD-4AAB-877E-2CCD38D40E67}"/>
            </a:ext>
          </a:extLst>
        </cdr:cNvPr>
        <cdr:cNvCxnSpPr/>
      </cdr:nvCxnSpPr>
      <cdr:spPr>
        <a:xfrm xmlns:a="http://schemas.openxmlformats.org/drawingml/2006/main" flipH="1">
          <a:off x="592876" y="1912701"/>
          <a:ext cx="1403080" cy="0"/>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0.30852</cdr:x>
      <cdr:y>0.67447</cdr:y>
    </cdr:from>
    <cdr:to>
      <cdr:x>0.30852</cdr:x>
      <cdr:y>0.87853</cdr:y>
    </cdr:to>
    <cdr:cxnSp macro="">
      <cdr:nvCxnSpPr>
        <cdr:cNvPr id="3" name="Straight Connector 2">
          <a:extLst xmlns:a="http://schemas.openxmlformats.org/drawingml/2006/main">
            <a:ext uri="{FF2B5EF4-FFF2-40B4-BE49-F238E27FC236}">
              <a16:creationId xmlns="" xmlns:a16="http://schemas.microsoft.com/office/drawing/2014/main" id="{6382A765-D8DC-4731-9F0C-AEFA2313703A}"/>
            </a:ext>
          </a:extLst>
        </cdr:cNvPr>
        <cdr:cNvCxnSpPr/>
      </cdr:nvCxnSpPr>
      <cdr:spPr>
        <a:xfrm xmlns:a="http://schemas.openxmlformats.org/drawingml/2006/main">
          <a:off x="1999066" y="1919161"/>
          <a:ext cx="0" cy="580639"/>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0.26005</cdr:x>
      <cdr:y>0.57355</cdr:y>
    </cdr:from>
    <cdr:to>
      <cdr:x>0.3064</cdr:x>
      <cdr:y>0.62068</cdr:y>
    </cdr:to>
    <cdr:sp macro="" textlink="">
      <cdr:nvSpPr>
        <cdr:cNvPr id="4" name="TextBox 29">
          <a:extLst xmlns:a="http://schemas.openxmlformats.org/drawingml/2006/main">
            <a:ext uri="{FF2B5EF4-FFF2-40B4-BE49-F238E27FC236}">
              <a16:creationId xmlns="" xmlns:a16="http://schemas.microsoft.com/office/drawing/2014/main" id="{26BC5D1D-656E-43C4-9969-999AB34A15D1}"/>
            </a:ext>
          </a:extLst>
        </cdr:cNvPr>
        <cdr:cNvSpPr txBox="1"/>
      </cdr:nvSpPr>
      <cdr:spPr>
        <a:xfrm xmlns:a="http://schemas.openxmlformats.org/drawingml/2006/main">
          <a:off x="1685005" y="1523469"/>
          <a:ext cx="300327" cy="12518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chemeClr val="tx1">
                  <a:lumMod val="95000"/>
                  <a:lumOff val="5000"/>
                </a:schemeClr>
              </a:solidFill>
            </a:rPr>
            <a:t>30,8</a:t>
          </a:r>
          <a:r>
            <a:rPr lang="lt-LT" sz="800" b="1">
              <a:solidFill>
                <a:schemeClr val="bg1">
                  <a:lumMod val="50000"/>
                </a:schemeClr>
              </a:solidFill>
            </a:rPr>
            <a:t>%</a:t>
          </a:r>
          <a:endParaRPr lang="en-US" sz="1100" b="1">
            <a:solidFill>
              <a:schemeClr val="bg1">
                <a:lumMod val="50000"/>
              </a:schemeClr>
            </a:solidFill>
          </a:endParaRPr>
        </a:p>
      </cdr:txBody>
    </cdr:sp>
  </cdr:relSizeAnchor>
  <cdr:relSizeAnchor xmlns:cdr="http://schemas.openxmlformats.org/drawingml/2006/chartDrawing">
    <cdr:from>
      <cdr:x>0.09839</cdr:x>
      <cdr:y>0.78661</cdr:y>
    </cdr:from>
    <cdr:to>
      <cdr:x>0.21381</cdr:x>
      <cdr:y>0.78661</cdr:y>
    </cdr:to>
    <cdr:cxnSp macro="">
      <cdr:nvCxnSpPr>
        <cdr:cNvPr id="7" name="Straight Connector 6">
          <a:extLst xmlns:a="http://schemas.openxmlformats.org/drawingml/2006/main">
            <a:ext uri="{FF2B5EF4-FFF2-40B4-BE49-F238E27FC236}">
              <a16:creationId xmlns="" xmlns:a16="http://schemas.microsoft.com/office/drawing/2014/main" id="{71170F82-8379-456F-B95D-50B1C68D6746}"/>
            </a:ext>
          </a:extLst>
        </cdr:cNvPr>
        <cdr:cNvCxnSpPr/>
      </cdr:nvCxnSpPr>
      <cdr:spPr>
        <a:xfrm xmlns:a="http://schemas.openxmlformats.org/drawingml/2006/main" flipH="1">
          <a:off x="637533" y="2238253"/>
          <a:ext cx="747869" cy="0"/>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0.21318</cdr:x>
      <cdr:y>0.78839</cdr:y>
    </cdr:from>
    <cdr:to>
      <cdr:x>0.21318</cdr:x>
      <cdr:y>0.87613</cdr:y>
    </cdr:to>
    <cdr:cxnSp macro="">
      <cdr:nvCxnSpPr>
        <cdr:cNvPr id="8" name="Straight Connector 7">
          <a:extLst xmlns:a="http://schemas.openxmlformats.org/drawingml/2006/main">
            <a:ext uri="{FF2B5EF4-FFF2-40B4-BE49-F238E27FC236}">
              <a16:creationId xmlns="" xmlns:a16="http://schemas.microsoft.com/office/drawing/2014/main" id="{91400F64-0587-4242-84B1-F45F1510F4EE}"/>
            </a:ext>
          </a:extLst>
        </cdr:cNvPr>
        <cdr:cNvCxnSpPr/>
      </cdr:nvCxnSpPr>
      <cdr:spPr>
        <a:xfrm xmlns:a="http://schemas.openxmlformats.org/drawingml/2006/main">
          <a:off x="1381320" y="2243318"/>
          <a:ext cx="0" cy="249658"/>
        </a:xfrm>
        <a:prstGeom xmlns:a="http://schemas.openxmlformats.org/drawingml/2006/main" prst="line">
          <a:avLst/>
        </a:prstGeom>
        <a:ln xmlns:a="http://schemas.openxmlformats.org/drawingml/2006/main" w="19050">
          <a:solidFill>
            <a:srgbClr val="FF0000"/>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0.1602</cdr:x>
      <cdr:y>0.69161</cdr:y>
    </cdr:from>
    <cdr:to>
      <cdr:x>0.21125</cdr:x>
      <cdr:y>0.73756</cdr:y>
    </cdr:to>
    <cdr:sp macro="" textlink="">
      <cdr:nvSpPr>
        <cdr:cNvPr id="9" name="TextBox 28">
          <a:extLst xmlns:a="http://schemas.openxmlformats.org/drawingml/2006/main">
            <a:ext uri="{FF2B5EF4-FFF2-40B4-BE49-F238E27FC236}">
              <a16:creationId xmlns="" xmlns:a16="http://schemas.microsoft.com/office/drawing/2014/main" id="{2275A8E1-5488-487F-BAFB-5E1DE2BBFA35}"/>
            </a:ext>
          </a:extLst>
        </cdr:cNvPr>
        <cdr:cNvSpPr txBox="1"/>
      </cdr:nvSpPr>
      <cdr:spPr>
        <a:xfrm xmlns:a="http://schemas.openxmlformats.org/drawingml/2006/main">
          <a:off x="1038023" y="1837049"/>
          <a:ext cx="330780" cy="122053"/>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ysClr val="windowText" lastClr="000000"/>
              </a:solidFill>
            </a:rPr>
            <a:t>17,3%</a:t>
          </a:r>
          <a:endParaRPr lang="en-US" sz="800" b="1">
            <a:solidFill>
              <a:sysClr val="windowText" lastClr="000000"/>
            </a:solidFill>
          </a:endParaRPr>
        </a:p>
      </cdr:txBody>
    </cdr:sp>
  </cdr:relSizeAnchor>
  <cdr:relSizeAnchor xmlns:cdr="http://schemas.openxmlformats.org/drawingml/2006/chartDrawing">
    <cdr:from>
      <cdr:x>0.1476</cdr:x>
      <cdr:y>0.84997</cdr:y>
    </cdr:from>
    <cdr:to>
      <cdr:x>0.1476</cdr:x>
      <cdr:y>0.88178</cdr:y>
    </cdr:to>
    <cdr:cxnSp macro="">
      <cdr:nvCxnSpPr>
        <cdr:cNvPr id="13" name="Straight Connector 12">
          <a:extLst xmlns:a="http://schemas.openxmlformats.org/drawingml/2006/main">
            <a:ext uri="{FF2B5EF4-FFF2-40B4-BE49-F238E27FC236}">
              <a16:creationId xmlns="" xmlns:a16="http://schemas.microsoft.com/office/drawing/2014/main" id="{879106AB-46A0-4D12-B46E-E34979254758}"/>
            </a:ext>
          </a:extLst>
        </cdr:cNvPr>
        <cdr:cNvCxnSpPr/>
      </cdr:nvCxnSpPr>
      <cdr:spPr>
        <a:xfrm xmlns:a="http://schemas.openxmlformats.org/drawingml/2006/main">
          <a:off x="956412" y="2418534"/>
          <a:ext cx="0" cy="90514"/>
        </a:xfrm>
        <a:prstGeom xmlns:a="http://schemas.openxmlformats.org/drawingml/2006/main" prst="line">
          <a:avLst/>
        </a:prstGeom>
        <a:ln xmlns:a="http://schemas.openxmlformats.org/drawingml/2006/main" w="19050">
          <a:solidFill>
            <a:schemeClr val="accent4"/>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0.0979</cdr:x>
      <cdr:y>0.84809</cdr:y>
    </cdr:from>
    <cdr:to>
      <cdr:x>0.14761</cdr:x>
      <cdr:y>0.84809</cdr:y>
    </cdr:to>
    <cdr:cxnSp macro="">
      <cdr:nvCxnSpPr>
        <cdr:cNvPr id="14" name="Straight Connector 13">
          <a:extLst xmlns:a="http://schemas.openxmlformats.org/drawingml/2006/main">
            <a:ext uri="{FF2B5EF4-FFF2-40B4-BE49-F238E27FC236}">
              <a16:creationId xmlns="" xmlns:a16="http://schemas.microsoft.com/office/drawing/2014/main" id="{E4E27FD1-3246-46F6-A0DB-4C167DA1AED4}"/>
            </a:ext>
          </a:extLst>
        </cdr:cNvPr>
        <cdr:cNvCxnSpPr/>
      </cdr:nvCxnSpPr>
      <cdr:spPr>
        <a:xfrm xmlns:a="http://schemas.openxmlformats.org/drawingml/2006/main" flipH="1">
          <a:off x="634379" y="2413185"/>
          <a:ext cx="322098" cy="0"/>
        </a:xfrm>
        <a:prstGeom xmlns:a="http://schemas.openxmlformats.org/drawingml/2006/main" prst="line">
          <a:avLst/>
        </a:prstGeom>
        <a:ln xmlns:a="http://schemas.openxmlformats.org/drawingml/2006/main" w="19050">
          <a:solidFill>
            <a:schemeClr val="accent4"/>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0.10211</cdr:x>
      <cdr:y>0.77526</cdr:y>
    </cdr:from>
    <cdr:to>
      <cdr:x>0.15383</cdr:x>
      <cdr:y>0.81519</cdr:y>
    </cdr:to>
    <cdr:sp macro="" textlink="">
      <cdr:nvSpPr>
        <cdr:cNvPr id="15" name="TextBox 23">
          <a:extLst xmlns:a="http://schemas.openxmlformats.org/drawingml/2006/main">
            <a:ext uri="{FF2B5EF4-FFF2-40B4-BE49-F238E27FC236}">
              <a16:creationId xmlns="" xmlns:a16="http://schemas.microsoft.com/office/drawing/2014/main" id="{3038C8B4-1FD9-4A6D-9B73-2CB44973D433}"/>
            </a:ext>
          </a:extLst>
        </cdr:cNvPr>
        <cdr:cNvSpPr txBox="1"/>
      </cdr:nvSpPr>
      <cdr:spPr>
        <a:xfrm xmlns:a="http://schemas.openxmlformats.org/drawingml/2006/main">
          <a:off x="661626" y="2059256"/>
          <a:ext cx="335122" cy="1060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800" b="1">
              <a:solidFill>
                <a:sysClr val="windowText" lastClr="000000"/>
              </a:solidFill>
            </a:rPr>
            <a:t>7,4%</a:t>
          </a:r>
          <a:endParaRPr lang="en-US" sz="800" b="1">
            <a:solidFill>
              <a:sysClr val="windowText" lastClr="000000"/>
            </a:solidFill>
          </a:endParaRPr>
        </a:p>
      </cdr:txBody>
    </cdr:sp>
  </cdr:relSizeAnchor>
  <cdr:relSizeAnchor xmlns:cdr="http://schemas.openxmlformats.org/drawingml/2006/chartDrawing">
    <cdr:from>
      <cdr:x>0.86133</cdr:x>
      <cdr:y>0.14252</cdr:y>
    </cdr:from>
    <cdr:to>
      <cdr:x>0.99635</cdr:x>
      <cdr:y>0.71751</cdr:y>
    </cdr:to>
    <cdr:sp macro="" textlink="">
      <cdr:nvSpPr>
        <cdr:cNvPr id="11" name="Text Box 1"/>
        <cdr:cNvSpPr txBox="1"/>
      </cdr:nvSpPr>
      <cdr:spPr>
        <a:xfrm xmlns:a="http://schemas.openxmlformats.org/drawingml/2006/main">
          <a:off x="5580994" y="405524"/>
          <a:ext cx="874898" cy="1636110"/>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7200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mn-lt"/>
            </a:rPr>
            <a:t>Investicijos</a:t>
          </a:r>
          <a:r>
            <a:rPr lang="en-US" sz="900" dirty="0" err="1">
              <a:latin typeface="+mn-lt"/>
            </a:rPr>
            <a:t/>
          </a:r>
          <a:br>
            <a:rPr lang="en-US" sz="900" dirty="0" err="1">
              <a:latin typeface="+mn-lt"/>
            </a:rPr>
          </a:br>
          <a:r>
            <a:rPr lang="en-US" sz="900" dirty="0" err="1">
              <a:latin typeface="+mn-lt"/>
            </a:rPr>
            <a:t/>
          </a:r>
          <a:br>
            <a:rPr lang="en-US" sz="900" dirty="0" err="1">
              <a:latin typeface="+mn-lt"/>
            </a:rPr>
          </a:b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47 </a:t>
          </a:r>
          <a:r>
            <a:rPr lang="en-US" sz="900" baseline="0" dirty="0" err="1">
              <a:latin typeface="Arial" panose="020B0604020202020204" pitchFamily="34" charset="0"/>
              <a:cs typeface="Arial" panose="020B0604020202020204" pitchFamily="34" charset="0"/>
            </a:rPr>
            <a:t>€/MWh)</a:t>
          </a:r>
          <a:endParaRPr lang="lt-LT" sz="900" baseline="0" dirty="0" err="1">
            <a:latin typeface="+mn-lt"/>
          </a:endParaRPr>
        </a:p>
        <a:p xmlns:a="http://schemas.openxmlformats.org/drawingml/2006/main">
          <a:pPr indent="-274320">
            <a:spcAft>
              <a:spcPts val="900"/>
            </a:spcAft>
          </a:pP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51 </a:t>
          </a:r>
          <a:r>
            <a:rPr lang="en-US" sz="900" baseline="0" dirty="0" err="1">
              <a:latin typeface="Arial" panose="020B0604020202020204" pitchFamily="34" charset="0"/>
              <a:cs typeface="Arial" panose="020B0604020202020204" pitchFamily="34" charset="0"/>
            </a:rPr>
            <a:t>€/MWh)</a:t>
          </a:r>
        </a:p>
        <a:p xmlns:a="http://schemas.openxmlformats.org/drawingml/2006/main">
          <a:pPr marL="0" marR="0" lvl="0" indent="-274320" defTabSz="914400" eaLnBrk="1" fontAlgn="auto" latinLnBrk="0" hangingPunct="1">
            <a:lnSpc>
              <a:spcPct val="100000"/>
            </a:lnSpc>
            <a:spcBef>
              <a:spcPts val="0"/>
            </a:spcBef>
            <a:spcAft>
              <a:spcPts val="900"/>
            </a:spcAft>
            <a:buClrTx/>
            <a:buSzTx/>
            <a:buFontTx/>
            <a:buNone/>
            <a:tabLst/>
            <a:defRPr/>
          </a:pP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endParaRPr lang="lt-LT" sz="900" baseline="0" dirty="0" err="1">
            <a:latin typeface="Arial" panose="020B0604020202020204" pitchFamily="34" charset="0"/>
            <a:cs typeface="Arial" panose="020B0604020202020204" pitchFamily="34" charset="0"/>
          </a:endParaRPr>
        </a:p>
        <a:p xmlns:a="http://schemas.openxmlformats.org/drawingml/2006/main">
          <a:pPr marL="0" marR="0" lvl="0" indent="-274320" defTabSz="914400" eaLnBrk="1" fontAlgn="auto" latinLnBrk="0" hangingPunct="1">
            <a:lnSpc>
              <a:spcPct val="100000"/>
            </a:lnSpc>
            <a:spcBef>
              <a:spcPts val="0"/>
            </a:spcBef>
            <a:spcAft>
              <a:spcPts val="900"/>
            </a:spcAft>
            <a:buClrTx/>
            <a:buSzTx/>
            <a:buFontTx/>
            <a:buNone/>
            <a:tabLst/>
            <a:defRPr/>
          </a:pPr>
          <a:r>
            <a:rPr lang="lt-LT" sz="900" baseline="0" dirty="0" err="1">
              <a:latin typeface="+mn-lt"/>
            </a:rPr>
            <a:t>Maksimali reikšmė</a:t>
          </a:r>
        </a:p>
      </cdr:txBody>
    </cdr:sp>
  </cdr:relSizeAnchor>
  <cdr:relSizeAnchor xmlns:cdr="http://schemas.openxmlformats.org/drawingml/2006/chartDrawing">
    <cdr:from>
      <cdr:x>0.54552</cdr:x>
      <cdr:y>0.03347</cdr:y>
    </cdr:from>
    <cdr:to>
      <cdr:x>0.54552</cdr:x>
      <cdr:y>0.88373</cdr:y>
    </cdr:to>
    <cdr:cxnSp macro="">
      <cdr:nvCxnSpPr>
        <cdr:cNvPr id="12" name="Straight Connector 11"/>
        <cdr:cNvCxnSpPr/>
      </cdr:nvCxnSpPr>
      <cdr:spPr>
        <a:xfrm xmlns:a="http://schemas.openxmlformats.org/drawingml/2006/main">
          <a:off x="3534713" y="95250"/>
          <a:ext cx="0" cy="241935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0.81831</cdr:x>
      <cdr:y>0.79627</cdr:y>
    </cdr:from>
    <cdr:to>
      <cdr:x>0.85653</cdr:x>
      <cdr:y>0.79627</cdr:y>
    </cdr:to>
    <cdr:cxnSp macro="">
      <cdr:nvCxnSpPr>
        <cdr:cNvPr id="16" name="Straight Connector 15"/>
        <cdr:cNvCxnSpPr/>
      </cdr:nvCxnSpPr>
      <cdr:spPr>
        <a:xfrm xmlns:a="http://schemas.openxmlformats.org/drawingml/2006/main" flipH="1">
          <a:off x="5302254" y="2265722"/>
          <a:ext cx="247676" cy="0"/>
        </a:xfrm>
        <a:prstGeom xmlns:a="http://schemas.openxmlformats.org/drawingml/2006/main" prst="line">
          <a:avLst/>
        </a:prstGeom>
        <a:ln xmlns:a="http://schemas.openxmlformats.org/drawingml/2006/main" w="19050">
          <a:solidFill>
            <a:schemeClr val="bg1">
              <a:lumMod val="50000"/>
            </a:schemeClr>
          </a:solidFill>
          <a:prstDash val="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0.11374</cdr:x>
      <cdr:y>0.71419</cdr:y>
    </cdr:from>
    <cdr:to>
      <cdr:x>0.33028</cdr:x>
      <cdr:y>0.71419</cdr:y>
    </cdr:to>
    <cdr:cxnSp macro="">
      <cdr:nvCxnSpPr>
        <cdr:cNvPr id="2" name="Straight Connector 1">
          <a:extLst xmlns:a="http://schemas.openxmlformats.org/drawingml/2006/main">
            <a:ext uri="{FF2B5EF4-FFF2-40B4-BE49-F238E27FC236}">
              <a16:creationId xmlns="" xmlns:a16="http://schemas.microsoft.com/office/drawing/2014/main" id="{55C787ED-C8BD-4AAB-877E-2CCD38D40E67}"/>
            </a:ext>
          </a:extLst>
        </cdr:cNvPr>
        <cdr:cNvCxnSpPr/>
      </cdr:nvCxnSpPr>
      <cdr:spPr>
        <a:xfrm xmlns:a="http://schemas.openxmlformats.org/drawingml/2006/main" flipH="1">
          <a:off x="692463" y="1885701"/>
          <a:ext cx="1318378" cy="0"/>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0.32973</cdr:x>
      <cdr:y>0.71482</cdr:y>
    </cdr:from>
    <cdr:to>
      <cdr:x>0.32973</cdr:x>
      <cdr:y>0.85763</cdr:y>
    </cdr:to>
    <cdr:cxnSp macro="">
      <cdr:nvCxnSpPr>
        <cdr:cNvPr id="3" name="Straight Connector 2">
          <a:extLst xmlns:a="http://schemas.openxmlformats.org/drawingml/2006/main">
            <a:ext uri="{FF2B5EF4-FFF2-40B4-BE49-F238E27FC236}">
              <a16:creationId xmlns="" xmlns:a16="http://schemas.microsoft.com/office/drawing/2014/main" id="{6382A765-D8DC-4731-9F0C-AEFA2313703A}"/>
            </a:ext>
          </a:extLst>
        </cdr:cNvPr>
        <cdr:cNvCxnSpPr/>
      </cdr:nvCxnSpPr>
      <cdr:spPr>
        <a:xfrm xmlns:a="http://schemas.openxmlformats.org/drawingml/2006/main">
          <a:off x="2007493" y="1887365"/>
          <a:ext cx="0" cy="377065"/>
        </a:xfrm>
        <a:prstGeom xmlns:a="http://schemas.openxmlformats.org/drawingml/2006/main" prst="line">
          <a:avLst/>
        </a:prstGeom>
        <a:ln xmlns:a="http://schemas.openxmlformats.org/drawingml/2006/main" w="19050">
          <a:solidFill>
            <a:schemeClr val="accent2">
              <a:lumMod val="50000"/>
            </a:schemeClr>
          </a:solidFill>
          <a:prstDash val="sysDash"/>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0.13838</cdr:x>
      <cdr:y>0.63552</cdr:y>
    </cdr:from>
    <cdr:to>
      <cdr:x>0.18473</cdr:x>
      <cdr:y>0.68265</cdr:y>
    </cdr:to>
    <cdr:sp macro="" textlink="">
      <cdr:nvSpPr>
        <cdr:cNvPr id="4" name="TextBox 29">
          <a:extLst xmlns:a="http://schemas.openxmlformats.org/drawingml/2006/main">
            <a:ext uri="{FF2B5EF4-FFF2-40B4-BE49-F238E27FC236}">
              <a16:creationId xmlns="" xmlns:a16="http://schemas.microsoft.com/office/drawing/2014/main" id="{26BC5D1D-656E-43C4-9969-999AB34A15D1}"/>
            </a:ext>
          </a:extLst>
        </cdr:cNvPr>
        <cdr:cNvSpPr txBox="1"/>
      </cdr:nvSpPr>
      <cdr:spPr>
        <a:xfrm xmlns:a="http://schemas.openxmlformats.org/drawingml/2006/main">
          <a:off x="842529" y="1677985"/>
          <a:ext cx="282196" cy="12443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800" b="1">
              <a:solidFill>
                <a:schemeClr val="tx1">
                  <a:lumMod val="95000"/>
                  <a:lumOff val="5000"/>
                </a:schemeClr>
              </a:solidFill>
            </a:rPr>
            <a:t>30,8</a:t>
          </a:r>
          <a:r>
            <a:rPr lang="lt-LT" sz="800" b="1">
              <a:solidFill>
                <a:schemeClr val="bg1">
                  <a:lumMod val="50000"/>
                </a:schemeClr>
              </a:solidFill>
            </a:rPr>
            <a:t>%</a:t>
          </a:r>
          <a:endParaRPr lang="en-US" sz="1100" b="1">
            <a:solidFill>
              <a:schemeClr val="bg1">
                <a:lumMod val="50000"/>
              </a:schemeClr>
            </a:solidFill>
          </a:endParaRPr>
        </a:p>
      </cdr:txBody>
    </cdr:sp>
  </cdr:relSizeAnchor>
  <cdr:relSizeAnchor xmlns:cdr="http://schemas.openxmlformats.org/drawingml/2006/chartDrawing">
    <cdr:from>
      <cdr:x>0.86876</cdr:x>
      <cdr:y>0.16089</cdr:y>
    </cdr:from>
    <cdr:to>
      <cdr:x>0.99871</cdr:x>
      <cdr:y>0.9285</cdr:y>
    </cdr:to>
    <cdr:sp macro="" textlink="">
      <cdr:nvSpPr>
        <cdr:cNvPr id="5" name="Text Box 1"/>
        <cdr:cNvSpPr txBox="1"/>
      </cdr:nvSpPr>
      <cdr:spPr>
        <a:xfrm xmlns:a="http://schemas.openxmlformats.org/drawingml/2006/main">
          <a:off x="5289331" y="424792"/>
          <a:ext cx="791166" cy="2026745"/>
        </a:xfrm>
        <a:prstGeom xmlns:a="http://schemas.openxmlformats.org/drawingml/2006/main" prst="rect">
          <a:avLst/>
        </a:prstGeom>
        <a:solidFill xmlns:a="http://schemas.openxmlformats.org/drawingml/2006/main">
          <a:schemeClr val="bg1"/>
        </a:solidFill>
      </cdr:spPr>
      <cdr:txBody>
        <a:bodyPr xmlns:a="http://schemas.openxmlformats.org/drawingml/2006/main" wrap="square" lIns="72000" tIns="0" rIns="0" bIns="0"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indent="-274320">
            <a:spcAft>
              <a:spcPts val="900"/>
            </a:spcAft>
          </a:pPr>
          <a:r>
            <a:rPr lang="lt-LT" sz="900" dirty="0" err="1">
              <a:latin typeface="+mn-lt"/>
            </a:rPr>
            <a:t>Investicijos</a:t>
          </a:r>
          <a:br>
            <a:rPr lang="lt-LT" sz="900" dirty="0" err="1">
              <a:latin typeface="+mn-lt"/>
            </a:rPr>
          </a:br>
          <a:r>
            <a:rPr lang="en-US" sz="900" dirty="0" err="1">
              <a:latin typeface="+mn-lt"/>
            </a:rPr>
            <a:t/>
          </a:r>
          <a:br>
            <a:rPr lang="en-US" sz="900" dirty="0" err="1">
              <a:latin typeface="+mn-lt"/>
            </a:rPr>
          </a:br>
          <a:r>
            <a:rPr lang="en-US" sz="900" dirty="0" err="1">
              <a:latin typeface="+mn-lt"/>
            </a:rPr>
            <a:t/>
          </a:r>
          <a:br>
            <a:rPr lang="en-US" sz="900" dirty="0" err="1">
              <a:latin typeface="+mn-lt"/>
            </a:rPr>
          </a:br>
          <a:r>
            <a:rPr lang="en-US" sz="900" dirty="0" err="1">
              <a:latin typeface="+mn-lt"/>
            </a:rPr>
            <a:t>Finansin</a:t>
          </a:r>
          <a:r>
            <a:rPr lang="lt-LT" sz="900" dirty="0" err="1">
              <a:latin typeface="+mn-lt"/>
            </a:rPr>
            <a:t>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endParaRPr lang="lt-LT" sz="900" baseline="0" dirty="0" err="1">
            <a:latin typeface="Arial" panose="020B0604020202020204" pitchFamily="34" charset="0"/>
            <a:cs typeface="Arial" panose="020B0604020202020204" pitchFamily="34" charset="0"/>
          </a:endParaRPr>
        </a:p>
        <a:p xmlns:a="http://schemas.openxmlformats.org/drawingml/2006/main">
          <a:pPr indent="-274320">
            <a:spcAft>
              <a:spcPts val="900"/>
            </a:spcAft>
          </a:pPr>
          <a:r>
            <a:rPr lang="lt-LT" sz="900" dirty="0" err="1">
              <a:latin typeface="+mn-lt"/>
            </a:rPr>
            <a:t/>
          </a:r>
          <a:br>
            <a:rPr lang="lt-LT" sz="900" dirty="0" err="1">
              <a:latin typeface="+mn-lt"/>
            </a:rPr>
          </a:br>
          <a:r>
            <a:rPr lang="lt-LT" sz="900" dirty="0" err="1">
              <a:latin typeface="+mn-lt"/>
            </a:rPr>
            <a:t>Ekonominė</a:t>
          </a:r>
          <a:r>
            <a:rPr lang="lt-LT" sz="900" baseline="0" dirty="0" err="1">
              <a:latin typeface="+mn-lt"/>
            </a:rPr>
            <a:t> </a:t>
          </a:r>
          <a:br>
            <a:rPr lang="lt-LT" sz="900" baseline="0" dirty="0" err="1">
              <a:latin typeface="+mn-lt"/>
            </a:rPr>
          </a:br>
          <a:r>
            <a:rPr lang="lt-LT" sz="900" baseline="0" dirty="0" err="1">
              <a:latin typeface="+mn-lt"/>
            </a:rPr>
            <a:t>nauda (prie </a:t>
          </a:r>
          <a:r>
            <a:rPr lang="en-US" sz="900" baseline="0" dirty="0" err="1">
              <a:latin typeface="+mn-lt"/>
            </a:rPr>
            <a:t/>
          </a:r>
          <a:br>
            <a:rPr lang="en-US" sz="900" baseline="0" dirty="0" err="1">
              <a:latin typeface="+mn-lt"/>
            </a:rPr>
          </a:br>
          <a:r>
            <a:rPr lang="en-US" sz="900" baseline="0" dirty="0" err="1">
              <a:latin typeface="+mn-lt"/>
            </a:rPr>
            <a:t>64 </a:t>
          </a:r>
          <a:r>
            <a:rPr lang="en-US" sz="900" baseline="0" dirty="0" err="1">
              <a:latin typeface="Arial" panose="020B0604020202020204" pitchFamily="34" charset="0"/>
              <a:cs typeface="Arial" panose="020B0604020202020204" pitchFamily="34" charset="0"/>
            </a:rPr>
            <a:t>€/MWh)</a:t>
          </a:r>
        </a:p>
        <a:p xmlns:a="http://schemas.openxmlformats.org/drawingml/2006/main">
          <a:pPr indent="-274320">
            <a:spcAft>
              <a:spcPts val="900"/>
            </a:spcAft>
          </a:pPr>
          <a:r>
            <a:rPr lang="en-US" sz="900" baseline="0" dirty="0" err="1">
              <a:latin typeface="Arial" panose="020B0604020202020204" pitchFamily="34" charset="0"/>
              <a:cs typeface="Arial" panose="020B0604020202020204" pitchFamily="34" charset="0"/>
            </a:rPr>
            <a:t>Maksimali ekonomin</a:t>
          </a:r>
          <a:r>
            <a:rPr lang="lt-LT" sz="900" baseline="0" dirty="0" err="1">
              <a:latin typeface="Arial" panose="020B0604020202020204" pitchFamily="34" charset="0"/>
              <a:cs typeface="Arial" panose="020B0604020202020204" pitchFamily="34" charset="0"/>
            </a:rPr>
            <a:t>ė grąža</a:t>
          </a:r>
          <a:endParaRPr lang="lt-LT" sz="900" baseline="0" dirty="0" err="1">
            <a:latin typeface="+mn-lt"/>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0.18774</cdr:x>
      <cdr:y>0.52512</cdr:y>
    </cdr:from>
    <cdr:to>
      <cdr:x>0.21323</cdr:x>
      <cdr:y>0.86826</cdr:y>
    </cdr:to>
    <cdr:sp macro="" textlink="">
      <cdr:nvSpPr>
        <cdr:cNvPr id="2" name="TextBox 1">
          <a:extLst xmlns:a="http://schemas.openxmlformats.org/drawingml/2006/main">
            <a:ext uri="{FF2B5EF4-FFF2-40B4-BE49-F238E27FC236}">
              <a16:creationId xmlns:a16="http://schemas.microsoft.com/office/drawing/2014/main" xmlns="" id="{00BC4737-0B37-4F68-AE1C-8F576B0AD8F4}"/>
            </a:ext>
          </a:extLst>
        </cdr:cNvPr>
        <cdr:cNvSpPr txBox="1"/>
      </cdr:nvSpPr>
      <cdr:spPr>
        <a:xfrm xmlns:a="http://schemas.openxmlformats.org/drawingml/2006/main" rot="16200000">
          <a:off x="1004741" y="3704456"/>
          <a:ext cx="1885536"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lt-LT" sz="1000">
              <a:latin typeface="Arial" panose="020B0604020202020204" pitchFamily="34" charset="0"/>
              <a:cs typeface="Arial" panose="020B0604020202020204" pitchFamily="34" charset="0"/>
            </a:rPr>
            <a:t>1. Klimato kaita</a:t>
          </a:r>
        </a:p>
      </cdr:txBody>
    </cdr:sp>
  </cdr:relSizeAnchor>
  <cdr:relSizeAnchor xmlns:cdr="http://schemas.openxmlformats.org/drawingml/2006/chartDrawing">
    <cdr:from>
      <cdr:x>0.24359</cdr:x>
      <cdr:y>0.25925</cdr:y>
    </cdr:from>
    <cdr:to>
      <cdr:x>0.27775</cdr:x>
      <cdr:y>0.87536</cdr:y>
    </cdr:to>
    <cdr:sp macro="" textlink="">
      <cdr:nvSpPr>
        <cdr:cNvPr id="3" name="TextBox 1">
          <a:extLst xmlns:a="http://schemas.openxmlformats.org/drawingml/2006/main">
            <a:ext uri="{FF2B5EF4-FFF2-40B4-BE49-F238E27FC236}">
              <a16:creationId xmlns:a16="http://schemas.microsoft.com/office/drawing/2014/main" xmlns="" id="{228DBED2-40E4-4CA4-942F-8DB0D11355F4}"/>
            </a:ext>
          </a:extLst>
        </cdr:cNvPr>
        <cdr:cNvSpPr txBox="1"/>
      </cdr:nvSpPr>
      <cdr:spPr>
        <a:xfrm xmlns:a="http://schemas.openxmlformats.org/drawingml/2006/main" rot="16200000">
          <a:off x="709613" y="1662112"/>
          <a:ext cx="1924050" cy="2190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2. Natūralus</a:t>
          </a:r>
          <a:r>
            <a:rPr lang="lt-LT" sz="1000" baseline="0">
              <a:latin typeface="Arial" panose="020B0604020202020204" pitchFamily="34" charset="0"/>
              <a:cs typeface="Arial" panose="020B0604020202020204" pitchFamily="34" charset="0"/>
            </a:rPr>
            <a:t> mažėjimas</a:t>
          </a:r>
          <a:endParaRPr lang="lt-LT"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0.30429</cdr:x>
      <cdr:y>0.505</cdr:y>
    </cdr:from>
    <cdr:to>
      <cdr:x>0.32979</cdr:x>
      <cdr:y>0.86615</cdr:y>
    </cdr:to>
    <cdr:sp macro="" textlink="">
      <cdr:nvSpPr>
        <cdr:cNvPr id="4" name="TextBox 1">
          <a:extLst xmlns:a="http://schemas.openxmlformats.org/drawingml/2006/main">
            <a:ext uri="{FF2B5EF4-FFF2-40B4-BE49-F238E27FC236}">
              <a16:creationId xmlns:a16="http://schemas.microsoft.com/office/drawing/2014/main" xmlns="" id="{6AAA2E80-F9F8-4C4E-87D2-B4BF70982341}"/>
            </a:ext>
          </a:extLst>
        </cdr:cNvPr>
        <cdr:cNvSpPr txBox="1"/>
      </cdr:nvSpPr>
      <cdr:spPr>
        <a:xfrm xmlns:a="http://schemas.openxmlformats.org/drawingml/2006/main" rot="16200000">
          <a:off x="2087488" y="3643388"/>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DGB (≤D)</a:t>
          </a:r>
        </a:p>
      </cdr:txBody>
    </cdr:sp>
  </cdr:relSizeAnchor>
  <cdr:relSizeAnchor xmlns:cdr="http://schemas.openxmlformats.org/drawingml/2006/chartDrawing">
    <cdr:from>
      <cdr:x>0.36214</cdr:x>
      <cdr:y>0.44885</cdr:y>
    </cdr:from>
    <cdr:to>
      <cdr:x>0.38764</cdr:x>
      <cdr:y>0.86826</cdr:y>
    </cdr:to>
    <cdr:sp macro="" textlink="">
      <cdr:nvSpPr>
        <cdr:cNvPr id="5" name="TextBox 1">
          <a:extLst xmlns:a="http://schemas.openxmlformats.org/drawingml/2006/main">
            <a:ext uri="{FF2B5EF4-FFF2-40B4-BE49-F238E27FC236}">
              <a16:creationId xmlns:a16="http://schemas.microsoft.com/office/drawing/2014/main" xmlns="" id="{C50D8DBB-C554-4176-972A-269B3FBB642A}"/>
            </a:ext>
          </a:extLst>
        </cdr:cNvPr>
        <cdr:cNvSpPr txBox="1"/>
      </cdr:nvSpPr>
      <cdr:spPr>
        <a:xfrm xmlns:a="http://schemas.openxmlformats.org/drawingml/2006/main" rot="16200000">
          <a:off x="2489407" y="3494907"/>
          <a:ext cx="2304637"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0.42379</cdr:x>
      <cdr:y>0.50605</cdr:y>
    </cdr:from>
    <cdr:to>
      <cdr:x>0.44928</cdr:x>
      <cdr:y>0.86721</cdr:y>
    </cdr:to>
    <cdr:sp macro="" textlink="">
      <cdr:nvSpPr>
        <cdr:cNvPr id="6" name="TextBox 1">
          <a:extLst xmlns:a="http://schemas.openxmlformats.org/drawingml/2006/main">
            <a:ext uri="{FF2B5EF4-FFF2-40B4-BE49-F238E27FC236}">
              <a16:creationId xmlns:a16="http://schemas.microsoft.com/office/drawing/2014/main" xmlns="" id="{C95F2571-6480-4C3A-AA9F-84EDE2E0CE47}"/>
            </a:ext>
          </a:extLst>
        </cdr:cNvPr>
        <cdr:cNvSpPr txBox="1"/>
      </cdr:nvSpPr>
      <cdr:spPr>
        <a:xfrm xmlns:a="http://schemas.openxmlformats.org/drawingml/2006/main" rot="16200000">
          <a:off x="3248305" y="3649176"/>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0.4787</cdr:x>
      <cdr:y>0.505</cdr:y>
    </cdr:from>
    <cdr:to>
      <cdr:x>0.50419</cdr:x>
      <cdr:y>0.86615</cdr:y>
    </cdr:to>
    <cdr:sp macro="" textlink="">
      <cdr:nvSpPr>
        <cdr:cNvPr id="7" name="TextBox 1">
          <a:extLst xmlns:a="http://schemas.openxmlformats.org/drawingml/2006/main">
            <a:ext uri="{FF2B5EF4-FFF2-40B4-BE49-F238E27FC236}">
              <a16:creationId xmlns:a16="http://schemas.microsoft.com/office/drawing/2014/main" xmlns="" id="{587014E0-2E80-40E9-9713-328E8B518403}"/>
            </a:ext>
          </a:extLst>
        </cdr:cNvPr>
        <cdr:cNvSpPr txBox="1"/>
      </cdr:nvSpPr>
      <cdr:spPr>
        <a:xfrm xmlns:a="http://schemas.openxmlformats.org/drawingml/2006/main" rot="16200000">
          <a:off x="3781705" y="364338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0.53864</cdr:x>
      <cdr:y>0.65339</cdr:y>
    </cdr:from>
    <cdr:to>
      <cdr:x>0.56413</cdr:x>
      <cdr:y>0.86479</cdr:y>
    </cdr:to>
    <cdr:sp macro="" textlink="">
      <cdr:nvSpPr>
        <cdr:cNvPr id="8" name="TextBox 1">
          <a:extLst xmlns:a="http://schemas.openxmlformats.org/drawingml/2006/main">
            <a:ext uri="{FF2B5EF4-FFF2-40B4-BE49-F238E27FC236}">
              <a16:creationId xmlns:a16="http://schemas.microsoft.com/office/drawing/2014/main" xmlns="" id="{9118B99C-A61F-47BC-B3AA-44A0DDFAA29E}"/>
            </a:ext>
          </a:extLst>
        </cdr:cNvPr>
        <cdr:cNvSpPr txBox="1"/>
      </cdr:nvSpPr>
      <cdr:spPr>
        <a:xfrm xmlns:a="http://schemas.openxmlformats.org/drawingml/2006/main" rot="16200000">
          <a:off x="4775408" y="4047357"/>
          <a:ext cx="11616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DGB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0.60029</cdr:x>
      <cdr:y>0.50259</cdr:y>
    </cdr:from>
    <cdr:to>
      <cdr:x>0.62578</cdr:x>
      <cdr:y>0.86374</cdr:y>
    </cdr:to>
    <cdr:sp macro="" textlink="">
      <cdr:nvSpPr>
        <cdr:cNvPr id="9" name="TextBox 1">
          <a:extLst xmlns:a="http://schemas.openxmlformats.org/drawingml/2006/main">
            <a:ext uri="{FF2B5EF4-FFF2-40B4-BE49-F238E27FC236}">
              <a16:creationId xmlns:a16="http://schemas.microsoft.com/office/drawing/2014/main" xmlns="" id="{46222EAA-A771-4E1B-AB8C-62B0432D713F}"/>
            </a:ext>
          </a:extLst>
        </cdr:cNvPr>
        <cdr:cNvSpPr txBox="1"/>
      </cdr:nvSpPr>
      <cdr:spPr>
        <a:xfrm xmlns:a="http://schemas.openxmlformats.org/drawingml/2006/main" rot="16200000">
          <a:off x="4962805" y="3630126"/>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0.6552</cdr:x>
      <cdr:y>0.50153</cdr:y>
    </cdr:from>
    <cdr:to>
      <cdr:x>0.68069</cdr:x>
      <cdr:y>0.86269</cdr:y>
    </cdr:to>
    <cdr:sp macro="" textlink="">
      <cdr:nvSpPr>
        <cdr:cNvPr id="10" name="TextBox 1">
          <a:extLst xmlns:a="http://schemas.openxmlformats.org/drawingml/2006/main">
            <a:ext uri="{FF2B5EF4-FFF2-40B4-BE49-F238E27FC236}">
              <a16:creationId xmlns:a16="http://schemas.microsoft.com/office/drawing/2014/main" xmlns="" id="{258E0644-A208-4B95-A4E3-0FF2734EAC90}"/>
            </a:ext>
          </a:extLst>
        </cdr:cNvPr>
        <cdr:cNvSpPr txBox="1"/>
      </cdr:nvSpPr>
      <cdr:spPr>
        <a:xfrm xmlns:a="http://schemas.openxmlformats.org/drawingml/2006/main" rot="16200000">
          <a:off x="5496205" y="362433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0.71121</cdr:x>
      <cdr:y>0.50327</cdr:y>
    </cdr:from>
    <cdr:to>
      <cdr:x>0.73671</cdr:x>
      <cdr:y>0.86442</cdr:y>
    </cdr:to>
    <cdr:sp macro="" textlink="">
      <cdr:nvSpPr>
        <cdr:cNvPr id="12" name="TextBox 1">
          <a:extLst xmlns:a="http://schemas.openxmlformats.org/drawingml/2006/main">
            <a:ext uri="{FF2B5EF4-FFF2-40B4-BE49-F238E27FC236}">
              <a16:creationId xmlns:a16="http://schemas.microsoft.com/office/drawing/2014/main" xmlns="" id="{04555663-1FA7-42E1-B5D0-F5F73981F7F2}"/>
            </a:ext>
          </a:extLst>
        </cdr:cNvPr>
        <cdr:cNvSpPr txBox="1"/>
      </cdr:nvSpPr>
      <cdr:spPr>
        <a:xfrm xmlns:a="http://schemas.openxmlformats.org/drawingml/2006/main" rot="16200000">
          <a:off x="6040364" y="3633863"/>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a:t>
          </a:r>
          <a:r>
            <a:rPr lang="lt-LT" sz="1000" baseline="0">
              <a:effectLst/>
              <a:latin typeface="Arial" panose="020B0604020202020204" pitchFamily="34" charset="0"/>
              <a:ea typeface="+mn-ea"/>
              <a:cs typeface="Arial" panose="020B0604020202020204" pitchFamily="34" charset="0"/>
            </a:rPr>
            <a:t> </a:t>
          </a:r>
          <a:r>
            <a:rPr lang="lt-LT" sz="1000">
              <a:effectLst/>
              <a:latin typeface="Arial" panose="020B0604020202020204" pitchFamily="34" charset="0"/>
              <a:ea typeface="+mn-ea"/>
              <a:cs typeface="Arial" panose="020B0604020202020204" pitchFamily="34" charset="0"/>
            </a:rPr>
            <a:t>(C)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0.75632</cdr:x>
      <cdr:y>0.50153</cdr:y>
    </cdr:from>
    <cdr:to>
      <cdr:x>0.81037</cdr:x>
      <cdr:y>0.86269</cdr:y>
    </cdr:to>
    <cdr:sp macro="" textlink="">
      <cdr:nvSpPr>
        <cdr:cNvPr id="13" name="TextBox 1">
          <a:extLst xmlns:a="http://schemas.openxmlformats.org/drawingml/2006/main">
            <a:ext uri="{FF2B5EF4-FFF2-40B4-BE49-F238E27FC236}">
              <a16:creationId xmlns:a16="http://schemas.microsoft.com/office/drawing/2014/main" xmlns="" id="{9FFA6E21-F4D5-4704-BA37-3E1DB80DF5A7}"/>
            </a:ext>
          </a:extLst>
        </cdr:cNvPr>
        <cdr:cNvSpPr txBox="1"/>
      </cdr:nvSpPr>
      <cdr:spPr>
        <a:xfrm xmlns:a="http://schemas.openxmlformats.org/drawingml/2006/main" rot="16200000">
          <a:off x="6617244" y="3485607"/>
          <a:ext cx="1984523" cy="5251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cs typeface="Arial" panose="020B0604020202020204" pitchFamily="34" charset="0"/>
            </a:rPr>
            <a:t>4. Kuro </a:t>
          </a:r>
        </a:p>
        <a:p xmlns:a="http://schemas.openxmlformats.org/drawingml/2006/main">
          <a:r>
            <a:rPr lang="lt-LT" sz="1000">
              <a:effectLst/>
              <a:latin typeface="Arial" panose="020B0604020202020204" pitchFamily="34" charset="0"/>
              <a:cs typeface="Arial" panose="020B0604020202020204" pitchFamily="34" charset="0"/>
            </a:rPr>
            <a:t>keitimas</a:t>
          </a:r>
        </a:p>
      </cdr:txBody>
    </cdr:sp>
  </cdr:relSizeAnchor>
  <cdr:relSizeAnchor xmlns:cdr="http://schemas.openxmlformats.org/drawingml/2006/chartDrawing">
    <cdr:from>
      <cdr:x>0.87104</cdr:x>
      <cdr:y>0.14792</cdr:y>
    </cdr:from>
    <cdr:to>
      <cdr:x>0.91627</cdr:x>
      <cdr:y>0.50907</cdr:y>
    </cdr:to>
    <cdr:sp macro="" textlink="">
      <cdr:nvSpPr>
        <cdr:cNvPr id="14" name="TextBox 1">
          <a:extLst xmlns:a="http://schemas.openxmlformats.org/drawingml/2006/main">
            <a:ext uri="{FF2B5EF4-FFF2-40B4-BE49-F238E27FC236}">
              <a16:creationId xmlns:a16="http://schemas.microsoft.com/office/drawing/2014/main" xmlns="" id="{866CDA00-DC7B-4848-818F-82470436CE86}"/>
            </a:ext>
          </a:extLst>
        </cdr:cNvPr>
        <cdr:cNvSpPr txBox="1"/>
      </cdr:nvSpPr>
      <cdr:spPr>
        <a:xfrm xmlns:a="http://schemas.openxmlformats.org/drawingml/2006/main" rot="16200000">
          <a:off x="7688810" y="1585369"/>
          <a:ext cx="1984523" cy="439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5. Energetikos</a:t>
          </a:r>
          <a:br>
            <a:rPr lang="lt-LT" sz="1000">
              <a:effectLst/>
              <a:latin typeface="Arial" panose="020B0604020202020204" pitchFamily="34" charset="0"/>
              <a:ea typeface="+mn-ea"/>
              <a:cs typeface="Arial" panose="020B0604020202020204" pitchFamily="34" charset="0"/>
            </a:rPr>
          </a:br>
          <a:r>
            <a:rPr lang="lt-LT" sz="1000">
              <a:effectLst/>
              <a:latin typeface="Arial" panose="020B0604020202020204" pitchFamily="34" charset="0"/>
              <a:ea typeface="+mn-ea"/>
              <a:cs typeface="Arial" panose="020B0604020202020204" pitchFamily="34" charset="0"/>
            </a:rPr>
            <a:t>transofrmacija</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0.40345</cdr:x>
      <cdr:y>0.14204</cdr:y>
    </cdr:from>
    <cdr:to>
      <cdr:x>0.58289</cdr:x>
      <cdr:y>0.19751</cdr:y>
    </cdr:to>
    <cdr:sp macro="" textlink="">
      <cdr:nvSpPr>
        <cdr:cNvPr id="15" name="TextBox 14">
          <a:extLst xmlns:a="http://schemas.openxmlformats.org/drawingml/2006/main">
            <a:ext uri="{FF2B5EF4-FFF2-40B4-BE49-F238E27FC236}">
              <a16:creationId xmlns:a16="http://schemas.microsoft.com/office/drawing/2014/main" xmlns="" id="{8FA528B8-FA4F-41E7-86D9-80B79B6EF559}"/>
            </a:ext>
          </a:extLst>
        </cdr:cNvPr>
        <cdr:cNvSpPr txBox="1"/>
      </cdr:nvSpPr>
      <cdr:spPr>
        <a:xfrm xmlns:a="http://schemas.openxmlformats.org/drawingml/2006/main">
          <a:off x="3919184" y="780488"/>
          <a:ext cx="1743075" cy="3048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lt-LT" sz="1100"/>
        </a:p>
      </cdr:txBody>
    </cdr:sp>
  </cdr:relSizeAnchor>
  <cdr:relSizeAnchor xmlns:cdr="http://schemas.openxmlformats.org/drawingml/2006/chartDrawing">
    <cdr:from>
      <cdr:x>0.17665</cdr:x>
      <cdr:y>0.89012</cdr:y>
    </cdr:from>
    <cdr:to>
      <cdr:x>0.80841</cdr:x>
      <cdr:y>0.96194</cdr:y>
    </cdr:to>
    <cdr:sp macro="" textlink="">
      <cdr:nvSpPr>
        <cdr:cNvPr id="16" name="TextBox 1">
          <a:extLst xmlns:a="http://schemas.openxmlformats.org/drawingml/2006/main">
            <a:ext uri="{FF2B5EF4-FFF2-40B4-BE49-F238E27FC236}">
              <a16:creationId xmlns:a16="http://schemas.microsoft.com/office/drawing/2014/main" xmlns="" id="{7C78C173-4E68-4FD3-A7DA-B8A0269ED337}"/>
            </a:ext>
          </a:extLst>
        </cdr:cNvPr>
        <cdr:cNvSpPr txBox="1"/>
      </cdr:nvSpPr>
      <cdr:spPr>
        <a:xfrm xmlns:a="http://schemas.openxmlformats.org/drawingml/2006/main">
          <a:off x="1716014" y="4891163"/>
          <a:ext cx="6136995"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0.86724</cdr:x>
      <cdr:y>0.89675</cdr:y>
    </cdr:from>
    <cdr:to>
      <cdr:x>0.93213</cdr:x>
      <cdr:y>0.96857</cdr:y>
    </cdr:to>
    <cdr:sp macro="" textlink="">
      <cdr:nvSpPr>
        <cdr:cNvPr id="18" name="TextBox 1">
          <a:extLst xmlns:a="http://schemas.openxmlformats.org/drawingml/2006/main">
            <a:ext uri="{FF2B5EF4-FFF2-40B4-BE49-F238E27FC236}">
              <a16:creationId xmlns:a16="http://schemas.microsoft.com/office/drawing/2014/main" xmlns="" id="{EA78FD93-049B-4864-A459-DEA87144DA60}"/>
            </a:ext>
          </a:extLst>
        </cdr:cNvPr>
        <cdr:cNvSpPr txBox="1"/>
      </cdr:nvSpPr>
      <cdr:spPr>
        <a:xfrm xmlns:a="http://schemas.openxmlformats.org/drawingml/2006/main">
          <a:off x="8424509" y="4927600"/>
          <a:ext cx="630311"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0.09298</cdr:x>
      <cdr:y>0.89592</cdr:y>
    </cdr:from>
    <cdr:to>
      <cdr:x>0.18848</cdr:x>
      <cdr:y>0.96774</cdr:y>
    </cdr:to>
    <cdr:sp macro="" textlink="">
      <cdr:nvSpPr>
        <cdr:cNvPr id="19" name="TextBox 1">
          <a:extLst xmlns:a="http://schemas.openxmlformats.org/drawingml/2006/main">
            <a:ext uri="{FF2B5EF4-FFF2-40B4-BE49-F238E27FC236}">
              <a16:creationId xmlns:a16="http://schemas.microsoft.com/office/drawing/2014/main" xmlns="" id="{0E14227C-E95E-4625-AAEB-927ED041C8E2}"/>
            </a:ext>
          </a:extLst>
        </cdr:cNvPr>
        <cdr:cNvSpPr txBox="1"/>
      </cdr:nvSpPr>
      <cdr:spPr>
        <a:xfrm xmlns:a="http://schemas.openxmlformats.org/drawingml/2006/main">
          <a:off x="596283" y="2797895"/>
          <a:ext cx="612403" cy="22428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2020</a:t>
          </a:r>
        </a:p>
      </cdr:txBody>
    </cdr:sp>
  </cdr:relSizeAnchor>
  <cdr:relSizeAnchor xmlns:cdr="http://schemas.openxmlformats.org/drawingml/2006/chartDrawing">
    <cdr:from>
      <cdr:x>0.78863</cdr:x>
      <cdr:y>0.8946</cdr:y>
    </cdr:from>
    <cdr:to>
      <cdr:x>0.89789</cdr:x>
      <cdr:y>0.96642</cdr:y>
    </cdr:to>
    <cdr:sp macro="" textlink="">
      <cdr:nvSpPr>
        <cdr:cNvPr id="20" name="TextBox 1">
          <a:extLst xmlns:a="http://schemas.openxmlformats.org/drawingml/2006/main">
            <a:ext uri="{FF2B5EF4-FFF2-40B4-BE49-F238E27FC236}">
              <a16:creationId xmlns:a16="http://schemas.microsoft.com/office/drawing/2014/main" xmlns="" id="{5B482E34-5236-49F3-A5FE-95B7B25CE0D6}"/>
            </a:ext>
          </a:extLst>
        </cdr:cNvPr>
        <cdr:cNvSpPr txBox="1"/>
      </cdr:nvSpPr>
      <cdr:spPr>
        <a:xfrm xmlns:a="http://schemas.openxmlformats.org/drawingml/2006/main">
          <a:off x="5057354" y="2793773"/>
          <a:ext cx="700693" cy="224289"/>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0.90455</cdr:x>
      <cdr:y>0.89418</cdr:y>
    </cdr:from>
    <cdr:to>
      <cdr:x>1</cdr:x>
      <cdr:y>0.97296</cdr:y>
    </cdr:to>
    <cdr:sp macro="" textlink="">
      <cdr:nvSpPr>
        <cdr:cNvPr id="21" name="TextBox 1">
          <a:extLst xmlns:a="http://schemas.openxmlformats.org/drawingml/2006/main">
            <a:ext uri="{FF2B5EF4-FFF2-40B4-BE49-F238E27FC236}">
              <a16:creationId xmlns:a16="http://schemas.microsoft.com/office/drawing/2014/main" xmlns="" id="{66FA3C2B-BDF8-4632-946F-DF03B7A04E2D}"/>
            </a:ext>
          </a:extLst>
        </cdr:cNvPr>
        <cdr:cNvSpPr txBox="1"/>
      </cdr:nvSpPr>
      <cdr:spPr>
        <a:xfrm xmlns:a="http://schemas.openxmlformats.org/drawingml/2006/main">
          <a:off x="5800725" y="2792462"/>
          <a:ext cx="612140" cy="246013"/>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0.28958</cdr:x>
      <cdr:y>0.12817</cdr:y>
    </cdr:from>
    <cdr:to>
      <cdr:x>0.75154</cdr:x>
      <cdr:y>0.87007</cdr:y>
    </cdr:to>
    <cdr:sp macro="" textlink="">
      <cdr:nvSpPr>
        <cdr:cNvPr id="25" name="TextBox 1">
          <a:extLst xmlns:a="http://schemas.openxmlformats.org/drawingml/2006/main">
            <a:ext uri="{FF2B5EF4-FFF2-40B4-BE49-F238E27FC236}">
              <a16:creationId xmlns:a16="http://schemas.microsoft.com/office/drawing/2014/main" xmlns="" id="{39DDBAB4-1D83-40FA-828B-13AD18DB9D98}"/>
            </a:ext>
          </a:extLst>
        </cdr:cNvPr>
        <cdr:cNvSpPr txBox="1"/>
      </cdr:nvSpPr>
      <cdr:spPr>
        <a:xfrm xmlns:a="http://schemas.openxmlformats.org/drawingml/2006/main">
          <a:off x="2813051" y="704288"/>
          <a:ext cx="4487508" cy="4076700"/>
        </a:xfrm>
        <a:prstGeom xmlns:a="http://schemas.openxmlformats.org/drawingml/2006/main" prst="rect">
          <a:avLst/>
        </a:prstGeom>
        <a:noFill xmlns:a="http://schemas.openxmlformats.org/drawingml/2006/main"/>
        <a:ln xmlns:a="http://schemas.openxmlformats.org/drawingml/2006/main">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a:latin typeface="Arial" panose="020B0604020202020204" pitchFamily="34" charset="0"/>
              <a:cs typeface="Arial" panose="020B0604020202020204" pitchFamily="34" charset="0"/>
            </a:rPr>
            <a:t>3. Renovacija</a:t>
          </a:r>
        </a:p>
      </cdr:txBody>
    </cdr:sp>
  </cdr:relSizeAnchor>
</c:userShapes>
</file>

<file path=word/drawings/drawing6.xml><?xml version="1.0" encoding="utf-8"?>
<c:userShapes xmlns:c="http://schemas.openxmlformats.org/drawingml/2006/chart">
  <cdr:relSizeAnchor xmlns:cdr="http://schemas.openxmlformats.org/drawingml/2006/chartDrawing">
    <cdr:from>
      <cdr:x>0.16857</cdr:x>
      <cdr:y>0.5394</cdr:y>
    </cdr:from>
    <cdr:to>
      <cdr:x>0.19414</cdr:x>
      <cdr:y>0.88753</cdr:y>
    </cdr:to>
    <cdr:sp macro="" textlink="">
      <cdr:nvSpPr>
        <cdr:cNvPr id="2" name="TextBox 1">
          <a:extLst xmlns:a="http://schemas.openxmlformats.org/drawingml/2006/main">
            <a:ext uri="{FF2B5EF4-FFF2-40B4-BE49-F238E27FC236}">
              <a16:creationId xmlns:a16="http://schemas.microsoft.com/office/drawing/2014/main" xmlns="" id="{4368A918-F045-4193-8E8B-65505E535B81}"/>
            </a:ext>
          </a:extLst>
        </cdr:cNvPr>
        <cdr:cNvSpPr txBox="1"/>
      </cdr:nvSpPr>
      <cdr:spPr>
        <a:xfrm xmlns:a="http://schemas.openxmlformats.org/drawingml/2006/main" rot="16200000">
          <a:off x="813834" y="3740497"/>
          <a:ext cx="18855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latin typeface="Arial" panose="020B0604020202020204" pitchFamily="34" charset="0"/>
              <a:cs typeface="Arial" panose="020B0604020202020204" pitchFamily="34" charset="0"/>
            </a:rPr>
            <a:t>1. </a:t>
          </a:r>
          <a:r>
            <a:rPr lang="lt-LT" sz="1000">
              <a:latin typeface="Arial" panose="020B0604020202020204" pitchFamily="34" charset="0"/>
              <a:cs typeface="Arial" panose="020B0604020202020204" pitchFamily="34" charset="0"/>
            </a:rPr>
            <a:t>Klimato kaita</a:t>
          </a:r>
        </a:p>
      </cdr:txBody>
    </cdr:sp>
  </cdr:relSizeAnchor>
  <cdr:relSizeAnchor xmlns:cdr="http://schemas.openxmlformats.org/drawingml/2006/chartDrawing">
    <cdr:from>
      <cdr:x>0.22181</cdr:x>
      <cdr:y>0.31947</cdr:y>
    </cdr:from>
    <cdr:to>
      <cdr:x>0.27262</cdr:x>
      <cdr:y>0.88646</cdr:y>
    </cdr:to>
    <cdr:sp macro="" textlink="">
      <cdr:nvSpPr>
        <cdr:cNvPr id="3" name="TextBox 1">
          <a:extLst xmlns:a="http://schemas.openxmlformats.org/drawingml/2006/main">
            <a:ext uri="{FF2B5EF4-FFF2-40B4-BE49-F238E27FC236}">
              <a16:creationId xmlns:a16="http://schemas.microsoft.com/office/drawing/2014/main" xmlns="" id="{72FC3268-D4D8-41F7-82F8-9F86A522AC8B}"/>
            </a:ext>
          </a:extLst>
        </cdr:cNvPr>
        <cdr:cNvSpPr txBox="1"/>
      </cdr:nvSpPr>
      <cdr:spPr>
        <a:xfrm xmlns:a="http://schemas.openxmlformats.org/drawingml/2006/main" rot="16200000">
          <a:off x="612559" y="1908005"/>
          <a:ext cx="1947458" cy="32600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n-US" sz="1000">
              <a:latin typeface="Arial" panose="020B0604020202020204" pitchFamily="34" charset="0"/>
              <a:cs typeface="Arial" panose="020B0604020202020204" pitchFamily="34" charset="0"/>
            </a:rPr>
            <a:t>2. </a:t>
          </a:r>
          <a:r>
            <a:rPr lang="lt-LT" sz="1000">
              <a:latin typeface="Arial" panose="020B0604020202020204" pitchFamily="34" charset="0"/>
              <a:cs typeface="Arial" panose="020B0604020202020204" pitchFamily="34" charset="0"/>
            </a:rPr>
            <a:t>Natūralus</a:t>
          </a:r>
          <a:r>
            <a:rPr lang="lt-LT" sz="1000" baseline="0">
              <a:latin typeface="Arial" panose="020B0604020202020204" pitchFamily="34" charset="0"/>
              <a:cs typeface="Arial" panose="020B0604020202020204" pitchFamily="34" charset="0"/>
            </a:rPr>
            <a:t> mažėjimas</a:t>
          </a:r>
          <a:endParaRPr lang="lt-LT" sz="10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0.28547</cdr:x>
      <cdr:y>0.51899</cdr:y>
    </cdr:from>
    <cdr:to>
      <cdr:x>0.31103</cdr:x>
      <cdr:y>0.88539</cdr:y>
    </cdr:to>
    <cdr:sp macro="" textlink="">
      <cdr:nvSpPr>
        <cdr:cNvPr id="4" name="TextBox 1">
          <a:extLst xmlns:a="http://schemas.openxmlformats.org/drawingml/2006/main">
            <a:ext uri="{FF2B5EF4-FFF2-40B4-BE49-F238E27FC236}">
              <a16:creationId xmlns:a16="http://schemas.microsoft.com/office/drawing/2014/main" xmlns="" id="{4CFA2248-47B4-42B7-A124-49A2D46EDEBA}"/>
            </a:ext>
          </a:extLst>
        </cdr:cNvPr>
        <cdr:cNvSpPr txBox="1"/>
      </cdr:nvSpPr>
      <cdr:spPr>
        <a:xfrm xmlns:a="http://schemas.openxmlformats.org/drawingml/2006/main" rot="16200000">
          <a:off x="1896581" y="3679429"/>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latin typeface="Arial" panose="020B0604020202020204" pitchFamily="34" charset="0"/>
              <a:cs typeface="Arial" panose="020B0604020202020204" pitchFamily="34" charset="0"/>
            </a:rPr>
            <a:t>DGB (≤D)</a:t>
          </a:r>
        </a:p>
      </cdr:txBody>
    </cdr:sp>
  </cdr:relSizeAnchor>
  <cdr:relSizeAnchor xmlns:cdr="http://schemas.openxmlformats.org/drawingml/2006/chartDrawing">
    <cdr:from>
      <cdr:x>0.34349</cdr:x>
      <cdr:y>0.46203</cdr:y>
    </cdr:from>
    <cdr:to>
      <cdr:x>0.36905</cdr:x>
      <cdr:y>0.88753</cdr:y>
    </cdr:to>
    <cdr:sp macro="" textlink="">
      <cdr:nvSpPr>
        <cdr:cNvPr id="5" name="TextBox 1">
          <a:extLst xmlns:a="http://schemas.openxmlformats.org/drawingml/2006/main">
            <a:ext uri="{FF2B5EF4-FFF2-40B4-BE49-F238E27FC236}">
              <a16:creationId xmlns:a16="http://schemas.microsoft.com/office/drawing/2014/main" xmlns="" id="{25E453C0-17DC-4A6F-B463-CC27CF3BD71B}"/>
            </a:ext>
          </a:extLst>
        </cdr:cNvPr>
        <cdr:cNvSpPr txBox="1"/>
      </cdr:nvSpPr>
      <cdr:spPr>
        <a:xfrm xmlns:a="http://schemas.openxmlformats.org/drawingml/2006/main" rot="16200000">
          <a:off x="2298500" y="3530948"/>
          <a:ext cx="2304637"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0.40531</cdr:x>
      <cdr:y>0.52006</cdr:y>
    </cdr:from>
    <cdr:to>
      <cdr:x>0.43088</cdr:x>
      <cdr:y>0.88646</cdr:y>
    </cdr:to>
    <cdr:sp macro="" textlink="">
      <cdr:nvSpPr>
        <cdr:cNvPr id="6" name="TextBox 1">
          <a:extLst xmlns:a="http://schemas.openxmlformats.org/drawingml/2006/main">
            <a:ext uri="{FF2B5EF4-FFF2-40B4-BE49-F238E27FC236}">
              <a16:creationId xmlns:a16="http://schemas.microsoft.com/office/drawing/2014/main" xmlns="" id="{8844625F-F65F-4352-9D63-E3C4A1F943B7}"/>
            </a:ext>
          </a:extLst>
        </cdr:cNvPr>
        <cdr:cNvSpPr txBox="1"/>
      </cdr:nvSpPr>
      <cdr:spPr>
        <a:xfrm xmlns:a="http://schemas.openxmlformats.org/drawingml/2006/main" rot="16200000">
          <a:off x="3057398" y="3685217"/>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0.46038</cdr:x>
      <cdr:y>0.51899</cdr:y>
    </cdr:from>
    <cdr:to>
      <cdr:x>0.48595</cdr:x>
      <cdr:y>0.88539</cdr:y>
    </cdr:to>
    <cdr:sp macro="" textlink="">
      <cdr:nvSpPr>
        <cdr:cNvPr id="7" name="TextBox 1">
          <a:extLst xmlns:a="http://schemas.openxmlformats.org/drawingml/2006/main">
            <a:ext uri="{FF2B5EF4-FFF2-40B4-BE49-F238E27FC236}">
              <a16:creationId xmlns:a16="http://schemas.microsoft.com/office/drawing/2014/main" xmlns="" id="{68BE6102-3945-4531-825A-E446A0417E14}"/>
            </a:ext>
          </a:extLst>
        </cdr:cNvPr>
        <cdr:cNvSpPr txBox="1"/>
      </cdr:nvSpPr>
      <cdr:spPr>
        <a:xfrm xmlns:a="http://schemas.openxmlformats.org/drawingml/2006/main" rot="16200000">
          <a:off x="3590798" y="3679430"/>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 (≤D)</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0.5205</cdr:x>
      <cdr:y>0.66954</cdr:y>
    </cdr:from>
    <cdr:to>
      <cdr:x>0.54606</cdr:x>
      <cdr:y>0.88401</cdr:y>
    </cdr:to>
    <cdr:sp macro="" textlink="">
      <cdr:nvSpPr>
        <cdr:cNvPr id="8" name="TextBox 1">
          <a:extLst xmlns:a="http://schemas.openxmlformats.org/drawingml/2006/main">
            <a:ext uri="{FF2B5EF4-FFF2-40B4-BE49-F238E27FC236}">
              <a16:creationId xmlns:a16="http://schemas.microsoft.com/office/drawing/2014/main" xmlns="" id="{197CE1B4-D045-482E-8EFB-C389A388988E}"/>
            </a:ext>
          </a:extLst>
        </cdr:cNvPr>
        <cdr:cNvSpPr txBox="1"/>
      </cdr:nvSpPr>
      <cdr:spPr>
        <a:xfrm xmlns:a="http://schemas.openxmlformats.org/drawingml/2006/main" rot="16200000">
          <a:off x="4584501" y="4083398"/>
          <a:ext cx="1161636"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DGB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0.58232</cdr:x>
      <cdr:y>0.51654</cdr:y>
    </cdr:from>
    <cdr:to>
      <cdr:x>0.60789</cdr:x>
      <cdr:y>0.88294</cdr:y>
    </cdr:to>
    <cdr:sp macro="" textlink="">
      <cdr:nvSpPr>
        <cdr:cNvPr id="9" name="TextBox 1">
          <a:extLst xmlns:a="http://schemas.openxmlformats.org/drawingml/2006/main">
            <a:ext uri="{FF2B5EF4-FFF2-40B4-BE49-F238E27FC236}">
              <a16:creationId xmlns:a16="http://schemas.microsoft.com/office/drawing/2014/main" xmlns="" id="{CA9DF7EE-F258-4281-ADE5-6B21EC419CC7}"/>
            </a:ext>
          </a:extLst>
        </cdr:cNvPr>
        <cdr:cNvSpPr txBox="1"/>
      </cdr:nvSpPr>
      <cdr:spPr>
        <a:xfrm xmlns:a="http://schemas.openxmlformats.org/drawingml/2006/main" rot="16200000">
          <a:off x="4771898" y="3666167"/>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IND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0.63739</cdr:x>
      <cdr:y>0.51547</cdr:y>
    </cdr:from>
    <cdr:to>
      <cdr:x>0.66296</cdr:x>
      <cdr:y>0.88187</cdr:y>
    </cdr:to>
    <cdr:sp macro="" textlink="">
      <cdr:nvSpPr>
        <cdr:cNvPr id="10" name="TextBox 1">
          <a:extLst xmlns:a="http://schemas.openxmlformats.org/drawingml/2006/main">
            <a:ext uri="{FF2B5EF4-FFF2-40B4-BE49-F238E27FC236}">
              <a16:creationId xmlns:a16="http://schemas.microsoft.com/office/drawing/2014/main" xmlns="" id="{97628D8E-879E-44BA-8FEA-B1054618FEE1}"/>
            </a:ext>
          </a:extLst>
        </cdr:cNvPr>
        <cdr:cNvSpPr txBox="1"/>
      </cdr:nvSpPr>
      <cdr:spPr>
        <a:xfrm xmlns:a="http://schemas.openxmlformats.org/drawingml/2006/main" rot="16200000">
          <a:off x="5305298" y="3660380"/>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PRA (C)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0.69357</cdr:x>
      <cdr:y>0.51723</cdr:y>
    </cdr:from>
    <cdr:to>
      <cdr:x>0.71914</cdr:x>
      <cdr:y>0.88363</cdr:y>
    </cdr:to>
    <cdr:sp macro="" textlink="">
      <cdr:nvSpPr>
        <cdr:cNvPr id="11" name="TextBox 1">
          <a:extLst xmlns:a="http://schemas.openxmlformats.org/drawingml/2006/main">
            <a:ext uri="{FF2B5EF4-FFF2-40B4-BE49-F238E27FC236}">
              <a16:creationId xmlns:a16="http://schemas.microsoft.com/office/drawing/2014/main" xmlns="" id="{C4109E4A-E409-42E9-BF20-C22B0D9601B0}"/>
            </a:ext>
          </a:extLst>
        </cdr:cNvPr>
        <cdr:cNvSpPr txBox="1"/>
      </cdr:nvSpPr>
      <cdr:spPr>
        <a:xfrm xmlns:a="http://schemas.openxmlformats.org/drawingml/2006/main" rot="16200000">
          <a:off x="5849457" y="3669904"/>
          <a:ext cx="1984523" cy="2476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t-LT" sz="1000">
              <a:effectLst/>
              <a:latin typeface="Arial" panose="020B0604020202020204" pitchFamily="34" charset="0"/>
              <a:ea typeface="+mn-ea"/>
              <a:cs typeface="Arial" panose="020B0604020202020204" pitchFamily="34" charset="0"/>
            </a:rPr>
            <a:t>NEG</a:t>
          </a:r>
          <a:r>
            <a:rPr lang="lt-LT" sz="1000" baseline="0">
              <a:effectLst/>
              <a:latin typeface="Arial" panose="020B0604020202020204" pitchFamily="34" charset="0"/>
              <a:ea typeface="+mn-ea"/>
              <a:cs typeface="Arial" panose="020B0604020202020204" pitchFamily="34" charset="0"/>
            </a:rPr>
            <a:t> </a:t>
          </a:r>
          <a:r>
            <a:rPr lang="lt-LT" sz="1000">
              <a:effectLst/>
              <a:latin typeface="Arial" panose="020B0604020202020204" pitchFamily="34" charset="0"/>
              <a:ea typeface="+mn-ea"/>
              <a:cs typeface="Arial" panose="020B0604020202020204" pitchFamily="34" charset="0"/>
            </a:rPr>
            <a:t>(C)</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0.74646</cdr:x>
      <cdr:y>0.51547</cdr:y>
    </cdr:from>
    <cdr:to>
      <cdr:x>0.80161</cdr:x>
      <cdr:y>0.88187</cdr:y>
    </cdr:to>
    <cdr:sp macro="" textlink="">
      <cdr:nvSpPr>
        <cdr:cNvPr id="12" name="TextBox 1">
          <a:extLst xmlns:a="http://schemas.openxmlformats.org/drawingml/2006/main">
            <a:ext uri="{FF2B5EF4-FFF2-40B4-BE49-F238E27FC236}">
              <a16:creationId xmlns:a16="http://schemas.microsoft.com/office/drawing/2014/main" xmlns="" id="{587F5462-E779-4023-8B58-20A149DEE54D}"/>
            </a:ext>
          </a:extLst>
        </cdr:cNvPr>
        <cdr:cNvSpPr txBox="1"/>
      </cdr:nvSpPr>
      <cdr:spPr>
        <a:xfrm xmlns:a="http://schemas.openxmlformats.org/drawingml/2006/main" rot="16200000">
          <a:off x="6505018" y="3517096"/>
          <a:ext cx="1984523" cy="534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effectLst/>
              <a:latin typeface="Arial" panose="020B0604020202020204" pitchFamily="34" charset="0"/>
              <a:cs typeface="Arial" panose="020B0604020202020204" pitchFamily="34" charset="0"/>
            </a:rPr>
            <a:t>4. </a:t>
          </a:r>
          <a:r>
            <a:rPr lang="lt-LT" sz="1000">
              <a:effectLst/>
              <a:latin typeface="Arial" panose="020B0604020202020204" pitchFamily="34" charset="0"/>
              <a:cs typeface="Arial" panose="020B0604020202020204" pitchFamily="34" charset="0"/>
            </a:rPr>
            <a:t>Kuro </a:t>
          </a:r>
        </a:p>
        <a:p xmlns:a="http://schemas.openxmlformats.org/drawingml/2006/main">
          <a:r>
            <a:rPr lang="lt-LT" sz="1000">
              <a:effectLst/>
              <a:latin typeface="Arial" panose="020B0604020202020204" pitchFamily="34" charset="0"/>
              <a:cs typeface="Arial" panose="020B0604020202020204" pitchFamily="34" charset="0"/>
            </a:rPr>
            <a:t>keitimas</a:t>
          </a:r>
        </a:p>
      </cdr:txBody>
    </cdr:sp>
  </cdr:relSizeAnchor>
  <cdr:relSizeAnchor xmlns:cdr="http://schemas.openxmlformats.org/drawingml/2006/chartDrawing">
    <cdr:from>
      <cdr:x>0.86596</cdr:x>
      <cdr:y>0.24618</cdr:y>
    </cdr:from>
    <cdr:to>
      <cdr:x>0.91133</cdr:x>
      <cdr:y>0.61258</cdr:y>
    </cdr:to>
    <cdr:sp macro="" textlink="">
      <cdr:nvSpPr>
        <cdr:cNvPr id="13" name="TextBox 1">
          <a:extLst xmlns:a="http://schemas.openxmlformats.org/drawingml/2006/main">
            <a:ext uri="{FF2B5EF4-FFF2-40B4-BE49-F238E27FC236}">
              <a16:creationId xmlns:a16="http://schemas.microsoft.com/office/drawing/2014/main" xmlns="" id="{10A8518A-BE56-40B6-96F4-892FCB1387F3}"/>
            </a:ext>
          </a:extLst>
        </cdr:cNvPr>
        <cdr:cNvSpPr txBox="1"/>
      </cdr:nvSpPr>
      <cdr:spPr>
        <a:xfrm xmlns:a="http://schemas.openxmlformats.org/drawingml/2006/main" rot="16200000">
          <a:off x="7615102" y="2105943"/>
          <a:ext cx="1984523" cy="439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a:effectLst/>
              <a:latin typeface="Arial" panose="020B0604020202020204" pitchFamily="34" charset="0"/>
              <a:ea typeface="+mn-ea"/>
              <a:cs typeface="Arial" panose="020B0604020202020204" pitchFamily="34" charset="0"/>
            </a:rPr>
            <a:t>5. </a:t>
          </a:r>
          <a:r>
            <a:rPr lang="lt-LT" sz="1000">
              <a:effectLst/>
              <a:latin typeface="Arial" panose="020B0604020202020204" pitchFamily="34" charset="0"/>
              <a:ea typeface="+mn-ea"/>
              <a:cs typeface="Arial" panose="020B0604020202020204" pitchFamily="34" charset="0"/>
            </a:rPr>
            <a:t>Energetikos</a:t>
          </a:r>
          <a:br>
            <a:rPr lang="lt-LT" sz="1000">
              <a:effectLst/>
              <a:latin typeface="Arial" panose="020B0604020202020204" pitchFamily="34" charset="0"/>
              <a:ea typeface="+mn-ea"/>
              <a:cs typeface="Arial" panose="020B0604020202020204" pitchFamily="34" charset="0"/>
            </a:rPr>
          </a:br>
          <a:r>
            <a:rPr lang="lt-LT" sz="1000">
              <a:effectLst/>
              <a:latin typeface="Arial" panose="020B0604020202020204" pitchFamily="34" charset="0"/>
              <a:ea typeface="+mn-ea"/>
              <a:cs typeface="Arial" panose="020B0604020202020204" pitchFamily="34" charset="0"/>
            </a:rPr>
            <a:t>transofrmacija</a:t>
          </a:r>
          <a:endParaRPr lang="lt-LT" sz="1000">
            <a:effectLst/>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0.16028</cdr:x>
      <cdr:y>0.90756</cdr:y>
    </cdr:from>
    <cdr:to>
      <cdr:x>0.79999</cdr:x>
      <cdr:y>0.98043</cdr:y>
    </cdr:to>
    <cdr:sp macro="" textlink="">
      <cdr:nvSpPr>
        <cdr:cNvPr id="14" name="TextBox 1">
          <a:extLst xmlns:a="http://schemas.openxmlformats.org/drawingml/2006/main">
            <a:ext uri="{FF2B5EF4-FFF2-40B4-BE49-F238E27FC236}">
              <a16:creationId xmlns:a16="http://schemas.microsoft.com/office/drawing/2014/main" xmlns="" id="{6CC0E851-24DD-40F2-9E2C-B14902FAD08D}"/>
            </a:ext>
          </a:extLst>
        </cdr:cNvPr>
        <cdr:cNvSpPr txBox="1"/>
      </cdr:nvSpPr>
      <cdr:spPr>
        <a:xfrm xmlns:a="http://schemas.openxmlformats.org/drawingml/2006/main">
          <a:off x="1552429" y="4915596"/>
          <a:ext cx="6196227"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0.85899</cdr:x>
      <cdr:y>0.91429</cdr:y>
    </cdr:from>
    <cdr:to>
      <cdr:x>0.92407</cdr:x>
      <cdr:y>0.98715</cdr:y>
    </cdr:to>
    <cdr:sp macro="" textlink="">
      <cdr:nvSpPr>
        <cdr:cNvPr id="15" name="TextBox 1">
          <a:extLst xmlns:a="http://schemas.openxmlformats.org/drawingml/2006/main">
            <a:ext uri="{FF2B5EF4-FFF2-40B4-BE49-F238E27FC236}">
              <a16:creationId xmlns:a16="http://schemas.microsoft.com/office/drawing/2014/main" xmlns="" id="{B0CC9D32-5EB2-4669-8ECB-F1FA656EF285}"/>
            </a:ext>
          </a:extLst>
        </cdr:cNvPr>
        <cdr:cNvSpPr txBox="1"/>
      </cdr:nvSpPr>
      <cdr:spPr>
        <a:xfrm xmlns:a="http://schemas.openxmlformats.org/drawingml/2006/main">
          <a:off x="8320156" y="4952033"/>
          <a:ext cx="630311" cy="394650"/>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lt-LT"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0.07371</cdr:x>
      <cdr:y>0.90725</cdr:y>
    </cdr:from>
    <cdr:to>
      <cdr:x>0.17071</cdr:x>
      <cdr:y>0.98012</cdr:y>
    </cdr:to>
    <cdr:sp macro="" textlink="">
      <cdr:nvSpPr>
        <cdr:cNvPr id="16" name="TextBox 1">
          <a:extLst xmlns:a="http://schemas.openxmlformats.org/drawingml/2006/main">
            <a:ext uri="{FF2B5EF4-FFF2-40B4-BE49-F238E27FC236}">
              <a16:creationId xmlns:a16="http://schemas.microsoft.com/office/drawing/2014/main" xmlns="" id="{3C455510-C53C-4F05-B8B1-70BCB65EF246}"/>
            </a:ext>
          </a:extLst>
        </cdr:cNvPr>
        <cdr:cNvSpPr txBox="1"/>
      </cdr:nvSpPr>
      <cdr:spPr>
        <a:xfrm xmlns:a="http://schemas.openxmlformats.org/drawingml/2006/main">
          <a:off x="473005" y="3116145"/>
          <a:ext cx="622370" cy="2502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2020</a:t>
          </a:r>
        </a:p>
      </cdr:txBody>
    </cdr:sp>
  </cdr:relSizeAnchor>
  <cdr:relSizeAnchor xmlns:cdr="http://schemas.openxmlformats.org/drawingml/2006/chartDrawing">
    <cdr:from>
      <cdr:x>0.7906</cdr:x>
      <cdr:y>0.90624</cdr:y>
    </cdr:from>
    <cdr:to>
      <cdr:x>0.88103</cdr:x>
      <cdr:y>0.97911</cdr:y>
    </cdr:to>
    <cdr:sp macro="" textlink="">
      <cdr:nvSpPr>
        <cdr:cNvPr id="17" name="TextBox 1">
          <a:extLst xmlns:a="http://schemas.openxmlformats.org/drawingml/2006/main">
            <a:ext uri="{FF2B5EF4-FFF2-40B4-BE49-F238E27FC236}">
              <a16:creationId xmlns:a16="http://schemas.microsoft.com/office/drawing/2014/main" xmlns="" id="{207F93E9-EBC0-43EC-ACDF-0E2EC718E484}"/>
            </a:ext>
          </a:extLst>
        </cdr:cNvPr>
        <cdr:cNvSpPr txBox="1"/>
      </cdr:nvSpPr>
      <cdr:spPr>
        <a:xfrm xmlns:a="http://schemas.openxmlformats.org/drawingml/2006/main">
          <a:off x="5073010" y="3112665"/>
          <a:ext cx="580258" cy="250288"/>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0.9121</cdr:x>
      <cdr:y>0.90827</cdr:y>
    </cdr:from>
    <cdr:to>
      <cdr:x>1</cdr:x>
      <cdr:y>0.98113</cdr:y>
    </cdr:to>
    <cdr:sp macro="" textlink="">
      <cdr:nvSpPr>
        <cdr:cNvPr id="18" name="TextBox 1">
          <a:extLst xmlns:a="http://schemas.openxmlformats.org/drawingml/2006/main">
            <a:ext uri="{FF2B5EF4-FFF2-40B4-BE49-F238E27FC236}">
              <a16:creationId xmlns:a16="http://schemas.microsoft.com/office/drawing/2014/main" xmlns="" id="{98B468B0-AFA2-4C0F-BE09-46082C422376}"/>
            </a:ext>
          </a:extLst>
        </cdr:cNvPr>
        <cdr:cNvSpPr txBox="1"/>
      </cdr:nvSpPr>
      <cdr:spPr>
        <a:xfrm xmlns:a="http://schemas.openxmlformats.org/drawingml/2006/main">
          <a:off x="5852649" y="3119659"/>
          <a:ext cx="564026" cy="250254"/>
        </a:xfrm>
        <a:prstGeom xmlns:a="http://schemas.openxmlformats.org/drawingml/2006/main" prst="rect">
          <a:avLst/>
        </a:prstGeom>
        <a:solidFill xmlns:a="http://schemas.openxmlformats.org/drawingml/2006/main">
          <a:sysClr val="window" lastClr="FFFFFF"/>
        </a:solidFill>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b="1">
              <a:latin typeface="Arial" panose="020B0604020202020204" pitchFamily="34" charset="0"/>
              <a:cs typeface="Arial" panose="020B0604020202020204" pitchFamily="34" charset="0"/>
            </a:rPr>
            <a:t>2050+</a:t>
          </a:r>
        </a:p>
      </cdr:txBody>
    </cdr:sp>
  </cdr:relSizeAnchor>
  <cdr:relSizeAnchor xmlns:cdr="http://schemas.openxmlformats.org/drawingml/2006/chartDrawing">
    <cdr:from>
      <cdr:x>0.27016</cdr:x>
      <cdr:y>0.16084</cdr:y>
    </cdr:from>
    <cdr:to>
      <cdr:x>0.74432</cdr:x>
      <cdr:y>0.89357</cdr:y>
    </cdr:to>
    <cdr:sp macro="" textlink="">
      <cdr:nvSpPr>
        <cdr:cNvPr id="19" name="TextBox 1">
          <a:extLst xmlns:a="http://schemas.openxmlformats.org/drawingml/2006/main">
            <a:ext uri="{FF2B5EF4-FFF2-40B4-BE49-F238E27FC236}">
              <a16:creationId xmlns:a16="http://schemas.microsoft.com/office/drawing/2014/main" xmlns="" id="{62435185-3A83-4584-96F0-8D26DD6162DF}"/>
            </a:ext>
          </a:extLst>
        </cdr:cNvPr>
        <cdr:cNvSpPr txBox="1"/>
      </cdr:nvSpPr>
      <cdr:spPr>
        <a:xfrm xmlns:a="http://schemas.openxmlformats.org/drawingml/2006/main">
          <a:off x="1733551" y="552450"/>
          <a:ext cx="3042510" cy="2516708"/>
        </a:xfrm>
        <a:prstGeom xmlns:a="http://schemas.openxmlformats.org/drawingml/2006/main" prst="rect">
          <a:avLst/>
        </a:prstGeom>
        <a:noFill xmlns:a="http://schemas.openxmlformats.org/drawingml/2006/main"/>
        <a:ln xmlns:a="http://schemas.openxmlformats.org/drawingml/2006/main">
          <a:solidFill>
            <a:schemeClr val="bg1">
              <a:lumMod val="50000"/>
            </a:schemeClr>
          </a:solid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lt-LT" sz="1000">
              <a:latin typeface="Arial" panose="020B0604020202020204" pitchFamily="34" charset="0"/>
              <a:cs typeface="Arial" panose="020B0604020202020204" pitchFamily="34" charset="0"/>
            </a:rPr>
            <a:t>3. Renovacija</a:t>
          </a:r>
        </a:p>
      </cdr:txBody>
    </cdr:sp>
  </cdr:relSizeAnchor>
</c:userShapes>
</file>

<file path=word/theme/theme1.xml><?xml version="1.0" encoding="utf-8"?>
<a:theme xmlns:a="http://schemas.openxmlformats.org/drawingml/2006/main" name="PwC">
  <a:themeElements>
    <a:clrScheme name="PwC Orange">
      <a:dk1>
        <a:srgbClr val="000000"/>
      </a:dk1>
      <a:lt1>
        <a:srgbClr val="FFFFFF"/>
      </a:lt1>
      <a:dk2>
        <a:srgbClr val="DC6900"/>
      </a:dk2>
      <a:lt2>
        <a:srgbClr val="FFFFFF"/>
      </a:lt2>
      <a:accent1>
        <a:srgbClr val="DC6900"/>
      </a:accent1>
      <a:accent2>
        <a:srgbClr val="FFB600"/>
      </a:accent2>
      <a:accent3>
        <a:srgbClr val="602320"/>
      </a:accent3>
      <a:accent4>
        <a:srgbClr val="DB536A"/>
      </a:accent4>
      <a:accent5>
        <a:srgbClr val="A32020"/>
      </a:accent5>
      <a:accent6>
        <a:srgbClr val="E0301E"/>
      </a:accent6>
      <a:hlink>
        <a:srgbClr val="DC6900"/>
      </a:hlink>
      <a:folHlink>
        <a:srgbClr val="DC690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DF136E-BBF3-4BBC-A304-5B367DC0B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2191</TotalTime>
  <Pages>132</Pages>
  <Words>231612</Words>
  <Characters>132020</Characters>
  <Application>Microsoft Office Word</Application>
  <DocSecurity>0</DocSecurity>
  <Lines>1100</Lines>
  <Paragraphs>725</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362907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Virginija Pilipienė</dc:creator>
  <cp:lastModifiedBy>Virginija Pilipienė</cp:lastModifiedBy>
  <cp:revision>170</cp:revision>
  <cp:lastPrinted>2020-12-18T09:48:00Z</cp:lastPrinted>
  <dcterms:created xsi:type="dcterms:W3CDTF">2020-11-25T06:29:00Z</dcterms:created>
  <dcterms:modified xsi:type="dcterms:W3CDTF">2021-03-02T14:22:00Z</dcterms:modified>
</cp:coreProperties>
</file>