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44" w:rsidRPr="009C4AB0" w:rsidRDefault="000E2744">
      <w:pPr>
        <w:tabs>
          <w:tab w:val="center" w:pos="4819"/>
          <w:tab w:val="right" w:pos="9638"/>
        </w:tabs>
        <w:rPr>
          <w:sz w:val="22"/>
          <w:szCs w:val="22"/>
        </w:rPr>
      </w:pPr>
      <w:bookmarkStart w:id="0" w:name="_GoBack"/>
      <w:bookmarkEnd w:id="0"/>
    </w:p>
    <w:p w:rsidR="000E2744" w:rsidRPr="009C4AB0" w:rsidRDefault="00BA2A54">
      <w:pPr>
        <w:ind w:left="9072"/>
        <w:rPr>
          <w:sz w:val="22"/>
          <w:szCs w:val="22"/>
          <w:lang w:eastAsia="lt-LT"/>
        </w:rPr>
      </w:pPr>
      <w:r w:rsidRPr="009C4AB0">
        <w:rPr>
          <w:sz w:val="22"/>
          <w:szCs w:val="22"/>
          <w:lang w:eastAsia="lt-LT"/>
        </w:rPr>
        <w:t>Teisės aktų projektų antikorupcinio vertinimo taisyklių</w:t>
      </w:r>
    </w:p>
    <w:p w:rsidR="000E2744" w:rsidRPr="009C4AB0" w:rsidRDefault="00BA2A54">
      <w:pPr>
        <w:ind w:left="9072"/>
        <w:rPr>
          <w:color w:val="000000"/>
          <w:sz w:val="22"/>
          <w:szCs w:val="22"/>
          <w:lang w:eastAsia="ar-SA"/>
        </w:rPr>
      </w:pPr>
      <w:r w:rsidRPr="009C4AB0">
        <w:rPr>
          <w:color w:val="000000"/>
          <w:sz w:val="22"/>
          <w:szCs w:val="22"/>
          <w:lang w:eastAsia="ar-SA"/>
        </w:rPr>
        <w:t>priedas</w:t>
      </w:r>
    </w:p>
    <w:p w:rsidR="000E2744" w:rsidRPr="009C4AB0" w:rsidRDefault="000E2744">
      <w:pPr>
        <w:tabs>
          <w:tab w:val="left" w:pos="6237"/>
        </w:tabs>
        <w:rPr>
          <w:color w:val="000000"/>
          <w:sz w:val="22"/>
          <w:szCs w:val="22"/>
          <w:lang w:eastAsia="lt-LT"/>
        </w:rPr>
      </w:pPr>
    </w:p>
    <w:p w:rsidR="000E2744" w:rsidRPr="009C4AB0" w:rsidRDefault="00BA2A54">
      <w:pPr>
        <w:jc w:val="center"/>
        <w:rPr>
          <w:sz w:val="22"/>
          <w:szCs w:val="22"/>
          <w:lang w:eastAsia="lt-LT"/>
        </w:rPr>
      </w:pPr>
      <w:r w:rsidRPr="009C4AB0">
        <w:rPr>
          <w:sz w:val="22"/>
          <w:szCs w:val="22"/>
          <w:lang w:eastAsia="lt-LT"/>
        </w:rPr>
        <w:t>(</w:t>
      </w:r>
      <w:r w:rsidRPr="009C4AB0">
        <w:rPr>
          <w:b/>
          <w:sz w:val="22"/>
          <w:szCs w:val="22"/>
          <w:lang w:eastAsia="lt-LT"/>
        </w:rPr>
        <w:t>Pažymos forma</w:t>
      </w:r>
      <w:r w:rsidRPr="009C4AB0">
        <w:rPr>
          <w:sz w:val="22"/>
          <w:szCs w:val="22"/>
          <w:lang w:eastAsia="lt-LT"/>
        </w:rPr>
        <w:t>)</w:t>
      </w:r>
    </w:p>
    <w:p w:rsidR="000E2744" w:rsidRPr="009C4AB0" w:rsidRDefault="00BA2A54">
      <w:pPr>
        <w:jc w:val="center"/>
        <w:rPr>
          <w:sz w:val="22"/>
          <w:szCs w:val="22"/>
          <w:lang w:eastAsia="lt-LT"/>
        </w:rPr>
      </w:pPr>
      <w:r w:rsidRPr="009C4AB0">
        <w:rPr>
          <w:b/>
          <w:sz w:val="22"/>
          <w:szCs w:val="22"/>
          <w:lang w:eastAsia="lt-LT"/>
        </w:rPr>
        <w:t>TEISĖS AKTO PROJEKTO ANTIKORUPCINIO VERTINIMO PAŽYMA</w:t>
      </w:r>
    </w:p>
    <w:p w:rsidR="000E2744" w:rsidRPr="009C4AB0" w:rsidRDefault="000E2744">
      <w:pPr>
        <w:rPr>
          <w:sz w:val="22"/>
          <w:szCs w:val="22"/>
          <w:lang w:eastAsia="lt-LT"/>
        </w:rPr>
      </w:pPr>
    </w:p>
    <w:p w:rsidR="000E2744" w:rsidRPr="009C4AB0" w:rsidRDefault="00BA2A54">
      <w:pPr>
        <w:jc w:val="both"/>
        <w:rPr>
          <w:sz w:val="22"/>
          <w:szCs w:val="22"/>
        </w:rPr>
      </w:pPr>
      <w:r w:rsidRPr="009C4AB0">
        <w:rPr>
          <w:caps/>
          <w:sz w:val="22"/>
          <w:szCs w:val="22"/>
        </w:rPr>
        <w:t>T</w:t>
      </w:r>
      <w:r w:rsidRPr="009C4AB0">
        <w:rPr>
          <w:sz w:val="22"/>
          <w:szCs w:val="22"/>
        </w:rPr>
        <w:t>eisės akto projekto pavadinimas</w:t>
      </w:r>
      <w:r w:rsidRPr="009C4AB0">
        <w:rPr>
          <w:caps/>
          <w:sz w:val="22"/>
          <w:szCs w:val="22"/>
        </w:rPr>
        <w:t xml:space="preserve">: </w:t>
      </w:r>
      <w:r w:rsidRPr="009C4AB0">
        <w:rPr>
          <w:sz w:val="22"/>
          <w:szCs w:val="22"/>
        </w:rPr>
        <w:t>Lietuvos Respublikos Vyriausybės</w:t>
      </w:r>
      <w:r w:rsidRPr="009C4AB0">
        <w:rPr>
          <w:color w:val="000000"/>
          <w:sz w:val="22"/>
          <w:szCs w:val="22"/>
        </w:rPr>
        <w:t xml:space="preserve"> 2013 m. gruodžio 18 d. nutarimo Nr. 1265 „Dėl Pasiūlymų teikimo dėl teritorijų planavimo proceso inicijavimo tvarkos aprašo patvirtinimo“ pakeitimo projektas </w:t>
      </w:r>
      <w:r w:rsidRPr="009C4AB0">
        <w:rPr>
          <w:sz w:val="22"/>
          <w:szCs w:val="22"/>
        </w:rPr>
        <w:t xml:space="preserve">(toliau – projektas). </w:t>
      </w:r>
    </w:p>
    <w:p w:rsidR="000E2744" w:rsidRPr="009C4AB0" w:rsidRDefault="00BA2A54">
      <w:pPr>
        <w:jc w:val="both"/>
        <w:rPr>
          <w:color w:val="0000FF"/>
          <w:sz w:val="22"/>
          <w:szCs w:val="22"/>
          <w:u w:val="single"/>
        </w:rPr>
      </w:pPr>
      <w:r w:rsidRPr="009C4AB0">
        <w:rPr>
          <w:sz w:val="22"/>
          <w:szCs w:val="22"/>
          <w:lang w:eastAsia="lt-LT"/>
        </w:rPr>
        <w:t xml:space="preserve">Teisės akto projekto tiesioginis rengėjas: </w:t>
      </w:r>
      <w:r w:rsidRPr="009C4AB0">
        <w:rPr>
          <w:sz w:val="22"/>
          <w:szCs w:val="22"/>
        </w:rPr>
        <w:t>Lietuvos Respublikos a</w:t>
      </w:r>
      <w:r w:rsidRPr="009C4AB0">
        <w:rPr>
          <w:color w:val="000000"/>
          <w:sz w:val="22"/>
          <w:szCs w:val="22"/>
        </w:rPr>
        <w:t>plinkos ministerijos Statybos ir teritorijų planavimo politikos</w:t>
      </w:r>
      <w:r w:rsidRPr="009C4AB0">
        <w:rPr>
          <w:sz w:val="22"/>
          <w:szCs w:val="22"/>
        </w:rPr>
        <w:t xml:space="preserve"> vyriausioji specialistė Laima Skaisgirienė, tel. 8~6</w:t>
      </w:r>
      <w:r w:rsidRPr="009C4AB0">
        <w:rPr>
          <w:color w:val="000000"/>
          <w:sz w:val="22"/>
          <w:szCs w:val="22"/>
        </w:rPr>
        <w:t>86 01341</w:t>
      </w:r>
      <w:r w:rsidRPr="009C4AB0">
        <w:rPr>
          <w:sz w:val="22"/>
          <w:szCs w:val="22"/>
        </w:rPr>
        <w:t xml:space="preserve">, el. p. </w:t>
      </w:r>
      <w:r w:rsidRPr="009C4AB0">
        <w:rPr>
          <w:color w:val="0000FF"/>
          <w:sz w:val="22"/>
          <w:szCs w:val="22"/>
          <w:u w:val="single"/>
        </w:rPr>
        <w:t>laima.skaisgiriene@am.lt</w:t>
      </w:r>
    </w:p>
    <w:p w:rsidR="000E2744" w:rsidRPr="009C4AB0" w:rsidRDefault="00BA2A54">
      <w:pPr>
        <w:jc w:val="both"/>
        <w:rPr>
          <w:sz w:val="22"/>
          <w:szCs w:val="22"/>
          <w:lang w:eastAsia="lt-LT"/>
        </w:rPr>
      </w:pPr>
      <w:r w:rsidRPr="009C4AB0">
        <w:rPr>
          <w:sz w:val="22"/>
          <w:szCs w:val="22"/>
          <w:lang w:eastAsia="lt-LT"/>
        </w:rPr>
        <w:t>Antikorupciniu požiūriu rizikingos teisės akto projekto nuostatos</w:t>
      </w:r>
      <w:r w:rsidRPr="009C4AB0">
        <w:rPr>
          <w:b/>
          <w:sz w:val="22"/>
          <w:szCs w:val="22"/>
          <w:lang w:eastAsia="lt-LT"/>
        </w:rPr>
        <w:t xml:space="preserve"> </w:t>
      </w:r>
      <w:r w:rsidRPr="009C4AB0">
        <w:rPr>
          <w:i/>
          <w:sz w:val="22"/>
          <w:szCs w:val="22"/>
          <w:lang w:eastAsia="lt-LT"/>
        </w:rPr>
        <w:t>(nurodyti kriterijaus numerį, kurį taikant nustatytai korupcijos rizikai šalinti ar valdyti teisės akto projekte nenumatyta priemonių)</w:t>
      </w:r>
      <w:r w:rsidRPr="009C4AB0">
        <w:rPr>
          <w:sz w:val="22"/>
          <w:szCs w:val="22"/>
          <w:vertAlign w:val="superscript"/>
          <w:lang w:eastAsia="lt-LT"/>
        </w:rPr>
        <w:footnoteReference w:id="1"/>
      </w:r>
      <w:r w:rsidRPr="009C4AB0">
        <w:rPr>
          <w:sz w:val="22"/>
          <w:szCs w:val="22"/>
          <w:lang w:eastAsia="lt-LT"/>
        </w:rPr>
        <w:t>: nėra</w:t>
      </w:r>
    </w:p>
    <w:p w:rsidR="000E2744" w:rsidRPr="009C4AB0" w:rsidRDefault="00BA2A54">
      <w:pPr>
        <w:jc w:val="both"/>
        <w:rPr>
          <w:sz w:val="22"/>
          <w:szCs w:val="22"/>
          <w:lang w:eastAsia="lt-LT"/>
        </w:rPr>
      </w:pPr>
      <w:r w:rsidRPr="009C4AB0">
        <w:rPr>
          <w:sz w:val="22"/>
          <w:szCs w:val="22"/>
          <w:lang w:eastAsia="lt-LT"/>
        </w:rPr>
        <w:t xml:space="preserve">Antikorupciniu požiūriu rizikingos teisės akto projekto nuostatos, nustatytos atliekant antikorupcinį vertinimą po </w:t>
      </w:r>
      <w:proofErr w:type="spellStart"/>
      <w:r w:rsidRPr="009C4AB0">
        <w:rPr>
          <w:sz w:val="22"/>
          <w:szCs w:val="22"/>
          <w:lang w:eastAsia="lt-LT"/>
        </w:rPr>
        <w:t>tarpinstitucinio</w:t>
      </w:r>
      <w:proofErr w:type="spellEnd"/>
      <w:r w:rsidRPr="009C4AB0">
        <w:rPr>
          <w:sz w:val="22"/>
          <w:szCs w:val="22"/>
          <w:lang w:eastAsia="lt-LT"/>
        </w:rPr>
        <w:t xml:space="preserve"> derinimo</w:t>
      </w:r>
      <w:r w:rsidRPr="009C4AB0">
        <w:rPr>
          <w:b/>
          <w:sz w:val="22"/>
          <w:szCs w:val="22"/>
          <w:lang w:eastAsia="lt-LT"/>
        </w:rPr>
        <w:t xml:space="preserve"> </w:t>
      </w:r>
      <w:r w:rsidRPr="009C4AB0">
        <w:rPr>
          <w:i/>
          <w:sz w:val="22"/>
          <w:szCs w:val="22"/>
          <w:lang w:eastAsia="lt-LT"/>
        </w:rPr>
        <w:t>(nurodyti kriterijaus numerį, kurį taikant nustatytai korupcijos rizikai šalinti ar valdyti teisės akto projekte nenumatyta priemonių)</w:t>
      </w:r>
      <w:r w:rsidRPr="009C4AB0">
        <w:rPr>
          <w:sz w:val="22"/>
          <w:szCs w:val="22"/>
          <w:vertAlign w:val="superscript"/>
          <w:lang w:eastAsia="lt-LT"/>
        </w:rPr>
        <w:footnoteReference w:id="2"/>
      </w:r>
      <w:r w:rsidRPr="009C4AB0">
        <w:rPr>
          <w:sz w:val="22"/>
          <w:szCs w:val="22"/>
          <w:lang w:eastAsia="lt-LT"/>
        </w:rPr>
        <w:t>:</w:t>
      </w:r>
    </w:p>
    <w:p w:rsidR="000E2744" w:rsidRPr="009C4AB0" w:rsidRDefault="000E2744">
      <w:pPr>
        <w:jc w:val="both"/>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0E2744" w:rsidRPr="009C4AB0">
        <w:trPr>
          <w:trHeight w:val="23"/>
        </w:trPr>
        <w:tc>
          <w:tcPr>
            <w:tcW w:w="696" w:type="dxa"/>
            <w:shd w:val="clear" w:color="auto" w:fill="auto"/>
            <w:vAlign w:val="center"/>
          </w:tcPr>
          <w:p w:rsidR="000E2744" w:rsidRPr="009C4AB0" w:rsidRDefault="00BA2A54">
            <w:pPr>
              <w:jc w:val="center"/>
              <w:rPr>
                <w:sz w:val="22"/>
                <w:szCs w:val="22"/>
                <w:lang w:eastAsia="lt-LT"/>
              </w:rPr>
            </w:pPr>
            <w:r w:rsidRPr="009C4AB0">
              <w:rPr>
                <w:sz w:val="22"/>
                <w:szCs w:val="22"/>
                <w:lang w:eastAsia="lt-LT"/>
              </w:rPr>
              <w:t>Eil. Nr.</w:t>
            </w:r>
          </w:p>
        </w:tc>
        <w:tc>
          <w:tcPr>
            <w:tcW w:w="3301" w:type="dxa"/>
            <w:shd w:val="clear" w:color="auto" w:fill="auto"/>
            <w:vAlign w:val="center"/>
          </w:tcPr>
          <w:p w:rsidR="000E2744" w:rsidRPr="009C4AB0" w:rsidRDefault="00BA2A54">
            <w:pPr>
              <w:jc w:val="center"/>
              <w:rPr>
                <w:sz w:val="22"/>
                <w:szCs w:val="22"/>
                <w:lang w:eastAsia="lt-LT"/>
              </w:rPr>
            </w:pPr>
            <w:r w:rsidRPr="009C4AB0">
              <w:rPr>
                <w:sz w:val="22"/>
                <w:szCs w:val="22"/>
                <w:lang w:eastAsia="lt-LT"/>
              </w:rPr>
              <w:t>Kriterijus</w:t>
            </w:r>
          </w:p>
        </w:tc>
        <w:tc>
          <w:tcPr>
            <w:tcW w:w="3845" w:type="dxa"/>
            <w:shd w:val="clear" w:color="auto" w:fill="auto"/>
            <w:vAlign w:val="center"/>
          </w:tcPr>
          <w:p w:rsidR="000E2744" w:rsidRPr="009C4AB0" w:rsidRDefault="00BA2A54">
            <w:pPr>
              <w:jc w:val="center"/>
              <w:rPr>
                <w:b/>
                <w:sz w:val="22"/>
                <w:szCs w:val="22"/>
                <w:lang w:eastAsia="lt-LT"/>
              </w:rPr>
            </w:pPr>
            <w:r w:rsidRPr="009C4AB0">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0E2744" w:rsidRPr="009C4AB0" w:rsidRDefault="00BA2A54">
            <w:pPr>
              <w:jc w:val="center"/>
              <w:rPr>
                <w:sz w:val="22"/>
                <w:szCs w:val="22"/>
                <w:lang w:eastAsia="lt-LT"/>
              </w:rPr>
            </w:pPr>
            <w:r w:rsidRPr="009C4AB0">
              <w:rPr>
                <w:sz w:val="22"/>
                <w:szCs w:val="22"/>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0E2744" w:rsidRPr="009C4AB0" w:rsidRDefault="00BA2A54">
            <w:pPr>
              <w:jc w:val="center"/>
              <w:rPr>
                <w:sz w:val="22"/>
                <w:szCs w:val="22"/>
                <w:lang w:eastAsia="lt-LT"/>
              </w:rPr>
            </w:pPr>
            <w:r w:rsidRPr="009C4AB0">
              <w:rPr>
                <w:sz w:val="22"/>
                <w:szCs w:val="22"/>
                <w:lang w:eastAsia="lt-LT"/>
              </w:rPr>
              <w:t>Išvada dėl teisės akto projekto pakeitimų arba argumentų, kodėl neatsižvelgta į pastabą</w:t>
            </w:r>
          </w:p>
        </w:tc>
      </w:tr>
      <w:tr w:rsidR="000E2744" w:rsidRPr="009C4AB0">
        <w:trPr>
          <w:trHeight w:val="23"/>
        </w:trPr>
        <w:tc>
          <w:tcPr>
            <w:tcW w:w="696" w:type="dxa"/>
            <w:shd w:val="clear" w:color="auto" w:fill="auto"/>
          </w:tcPr>
          <w:p w:rsidR="000E2744" w:rsidRPr="009C4AB0" w:rsidRDefault="000E2744">
            <w:pPr>
              <w:jc w:val="center"/>
              <w:rPr>
                <w:i/>
                <w:sz w:val="22"/>
                <w:szCs w:val="22"/>
                <w:lang w:eastAsia="lt-LT"/>
              </w:rPr>
            </w:pPr>
          </w:p>
        </w:tc>
        <w:tc>
          <w:tcPr>
            <w:tcW w:w="3301" w:type="dxa"/>
            <w:shd w:val="clear" w:color="auto" w:fill="auto"/>
          </w:tcPr>
          <w:p w:rsidR="000E2744" w:rsidRPr="009C4AB0" w:rsidRDefault="000E2744" w:rsidP="005F3156">
            <w:pPr>
              <w:jc w:val="both"/>
              <w:rPr>
                <w:i/>
                <w:sz w:val="22"/>
                <w:szCs w:val="22"/>
                <w:lang w:eastAsia="lt-LT"/>
              </w:rPr>
            </w:pPr>
          </w:p>
        </w:tc>
        <w:tc>
          <w:tcPr>
            <w:tcW w:w="3845" w:type="dxa"/>
            <w:shd w:val="clear" w:color="auto" w:fill="auto"/>
            <w:vAlign w:val="center"/>
          </w:tcPr>
          <w:p w:rsidR="000E2744" w:rsidRPr="009C4AB0" w:rsidRDefault="00BA2A54">
            <w:pPr>
              <w:jc w:val="center"/>
              <w:rPr>
                <w:i/>
                <w:sz w:val="22"/>
                <w:szCs w:val="22"/>
                <w:lang w:eastAsia="lt-LT"/>
              </w:rPr>
            </w:pPr>
            <w:r w:rsidRPr="009C4AB0">
              <w:rPr>
                <w:i/>
                <w:sz w:val="22"/>
                <w:szCs w:val="22"/>
                <w:lang w:eastAsia="lt-LT"/>
              </w:rPr>
              <w:t>pildo teisės akto projekto vertintojas</w:t>
            </w:r>
          </w:p>
        </w:tc>
        <w:tc>
          <w:tcPr>
            <w:tcW w:w="3658" w:type="dxa"/>
            <w:shd w:val="clear" w:color="auto" w:fill="auto"/>
            <w:vAlign w:val="center"/>
          </w:tcPr>
          <w:p w:rsidR="000E2744" w:rsidRPr="009C4AB0" w:rsidRDefault="00BA2A54">
            <w:pPr>
              <w:jc w:val="center"/>
              <w:rPr>
                <w:i/>
                <w:sz w:val="22"/>
                <w:szCs w:val="22"/>
                <w:lang w:eastAsia="lt-LT"/>
              </w:rPr>
            </w:pPr>
            <w:r w:rsidRPr="009C4AB0">
              <w:rPr>
                <w:i/>
                <w:sz w:val="22"/>
                <w:szCs w:val="22"/>
                <w:lang w:eastAsia="lt-LT"/>
              </w:rPr>
              <w:t>pildo teisės akto projekto tiesioginis rengėjas</w:t>
            </w:r>
          </w:p>
        </w:tc>
        <w:tc>
          <w:tcPr>
            <w:tcW w:w="2611" w:type="dxa"/>
            <w:shd w:val="clear" w:color="auto" w:fill="auto"/>
            <w:vAlign w:val="center"/>
          </w:tcPr>
          <w:p w:rsidR="000E2744" w:rsidRPr="009C4AB0" w:rsidRDefault="00BA2A54">
            <w:pPr>
              <w:jc w:val="center"/>
              <w:rPr>
                <w:i/>
                <w:sz w:val="22"/>
                <w:szCs w:val="22"/>
                <w:lang w:eastAsia="lt-LT"/>
              </w:rPr>
            </w:pPr>
            <w:r w:rsidRPr="009C4AB0">
              <w:rPr>
                <w:i/>
                <w:sz w:val="22"/>
                <w:szCs w:val="22"/>
                <w:lang w:eastAsia="lt-LT"/>
              </w:rPr>
              <w:t>pildo teisės akto projekto vertintojas</w:t>
            </w:r>
          </w:p>
        </w:tc>
      </w:tr>
      <w:tr w:rsidR="000E2744" w:rsidRPr="009C4AB0">
        <w:trPr>
          <w:trHeight w:val="23"/>
        </w:trPr>
        <w:tc>
          <w:tcPr>
            <w:tcW w:w="696" w:type="dxa"/>
            <w:shd w:val="clear" w:color="auto" w:fill="auto"/>
          </w:tcPr>
          <w:p w:rsidR="000E2744" w:rsidRPr="009C4AB0" w:rsidRDefault="00BA2A54">
            <w:pPr>
              <w:jc w:val="center"/>
              <w:rPr>
                <w:sz w:val="22"/>
                <w:szCs w:val="22"/>
                <w:lang w:eastAsia="lt-LT"/>
              </w:rPr>
            </w:pPr>
            <w:r w:rsidRPr="009C4AB0">
              <w:rPr>
                <w:sz w:val="22"/>
                <w:szCs w:val="22"/>
                <w:lang w:eastAsia="lt-LT"/>
              </w:rPr>
              <w:t>1.</w:t>
            </w:r>
          </w:p>
        </w:tc>
        <w:tc>
          <w:tcPr>
            <w:tcW w:w="3301" w:type="dxa"/>
            <w:shd w:val="clear" w:color="auto" w:fill="auto"/>
          </w:tcPr>
          <w:p w:rsidR="000E2744" w:rsidRPr="009C4AB0" w:rsidRDefault="00BA2A54" w:rsidP="005F3156">
            <w:pPr>
              <w:jc w:val="both"/>
              <w:rPr>
                <w:sz w:val="22"/>
                <w:szCs w:val="22"/>
                <w:lang w:eastAsia="lt-LT"/>
              </w:rPr>
            </w:pPr>
            <w:r w:rsidRPr="009C4AB0">
              <w:rPr>
                <w:sz w:val="22"/>
                <w:szCs w:val="22"/>
                <w:lang w:eastAsia="lt-LT"/>
              </w:rPr>
              <w:t>Teisės akto projektas nesudaro išskirtinių ar nevienodų sąlygų subjektams, su kuriais susijęs teisės akto įgyvendinimas</w:t>
            </w:r>
          </w:p>
        </w:tc>
        <w:tc>
          <w:tcPr>
            <w:tcW w:w="3845" w:type="dxa"/>
            <w:shd w:val="clear" w:color="auto" w:fill="auto"/>
          </w:tcPr>
          <w:p w:rsidR="000E2744" w:rsidRPr="009C4AB0" w:rsidRDefault="00BA2A54">
            <w:pPr>
              <w:widowControl w:val="0"/>
              <w:suppressAutoHyphens/>
              <w:jc w:val="both"/>
              <w:rPr>
                <w:rFonts w:eastAsia="Andale Sans UI"/>
                <w:sz w:val="22"/>
                <w:szCs w:val="22"/>
                <w:lang w:bidi="en-US"/>
              </w:rPr>
            </w:pPr>
            <w:r w:rsidRPr="009C4AB0">
              <w:rPr>
                <w:rFonts w:eastAsia="Andale Sans UI"/>
                <w:sz w:val="22"/>
                <w:szCs w:val="22"/>
                <w:lang w:bidi="en-US"/>
              </w:rPr>
              <w:t>Projektas nesudaro išskirtinių ar nevienodų sąlygų subjektams, su kuriais susijęs teisės akto įgyvendinimas.</w:t>
            </w:r>
          </w:p>
          <w:p w:rsidR="000E2744" w:rsidRPr="000D0106" w:rsidRDefault="00BA2A54" w:rsidP="000D0106">
            <w:pPr>
              <w:widowControl w:val="0"/>
              <w:suppressLineNumbers/>
              <w:suppressAutoHyphens/>
              <w:jc w:val="both"/>
              <w:rPr>
                <w:rFonts w:eastAsia="Andale Sans UI"/>
                <w:bCs/>
                <w:sz w:val="22"/>
                <w:szCs w:val="22"/>
                <w:lang w:bidi="en-US"/>
              </w:rPr>
            </w:pPr>
            <w:r w:rsidRPr="009C4AB0">
              <w:rPr>
                <w:sz w:val="22"/>
                <w:szCs w:val="22"/>
                <w:lang w:eastAsia="lt-LT"/>
              </w:rPr>
              <w:t xml:space="preserve">Projektu keičiamas Teritorijų planavimo proceso inicijavimo tvarkos aprašas (toliau – Aprašas) siekiant suderinti Aprašo nuostatas su pakeistomis </w:t>
            </w:r>
            <w:r w:rsidRPr="009C4AB0">
              <w:rPr>
                <w:sz w:val="22"/>
                <w:szCs w:val="22"/>
                <w:lang w:eastAsia="lt-LT"/>
              </w:rPr>
              <w:lastRenderedPageBreak/>
              <w:t>Teritorijų planavimo įsta</w:t>
            </w:r>
            <w:r w:rsidR="00237AC2" w:rsidRPr="009C4AB0">
              <w:rPr>
                <w:sz w:val="22"/>
                <w:szCs w:val="22"/>
                <w:lang w:eastAsia="lt-LT"/>
              </w:rPr>
              <w:t>tymo (toliau – TPĮ) nuostatomis.</w:t>
            </w:r>
          </w:p>
        </w:tc>
        <w:tc>
          <w:tcPr>
            <w:tcW w:w="3658" w:type="dxa"/>
            <w:shd w:val="clear" w:color="auto" w:fill="auto"/>
          </w:tcPr>
          <w:p w:rsidR="000E2744" w:rsidRPr="009C4AB0" w:rsidRDefault="000E2744">
            <w:pPr>
              <w:rPr>
                <w:b/>
                <w:sz w:val="22"/>
                <w:szCs w:val="22"/>
                <w:lang w:eastAsia="lt-LT"/>
              </w:rPr>
            </w:pPr>
          </w:p>
        </w:tc>
        <w:tc>
          <w:tcPr>
            <w:tcW w:w="2611" w:type="dxa"/>
            <w:shd w:val="clear" w:color="auto" w:fill="auto"/>
          </w:tcPr>
          <w:p w:rsidR="000E2744" w:rsidRPr="009C4AB0" w:rsidRDefault="00BA2A54">
            <w:pPr>
              <w:rPr>
                <w:sz w:val="22"/>
                <w:szCs w:val="22"/>
                <w:lang w:eastAsia="lt-LT"/>
              </w:rPr>
            </w:pPr>
            <w:r w:rsidRPr="009C4AB0">
              <w:rPr>
                <w:sz w:val="22"/>
                <w:szCs w:val="22"/>
                <w:lang w:eastAsia="lt-LT"/>
              </w:rPr>
              <w:t>X tenkina</w:t>
            </w:r>
          </w:p>
          <w:p w:rsidR="000E2744" w:rsidRPr="009C4AB0" w:rsidRDefault="00BA2A54">
            <w:pPr>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keepNext/>
              <w:jc w:val="center"/>
              <w:rPr>
                <w:sz w:val="22"/>
                <w:szCs w:val="22"/>
                <w:lang w:eastAsia="lt-LT"/>
              </w:rPr>
            </w:pPr>
            <w:r w:rsidRPr="009C4AB0">
              <w:rPr>
                <w:sz w:val="22"/>
                <w:szCs w:val="22"/>
                <w:lang w:eastAsia="lt-LT"/>
              </w:rPr>
              <w:lastRenderedPageBreak/>
              <w:t>2.</w:t>
            </w:r>
          </w:p>
        </w:tc>
        <w:tc>
          <w:tcPr>
            <w:tcW w:w="3301" w:type="dxa"/>
            <w:shd w:val="clear" w:color="auto" w:fill="auto"/>
          </w:tcPr>
          <w:p w:rsidR="000E2744" w:rsidRPr="009C4AB0" w:rsidRDefault="00BA2A54" w:rsidP="005F3156">
            <w:pPr>
              <w:keepNext/>
              <w:jc w:val="both"/>
              <w:rPr>
                <w:sz w:val="22"/>
                <w:szCs w:val="22"/>
                <w:lang w:eastAsia="lt-LT"/>
              </w:rPr>
            </w:pPr>
            <w:r w:rsidRPr="009C4AB0">
              <w:rPr>
                <w:sz w:val="22"/>
                <w:szCs w:val="22"/>
                <w:lang w:eastAsia="lt-LT"/>
              </w:rPr>
              <w:t>Teisės akto projekte nėra spragų ar nuostatų, leisiančių dviprasmiškai aiškinti ir taikyti teisės aktą</w:t>
            </w:r>
          </w:p>
        </w:tc>
        <w:tc>
          <w:tcPr>
            <w:tcW w:w="3845" w:type="dxa"/>
            <w:shd w:val="clear" w:color="auto" w:fill="auto"/>
          </w:tcPr>
          <w:p w:rsidR="000E2744" w:rsidRPr="009C4AB0" w:rsidRDefault="00BA2A54">
            <w:pPr>
              <w:keepNext/>
              <w:jc w:val="both"/>
              <w:rPr>
                <w:sz w:val="22"/>
                <w:szCs w:val="22"/>
                <w:lang w:eastAsia="lt-LT"/>
              </w:rPr>
            </w:pPr>
            <w:r w:rsidRPr="009C4AB0">
              <w:rPr>
                <w:sz w:val="22"/>
                <w:szCs w:val="22"/>
                <w:lang w:eastAsia="lt-LT"/>
              </w:rPr>
              <w:t>Projekto nuostatos aiškios ir nesudaro galimybės dviprasmiškai aiškinti ir taikyti teisės aktą.</w:t>
            </w:r>
          </w:p>
        </w:tc>
        <w:tc>
          <w:tcPr>
            <w:tcW w:w="3658" w:type="dxa"/>
            <w:shd w:val="clear" w:color="auto" w:fill="auto"/>
          </w:tcPr>
          <w:p w:rsidR="000E2744" w:rsidRPr="009C4AB0" w:rsidRDefault="000E2744">
            <w:pPr>
              <w:keepNext/>
              <w:rPr>
                <w:sz w:val="22"/>
                <w:szCs w:val="22"/>
                <w:lang w:eastAsia="lt-LT"/>
              </w:rPr>
            </w:pPr>
          </w:p>
        </w:tc>
        <w:tc>
          <w:tcPr>
            <w:tcW w:w="2611" w:type="dxa"/>
            <w:shd w:val="clear" w:color="auto" w:fill="auto"/>
          </w:tcPr>
          <w:p w:rsidR="000E2744" w:rsidRPr="009C4AB0" w:rsidRDefault="00BA2A54">
            <w:pPr>
              <w:keepNext/>
              <w:rPr>
                <w:sz w:val="22"/>
                <w:szCs w:val="22"/>
                <w:lang w:eastAsia="lt-LT"/>
              </w:rPr>
            </w:pPr>
            <w:r w:rsidRPr="009C4AB0">
              <w:rPr>
                <w:sz w:val="22"/>
                <w:szCs w:val="22"/>
                <w:lang w:eastAsia="lt-LT"/>
              </w:rPr>
              <w:t>X  tenkina</w:t>
            </w:r>
          </w:p>
          <w:p w:rsidR="000E2744" w:rsidRPr="009C4AB0" w:rsidRDefault="00BA2A54">
            <w:pPr>
              <w:keepNext/>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center"/>
              <w:rPr>
                <w:sz w:val="22"/>
                <w:szCs w:val="22"/>
                <w:lang w:eastAsia="lt-LT"/>
              </w:rPr>
            </w:pPr>
            <w:r w:rsidRPr="009C4AB0">
              <w:rPr>
                <w:sz w:val="22"/>
                <w:szCs w:val="22"/>
                <w:lang w:eastAsia="lt-LT"/>
              </w:rPr>
              <w:t>3.</w:t>
            </w:r>
          </w:p>
        </w:tc>
        <w:tc>
          <w:tcPr>
            <w:tcW w:w="3301" w:type="dxa"/>
            <w:shd w:val="clear" w:color="auto" w:fill="auto"/>
          </w:tcPr>
          <w:p w:rsidR="000E2744" w:rsidRPr="009C4AB0" w:rsidRDefault="00BA2A54" w:rsidP="005F3156">
            <w:pPr>
              <w:jc w:val="both"/>
              <w:rPr>
                <w:sz w:val="22"/>
                <w:szCs w:val="22"/>
                <w:lang w:eastAsia="lt-LT"/>
              </w:rPr>
            </w:pPr>
            <w:r w:rsidRPr="009C4AB0">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0E2744" w:rsidRPr="009C4AB0" w:rsidRDefault="00BA2A54">
            <w:pPr>
              <w:jc w:val="both"/>
              <w:rPr>
                <w:sz w:val="22"/>
                <w:szCs w:val="22"/>
                <w:lang w:eastAsia="lt-LT"/>
              </w:rPr>
            </w:pPr>
            <w:r w:rsidRPr="009C4AB0">
              <w:rPr>
                <w:sz w:val="22"/>
                <w:szCs w:val="22"/>
              </w:rPr>
              <w:t>Nereglamentuota.</w:t>
            </w:r>
          </w:p>
          <w:p w:rsidR="000E2744" w:rsidRPr="009C4AB0" w:rsidRDefault="000E2744">
            <w:pPr>
              <w:jc w:val="both"/>
              <w:rPr>
                <w:sz w:val="22"/>
                <w:szCs w:val="22"/>
                <w:lang w:eastAsia="ar-SA"/>
              </w:rPr>
            </w:pPr>
          </w:p>
        </w:tc>
        <w:tc>
          <w:tcPr>
            <w:tcW w:w="3658" w:type="dxa"/>
            <w:shd w:val="clear" w:color="auto" w:fill="auto"/>
          </w:tcPr>
          <w:p w:rsidR="000E2744" w:rsidRPr="009C4AB0" w:rsidRDefault="000E2744">
            <w:pPr>
              <w:rPr>
                <w:sz w:val="22"/>
                <w:szCs w:val="22"/>
                <w:lang w:eastAsia="lt-LT"/>
              </w:rPr>
            </w:pPr>
          </w:p>
        </w:tc>
        <w:tc>
          <w:tcPr>
            <w:tcW w:w="2611" w:type="dxa"/>
            <w:shd w:val="clear" w:color="auto" w:fill="auto"/>
          </w:tcPr>
          <w:p w:rsidR="000E2744" w:rsidRPr="009C4AB0" w:rsidRDefault="00BA2A54">
            <w:pPr>
              <w:rPr>
                <w:sz w:val="22"/>
                <w:szCs w:val="22"/>
                <w:lang w:eastAsia="lt-LT"/>
              </w:rPr>
            </w:pPr>
            <w:r w:rsidRPr="009C4AB0">
              <w:rPr>
                <w:sz w:val="22"/>
                <w:szCs w:val="22"/>
                <w:lang w:eastAsia="lt-LT"/>
              </w:rPr>
              <w:t>□ tenkina</w:t>
            </w:r>
          </w:p>
          <w:p w:rsidR="000E2744" w:rsidRPr="009C4AB0" w:rsidRDefault="00BA2A54">
            <w:pPr>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center"/>
              <w:rPr>
                <w:sz w:val="22"/>
                <w:szCs w:val="22"/>
                <w:lang w:eastAsia="lt-LT"/>
              </w:rPr>
            </w:pPr>
            <w:r w:rsidRPr="009C4AB0">
              <w:rPr>
                <w:sz w:val="22"/>
                <w:szCs w:val="22"/>
                <w:lang w:eastAsia="lt-LT"/>
              </w:rPr>
              <w:t>4.</w:t>
            </w:r>
          </w:p>
        </w:tc>
        <w:tc>
          <w:tcPr>
            <w:tcW w:w="3301" w:type="dxa"/>
            <w:shd w:val="clear" w:color="auto" w:fill="auto"/>
          </w:tcPr>
          <w:p w:rsidR="000E2744" w:rsidRPr="009C4AB0" w:rsidRDefault="00BA2A54" w:rsidP="005F3156">
            <w:pPr>
              <w:jc w:val="both"/>
              <w:rPr>
                <w:sz w:val="22"/>
                <w:szCs w:val="22"/>
                <w:lang w:eastAsia="lt-LT"/>
              </w:rPr>
            </w:pPr>
            <w:r w:rsidRPr="009C4AB0">
              <w:rPr>
                <w:sz w:val="22"/>
                <w:szCs w:val="22"/>
                <w:lang w:eastAsia="lt-LT"/>
              </w:rPr>
              <w:t>Teisės akto projekte nustatyti subjekto įgaliojimai (teisės) atitinka subjekto atliekamas funkcijas (pareigas)</w:t>
            </w:r>
          </w:p>
        </w:tc>
        <w:tc>
          <w:tcPr>
            <w:tcW w:w="3845" w:type="dxa"/>
            <w:shd w:val="clear" w:color="auto" w:fill="auto"/>
          </w:tcPr>
          <w:p w:rsidR="000E2744" w:rsidRPr="009C4AB0" w:rsidRDefault="00BA2A54">
            <w:pPr>
              <w:jc w:val="both"/>
              <w:rPr>
                <w:caps/>
                <w:sz w:val="22"/>
                <w:szCs w:val="22"/>
                <w:lang w:eastAsia="lt-LT"/>
              </w:rPr>
            </w:pPr>
            <w:r w:rsidRPr="009C4AB0">
              <w:rPr>
                <w:sz w:val="22"/>
                <w:szCs w:val="22"/>
              </w:rPr>
              <w:t>Reglamentuojama Aprašo III skyriuje „</w:t>
            </w:r>
            <w:r w:rsidRPr="009C4AB0">
              <w:rPr>
                <w:color w:val="000000"/>
                <w:sz w:val="22"/>
                <w:szCs w:val="22"/>
                <w:lang w:eastAsia="lt-LT"/>
              </w:rPr>
              <w:t>Planavimo iniciatoriaus teisės ir pareigos“ ir Aprašo IV skyriuje</w:t>
            </w:r>
            <w:r w:rsidRPr="009C4AB0">
              <w:rPr>
                <w:caps/>
                <w:sz w:val="22"/>
                <w:szCs w:val="22"/>
                <w:lang w:eastAsia="lt-LT"/>
              </w:rPr>
              <w:t xml:space="preserve"> „</w:t>
            </w:r>
            <w:r w:rsidRPr="009C4AB0">
              <w:rPr>
                <w:sz w:val="22"/>
                <w:szCs w:val="22"/>
                <w:lang w:eastAsia="lt-LT"/>
              </w:rPr>
              <w:t>Planavimo organizatoriaus teisės ir pareigos“</w:t>
            </w:r>
            <w:r w:rsidRPr="009C4AB0">
              <w:rPr>
                <w:caps/>
                <w:sz w:val="22"/>
                <w:szCs w:val="22"/>
                <w:lang w:eastAsia="lt-LT"/>
              </w:rPr>
              <w:t>.</w:t>
            </w:r>
          </w:p>
        </w:tc>
        <w:tc>
          <w:tcPr>
            <w:tcW w:w="3658" w:type="dxa"/>
            <w:shd w:val="clear" w:color="auto" w:fill="auto"/>
          </w:tcPr>
          <w:p w:rsidR="000E2744" w:rsidRPr="009C4AB0" w:rsidRDefault="000E2744">
            <w:pPr>
              <w:suppressAutoHyphens/>
              <w:ind w:left="-284" w:right="-3" w:firstLine="568"/>
              <w:jc w:val="both"/>
              <w:rPr>
                <w:sz w:val="22"/>
                <w:szCs w:val="22"/>
                <w:lang w:eastAsia="lt-LT"/>
              </w:rPr>
            </w:pPr>
          </w:p>
        </w:tc>
        <w:tc>
          <w:tcPr>
            <w:tcW w:w="2611" w:type="dxa"/>
            <w:shd w:val="clear" w:color="auto" w:fill="auto"/>
          </w:tcPr>
          <w:p w:rsidR="000E2744" w:rsidRPr="009C4AB0" w:rsidRDefault="00BA2A54">
            <w:pPr>
              <w:rPr>
                <w:sz w:val="22"/>
                <w:szCs w:val="22"/>
                <w:lang w:eastAsia="lt-LT"/>
              </w:rPr>
            </w:pPr>
            <w:r w:rsidRPr="009C4AB0">
              <w:rPr>
                <w:sz w:val="22"/>
                <w:szCs w:val="22"/>
                <w:lang w:eastAsia="lt-LT"/>
              </w:rPr>
              <w:t>X tenkina</w:t>
            </w:r>
          </w:p>
          <w:p w:rsidR="000E2744" w:rsidRPr="009C4AB0" w:rsidRDefault="00BA2A54">
            <w:pPr>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center"/>
              <w:rPr>
                <w:sz w:val="22"/>
                <w:szCs w:val="22"/>
                <w:lang w:eastAsia="lt-LT"/>
              </w:rPr>
            </w:pPr>
            <w:r w:rsidRPr="009C4AB0">
              <w:rPr>
                <w:sz w:val="22"/>
                <w:szCs w:val="22"/>
                <w:lang w:eastAsia="lt-LT"/>
              </w:rPr>
              <w:t>5.</w:t>
            </w:r>
          </w:p>
        </w:tc>
        <w:tc>
          <w:tcPr>
            <w:tcW w:w="3301" w:type="dxa"/>
            <w:shd w:val="clear" w:color="auto" w:fill="auto"/>
          </w:tcPr>
          <w:p w:rsidR="000E2744" w:rsidRPr="009C4AB0" w:rsidRDefault="00BA2A54" w:rsidP="005F3156">
            <w:pPr>
              <w:jc w:val="both"/>
              <w:rPr>
                <w:sz w:val="22"/>
                <w:szCs w:val="22"/>
                <w:lang w:eastAsia="lt-LT"/>
              </w:rPr>
            </w:pPr>
            <w:r w:rsidRPr="009C4AB0">
              <w:rPr>
                <w:sz w:val="22"/>
                <w:szCs w:val="22"/>
                <w:lang w:eastAsia="lt-LT"/>
              </w:rPr>
              <w:t>Teisės akto projekte nustatytas baigtinis sprendimo priėmimo kriterijų (atvejų) sąrašas</w:t>
            </w:r>
          </w:p>
        </w:tc>
        <w:tc>
          <w:tcPr>
            <w:tcW w:w="3845" w:type="dxa"/>
            <w:shd w:val="clear" w:color="auto" w:fill="auto"/>
          </w:tcPr>
          <w:p w:rsidR="000E2744" w:rsidRPr="009C4AB0" w:rsidRDefault="00BA2A54">
            <w:pPr>
              <w:rPr>
                <w:sz w:val="22"/>
                <w:szCs w:val="22"/>
                <w:lang w:eastAsia="lt-LT"/>
              </w:rPr>
            </w:pPr>
            <w:r w:rsidRPr="009C4AB0">
              <w:rPr>
                <w:sz w:val="22"/>
                <w:szCs w:val="22"/>
              </w:rPr>
              <w:t>Nereglamentuota.</w:t>
            </w:r>
          </w:p>
        </w:tc>
        <w:tc>
          <w:tcPr>
            <w:tcW w:w="3658" w:type="dxa"/>
            <w:shd w:val="clear" w:color="auto" w:fill="auto"/>
          </w:tcPr>
          <w:p w:rsidR="000E2744" w:rsidRPr="009C4AB0" w:rsidRDefault="000E2744">
            <w:pPr>
              <w:rPr>
                <w:sz w:val="22"/>
                <w:szCs w:val="22"/>
                <w:lang w:eastAsia="lt-LT"/>
              </w:rPr>
            </w:pPr>
          </w:p>
        </w:tc>
        <w:tc>
          <w:tcPr>
            <w:tcW w:w="2611" w:type="dxa"/>
            <w:shd w:val="clear" w:color="auto" w:fill="auto"/>
          </w:tcPr>
          <w:p w:rsidR="000E2744" w:rsidRPr="009C4AB0" w:rsidRDefault="00BA2A54">
            <w:pPr>
              <w:rPr>
                <w:sz w:val="22"/>
                <w:szCs w:val="22"/>
                <w:lang w:eastAsia="lt-LT"/>
              </w:rPr>
            </w:pPr>
            <w:r w:rsidRPr="009C4AB0">
              <w:rPr>
                <w:sz w:val="22"/>
                <w:szCs w:val="22"/>
                <w:lang w:eastAsia="lt-LT"/>
              </w:rPr>
              <w:t>□  tenkina</w:t>
            </w:r>
          </w:p>
          <w:p w:rsidR="000E2744" w:rsidRPr="009C4AB0" w:rsidRDefault="00BA2A54">
            <w:pPr>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t>6.</w:t>
            </w:r>
          </w:p>
        </w:tc>
        <w:tc>
          <w:tcPr>
            <w:tcW w:w="3301" w:type="dxa"/>
            <w:shd w:val="clear" w:color="auto" w:fill="auto"/>
          </w:tcPr>
          <w:p w:rsidR="000E2744" w:rsidRPr="009C4AB0" w:rsidRDefault="00BA2A54" w:rsidP="005F3156">
            <w:pPr>
              <w:jc w:val="both"/>
              <w:rPr>
                <w:sz w:val="22"/>
                <w:szCs w:val="22"/>
                <w:lang w:eastAsia="lt-LT"/>
              </w:rPr>
            </w:pPr>
            <w:r w:rsidRPr="009C4AB0">
              <w:rPr>
                <w:sz w:val="22"/>
                <w:szCs w:val="22"/>
                <w:lang w:eastAsia="lt-LT"/>
              </w:rPr>
              <w:t>Teisės akto projekte nustatytas baigtinis sąrašas motyvuotų atvejų, kai priimant sprendimus taikomos išimtys</w:t>
            </w:r>
          </w:p>
        </w:tc>
        <w:tc>
          <w:tcPr>
            <w:tcW w:w="3845" w:type="dxa"/>
            <w:shd w:val="clear" w:color="auto" w:fill="auto"/>
          </w:tcPr>
          <w:p w:rsidR="000E2744" w:rsidRPr="009C4AB0" w:rsidRDefault="00BA2A54">
            <w:pPr>
              <w:suppressLineNumbers/>
              <w:suppressAutoHyphens/>
              <w:jc w:val="both"/>
              <w:rPr>
                <w:sz w:val="22"/>
                <w:szCs w:val="22"/>
                <w:lang w:eastAsia="lt-LT"/>
              </w:rPr>
            </w:pPr>
            <w:r w:rsidRPr="009C4AB0">
              <w:rPr>
                <w:bCs/>
                <w:sz w:val="22"/>
                <w:szCs w:val="22"/>
                <w:lang w:eastAsia="lt-LT"/>
              </w:rPr>
              <w:t>TPĮ 6 str. 3 d. įtvirtinta išimtis, sudaranti galimybę TPĮ 28 str. nurodytais atvejais (kai Lietuvos Respublikos investicijų įstatyme nurodytiems stambiems projektams skirtų teritorijų vystymas nenumatytas savivaldybės lygmens ar vietovės lygmens bendruosiuose planuose)</w:t>
            </w:r>
            <w:r w:rsidRPr="009C4AB0">
              <w:rPr>
                <w:color w:val="C00000"/>
                <w:sz w:val="22"/>
                <w:szCs w:val="22"/>
                <w:lang w:eastAsia="lt-LT"/>
              </w:rPr>
              <w:t xml:space="preserve"> </w:t>
            </w:r>
            <w:r w:rsidRPr="009C4AB0">
              <w:rPr>
                <w:bCs/>
                <w:sz w:val="22"/>
                <w:szCs w:val="22"/>
                <w:lang w:eastAsia="lt-LT"/>
              </w:rPr>
              <w:t>Ekonomikos ir inovacijų ministerijai ar jos įgaliotai institucijai inicijuoti ne tik vietovės lygmens bendrojo plano, bet ir savivaldybės</w:t>
            </w:r>
            <w:r w:rsidRPr="009C4AB0">
              <w:rPr>
                <w:color w:val="C00000"/>
                <w:sz w:val="22"/>
                <w:szCs w:val="22"/>
                <w:lang w:eastAsia="lt-LT"/>
              </w:rPr>
              <w:t xml:space="preserve"> </w:t>
            </w:r>
            <w:r w:rsidRPr="009C4AB0">
              <w:rPr>
                <w:bCs/>
                <w:sz w:val="22"/>
                <w:szCs w:val="22"/>
                <w:lang w:eastAsia="lt-LT"/>
              </w:rPr>
              <w:t xml:space="preserve">lygmens bendrojo plano koregavimą. TPĮ 6 str. 3 dalyje nustatyta, kad savivaldybės administracijos direktorius per 15 darbo dienų (5 d. d. sprendimo </w:t>
            </w:r>
            <w:r w:rsidRPr="009C4AB0">
              <w:rPr>
                <w:bCs/>
                <w:sz w:val="22"/>
                <w:szCs w:val="22"/>
                <w:lang w:eastAsia="lt-LT"/>
              </w:rPr>
              <w:lastRenderedPageBreak/>
              <w:t>dėl inicijavimo priėmimas, 10 d. d. sprendimo dėl atitinkamo bendrojo plano koregavimo pradžios ir planavimo tikslų projekto viešinimas) nuo Ekonomikos ir inovacijų ministerijos ar jos įgaliotos institucijos pasiūlymo gavimo dienos priima sprendimą dėl atitinkamo bendrojo plano koregavimo pradžios ir planavimo tikslų arba motyvuotai šį pasiūlymą atmeta. Pagal</w:t>
            </w:r>
            <w:r w:rsidRPr="009C4AB0">
              <w:rPr>
                <w:sz w:val="22"/>
                <w:szCs w:val="22"/>
                <w:lang w:eastAsia="lt-LT"/>
              </w:rPr>
              <w:t xml:space="preserve"> </w:t>
            </w:r>
            <w:r w:rsidRPr="009C4AB0">
              <w:rPr>
                <w:bCs/>
                <w:sz w:val="22"/>
                <w:szCs w:val="22"/>
                <w:lang w:eastAsia="lt-LT"/>
              </w:rPr>
              <w:t>TPĮ 28 str. nuostatas Ekonomikos ir inovacijų ministerijos ar jos įgaliotos institucijos inicijuotas savivaldybės lygmens ar vietovės lygmens bendrojo plano koregavimas finansuojamas iš Ekonomikos ir inovacijų ministerijai skirtų valstybės biudžeto asignavimų.</w:t>
            </w:r>
          </w:p>
          <w:p w:rsidR="000E2744" w:rsidRPr="009C4AB0" w:rsidRDefault="00BA2A54">
            <w:pPr>
              <w:suppressLineNumbers/>
              <w:suppressAutoHyphens/>
              <w:jc w:val="both"/>
              <w:rPr>
                <w:bCs/>
                <w:sz w:val="22"/>
                <w:szCs w:val="22"/>
                <w:lang w:eastAsia="lt-LT"/>
              </w:rPr>
            </w:pPr>
            <w:r w:rsidRPr="009C4AB0">
              <w:rPr>
                <w:bCs/>
                <w:sz w:val="22"/>
                <w:szCs w:val="22"/>
                <w:lang w:eastAsia="lt-LT"/>
              </w:rPr>
              <w:t>Atsižvelgiant į TPĮ įtvirtintus 6 str. 3 d. ir 28. str. pakeitimus Projektu atitinkamai keičiamos Aprašo 9 punkto nuostatos.</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X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lastRenderedPageBreak/>
              <w:t>7.</w:t>
            </w:r>
          </w:p>
        </w:tc>
        <w:tc>
          <w:tcPr>
            <w:tcW w:w="3301" w:type="dxa"/>
            <w:shd w:val="clear" w:color="auto" w:fill="auto"/>
          </w:tcPr>
          <w:p w:rsidR="000E2744" w:rsidRPr="009C4AB0" w:rsidRDefault="00BA2A54" w:rsidP="005F3156">
            <w:pPr>
              <w:jc w:val="both"/>
              <w:rPr>
                <w:sz w:val="22"/>
                <w:szCs w:val="22"/>
                <w:lang w:eastAsia="lt-LT"/>
              </w:rPr>
            </w:pPr>
            <w:r w:rsidRPr="009C4AB0">
              <w:rPr>
                <w:sz w:val="22"/>
                <w:szCs w:val="22"/>
                <w:lang w:eastAsia="lt-LT"/>
              </w:rPr>
              <w:t>Teisės akto projekte nustatyta sprendimų priėmimo, įforminimo tvarka ir priimtų sprendimų viešinimas</w:t>
            </w:r>
          </w:p>
        </w:tc>
        <w:tc>
          <w:tcPr>
            <w:tcW w:w="3845" w:type="dxa"/>
            <w:shd w:val="clear" w:color="auto" w:fill="auto"/>
          </w:tcPr>
          <w:p w:rsidR="000E2744" w:rsidRPr="009C4AB0" w:rsidRDefault="00BA2A54">
            <w:pPr>
              <w:jc w:val="both"/>
              <w:rPr>
                <w:sz w:val="22"/>
                <w:szCs w:val="22"/>
                <w:lang w:eastAsia="lt-LT"/>
              </w:rPr>
            </w:pPr>
            <w:r w:rsidRPr="009C4AB0">
              <w:rPr>
                <w:sz w:val="22"/>
                <w:szCs w:val="22"/>
              </w:rPr>
              <w:t xml:space="preserve">Projektu siūloma tikslinti Aprašo 17 punktą: </w:t>
            </w:r>
            <w:r w:rsidR="00237AC2" w:rsidRPr="009C4AB0">
              <w:rPr>
                <w:sz w:val="22"/>
                <w:szCs w:val="22"/>
              </w:rPr>
              <w:t xml:space="preserve">Planavimo organizatorius duomenis apie patvirtintą teritorijų planavimo dokumentą, pradėtą rengti iki Lietuvos Respublikos teritorijų planavimo dokumentų rengimo ir teritorijų planavimo proceso valstybinės priežiūros informacinės sistemos sukūrimo, ir teisės aktą, kuriuo patvirtintas šis teritorijų planavimo dokumentas, Lietuvos Respublikos teritorijų planavimo dokumentų registro nuostatuose nustatyta tvarka privalomai pateikia registruoti ne vėliau kaip per 5 darbo dienas nuo teritorijų planavimo </w:t>
            </w:r>
            <w:r w:rsidR="00237AC2" w:rsidRPr="009C4AB0">
              <w:rPr>
                <w:sz w:val="22"/>
                <w:szCs w:val="22"/>
              </w:rPr>
              <w:lastRenderedPageBreak/>
              <w:t>dokumento patvirtinimo dienos. Oficialus informacinis pranešimas apie teritorijų planavimo dokumento patvirtinimą skelbiamas teritorijų planavimo dokumentą tvirtinančios institucijos interneto svetainėje ir Lietuvos Respublikos teritorijų planavimo dokumentų rengimo ir teritorijų planavimo proceso valstybinės priežiūros informacinėje sistemoje.</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X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lastRenderedPageBreak/>
              <w:t>8.</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Teisės akto projekte nustatyta sprendimų dėl mažareikšmiškumo priėmimo tvarka</w:t>
            </w:r>
          </w:p>
        </w:tc>
        <w:tc>
          <w:tcPr>
            <w:tcW w:w="3845" w:type="dxa"/>
            <w:shd w:val="clear" w:color="auto" w:fill="auto"/>
          </w:tcPr>
          <w:p w:rsidR="000E2744" w:rsidRPr="009C4AB0" w:rsidRDefault="00BA2A54">
            <w:pPr>
              <w:jc w:val="both"/>
              <w:rPr>
                <w:sz w:val="22"/>
                <w:szCs w:val="22"/>
                <w:lang w:eastAsia="lt-LT"/>
              </w:rPr>
            </w:pPr>
            <w:r w:rsidRPr="009C4AB0">
              <w:rPr>
                <w:sz w:val="22"/>
                <w:szCs w:val="22"/>
              </w:rPr>
              <w:t>Projekte nenustatyta sprendimų dėl mažareikšmiškumo priėmimo tvarka.</w:t>
            </w:r>
          </w:p>
        </w:tc>
        <w:tc>
          <w:tcPr>
            <w:tcW w:w="3658" w:type="dxa"/>
            <w:shd w:val="clear" w:color="auto" w:fill="auto"/>
          </w:tcPr>
          <w:p w:rsidR="000E2744" w:rsidRPr="009C4AB0" w:rsidRDefault="000E2744">
            <w:pPr>
              <w:jc w:val="both"/>
              <w:rPr>
                <w:b/>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t>9.</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Jeigu pagal numatomą reguliavimą sprendimus priima kolegialus subjektas, teisės akto projekte nustatyta kolegialaus sprendimus priimančio subjekto:</w:t>
            </w:r>
          </w:p>
          <w:p w:rsidR="000E2744" w:rsidRPr="009C4AB0" w:rsidRDefault="00BA2A54">
            <w:pPr>
              <w:ind w:left="33"/>
              <w:jc w:val="both"/>
              <w:rPr>
                <w:sz w:val="22"/>
                <w:szCs w:val="22"/>
              </w:rPr>
            </w:pPr>
            <w:r w:rsidRPr="009C4AB0">
              <w:rPr>
                <w:sz w:val="22"/>
                <w:szCs w:val="22"/>
              </w:rPr>
              <w:t>9.1. konkretus narių skaičius, užtikrinantis kolegialaus sprendimus priimančio subjekto veiklos objektyvumą;</w:t>
            </w:r>
          </w:p>
          <w:p w:rsidR="000E2744" w:rsidRPr="009C4AB0" w:rsidRDefault="00BA2A54">
            <w:pPr>
              <w:ind w:left="33"/>
              <w:jc w:val="both"/>
              <w:rPr>
                <w:sz w:val="22"/>
                <w:szCs w:val="22"/>
              </w:rPr>
            </w:pPr>
            <w:r w:rsidRPr="009C4AB0">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0E2744" w:rsidRPr="009C4AB0" w:rsidRDefault="00BA2A54">
            <w:pPr>
              <w:jc w:val="both"/>
              <w:rPr>
                <w:sz w:val="22"/>
                <w:szCs w:val="22"/>
                <w:lang w:eastAsia="lt-LT"/>
              </w:rPr>
            </w:pPr>
            <w:r w:rsidRPr="009C4AB0">
              <w:rPr>
                <w:sz w:val="22"/>
                <w:szCs w:val="22"/>
                <w:lang w:eastAsia="lt-LT"/>
              </w:rPr>
              <w:t>9.3</w:t>
            </w:r>
            <w:r w:rsidRPr="009C4AB0">
              <w:rPr>
                <w:spacing w:val="-4"/>
                <w:sz w:val="22"/>
                <w:szCs w:val="22"/>
                <w:lang w:eastAsia="lt-LT"/>
              </w:rPr>
              <w:t>. narių skyrimo mechanizmas;</w:t>
            </w:r>
          </w:p>
          <w:p w:rsidR="000E2744" w:rsidRPr="009C4AB0" w:rsidRDefault="00BA2A54">
            <w:pPr>
              <w:jc w:val="both"/>
              <w:rPr>
                <w:sz w:val="22"/>
                <w:szCs w:val="22"/>
                <w:lang w:eastAsia="lt-LT"/>
              </w:rPr>
            </w:pPr>
            <w:r w:rsidRPr="009C4AB0">
              <w:rPr>
                <w:sz w:val="22"/>
                <w:szCs w:val="22"/>
                <w:lang w:eastAsia="lt-LT"/>
              </w:rPr>
              <w:t>9.4. narių rotacija ir kadencijų skaičius ir trukmė;</w:t>
            </w:r>
          </w:p>
          <w:p w:rsidR="000E2744" w:rsidRPr="009C4AB0" w:rsidRDefault="00BA2A54">
            <w:pPr>
              <w:jc w:val="both"/>
              <w:rPr>
                <w:sz w:val="22"/>
                <w:szCs w:val="22"/>
              </w:rPr>
            </w:pPr>
            <w:r w:rsidRPr="009C4AB0">
              <w:rPr>
                <w:sz w:val="22"/>
                <w:szCs w:val="22"/>
              </w:rPr>
              <w:t>9.5. veiklos pobūdis laiko atžvilgiu;</w:t>
            </w:r>
          </w:p>
          <w:p w:rsidR="000E2744" w:rsidRPr="009C4AB0" w:rsidRDefault="00BA2A54">
            <w:pPr>
              <w:jc w:val="both"/>
              <w:rPr>
                <w:sz w:val="22"/>
                <w:szCs w:val="22"/>
                <w:lang w:eastAsia="lt-LT"/>
              </w:rPr>
            </w:pPr>
            <w:r w:rsidRPr="009C4AB0">
              <w:rPr>
                <w:sz w:val="22"/>
                <w:szCs w:val="22"/>
                <w:lang w:eastAsia="lt-LT"/>
              </w:rPr>
              <w:t>9.6. individuali narių atsakomybė</w:t>
            </w:r>
          </w:p>
        </w:tc>
        <w:tc>
          <w:tcPr>
            <w:tcW w:w="3845" w:type="dxa"/>
            <w:shd w:val="clear" w:color="auto" w:fill="auto"/>
          </w:tcPr>
          <w:p w:rsidR="000E2744" w:rsidRPr="009C4AB0" w:rsidRDefault="00BA2A54">
            <w:pPr>
              <w:jc w:val="both"/>
              <w:rPr>
                <w:sz w:val="22"/>
                <w:szCs w:val="22"/>
                <w:lang w:eastAsia="lt-LT"/>
              </w:rPr>
            </w:pPr>
            <w:r w:rsidRPr="009C4AB0">
              <w:rPr>
                <w:sz w:val="22"/>
                <w:szCs w:val="22"/>
              </w:rPr>
              <w:t>Nereglamentuota</w:t>
            </w:r>
            <w:r w:rsidRPr="009C4AB0">
              <w:rPr>
                <w:sz w:val="22"/>
                <w:szCs w:val="22"/>
                <w:lang w:eastAsia="lt-LT"/>
              </w:rPr>
              <w:t>.</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lastRenderedPageBreak/>
              <w:t>10.</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 xml:space="preserve">Teisės akto projekto nuostatoms įgyvendinti numatytos administracinės procedūros yra </w:t>
            </w:r>
            <w:r w:rsidRPr="009C4AB0">
              <w:rPr>
                <w:sz w:val="22"/>
                <w:szCs w:val="22"/>
                <w:shd w:val="clear" w:color="auto" w:fill="FFFFFF"/>
                <w:lang w:eastAsia="lt-LT"/>
              </w:rPr>
              <w:t>būtinos,</w:t>
            </w:r>
            <w:r w:rsidRPr="009C4AB0">
              <w:rPr>
                <w:sz w:val="22"/>
                <w:szCs w:val="22"/>
                <w:lang w:eastAsia="lt-LT"/>
              </w:rPr>
              <w:t xml:space="preserve"> nustatyta išsami jų taikymo tvarka </w:t>
            </w:r>
          </w:p>
        </w:tc>
        <w:tc>
          <w:tcPr>
            <w:tcW w:w="3845" w:type="dxa"/>
            <w:shd w:val="clear" w:color="auto" w:fill="auto"/>
          </w:tcPr>
          <w:p w:rsidR="00237AC2" w:rsidRPr="009C4AB0" w:rsidRDefault="00BA2A54">
            <w:pPr>
              <w:jc w:val="both"/>
              <w:rPr>
                <w:sz w:val="22"/>
                <w:szCs w:val="22"/>
              </w:rPr>
            </w:pPr>
            <w:r w:rsidRPr="009C4AB0">
              <w:rPr>
                <w:sz w:val="22"/>
                <w:szCs w:val="22"/>
              </w:rPr>
              <w:t>Projektu siūloma tikslinti Aprašo 25 punktą: </w:t>
            </w:r>
            <w:r w:rsidR="00237AC2" w:rsidRPr="009C4AB0">
              <w:rPr>
                <w:sz w:val="22"/>
                <w:szCs w:val="22"/>
              </w:rPr>
              <w:t>Kuriai nors vienai iš šalių pažeidus inicijavimo sutartį ir nepašalinus pažeidimo per 30 darbo dienų nuo įspėjimo apie pažeidimo padarymą pateikimo dienos terminą, kita šalis turi teisę nutraukti inicijavimo sutartį vienašališkai ir reikalauti iš pažeidusios inicijavimo suta</w:t>
            </w:r>
            <w:r w:rsidR="00B76B9E" w:rsidRPr="009C4AB0">
              <w:rPr>
                <w:sz w:val="22"/>
                <w:szCs w:val="22"/>
              </w:rPr>
              <w:t>rtį šalies atlyginti nuostolius;</w:t>
            </w:r>
          </w:p>
          <w:p w:rsidR="00B76B9E" w:rsidRPr="009C4AB0" w:rsidRDefault="00BA2A54" w:rsidP="00B76B9E">
            <w:pPr>
              <w:jc w:val="both"/>
              <w:rPr>
                <w:sz w:val="22"/>
                <w:szCs w:val="22"/>
              </w:rPr>
            </w:pPr>
            <w:r w:rsidRPr="009C4AB0">
              <w:rPr>
                <w:sz w:val="22"/>
                <w:szCs w:val="22"/>
              </w:rPr>
              <w:t xml:space="preserve">Aprašo 32 punktą: </w:t>
            </w:r>
            <w:r w:rsidR="00B76B9E" w:rsidRPr="009C4AB0">
              <w:rPr>
                <w:sz w:val="22"/>
                <w:szCs w:val="22"/>
              </w:rPr>
              <w:t xml:space="preserve">Įgyvendinimo sutartyje nurodoma, kas organizuoja inžinerinės ir (ar) socialinės infrastruktūros projektavimo ir (ar) statybos darbus, parenka statinio projektuotoją ir (ar) rangovą, sudaro su statinio projektuotoju ir (ar) rangovu infrastruktūros projektavimo ir (ar) statybos rangos sutartį, atsiskaito su statinio projektuotoju ir (ar) rangovu už atliktus darbus, kontroliuoja projektavimo ir (ar) statybos rangos sutarties vykdymą ir infrastruktūros statybos užbaigimą (teisės aktų nustatyta tvarka pasirašant statybos užbaigimo aktą ar statybos užbaigimo deklaraciją). Jeigu infrastruktūros statybos darbus finansuoja abi šalys, projektavimo ir statybos darbų kaina prieš pasirašant su statinio projektuotoju ir (ar) rangovu sutartį turi būti šalių suderinta raštu. </w:t>
            </w:r>
          </w:p>
          <w:p w:rsidR="00B76B9E" w:rsidRPr="009C4AB0" w:rsidRDefault="00B76B9E" w:rsidP="00B76B9E">
            <w:pPr>
              <w:jc w:val="both"/>
              <w:rPr>
                <w:sz w:val="22"/>
                <w:szCs w:val="22"/>
                <w:lang w:val="en-GB"/>
              </w:rPr>
            </w:pPr>
            <w:r w:rsidRPr="009C4AB0">
              <w:rPr>
                <w:sz w:val="22"/>
                <w:szCs w:val="22"/>
              </w:rPr>
              <w:t xml:space="preserve">Kai teritorijų planavimo dokumento sprendiniams įgyvendinti reikalinga Lietuvos Respublikos savivaldybių infrastruktūros plėtros įstatyme nurodytos inžinerinės savivaldybės </w:t>
            </w:r>
            <w:r w:rsidRPr="009C4AB0">
              <w:rPr>
                <w:sz w:val="22"/>
                <w:szCs w:val="22"/>
              </w:rPr>
              <w:lastRenderedPageBreak/>
              <w:t>infrastruktūros plėtra, ji išsamiai aprašoma įgyvendinimo sutartyje, nurodant, kad ši plėtra bus vykdoma Lietuvos Respublikos savivaldybių infrastruktūros plėtros įstatyme nustatyta tvarka ir sąlygomis sudarius šiuo įstatymu nustatytą savivaldybės infrastruktūros plėtros sutartį. Šiuo atveju įgyvendinimo sutartyje įrašomas planavimo iniciatoriaus įsipareigojimas, vadovaujantis Lietuvos Respublikos savivaldybių infrastruktūros plėtros įstatymu, sudaryti savivaldybės infrastruktūros plėtros sutartį;</w:t>
            </w:r>
          </w:p>
          <w:p w:rsidR="00B76B9E" w:rsidRPr="009C4AB0" w:rsidRDefault="00BA2A54">
            <w:pPr>
              <w:jc w:val="both"/>
              <w:rPr>
                <w:bCs/>
                <w:sz w:val="22"/>
                <w:szCs w:val="22"/>
              </w:rPr>
            </w:pPr>
            <w:r w:rsidRPr="009C4AB0">
              <w:rPr>
                <w:sz w:val="22"/>
                <w:szCs w:val="22"/>
              </w:rPr>
              <w:t xml:space="preserve">Aprašo 34 punktą: </w:t>
            </w:r>
            <w:r w:rsidR="00B76B9E" w:rsidRPr="009C4AB0">
              <w:rPr>
                <w:sz w:val="22"/>
                <w:szCs w:val="22"/>
              </w:rPr>
              <w:t xml:space="preserve">Įgyvendinimo sutartyje susitariama dėl žemės sklypų pertvarkymo išlaidų apmokėjimo ir kompensacijų nekilnojamojo turto savininkams dėl teritorijų planavimo dokumente numatomų apribojimų nekilnojamajam turtui mokėjimo, taip pat susitariama dėl </w:t>
            </w:r>
            <w:r w:rsidR="00B76B9E" w:rsidRPr="009C4AB0">
              <w:rPr>
                <w:bCs/>
                <w:sz w:val="22"/>
                <w:szCs w:val="22"/>
              </w:rPr>
              <w:t xml:space="preserve">būsto perdavimo į savivaldybės būsto fondą pagal </w:t>
            </w:r>
            <w:r w:rsidR="000D0106">
              <w:rPr>
                <w:bCs/>
                <w:sz w:val="22"/>
                <w:szCs w:val="22"/>
              </w:rPr>
              <w:t>TPĮ</w:t>
            </w:r>
            <w:r w:rsidR="00B76B9E" w:rsidRPr="009C4AB0">
              <w:rPr>
                <w:bCs/>
                <w:sz w:val="22"/>
                <w:szCs w:val="22"/>
              </w:rPr>
              <w:t xml:space="preserve"> 15 straipsnio 2 dalį (dėl perduodamo būsto naudingojo ar pagrindinio ploto dydžio (procentais), perdavimo terminų, netesybų ir kitų sąlygų);</w:t>
            </w:r>
          </w:p>
          <w:p w:rsidR="000E2744" w:rsidRPr="009C4AB0" w:rsidRDefault="00BA2A54">
            <w:pPr>
              <w:jc w:val="both"/>
              <w:rPr>
                <w:sz w:val="22"/>
                <w:szCs w:val="22"/>
              </w:rPr>
            </w:pPr>
            <w:r w:rsidRPr="009C4AB0">
              <w:rPr>
                <w:bCs/>
                <w:sz w:val="22"/>
                <w:szCs w:val="22"/>
              </w:rPr>
              <w:t>Aprašo 37 punktą:</w:t>
            </w:r>
            <w:r w:rsidRPr="009C4AB0">
              <w:rPr>
                <w:sz w:val="22"/>
                <w:szCs w:val="22"/>
              </w:rPr>
              <w:t> </w:t>
            </w:r>
            <w:r w:rsidR="00B76B9E" w:rsidRPr="009C4AB0">
              <w:rPr>
                <w:sz w:val="22"/>
                <w:szCs w:val="22"/>
              </w:rPr>
              <w:t>Kuriai nors vienai iš šalių pažeidus įgyvendinimo sutartį ir nepašalinus pažeidimo per 30 darbo dienų nuo įspėjimo apie pažeidimo padarymą pateikimo dienos terminą, kita šalis turi teisę nutraukti įgyvendinimo sutartį vienašališkai ir reikalauti iš pažeidusios įgyvendinimo sutartį šalies atlyginti nuostolius.</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X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keepNext/>
              <w:jc w:val="both"/>
              <w:rPr>
                <w:sz w:val="22"/>
                <w:szCs w:val="22"/>
                <w:lang w:eastAsia="lt-LT"/>
              </w:rPr>
            </w:pPr>
            <w:r w:rsidRPr="009C4AB0">
              <w:rPr>
                <w:sz w:val="22"/>
                <w:szCs w:val="22"/>
                <w:lang w:eastAsia="lt-LT"/>
              </w:rPr>
              <w:lastRenderedPageBreak/>
              <w:t>11.</w:t>
            </w:r>
          </w:p>
        </w:tc>
        <w:tc>
          <w:tcPr>
            <w:tcW w:w="3301" w:type="dxa"/>
            <w:shd w:val="clear" w:color="auto" w:fill="auto"/>
          </w:tcPr>
          <w:p w:rsidR="000E2744" w:rsidRPr="009C4AB0" w:rsidRDefault="00BA2A54">
            <w:pPr>
              <w:keepNext/>
              <w:jc w:val="both"/>
              <w:rPr>
                <w:sz w:val="22"/>
                <w:szCs w:val="22"/>
                <w:lang w:eastAsia="lt-LT"/>
              </w:rPr>
            </w:pPr>
            <w:r w:rsidRPr="009C4AB0">
              <w:rPr>
                <w:sz w:val="22"/>
                <w:szCs w:val="22"/>
                <w:lang w:eastAsia="lt-LT"/>
              </w:rPr>
              <w:t>Teisės akto projekte nustatytas baigtinis sąrašas motyvuotų atvejų, kai administracinė procedūra netaikoma</w:t>
            </w:r>
          </w:p>
        </w:tc>
        <w:tc>
          <w:tcPr>
            <w:tcW w:w="3845" w:type="dxa"/>
            <w:shd w:val="clear" w:color="auto" w:fill="auto"/>
          </w:tcPr>
          <w:p w:rsidR="000E2744" w:rsidRPr="009C4AB0" w:rsidRDefault="00BA2A54">
            <w:pPr>
              <w:keepNext/>
              <w:jc w:val="both"/>
              <w:rPr>
                <w:sz w:val="22"/>
                <w:szCs w:val="22"/>
              </w:rPr>
            </w:pPr>
            <w:r w:rsidRPr="009C4AB0">
              <w:rPr>
                <w:sz w:val="22"/>
                <w:szCs w:val="22"/>
              </w:rPr>
              <w:t>Nereglamentuota.</w:t>
            </w:r>
          </w:p>
        </w:tc>
        <w:tc>
          <w:tcPr>
            <w:tcW w:w="3658" w:type="dxa"/>
            <w:shd w:val="clear" w:color="auto" w:fill="auto"/>
          </w:tcPr>
          <w:p w:rsidR="000E2744" w:rsidRPr="009C4AB0" w:rsidRDefault="000E2744">
            <w:pPr>
              <w:keepNext/>
              <w:jc w:val="both"/>
              <w:rPr>
                <w:sz w:val="22"/>
                <w:szCs w:val="22"/>
                <w:lang w:eastAsia="lt-LT"/>
              </w:rPr>
            </w:pPr>
          </w:p>
        </w:tc>
        <w:tc>
          <w:tcPr>
            <w:tcW w:w="2611" w:type="dxa"/>
            <w:shd w:val="clear" w:color="auto" w:fill="auto"/>
          </w:tcPr>
          <w:p w:rsidR="000E2744" w:rsidRPr="009C4AB0" w:rsidRDefault="00BA2A54">
            <w:pPr>
              <w:keepNext/>
              <w:jc w:val="both"/>
              <w:rPr>
                <w:sz w:val="22"/>
                <w:szCs w:val="22"/>
                <w:lang w:eastAsia="lt-LT"/>
              </w:rPr>
            </w:pPr>
            <w:r w:rsidRPr="009C4AB0">
              <w:rPr>
                <w:sz w:val="22"/>
                <w:szCs w:val="22"/>
                <w:lang w:eastAsia="lt-LT"/>
              </w:rPr>
              <w:t>□ tenkina</w:t>
            </w:r>
          </w:p>
          <w:p w:rsidR="000E2744" w:rsidRPr="009C4AB0" w:rsidRDefault="00BA2A54">
            <w:pPr>
              <w:keepNext/>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t>12.</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Teisės akto projektas nustato jo nuostatoms įgyvendinti numatytų administracinių procedūrų ir sprendimo priėmimo konkrečius terminus</w:t>
            </w:r>
          </w:p>
        </w:tc>
        <w:tc>
          <w:tcPr>
            <w:tcW w:w="3845" w:type="dxa"/>
            <w:shd w:val="clear" w:color="auto" w:fill="auto"/>
          </w:tcPr>
          <w:p w:rsidR="000E2744" w:rsidRPr="009C4AB0" w:rsidRDefault="00BA2A54">
            <w:pPr>
              <w:jc w:val="both"/>
              <w:rPr>
                <w:sz w:val="22"/>
                <w:szCs w:val="22"/>
                <w:lang w:eastAsia="ar-SA"/>
              </w:rPr>
            </w:pPr>
            <w:r w:rsidRPr="009C4AB0">
              <w:rPr>
                <w:sz w:val="22"/>
                <w:szCs w:val="22"/>
              </w:rPr>
              <w:t xml:space="preserve">Projektu siūloma tikslinti Aprašo 9 punktą: </w:t>
            </w:r>
            <w:r w:rsidR="00B76B9E" w:rsidRPr="009C4AB0">
              <w:rPr>
                <w:bCs/>
                <w:sz w:val="22"/>
                <w:szCs w:val="22"/>
                <w:shd w:val="clear" w:color="auto" w:fill="FFFFFF"/>
              </w:rPr>
              <w:t xml:space="preserve">Planavimo organizatorius </w:t>
            </w:r>
            <w:r w:rsidR="00B76B9E" w:rsidRPr="009C4AB0">
              <w:rPr>
                <w:sz w:val="22"/>
                <w:szCs w:val="22"/>
              </w:rPr>
              <w:t xml:space="preserve">per 10 darbo dienų nuo pasiūlymo gavimo dienos privalo priimti sprendimą tenkinti pasiūlymą dėl vietovės lygmens teritorijų planavimo dokumentų rengimo, keitimo ar koregavimo ir (ar) finansavimo arba motyvuotai atmesti pasiūlymą. Kai Lietuvos Respublikos krašto apsaugos ministerija ar jos įgaliota institucija </w:t>
            </w:r>
            <w:r w:rsidR="00B76B9E" w:rsidRPr="009C4AB0">
              <w:rPr>
                <w:bCs/>
                <w:sz w:val="22"/>
                <w:szCs w:val="22"/>
              </w:rPr>
              <w:t xml:space="preserve">ir Lietuvos Respublikos ekonomikos ir inovacijų ministerija ar jos įgaliota institucija </w:t>
            </w:r>
            <w:r w:rsidR="00B76B9E" w:rsidRPr="009C4AB0">
              <w:rPr>
                <w:sz w:val="22"/>
                <w:szCs w:val="22"/>
              </w:rPr>
              <w:t xml:space="preserve">Aprašo 1 punkte nurodytais atvejais pateikia savivaldybei pasiūlymą dėl savivaldybės lygmens ir vietovės lygmens bendrojo plano koregavimo, savivaldybės administracijos direktorius per 5 darbo dienas nuo </w:t>
            </w:r>
            <w:r w:rsidR="00B76B9E" w:rsidRPr="009C4AB0">
              <w:rPr>
                <w:bCs/>
                <w:sz w:val="22"/>
                <w:szCs w:val="22"/>
              </w:rPr>
              <w:t>Krašto apsaugos ministerijos ar jos įgaliotos institucijos ir per 15 darbo dienų (iš kurių 5 darbo dienos skirtos sprendimo dėl teritorijų planavimo proceso inicijavimo priėmimui, 10 darbo dienų – sprendimo dėl atitinkamo bendrojo plano koregavimo pradžios ir planavimo tikslų projekto viešinimui)</w:t>
            </w:r>
            <w:r w:rsidR="00B76B9E" w:rsidRPr="009C4AB0">
              <w:rPr>
                <w:bCs/>
                <w:i/>
                <w:sz w:val="22"/>
                <w:szCs w:val="22"/>
              </w:rPr>
              <w:t xml:space="preserve"> </w:t>
            </w:r>
            <w:r w:rsidR="00B76B9E" w:rsidRPr="009C4AB0">
              <w:rPr>
                <w:bCs/>
                <w:sz w:val="22"/>
                <w:szCs w:val="22"/>
              </w:rPr>
              <w:t>nuo Ekonomikos ir inovacijų ministerijos ar jos įgaliotos institucijos</w:t>
            </w:r>
            <w:r w:rsidR="00B76B9E" w:rsidRPr="009C4AB0">
              <w:rPr>
                <w:sz w:val="22"/>
                <w:szCs w:val="22"/>
              </w:rPr>
              <w:t xml:space="preserve"> pasiūlymo gavimo dienos priima sprendimą dėl atitinkamo bendrojo plano koregavimo pradžios ir planavimo tikslų arba motyvuotai šį </w:t>
            </w:r>
            <w:r w:rsidR="00B76B9E" w:rsidRPr="009C4AB0">
              <w:rPr>
                <w:sz w:val="22"/>
                <w:szCs w:val="22"/>
              </w:rPr>
              <w:lastRenderedPageBreak/>
              <w:t>pasiūlymą atmeta.</w:t>
            </w:r>
            <w:r w:rsidR="00B76B9E" w:rsidRPr="009C4AB0">
              <w:rPr>
                <w:bCs/>
                <w:sz w:val="22"/>
                <w:szCs w:val="22"/>
                <w:shd w:val="clear" w:color="auto" w:fill="FFFFFF"/>
              </w:rPr>
              <w:t xml:space="preserve"> Nagrinėdamas planavimo iniciatoriaus pasiūlymą, planavimo organizatorius negali iš planavimo iniciatoriaus reikalauti pateikti dokumentų ar informacijos, kurie nenurodyti Apraše. Planavimo iniciatoriaus pasiūlymas gali būti atmetamas tik tuo atveju, kai jis prieštarauja įstatymų ir (ar) kitų</w:t>
            </w:r>
            <w:r w:rsidR="00B76B9E" w:rsidRPr="009C4AB0">
              <w:rPr>
                <w:sz w:val="22"/>
                <w:szCs w:val="22"/>
              </w:rPr>
              <w:t xml:space="preserve"> </w:t>
            </w:r>
            <w:r w:rsidR="00B76B9E" w:rsidRPr="009C4AB0">
              <w:rPr>
                <w:bCs/>
                <w:sz w:val="22"/>
                <w:szCs w:val="22"/>
                <w:shd w:val="clear" w:color="auto" w:fill="FFFFFF"/>
              </w:rPr>
              <w:t>teisės aktų reikalavimams ir (ar) kitiems to paties ar aukštesnio teritorijų planavimo lygmens patvirtintiems ir galiojantiems teritorijų planavimo dokumentų sprendiniams arba patvirtintiems strateginiams savivaldybės plėtros planams.</w:t>
            </w:r>
            <w:r w:rsidR="00B76B9E" w:rsidRPr="009C4AB0">
              <w:rPr>
                <w:rFonts w:eastAsia="Andale Sans UI"/>
                <w:bCs/>
                <w:sz w:val="22"/>
                <w:szCs w:val="22"/>
                <w:lang w:bidi="en-US"/>
              </w:rPr>
              <w:t xml:space="preserve"> </w:t>
            </w:r>
            <w:r w:rsidR="00B76B9E" w:rsidRPr="009C4AB0">
              <w:rPr>
                <w:bCs/>
                <w:sz w:val="22"/>
                <w:szCs w:val="22"/>
                <w:shd w:val="clear" w:color="auto" w:fill="FFFFFF"/>
              </w:rPr>
              <w:t>Planavimo organizatorius apie priimtą motyvuotą sprendimą atmesti pasiūlymą ne vėliau kaip per 3 darbo dienas nuo šio sprendimo priėmimo dienos raštu informuoja planavimo iniciatorių ir šį sprendimą paskelbia savo interneto svetainėje. Sprendimas atmesti pasiūlymą gali būti apskųstas Lietuvos Respublikos įstatymų nustatyta tvarka.</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X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lastRenderedPageBreak/>
              <w:t>13.</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Teisės akto projektas nustato motyvuotas terminų sustabdymo ir pratęsimo galimybes</w:t>
            </w:r>
          </w:p>
        </w:tc>
        <w:tc>
          <w:tcPr>
            <w:tcW w:w="3845" w:type="dxa"/>
            <w:shd w:val="clear" w:color="auto" w:fill="auto"/>
          </w:tcPr>
          <w:p w:rsidR="000E2744" w:rsidRPr="009C4AB0" w:rsidRDefault="00BA2A54">
            <w:pPr>
              <w:jc w:val="both"/>
              <w:rPr>
                <w:sz w:val="22"/>
                <w:szCs w:val="22"/>
              </w:rPr>
            </w:pPr>
            <w:r w:rsidRPr="009C4AB0">
              <w:rPr>
                <w:sz w:val="22"/>
                <w:szCs w:val="22"/>
              </w:rPr>
              <w:t>Projekte nenustatytos motyvuotos terminų sustabdymo ir pratęsimo galimybės.</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t>14.</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Teisės akto projektas nustato administracinių procedūrų viešinimo tvarką</w:t>
            </w:r>
          </w:p>
        </w:tc>
        <w:tc>
          <w:tcPr>
            <w:tcW w:w="3845" w:type="dxa"/>
            <w:shd w:val="clear" w:color="auto" w:fill="auto"/>
          </w:tcPr>
          <w:p w:rsidR="000E2744" w:rsidRPr="009C4AB0" w:rsidRDefault="00BA2A54">
            <w:pPr>
              <w:jc w:val="both"/>
              <w:rPr>
                <w:sz w:val="22"/>
                <w:szCs w:val="22"/>
                <w:lang w:eastAsia="ar-SA"/>
              </w:rPr>
            </w:pPr>
            <w:r w:rsidRPr="009C4AB0">
              <w:rPr>
                <w:bCs/>
                <w:sz w:val="22"/>
                <w:szCs w:val="22"/>
              </w:rPr>
              <w:t xml:space="preserve">Siekiant didesnio teritorijų planavimo proceso inicijavimo viešumo papildytos TPĮ 6 str. 3 d. nuostatos, nustatant, kad „apie motyvuotą sprendimą atmesti pasiūlymą informuojamas planavimo iniciatorius ir sprendimas skelbiamas savivaldybės ar kitų įstatymų nustatytų specialiojo teritorijų planavimo organizatorių interneto svetainėse.“ </w:t>
            </w:r>
            <w:r w:rsidRPr="009C4AB0">
              <w:rPr>
                <w:bCs/>
                <w:sz w:val="22"/>
                <w:szCs w:val="22"/>
              </w:rPr>
              <w:lastRenderedPageBreak/>
              <w:t xml:space="preserve">Atsižvelgiant į šį pakeitimą, Projektu keičiamos (papildomos) Aprašo 9 punkto nuostatos: </w:t>
            </w:r>
            <w:r w:rsidR="00B76B9E" w:rsidRPr="009C4AB0">
              <w:rPr>
                <w:bCs/>
                <w:sz w:val="22"/>
                <w:szCs w:val="22"/>
                <w:shd w:val="clear" w:color="auto" w:fill="FFFFFF"/>
              </w:rPr>
              <w:t xml:space="preserve">Planavimo organizatorius </w:t>
            </w:r>
            <w:r w:rsidR="00B76B9E" w:rsidRPr="009C4AB0">
              <w:rPr>
                <w:sz w:val="22"/>
                <w:szCs w:val="22"/>
              </w:rPr>
              <w:t xml:space="preserve">per 10 darbo dienų nuo pasiūlymo gavimo dienos privalo priimti sprendimą tenkinti pasiūlymą dėl vietovės lygmens teritorijų planavimo dokumentų rengimo, keitimo ar koregavimo ir (ar) finansavimo arba motyvuotai atmesti pasiūlymą. Kai Lietuvos Respublikos krašto apsaugos ministerija ar jos įgaliota institucija </w:t>
            </w:r>
            <w:r w:rsidR="00B76B9E" w:rsidRPr="009C4AB0">
              <w:rPr>
                <w:bCs/>
                <w:sz w:val="22"/>
                <w:szCs w:val="22"/>
              </w:rPr>
              <w:t xml:space="preserve">ir Lietuvos Respublikos ekonomikos ir inovacijų ministerija ar jos įgaliota institucija </w:t>
            </w:r>
            <w:r w:rsidR="00B76B9E" w:rsidRPr="009C4AB0">
              <w:rPr>
                <w:sz w:val="22"/>
                <w:szCs w:val="22"/>
              </w:rPr>
              <w:t xml:space="preserve">Aprašo 1 punkte nurodytais atvejais pateikia savivaldybei pasiūlymą dėl savivaldybės lygmens ir vietovės lygmens bendrojo plano koregavimo, savivaldybės administracijos direktorius per 5 darbo dienas nuo </w:t>
            </w:r>
            <w:r w:rsidR="00B76B9E" w:rsidRPr="009C4AB0">
              <w:rPr>
                <w:bCs/>
                <w:sz w:val="22"/>
                <w:szCs w:val="22"/>
              </w:rPr>
              <w:t>Krašto apsaugos ministerijos ar jos įgaliotos institucijos ir per 15 darbo dienų (iš kurių 5 darbo dienos skirtos sprendimo dėl teritorijų planavimo proceso inicijavimo priėmimui, 10 darbo dienų – sprendimo dėl atitinkamo bendrojo plano koregavimo pradžios ir planavimo tikslų projekto viešinimui)</w:t>
            </w:r>
            <w:r w:rsidR="00B76B9E" w:rsidRPr="009C4AB0">
              <w:rPr>
                <w:bCs/>
                <w:i/>
                <w:sz w:val="22"/>
                <w:szCs w:val="22"/>
              </w:rPr>
              <w:t xml:space="preserve"> </w:t>
            </w:r>
            <w:r w:rsidR="00B76B9E" w:rsidRPr="009C4AB0">
              <w:rPr>
                <w:bCs/>
                <w:sz w:val="22"/>
                <w:szCs w:val="22"/>
              </w:rPr>
              <w:t>nuo Ekonomikos ir inovacijų ministerijos ar jos įgaliotos institucijos</w:t>
            </w:r>
            <w:r w:rsidR="00B76B9E" w:rsidRPr="009C4AB0">
              <w:rPr>
                <w:sz w:val="22"/>
                <w:szCs w:val="22"/>
              </w:rPr>
              <w:t xml:space="preserve"> pasiūlymo gavimo dienos priima sprendimą dėl atitinkamo bendrojo plano koregavimo pradžios ir planavimo tikslų arba motyvuotai šį pasiūlymą atmeta.</w:t>
            </w:r>
            <w:r w:rsidR="00B76B9E" w:rsidRPr="009C4AB0">
              <w:rPr>
                <w:bCs/>
                <w:sz w:val="22"/>
                <w:szCs w:val="22"/>
                <w:shd w:val="clear" w:color="auto" w:fill="FFFFFF"/>
              </w:rPr>
              <w:t xml:space="preserve"> Nagrinėdamas planavimo iniciatoriaus pasiūlymą, planavimo organizatorius negali iš </w:t>
            </w:r>
            <w:r w:rsidR="00B76B9E" w:rsidRPr="009C4AB0">
              <w:rPr>
                <w:bCs/>
                <w:sz w:val="22"/>
                <w:szCs w:val="22"/>
                <w:shd w:val="clear" w:color="auto" w:fill="FFFFFF"/>
              </w:rPr>
              <w:lastRenderedPageBreak/>
              <w:t>planavimo iniciatoriaus reikalauti pateikti dokumentų ar informacijos, kurie nenurodyti Apraše. Planavimo iniciatoriaus pasiūlymas gali būti atmetamas tik tuo atveju, kai jis prieštarauja įstatymų ir (ar) kitų</w:t>
            </w:r>
            <w:r w:rsidR="00B76B9E" w:rsidRPr="009C4AB0">
              <w:rPr>
                <w:sz w:val="22"/>
                <w:szCs w:val="22"/>
              </w:rPr>
              <w:t xml:space="preserve"> </w:t>
            </w:r>
            <w:r w:rsidR="00B76B9E" w:rsidRPr="009C4AB0">
              <w:rPr>
                <w:bCs/>
                <w:sz w:val="22"/>
                <w:szCs w:val="22"/>
                <w:shd w:val="clear" w:color="auto" w:fill="FFFFFF"/>
              </w:rPr>
              <w:t>teisės aktų reikalavimams ir (ar) kitiems to paties ar aukštesnio teritorijų planavimo lygmens patvirtintiems ir galiojantiems teritorijų planavimo dokumentų sprendiniams arba patvirtintiems strateginiams savivaldybės plėtros planams.</w:t>
            </w:r>
            <w:r w:rsidR="00B76B9E" w:rsidRPr="009C4AB0">
              <w:rPr>
                <w:rFonts w:eastAsia="Andale Sans UI"/>
                <w:bCs/>
                <w:sz w:val="22"/>
                <w:szCs w:val="22"/>
                <w:lang w:bidi="en-US"/>
              </w:rPr>
              <w:t xml:space="preserve"> </w:t>
            </w:r>
            <w:r w:rsidR="00B76B9E" w:rsidRPr="009C4AB0">
              <w:rPr>
                <w:bCs/>
                <w:sz w:val="22"/>
                <w:szCs w:val="22"/>
                <w:shd w:val="clear" w:color="auto" w:fill="FFFFFF"/>
              </w:rPr>
              <w:t>Planavimo organizatorius apie priimtą motyvuotą sprendimą atmesti pasiūlymą ne vėliau kaip per 3 darbo dienas nuo šio sprendimo priėmimo dienos raštu informuoja planavimo iniciatorių ir šį sprendimą paskelbia savo interneto svetainėje. Sprendimas atmesti pasiūlymą gali būti apskųstas Lietuvos Respublikos įstatymų nustatyta tvarka</w:t>
            </w:r>
            <w:r w:rsidRPr="009C4AB0">
              <w:rPr>
                <w:sz w:val="22"/>
                <w:szCs w:val="22"/>
                <w:lang w:eastAsia="ar-SA"/>
              </w:rPr>
              <w:t>.</w:t>
            </w:r>
          </w:p>
        </w:tc>
        <w:tc>
          <w:tcPr>
            <w:tcW w:w="3658" w:type="dxa"/>
            <w:shd w:val="clear" w:color="auto" w:fill="auto"/>
          </w:tcPr>
          <w:p w:rsidR="000E2744" w:rsidRPr="009C4AB0" w:rsidRDefault="000E2744">
            <w:pPr>
              <w:jc w:val="both"/>
              <w:rPr>
                <w:b/>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X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lastRenderedPageBreak/>
              <w:t>15.</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Teisės akto projektas nustato kontrolės (priežiūros) procedūrą ir aiškius jos atlikimo kriterijus (atvejus, dažnį, fiksavimą, kontrolės rezultatų viešinimą ir panašiai)</w:t>
            </w:r>
          </w:p>
        </w:tc>
        <w:tc>
          <w:tcPr>
            <w:tcW w:w="3845" w:type="dxa"/>
            <w:shd w:val="clear" w:color="auto" w:fill="auto"/>
          </w:tcPr>
          <w:p w:rsidR="000E2744" w:rsidRPr="009C4AB0" w:rsidRDefault="00BA2A54" w:rsidP="000D0106">
            <w:pPr>
              <w:jc w:val="both"/>
              <w:rPr>
                <w:sz w:val="22"/>
                <w:szCs w:val="22"/>
              </w:rPr>
            </w:pPr>
            <w:r w:rsidRPr="009C4AB0">
              <w:rPr>
                <w:sz w:val="22"/>
                <w:szCs w:val="22"/>
              </w:rPr>
              <w:t xml:space="preserve">Nereglamentuota. </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t>16.</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Teisės akto projekte nustatytos kontrolės (priežiūros) skaidrumo ir objektyvumo užtikrinimo priemonės</w:t>
            </w:r>
          </w:p>
        </w:tc>
        <w:tc>
          <w:tcPr>
            <w:tcW w:w="3845" w:type="dxa"/>
            <w:shd w:val="clear" w:color="auto" w:fill="auto"/>
          </w:tcPr>
          <w:p w:rsidR="000E2744" w:rsidRPr="009C4AB0" w:rsidRDefault="001B526E" w:rsidP="000D0106">
            <w:pPr>
              <w:suppressLineNumbers/>
              <w:suppressAutoHyphens/>
              <w:jc w:val="both"/>
              <w:rPr>
                <w:sz w:val="22"/>
                <w:szCs w:val="22"/>
                <w:lang w:eastAsia="lt-LT"/>
              </w:rPr>
            </w:pPr>
            <w:r w:rsidRPr="009C4AB0">
              <w:rPr>
                <w:sz w:val="22"/>
                <w:szCs w:val="22"/>
              </w:rPr>
              <w:t xml:space="preserve">Aprašo 34 p. nustatoma, kad įgyvendinimo sutartyje susitariama dėl žemės sklypų pertvarkymo išlaidų apmokėjimo ir kompensacijų nekilnojamojo turto savininkams dėl teritorijų planavimo dokumente numatomų apribojimų nekilnojamajam turtui mokėjimo, taip pat susitariama dėl </w:t>
            </w:r>
            <w:r w:rsidRPr="009C4AB0">
              <w:rPr>
                <w:bCs/>
                <w:sz w:val="22"/>
                <w:szCs w:val="22"/>
              </w:rPr>
              <w:t xml:space="preserve">būsto perdavimo į savivaldybės būsto </w:t>
            </w:r>
            <w:r w:rsidRPr="009C4AB0">
              <w:rPr>
                <w:bCs/>
                <w:sz w:val="22"/>
                <w:szCs w:val="22"/>
              </w:rPr>
              <w:lastRenderedPageBreak/>
              <w:t xml:space="preserve">fondą pagal </w:t>
            </w:r>
            <w:r w:rsidR="000D0106">
              <w:rPr>
                <w:bCs/>
                <w:sz w:val="22"/>
                <w:szCs w:val="22"/>
              </w:rPr>
              <w:t>TPĮ</w:t>
            </w:r>
            <w:r w:rsidRPr="009C4AB0">
              <w:rPr>
                <w:bCs/>
                <w:sz w:val="22"/>
                <w:szCs w:val="22"/>
              </w:rPr>
              <w:t xml:space="preserve"> 15 straipsnio 2 dalį (dėl perduodamo būsto naudingojo ar pagrindinio ploto dydžio (procentais), perdavimo terminų, netesybų ir kitų sąlygų)</w:t>
            </w:r>
            <w:r w:rsidR="009C4AB0" w:rsidRPr="009C4AB0">
              <w:rPr>
                <w:bCs/>
                <w:sz w:val="22"/>
                <w:szCs w:val="22"/>
              </w:rPr>
              <w:t>.</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X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keepNext/>
              <w:jc w:val="both"/>
              <w:rPr>
                <w:sz w:val="22"/>
                <w:szCs w:val="22"/>
                <w:lang w:eastAsia="lt-LT"/>
              </w:rPr>
            </w:pPr>
            <w:r w:rsidRPr="009C4AB0">
              <w:rPr>
                <w:sz w:val="22"/>
                <w:szCs w:val="22"/>
                <w:lang w:eastAsia="lt-LT"/>
              </w:rPr>
              <w:lastRenderedPageBreak/>
              <w:t>17.</w:t>
            </w:r>
          </w:p>
        </w:tc>
        <w:tc>
          <w:tcPr>
            <w:tcW w:w="3301" w:type="dxa"/>
            <w:shd w:val="clear" w:color="auto" w:fill="auto"/>
          </w:tcPr>
          <w:p w:rsidR="000E2744" w:rsidRPr="009C4AB0" w:rsidRDefault="00BA2A54">
            <w:pPr>
              <w:keepNext/>
              <w:jc w:val="both"/>
              <w:rPr>
                <w:sz w:val="22"/>
                <w:szCs w:val="22"/>
                <w:lang w:eastAsia="lt-LT"/>
              </w:rPr>
            </w:pPr>
            <w:r w:rsidRPr="009C4AB0">
              <w:rPr>
                <w:sz w:val="22"/>
                <w:szCs w:val="22"/>
                <w:lang w:eastAsia="lt-LT"/>
              </w:rPr>
              <w:t>Teisės akto projekte nustatyta subjektų, su kuriais susijęs teisės akto projekto nuostatų įgyvendinimas, atsakomybės rūšis (tarnybinė, administracinė, baudžiamoji ir panašiai)</w:t>
            </w:r>
          </w:p>
        </w:tc>
        <w:tc>
          <w:tcPr>
            <w:tcW w:w="3845" w:type="dxa"/>
            <w:shd w:val="clear" w:color="auto" w:fill="auto"/>
          </w:tcPr>
          <w:p w:rsidR="000E2744" w:rsidRPr="009C4AB0" w:rsidRDefault="00BA2A54">
            <w:pPr>
              <w:keepNext/>
              <w:jc w:val="both"/>
              <w:rPr>
                <w:sz w:val="22"/>
                <w:szCs w:val="22"/>
              </w:rPr>
            </w:pPr>
            <w:r w:rsidRPr="009C4AB0">
              <w:rPr>
                <w:sz w:val="22"/>
                <w:szCs w:val="22"/>
              </w:rPr>
              <w:t>Projekte  nenustatyta subjektų, su kuriais susijęs teisės akto projekto nuostatų įgyvendinimas, atsakomybės rūšis.</w:t>
            </w:r>
          </w:p>
          <w:p w:rsidR="000E2744" w:rsidRPr="009C4AB0" w:rsidRDefault="000E2744">
            <w:pPr>
              <w:jc w:val="both"/>
              <w:rPr>
                <w:sz w:val="22"/>
                <w:szCs w:val="22"/>
              </w:rPr>
            </w:pPr>
          </w:p>
        </w:tc>
        <w:tc>
          <w:tcPr>
            <w:tcW w:w="3658" w:type="dxa"/>
            <w:shd w:val="clear" w:color="auto" w:fill="auto"/>
          </w:tcPr>
          <w:p w:rsidR="000E2744" w:rsidRPr="009C4AB0" w:rsidRDefault="000E2744">
            <w:pPr>
              <w:keepNext/>
              <w:jc w:val="both"/>
              <w:rPr>
                <w:b/>
                <w:sz w:val="22"/>
                <w:szCs w:val="22"/>
                <w:lang w:eastAsia="lt-LT"/>
              </w:rPr>
            </w:pPr>
          </w:p>
        </w:tc>
        <w:tc>
          <w:tcPr>
            <w:tcW w:w="2611" w:type="dxa"/>
            <w:shd w:val="clear" w:color="auto" w:fill="auto"/>
          </w:tcPr>
          <w:p w:rsidR="000E2744" w:rsidRPr="009C4AB0" w:rsidRDefault="00BA2A54">
            <w:pPr>
              <w:keepNext/>
              <w:jc w:val="both"/>
              <w:rPr>
                <w:sz w:val="22"/>
                <w:szCs w:val="22"/>
                <w:lang w:eastAsia="lt-LT"/>
              </w:rPr>
            </w:pPr>
            <w:r w:rsidRPr="009C4AB0">
              <w:rPr>
                <w:sz w:val="22"/>
                <w:szCs w:val="22"/>
                <w:lang w:eastAsia="lt-LT"/>
              </w:rPr>
              <w:t>□ tenkina</w:t>
            </w:r>
          </w:p>
          <w:p w:rsidR="000E2744" w:rsidRPr="009C4AB0" w:rsidRDefault="00BA2A54">
            <w:pPr>
              <w:keepNext/>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t>18.</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3845" w:type="dxa"/>
            <w:shd w:val="clear" w:color="auto" w:fill="auto"/>
          </w:tcPr>
          <w:p w:rsidR="000E2744" w:rsidRPr="009C4AB0" w:rsidRDefault="00BA2A54">
            <w:pPr>
              <w:jc w:val="both"/>
              <w:rPr>
                <w:sz w:val="22"/>
                <w:szCs w:val="22"/>
              </w:rPr>
            </w:pPr>
            <w:r w:rsidRPr="009C4AB0">
              <w:rPr>
                <w:sz w:val="22"/>
                <w:szCs w:val="22"/>
              </w:rPr>
              <w:t>Projekte nenumatyti kriterijai, pagal kuriuos skiriama nuobauda (sankcija) už teisės akto projekte nustatytų nurodymų nevykdymą.</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 tenkina</w:t>
            </w:r>
          </w:p>
          <w:p w:rsidR="000E2744" w:rsidRPr="009C4AB0" w:rsidRDefault="00BA2A54">
            <w:pPr>
              <w:jc w:val="both"/>
              <w:rPr>
                <w:sz w:val="22"/>
                <w:szCs w:val="22"/>
                <w:lang w:eastAsia="lt-LT"/>
              </w:rPr>
            </w:pPr>
            <w:r w:rsidRPr="009C4AB0">
              <w:rPr>
                <w:sz w:val="22"/>
                <w:szCs w:val="22"/>
                <w:lang w:eastAsia="lt-LT"/>
              </w:rPr>
              <w:t>□  netenkina</w:t>
            </w:r>
          </w:p>
        </w:tc>
      </w:tr>
      <w:tr w:rsidR="000E2744" w:rsidRPr="009C4AB0">
        <w:trPr>
          <w:trHeight w:val="23"/>
        </w:trPr>
        <w:tc>
          <w:tcPr>
            <w:tcW w:w="696" w:type="dxa"/>
            <w:shd w:val="clear" w:color="auto" w:fill="auto"/>
          </w:tcPr>
          <w:p w:rsidR="000E2744" w:rsidRPr="009C4AB0" w:rsidRDefault="00BA2A54">
            <w:pPr>
              <w:jc w:val="both"/>
              <w:rPr>
                <w:sz w:val="22"/>
                <w:szCs w:val="22"/>
                <w:lang w:eastAsia="lt-LT"/>
              </w:rPr>
            </w:pPr>
            <w:r w:rsidRPr="009C4AB0">
              <w:rPr>
                <w:sz w:val="22"/>
                <w:szCs w:val="22"/>
                <w:lang w:eastAsia="lt-LT"/>
              </w:rPr>
              <w:t>19.</w:t>
            </w:r>
          </w:p>
        </w:tc>
        <w:tc>
          <w:tcPr>
            <w:tcW w:w="3301" w:type="dxa"/>
            <w:shd w:val="clear" w:color="auto" w:fill="auto"/>
          </w:tcPr>
          <w:p w:rsidR="000E2744" w:rsidRPr="009C4AB0" w:rsidRDefault="00BA2A54">
            <w:pPr>
              <w:jc w:val="both"/>
              <w:rPr>
                <w:sz w:val="22"/>
                <w:szCs w:val="22"/>
                <w:lang w:eastAsia="lt-LT"/>
              </w:rPr>
            </w:pPr>
            <w:r w:rsidRPr="009C4AB0">
              <w:rPr>
                <w:sz w:val="22"/>
                <w:szCs w:val="22"/>
                <w:lang w:eastAsia="lt-LT"/>
              </w:rPr>
              <w:t>Kiti svarbūs kriterijai</w:t>
            </w:r>
          </w:p>
        </w:tc>
        <w:tc>
          <w:tcPr>
            <w:tcW w:w="3845" w:type="dxa"/>
            <w:shd w:val="clear" w:color="auto" w:fill="auto"/>
          </w:tcPr>
          <w:p w:rsidR="000E2744" w:rsidRPr="009C4AB0" w:rsidRDefault="00BA2A54">
            <w:pPr>
              <w:jc w:val="both"/>
              <w:rPr>
                <w:sz w:val="22"/>
                <w:szCs w:val="22"/>
                <w:lang w:eastAsia="lt-LT"/>
              </w:rPr>
            </w:pPr>
            <w:r w:rsidRPr="009C4AB0">
              <w:rPr>
                <w:sz w:val="22"/>
                <w:szCs w:val="22"/>
                <w:lang w:eastAsia="lt-LT"/>
              </w:rPr>
              <w:t>Nėra.</w:t>
            </w:r>
          </w:p>
        </w:tc>
        <w:tc>
          <w:tcPr>
            <w:tcW w:w="3658" w:type="dxa"/>
            <w:shd w:val="clear" w:color="auto" w:fill="auto"/>
          </w:tcPr>
          <w:p w:rsidR="000E2744" w:rsidRPr="009C4AB0" w:rsidRDefault="000E2744">
            <w:pPr>
              <w:jc w:val="both"/>
              <w:rPr>
                <w:sz w:val="22"/>
                <w:szCs w:val="22"/>
                <w:lang w:eastAsia="lt-LT"/>
              </w:rPr>
            </w:pPr>
          </w:p>
        </w:tc>
        <w:tc>
          <w:tcPr>
            <w:tcW w:w="2611" w:type="dxa"/>
            <w:shd w:val="clear" w:color="auto" w:fill="auto"/>
          </w:tcPr>
          <w:p w:rsidR="000E2744" w:rsidRPr="009C4AB0" w:rsidRDefault="00BA2A54">
            <w:pPr>
              <w:jc w:val="both"/>
              <w:rPr>
                <w:sz w:val="22"/>
                <w:szCs w:val="22"/>
                <w:lang w:eastAsia="lt-LT"/>
              </w:rPr>
            </w:pPr>
            <w:r w:rsidRPr="009C4AB0">
              <w:rPr>
                <w:sz w:val="22"/>
                <w:szCs w:val="22"/>
                <w:lang w:eastAsia="lt-LT"/>
              </w:rPr>
              <w:t>□ tenkina</w:t>
            </w:r>
          </w:p>
          <w:p w:rsidR="000E2744" w:rsidRPr="009C4AB0" w:rsidRDefault="00BA2A54">
            <w:pPr>
              <w:jc w:val="both"/>
              <w:rPr>
                <w:sz w:val="22"/>
                <w:szCs w:val="22"/>
                <w:lang w:eastAsia="lt-LT"/>
              </w:rPr>
            </w:pPr>
            <w:r w:rsidRPr="009C4AB0">
              <w:rPr>
                <w:sz w:val="22"/>
                <w:szCs w:val="22"/>
                <w:lang w:eastAsia="lt-LT"/>
              </w:rPr>
              <w:t>□ netenkina</w:t>
            </w:r>
          </w:p>
        </w:tc>
      </w:tr>
    </w:tbl>
    <w:p w:rsidR="000E2744" w:rsidRPr="009C4AB0" w:rsidRDefault="000E2744">
      <w:pPr>
        <w:tabs>
          <w:tab w:val="left" w:pos="6237"/>
        </w:tabs>
        <w:jc w:val="both"/>
        <w:rPr>
          <w:color w:val="000000"/>
          <w:sz w:val="22"/>
          <w:szCs w:val="22"/>
          <w:lang w:eastAsia="lt-LT"/>
        </w:rPr>
      </w:pPr>
    </w:p>
    <w:tbl>
      <w:tblPr>
        <w:tblW w:w="14282" w:type="dxa"/>
        <w:tblInd w:w="108" w:type="dxa"/>
        <w:tblLook w:val="04A0" w:firstRow="1" w:lastRow="0" w:firstColumn="1" w:lastColumn="0" w:noHBand="0" w:noVBand="1"/>
      </w:tblPr>
      <w:tblGrid>
        <w:gridCol w:w="5103"/>
        <w:gridCol w:w="2061"/>
        <w:gridCol w:w="5027"/>
        <w:gridCol w:w="2091"/>
      </w:tblGrid>
      <w:tr w:rsidR="000E2744" w:rsidRPr="009C4AB0">
        <w:trPr>
          <w:trHeight w:val="23"/>
        </w:trPr>
        <w:tc>
          <w:tcPr>
            <w:tcW w:w="7164" w:type="dxa"/>
            <w:gridSpan w:val="2"/>
            <w:shd w:val="clear" w:color="auto" w:fill="auto"/>
          </w:tcPr>
          <w:p w:rsidR="000E2744" w:rsidRPr="009C4AB0" w:rsidRDefault="00BA2A54">
            <w:pPr>
              <w:rPr>
                <w:sz w:val="22"/>
                <w:szCs w:val="22"/>
                <w:lang w:eastAsia="lt-LT"/>
              </w:rPr>
            </w:pPr>
            <w:r w:rsidRPr="009C4AB0">
              <w:rPr>
                <w:sz w:val="22"/>
                <w:szCs w:val="22"/>
                <w:lang w:eastAsia="lt-LT"/>
              </w:rPr>
              <w:t>Teisės akto projekto tiesioginis rengėjas:</w:t>
            </w:r>
          </w:p>
        </w:tc>
        <w:tc>
          <w:tcPr>
            <w:tcW w:w="7118" w:type="dxa"/>
            <w:gridSpan w:val="2"/>
            <w:shd w:val="clear" w:color="auto" w:fill="auto"/>
          </w:tcPr>
          <w:p w:rsidR="000E2744" w:rsidRPr="009C4AB0" w:rsidRDefault="00BA2A54">
            <w:pPr>
              <w:rPr>
                <w:sz w:val="22"/>
                <w:szCs w:val="22"/>
                <w:lang w:eastAsia="lt-LT"/>
              </w:rPr>
            </w:pPr>
            <w:r w:rsidRPr="009C4AB0">
              <w:rPr>
                <w:sz w:val="22"/>
                <w:szCs w:val="22"/>
                <w:lang w:eastAsia="lt-LT"/>
              </w:rPr>
              <w:t>Teisės akto projekto vertintojas:</w:t>
            </w:r>
          </w:p>
        </w:tc>
      </w:tr>
      <w:tr w:rsidR="000E2744" w:rsidRPr="009C4AB0">
        <w:trPr>
          <w:trHeight w:val="23"/>
        </w:trPr>
        <w:tc>
          <w:tcPr>
            <w:tcW w:w="5103" w:type="dxa"/>
            <w:tcBorders>
              <w:bottom w:val="single" w:sz="4" w:space="0" w:color="auto"/>
            </w:tcBorders>
            <w:shd w:val="clear" w:color="auto" w:fill="auto"/>
            <w:vAlign w:val="bottom"/>
          </w:tcPr>
          <w:p w:rsidR="000E2744" w:rsidRPr="009C4AB0" w:rsidRDefault="00BA2A54">
            <w:pPr>
              <w:rPr>
                <w:sz w:val="22"/>
                <w:szCs w:val="22"/>
                <w:lang w:eastAsia="lt-LT"/>
              </w:rPr>
            </w:pPr>
            <w:r w:rsidRPr="009C4AB0">
              <w:rPr>
                <w:sz w:val="22"/>
                <w:szCs w:val="22"/>
                <w:lang w:eastAsia="lt-LT"/>
              </w:rPr>
              <w:t xml:space="preserve">Aplinkos ministerijos </w:t>
            </w:r>
            <w:r w:rsidRPr="009C4AB0">
              <w:rPr>
                <w:sz w:val="22"/>
                <w:szCs w:val="22"/>
                <w:lang w:eastAsia="ar-SA"/>
              </w:rPr>
              <w:t xml:space="preserve">Statybos ir teritorijų planavimo politikos grupės </w:t>
            </w:r>
            <w:r w:rsidRPr="009C4AB0">
              <w:rPr>
                <w:sz w:val="22"/>
                <w:szCs w:val="22"/>
                <w:lang w:eastAsia="lt-LT"/>
              </w:rPr>
              <w:t>vyriausioji specialistė</w:t>
            </w:r>
          </w:p>
        </w:tc>
        <w:tc>
          <w:tcPr>
            <w:tcW w:w="2061" w:type="dxa"/>
            <w:tcBorders>
              <w:bottom w:val="single" w:sz="4" w:space="0" w:color="auto"/>
            </w:tcBorders>
            <w:shd w:val="clear" w:color="auto" w:fill="auto"/>
            <w:vAlign w:val="bottom"/>
          </w:tcPr>
          <w:p w:rsidR="000E2744" w:rsidRPr="009C4AB0" w:rsidRDefault="00BA2A54">
            <w:pPr>
              <w:rPr>
                <w:sz w:val="22"/>
                <w:szCs w:val="22"/>
                <w:lang w:eastAsia="lt-LT"/>
              </w:rPr>
            </w:pPr>
            <w:r w:rsidRPr="009C4AB0">
              <w:rPr>
                <w:sz w:val="22"/>
                <w:szCs w:val="22"/>
                <w:lang w:eastAsia="ar-SA"/>
              </w:rPr>
              <w:t>Laima Skaisgirienė</w:t>
            </w:r>
          </w:p>
        </w:tc>
        <w:tc>
          <w:tcPr>
            <w:tcW w:w="5027" w:type="dxa"/>
            <w:tcBorders>
              <w:bottom w:val="single" w:sz="4" w:space="0" w:color="auto"/>
            </w:tcBorders>
            <w:shd w:val="clear" w:color="auto" w:fill="auto"/>
            <w:vAlign w:val="bottom"/>
          </w:tcPr>
          <w:p w:rsidR="000E2744" w:rsidRPr="009C4AB0" w:rsidRDefault="00BA2A54">
            <w:pPr>
              <w:rPr>
                <w:sz w:val="22"/>
                <w:szCs w:val="22"/>
                <w:lang w:eastAsia="lt-LT"/>
              </w:rPr>
            </w:pPr>
            <w:r w:rsidRPr="009C4AB0">
              <w:rPr>
                <w:sz w:val="22"/>
                <w:szCs w:val="22"/>
                <w:lang w:eastAsia="lt-LT"/>
              </w:rPr>
              <w:t>Aplinkos ministerijos Korupcijos prevencijos ir vidaus tyrimų skyriaus vyriausioji specialistė</w:t>
            </w:r>
          </w:p>
        </w:tc>
        <w:tc>
          <w:tcPr>
            <w:tcW w:w="2091" w:type="dxa"/>
            <w:tcBorders>
              <w:bottom w:val="single" w:sz="4" w:space="0" w:color="auto"/>
            </w:tcBorders>
            <w:shd w:val="clear" w:color="auto" w:fill="auto"/>
            <w:vAlign w:val="bottom"/>
          </w:tcPr>
          <w:p w:rsidR="000E2744" w:rsidRPr="009C4AB0" w:rsidRDefault="00BA2A54">
            <w:pPr>
              <w:rPr>
                <w:sz w:val="22"/>
                <w:szCs w:val="22"/>
                <w:lang w:eastAsia="lt-LT"/>
              </w:rPr>
            </w:pPr>
            <w:r w:rsidRPr="009C4AB0">
              <w:rPr>
                <w:sz w:val="22"/>
                <w:szCs w:val="22"/>
                <w:lang w:eastAsia="lt-LT"/>
              </w:rPr>
              <w:t xml:space="preserve">Rita </w:t>
            </w:r>
            <w:proofErr w:type="spellStart"/>
            <w:r w:rsidRPr="009C4AB0">
              <w:rPr>
                <w:sz w:val="22"/>
                <w:szCs w:val="22"/>
                <w:lang w:eastAsia="lt-LT"/>
              </w:rPr>
              <w:t>Rusak</w:t>
            </w:r>
            <w:proofErr w:type="spellEnd"/>
          </w:p>
        </w:tc>
      </w:tr>
      <w:tr w:rsidR="000E2744" w:rsidRPr="009C4AB0">
        <w:trPr>
          <w:trHeight w:val="23"/>
        </w:trPr>
        <w:tc>
          <w:tcPr>
            <w:tcW w:w="5103" w:type="dxa"/>
            <w:tcBorders>
              <w:top w:val="single" w:sz="4" w:space="0" w:color="auto"/>
            </w:tcBorders>
            <w:shd w:val="clear" w:color="auto" w:fill="auto"/>
            <w:vAlign w:val="bottom"/>
          </w:tcPr>
          <w:p w:rsidR="000E2744" w:rsidRPr="009C4AB0" w:rsidRDefault="00BA2A54">
            <w:pPr>
              <w:rPr>
                <w:sz w:val="22"/>
                <w:szCs w:val="22"/>
                <w:lang w:eastAsia="lt-LT"/>
              </w:rPr>
            </w:pPr>
            <w:r w:rsidRPr="009C4AB0">
              <w:rPr>
                <w:sz w:val="22"/>
                <w:szCs w:val="22"/>
                <w:lang w:eastAsia="lt-LT"/>
              </w:rPr>
              <w:t>(pareigos)</w:t>
            </w:r>
          </w:p>
        </w:tc>
        <w:tc>
          <w:tcPr>
            <w:tcW w:w="2061" w:type="dxa"/>
            <w:tcBorders>
              <w:top w:val="single" w:sz="4" w:space="0" w:color="auto"/>
            </w:tcBorders>
            <w:shd w:val="clear" w:color="auto" w:fill="auto"/>
            <w:vAlign w:val="bottom"/>
          </w:tcPr>
          <w:p w:rsidR="000E2744" w:rsidRPr="009C4AB0" w:rsidRDefault="00BA2A54">
            <w:pPr>
              <w:rPr>
                <w:sz w:val="22"/>
                <w:szCs w:val="22"/>
                <w:lang w:eastAsia="lt-LT"/>
              </w:rPr>
            </w:pPr>
            <w:r w:rsidRPr="009C4AB0">
              <w:rPr>
                <w:sz w:val="22"/>
                <w:szCs w:val="22"/>
                <w:lang w:eastAsia="lt-LT"/>
              </w:rPr>
              <w:t>(vardas ir pavardė)</w:t>
            </w:r>
          </w:p>
        </w:tc>
        <w:tc>
          <w:tcPr>
            <w:tcW w:w="5027" w:type="dxa"/>
            <w:tcBorders>
              <w:top w:val="single" w:sz="4" w:space="0" w:color="auto"/>
            </w:tcBorders>
            <w:shd w:val="clear" w:color="auto" w:fill="auto"/>
            <w:vAlign w:val="bottom"/>
          </w:tcPr>
          <w:p w:rsidR="000E2744" w:rsidRPr="009C4AB0" w:rsidRDefault="00BA2A54">
            <w:pPr>
              <w:rPr>
                <w:sz w:val="22"/>
                <w:szCs w:val="22"/>
                <w:lang w:eastAsia="lt-LT"/>
              </w:rPr>
            </w:pPr>
            <w:r w:rsidRPr="009C4AB0">
              <w:rPr>
                <w:sz w:val="22"/>
                <w:szCs w:val="22"/>
                <w:lang w:eastAsia="lt-LT"/>
              </w:rPr>
              <w:t>(pareigos)</w:t>
            </w:r>
          </w:p>
        </w:tc>
        <w:tc>
          <w:tcPr>
            <w:tcW w:w="2091" w:type="dxa"/>
            <w:tcBorders>
              <w:top w:val="single" w:sz="4" w:space="0" w:color="auto"/>
            </w:tcBorders>
            <w:shd w:val="clear" w:color="auto" w:fill="auto"/>
            <w:vAlign w:val="bottom"/>
          </w:tcPr>
          <w:p w:rsidR="000E2744" w:rsidRPr="009C4AB0" w:rsidRDefault="00BA2A54">
            <w:pPr>
              <w:rPr>
                <w:sz w:val="22"/>
                <w:szCs w:val="22"/>
                <w:lang w:eastAsia="lt-LT"/>
              </w:rPr>
            </w:pPr>
            <w:r w:rsidRPr="009C4AB0">
              <w:rPr>
                <w:sz w:val="22"/>
                <w:szCs w:val="22"/>
                <w:lang w:eastAsia="lt-LT"/>
              </w:rPr>
              <w:t>(vardas ir pavardė)</w:t>
            </w:r>
          </w:p>
        </w:tc>
      </w:tr>
      <w:tr w:rsidR="000E2744" w:rsidRPr="009C4AB0">
        <w:trPr>
          <w:trHeight w:val="617"/>
        </w:trPr>
        <w:tc>
          <w:tcPr>
            <w:tcW w:w="5103" w:type="dxa"/>
            <w:tcBorders>
              <w:bottom w:val="single" w:sz="4" w:space="0" w:color="auto"/>
            </w:tcBorders>
            <w:shd w:val="clear" w:color="auto" w:fill="auto"/>
            <w:vAlign w:val="bottom"/>
          </w:tcPr>
          <w:p w:rsidR="000E2744" w:rsidRPr="009C4AB0" w:rsidRDefault="000E2744">
            <w:pPr>
              <w:rPr>
                <w:sz w:val="22"/>
                <w:szCs w:val="22"/>
                <w:lang w:eastAsia="lt-LT"/>
              </w:rPr>
            </w:pPr>
          </w:p>
        </w:tc>
        <w:tc>
          <w:tcPr>
            <w:tcW w:w="2061" w:type="dxa"/>
            <w:tcBorders>
              <w:bottom w:val="single" w:sz="4" w:space="0" w:color="auto"/>
            </w:tcBorders>
            <w:shd w:val="clear" w:color="auto" w:fill="auto"/>
            <w:vAlign w:val="bottom"/>
          </w:tcPr>
          <w:p w:rsidR="000E2744" w:rsidRPr="009C4AB0" w:rsidRDefault="000E2744">
            <w:pPr>
              <w:rPr>
                <w:sz w:val="22"/>
                <w:szCs w:val="22"/>
                <w:lang w:eastAsia="lt-LT"/>
              </w:rPr>
            </w:pPr>
          </w:p>
        </w:tc>
        <w:tc>
          <w:tcPr>
            <w:tcW w:w="5027" w:type="dxa"/>
            <w:tcBorders>
              <w:bottom w:val="single" w:sz="4" w:space="0" w:color="auto"/>
            </w:tcBorders>
            <w:shd w:val="clear" w:color="auto" w:fill="auto"/>
            <w:vAlign w:val="bottom"/>
          </w:tcPr>
          <w:p w:rsidR="000E2744" w:rsidRPr="009C4AB0" w:rsidRDefault="000E2744">
            <w:pPr>
              <w:rPr>
                <w:sz w:val="22"/>
                <w:szCs w:val="22"/>
                <w:lang w:eastAsia="lt-LT"/>
              </w:rPr>
            </w:pPr>
          </w:p>
        </w:tc>
        <w:tc>
          <w:tcPr>
            <w:tcW w:w="2091" w:type="dxa"/>
            <w:tcBorders>
              <w:bottom w:val="single" w:sz="4" w:space="0" w:color="auto"/>
            </w:tcBorders>
            <w:shd w:val="clear" w:color="auto" w:fill="auto"/>
            <w:vAlign w:val="bottom"/>
          </w:tcPr>
          <w:p w:rsidR="000E2744" w:rsidRPr="009C4AB0" w:rsidRDefault="000E2744">
            <w:pPr>
              <w:rPr>
                <w:sz w:val="22"/>
                <w:szCs w:val="22"/>
                <w:lang w:eastAsia="lt-LT"/>
              </w:rPr>
            </w:pPr>
          </w:p>
        </w:tc>
      </w:tr>
      <w:tr w:rsidR="000E2744" w:rsidRPr="009C4AB0">
        <w:trPr>
          <w:trHeight w:val="23"/>
        </w:trPr>
        <w:tc>
          <w:tcPr>
            <w:tcW w:w="5103" w:type="dxa"/>
            <w:tcBorders>
              <w:top w:val="single" w:sz="4" w:space="0" w:color="auto"/>
            </w:tcBorders>
            <w:shd w:val="clear" w:color="auto" w:fill="auto"/>
            <w:vAlign w:val="bottom"/>
          </w:tcPr>
          <w:p w:rsidR="000E2744" w:rsidRPr="009C4AB0" w:rsidRDefault="00BA2A54">
            <w:pPr>
              <w:jc w:val="center"/>
              <w:rPr>
                <w:sz w:val="22"/>
                <w:szCs w:val="22"/>
                <w:lang w:eastAsia="lt-LT"/>
              </w:rPr>
            </w:pPr>
            <w:r w:rsidRPr="009C4AB0">
              <w:rPr>
                <w:sz w:val="22"/>
                <w:szCs w:val="22"/>
                <w:lang w:eastAsia="lt-LT"/>
              </w:rPr>
              <w:t>(parašas)</w:t>
            </w:r>
          </w:p>
        </w:tc>
        <w:tc>
          <w:tcPr>
            <w:tcW w:w="2061" w:type="dxa"/>
            <w:tcBorders>
              <w:top w:val="single" w:sz="4" w:space="0" w:color="auto"/>
            </w:tcBorders>
            <w:shd w:val="clear" w:color="auto" w:fill="auto"/>
            <w:vAlign w:val="bottom"/>
          </w:tcPr>
          <w:p w:rsidR="000E2744" w:rsidRPr="009C4AB0" w:rsidRDefault="00BA2A54">
            <w:pPr>
              <w:jc w:val="center"/>
              <w:rPr>
                <w:sz w:val="22"/>
                <w:szCs w:val="22"/>
                <w:lang w:eastAsia="lt-LT"/>
              </w:rPr>
            </w:pPr>
            <w:r w:rsidRPr="009C4AB0">
              <w:rPr>
                <w:sz w:val="22"/>
                <w:szCs w:val="22"/>
                <w:lang w:eastAsia="lt-LT"/>
              </w:rPr>
              <w:t>(data)</w:t>
            </w:r>
          </w:p>
        </w:tc>
        <w:tc>
          <w:tcPr>
            <w:tcW w:w="5027" w:type="dxa"/>
            <w:tcBorders>
              <w:top w:val="single" w:sz="4" w:space="0" w:color="auto"/>
            </w:tcBorders>
            <w:shd w:val="clear" w:color="auto" w:fill="auto"/>
            <w:vAlign w:val="bottom"/>
          </w:tcPr>
          <w:p w:rsidR="000E2744" w:rsidRPr="009C4AB0" w:rsidRDefault="00BA2A54">
            <w:pPr>
              <w:jc w:val="center"/>
              <w:rPr>
                <w:sz w:val="22"/>
                <w:szCs w:val="22"/>
                <w:lang w:eastAsia="lt-LT"/>
              </w:rPr>
            </w:pPr>
            <w:r w:rsidRPr="009C4AB0">
              <w:rPr>
                <w:sz w:val="22"/>
                <w:szCs w:val="22"/>
                <w:lang w:eastAsia="lt-LT"/>
              </w:rPr>
              <w:t>(parašas)</w:t>
            </w:r>
          </w:p>
        </w:tc>
        <w:tc>
          <w:tcPr>
            <w:tcW w:w="2091" w:type="dxa"/>
            <w:tcBorders>
              <w:top w:val="single" w:sz="4" w:space="0" w:color="auto"/>
            </w:tcBorders>
            <w:shd w:val="clear" w:color="auto" w:fill="auto"/>
            <w:vAlign w:val="bottom"/>
          </w:tcPr>
          <w:p w:rsidR="000E2744" w:rsidRPr="009C4AB0" w:rsidRDefault="00BA2A54">
            <w:pPr>
              <w:jc w:val="center"/>
              <w:rPr>
                <w:sz w:val="22"/>
                <w:szCs w:val="22"/>
                <w:lang w:eastAsia="lt-LT"/>
              </w:rPr>
            </w:pPr>
            <w:r w:rsidRPr="009C4AB0">
              <w:rPr>
                <w:sz w:val="22"/>
                <w:szCs w:val="22"/>
                <w:lang w:eastAsia="lt-LT"/>
              </w:rPr>
              <w:t>(data)</w:t>
            </w:r>
          </w:p>
        </w:tc>
      </w:tr>
    </w:tbl>
    <w:p w:rsidR="000E2744" w:rsidRPr="009C4AB0" w:rsidRDefault="000E2744">
      <w:pPr>
        <w:rPr>
          <w:sz w:val="22"/>
          <w:szCs w:val="22"/>
        </w:rPr>
      </w:pPr>
    </w:p>
    <w:sectPr w:rsidR="000E2744" w:rsidRPr="009C4AB0">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44" w:rsidRDefault="00BA2A54">
      <w:r>
        <w:separator/>
      </w:r>
    </w:p>
  </w:endnote>
  <w:endnote w:type="continuationSeparator" w:id="0">
    <w:p w:rsidR="000E2744" w:rsidRDefault="00BA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ndale Sans UI">
    <w:altName w:val="Times New Roman"/>
    <w:charset w:val="BA"/>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744" w:rsidRDefault="000E274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744" w:rsidRDefault="000E274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744" w:rsidRDefault="000E274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44" w:rsidRDefault="00BA2A54">
      <w:r>
        <w:separator/>
      </w:r>
    </w:p>
  </w:footnote>
  <w:footnote w:type="continuationSeparator" w:id="0">
    <w:p w:rsidR="000E2744" w:rsidRDefault="00BA2A54">
      <w:r>
        <w:continuationSeparator/>
      </w:r>
    </w:p>
  </w:footnote>
  <w:footnote w:id="1">
    <w:p w:rsidR="000E2744" w:rsidRDefault="00BA2A54">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0E2744" w:rsidRDefault="00BA2A54">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744" w:rsidRDefault="000E274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744" w:rsidRDefault="00BA2A54">
    <w:pPr>
      <w:tabs>
        <w:tab w:val="center" w:pos="4819"/>
        <w:tab w:val="right" w:pos="9638"/>
      </w:tabs>
      <w:jc w:val="center"/>
    </w:pPr>
    <w:r>
      <w:fldChar w:fldCharType="begin"/>
    </w:r>
    <w:r>
      <w:instrText xml:space="preserve"> PAGE   \* MERGEFORMAT </w:instrText>
    </w:r>
    <w:r>
      <w:fldChar w:fldCharType="separate"/>
    </w:r>
    <w:r w:rsidR="003C1524">
      <w:rPr>
        <w:noProof/>
      </w:rPr>
      <w:t>11</w:t>
    </w:r>
    <w:r>
      <w:fldChar w:fldCharType="end"/>
    </w:r>
  </w:p>
  <w:p w:rsidR="000E2744" w:rsidRDefault="000E2744">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744" w:rsidRDefault="000E274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D0106"/>
    <w:rsid w:val="000E2744"/>
    <w:rsid w:val="001B526E"/>
    <w:rsid w:val="00237AC2"/>
    <w:rsid w:val="002439F4"/>
    <w:rsid w:val="002D5183"/>
    <w:rsid w:val="003C1524"/>
    <w:rsid w:val="005F3156"/>
    <w:rsid w:val="009C4AB0"/>
    <w:rsid w:val="00B03FCE"/>
    <w:rsid w:val="00B76B9E"/>
    <w:rsid w:val="00BA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Base/>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2021-07-05T14:12:00Z</dcterms:created>
  <dc:creator>r.uselyte</dc:creator>
  <cp:lastModifiedBy>Laima Skaisgirienė</cp:lastModifiedBy>
  <dcterms:modified xsi:type="dcterms:W3CDTF">2021-07-05T14:12:00Z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