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BB1644" w14:textId="77777777" w:rsidR="009D166B" w:rsidRDefault="009449B1">
      <w:pPr>
        <w:ind w:left="6521" w:firstLine="720"/>
        <w:rPr>
          <w:rFonts w:eastAsia="Calibri"/>
          <w:b/>
          <w:szCs w:val="24"/>
        </w:rPr>
      </w:pPr>
      <w:r>
        <w:rPr>
          <w:rFonts w:eastAsia="Calibri"/>
          <w:b/>
          <w:szCs w:val="24"/>
        </w:rPr>
        <w:t>Projekto</w:t>
      </w:r>
    </w:p>
    <w:p w14:paraId="13520121" w14:textId="77777777" w:rsidR="009D166B" w:rsidRDefault="009449B1">
      <w:pPr>
        <w:ind w:left="6521" w:firstLine="720"/>
        <w:rPr>
          <w:rFonts w:eastAsia="Calibri"/>
          <w:b/>
          <w:szCs w:val="24"/>
        </w:rPr>
      </w:pPr>
      <w:r>
        <w:rPr>
          <w:rFonts w:eastAsia="Calibri"/>
          <w:b/>
          <w:szCs w:val="24"/>
        </w:rPr>
        <w:t>lyginamasis variantas</w:t>
      </w:r>
    </w:p>
    <w:p w14:paraId="4C01FAF9" w14:textId="77777777" w:rsidR="009D166B" w:rsidRDefault="009D166B">
      <w:pPr>
        <w:ind w:firstLine="720"/>
        <w:jc w:val="center"/>
        <w:rPr>
          <w:rFonts w:eastAsia="Calibri"/>
          <w:b/>
          <w:szCs w:val="24"/>
        </w:rPr>
      </w:pPr>
    </w:p>
    <w:p w14:paraId="0305EDD7" w14:textId="77777777" w:rsidR="009D166B" w:rsidRDefault="009449B1">
      <w:pPr>
        <w:jc w:val="center"/>
        <w:rPr>
          <w:rFonts w:eastAsia="Calibri"/>
          <w:b/>
          <w:szCs w:val="24"/>
        </w:rPr>
      </w:pPr>
      <w:r>
        <w:rPr>
          <w:rFonts w:eastAsia="Calibri"/>
          <w:b/>
          <w:szCs w:val="24"/>
        </w:rPr>
        <w:t>LIETUVOS RESPUBLIKOS</w:t>
      </w:r>
    </w:p>
    <w:p w14:paraId="0FE221ED" w14:textId="0182F549" w:rsidR="009D166B" w:rsidRDefault="009449B1">
      <w:pPr>
        <w:jc w:val="center"/>
        <w:rPr>
          <w:rFonts w:eastAsia="Calibri"/>
          <w:b/>
          <w:bCs/>
          <w:szCs w:val="24"/>
        </w:rPr>
      </w:pPr>
      <w:r>
        <w:rPr>
          <w:rFonts w:eastAsia="Calibri"/>
          <w:b/>
          <w:bCs/>
          <w:szCs w:val="24"/>
        </w:rPr>
        <w:t xml:space="preserve">LIETUVOS BANKO ĮSTATYMO NR. I-678 </w:t>
      </w:r>
      <w:r w:rsidR="00EB1545">
        <w:rPr>
          <w:rFonts w:eastAsia="Calibri"/>
          <w:b/>
          <w:bCs/>
          <w:szCs w:val="24"/>
        </w:rPr>
        <w:t xml:space="preserve">8, </w:t>
      </w:r>
      <w:r w:rsidR="00245D3C">
        <w:rPr>
          <w:rFonts w:eastAsia="Calibri"/>
          <w:b/>
          <w:bCs/>
          <w:szCs w:val="24"/>
          <w:lang w:val="en-US"/>
        </w:rPr>
        <w:t>11,</w:t>
      </w:r>
      <w:r w:rsidR="005B2C02">
        <w:rPr>
          <w:rFonts w:eastAsia="Calibri"/>
          <w:b/>
          <w:bCs/>
          <w:szCs w:val="24"/>
          <w:lang w:val="en-US"/>
        </w:rPr>
        <w:t xml:space="preserve"> </w:t>
      </w:r>
      <w:r>
        <w:rPr>
          <w:rFonts w:eastAsia="Calibri"/>
          <w:b/>
          <w:bCs/>
          <w:szCs w:val="24"/>
        </w:rPr>
        <w:t>42, 43, 43</w:t>
      </w:r>
      <w:r>
        <w:rPr>
          <w:rFonts w:eastAsia="Calibri"/>
          <w:b/>
          <w:bCs/>
          <w:szCs w:val="24"/>
          <w:vertAlign w:val="superscript"/>
        </w:rPr>
        <w:t xml:space="preserve">2 </w:t>
      </w:r>
      <w:r>
        <w:rPr>
          <w:rFonts w:eastAsia="Calibri"/>
          <w:b/>
          <w:bCs/>
          <w:szCs w:val="24"/>
        </w:rPr>
        <w:t>STRAIPSNIŲ, 1</w:t>
      </w:r>
      <w:r w:rsidR="00091B93">
        <w:rPr>
          <w:rFonts w:eastAsia="Calibri"/>
          <w:b/>
          <w:bCs/>
          <w:szCs w:val="24"/>
        </w:rPr>
        <w:t>,</w:t>
      </w:r>
      <w:r>
        <w:rPr>
          <w:rFonts w:eastAsia="Calibri"/>
          <w:b/>
          <w:bCs/>
          <w:szCs w:val="24"/>
        </w:rPr>
        <w:t xml:space="preserve"> </w:t>
      </w:r>
      <w:r w:rsidR="00091B93">
        <w:rPr>
          <w:rFonts w:eastAsia="Calibri"/>
          <w:b/>
          <w:bCs/>
          <w:szCs w:val="24"/>
        </w:rPr>
        <w:t xml:space="preserve">2 </w:t>
      </w:r>
      <w:r>
        <w:rPr>
          <w:rFonts w:eastAsia="Calibri"/>
          <w:b/>
          <w:bCs/>
          <w:szCs w:val="24"/>
        </w:rPr>
        <w:t>IR 3 PRIEDŲ PAKEITIMO</w:t>
      </w:r>
    </w:p>
    <w:p w14:paraId="1581FA3E" w14:textId="0204DEC0" w:rsidR="009D166B" w:rsidRDefault="009449B1">
      <w:pPr>
        <w:jc w:val="center"/>
        <w:rPr>
          <w:rFonts w:eastAsia="Calibri"/>
          <w:b/>
          <w:bCs/>
          <w:szCs w:val="24"/>
        </w:rPr>
      </w:pPr>
      <w:r>
        <w:rPr>
          <w:rFonts w:eastAsia="Calibri"/>
          <w:b/>
          <w:bCs/>
          <w:szCs w:val="24"/>
        </w:rPr>
        <w:t>ĮSTATYMAS</w:t>
      </w:r>
    </w:p>
    <w:p w14:paraId="24579D2A" w14:textId="77777777" w:rsidR="009D166B" w:rsidRDefault="009D166B">
      <w:pPr>
        <w:jc w:val="center"/>
        <w:rPr>
          <w:rFonts w:eastAsia="Calibri"/>
          <w:b/>
          <w:bCs/>
          <w:szCs w:val="24"/>
        </w:rPr>
      </w:pPr>
    </w:p>
    <w:p w14:paraId="2102E01B" w14:textId="77777777" w:rsidR="009D166B" w:rsidRDefault="009449B1">
      <w:pPr>
        <w:spacing w:line="276" w:lineRule="auto"/>
        <w:ind w:left="6096" w:hanging="6096"/>
        <w:jc w:val="center"/>
        <w:rPr>
          <w:rFonts w:eastAsia="Calibri"/>
          <w:szCs w:val="24"/>
        </w:rPr>
      </w:pPr>
      <w:r>
        <w:rPr>
          <w:rFonts w:eastAsia="Calibri"/>
          <w:szCs w:val="24"/>
        </w:rPr>
        <w:t>2021 m.         d. Nr.</w:t>
      </w:r>
    </w:p>
    <w:p w14:paraId="065C20F0" w14:textId="77777777" w:rsidR="009D166B" w:rsidRDefault="009449B1">
      <w:pPr>
        <w:spacing w:line="276" w:lineRule="auto"/>
        <w:ind w:left="6096" w:hanging="6096"/>
        <w:jc w:val="center"/>
        <w:rPr>
          <w:rFonts w:eastAsia="Calibri"/>
          <w:szCs w:val="24"/>
        </w:rPr>
      </w:pPr>
      <w:r>
        <w:rPr>
          <w:rFonts w:eastAsia="Calibri"/>
          <w:szCs w:val="24"/>
        </w:rPr>
        <w:t>Vilnius</w:t>
      </w:r>
    </w:p>
    <w:p w14:paraId="101BD5A9" w14:textId="77777777" w:rsidR="00091B93" w:rsidRDefault="00091B93" w:rsidP="00245D3C">
      <w:pPr>
        <w:ind w:firstLine="720"/>
        <w:jc w:val="both"/>
        <w:rPr>
          <w:rFonts w:eastAsia="Calibri"/>
          <w:b/>
          <w:bCs/>
          <w:szCs w:val="24"/>
        </w:rPr>
      </w:pPr>
    </w:p>
    <w:p w14:paraId="66B86CF5" w14:textId="310BFE56" w:rsidR="00EB1545" w:rsidRDefault="00731035" w:rsidP="00245D3C">
      <w:pPr>
        <w:ind w:firstLine="720"/>
        <w:jc w:val="both"/>
        <w:rPr>
          <w:rFonts w:eastAsia="Calibri"/>
          <w:b/>
          <w:bCs/>
          <w:szCs w:val="24"/>
        </w:rPr>
      </w:pPr>
      <w:r>
        <w:rPr>
          <w:rFonts w:eastAsia="Calibri"/>
          <w:b/>
          <w:bCs/>
          <w:szCs w:val="24"/>
        </w:rPr>
        <w:t>1</w:t>
      </w:r>
      <w:r w:rsidR="00091B93">
        <w:rPr>
          <w:rFonts w:eastAsia="Calibri"/>
          <w:b/>
          <w:bCs/>
          <w:szCs w:val="24"/>
        </w:rPr>
        <w:t xml:space="preserve"> straipsnis.</w:t>
      </w:r>
      <w:r w:rsidR="00EB1545">
        <w:rPr>
          <w:rFonts w:eastAsia="Calibri"/>
          <w:b/>
          <w:bCs/>
          <w:szCs w:val="24"/>
        </w:rPr>
        <w:t xml:space="preserve"> 8 straipsnio pakeitimas</w:t>
      </w:r>
    </w:p>
    <w:p w14:paraId="54621B20" w14:textId="77777777" w:rsidR="00EB1545" w:rsidRDefault="00EB1545" w:rsidP="00EB1545">
      <w:pPr>
        <w:ind w:firstLine="720"/>
        <w:jc w:val="both"/>
        <w:rPr>
          <w:rFonts w:eastAsia="Calibri"/>
          <w:bCs/>
          <w:szCs w:val="24"/>
        </w:rPr>
      </w:pPr>
      <w:r>
        <w:rPr>
          <w:rFonts w:eastAsia="Calibri"/>
          <w:bCs/>
          <w:szCs w:val="24"/>
        </w:rPr>
        <w:t xml:space="preserve">1. Pakeisti 8 straipsnio 2 dalies 2 </w:t>
      </w:r>
      <w:r w:rsidRPr="001842A9">
        <w:rPr>
          <w:rFonts w:eastAsia="Calibri"/>
          <w:bCs/>
          <w:szCs w:val="24"/>
        </w:rPr>
        <w:t>punktą</w:t>
      </w:r>
      <w:r w:rsidRPr="00245D3C">
        <w:rPr>
          <w:rFonts w:eastAsia="Calibri"/>
          <w:bCs/>
          <w:szCs w:val="24"/>
        </w:rPr>
        <w:t xml:space="preserve"> ir jį išdėstyti taip:</w:t>
      </w:r>
    </w:p>
    <w:p w14:paraId="3B1CE05F" w14:textId="38DBE3A1" w:rsidR="00EB1545" w:rsidRPr="00C875B6" w:rsidRDefault="00EB1545" w:rsidP="00245D3C">
      <w:pPr>
        <w:ind w:firstLine="720"/>
        <w:jc w:val="both"/>
        <w:rPr>
          <w:rFonts w:eastAsia="Calibri"/>
          <w:bCs/>
          <w:szCs w:val="24"/>
        </w:rPr>
      </w:pPr>
      <w:r>
        <w:rPr>
          <w:rFonts w:eastAsia="Calibri"/>
          <w:bCs/>
          <w:szCs w:val="24"/>
        </w:rPr>
        <w:t>„</w:t>
      </w:r>
      <w:r w:rsidRPr="00EB1545">
        <w:rPr>
          <w:rFonts w:eastAsia="Calibri"/>
          <w:bCs/>
          <w:szCs w:val="24"/>
          <w:lang w:val="en-US"/>
        </w:rPr>
        <w:t xml:space="preserve">2) </w:t>
      </w:r>
      <w:r w:rsidRPr="00C875B6">
        <w:rPr>
          <w:rFonts w:eastAsia="Calibri"/>
          <w:bCs/>
          <w:szCs w:val="24"/>
        </w:rPr>
        <w:t xml:space="preserve">atlieka finansų rinkos priežiūrą, išskyrus atvejus, kai pagal 2013 m. spalio 15 d. Tarybos reglamento (ES) Nr. 1024/2013, kuriuo Europos Centriniam Bankui pavedami specialūs uždaviniai, susiję su rizikos ribojimu pagrįstos kredito įstaigų priežiūros politika </w:t>
      </w:r>
      <w:r w:rsidRPr="00C875B6">
        <w:rPr>
          <w:rFonts w:eastAsia="Calibri"/>
          <w:bCs/>
          <w:strike/>
          <w:szCs w:val="24"/>
        </w:rPr>
        <w:t>(OL 2013 L 287, p. 63)</w:t>
      </w:r>
      <w:r w:rsidRPr="00C875B6">
        <w:rPr>
          <w:rFonts w:eastAsia="Calibri"/>
          <w:bCs/>
          <w:szCs w:val="24"/>
        </w:rPr>
        <w:t xml:space="preserve"> </w:t>
      </w:r>
      <w:r w:rsidRPr="00707E35">
        <w:rPr>
          <w:rFonts w:eastAsia="Calibri"/>
          <w:bCs/>
          <w:strike/>
          <w:szCs w:val="24"/>
        </w:rPr>
        <w:t>(toliau</w:t>
      </w:r>
      <w:r w:rsidR="00294DED" w:rsidRPr="00707E35">
        <w:rPr>
          <w:rFonts w:eastAsia="Calibri"/>
          <w:bCs/>
          <w:strike/>
          <w:szCs w:val="24"/>
        </w:rPr>
        <w:t> </w:t>
      </w:r>
      <w:r w:rsidRPr="00707E35">
        <w:rPr>
          <w:rFonts w:eastAsia="Calibri"/>
          <w:bCs/>
          <w:strike/>
          <w:szCs w:val="24"/>
        </w:rPr>
        <w:t>– Reglamentas (ES) Nr. 1024/2013)</w:t>
      </w:r>
      <w:r w:rsidRPr="00C875B6">
        <w:rPr>
          <w:rFonts w:eastAsia="Calibri"/>
          <w:bCs/>
          <w:szCs w:val="24"/>
        </w:rPr>
        <w:t>, nuostatas šias funkcijas atlieka Europos centrinis bankas, taip pat pagal Reglamentą (ES) Nr. 1024/2013 nacionalinei priežiūros institucijai priskirtas funkcijas;</w:t>
      </w:r>
      <w:r w:rsidR="005B2C02" w:rsidRPr="00C875B6">
        <w:rPr>
          <w:rFonts w:eastAsia="Calibri"/>
          <w:bCs/>
          <w:szCs w:val="24"/>
        </w:rPr>
        <w:t>“.</w:t>
      </w:r>
    </w:p>
    <w:p w14:paraId="0AF21615" w14:textId="37C47A27" w:rsidR="00EB1545" w:rsidRPr="00C875B6" w:rsidRDefault="00EB1545" w:rsidP="00EB1545">
      <w:pPr>
        <w:ind w:firstLine="720"/>
        <w:jc w:val="both"/>
        <w:rPr>
          <w:rFonts w:eastAsia="Calibri"/>
          <w:bCs/>
          <w:szCs w:val="24"/>
        </w:rPr>
      </w:pPr>
      <w:r w:rsidRPr="00C875B6">
        <w:rPr>
          <w:rFonts w:eastAsia="Calibri"/>
          <w:bCs/>
          <w:szCs w:val="24"/>
        </w:rPr>
        <w:t>2. Pakeisti 8 straipsnio 2 dalies 8 punktą ir jį išdėstyti taip:</w:t>
      </w:r>
    </w:p>
    <w:p w14:paraId="493A495B" w14:textId="14098915" w:rsidR="00EB1545" w:rsidRDefault="00EB1545" w:rsidP="00245D3C">
      <w:pPr>
        <w:ind w:firstLine="720"/>
        <w:jc w:val="both"/>
        <w:rPr>
          <w:rFonts w:eastAsia="Calibri"/>
          <w:bCs/>
          <w:szCs w:val="24"/>
          <w:lang w:val="en-US"/>
        </w:rPr>
      </w:pPr>
      <w:r w:rsidRPr="00C875B6">
        <w:rPr>
          <w:rFonts w:eastAsia="Calibri"/>
          <w:bCs/>
          <w:szCs w:val="24"/>
        </w:rPr>
        <w:t>„8) vykdo Lietuvos Respublikos įstatymais finansų sektoriaus subjektų pertvarkymo institucijai priskirtas funkcijas, išskyrus atvejus, kai pagal 2014 m. liepos 15 d. Europos Parlamento ir Tarybos reglamento (ES) Nr. 806/2014, kuriuo nustatomos kredito įstaigų ir tam tikrų investicinių įmonių pertvarkymo vienodos taisyklės ir vienoda procedūra, kiek tai susiję su bendru pertvarkymo mechanizmu ir Bendru pertvarkymo fondu, ir iš dalies keičiamas Reglamentas (ES) Nr. 1093/2010</w:t>
      </w:r>
      <w:r w:rsidR="00D0162B">
        <w:rPr>
          <w:rFonts w:eastAsia="Calibri"/>
          <w:bCs/>
          <w:szCs w:val="24"/>
        </w:rPr>
        <w:t>,</w:t>
      </w:r>
      <w:r w:rsidRPr="00C875B6">
        <w:rPr>
          <w:rFonts w:eastAsia="Calibri"/>
          <w:bCs/>
          <w:szCs w:val="24"/>
        </w:rPr>
        <w:t xml:space="preserve"> </w:t>
      </w:r>
      <w:r w:rsidRPr="00C875B6">
        <w:rPr>
          <w:rFonts w:eastAsia="Calibri"/>
          <w:bCs/>
          <w:strike/>
          <w:szCs w:val="24"/>
        </w:rPr>
        <w:t xml:space="preserve">(OL 2014 L 225, p. </w:t>
      </w:r>
      <w:r w:rsidRPr="00D0162B">
        <w:rPr>
          <w:rFonts w:eastAsia="Calibri"/>
          <w:bCs/>
          <w:strike/>
          <w:szCs w:val="24"/>
        </w:rPr>
        <w:t>1)</w:t>
      </w:r>
      <w:r w:rsidRPr="00707E35">
        <w:rPr>
          <w:rFonts w:eastAsia="Calibri"/>
          <w:bCs/>
          <w:strike/>
          <w:szCs w:val="24"/>
        </w:rPr>
        <w:t xml:space="preserve"> (toliau – Reglamentas (ES) Nr. 806/2014)</w:t>
      </w:r>
      <w:r w:rsidR="00711531">
        <w:rPr>
          <w:rFonts w:eastAsia="Calibri"/>
          <w:b/>
          <w:bCs/>
          <w:szCs w:val="24"/>
        </w:rPr>
        <w:t>,</w:t>
      </w:r>
      <w:r w:rsidRPr="00C875B6">
        <w:rPr>
          <w:rFonts w:eastAsia="Calibri"/>
          <w:bCs/>
          <w:szCs w:val="24"/>
        </w:rPr>
        <w:t xml:space="preserve"> </w:t>
      </w:r>
      <w:r w:rsidR="00D0162B">
        <w:rPr>
          <w:rFonts w:eastAsia="Calibri"/>
          <w:b/>
          <w:bCs/>
          <w:szCs w:val="24"/>
        </w:rPr>
        <w:t xml:space="preserve">su visais pakeitimais </w:t>
      </w:r>
      <w:r w:rsidRPr="00C875B6">
        <w:rPr>
          <w:rFonts w:eastAsia="Calibri"/>
          <w:bCs/>
          <w:szCs w:val="24"/>
        </w:rPr>
        <w:t>nuostatas šias funkcijas atlieka Bendra pertvarkymo valdyba, taip pat pagal Reglamentą (ES) Nr. 806/2014 atlieka nacionalinei pertvarkymo institucijai priskirtas funkcijas.</w:t>
      </w:r>
      <w:r w:rsidR="005B2C02" w:rsidRPr="00C875B6">
        <w:rPr>
          <w:rFonts w:eastAsia="Calibri"/>
          <w:bCs/>
          <w:szCs w:val="24"/>
        </w:rPr>
        <w:t>“</w:t>
      </w:r>
    </w:p>
    <w:p w14:paraId="55396CC6" w14:textId="77777777" w:rsidR="00EB1545" w:rsidRPr="00294DED" w:rsidRDefault="00EB1545" w:rsidP="00245D3C">
      <w:pPr>
        <w:ind w:firstLine="720"/>
        <w:jc w:val="both"/>
        <w:rPr>
          <w:rFonts w:eastAsia="Calibri"/>
          <w:bCs/>
          <w:szCs w:val="24"/>
        </w:rPr>
      </w:pPr>
    </w:p>
    <w:p w14:paraId="1F74991D" w14:textId="255C634F" w:rsidR="00245D3C" w:rsidRDefault="00731035" w:rsidP="00245D3C">
      <w:pPr>
        <w:ind w:firstLine="720"/>
        <w:jc w:val="both"/>
        <w:rPr>
          <w:rFonts w:eastAsia="Calibri"/>
          <w:szCs w:val="24"/>
        </w:rPr>
      </w:pPr>
      <w:r>
        <w:rPr>
          <w:rFonts w:eastAsia="Calibri"/>
          <w:b/>
          <w:bCs/>
          <w:szCs w:val="24"/>
        </w:rPr>
        <w:t>2</w:t>
      </w:r>
      <w:r w:rsidR="00245D3C">
        <w:rPr>
          <w:rFonts w:eastAsia="Calibri"/>
          <w:b/>
          <w:bCs/>
          <w:szCs w:val="24"/>
        </w:rPr>
        <w:t xml:space="preserve"> straipsnis. 11 straipsnio pakeitimas</w:t>
      </w:r>
    </w:p>
    <w:p w14:paraId="19319D84" w14:textId="0AEC048A" w:rsidR="00245D3C" w:rsidRDefault="00245D3C">
      <w:pPr>
        <w:ind w:firstLine="720"/>
        <w:jc w:val="both"/>
        <w:rPr>
          <w:rFonts w:eastAsia="Calibri"/>
          <w:bCs/>
          <w:szCs w:val="24"/>
        </w:rPr>
      </w:pPr>
      <w:r>
        <w:rPr>
          <w:rFonts w:eastAsia="Calibri"/>
          <w:bCs/>
          <w:szCs w:val="24"/>
        </w:rPr>
        <w:t xml:space="preserve">Pakeisti </w:t>
      </w:r>
      <w:r w:rsidRPr="00294DED">
        <w:rPr>
          <w:rFonts w:eastAsia="Calibri"/>
          <w:bCs/>
          <w:szCs w:val="24"/>
        </w:rPr>
        <w:t>11 straipsnio 1 dalies 14 punktą</w:t>
      </w:r>
      <w:r w:rsidRPr="00245D3C">
        <w:rPr>
          <w:rFonts w:eastAsia="Calibri"/>
          <w:bCs/>
          <w:szCs w:val="24"/>
        </w:rPr>
        <w:t xml:space="preserve"> ir jį išdėstyti taip:</w:t>
      </w:r>
    </w:p>
    <w:p w14:paraId="395DAE4D" w14:textId="69E34002" w:rsidR="00245D3C" w:rsidRDefault="00245D3C">
      <w:pPr>
        <w:ind w:firstLine="720"/>
        <w:jc w:val="both"/>
        <w:rPr>
          <w:rFonts w:eastAsia="Calibri"/>
          <w:bCs/>
          <w:szCs w:val="24"/>
        </w:rPr>
      </w:pPr>
      <w:r>
        <w:rPr>
          <w:rFonts w:eastAsia="Calibri"/>
          <w:bCs/>
          <w:szCs w:val="24"/>
        </w:rPr>
        <w:t>„</w:t>
      </w:r>
      <w:r w:rsidRPr="00245D3C">
        <w:rPr>
          <w:rFonts w:eastAsia="Calibri"/>
          <w:bCs/>
          <w:szCs w:val="24"/>
        </w:rPr>
        <w:t xml:space="preserve">14) vadovaudamasi Finansinio tvarumo įstatymo, </w:t>
      </w:r>
      <w:r w:rsidRPr="00245D3C">
        <w:rPr>
          <w:rFonts w:eastAsia="Calibri"/>
          <w:b/>
          <w:bCs/>
          <w:szCs w:val="24"/>
        </w:rPr>
        <w:t>kitų Lietuvos Respublikos teisės aktų</w:t>
      </w:r>
      <w:r w:rsidRPr="00245D3C">
        <w:rPr>
          <w:rFonts w:eastAsia="Calibri"/>
          <w:bCs/>
          <w:szCs w:val="24"/>
        </w:rPr>
        <w:t xml:space="preserve"> </w:t>
      </w:r>
      <w:r w:rsidR="00424ABF" w:rsidRPr="00707E35">
        <w:rPr>
          <w:rFonts w:eastAsia="Calibri"/>
          <w:b/>
          <w:bCs/>
          <w:szCs w:val="24"/>
        </w:rPr>
        <w:t>ir</w:t>
      </w:r>
      <w:r w:rsidR="00424ABF">
        <w:rPr>
          <w:rFonts w:eastAsia="Calibri"/>
          <w:bCs/>
          <w:szCs w:val="24"/>
        </w:rPr>
        <w:t xml:space="preserve"> </w:t>
      </w:r>
      <w:r w:rsidR="00424ABF" w:rsidRPr="00245D3C">
        <w:rPr>
          <w:rFonts w:eastAsia="Calibri"/>
          <w:b/>
          <w:bCs/>
          <w:szCs w:val="24"/>
        </w:rPr>
        <w:t>taikytinų E</w:t>
      </w:r>
      <w:r w:rsidR="00424ABF">
        <w:rPr>
          <w:rFonts w:eastAsia="Calibri"/>
          <w:b/>
          <w:bCs/>
          <w:szCs w:val="24"/>
        </w:rPr>
        <w:t xml:space="preserve">uropos </w:t>
      </w:r>
      <w:r w:rsidR="00424ABF" w:rsidRPr="00245D3C">
        <w:rPr>
          <w:rFonts w:eastAsia="Calibri"/>
          <w:b/>
          <w:bCs/>
          <w:szCs w:val="24"/>
        </w:rPr>
        <w:t>S</w:t>
      </w:r>
      <w:r w:rsidR="00424ABF">
        <w:rPr>
          <w:rFonts w:eastAsia="Calibri"/>
          <w:b/>
          <w:bCs/>
          <w:szCs w:val="24"/>
        </w:rPr>
        <w:t>ąjungos</w:t>
      </w:r>
      <w:r w:rsidR="00424ABF" w:rsidRPr="00245D3C">
        <w:rPr>
          <w:rFonts w:eastAsia="Calibri"/>
          <w:b/>
          <w:bCs/>
          <w:szCs w:val="24"/>
        </w:rPr>
        <w:t xml:space="preserve"> teisės aktų </w:t>
      </w:r>
      <w:r w:rsidRPr="00245D3C">
        <w:rPr>
          <w:rFonts w:eastAsia="Calibri"/>
          <w:bCs/>
          <w:szCs w:val="24"/>
        </w:rPr>
        <w:t xml:space="preserve">nuostatomis priima sprendimus dėl finansų sektoriaus subjektų </w:t>
      </w:r>
      <w:r w:rsidRPr="00245D3C">
        <w:rPr>
          <w:rFonts w:eastAsia="Calibri"/>
          <w:b/>
          <w:bCs/>
          <w:szCs w:val="24"/>
        </w:rPr>
        <w:t xml:space="preserve">pertvarkymo planų tvirtinimo, minimalaus nuosavų lėšų ir tinkamų įsipareigojimų dydžio </w:t>
      </w:r>
      <w:r w:rsidR="00DD402A">
        <w:rPr>
          <w:rFonts w:eastAsia="Calibri"/>
          <w:b/>
          <w:bCs/>
          <w:szCs w:val="24"/>
        </w:rPr>
        <w:t xml:space="preserve">reikalavimo </w:t>
      </w:r>
      <w:r w:rsidRPr="00245D3C">
        <w:rPr>
          <w:rFonts w:eastAsia="Calibri"/>
          <w:b/>
          <w:bCs/>
          <w:szCs w:val="24"/>
        </w:rPr>
        <w:t>nustatymo, kapitalo priemonių ir tinkamų įsipareigojimų nurašymo</w:t>
      </w:r>
      <w:r w:rsidR="00DD402A">
        <w:rPr>
          <w:rFonts w:eastAsia="Calibri"/>
          <w:b/>
          <w:bCs/>
          <w:szCs w:val="24"/>
        </w:rPr>
        <w:t xml:space="preserve"> ir</w:t>
      </w:r>
      <w:r w:rsidRPr="00245D3C">
        <w:rPr>
          <w:rFonts w:eastAsia="Calibri"/>
          <w:b/>
          <w:bCs/>
          <w:szCs w:val="24"/>
        </w:rPr>
        <w:t xml:space="preserve"> </w:t>
      </w:r>
      <w:r w:rsidR="00DD402A">
        <w:rPr>
          <w:rFonts w:eastAsia="Calibri"/>
          <w:b/>
          <w:bCs/>
          <w:szCs w:val="24"/>
        </w:rPr>
        <w:t>(</w:t>
      </w:r>
      <w:r w:rsidRPr="00245D3C">
        <w:rPr>
          <w:rFonts w:eastAsia="Calibri"/>
          <w:b/>
          <w:bCs/>
          <w:szCs w:val="24"/>
        </w:rPr>
        <w:t>arba</w:t>
      </w:r>
      <w:r w:rsidR="00DD402A">
        <w:rPr>
          <w:rFonts w:eastAsia="Calibri"/>
          <w:b/>
          <w:bCs/>
          <w:szCs w:val="24"/>
        </w:rPr>
        <w:t>)</w:t>
      </w:r>
      <w:r w:rsidRPr="00245D3C">
        <w:rPr>
          <w:rFonts w:eastAsia="Calibri"/>
          <w:b/>
          <w:bCs/>
          <w:szCs w:val="24"/>
        </w:rPr>
        <w:t xml:space="preserve"> konvertavimo</w:t>
      </w:r>
      <w:r w:rsidR="00DD402A">
        <w:rPr>
          <w:rFonts w:eastAsia="Calibri"/>
          <w:b/>
          <w:bCs/>
          <w:szCs w:val="24"/>
        </w:rPr>
        <w:t xml:space="preserve"> atskirai nuo pertvarkymo veiksmų</w:t>
      </w:r>
      <w:r w:rsidRPr="00245D3C">
        <w:rPr>
          <w:rFonts w:eastAsia="Calibri"/>
          <w:b/>
          <w:bCs/>
          <w:szCs w:val="24"/>
        </w:rPr>
        <w:t>,</w:t>
      </w:r>
      <w:r w:rsidRPr="00245D3C">
        <w:rPr>
          <w:rFonts w:eastAsia="Calibri"/>
          <w:bCs/>
          <w:szCs w:val="24"/>
        </w:rPr>
        <w:t xml:space="preserve"> pertvarkymo</w:t>
      </w:r>
      <w:r w:rsidRPr="00245D3C">
        <w:rPr>
          <w:rFonts w:eastAsia="Calibri"/>
          <w:b/>
          <w:bCs/>
          <w:szCs w:val="24"/>
        </w:rPr>
        <w:t>, Bendros pertvarkymo valdybos sprendimų įgyvendinimo ir kitus su finansų sektoriaus subjektų pertvarkymo institucijai priskirtų funkcijų vykdymu susijusius sprendimus,</w:t>
      </w:r>
      <w:r w:rsidRPr="00245D3C">
        <w:rPr>
          <w:rFonts w:eastAsia="Calibri"/>
          <w:bCs/>
          <w:szCs w:val="24"/>
        </w:rPr>
        <w:t xml:space="preserve"> kreipiasi į teismą dėl bankroto bylų iškėlimo prižiūrimiems finansų rinkos dalyviams;“</w:t>
      </w:r>
      <w:r w:rsidR="005B2C02">
        <w:rPr>
          <w:rFonts w:eastAsia="Calibri"/>
          <w:bCs/>
          <w:szCs w:val="24"/>
        </w:rPr>
        <w:t>.</w:t>
      </w:r>
    </w:p>
    <w:p w14:paraId="1BA0A80A" w14:textId="77777777" w:rsidR="00474FFF" w:rsidRPr="00294DED" w:rsidRDefault="00474FFF">
      <w:pPr>
        <w:ind w:firstLine="720"/>
        <w:jc w:val="both"/>
        <w:rPr>
          <w:rFonts w:eastAsia="Calibri"/>
          <w:bCs/>
          <w:szCs w:val="24"/>
        </w:rPr>
      </w:pPr>
    </w:p>
    <w:p w14:paraId="5F350D71" w14:textId="04085440" w:rsidR="009D166B" w:rsidRDefault="00731035">
      <w:pPr>
        <w:ind w:firstLine="720"/>
        <w:jc w:val="both"/>
        <w:rPr>
          <w:rFonts w:eastAsia="Calibri"/>
          <w:szCs w:val="24"/>
        </w:rPr>
      </w:pPr>
      <w:r>
        <w:rPr>
          <w:rFonts w:eastAsia="Calibri"/>
          <w:b/>
          <w:bCs/>
          <w:szCs w:val="24"/>
        </w:rPr>
        <w:t>3</w:t>
      </w:r>
      <w:r w:rsidR="00091B93">
        <w:rPr>
          <w:rFonts w:eastAsia="Calibri"/>
          <w:b/>
          <w:bCs/>
          <w:szCs w:val="24"/>
        </w:rPr>
        <w:t xml:space="preserve"> </w:t>
      </w:r>
      <w:r w:rsidR="009449B1">
        <w:rPr>
          <w:rFonts w:eastAsia="Calibri"/>
          <w:b/>
          <w:bCs/>
          <w:szCs w:val="24"/>
        </w:rPr>
        <w:t>straipsnis. 42 straipsnio pakeitimas</w:t>
      </w:r>
    </w:p>
    <w:p w14:paraId="3371FA7D" w14:textId="57474059" w:rsidR="009D166B" w:rsidRDefault="009449B1">
      <w:pPr>
        <w:ind w:firstLine="720"/>
        <w:jc w:val="both"/>
        <w:rPr>
          <w:rFonts w:eastAsia="Calibri"/>
          <w:szCs w:val="24"/>
        </w:rPr>
      </w:pPr>
      <w:r>
        <w:rPr>
          <w:rFonts w:eastAsia="Calibri"/>
          <w:szCs w:val="24"/>
        </w:rPr>
        <w:t>1. Pakeisti 42 straipsnio 1 dalį ir ją išdėstyti taip:</w:t>
      </w:r>
    </w:p>
    <w:p w14:paraId="772CB2D2" w14:textId="64F01908" w:rsidR="009D166B" w:rsidRDefault="009449B1">
      <w:pPr>
        <w:ind w:firstLine="720"/>
        <w:jc w:val="both"/>
        <w:rPr>
          <w:rFonts w:eastAsia="Calibri"/>
          <w:bCs/>
          <w:szCs w:val="24"/>
        </w:rPr>
      </w:pPr>
      <w:r>
        <w:rPr>
          <w:rFonts w:eastAsia="Calibri"/>
          <w:szCs w:val="24"/>
        </w:rPr>
        <w:t>„</w:t>
      </w:r>
      <w:r>
        <w:rPr>
          <w:rFonts w:eastAsia="Calibri"/>
          <w:bCs/>
          <w:szCs w:val="24"/>
        </w:rPr>
        <w:t xml:space="preserve">1. </w:t>
      </w:r>
      <w:r>
        <w:rPr>
          <w:rFonts w:eastAsia="Calibri"/>
          <w:szCs w:val="24"/>
        </w:rPr>
        <w:t>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pensijų asociacijos, pensijų anuitetų mokėtojas,</w:t>
      </w:r>
      <w:r>
        <w:rPr>
          <w:rFonts w:eastAsia="Calibri"/>
          <w:b/>
          <w:szCs w:val="24"/>
        </w:rPr>
        <w:t xml:space="preserve"> </w:t>
      </w:r>
      <w:r>
        <w:rPr>
          <w:rFonts w:eastAsia="Calibri"/>
          <w:szCs w:val="24"/>
        </w:rPr>
        <w:t xml:space="preserve">kontroliuojančiosios </w:t>
      </w:r>
      <w:r>
        <w:rPr>
          <w:rFonts w:eastAsia="Calibri"/>
          <w:szCs w:val="24"/>
        </w:rPr>
        <w:lastRenderedPageBreak/>
        <w:t>investicinės bendrovės ir emitentai, mokėjimo įstaigos ir mokėjimo įstaigų tarpininkai, vartojimo kredito davėjai, vartojimo kredito tarpininkai, kredito davėjai, tarpusavio skolinimo platformos operatoriai ir kredito tarpininkai, sutelktinio finansavimo platformų operatoriai, mokėjimo ir vertybinių popierių atsiskaitymo sistemų operatoriai, nacionalinės plėtros įstaigos</w:t>
      </w:r>
      <w:r>
        <w:rPr>
          <w:rFonts w:eastAsia="Calibri"/>
          <w:strike/>
          <w:szCs w:val="24"/>
        </w:rPr>
        <w:t xml:space="preserve"> ir</w:t>
      </w:r>
      <w:r>
        <w:rPr>
          <w:rFonts w:eastAsia="Calibri"/>
          <w:b/>
          <w:bCs/>
          <w:szCs w:val="24"/>
        </w:rPr>
        <w:t>,</w:t>
      </w:r>
      <w:r>
        <w:rPr>
          <w:rFonts w:eastAsia="Calibri"/>
          <w:szCs w:val="24"/>
        </w:rPr>
        <w:t xml:space="preserve"> valiutos keityklų operatoriai</w:t>
      </w:r>
      <w:r>
        <w:rPr>
          <w:rFonts w:eastAsia="Calibri"/>
          <w:b/>
          <w:bCs/>
          <w:szCs w:val="24"/>
        </w:rPr>
        <w:t>, mišrios veiklos finansų kontroliuojančiosios įmonės, įsteigtos Lietuvos Respublikoje, finansų kontroliuojančiosios bendrovės, įsteigtos Lietuvos Respublikoje.</w:t>
      </w:r>
      <w:r>
        <w:rPr>
          <w:rFonts w:eastAsia="Calibri"/>
          <w:szCs w:val="24"/>
        </w:rPr>
        <w:t>“</w:t>
      </w:r>
    </w:p>
    <w:p w14:paraId="637C8D04" w14:textId="69FD306E" w:rsidR="009D166B" w:rsidRDefault="009449B1">
      <w:pPr>
        <w:ind w:firstLine="720"/>
        <w:jc w:val="both"/>
        <w:rPr>
          <w:rFonts w:eastAsia="Calibri"/>
          <w:szCs w:val="24"/>
        </w:rPr>
      </w:pPr>
      <w:r>
        <w:rPr>
          <w:rFonts w:eastAsia="Calibri"/>
          <w:szCs w:val="24"/>
        </w:rPr>
        <w:t>2. Pakeisti 42 straipsnio 2 dalies 6 punktą ir jį išdėstyti taip:</w:t>
      </w:r>
    </w:p>
    <w:p w14:paraId="03B86F57" w14:textId="45E82169" w:rsidR="009D166B" w:rsidRDefault="009449B1">
      <w:pPr>
        <w:ind w:firstLine="720"/>
        <w:jc w:val="both"/>
        <w:rPr>
          <w:rFonts w:eastAsia="Calibri"/>
          <w:szCs w:val="24"/>
        </w:rPr>
      </w:pPr>
      <w:r>
        <w:rPr>
          <w:rFonts w:eastAsia="Calibri"/>
          <w:szCs w:val="24"/>
        </w:rPr>
        <w:t>„</w:t>
      </w:r>
      <w:r>
        <w:rPr>
          <w:rFonts w:eastAsia="Calibri"/>
          <w:bCs/>
          <w:szCs w:val="24"/>
        </w:rPr>
        <w:t xml:space="preserve">6) </w:t>
      </w:r>
      <w:r>
        <w:rPr>
          <w:rFonts w:eastAsia="Calibri"/>
          <w:szCs w:val="24"/>
        </w:rPr>
        <w:t xml:space="preserve">atlieka Lietuvos Respublikos finansų įstaigų įstatymo, </w:t>
      </w:r>
      <w:r>
        <w:rPr>
          <w:rFonts w:eastAsia="Calibri"/>
          <w:strike/>
          <w:szCs w:val="24"/>
        </w:rPr>
        <w:t>Lietuvos Respublikos įmonių, priklausančių finansų konglomeratui, papildomos priežiūros įstatymo,</w:t>
      </w:r>
      <w:r>
        <w:rPr>
          <w:rFonts w:eastAsia="Calibri"/>
          <w:szCs w:val="24"/>
        </w:rPr>
        <w:t xml:space="preserve"> Lietuvos Respublikos pinigų plovimo ir teroristų finansavimo prevencijos įstatymo, Lietuvos Respublikos mokėjimų įstatymo, Lietuvos Respublikos vartotojų teisių apsaugos įstatymo ir kitų įstatymų Lietuvos bankui priskirtas funkcijas;“.</w:t>
      </w:r>
    </w:p>
    <w:p w14:paraId="571A2237" w14:textId="75568412" w:rsidR="009D166B" w:rsidRDefault="009449B1">
      <w:pPr>
        <w:ind w:firstLine="720"/>
        <w:jc w:val="both"/>
        <w:rPr>
          <w:rFonts w:eastAsia="Calibri"/>
          <w:szCs w:val="24"/>
        </w:rPr>
      </w:pPr>
      <w:r>
        <w:rPr>
          <w:rFonts w:eastAsia="Calibri"/>
          <w:szCs w:val="24"/>
        </w:rPr>
        <w:t>3. Papildyti 42 straipsnio 2 dalį 15 punktu:</w:t>
      </w:r>
    </w:p>
    <w:p w14:paraId="33B6D827" w14:textId="3E99B091" w:rsidR="009D166B" w:rsidRDefault="009449B1">
      <w:pPr>
        <w:ind w:firstLine="720"/>
        <w:jc w:val="both"/>
        <w:rPr>
          <w:rFonts w:eastAsia="Calibri"/>
          <w:szCs w:val="24"/>
        </w:rPr>
      </w:pPr>
      <w:r>
        <w:rPr>
          <w:rFonts w:eastAsia="Calibri"/>
          <w:szCs w:val="24"/>
        </w:rPr>
        <w:t>„</w:t>
      </w:r>
      <w:r>
        <w:rPr>
          <w:rFonts w:eastAsia="Calibri"/>
          <w:b/>
          <w:bCs/>
          <w:szCs w:val="24"/>
        </w:rPr>
        <w:t>15) atlieka mišrios veiklos finansų kontroliuojančiųjų įmonių, įsteigtų Lietuvos Respublikoje, finansų kontroliuojančiųjų bendrovių, įsteigtų Lietuvos Respublikoje, priežiūrą ir kitas Lietuvos Respublikos įmonių, priklausančių finansų konglomeratui, papildomos priežiūros įstatymo Lietuvos bankui priskirtas funkcijas.</w:t>
      </w:r>
      <w:r>
        <w:rPr>
          <w:rFonts w:eastAsia="Calibri"/>
          <w:bCs/>
          <w:szCs w:val="24"/>
        </w:rPr>
        <w:t>“</w:t>
      </w:r>
    </w:p>
    <w:p w14:paraId="04EB5276" w14:textId="51DD199E" w:rsidR="009D166B" w:rsidRDefault="009D166B">
      <w:pPr>
        <w:ind w:firstLine="720"/>
        <w:jc w:val="both"/>
        <w:rPr>
          <w:rFonts w:eastAsia="Calibri"/>
          <w:szCs w:val="24"/>
        </w:rPr>
      </w:pPr>
    </w:p>
    <w:p w14:paraId="2A2C98B8" w14:textId="3CD1727E" w:rsidR="009D166B" w:rsidRDefault="00731035">
      <w:pPr>
        <w:ind w:firstLine="720"/>
        <w:jc w:val="both"/>
        <w:rPr>
          <w:rFonts w:eastAsia="Calibri"/>
          <w:b/>
          <w:bCs/>
          <w:szCs w:val="24"/>
        </w:rPr>
      </w:pPr>
      <w:r>
        <w:rPr>
          <w:rFonts w:eastAsia="Calibri"/>
          <w:b/>
          <w:bCs/>
          <w:szCs w:val="24"/>
        </w:rPr>
        <w:t>4</w:t>
      </w:r>
      <w:r w:rsidR="00245D3C">
        <w:rPr>
          <w:rFonts w:eastAsia="Calibri"/>
          <w:b/>
          <w:bCs/>
          <w:szCs w:val="24"/>
        </w:rPr>
        <w:t xml:space="preserve"> </w:t>
      </w:r>
      <w:r w:rsidR="009449B1">
        <w:rPr>
          <w:rFonts w:eastAsia="Calibri"/>
          <w:b/>
          <w:bCs/>
          <w:szCs w:val="24"/>
        </w:rPr>
        <w:t>straipsnis. 43 straipsnio pakeitimas</w:t>
      </w:r>
    </w:p>
    <w:p w14:paraId="2FE90FE0" w14:textId="3DFA15B4" w:rsidR="00774242" w:rsidRDefault="009449B1">
      <w:pPr>
        <w:ind w:firstLine="720"/>
        <w:jc w:val="both"/>
        <w:rPr>
          <w:rFonts w:eastAsia="Calibri"/>
          <w:bCs/>
          <w:szCs w:val="24"/>
        </w:rPr>
      </w:pPr>
      <w:r>
        <w:rPr>
          <w:rFonts w:eastAsia="Calibri"/>
          <w:szCs w:val="24"/>
        </w:rPr>
        <w:t xml:space="preserve">1. </w:t>
      </w:r>
      <w:r w:rsidR="00774242">
        <w:rPr>
          <w:rFonts w:eastAsia="Calibri"/>
          <w:szCs w:val="24"/>
        </w:rPr>
        <w:t xml:space="preserve">Pakeisti 43 straipsnio 6 </w:t>
      </w:r>
      <w:r w:rsidR="00774242">
        <w:rPr>
          <w:rFonts w:eastAsia="Calibri"/>
          <w:bCs/>
          <w:szCs w:val="24"/>
        </w:rPr>
        <w:t>dalį ir ją išdėstyti taip:</w:t>
      </w:r>
    </w:p>
    <w:p w14:paraId="3E1F78CD" w14:textId="156905C2" w:rsidR="00774242" w:rsidRPr="00CC5BA8" w:rsidRDefault="00774242">
      <w:pPr>
        <w:ind w:firstLine="720"/>
        <w:jc w:val="both"/>
        <w:rPr>
          <w:rFonts w:eastAsia="Calibri"/>
          <w:szCs w:val="24"/>
        </w:rPr>
      </w:pPr>
      <w:r w:rsidRPr="00CC5BA8">
        <w:rPr>
          <w:rFonts w:eastAsia="Calibri"/>
          <w:bCs/>
          <w:szCs w:val="24"/>
        </w:rPr>
        <w:t>„6. Lietuvos bankas turi teisę viešai paskelbti savo teisės aktų arba 2010 m. lapkričio 24 d. Europos Parlamento ir Tarybos reglamento (ES) Nr. 1093/2010, kuriuo įsteigiama Europos priežiūros institucija (Europos bankininkystės institucija), iš dalies keičiamas Sprendimas Nr.</w:t>
      </w:r>
      <w:r w:rsidR="00424ABF" w:rsidRPr="00CC5BA8">
        <w:rPr>
          <w:rFonts w:eastAsia="Calibri"/>
          <w:bCs/>
          <w:szCs w:val="24"/>
        </w:rPr>
        <w:t> </w:t>
      </w:r>
      <w:r w:rsidRPr="00CC5BA8">
        <w:rPr>
          <w:rFonts w:eastAsia="Calibri"/>
          <w:bCs/>
          <w:szCs w:val="24"/>
        </w:rPr>
        <w:t xml:space="preserve">716/2009/EB ir panaikinamas Komisijos sprendimas 2009/78/EB </w:t>
      </w:r>
      <w:r w:rsidRPr="00CC5BA8">
        <w:rPr>
          <w:rFonts w:eastAsia="Calibri"/>
          <w:bCs/>
          <w:strike/>
          <w:szCs w:val="24"/>
        </w:rPr>
        <w:t>(OL 2010 L 331, p. 12)</w:t>
      </w:r>
      <w:r w:rsidR="004A2621" w:rsidRPr="00CC5BA8">
        <w:rPr>
          <w:rFonts w:eastAsia="Calibri"/>
          <w:b/>
          <w:bCs/>
          <w:szCs w:val="24"/>
        </w:rPr>
        <w:t>,</w:t>
      </w:r>
      <w:r w:rsidRPr="00CC5BA8">
        <w:rPr>
          <w:rFonts w:eastAsia="Calibri"/>
          <w:bCs/>
          <w:szCs w:val="24"/>
        </w:rPr>
        <w:t xml:space="preserve"> </w:t>
      </w:r>
      <w:r w:rsidR="00D0162B" w:rsidRPr="00CC5BA8">
        <w:rPr>
          <w:rFonts w:eastAsia="Calibri"/>
          <w:b/>
          <w:bCs/>
          <w:szCs w:val="24"/>
        </w:rPr>
        <w:t xml:space="preserve">su visais pakeitimais </w:t>
      </w:r>
      <w:r w:rsidRPr="00CC5BA8">
        <w:rPr>
          <w:rFonts w:eastAsia="Calibri"/>
          <w:bCs/>
          <w:strike/>
          <w:szCs w:val="24"/>
        </w:rPr>
        <w:t>(toliau – Reglamentas (ES) Nr. 1093/2010)</w:t>
      </w:r>
      <w:r w:rsidRPr="00CC5BA8">
        <w:rPr>
          <w:rFonts w:eastAsia="Calibri"/>
          <w:bCs/>
          <w:szCs w:val="24"/>
        </w:rPr>
        <w:t xml:space="preserve"> 32 straipsnyje nustatyta tvarka atlikto testavimo nepalankiausiomis sąlygomis rezultatus ir perduoti juos Europos bankininkystės institucijai.</w:t>
      </w:r>
      <w:r w:rsidR="00424ABF" w:rsidRPr="00CC5BA8">
        <w:rPr>
          <w:rFonts w:eastAsia="Calibri"/>
          <w:bCs/>
          <w:szCs w:val="24"/>
        </w:rPr>
        <w:t>“</w:t>
      </w:r>
    </w:p>
    <w:p w14:paraId="26674E34" w14:textId="3D341EA7" w:rsidR="00774242" w:rsidRPr="00CC5BA8" w:rsidRDefault="00774242">
      <w:pPr>
        <w:ind w:firstLine="720"/>
        <w:jc w:val="both"/>
        <w:rPr>
          <w:rFonts w:eastAsia="Calibri"/>
          <w:bCs/>
          <w:szCs w:val="24"/>
        </w:rPr>
      </w:pPr>
      <w:r w:rsidRPr="00CC5BA8">
        <w:rPr>
          <w:rFonts w:eastAsia="Calibri"/>
          <w:szCs w:val="24"/>
        </w:rPr>
        <w:t>2.</w:t>
      </w:r>
      <w:r w:rsidR="00424ABF" w:rsidRPr="00CC5BA8">
        <w:rPr>
          <w:rFonts w:eastAsia="Calibri"/>
          <w:szCs w:val="24"/>
        </w:rPr>
        <w:t xml:space="preserve"> </w:t>
      </w:r>
      <w:r w:rsidRPr="00CC5BA8">
        <w:rPr>
          <w:rFonts w:eastAsia="Calibri"/>
          <w:szCs w:val="24"/>
        </w:rPr>
        <w:t xml:space="preserve">Pakeisti 43 straipsnio 7 dalies 9 </w:t>
      </w:r>
      <w:r w:rsidRPr="00CC5BA8">
        <w:rPr>
          <w:rFonts w:eastAsia="Calibri"/>
          <w:bCs/>
          <w:szCs w:val="24"/>
        </w:rPr>
        <w:t>punktą ir jį išdėstyti taip:</w:t>
      </w:r>
    </w:p>
    <w:p w14:paraId="0F0FD19A" w14:textId="5495EB20" w:rsidR="00774242" w:rsidRPr="00CC5BA8" w:rsidRDefault="00774242">
      <w:pPr>
        <w:ind w:firstLine="720"/>
        <w:jc w:val="both"/>
        <w:rPr>
          <w:rFonts w:eastAsia="Calibri"/>
          <w:szCs w:val="24"/>
        </w:rPr>
      </w:pPr>
      <w:r w:rsidRPr="00CC5BA8">
        <w:rPr>
          <w:rFonts w:eastAsia="Calibri"/>
          <w:bCs/>
          <w:szCs w:val="24"/>
        </w:rPr>
        <w:t xml:space="preserve">„9) Europos vertybinių popierių ir rinkų institucijai, kaip numatyta 2010 m. lapkričio 24 d. Europos Parlamento ir Tarybos reglamente (ES) Nr. 1095/2010, kuriuo įsteigiama Europos priežiūros institucija (Europos vertybinių popierių ir rinkų institucija) ir iš dalies keičiamas Sprendimas Nr. 716/2009/EB bei panaikinamas Komisijos sprendimas 2009/77/EB </w:t>
      </w:r>
      <w:r w:rsidRPr="00CC5BA8">
        <w:rPr>
          <w:rFonts w:eastAsia="Calibri"/>
          <w:bCs/>
          <w:strike/>
          <w:szCs w:val="24"/>
        </w:rPr>
        <w:t>(OL 2010 L 331, p. 84)</w:t>
      </w:r>
      <w:r w:rsidR="004A2621" w:rsidRPr="00CC5BA8">
        <w:rPr>
          <w:rFonts w:eastAsia="Calibri"/>
          <w:b/>
          <w:bCs/>
          <w:szCs w:val="24"/>
        </w:rPr>
        <w:t>,</w:t>
      </w:r>
      <w:r w:rsidR="00D0162B" w:rsidRPr="00CC5BA8">
        <w:rPr>
          <w:rFonts w:eastAsia="Calibri"/>
          <w:b/>
          <w:bCs/>
          <w:szCs w:val="24"/>
        </w:rPr>
        <w:t xml:space="preserve"> su visais pakeitimais</w:t>
      </w:r>
      <w:r w:rsidRPr="00CC5BA8">
        <w:rPr>
          <w:rFonts w:eastAsia="Calibri"/>
          <w:bCs/>
          <w:szCs w:val="24"/>
        </w:rPr>
        <w:t>;</w:t>
      </w:r>
      <w:r w:rsidR="00424ABF" w:rsidRPr="00CC5BA8">
        <w:rPr>
          <w:rFonts w:eastAsia="Calibri"/>
          <w:bCs/>
          <w:szCs w:val="24"/>
        </w:rPr>
        <w:t>“.</w:t>
      </w:r>
    </w:p>
    <w:p w14:paraId="4F6A409E" w14:textId="4E880CAB" w:rsidR="00774242" w:rsidRPr="00CC5BA8" w:rsidRDefault="00774242" w:rsidP="00774242">
      <w:pPr>
        <w:ind w:firstLine="720"/>
        <w:jc w:val="both"/>
        <w:rPr>
          <w:rFonts w:eastAsia="Calibri"/>
          <w:bCs/>
          <w:szCs w:val="24"/>
        </w:rPr>
      </w:pPr>
      <w:r w:rsidRPr="00CC5BA8">
        <w:rPr>
          <w:rFonts w:eastAsia="Calibri"/>
          <w:szCs w:val="24"/>
        </w:rPr>
        <w:t xml:space="preserve">3. Pakeisti 43 straipsnio 7 dalies 10 </w:t>
      </w:r>
      <w:r w:rsidRPr="00CC5BA8">
        <w:rPr>
          <w:rFonts w:eastAsia="Calibri"/>
          <w:bCs/>
          <w:szCs w:val="24"/>
        </w:rPr>
        <w:t>punktą ir jį išdėstyti taip:</w:t>
      </w:r>
    </w:p>
    <w:p w14:paraId="1D2906D6" w14:textId="7CF882D1" w:rsidR="00774242" w:rsidRPr="00CC5BA8" w:rsidRDefault="00774242">
      <w:pPr>
        <w:ind w:firstLine="720"/>
        <w:jc w:val="both"/>
        <w:rPr>
          <w:rFonts w:eastAsia="Calibri"/>
          <w:szCs w:val="24"/>
        </w:rPr>
      </w:pPr>
      <w:r w:rsidRPr="00CC5BA8">
        <w:rPr>
          <w:rFonts w:eastAsia="Calibri"/>
          <w:szCs w:val="24"/>
        </w:rPr>
        <w:t xml:space="preserve">„10) Europos draudimo ir profesinių pensijų institucijai, kaip nustatyta Lietuvos Respublikos draudimo įstatyme ir 2010 m. lapkričio 24 d. Europos Parlamento ir Tarybos reglamente (ES) Nr. 1094/2010, kuriuo įsteigiama Europos priežiūros institucija (Europos draudimo ir profesinių pensijų institucija), iš dalies keičiamas Sprendimas Nr. 716/2009/EB ir panaikinamas Komisijos sprendimas 2009/79/EB </w:t>
      </w:r>
      <w:r w:rsidRPr="00CC5BA8">
        <w:rPr>
          <w:rFonts w:eastAsia="Calibri"/>
          <w:strike/>
          <w:szCs w:val="24"/>
        </w:rPr>
        <w:t>(OL 2010 L 331, p. 48)</w:t>
      </w:r>
      <w:r w:rsidR="004A2621" w:rsidRPr="00CC5BA8">
        <w:rPr>
          <w:rFonts w:eastAsia="Calibri"/>
          <w:b/>
          <w:bCs/>
          <w:szCs w:val="24"/>
        </w:rPr>
        <w:t>,</w:t>
      </w:r>
      <w:r w:rsidR="00D0162B" w:rsidRPr="00CC5BA8">
        <w:rPr>
          <w:rFonts w:eastAsia="Calibri"/>
          <w:b/>
          <w:bCs/>
          <w:szCs w:val="24"/>
        </w:rPr>
        <w:t xml:space="preserve"> su visais pakeitimais</w:t>
      </w:r>
      <w:r w:rsidRPr="00CC5BA8">
        <w:rPr>
          <w:rFonts w:eastAsia="Calibri"/>
          <w:szCs w:val="24"/>
        </w:rPr>
        <w:t>;</w:t>
      </w:r>
      <w:r w:rsidR="00424ABF" w:rsidRPr="00CC5BA8">
        <w:rPr>
          <w:rFonts w:eastAsia="Calibri"/>
          <w:bCs/>
          <w:szCs w:val="24"/>
        </w:rPr>
        <w:t>“.</w:t>
      </w:r>
    </w:p>
    <w:p w14:paraId="37645C14" w14:textId="5707CA41" w:rsidR="00774242" w:rsidRPr="00CC5BA8" w:rsidRDefault="00774242" w:rsidP="00774242">
      <w:pPr>
        <w:ind w:firstLine="720"/>
        <w:jc w:val="both"/>
        <w:rPr>
          <w:rFonts w:eastAsia="Calibri"/>
          <w:bCs/>
          <w:szCs w:val="24"/>
        </w:rPr>
      </w:pPr>
      <w:r w:rsidRPr="00CC5BA8">
        <w:rPr>
          <w:rFonts w:eastAsia="Calibri"/>
          <w:szCs w:val="24"/>
        </w:rPr>
        <w:t xml:space="preserve">4. Pakeisti 43 straipsnio 7 dalies 11 </w:t>
      </w:r>
      <w:r w:rsidRPr="00CC5BA8">
        <w:rPr>
          <w:rFonts w:eastAsia="Calibri"/>
          <w:bCs/>
          <w:szCs w:val="24"/>
        </w:rPr>
        <w:t>punktą ir jį išdėstyti taip:</w:t>
      </w:r>
    </w:p>
    <w:p w14:paraId="08023614" w14:textId="2D1CBDFD" w:rsidR="00774242" w:rsidRPr="00CC5BA8" w:rsidRDefault="00774242">
      <w:pPr>
        <w:ind w:firstLine="720"/>
        <w:jc w:val="both"/>
        <w:rPr>
          <w:rFonts w:eastAsia="Calibri"/>
          <w:szCs w:val="24"/>
        </w:rPr>
      </w:pPr>
      <w:r w:rsidRPr="00CC5BA8">
        <w:rPr>
          <w:rFonts w:eastAsia="Calibri"/>
          <w:szCs w:val="24"/>
        </w:rPr>
        <w:t>„11) Europos sisteminės rizikos valdybai, kai ši informacija reikšminga jos funkcijoms, vykdomoms pagal 2010 m. lapkričio 24 d. Europos Parlamento ir Tarybos reglamentą (ES) Nr.</w:t>
      </w:r>
      <w:r w:rsidR="00424ABF" w:rsidRPr="00CC5BA8">
        <w:rPr>
          <w:rFonts w:eastAsia="Calibri"/>
          <w:szCs w:val="24"/>
        </w:rPr>
        <w:t> </w:t>
      </w:r>
      <w:r w:rsidRPr="00CC5BA8">
        <w:rPr>
          <w:rFonts w:eastAsia="Calibri"/>
          <w:szCs w:val="24"/>
        </w:rPr>
        <w:t xml:space="preserve">1092/2010 dėl Europos Sąjungos finansų sistemos makrolygio rizikos ribojimo priežiūros ir Europos sisteminės rizikos valdybos įsteigimo </w:t>
      </w:r>
      <w:r w:rsidRPr="00CC5BA8">
        <w:rPr>
          <w:rFonts w:eastAsia="Calibri"/>
          <w:strike/>
          <w:szCs w:val="24"/>
        </w:rPr>
        <w:t>(OL 2010 L 331, p. 1)</w:t>
      </w:r>
      <w:r w:rsidR="00D0162B" w:rsidRPr="00CC5BA8">
        <w:rPr>
          <w:rFonts w:eastAsia="Calibri"/>
          <w:b/>
          <w:bCs/>
          <w:szCs w:val="24"/>
        </w:rPr>
        <w:t xml:space="preserve"> su visais pakeitimais</w:t>
      </w:r>
      <w:r w:rsidRPr="00CC5BA8">
        <w:rPr>
          <w:rFonts w:eastAsia="Calibri"/>
          <w:szCs w:val="24"/>
        </w:rPr>
        <w:t>, atlikti, o kritinėmis situacijomis – nedelsiant;</w:t>
      </w:r>
      <w:r w:rsidR="00424ABF" w:rsidRPr="00CC5BA8">
        <w:rPr>
          <w:rFonts w:eastAsia="Calibri"/>
          <w:bCs/>
          <w:szCs w:val="24"/>
        </w:rPr>
        <w:t>“.</w:t>
      </w:r>
    </w:p>
    <w:p w14:paraId="07C3D68B" w14:textId="75605CED" w:rsidR="00774242" w:rsidRPr="00CC5BA8" w:rsidRDefault="00774242" w:rsidP="00774242">
      <w:pPr>
        <w:ind w:firstLine="720"/>
        <w:jc w:val="both"/>
        <w:rPr>
          <w:rFonts w:eastAsia="Calibri"/>
          <w:bCs/>
          <w:szCs w:val="24"/>
        </w:rPr>
      </w:pPr>
      <w:r w:rsidRPr="00CC5BA8">
        <w:rPr>
          <w:rFonts w:eastAsia="Calibri"/>
          <w:szCs w:val="24"/>
        </w:rPr>
        <w:t xml:space="preserve">5. Pakeisti 43 straipsnio 7 dalies 13 </w:t>
      </w:r>
      <w:r w:rsidRPr="00CC5BA8">
        <w:rPr>
          <w:rFonts w:eastAsia="Calibri"/>
          <w:bCs/>
          <w:szCs w:val="24"/>
        </w:rPr>
        <w:t>punktą ir jį išdėstyti taip:</w:t>
      </w:r>
    </w:p>
    <w:p w14:paraId="59079697" w14:textId="42B14D6E" w:rsidR="00774242" w:rsidRPr="00CC5BA8" w:rsidRDefault="00774242">
      <w:pPr>
        <w:ind w:firstLine="720"/>
        <w:jc w:val="both"/>
        <w:rPr>
          <w:rFonts w:eastAsia="Calibri"/>
          <w:szCs w:val="24"/>
        </w:rPr>
      </w:pPr>
      <w:r w:rsidRPr="00CC5BA8">
        <w:rPr>
          <w:rFonts w:eastAsia="Calibri"/>
          <w:szCs w:val="24"/>
        </w:rPr>
        <w:t>„</w:t>
      </w:r>
      <w:r w:rsidR="00121D73" w:rsidRPr="00CC5BA8">
        <w:rPr>
          <w:rFonts w:eastAsia="Calibri"/>
          <w:szCs w:val="24"/>
        </w:rPr>
        <w:t>1</w:t>
      </w:r>
      <w:r w:rsidRPr="00CC5BA8">
        <w:rPr>
          <w:rFonts w:eastAsia="Calibri"/>
          <w:szCs w:val="24"/>
        </w:rPr>
        <w:t>3) centrinėms kredito unijoms, taip pat sutartinėms arba institucinėms užtikrinimo sistemoms, nurodytoms 2013 m. birželio 26 d. Europos Parlamento ir Tarybos reglamento (ES) Nr.</w:t>
      </w:r>
      <w:r w:rsidR="00424ABF" w:rsidRPr="00CC5BA8">
        <w:rPr>
          <w:rFonts w:eastAsia="Calibri"/>
          <w:szCs w:val="24"/>
        </w:rPr>
        <w:t> </w:t>
      </w:r>
      <w:r w:rsidRPr="00CC5BA8">
        <w:rPr>
          <w:rFonts w:eastAsia="Calibri"/>
          <w:szCs w:val="24"/>
        </w:rPr>
        <w:t xml:space="preserve">575/2013 dėl </w:t>
      </w:r>
      <w:proofErr w:type="spellStart"/>
      <w:r w:rsidRPr="00CC5BA8">
        <w:rPr>
          <w:rFonts w:eastAsia="Calibri"/>
          <w:szCs w:val="24"/>
        </w:rPr>
        <w:t>prudencinių</w:t>
      </w:r>
      <w:proofErr w:type="spellEnd"/>
      <w:r w:rsidRPr="00CC5BA8">
        <w:rPr>
          <w:rFonts w:eastAsia="Calibri"/>
          <w:szCs w:val="24"/>
        </w:rPr>
        <w:t xml:space="preserve"> reikalavimų kredito įstaigoms ir investicinėms įmonėms ir kuriuo iš dalies keičiamas Reglamentas (ES) Nr. 648/2012 </w:t>
      </w:r>
      <w:r w:rsidRPr="00CC5BA8">
        <w:rPr>
          <w:rFonts w:eastAsia="Calibri"/>
          <w:strike/>
          <w:szCs w:val="24"/>
        </w:rPr>
        <w:t>(OL 2013 L 176, p. 1)</w:t>
      </w:r>
      <w:r w:rsidR="00D0162B" w:rsidRPr="00CC5BA8">
        <w:rPr>
          <w:rFonts w:eastAsia="Calibri"/>
          <w:b/>
          <w:bCs/>
          <w:szCs w:val="24"/>
        </w:rPr>
        <w:t xml:space="preserve"> su visais pakeitimais</w:t>
      </w:r>
      <w:r w:rsidRPr="00CC5BA8">
        <w:rPr>
          <w:rFonts w:eastAsia="Calibri"/>
          <w:szCs w:val="24"/>
        </w:rPr>
        <w:t xml:space="preserve"> 113 straipsnio 7 dalyje, jeigu ji reikalinga jų funkcijoms atlikti;</w:t>
      </w:r>
      <w:r w:rsidR="00474FFF" w:rsidRPr="00CC5BA8">
        <w:rPr>
          <w:rFonts w:eastAsia="Calibri"/>
          <w:szCs w:val="24"/>
        </w:rPr>
        <w:t>“</w:t>
      </w:r>
      <w:r w:rsidR="00424ABF" w:rsidRPr="00CC5BA8">
        <w:rPr>
          <w:rFonts w:eastAsia="Calibri"/>
          <w:szCs w:val="24"/>
        </w:rPr>
        <w:t>.</w:t>
      </w:r>
    </w:p>
    <w:p w14:paraId="07B8EA39" w14:textId="77777777" w:rsidR="00D0162B" w:rsidRPr="00CC5BA8" w:rsidRDefault="00D0162B" w:rsidP="00D0162B">
      <w:pPr>
        <w:ind w:firstLine="720"/>
        <w:jc w:val="both"/>
        <w:rPr>
          <w:rFonts w:eastAsia="Calibri"/>
          <w:szCs w:val="24"/>
        </w:rPr>
      </w:pPr>
      <w:r w:rsidRPr="00CC5BA8">
        <w:rPr>
          <w:rFonts w:eastAsia="Calibri"/>
          <w:szCs w:val="24"/>
        </w:rPr>
        <w:t>6. Pakeisti 43 straipsnio 7 dalies 15 punktą ir jį išdėstyti taip:</w:t>
      </w:r>
    </w:p>
    <w:p w14:paraId="5BFE4534" w14:textId="64BF914C" w:rsidR="00D0162B" w:rsidRPr="00CC5BA8" w:rsidRDefault="00D0162B" w:rsidP="00D0162B">
      <w:pPr>
        <w:ind w:firstLine="720"/>
        <w:jc w:val="both"/>
        <w:rPr>
          <w:rFonts w:eastAsia="Calibri"/>
          <w:szCs w:val="24"/>
        </w:rPr>
      </w:pPr>
      <w:r w:rsidRPr="00CC5BA8">
        <w:rPr>
          <w:rFonts w:eastAsia="Calibri"/>
          <w:szCs w:val="24"/>
        </w:rPr>
        <w:lastRenderedPageBreak/>
        <w:t xml:space="preserve">„15) kritinėmis situacijomis, kaip nustatyta Lietuvos Respublikos bankų įstatymo 59 straipsnio </w:t>
      </w:r>
      <w:r w:rsidRPr="00CC5BA8">
        <w:rPr>
          <w:rFonts w:eastAsia="Calibri"/>
          <w:strike/>
          <w:szCs w:val="24"/>
        </w:rPr>
        <w:t>8</w:t>
      </w:r>
      <w:r w:rsidRPr="00CC5BA8">
        <w:rPr>
          <w:rFonts w:eastAsia="Calibri"/>
          <w:szCs w:val="24"/>
        </w:rPr>
        <w:t xml:space="preserve"> </w:t>
      </w:r>
      <w:r w:rsidRPr="00CC5BA8">
        <w:rPr>
          <w:rFonts w:eastAsia="Calibri"/>
          <w:b/>
          <w:szCs w:val="24"/>
        </w:rPr>
        <w:t xml:space="preserve">10 </w:t>
      </w:r>
      <w:r w:rsidRPr="00CC5BA8">
        <w:rPr>
          <w:rFonts w:eastAsia="Calibri"/>
          <w:szCs w:val="24"/>
        </w:rPr>
        <w:t>dalyje ir 70</w:t>
      </w:r>
      <w:r w:rsidRPr="00CC5BA8">
        <w:rPr>
          <w:rFonts w:eastAsia="Calibri"/>
          <w:szCs w:val="24"/>
          <w:vertAlign w:val="superscript"/>
        </w:rPr>
        <w:t>1</w:t>
      </w:r>
      <w:r w:rsidRPr="00CC5BA8">
        <w:rPr>
          <w:rFonts w:eastAsia="Calibri"/>
          <w:szCs w:val="24"/>
        </w:rPr>
        <w:t> straipsnio 5 dalyje, Lietuvos Respublikos finansų ministerijai ir kitų Europos Sąjungos valstybių narių centrinės valdžios institucijoms, dalyvaujančioms rengiant teisės aktus, susijusius su pensijų asociacijų,</w:t>
      </w:r>
      <w:r w:rsidRPr="00CC5BA8">
        <w:rPr>
          <w:rFonts w:eastAsia="Calibri"/>
          <w:b/>
          <w:bCs/>
          <w:szCs w:val="24"/>
        </w:rPr>
        <w:t> </w:t>
      </w:r>
      <w:r w:rsidRPr="00CC5BA8">
        <w:rPr>
          <w:rFonts w:eastAsia="Calibri"/>
          <w:szCs w:val="24"/>
        </w:rPr>
        <w:t>kredito įstaigų, finansų įstaigų, investicines ir draudimo paslaugas teikiančių bendrovių priežiūra, jeigu ji reikalinga jų funkcijoms atlikti;“</w:t>
      </w:r>
      <w:r w:rsidR="004A2621" w:rsidRPr="00CC5BA8">
        <w:rPr>
          <w:rFonts w:eastAsia="Calibri"/>
          <w:szCs w:val="24"/>
        </w:rPr>
        <w:t>.</w:t>
      </w:r>
    </w:p>
    <w:p w14:paraId="1E81E5C9" w14:textId="26F4497B" w:rsidR="009D166B" w:rsidRPr="00CC5BA8" w:rsidRDefault="00D0162B">
      <w:pPr>
        <w:ind w:firstLine="720"/>
        <w:jc w:val="both"/>
        <w:rPr>
          <w:rFonts w:eastAsia="Calibri"/>
          <w:szCs w:val="24"/>
        </w:rPr>
      </w:pPr>
      <w:r w:rsidRPr="00CC5BA8">
        <w:rPr>
          <w:rFonts w:eastAsia="Calibri"/>
          <w:szCs w:val="24"/>
        </w:rPr>
        <w:t>7</w:t>
      </w:r>
      <w:r w:rsidR="00774242" w:rsidRPr="00CC5BA8">
        <w:rPr>
          <w:rFonts w:eastAsia="Calibri"/>
          <w:szCs w:val="24"/>
        </w:rPr>
        <w:t xml:space="preserve">. </w:t>
      </w:r>
      <w:r w:rsidR="009449B1" w:rsidRPr="00CC5BA8">
        <w:rPr>
          <w:rFonts w:eastAsia="Calibri"/>
          <w:szCs w:val="24"/>
        </w:rPr>
        <w:t xml:space="preserve">Papildyti 43 straipsnio 7 dalį 19 punktu: </w:t>
      </w:r>
    </w:p>
    <w:p w14:paraId="0D0B3D31" w14:textId="43D46104" w:rsidR="009D166B" w:rsidRPr="00CC5BA8" w:rsidRDefault="009449B1">
      <w:pPr>
        <w:ind w:firstLine="720"/>
        <w:jc w:val="both"/>
        <w:rPr>
          <w:rFonts w:eastAsia="Calibri"/>
          <w:szCs w:val="24"/>
        </w:rPr>
      </w:pPr>
      <w:r w:rsidRPr="00CC5BA8">
        <w:rPr>
          <w:rFonts w:eastAsia="Calibri"/>
          <w:szCs w:val="24"/>
        </w:rPr>
        <w:t>„</w:t>
      </w:r>
      <w:r w:rsidRPr="00CC5BA8">
        <w:rPr>
          <w:rFonts w:eastAsia="Calibri"/>
          <w:b/>
          <w:bCs/>
          <w:szCs w:val="24"/>
        </w:rPr>
        <w:t>19) Tarptautiniam valiutos fondui ir Pasaulio bankui, jeigu ji reikalinga konkrečioms jų funkcijoms, susijusioms su finansų sektoriaus vertinimo programai parengti atliekamais vertinimais, atlikti;</w:t>
      </w:r>
      <w:r w:rsidRPr="00CC5BA8">
        <w:rPr>
          <w:rFonts w:eastAsia="Calibri"/>
          <w:szCs w:val="24"/>
        </w:rPr>
        <w:t>“</w:t>
      </w:r>
      <w:r w:rsidR="00424ABF" w:rsidRPr="00CC5BA8">
        <w:rPr>
          <w:rFonts w:eastAsia="Calibri"/>
          <w:szCs w:val="24"/>
        </w:rPr>
        <w:t>.</w:t>
      </w:r>
    </w:p>
    <w:p w14:paraId="78757C06" w14:textId="04B3C955" w:rsidR="009D166B" w:rsidRPr="00CC5BA8" w:rsidRDefault="00D0162B">
      <w:pPr>
        <w:ind w:firstLine="720"/>
        <w:jc w:val="both"/>
        <w:rPr>
          <w:rFonts w:eastAsia="Calibri"/>
          <w:szCs w:val="24"/>
        </w:rPr>
      </w:pPr>
      <w:r w:rsidRPr="00CC5BA8">
        <w:rPr>
          <w:rFonts w:eastAsia="Calibri"/>
          <w:szCs w:val="24"/>
        </w:rPr>
        <w:t>8</w:t>
      </w:r>
      <w:r w:rsidR="009449B1" w:rsidRPr="00CC5BA8">
        <w:rPr>
          <w:rFonts w:eastAsia="Calibri"/>
          <w:szCs w:val="24"/>
        </w:rPr>
        <w:t xml:space="preserve">. Papildyti 43 straipsnio 7 dalį 20 punktu: </w:t>
      </w:r>
    </w:p>
    <w:p w14:paraId="0337376D" w14:textId="459AA4FA" w:rsidR="009D166B" w:rsidRPr="00CC5BA8" w:rsidRDefault="009449B1">
      <w:pPr>
        <w:ind w:firstLine="720"/>
        <w:jc w:val="both"/>
        <w:rPr>
          <w:rFonts w:eastAsia="Calibri"/>
          <w:szCs w:val="24"/>
        </w:rPr>
      </w:pPr>
      <w:r w:rsidRPr="00CC5BA8">
        <w:rPr>
          <w:rFonts w:eastAsia="Calibri"/>
          <w:szCs w:val="24"/>
        </w:rPr>
        <w:t>„</w:t>
      </w:r>
      <w:r w:rsidRPr="00CC5BA8">
        <w:rPr>
          <w:rFonts w:eastAsia="Calibri"/>
          <w:b/>
          <w:bCs/>
          <w:szCs w:val="24"/>
        </w:rPr>
        <w:t>20) Tarptautinių atsiskaitymų bankui, jeigu ji reikalinga konkrečioms jo funkcijoms, susijusioms su kiekybiniais poveikio tyrimais, atlikti;</w:t>
      </w:r>
      <w:r w:rsidRPr="00CC5BA8">
        <w:rPr>
          <w:rFonts w:eastAsia="Calibri"/>
          <w:szCs w:val="24"/>
        </w:rPr>
        <w:t>“</w:t>
      </w:r>
      <w:r w:rsidR="00424ABF" w:rsidRPr="00CC5BA8">
        <w:rPr>
          <w:rFonts w:eastAsia="Calibri"/>
          <w:szCs w:val="24"/>
        </w:rPr>
        <w:t>.</w:t>
      </w:r>
    </w:p>
    <w:p w14:paraId="7F77A1C8" w14:textId="003F6699" w:rsidR="009D166B" w:rsidRPr="00CC5BA8" w:rsidRDefault="00D0162B">
      <w:pPr>
        <w:ind w:firstLine="720"/>
        <w:jc w:val="both"/>
        <w:rPr>
          <w:rFonts w:eastAsia="Calibri"/>
          <w:szCs w:val="24"/>
        </w:rPr>
      </w:pPr>
      <w:r w:rsidRPr="00CC5BA8">
        <w:rPr>
          <w:rFonts w:eastAsia="Calibri"/>
          <w:szCs w:val="24"/>
        </w:rPr>
        <w:t>9</w:t>
      </w:r>
      <w:r w:rsidR="009449B1" w:rsidRPr="00CC5BA8">
        <w:rPr>
          <w:rFonts w:eastAsia="Calibri"/>
          <w:szCs w:val="24"/>
        </w:rPr>
        <w:t xml:space="preserve">. Papildyti 43 straipsnio 7 dalį 21 punktu: </w:t>
      </w:r>
    </w:p>
    <w:p w14:paraId="78561408" w14:textId="6BD0396F" w:rsidR="009D166B" w:rsidRPr="00CC5BA8" w:rsidRDefault="009449B1">
      <w:pPr>
        <w:ind w:firstLine="720"/>
        <w:jc w:val="both"/>
        <w:rPr>
          <w:rFonts w:eastAsia="Calibri"/>
          <w:szCs w:val="24"/>
        </w:rPr>
      </w:pPr>
      <w:r w:rsidRPr="00CC5BA8">
        <w:rPr>
          <w:rFonts w:eastAsia="Calibri"/>
          <w:szCs w:val="24"/>
        </w:rPr>
        <w:t>„</w:t>
      </w:r>
      <w:r w:rsidRPr="00CC5BA8">
        <w:rPr>
          <w:rFonts w:eastAsia="Calibri"/>
          <w:b/>
          <w:bCs/>
          <w:szCs w:val="24"/>
        </w:rPr>
        <w:t>21) Finansinio stabilumo tarybai, jeigu ji reikalinga jos vykdomai priežiūrai atlikti</w:t>
      </w:r>
      <w:r w:rsidR="00245D3C" w:rsidRPr="00CC5BA8">
        <w:rPr>
          <w:rFonts w:eastAsia="Calibri"/>
          <w:b/>
          <w:bCs/>
          <w:szCs w:val="24"/>
        </w:rPr>
        <w:t>.</w:t>
      </w:r>
      <w:r w:rsidR="00245D3C" w:rsidRPr="00CC5BA8">
        <w:rPr>
          <w:rFonts w:eastAsia="Calibri"/>
          <w:szCs w:val="24"/>
        </w:rPr>
        <w:t>“</w:t>
      </w:r>
    </w:p>
    <w:p w14:paraId="0A64D270" w14:textId="1B4FAF36" w:rsidR="009D166B" w:rsidRPr="00CC5BA8" w:rsidRDefault="00D0162B">
      <w:pPr>
        <w:ind w:firstLine="720"/>
        <w:jc w:val="both"/>
        <w:rPr>
          <w:rFonts w:eastAsia="Calibri"/>
          <w:szCs w:val="24"/>
        </w:rPr>
      </w:pPr>
      <w:r w:rsidRPr="00CC5BA8">
        <w:rPr>
          <w:rFonts w:eastAsia="Calibri"/>
          <w:szCs w:val="24"/>
        </w:rPr>
        <w:t>10</w:t>
      </w:r>
      <w:r w:rsidR="009449B1" w:rsidRPr="00CC5BA8">
        <w:rPr>
          <w:rFonts w:eastAsia="Calibri"/>
          <w:szCs w:val="24"/>
        </w:rPr>
        <w:t>. Pakeisti 43 straipsnio 8 dalį ir ją išdėstyti taip:</w:t>
      </w:r>
    </w:p>
    <w:p w14:paraId="7C22F881" w14:textId="7C211AA6" w:rsidR="009D166B" w:rsidRPr="00CC5BA8" w:rsidRDefault="009449B1">
      <w:pPr>
        <w:ind w:firstLine="720"/>
        <w:jc w:val="both"/>
        <w:rPr>
          <w:rFonts w:eastAsia="Calibri"/>
          <w:szCs w:val="24"/>
        </w:rPr>
      </w:pPr>
      <w:r w:rsidRPr="00CC5BA8">
        <w:rPr>
          <w:rFonts w:eastAsia="Calibri"/>
          <w:szCs w:val="24"/>
        </w:rPr>
        <w:t>„8. Šio straipsnio 7 dalies 3–7, 12, 14, 16</w:t>
      </w:r>
      <w:r w:rsidRPr="00CC5BA8">
        <w:rPr>
          <w:rFonts w:eastAsia="Calibri"/>
          <w:b/>
          <w:bCs/>
          <w:szCs w:val="24"/>
        </w:rPr>
        <w:t>–21</w:t>
      </w:r>
      <w:r w:rsidRPr="00CC5BA8">
        <w:rPr>
          <w:rFonts w:eastAsia="Calibri"/>
          <w:strike/>
          <w:szCs w:val="24"/>
        </w:rPr>
        <w:t>, 17 ir 18</w:t>
      </w:r>
      <w:r w:rsidRPr="00CC5BA8">
        <w:rPr>
          <w:rFonts w:eastAsia="Calibri"/>
          <w:szCs w:val="24"/>
        </w:rPr>
        <w:t> punktuose nurodytoms institucijoms priežiūros tikslais gauta informacija gali būti perduodama, jeigu joms taikomi reikalavimai saugoti informaciją yra ne mažesni, negu nustatyta šiame įstatyme.“</w:t>
      </w:r>
    </w:p>
    <w:p w14:paraId="76AFA9E3" w14:textId="5B0163DD" w:rsidR="009D166B" w:rsidRDefault="00D0162B">
      <w:pPr>
        <w:ind w:firstLine="720"/>
        <w:jc w:val="both"/>
        <w:rPr>
          <w:rFonts w:eastAsia="Calibri"/>
          <w:szCs w:val="24"/>
        </w:rPr>
      </w:pPr>
      <w:r>
        <w:rPr>
          <w:rFonts w:eastAsia="Calibri"/>
          <w:szCs w:val="24"/>
        </w:rPr>
        <w:t>11</w:t>
      </w:r>
      <w:r w:rsidR="009449B1">
        <w:rPr>
          <w:rFonts w:eastAsia="Calibri"/>
          <w:szCs w:val="24"/>
        </w:rPr>
        <w:t xml:space="preserve">. Papildyti 43 straipsnį nauja 10 dalimi: </w:t>
      </w:r>
    </w:p>
    <w:p w14:paraId="64A45B75" w14:textId="4D6BF9C9" w:rsidR="009D166B" w:rsidRDefault="009449B1">
      <w:pPr>
        <w:ind w:firstLine="720"/>
        <w:jc w:val="both"/>
        <w:rPr>
          <w:rFonts w:eastAsia="Calibri"/>
          <w:iCs/>
          <w:szCs w:val="24"/>
        </w:rPr>
      </w:pPr>
      <w:r>
        <w:rPr>
          <w:rFonts w:eastAsia="Calibri"/>
          <w:szCs w:val="24"/>
        </w:rPr>
        <w:t>„</w:t>
      </w:r>
      <w:r>
        <w:rPr>
          <w:rFonts w:eastAsia="Calibri"/>
          <w:b/>
          <w:bCs/>
          <w:szCs w:val="24"/>
        </w:rPr>
        <w:t>10. Pagal šio straipsnio 7 dalies 19–21 punktus informacija perduodama tik pateikus prašymą, kuriame prašymą teikianti įstaiga nurodo konkrečias užduotis, kurioms atlikti pagal teisės aktais nustatytus įgaliojimus būtina prašoma informacija. Prašyme turi būti tiksliai nurodyta prašoma informacija ir jos atskleidimo ar perdavimo būdas. Informacija perduodama tik prašymą pateikusios įstaigos nurodytiems asmenims, kurie atlieka su prašymą pateikusios įstaigos įgaliojimais tiesiogiai susijusias funkcijas. Informacija, iš kurios tiesiogiai ar netiesiogiai galima nustatyti konkrečių asmens duomenų, gali būti teikiama tik Lietuvos banko patalpose.</w:t>
      </w:r>
      <w:r>
        <w:rPr>
          <w:rFonts w:eastAsia="Calibri"/>
          <w:iCs/>
          <w:szCs w:val="24"/>
        </w:rPr>
        <w:t>“</w:t>
      </w:r>
    </w:p>
    <w:p w14:paraId="6BD02A56" w14:textId="5F60F4D1" w:rsidR="00D0162B" w:rsidRDefault="00D0162B">
      <w:pPr>
        <w:ind w:firstLine="720"/>
        <w:jc w:val="both"/>
        <w:rPr>
          <w:rFonts w:eastAsia="Calibri"/>
          <w:iCs/>
          <w:szCs w:val="24"/>
        </w:rPr>
      </w:pPr>
      <w:r>
        <w:rPr>
          <w:rFonts w:eastAsia="Calibri"/>
          <w:iCs/>
          <w:szCs w:val="24"/>
        </w:rPr>
        <w:t>12</w:t>
      </w:r>
      <w:r w:rsidR="009449B1">
        <w:rPr>
          <w:rFonts w:eastAsia="Calibri"/>
          <w:iCs/>
          <w:szCs w:val="24"/>
        </w:rPr>
        <w:t xml:space="preserve">. </w:t>
      </w:r>
      <w:r>
        <w:rPr>
          <w:rFonts w:eastAsia="Calibri"/>
          <w:bCs/>
          <w:szCs w:val="24"/>
        </w:rPr>
        <w:t>Buvusias 43 straipsnio 10–12 dalis laikyti atitinkamai 11–13 dalimis.</w:t>
      </w:r>
    </w:p>
    <w:p w14:paraId="509F274D" w14:textId="0A5BA141" w:rsidR="001D6609" w:rsidRPr="00CC5BA8" w:rsidRDefault="00D0162B">
      <w:pPr>
        <w:ind w:firstLine="720"/>
        <w:jc w:val="both"/>
        <w:rPr>
          <w:rFonts w:eastAsia="Calibri"/>
          <w:bCs/>
          <w:szCs w:val="24"/>
        </w:rPr>
      </w:pPr>
      <w:r w:rsidRPr="00CC5BA8">
        <w:rPr>
          <w:rFonts w:eastAsia="Calibri"/>
          <w:bCs/>
          <w:szCs w:val="24"/>
        </w:rPr>
        <w:t xml:space="preserve">13. </w:t>
      </w:r>
      <w:r w:rsidR="001D6609" w:rsidRPr="00CC5BA8">
        <w:rPr>
          <w:rFonts w:eastAsia="Calibri"/>
          <w:bCs/>
          <w:szCs w:val="24"/>
        </w:rPr>
        <w:t>Pakeisti 43 straipsnio 1</w:t>
      </w:r>
      <w:r w:rsidR="003C6CF1" w:rsidRPr="00CC5BA8">
        <w:rPr>
          <w:rFonts w:eastAsia="Calibri"/>
          <w:bCs/>
          <w:szCs w:val="24"/>
        </w:rPr>
        <w:t>1</w:t>
      </w:r>
      <w:r w:rsidR="001D6609" w:rsidRPr="00CC5BA8">
        <w:rPr>
          <w:rFonts w:eastAsia="Calibri"/>
          <w:bCs/>
          <w:szCs w:val="24"/>
        </w:rPr>
        <w:t xml:space="preserve"> dalį ir ją išdėstyti taip:</w:t>
      </w:r>
    </w:p>
    <w:p w14:paraId="5A830176" w14:textId="52E9D1E9" w:rsidR="001D6609" w:rsidRPr="00CC5BA8" w:rsidRDefault="001D6609">
      <w:pPr>
        <w:ind w:firstLine="720"/>
        <w:jc w:val="both"/>
        <w:rPr>
          <w:rFonts w:eastAsia="Calibri"/>
          <w:iCs/>
          <w:szCs w:val="24"/>
        </w:rPr>
      </w:pPr>
      <w:r w:rsidRPr="00CC5BA8">
        <w:rPr>
          <w:rFonts w:eastAsia="Calibri"/>
          <w:bCs/>
          <w:szCs w:val="24"/>
        </w:rPr>
        <w:t>„</w:t>
      </w:r>
      <w:r w:rsidRPr="00CC5BA8">
        <w:rPr>
          <w:rFonts w:eastAsia="Calibri"/>
          <w:bCs/>
          <w:strike/>
          <w:szCs w:val="24"/>
        </w:rPr>
        <w:t>10</w:t>
      </w:r>
      <w:r w:rsidRPr="00CC5BA8">
        <w:rPr>
          <w:rFonts w:eastAsia="Calibri"/>
          <w:b/>
          <w:bCs/>
          <w:szCs w:val="24"/>
        </w:rPr>
        <w:t>11</w:t>
      </w:r>
      <w:r w:rsidRPr="00CC5BA8">
        <w:rPr>
          <w:rFonts w:eastAsia="Calibri"/>
          <w:bCs/>
          <w:szCs w:val="24"/>
        </w:rPr>
        <w:t>. Priežiūros tikslais iš užsienio valstybės, kuri yra Europos Sąjungos valstybė narė, finansinių paslaugų teikimo veiklos, draudimo veiklos ir finansų rinkų priežiūros institucijos gauta informacija arba informacija, gauta kitoje Europos Sąjungos valstybėje narėje atlikto patikrinimo metu, gali būti perduota pagal šio straipsnio 7 dalies 3, 5, 12, 13, 15, 16</w:t>
      </w:r>
      <w:r w:rsidRPr="00CC5BA8">
        <w:rPr>
          <w:rFonts w:eastAsia="Calibri"/>
          <w:bCs/>
          <w:strike/>
          <w:szCs w:val="24"/>
        </w:rPr>
        <w:t>, 17</w:t>
      </w:r>
      <w:r w:rsidRPr="00CC5BA8">
        <w:rPr>
          <w:rFonts w:eastAsia="Calibri"/>
          <w:b/>
          <w:bCs/>
          <w:strike/>
          <w:szCs w:val="24"/>
        </w:rPr>
        <w:t>,</w:t>
      </w:r>
      <w:r w:rsidRPr="00CC5BA8">
        <w:rPr>
          <w:rFonts w:eastAsia="Calibri"/>
          <w:bCs/>
          <w:strike/>
          <w:szCs w:val="24"/>
        </w:rPr>
        <w:t xml:space="preserve"> ir 18</w:t>
      </w:r>
      <w:r w:rsidR="00D22E7E" w:rsidRPr="00CC5BA8">
        <w:rPr>
          <w:rFonts w:eastAsia="Calibri"/>
          <w:b/>
          <w:bCs/>
          <w:szCs w:val="24"/>
        </w:rPr>
        <w:t>–</w:t>
      </w:r>
      <w:r w:rsidRPr="00CC5BA8">
        <w:rPr>
          <w:rFonts w:eastAsia="Calibri"/>
          <w:b/>
          <w:bCs/>
          <w:szCs w:val="24"/>
        </w:rPr>
        <w:t>21</w:t>
      </w:r>
      <w:r w:rsidRPr="00CC5BA8">
        <w:rPr>
          <w:rFonts w:eastAsia="Calibri"/>
          <w:bCs/>
          <w:szCs w:val="24"/>
        </w:rPr>
        <w:t xml:space="preserve"> punktus arba šio straipsnio 9 dalį, jeigu yra gautas informaciją pateikusios institucijos arba Europos Sąjungos valstybės narės, kurioje buvo atliktas patikrinimas, priežiūros institucijos sutikimas, ir tik tam tikslui, dėl kurio duotas sutikimas.</w:t>
      </w:r>
      <w:r w:rsidR="008C10B0" w:rsidRPr="00CC5BA8">
        <w:rPr>
          <w:rFonts w:eastAsia="Calibri"/>
          <w:bCs/>
          <w:szCs w:val="24"/>
        </w:rPr>
        <w:t>“</w:t>
      </w:r>
    </w:p>
    <w:p w14:paraId="2B482076" w14:textId="091214DB" w:rsidR="009D166B" w:rsidRDefault="009D166B" w:rsidP="00474FFF">
      <w:pPr>
        <w:ind w:firstLine="720"/>
        <w:jc w:val="both"/>
        <w:rPr>
          <w:rFonts w:eastAsia="Calibri"/>
          <w:szCs w:val="24"/>
        </w:rPr>
      </w:pPr>
    </w:p>
    <w:p w14:paraId="15B6BBB3" w14:textId="1CF55398" w:rsidR="009D166B" w:rsidRDefault="00731035">
      <w:pPr>
        <w:ind w:firstLine="720"/>
        <w:jc w:val="both"/>
        <w:rPr>
          <w:rFonts w:eastAsia="Calibri"/>
          <w:szCs w:val="24"/>
        </w:rPr>
      </w:pPr>
      <w:r>
        <w:rPr>
          <w:rFonts w:eastAsia="Calibri"/>
          <w:b/>
          <w:bCs/>
          <w:szCs w:val="24"/>
        </w:rPr>
        <w:t>5</w:t>
      </w:r>
      <w:r w:rsidR="00245D3C">
        <w:rPr>
          <w:rFonts w:eastAsia="Calibri"/>
          <w:b/>
          <w:bCs/>
          <w:szCs w:val="24"/>
        </w:rPr>
        <w:t xml:space="preserve"> </w:t>
      </w:r>
      <w:r w:rsidR="009449B1">
        <w:rPr>
          <w:rFonts w:eastAsia="Calibri"/>
          <w:b/>
          <w:bCs/>
          <w:szCs w:val="24"/>
        </w:rPr>
        <w:t>straipsnis. 43</w:t>
      </w:r>
      <w:r w:rsidR="009449B1">
        <w:rPr>
          <w:rFonts w:eastAsia="Calibri"/>
          <w:b/>
          <w:bCs/>
          <w:szCs w:val="24"/>
          <w:vertAlign w:val="superscript"/>
        </w:rPr>
        <w:t>2</w:t>
      </w:r>
      <w:r w:rsidR="009449B1">
        <w:rPr>
          <w:rFonts w:eastAsia="Calibri"/>
          <w:b/>
          <w:bCs/>
          <w:szCs w:val="24"/>
        </w:rPr>
        <w:t xml:space="preserve"> straipsnio pakeitimas</w:t>
      </w:r>
    </w:p>
    <w:p w14:paraId="62B144FD" w14:textId="1CE86F33" w:rsidR="009D166B" w:rsidRDefault="009449B1">
      <w:pPr>
        <w:ind w:firstLine="720"/>
        <w:jc w:val="both"/>
        <w:rPr>
          <w:rFonts w:eastAsia="Calibri"/>
          <w:szCs w:val="24"/>
        </w:rPr>
      </w:pPr>
      <w:r>
        <w:rPr>
          <w:rFonts w:eastAsia="Calibri"/>
          <w:szCs w:val="24"/>
        </w:rPr>
        <w:t>1. Papildyti 43</w:t>
      </w:r>
      <w:r>
        <w:rPr>
          <w:rFonts w:eastAsia="Calibri"/>
          <w:szCs w:val="24"/>
          <w:vertAlign w:val="superscript"/>
        </w:rPr>
        <w:t>2</w:t>
      </w:r>
      <w:r>
        <w:rPr>
          <w:rFonts w:eastAsia="Calibri"/>
          <w:szCs w:val="24"/>
        </w:rPr>
        <w:t xml:space="preserve"> straipsnį nauja 5 dalimi:</w:t>
      </w:r>
    </w:p>
    <w:p w14:paraId="71317181" w14:textId="39141AC2" w:rsidR="009D166B" w:rsidRDefault="009449B1">
      <w:pPr>
        <w:ind w:firstLine="720"/>
        <w:jc w:val="both"/>
        <w:rPr>
          <w:rFonts w:eastAsia="Calibri"/>
          <w:szCs w:val="24"/>
        </w:rPr>
      </w:pPr>
      <w:r>
        <w:rPr>
          <w:rFonts w:eastAsia="Calibri"/>
          <w:szCs w:val="24"/>
        </w:rPr>
        <w:t>„</w:t>
      </w:r>
      <w:r>
        <w:rPr>
          <w:rFonts w:eastAsia="Calibri"/>
          <w:b/>
          <w:bCs/>
          <w:szCs w:val="24"/>
        </w:rPr>
        <w:t>5. Lietuvos banko sprendimas duoti privalomus nurodymus turi būti motyvuotas ir grindžiamas tik tais įrodymais, su kuriais asmuo, kuriam duodamas privalomas nurodymas, turėjo galimybę susipažinti šio straipsnio 2 dalyje nustatyta tvarka. Lietuvos banko sprendime turi būti nurodytas jo priėmimo teisinis pagrindas, faktiniai duomenys, sudarantys privalomų nurodymų davimo pagrindus, asmens, kuriam duodamas privalomas nurodymas, paaiškinimai ir jų vertinimas, sprendimo apskundimo tvarka.</w:t>
      </w:r>
      <w:r>
        <w:rPr>
          <w:rFonts w:eastAsia="Calibri"/>
          <w:szCs w:val="24"/>
        </w:rPr>
        <w:t>“</w:t>
      </w:r>
    </w:p>
    <w:p w14:paraId="6D1F2CA6" w14:textId="4D8DAB0E" w:rsidR="009D166B" w:rsidRDefault="009449B1">
      <w:pPr>
        <w:ind w:firstLine="720"/>
        <w:jc w:val="both"/>
        <w:rPr>
          <w:rFonts w:eastAsia="Calibri"/>
          <w:bCs/>
          <w:szCs w:val="24"/>
        </w:rPr>
      </w:pPr>
      <w:r>
        <w:rPr>
          <w:rFonts w:eastAsia="Calibri"/>
          <w:szCs w:val="24"/>
        </w:rPr>
        <w:t xml:space="preserve">2. </w:t>
      </w:r>
      <w:r>
        <w:rPr>
          <w:rFonts w:eastAsia="Calibri"/>
          <w:bCs/>
          <w:szCs w:val="24"/>
        </w:rPr>
        <w:t xml:space="preserve">Buvusias </w:t>
      </w:r>
      <w:r>
        <w:rPr>
          <w:rFonts w:eastAsia="Calibri"/>
          <w:szCs w:val="24"/>
        </w:rPr>
        <w:t>43</w:t>
      </w:r>
      <w:r>
        <w:rPr>
          <w:rFonts w:eastAsia="Calibri"/>
          <w:szCs w:val="24"/>
          <w:vertAlign w:val="superscript"/>
        </w:rPr>
        <w:t xml:space="preserve">2 </w:t>
      </w:r>
      <w:r>
        <w:rPr>
          <w:rFonts w:eastAsia="Calibri"/>
          <w:bCs/>
          <w:szCs w:val="24"/>
        </w:rPr>
        <w:t>straipsnio 5‒7 dalis laikyti atitinkamai 6‒8 dalimis.</w:t>
      </w:r>
    </w:p>
    <w:p w14:paraId="7A2C1E1E" w14:textId="098C5BD0" w:rsidR="009D166B" w:rsidRDefault="009D166B">
      <w:pPr>
        <w:ind w:firstLine="720"/>
        <w:jc w:val="both"/>
        <w:rPr>
          <w:rFonts w:eastAsia="Calibri"/>
          <w:bCs/>
          <w:szCs w:val="24"/>
        </w:rPr>
      </w:pPr>
    </w:p>
    <w:p w14:paraId="68AAF83A" w14:textId="069B3258" w:rsidR="009D166B" w:rsidRDefault="00731035">
      <w:pPr>
        <w:ind w:firstLine="720"/>
        <w:jc w:val="both"/>
        <w:rPr>
          <w:rFonts w:eastAsia="Calibri"/>
          <w:bCs/>
          <w:szCs w:val="24"/>
        </w:rPr>
      </w:pPr>
      <w:r>
        <w:rPr>
          <w:rFonts w:eastAsia="Calibri"/>
          <w:b/>
          <w:szCs w:val="24"/>
        </w:rPr>
        <w:t>6</w:t>
      </w:r>
      <w:r w:rsidR="00245D3C">
        <w:rPr>
          <w:rFonts w:eastAsia="Calibri"/>
          <w:b/>
          <w:szCs w:val="24"/>
        </w:rPr>
        <w:t xml:space="preserve"> </w:t>
      </w:r>
      <w:r w:rsidR="009449B1">
        <w:rPr>
          <w:rFonts w:eastAsia="Calibri"/>
          <w:b/>
          <w:szCs w:val="24"/>
        </w:rPr>
        <w:t>straipsnis. Įstatymo 1 priedo pakeitimas</w:t>
      </w:r>
    </w:p>
    <w:p w14:paraId="03875A81" w14:textId="4EE809E8" w:rsidR="009D166B" w:rsidRDefault="009449B1">
      <w:pPr>
        <w:ind w:firstLine="720"/>
        <w:jc w:val="both"/>
        <w:rPr>
          <w:rFonts w:eastAsia="Calibri"/>
          <w:bCs/>
          <w:szCs w:val="24"/>
        </w:rPr>
      </w:pPr>
      <w:r>
        <w:rPr>
          <w:rFonts w:eastAsia="Calibri"/>
          <w:bCs/>
          <w:szCs w:val="24"/>
        </w:rPr>
        <w:t>Papildyti Įstatymo 1 priedą 31 punktu:</w:t>
      </w:r>
    </w:p>
    <w:tbl>
      <w:tblPr>
        <w:tblW w:w="9637" w:type="dxa"/>
        <w:tblCellMar>
          <w:left w:w="0" w:type="dxa"/>
          <w:right w:w="0" w:type="dxa"/>
        </w:tblCellMar>
        <w:tblLook w:val="0000" w:firstRow="0" w:lastRow="0" w:firstColumn="0" w:lastColumn="0" w:noHBand="0" w:noVBand="0"/>
      </w:tblPr>
      <w:tblGrid>
        <w:gridCol w:w="634"/>
        <w:gridCol w:w="5135"/>
        <w:gridCol w:w="2511"/>
        <w:gridCol w:w="1357"/>
      </w:tblGrid>
      <w:tr w:rsidR="009D166B" w14:paraId="0885BD35" w14:textId="77777777">
        <w:trPr>
          <w:trHeight w:val="60"/>
          <w:tblHeader/>
        </w:trPr>
        <w:tc>
          <w:tcPr>
            <w:tcW w:w="329"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84714F7" w14:textId="26DFF4DA" w:rsidR="009D166B" w:rsidRDefault="009449B1">
            <w:pPr>
              <w:widowControl w:val="0"/>
              <w:suppressAutoHyphens/>
              <w:jc w:val="center"/>
              <w:rPr>
                <w:rFonts w:eastAsia="Calibri"/>
                <w:b/>
                <w:bCs/>
                <w:szCs w:val="24"/>
                <w:lang w:eastAsia="lt-LT"/>
              </w:rPr>
            </w:pPr>
            <w:r>
              <w:rPr>
                <w:rFonts w:eastAsia="Calibri"/>
                <w:szCs w:val="24"/>
                <w:lang w:eastAsia="lt-LT"/>
              </w:rPr>
              <w:t>„</w:t>
            </w:r>
            <w:r>
              <w:rPr>
                <w:rFonts w:eastAsia="Calibri"/>
                <w:b/>
                <w:bCs/>
                <w:szCs w:val="24"/>
                <w:lang w:eastAsia="lt-LT"/>
              </w:rPr>
              <w:t>31.</w:t>
            </w:r>
          </w:p>
        </w:tc>
        <w:tc>
          <w:tcPr>
            <w:tcW w:w="2664"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69FC2B15" w14:textId="08AB56A9" w:rsidR="009D166B" w:rsidRDefault="009449B1">
            <w:pPr>
              <w:widowControl w:val="0"/>
              <w:suppressAutoHyphens/>
              <w:jc w:val="both"/>
              <w:rPr>
                <w:rFonts w:eastAsia="Calibri"/>
                <w:b/>
                <w:bCs/>
                <w:szCs w:val="24"/>
                <w:lang w:eastAsia="lt-LT"/>
              </w:rPr>
            </w:pPr>
            <w:r>
              <w:rPr>
                <w:rFonts w:eastAsia="Calibri"/>
                <w:b/>
                <w:bCs/>
                <w:szCs w:val="24"/>
                <w:lang w:eastAsia="lt-LT"/>
              </w:rPr>
              <w:t>Mišrios veiklos finansų kontroliuojančiosios įmonės, įsteigtos Lietuvos Respublikoje, finansų kontroliuojančiosios bendrovės, įsteigtos Lietuvos Respublikoje</w:t>
            </w:r>
          </w:p>
        </w:tc>
        <w:tc>
          <w:tcPr>
            <w:tcW w:w="1303"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0A0DBF4A" w14:textId="77777777" w:rsidR="009D166B" w:rsidRDefault="009449B1">
            <w:pPr>
              <w:widowControl w:val="0"/>
              <w:suppressAutoHyphens/>
              <w:jc w:val="center"/>
              <w:rPr>
                <w:rFonts w:eastAsia="Calibri"/>
                <w:b/>
                <w:bCs/>
                <w:szCs w:val="24"/>
                <w:lang w:eastAsia="lt-LT"/>
              </w:rPr>
            </w:pPr>
            <w:r>
              <w:rPr>
                <w:rFonts w:eastAsia="Calibri"/>
                <w:b/>
                <w:bCs/>
                <w:szCs w:val="24"/>
                <w:lang w:eastAsia="lt-LT"/>
              </w:rPr>
              <w:t>–</w:t>
            </w:r>
          </w:p>
        </w:tc>
        <w:tc>
          <w:tcPr>
            <w:tcW w:w="704" w:type="pct"/>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tcPr>
          <w:p w14:paraId="4C703A9F" w14:textId="11E747B5" w:rsidR="009D166B" w:rsidRDefault="009449B1">
            <w:pPr>
              <w:widowControl w:val="0"/>
              <w:suppressAutoHyphens/>
              <w:jc w:val="center"/>
              <w:rPr>
                <w:rFonts w:eastAsia="Calibri"/>
                <w:szCs w:val="24"/>
                <w:lang w:eastAsia="lt-LT"/>
              </w:rPr>
            </w:pPr>
            <w:r>
              <w:rPr>
                <w:rFonts w:eastAsia="Calibri"/>
                <w:b/>
                <w:bCs/>
                <w:szCs w:val="24"/>
                <w:lang w:eastAsia="lt-LT"/>
              </w:rPr>
              <w:t xml:space="preserve">5 000 </w:t>
            </w:r>
            <w:proofErr w:type="spellStart"/>
            <w:r>
              <w:rPr>
                <w:rFonts w:eastAsia="Calibri"/>
                <w:b/>
                <w:bCs/>
                <w:szCs w:val="24"/>
                <w:lang w:eastAsia="lt-LT"/>
              </w:rPr>
              <w:t>Eur</w:t>
            </w:r>
            <w:proofErr w:type="spellEnd"/>
            <w:r>
              <w:rPr>
                <w:rFonts w:eastAsia="Calibri"/>
                <w:szCs w:val="24"/>
                <w:lang w:eastAsia="lt-LT"/>
              </w:rPr>
              <w:t>“.</w:t>
            </w:r>
          </w:p>
        </w:tc>
      </w:tr>
    </w:tbl>
    <w:p w14:paraId="5F4EA666" w14:textId="77777777" w:rsidR="00091B93" w:rsidRDefault="00091B93">
      <w:pPr>
        <w:jc w:val="center"/>
        <w:rPr>
          <w:rFonts w:ascii="Arial" w:hAnsi="Arial" w:cs="Arial"/>
          <w:sz w:val="20"/>
          <w:szCs w:val="24"/>
          <w:lang w:eastAsia="lt-LT"/>
        </w:rPr>
      </w:pPr>
    </w:p>
    <w:p w14:paraId="6752814D" w14:textId="5C9CC45A" w:rsidR="00091B93" w:rsidRDefault="00731035">
      <w:pPr>
        <w:ind w:firstLine="720"/>
        <w:jc w:val="both"/>
        <w:rPr>
          <w:rFonts w:eastAsia="Calibri"/>
          <w:b/>
          <w:szCs w:val="24"/>
        </w:rPr>
      </w:pPr>
      <w:r>
        <w:rPr>
          <w:rFonts w:eastAsia="Calibri"/>
          <w:b/>
          <w:szCs w:val="24"/>
        </w:rPr>
        <w:t>7</w:t>
      </w:r>
      <w:r w:rsidR="00091B93">
        <w:rPr>
          <w:rFonts w:eastAsia="Calibri"/>
          <w:b/>
          <w:szCs w:val="24"/>
        </w:rPr>
        <w:t xml:space="preserve"> straipsnis. Įstatymo 2 priedo pakeitimas</w:t>
      </w:r>
    </w:p>
    <w:p w14:paraId="42F3AF50" w14:textId="0D77A783" w:rsidR="00091B93" w:rsidRPr="00664EBC" w:rsidRDefault="00091B93" w:rsidP="00664EBC">
      <w:pPr>
        <w:pStyle w:val="Sraopastraipa"/>
        <w:numPr>
          <w:ilvl w:val="0"/>
          <w:numId w:val="1"/>
        </w:numPr>
        <w:jc w:val="both"/>
        <w:rPr>
          <w:rFonts w:eastAsia="Calibri"/>
          <w:szCs w:val="24"/>
        </w:rPr>
      </w:pPr>
      <w:r w:rsidRPr="00664EBC">
        <w:rPr>
          <w:rFonts w:eastAsia="Calibri"/>
          <w:szCs w:val="24"/>
        </w:rPr>
        <w:t>Pakeist</w:t>
      </w:r>
      <w:r w:rsidR="00B80C2B" w:rsidRPr="00B80C2B">
        <w:rPr>
          <w:rFonts w:eastAsia="Calibri"/>
          <w:szCs w:val="24"/>
        </w:rPr>
        <w:t>i</w:t>
      </w:r>
      <w:r w:rsidRPr="00664EBC">
        <w:rPr>
          <w:rFonts w:eastAsia="Calibri"/>
          <w:szCs w:val="24"/>
        </w:rPr>
        <w:t xml:space="preserve"> </w:t>
      </w:r>
      <w:r w:rsidR="00B80C2B" w:rsidRPr="00B80C2B">
        <w:rPr>
          <w:rFonts w:eastAsia="Calibri"/>
          <w:szCs w:val="24"/>
        </w:rPr>
        <w:t>Į</w:t>
      </w:r>
      <w:r w:rsidRPr="00664EBC">
        <w:rPr>
          <w:rFonts w:eastAsia="Calibri"/>
          <w:szCs w:val="24"/>
        </w:rPr>
        <w:t xml:space="preserve">statymo </w:t>
      </w:r>
      <w:r w:rsidR="00B80C2B" w:rsidRPr="00B80C2B">
        <w:rPr>
          <w:rFonts w:eastAsia="Calibri"/>
          <w:szCs w:val="24"/>
        </w:rPr>
        <w:t>2</w:t>
      </w:r>
      <w:r w:rsidRPr="00664EBC">
        <w:rPr>
          <w:rFonts w:eastAsia="Calibri"/>
          <w:szCs w:val="24"/>
        </w:rPr>
        <w:t xml:space="preserve"> pried</w:t>
      </w:r>
      <w:r w:rsidR="00B80C2B">
        <w:rPr>
          <w:rFonts w:eastAsia="Calibri"/>
          <w:szCs w:val="24"/>
        </w:rPr>
        <w:t>o 1 dalį</w:t>
      </w:r>
      <w:r w:rsidRPr="00664EBC">
        <w:rPr>
          <w:rFonts w:eastAsia="Calibri"/>
          <w:szCs w:val="24"/>
        </w:rPr>
        <w:t xml:space="preserve"> ir j</w:t>
      </w:r>
      <w:r w:rsidR="00B80C2B">
        <w:rPr>
          <w:rFonts w:eastAsia="Calibri"/>
          <w:szCs w:val="24"/>
        </w:rPr>
        <w:t>ą</w:t>
      </w:r>
      <w:r w:rsidRPr="00664EBC">
        <w:rPr>
          <w:rFonts w:eastAsia="Calibri"/>
          <w:szCs w:val="24"/>
        </w:rPr>
        <w:t xml:space="preserve"> išdėstyti taip:</w:t>
      </w:r>
    </w:p>
    <w:tbl>
      <w:tblPr>
        <w:tblW w:w="95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7"/>
        <w:gridCol w:w="4607"/>
        <w:gridCol w:w="2781"/>
        <w:gridCol w:w="1418"/>
      </w:tblGrid>
      <w:tr w:rsidR="00091B93" w:rsidRPr="00B02F39" w14:paraId="68C94FB1" w14:textId="77777777" w:rsidTr="00D67446">
        <w:tc>
          <w:tcPr>
            <w:tcW w:w="697" w:type="dxa"/>
            <w:tcBorders>
              <w:top w:val="single" w:sz="4" w:space="0" w:color="auto"/>
              <w:left w:val="single" w:sz="4" w:space="0" w:color="auto"/>
              <w:bottom w:val="single" w:sz="4" w:space="0" w:color="auto"/>
              <w:right w:val="single" w:sz="4" w:space="0" w:color="auto"/>
            </w:tcBorders>
            <w:hideMark/>
          </w:tcPr>
          <w:p w14:paraId="30E52383" w14:textId="78E764E7" w:rsidR="00091B93" w:rsidRPr="00B02F39" w:rsidRDefault="00B80C2B" w:rsidP="00D67446">
            <w:r>
              <w:t>„</w:t>
            </w:r>
            <w:r w:rsidR="00091B93" w:rsidRPr="00B02F39">
              <w:t>1.</w:t>
            </w:r>
          </w:p>
        </w:tc>
        <w:tc>
          <w:tcPr>
            <w:tcW w:w="4607" w:type="dxa"/>
            <w:tcBorders>
              <w:top w:val="single" w:sz="4" w:space="0" w:color="auto"/>
              <w:left w:val="single" w:sz="4" w:space="0" w:color="auto"/>
              <w:bottom w:val="single" w:sz="4" w:space="0" w:color="auto"/>
              <w:right w:val="single" w:sz="4" w:space="0" w:color="auto"/>
            </w:tcBorders>
            <w:hideMark/>
          </w:tcPr>
          <w:p w14:paraId="61902FB0" w14:textId="77777777" w:rsidR="00091B93" w:rsidRPr="00B02F39" w:rsidRDefault="00091B93" w:rsidP="00D67446">
            <w:pPr>
              <w:ind w:left="159"/>
            </w:pPr>
            <w:r w:rsidRPr="00B02F39">
              <w:t xml:space="preserve">Lietuvos Respublikoje licencijuoti bankai, </w:t>
            </w:r>
            <w:proofErr w:type="spellStart"/>
            <w:r w:rsidRPr="00B02F39">
              <w:rPr>
                <w:strike/>
              </w:rPr>
              <w:t>C</w:t>
            </w:r>
            <w:r w:rsidRPr="00B02F39">
              <w:rPr>
                <w:b/>
              </w:rPr>
              <w:t>c</w:t>
            </w:r>
            <w:r w:rsidRPr="00B02F39">
              <w:t>entrinė</w:t>
            </w:r>
            <w:proofErr w:type="spellEnd"/>
            <w:r w:rsidRPr="00B02F39">
              <w:t xml:space="preserve"> kredito unija, kitose negu Europos ekonominės erdvės valstybėse licencijuotų užsienio bankų filialai, įsteigti Lietuvos Respublikoje</w:t>
            </w:r>
          </w:p>
        </w:tc>
        <w:tc>
          <w:tcPr>
            <w:tcW w:w="2781" w:type="dxa"/>
            <w:tcBorders>
              <w:top w:val="single" w:sz="4" w:space="0" w:color="auto"/>
              <w:left w:val="single" w:sz="4" w:space="0" w:color="auto"/>
              <w:bottom w:val="single" w:sz="4" w:space="0" w:color="auto"/>
              <w:right w:val="single" w:sz="4" w:space="0" w:color="auto"/>
            </w:tcBorders>
            <w:hideMark/>
          </w:tcPr>
          <w:p w14:paraId="73825E58" w14:textId="77777777" w:rsidR="00091B93" w:rsidRPr="00B02F39" w:rsidRDefault="00091B93" w:rsidP="00D67446">
            <w:pPr>
              <w:ind w:left="88"/>
            </w:pPr>
            <w:r w:rsidRPr="00B02F39">
              <w:t>Vidutinis metinis turtas</w:t>
            </w:r>
          </w:p>
        </w:tc>
        <w:tc>
          <w:tcPr>
            <w:tcW w:w="1418" w:type="dxa"/>
            <w:tcBorders>
              <w:top w:val="single" w:sz="4" w:space="0" w:color="auto"/>
              <w:left w:val="single" w:sz="4" w:space="0" w:color="auto"/>
              <w:bottom w:val="single" w:sz="4" w:space="0" w:color="auto"/>
              <w:right w:val="single" w:sz="4" w:space="0" w:color="auto"/>
            </w:tcBorders>
            <w:hideMark/>
          </w:tcPr>
          <w:p w14:paraId="6B6A5199" w14:textId="7AC64B1F" w:rsidR="00091B93" w:rsidRPr="00B02F39" w:rsidRDefault="00091B93" w:rsidP="00D67446">
            <w:r w:rsidRPr="00B02F39">
              <w:t>0,0043 proc.</w:t>
            </w:r>
            <w:r w:rsidR="00B80C2B">
              <w:t>“</w:t>
            </w:r>
          </w:p>
        </w:tc>
      </w:tr>
    </w:tbl>
    <w:p w14:paraId="5E03F47A" w14:textId="7A03AA9C" w:rsidR="00091B93" w:rsidRPr="00B80C2B" w:rsidRDefault="00B80C2B" w:rsidP="00664EBC">
      <w:pPr>
        <w:pStyle w:val="Sraopastraipa"/>
        <w:numPr>
          <w:ilvl w:val="0"/>
          <w:numId w:val="1"/>
        </w:numPr>
        <w:jc w:val="both"/>
        <w:rPr>
          <w:rFonts w:eastAsia="Calibri"/>
          <w:szCs w:val="24"/>
        </w:rPr>
      </w:pPr>
      <w:r w:rsidRPr="009D26F0">
        <w:rPr>
          <w:rFonts w:eastAsia="Calibri"/>
          <w:szCs w:val="24"/>
        </w:rPr>
        <w:t>Pakeisti Įstatymo 2 pried</w:t>
      </w:r>
      <w:r>
        <w:rPr>
          <w:rFonts w:eastAsia="Calibri"/>
          <w:szCs w:val="24"/>
        </w:rPr>
        <w:t>o 3 dalį</w:t>
      </w:r>
      <w:r w:rsidRPr="009D26F0">
        <w:rPr>
          <w:rFonts w:eastAsia="Calibri"/>
          <w:szCs w:val="24"/>
        </w:rPr>
        <w:t xml:space="preserve"> ir j</w:t>
      </w:r>
      <w:r>
        <w:rPr>
          <w:rFonts w:eastAsia="Calibri"/>
          <w:szCs w:val="24"/>
        </w:rPr>
        <w:t>ą</w:t>
      </w:r>
      <w:r w:rsidRPr="009D26F0">
        <w:rPr>
          <w:rFonts w:eastAsia="Calibri"/>
          <w:szCs w:val="24"/>
        </w:rPr>
        <w:t xml:space="preserve"> išdėstyti taip:</w:t>
      </w:r>
    </w:p>
    <w:tbl>
      <w:tblPr>
        <w:tblW w:w="9503"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7"/>
        <w:gridCol w:w="4607"/>
        <w:gridCol w:w="2781"/>
        <w:gridCol w:w="1418"/>
      </w:tblGrid>
      <w:tr w:rsidR="00B80C2B" w:rsidRPr="001A45D7" w14:paraId="131BD58A" w14:textId="77777777" w:rsidTr="009D26F0">
        <w:tc>
          <w:tcPr>
            <w:tcW w:w="697" w:type="dxa"/>
            <w:tcBorders>
              <w:top w:val="single" w:sz="4" w:space="0" w:color="auto"/>
              <w:left w:val="single" w:sz="4" w:space="0" w:color="auto"/>
              <w:bottom w:val="single" w:sz="4" w:space="0" w:color="auto"/>
              <w:right w:val="single" w:sz="4" w:space="0" w:color="auto"/>
            </w:tcBorders>
          </w:tcPr>
          <w:p w14:paraId="6B7F2733" w14:textId="52B6ADCE" w:rsidR="00B80C2B" w:rsidRPr="001A45D7" w:rsidRDefault="00B80C2B" w:rsidP="009D26F0">
            <w:r>
              <w:t>„</w:t>
            </w:r>
            <w:r w:rsidRPr="001A45D7">
              <w:t>3.</w:t>
            </w:r>
          </w:p>
        </w:tc>
        <w:tc>
          <w:tcPr>
            <w:tcW w:w="4607" w:type="dxa"/>
            <w:tcBorders>
              <w:top w:val="single" w:sz="4" w:space="0" w:color="auto"/>
              <w:left w:val="single" w:sz="4" w:space="0" w:color="auto"/>
              <w:bottom w:val="single" w:sz="4" w:space="0" w:color="auto"/>
              <w:right w:val="single" w:sz="4" w:space="0" w:color="auto"/>
            </w:tcBorders>
          </w:tcPr>
          <w:p w14:paraId="080FB1FD" w14:textId="77777777" w:rsidR="00B80C2B" w:rsidRPr="001A45D7" w:rsidRDefault="00B80C2B" w:rsidP="009D26F0">
            <w:pPr>
              <w:ind w:left="159"/>
            </w:pPr>
            <w:r w:rsidRPr="001A45D7">
              <w:t xml:space="preserve">Lietuvos Respublikoje licencijuotos finansų maklerio įmonės, kurioms taikomas Finansinių priemonių rinkų įstatymo </w:t>
            </w:r>
            <w:r w:rsidRPr="00D67446">
              <w:rPr>
                <w:strike/>
              </w:rPr>
              <w:t>12</w:t>
            </w:r>
            <w:r w:rsidRPr="00D67446">
              <w:rPr>
                <w:strike/>
                <w:vertAlign w:val="superscript"/>
              </w:rPr>
              <w:t>1</w:t>
            </w:r>
            <w:r w:rsidRPr="00D67446">
              <w:rPr>
                <w:strike/>
              </w:rPr>
              <w:t xml:space="preserve"> straipsnio 2 dalyje </w:t>
            </w:r>
            <w:r w:rsidRPr="00D67446">
              <w:rPr>
                <w:b/>
                <w:bCs/>
              </w:rPr>
              <w:t>14 straipsnio 2 dalyje</w:t>
            </w:r>
            <w:r w:rsidRPr="000F13EE">
              <w:t xml:space="preserve"> </w:t>
            </w:r>
            <w:r w:rsidRPr="001A45D7">
              <w:t>nustatytas reikalavimas</w:t>
            </w:r>
          </w:p>
        </w:tc>
        <w:tc>
          <w:tcPr>
            <w:tcW w:w="2781" w:type="dxa"/>
            <w:tcBorders>
              <w:top w:val="single" w:sz="4" w:space="0" w:color="auto"/>
              <w:left w:val="single" w:sz="4" w:space="0" w:color="auto"/>
              <w:bottom w:val="single" w:sz="4" w:space="0" w:color="auto"/>
              <w:right w:val="single" w:sz="4" w:space="0" w:color="auto"/>
            </w:tcBorders>
          </w:tcPr>
          <w:p w14:paraId="5D2BDE19" w14:textId="77777777" w:rsidR="00B80C2B" w:rsidRPr="001A45D7" w:rsidRDefault="00B80C2B" w:rsidP="009D26F0">
            <w:pPr>
              <w:ind w:left="88"/>
            </w:pPr>
            <w:r w:rsidRPr="001A45D7">
              <w:t>Metinės pajamos</w:t>
            </w:r>
          </w:p>
        </w:tc>
        <w:tc>
          <w:tcPr>
            <w:tcW w:w="1418" w:type="dxa"/>
            <w:tcBorders>
              <w:top w:val="single" w:sz="4" w:space="0" w:color="auto"/>
              <w:left w:val="single" w:sz="4" w:space="0" w:color="auto"/>
              <w:bottom w:val="single" w:sz="4" w:space="0" w:color="auto"/>
              <w:right w:val="single" w:sz="4" w:space="0" w:color="auto"/>
            </w:tcBorders>
          </w:tcPr>
          <w:p w14:paraId="76F43ED8" w14:textId="1190E0D1" w:rsidR="00B80C2B" w:rsidRPr="001A45D7" w:rsidRDefault="00B80C2B" w:rsidP="009D26F0">
            <w:r w:rsidRPr="001A45D7">
              <w:t>0,075 proc.</w:t>
            </w:r>
            <w:r>
              <w:t>“</w:t>
            </w:r>
          </w:p>
        </w:tc>
      </w:tr>
    </w:tbl>
    <w:p w14:paraId="40BB4627" w14:textId="77777777" w:rsidR="00B80C2B" w:rsidRDefault="00B80C2B" w:rsidP="00091B93">
      <w:pPr>
        <w:jc w:val="both"/>
        <w:rPr>
          <w:rFonts w:eastAsia="Calibri"/>
          <w:b/>
          <w:szCs w:val="24"/>
        </w:rPr>
      </w:pPr>
    </w:p>
    <w:p w14:paraId="6ABF66DD" w14:textId="0F513824" w:rsidR="009D166B" w:rsidRDefault="00731035">
      <w:pPr>
        <w:ind w:firstLine="720"/>
        <w:jc w:val="both"/>
        <w:rPr>
          <w:rFonts w:eastAsia="Calibri"/>
          <w:bCs/>
          <w:szCs w:val="24"/>
        </w:rPr>
      </w:pPr>
      <w:r>
        <w:rPr>
          <w:rFonts w:eastAsia="Calibri"/>
          <w:b/>
          <w:szCs w:val="24"/>
        </w:rPr>
        <w:t>8</w:t>
      </w:r>
      <w:r w:rsidR="00245D3C">
        <w:rPr>
          <w:rFonts w:eastAsia="Calibri"/>
          <w:b/>
          <w:szCs w:val="24"/>
        </w:rPr>
        <w:t xml:space="preserve"> </w:t>
      </w:r>
      <w:r w:rsidR="009449B1">
        <w:rPr>
          <w:rFonts w:eastAsia="Calibri"/>
          <w:b/>
          <w:szCs w:val="24"/>
        </w:rPr>
        <w:t>straipsnis. Įstatymo 3 priedo pakeitimas</w:t>
      </w:r>
    </w:p>
    <w:p w14:paraId="4BDA151C" w14:textId="3AD95A00" w:rsidR="009D166B" w:rsidRDefault="009449B1">
      <w:pPr>
        <w:ind w:firstLine="720"/>
        <w:jc w:val="both"/>
        <w:rPr>
          <w:rFonts w:eastAsia="Calibri"/>
          <w:bCs/>
          <w:szCs w:val="24"/>
        </w:rPr>
      </w:pPr>
      <w:r>
        <w:rPr>
          <w:rFonts w:eastAsia="Calibri"/>
          <w:bCs/>
          <w:szCs w:val="24"/>
        </w:rPr>
        <w:t xml:space="preserve">Pakeisti Įstatymo 3 priedą ir jį išdėstyti </w:t>
      </w:r>
      <w:r w:rsidR="008C10B0">
        <w:rPr>
          <w:rFonts w:eastAsia="Calibri"/>
          <w:bCs/>
          <w:szCs w:val="24"/>
        </w:rPr>
        <w:t>taip</w:t>
      </w:r>
      <w:r>
        <w:rPr>
          <w:rFonts w:eastAsia="Calibri"/>
          <w:bCs/>
          <w:szCs w:val="24"/>
        </w:rPr>
        <w:t>:</w:t>
      </w:r>
    </w:p>
    <w:p w14:paraId="6ECEAB62" w14:textId="755680B5" w:rsidR="008B66EA" w:rsidRPr="00707E35" w:rsidRDefault="008B66EA" w:rsidP="00294DED">
      <w:pPr>
        <w:ind w:left="7088"/>
        <w:rPr>
          <w:rFonts w:eastAsia="Calibri"/>
          <w:bCs/>
          <w:szCs w:val="24"/>
          <w:lang w:val="en-US"/>
        </w:rPr>
      </w:pPr>
      <w:r>
        <w:rPr>
          <w:rFonts w:eastAsia="Calibri"/>
          <w:szCs w:val="24"/>
        </w:rPr>
        <w:t>„</w:t>
      </w:r>
      <w:proofErr w:type="spellStart"/>
      <w:r w:rsidRPr="00707E35">
        <w:rPr>
          <w:rFonts w:eastAsia="Calibri"/>
          <w:bCs/>
          <w:szCs w:val="24"/>
          <w:lang w:val="en-US"/>
        </w:rPr>
        <w:t>Lietuvos</w:t>
      </w:r>
      <w:proofErr w:type="spellEnd"/>
      <w:r w:rsidRPr="00707E35">
        <w:rPr>
          <w:rFonts w:eastAsia="Calibri"/>
          <w:bCs/>
          <w:szCs w:val="24"/>
          <w:lang w:val="en-US"/>
        </w:rPr>
        <w:t xml:space="preserve"> </w:t>
      </w:r>
      <w:proofErr w:type="spellStart"/>
      <w:r w:rsidRPr="00707E35">
        <w:rPr>
          <w:rFonts w:eastAsia="Calibri"/>
          <w:bCs/>
          <w:szCs w:val="24"/>
          <w:lang w:val="en-US"/>
        </w:rPr>
        <w:t>Respublikos</w:t>
      </w:r>
      <w:proofErr w:type="spellEnd"/>
    </w:p>
    <w:p w14:paraId="0991BF26" w14:textId="77777777" w:rsidR="008B66EA" w:rsidRPr="00707E35" w:rsidRDefault="008B66EA" w:rsidP="00294DED">
      <w:pPr>
        <w:ind w:left="7088"/>
        <w:rPr>
          <w:rFonts w:eastAsia="Calibri"/>
          <w:bCs/>
          <w:szCs w:val="24"/>
          <w:lang w:val="en-US"/>
        </w:rPr>
      </w:pPr>
      <w:proofErr w:type="spellStart"/>
      <w:r w:rsidRPr="00707E35">
        <w:rPr>
          <w:rFonts w:eastAsia="Calibri"/>
          <w:bCs/>
          <w:szCs w:val="24"/>
          <w:lang w:val="en-US"/>
        </w:rPr>
        <w:t>Lietuvos</w:t>
      </w:r>
      <w:proofErr w:type="spellEnd"/>
      <w:r w:rsidRPr="00707E35">
        <w:rPr>
          <w:rFonts w:eastAsia="Calibri"/>
          <w:bCs/>
          <w:szCs w:val="24"/>
          <w:lang w:val="en-US"/>
        </w:rPr>
        <w:t xml:space="preserve"> </w:t>
      </w:r>
      <w:proofErr w:type="spellStart"/>
      <w:r w:rsidRPr="00707E35">
        <w:rPr>
          <w:rFonts w:eastAsia="Calibri"/>
          <w:bCs/>
          <w:szCs w:val="24"/>
          <w:lang w:val="en-US"/>
        </w:rPr>
        <w:t>banko</w:t>
      </w:r>
      <w:proofErr w:type="spellEnd"/>
      <w:r w:rsidRPr="00707E35">
        <w:rPr>
          <w:rFonts w:eastAsia="Calibri"/>
          <w:bCs/>
          <w:szCs w:val="24"/>
          <w:lang w:val="en-US"/>
        </w:rPr>
        <w:t xml:space="preserve"> </w:t>
      </w:r>
      <w:proofErr w:type="spellStart"/>
      <w:r w:rsidRPr="00707E35">
        <w:rPr>
          <w:rFonts w:eastAsia="Calibri"/>
          <w:bCs/>
          <w:szCs w:val="24"/>
          <w:lang w:val="en-US"/>
        </w:rPr>
        <w:t>įstatymo</w:t>
      </w:r>
      <w:proofErr w:type="spellEnd"/>
    </w:p>
    <w:p w14:paraId="375EC1B0" w14:textId="77777777" w:rsidR="008B66EA" w:rsidRPr="00707E35" w:rsidRDefault="008B66EA" w:rsidP="00294DED">
      <w:pPr>
        <w:ind w:left="7088"/>
        <w:rPr>
          <w:rFonts w:eastAsia="Calibri"/>
          <w:bCs/>
          <w:szCs w:val="24"/>
          <w:lang w:val="en-US"/>
        </w:rPr>
      </w:pPr>
      <w:r w:rsidRPr="00707E35">
        <w:rPr>
          <w:rFonts w:eastAsia="Calibri"/>
          <w:bCs/>
          <w:szCs w:val="24"/>
          <w:lang w:val="en-US"/>
        </w:rPr>
        <w:t xml:space="preserve">3 </w:t>
      </w:r>
      <w:proofErr w:type="spellStart"/>
      <w:r w:rsidRPr="00707E35">
        <w:rPr>
          <w:rFonts w:eastAsia="Calibri"/>
          <w:bCs/>
          <w:szCs w:val="24"/>
          <w:lang w:val="en-US"/>
        </w:rPr>
        <w:t>priedas</w:t>
      </w:r>
      <w:proofErr w:type="spellEnd"/>
    </w:p>
    <w:p w14:paraId="49394F35" w14:textId="77777777" w:rsidR="008B66EA" w:rsidRPr="00707E35" w:rsidRDefault="008B66EA" w:rsidP="008B66EA">
      <w:pPr>
        <w:ind w:firstLine="720"/>
        <w:jc w:val="both"/>
        <w:rPr>
          <w:rFonts w:eastAsia="Calibri"/>
          <w:bCs/>
          <w:szCs w:val="24"/>
          <w:lang w:val="en-US"/>
        </w:rPr>
      </w:pPr>
      <w:r w:rsidRPr="00707E35">
        <w:rPr>
          <w:rFonts w:eastAsia="Calibri"/>
          <w:bCs/>
          <w:szCs w:val="24"/>
          <w:lang w:val="en-US"/>
        </w:rPr>
        <w:t> </w:t>
      </w:r>
    </w:p>
    <w:p w14:paraId="36A08F07" w14:textId="77777777" w:rsidR="008B66EA" w:rsidRPr="00707E35" w:rsidRDefault="008B66EA" w:rsidP="00707E35">
      <w:pPr>
        <w:jc w:val="center"/>
        <w:rPr>
          <w:rFonts w:eastAsia="Calibri"/>
          <w:bCs/>
          <w:szCs w:val="24"/>
          <w:lang w:val="en-US"/>
        </w:rPr>
      </w:pPr>
      <w:r w:rsidRPr="00707E35">
        <w:rPr>
          <w:rFonts w:eastAsia="Calibri"/>
          <w:bCs/>
          <w:szCs w:val="24"/>
          <w:lang w:val="en-US"/>
        </w:rPr>
        <w:t>ĮGYVENDINAMI EUROPOS SĄJUNGOS TEISĖS AKTAI</w:t>
      </w:r>
    </w:p>
    <w:p w14:paraId="1D00C103" w14:textId="40E77F27" w:rsidR="008B66EA" w:rsidRPr="00707E35" w:rsidRDefault="008B66EA" w:rsidP="008B66EA">
      <w:pPr>
        <w:ind w:firstLine="720"/>
        <w:jc w:val="both"/>
        <w:rPr>
          <w:rFonts w:eastAsia="Calibri"/>
          <w:bCs/>
          <w:szCs w:val="24"/>
          <w:lang w:val="en-US"/>
        </w:rPr>
      </w:pPr>
      <w:r w:rsidRPr="00707E35">
        <w:rPr>
          <w:rFonts w:eastAsia="Calibri"/>
          <w:b/>
          <w:bCs/>
          <w:szCs w:val="24"/>
          <w:lang w:val="en-US"/>
        </w:rPr>
        <w:t> </w:t>
      </w:r>
    </w:p>
    <w:p w14:paraId="111D4AEB" w14:textId="36D1802A" w:rsidR="00D0162B" w:rsidRPr="00EA1C40" w:rsidRDefault="00D0162B" w:rsidP="00D0162B">
      <w:pPr>
        <w:ind w:firstLine="720"/>
        <w:jc w:val="both"/>
        <w:rPr>
          <w:rFonts w:eastAsia="Calibri" w:cs="Arial"/>
          <w:szCs w:val="22"/>
        </w:rPr>
      </w:pPr>
      <w:r w:rsidRPr="00F62252">
        <w:rPr>
          <w:rFonts w:eastAsia="Calibri" w:cs="Arial"/>
          <w:szCs w:val="22"/>
        </w:rPr>
        <w:t>1. 1957 m. kovo 25 d. Europos Bendrijos steigimo sutarti</w:t>
      </w:r>
      <w:r w:rsidRPr="00EA1C40">
        <w:rPr>
          <w:rFonts w:eastAsia="Calibri" w:cs="Arial"/>
          <w:szCs w:val="22"/>
        </w:rPr>
        <w:t>s su paskutiniais pakeitimais, padarytais 2007 m. gruodžio 17 d. Lisabonos sutartimi</w:t>
      </w:r>
      <w:r w:rsidR="004A2621">
        <w:rPr>
          <w:rFonts w:eastAsia="Calibri" w:cs="Arial"/>
          <w:szCs w:val="22"/>
        </w:rPr>
        <w:t xml:space="preserve"> </w:t>
      </w:r>
      <w:r w:rsidRPr="00EA1C40">
        <w:rPr>
          <w:rFonts w:eastAsia="Calibri" w:cs="Arial"/>
          <w:strike/>
          <w:szCs w:val="22"/>
        </w:rPr>
        <w:t>(OL 2007 C 306, p. 1)</w:t>
      </w:r>
      <w:r w:rsidRPr="00EA1C40">
        <w:rPr>
          <w:rFonts w:eastAsia="Calibri" w:cs="Arial"/>
          <w:szCs w:val="22"/>
        </w:rPr>
        <w:t>.</w:t>
      </w:r>
    </w:p>
    <w:p w14:paraId="2BCFD910" w14:textId="77777777" w:rsidR="00D0162B" w:rsidRPr="00EA1C40" w:rsidRDefault="00D0162B" w:rsidP="00D0162B">
      <w:pPr>
        <w:ind w:firstLine="720"/>
        <w:jc w:val="both"/>
        <w:rPr>
          <w:rFonts w:eastAsia="Calibri" w:cs="Arial"/>
          <w:szCs w:val="22"/>
        </w:rPr>
      </w:pPr>
      <w:r w:rsidRPr="00F62252">
        <w:rPr>
          <w:rFonts w:eastAsia="Calibri" w:cs="Arial"/>
          <w:szCs w:val="22"/>
        </w:rPr>
        <w:t xml:space="preserve">2. 1992 m. vasario 7 d. Europos Bendrijos steigimo sutarties Protokolas Nr. 18 dėl Europos centrinių bankų sistemos ir Europos centrinio banko statuto su paskutiniais pakeitimais, padarytais 2007 m. gruodžio 17 d. Lisabonos </w:t>
      </w:r>
      <w:r w:rsidRPr="00EA1C40">
        <w:rPr>
          <w:rFonts w:eastAsia="Calibri" w:cs="Arial"/>
          <w:szCs w:val="22"/>
        </w:rPr>
        <w:t xml:space="preserve">sutartimi </w:t>
      </w:r>
      <w:r w:rsidRPr="00EA1C40">
        <w:rPr>
          <w:rFonts w:eastAsia="Calibri" w:cs="Arial"/>
          <w:strike/>
          <w:szCs w:val="22"/>
        </w:rPr>
        <w:t>(OL 2007 C 306, p. 1)</w:t>
      </w:r>
      <w:r w:rsidRPr="00EA1C40">
        <w:rPr>
          <w:rFonts w:eastAsia="Calibri" w:cs="Arial"/>
          <w:szCs w:val="22"/>
        </w:rPr>
        <w:t>.</w:t>
      </w:r>
    </w:p>
    <w:p w14:paraId="5FC6FD6C" w14:textId="1E2E9477" w:rsidR="00D0162B" w:rsidRPr="00EA1C40" w:rsidRDefault="00D0162B" w:rsidP="00D0162B">
      <w:pPr>
        <w:ind w:firstLine="720"/>
        <w:jc w:val="both"/>
        <w:rPr>
          <w:rFonts w:eastAsia="Calibri" w:cs="Arial"/>
          <w:szCs w:val="22"/>
        </w:rPr>
      </w:pPr>
      <w:r w:rsidRPr="00F62252">
        <w:rPr>
          <w:rFonts w:eastAsia="Calibri" w:cs="Arial"/>
          <w:szCs w:val="22"/>
        </w:rPr>
        <w:t>3. 1993 m. gruodžio 13 d. Tarybos reglamentas (EB) Nr. 3603/93, nustatantis apibrėžimus, susijusius su Sutarties 104 ir 104b (1) straipsniuose numatytų uždraudimų taikymu</w:t>
      </w:r>
      <w:r w:rsidR="004A2621">
        <w:rPr>
          <w:rFonts w:eastAsia="Calibri" w:cs="Arial"/>
          <w:szCs w:val="22"/>
        </w:rPr>
        <w:t xml:space="preserve"> </w:t>
      </w:r>
      <w:r w:rsidRPr="00EA1C40">
        <w:rPr>
          <w:rFonts w:eastAsia="Calibri" w:cs="Arial"/>
          <w:strike/>
          <w:szCs w:val="22"/>
        </w:rPr>
        <w:t>(OL 2004 m</w:t>
      </w:r>
      <w:r w:rsidRPr="00EA1C40">
        <w:rPr>
          <w:rFonts w:eastAsia="Calibri" w:cs="Arial"/>
          <w:i/>
          <w:strike/>
          <w:szCs w:val="22"/>
        </w:rPr>
        <w:t>. specialusis leidimas</w:t>
      </w:r>
      <w:r w:rsidRPr="00EA1C40">
        <w:rPr>
          <w:rFonts w:eastAsia="Calibri" w:cs="Arial"/>
          <w:strike/>
          <w:szCs w:val="22"/>
        </w:rPr>
        <w:t>, 10 skyrius, 1 tomas, p. 27)</w:t>
      </w:r>
      <w:r w:rsidRPr="00EA1C40">
        <w:rPr>
          <w:rFonts w:eastAsia="Calibri" w:cs="Arial"/>
          <w:szCs w:val="22"/>
        </w:rPr>
        <w:t>.</w:t>
      </w:r>
    </w:p>
    <w:p w14:paraId="6FF5046E" w14:textId="7C025E76" w:rsidR="00D0162B" w:rsidRPr="00EA1C40" w:rsidRDefault="00D0162B" w:rsidP="00D0162B">
      <w:pPr>
        <w:ind w:firstLine="720"/>
        <w:jc w:val="both"/>
        <w:rPr>
          <w:rFonts w:eastAsia="Calibri" w:cs="Arial"/>
          <w:szCs w:val="22"/>
        </w:rPr>
      </w:pPr>
      <w:r w:rsidRPr="00F62252">
        <w:rPr>
          <w:rFonts w:eastAsia="Calibri" w:cs="Arial"/>
          <w:szCs w:val="22"/>
        </w:rPr>
        <w:t>4. 1993 m. gruodžio 13 d. Tarybos reglamentas (EB) Nr. 3604/93, nustatantis apibrėžimus, susijusius su Sutarties 104a straipsnyje numatytos privilegijos naudotis finansų įstaigomis uždraudimo taikymu</w:t>
      </w:r>
      <w:r w:rsidR="004A2621">
        <w:rPr>
          <w:rFonts w:eastAsia="Calibri" w:cs="Arial"/>
          <w:szCs w:val="22"/>
        </w:rPr>
        <w:t xml:space="preserve"> </w:t>
      </w:r>
      <w:r w:rsidRPr="00EA1C40">
        <w:rPr>
          <w:rFonts w:eastAsia="Calibri" w:cs="Arial"/>
          <w:strike/>
          <w:szCs w:val="22"/>
        </w:rPr>
        <w:t>(OL 2004 m. </w:t>
      </w:r>
      <w:r w:rsidRPr="00EA1C40">
        <w:rPr>
          <w:rFonts w:eastAsia="Calibri" w:cs="Arial"/>
          <w:i/>
          <w:strike/>
          <w:szCs w:val="22"/>
        </w:rPr>
        <w:t>specialusis leidimas</w:t>
      </w:r>
      <w:r w:rsidRPr="00EA1C40">
        <w:rPr>
          <w:rFonts w:eastAsia="Calibri" w:cs="Arial"/>
          <w:strike/>
          <w:szCs w:val="22"/>
        </w:rPr>
        <w:t>, 10 skyrius, 1 tomas, p. 30)</w:t>
      </w:r>
      <w:r w:rsidRPr="00EA1C40">
        <w:rPr>
          <w:rFonts w:eastAsia="Calibri" w:cs="Arial"/>
          <w:szCs w:val="22"/>
        </w:rPr>
        <w:t>.</w:t>
      </w:r>
    </w:p>
    <w:p w14:paraId="25B7D4E4" w14:textId="77777777" w:rsidR="00D0162B" w:rsidRPr="00EA1C40" w:rsidRDefault="00D0162B" w:rsidP="00D0162B">
      <w:pPr>
        <w:ind w:firstLine="720"/>
        <w:jc w:val="both"/>
        <w:rPr>
          <w:rFonts w:eastAsia="Calibri" w:cs="Arial"/>
          <w:szCs w:val="22"/>
        </w:rPr>
      </w:pPr>
      <w:r w:rsidRPr="00F62252">
        <w:rPr>
          <w:rFonts w:eastAsia="Calibri" w:cs="Arial"/>
          <w:szCs w:val="22"/>
        </w:rPr>
        <w:t xml:space="preserve">5. 2001 m. birželio 28 d. Tarybos reglamentas (EB) Nr. 1338/2001, nustatantis priemones, būtinas euro apsaugai nuo </w:t>
      </w:r>
      <w:r w:rsidRPr="00EA1C40">
        <w:rPr>
          <w:rFonts w:eastAsia="Calibri" w:cs="Arial"/>
          <w:szCs w:val="22"/>
        </w:rPr>
        <w:t xml:space="preserve">padirbinėjimo </w:t>
      </w:r>
      <w:r w:rsidRPr="00EA1C40">
        <w:rPr>
          <w:rFonts w:eastAsia="Calibri" w:cs="Arial"/>
          <w:strike/>
          <w:szCs w:val="22"/>
        </w:rPr>
        <w:t>(OL 2004 m. </w:t>
      </w:r>
      <w:r w:rsidRPr="00EA1C40">
        <w:rPr>
          <w:rFonts w:eastAsia="Calibri" w:cs="Arial"/>
          <w:i/>
          <w:strike/>
          <w:szCs w:val="22"/>
        </w:rPr>
        <w:t>specialusis leidimas</w:t>
      </w:r>
      <w:r w:rsidRPr="00EA1C40">
        <w:rPr>
          <w:rFonts w:eastAsia="Calibri" w:cs="Arial"/>
          <w:strike/>
          <w:szCs w:val="22"/>
        </w:rPr>
        <w:t>, 19 skyrius, 4 tomas, p. 152)</w:t>
      </w:r>
      <w:r w:rsidRPr="00EA1C40">
        <w:rPr>
          <w:rFonts w:eastAsia="Calibri" w:cs="Arial"/>
          <w:szCs w:val="22"/>
        </w:rPr>
        <w:t xml:space="preserve">, su paskutiniais pakeitimais, padarytais 2008 m. gruodžio 18 d. Tarybos reglamentu (EB) Nr. 44/2009 </w:t>
      </w:r>
      <w:r w:rsidRPr="00EA1C40">
        <w:rPr>
          <w:rFonts w:eastAsia="Calibri" w:cs="Arial"/>
          <w:strike/>
          <w:szCs w:val="22"/>
        </w:rPr>
        <w:t>(OL 2009 L 17, p. 1)</w:t>
      </w:r>
      <w:r w:rsidRPr="00EA1C40">
        <w:rPr>
          <w:rFonts w:eastAsia="Calibri" w:cs="Arial"/>
          <w:szCs w:val="22"/>
        </w:rPr>
        <w:t>.</w:t>
      </w:r>
    </w:p>
    <w:p w14:paraId="186EFC15" w14:textId="50FE4310" w:rsidR="00D0162B" w:rsidRPr="00F62252" w:rsidRDefault="00D0162B" w:rsidP="00D0162B">
      <w:pPr>
        <w:ind w:firstLine="720"/>
        <w:jc w:val="both"/>
        <w:rPr>
          <w:rFonts w:eastAsia="Calibri" w:cs="Arial"/>
          <w:szCs w:val="22"/>
        </w:rPr>
      </w:pPr>
      <w:r w:rsidRPr="00F62252">
        <w:rPr>
          <w:rFonts w:eastAsia="Calibri" w:cs="Arial"/>
          <w:szCs w:val="22"/>
        </w:rPr>
        <w:t>6. 2001 m. birželio 28 d. Tarybos reglamentas (EB) Nr. 1339/2001, išplečiantis Reglamento (EB) Nr. 1338/2001, nustatančio priemones, būtinas euro apsaugai nuo padirbinėjimo, veikimą toms valstybėms narėms, kurios nėra priėmusios euro kaip savo bendros valiutos</w:t>
      </w:r>
      <w:r>
        <w:rPr>
          <w:rFonts w:eastAsia="Calibri" w:cs="Arial"/>
          <w:szCs w:val="22"/>
        </w:rPr>
        <w:t xml:space="preserve">, </w:t>
      </w:r>
      <w:r w:rsidRPr="00707E35">
        <w:rPr>
          <w:rFonts w:eastAsia="Calibri" w:cs="Arial"/>
          <w:b/>
          <w:szCs w:val="22"/>
        </w:rPr>
        <w:t>su paskutiniais pakeitimais, padarytais 2008 m. gruodžio 18 d. Tarybos reglamentu (EB) Nr. 45/2009</w:t>
      </w:r>
      <w:r w:rsidRPr="00F62252">
        <w:rPr>
          <w:rFonts w:eastAsia="Calibri" w:cs="Arial"/>
          <w:szCs w:val="22"/>
        </w:rPr>
        <w:t xml:space="preserve"> </w:t>
      </w:r>
      <w:r w:rsidRPr="00F62252">
        <w:rPr>
          <w:rFonts w:eastAsia="Calibri" w:cs="Arial"/>
          <w:strike/>
          <w:szCs w:val="22"/>
        </w:rPr>
        <w:t>(OL 2004 m. </w:t>
      </w:r>
      <w:r w:rsidRPr="00F62252">
        <w:rPr>
          <w:rFonts w:eastAsia="Calibri" w:cs="Arial"/>
          <w:i/>
          <w:strike/>
          <w:szCs w:val="22"/>
        </w:rPr>
        <w:t>specialusis leidimas</w:t>
      </w:r>
      <w:r w:rsidRPr="00F62252">
        <w:rPr>
          <w:rFonts w:eastAsia="Calibri" w:cs="Arial"/>
          <w:strike/>
          <w:szCs w:val="22"/>
        </w:rPr>
        <w:t>, 19 skyrius, 4 tomas, p. 157)</w:t>
      </w:r>
      <w:r w:rsidRPr="00F62252">
        <w:rPr>
          <w:rFonts w:eastAsia="Calibri" w:cs="Arial"/>
          <w:szCs w:val="22"/>
        </w:rPr>
        <w:t>.</w:t>
      </w:r>
    </w:p>
    <w:p w14:paraId="74C96F84" w14:textId="5C3BA0E5" w:rsidR="00D0162B" w:rsidRPr="00F62252" w:rsidRDefault="00D0162B" w:rsidP="00D0162B">
      <w:pPr>
        <w:ind w:firstLine="720"/>
        <w:jc w:val="both"/>
        <w:rPr>
          <w:rFonts w:eastAsia="Calibri" w:cs="Arial"/>
          <w:szCs w:val="22"/>
        </w:rPr>
      </w:pPr>
      <w:r w:rsidRPr="00EA1C40">
        <w:rPr>
          <w:rFonts w:eastAsia="Calibri" w:cs="Arial"/>
          <w:szCs w:val="22"/>
        </w:rPr>
        <w:t>7. 2002 m. birželio 6 d. Europos Parlamento ir Tarybos direktyva 2002/47/EB dėl susitarimų dėl finansinio įkaito</w:t>
      </w:r>
      <w:r>
        <w:rPr>
          <w:rFonts w:eastAsia="Calibri" w:cs="Arial"/>
          <w:szCs w:val="22"/>
        </w:rPr>
        <w:t xml:space="preserve"> </w:t>
      </w:r>
      <w:r>
        <w:rPr>
          <w:rFonts w:eastAsia="Calibri" w:cs="Arial"/>
          <w:b/>
          <w:szCs w:val="22"/>
        </w:rPr>
        <w:t>su paskutiniais pakeitimais</w:t>
      </w:r>
      <w:r w:rsidR="00B80C2B">
        <w:rPr>
          <w:rFonts w:eastAsia="Calibri" w:cs="Arial"/>
          <w:b/>
          <w:szCs w:val="22"/>
        </w:rPr>
        <w:t>,</w:t>
      </w:r>
      <w:r>
        <w:rPr>
          <w:rFonts w:eastAsia="Calibri" w:cs="Arial"/>
          <w:b/>
          <w:szCs w:val="22"/>
        </w:rPr>
        <w:t xml:space="preserve"> padarytais 2014 m. gegužės 15 d. </w:t>
      </w:r>
      <w:r w:rsidRPr="00F62252">
        <w:rPr>
          <w:rFonts w:eastAsia="Calibri" w:cs="Arial"/>
          <w:b/>
          <w:szCs w:val="22"/>
        </w:rPr>
        <w:t>Europos Parlamento ir Tarybos direktyva</w:t>
      </w:r>
      <w:r>
        <w:rPr>
          <w:rFonts w:eastAsia="Calibri" w:cs="Arial"/>
          <w:b/>
          <w:szCs w:val="22"/>
        </w:rPr>
        <w:t xml:space="preserve"> 2014/59/ES</w:t>
      </w:r>
      <w:r w:rsidR="004A2621">
        <w:rPr>
          <w:rFonts w:eastAsia="Calibri" w:cs="Arial"/>
          <w:b/>
          <w:szCs w:val="22"/>
        </w:rPr>
        <w:t xml:space="preserve"> </w:t>
      </w:r>
      <w:r w:rsidRPr="00F62252">
        <w:rPr>
          <w:rFonts w:eastAsia="Calibri" w:cs="Arial"/>
          <w:strike/>
          <w:szCs w:val="22"/>
        </w:rPr>
        <w:t>(OL 2004 m. </w:t>
      </w:r>
      <w:r w:rsidRPr="00F62252">
        <w:rPr>
          <w:rFonts w:eastAsia="Calibri" w:cs="Arial"/>
          <w:i/>
          <w:strike/>
          <w:szCs w:val="22"/>
        </w:rPr>
        <w:t>specialusis leidimas</w:t>
      </w:r>
      <w:r w:rsidRPr="00F62252">
        <w:rPr>
          <w:rFonts w:eastAsia="Calibri" w:cs="Arial"/>
          <w:strike/>
          <w:szCs w:val="22"/>
        </w:rPr>
        <w:t>, 10 skyrius, 3 tomas, p. 89)</w:t>
      </w:r>
      <w:r w:rsidRPr="00F62252">
        <w:rPr>
          <w:rFonts w:eastAsia="Calibri" w:cs="Arial"/>
          <w:szCs w:val="22"/>
        </w:rPr>
        <w:t>.</w:t>
      </w:r>
    </w:p>
    <w:p w14:paraId="6EC81C80" w14:textId="72EF79C6" w:rsidR="00D0162B" w:rsidRPr="00F62252" w:rsidRDefault="00D0162B" w:rsidP="00D0162B">
      <w:pPr>
        <w:ind w:firstLine="720"/>
        <w:jc w:val="both"/>
        <w:rPr>
          <w:rFonts w:eastAsia="Calibri" w:cs="Arial"/>
          <w:szCs w:val="22"/>
        </w:rPr>
      </w:pPr>
      <w:r w:rsidRPr="00EA1C40">
        <w:rPr>
          <w:rFonts w:eastAsia="Calibri" w:cs="Arial"/>
          <w:szCs w:val="22"/>
        </w:rPr>
        <w:t xml:space="preserve">8. 2009 m. rugsėjo 16 d. Europos Parlamento ir Tarybos reglamentas (EB) Nr. 1060/2009 dėl kredito reitingų agentūrų </w:t>
      </w:r>
      <w:r w:rsidRPr="00EA1C40">
        <w:rPr>
          <w:rFonts w:eastAsia="Calibri" w:cs="Arial"/>
          <w:strike/>
          <w:szCs w:val="22"/>
        </w:rPr>
        <w:t>(OL 2009 L 302, p. 1)</w:t>
      </w:r>
      <w:r w:rsidRPr="00EA1C40">
        <w:rPr>
          <w:rFonts w:eastAsia="Calibri" w:cs="Arial"/>
          <w:szCs w:val="22"/>
        </w:rPr>
        <w:t xml:space="preserve"> su paskutiniais pakeitimais, padarytais</w:t>
      </w:r>
      <w:r>
        <w:rPr>
          <w:rFonts w:eastAsia="Calibri" w:cs="Arial"/>
          <w:szCs w:val="22"/>
        </w:rPr>
        <w:t xml:space="preserve"> </w:t>
      </w:r>
      <w:r>
        <w:rPr>
          <w:rFonts w:eastAsia="Calibri" w:cs="Arial"/>
          <w:b/>
          <w:szCs w:val="22"/>
        </w:rPr>
        <w:t xml:space="preserve">2017 m. gruodžio </w:t>
      </w:r>
      <w:r>
        <w:rPr>
          <w:rFonts w:eastAsia="Calibri" w:cs="Arial"/>
          <w:b/>
          <w:szCs w:val="22"/>
          <w:lang w:val="en-US"/>
        </w:rPr>
        <w:t xml:space="preserve">12 d. </w:t>
      </w:r>
      <w:proofErr w:type="spellStart"/>
      <w:proofErr w:type="gramStart"/>
      <w:r>
        <w:rPr>
          <w:rFonts w:eastAsia="Calibri" w:cs="Arial"/>
          <w:b/>
          <w:szCs w:val="22"/>
          <w:lang w:val="en-US"/>
        </w:rPr>
        <w:t>Europos</w:t>
      </w:r>
      <w:proofErr w:type="spellEnd"/>
      <w:r>
        <w:rPr>
          <w:rFonts w:eastAsia="Calibri" w:cs="Arial"/>
          <w:b/>
          <w:szCs w:val="22"/>
          <w:lang w:val="en-US"/>
        </w:rPr>
        <w:t xml:space="preserve"> </w:t>
      </w:r>
      <w:proofErr w:type="spellStart"/>
      <w:r>
        <w:rPr>
          <w:rFonts w:eastAsia="Calibri" w:cs="Arial"/>
          <w:b/>
          <w:szCs w:val="22"/>
          <w:lang w:val="en-US"/>
        </w:rPr>
        <w:t>Parlamento</w:t>
      </w:r>
      <w:proofErr w:type="spellEnd"/>
      <w:r>
        <w:rPr>
          <w:rFonts w:eastAsia="Calibri" w:cs="Arial"/>
          <w:b/>
          <w:szCs w:val="22"/>
          <w:lang w:val="en-US"/>
        </w:rPr>
        <w:t xml:space="preserve"> </w:t>
      </w:r>
      <w:proofErr w:type="spellStart"/>
      <w:r>
        <w:rPr>
          <w:rFonts w:eastAsia="Calibri" w:cs="Arial"/>
          <w:b/>
          <w:szCs w:val="22"/>
          <w:lang w:val="en-US"/>
        </w:rPr>
        <w:t>ir</w:t>
      </w:r>
      <w:proofErr w:type="spellEnd"/>
      <w:r>
        <w:rPr>
          <w:rFonts w:eastAsia="Calibri" w:cs="Arial"/>
          <w:b/>
          <w:szCs w:val="22"/>
          <w:lang w:val="en-US"/>
        </w:rPr>
        <w:t xml:space="preserve"> </w:t>
      </w:r>
      <w:proofErr w:type="spellStart"/>
      <w:r>
        <w:rPr>
          <w:rFonts w:eastAsia="Calibri" w:cs="Arial"/>
          <w:b/>
          <w:szCs w:val="22"/>
          <w:lang w:val="en-US"/>
        </w:rPr>
        <w:t>Tarybos</w:t>
      </w:r>
      <w:proofErr w:type="spellEnd"/>
      <w:r>
        <w:rPr>
          <w:rFonts w:eastAsia="Calibri" w:cs="Arial"/>
          <w:b/>
          <w:szCs w:val="22"/>
          <w:lang w:val="en-US"/>
        </w:rPr>
        <w:t xml:space="preserve"> </w:t>
      </w:r>
      <w:proofErr w:type="spellStart"/>
      <w:r>
        <w:rPr>
          <w:rFonts w:eastAsia="Calibri" w:cs="Arial"/>
          <w:b/>
          <w:szCs w:val="22"/>
          <w:lang w:val="en-US"/>
        </w:rPr>
        <w:t>reglamentu</w:t>
      </w:r>
      <w:proofErr w:type="spellEnd"/>
      <w:r>
        <w:rPr>
          <w:rFonts w:eastAsia="Calibri" w:cs="Arial"/>
          <w:b/>
          <w:szCs w:val="22"/>
          <w:lang w:val="en-US"/>
        </w:rPr>
        <w:t xml:space="preserve"> (ES) 2017/2402</w:t>
      </w:r>
      <w:r w:rsidRPr="00F62252">
        <w:rPr>
          <w:rFonts w:eastAsia="Calibri" w:cs="Arial"/>
          <w:szCs w:val="22"/>
        </w:rPr>
        <w:t>.</w:t>
      </w:r>
      <w:proofErr w:type="gramEnd"/>
      <w:r w:rsidRPr="00F62252">
        <w:rPr>
          <w:rFonts w:eastAsia="Calibri" w:cs="Arial"/>
          <w:szCs w:val="22"/>
        </w:rPr>
        <w:t xml:space="preserve"> </w:t>
      </w:r>
    </w:p>
    <w:p w14:paraId="0DFA5CF4" w14:textId="35A8C046" w:rsidR="00D0162B" w:rsidRPr="00EA1C40" w:rsidRDefault="00D0162B" w:rsidP="00D0162B">
      <w:pPr>
        <w:ind w:firstLine="720"/>
        <w:jc w:val="both"/>
        <w:rPr>
          <w:rFonts w:eastAsia="Calibri" w:cs="Arial"/>
          <w:szCs w:val="22"/>
        </w:rPr>
      </w:pPr>
      <w:r w:rsidRPr="00EA1C40">
        <w:rPr>
          <w:rFonts w:eastAsia="Calibri" w:cs="Arial"/>
          <w:szCs w:val="22"/>
        </w:rPr>
        <w:t xml:space="preserve">9. 2010 m. rugsėjo 16 d. Europos Centrinio Banko sprendimas ECB/2010/14 dėl eurų banknotų autentiškumo ir tinkamumo apyvartai tikrinimo bei pakartotinio išleidimo į apyvartą su </w:t>
      </w:r>
      <w:r w:rsidRPr="00EA1C40">
        <w:rPr>
          <w:rFonts w:eastAsia="Calibri" w:cs="Arial"/>
          <w:szCs w:val="22"/>
        </w:rPr>
        <w:lastRenderedPageBreak/>
        <w:t xml:space="preserve">paskutiniais pakeitimais, padarytais </w:t>
      </w:r>
      <w:r w:rsidRPr="00CC5BA8">
        <w:rPr>
          <w:rFonts w:eastAsia="Calibri" w:cs="Arial"/>
          <w:strike/>
          <w:szCs w:val="22"/>
        </w:rPr>
        <w:t>2012 m. rugsėjo 7 d.</w:t>
      </w:r>
      <w:r w:rsidRPr="00EA1C40">
        <w:rPr>
          <w:rFonts w:eastAsia="Calibri" w:cs="Arial"/>
          <w:szCs w:val="22"/>
        </w:rPr>
        <w:t xml:space="preserve"> </w:t>
      </w:r>
      <w:r w:rsidR="000E139D">
        <w:rPr>
          <w:rFonts w:eastAsia="Calibri" w:cs="Arial"/>
          <w:b/>
          <w:szCs w:val="22"/>
        </w:rPr>
        <w:t>2019 m. gruodžio 5 d.</w:t>
      </w:r>
      <w:r w:rsidR="00CC5BA8">
        <w:rPr>
          <w:rFonts w:eastAsia="Calibri" w:cs="Arial"/>
          <w:b/>
          <w:szCs w:val="22"/>
        </w:rPr>
        <w:t xml:space="preserve"> </w:t>
      </w:r>
      <w:r w:rsidRPr="00EA1C40">
        <w:rPr>
          <w:rFonts w:eastAsia="Calibri" w:cs="Arial"/>
          <w:szCs w:val="22"/>
        </w:rPr>
        <w:t xml:space="preserve">Europos Centrinio Banko sprendimu </w:t>
      </w:r>
      <w:r w:rsidRPr="00CC5BA8">
        <w:rPr>
          <w:rFonts w:eastAsia="Calibri" w:cs="Arial"/>
          <w:strike/>
          <w:szCs w:val="22"/>
        </w:rPr>
        <w:t>ECB/2012/19</w:t>
      </w:r>
      <w:r w:rsidR="004A2621" w:rsidRPr="00CC5BA8">
        <w:rPr>
          <w:rFonts w:eastAsia="Calibri" w:cs="Arial"/>
          <w:strike/>
          <w:szCs w:val="22"/>
        </w:rPr>
        <w:t xml:space="preserve"> </w:t>
      </w:r>
      <w:r w:rsidRPr="00EA1C40">
        <w:rPr>
          <w:rFonts w:eastAsia="Calibri" w:cs="Arial"/>
          <w:strike/>
          <w:szCs w:val="22"/>
        </w:rPr>
        <w:t>(OL 2012 L 253, p. 19)</w:t>
      </w:r>
      <w:r w:rsidR="00BE22A2">
        <w:rPr>
          <w:rFonts w:eastAsia="Calibri" w:cs="Arial"/>
          <w:b/>
          <w:szCs w:val="22"/>
        </w:rPr>
        <w:t xml:space="preserve">(ES) </w:t>
      </w:r>
      <w:bookmarkStart w:id="0" w:name="_GoBack"/>
      <w:bookmarkEnd w:id="0"/>
      <w:r w:rsidR="000E139D" w:rsidRPr="00CC5BA8">
        <w:rPr>
          <w:rFonts w:eastAsia="Calibri" w:cs="Arial"/>
          <w:b/>
          <w:szCs w:val="22"/>
        </w:rPr>
        <w:t>2019/2195</w:t>
      </w:r>
      <w:r w:rsidRPr="00EA1C40">
        <w:rPr>
          <w:rFonts w:eastAsia="Calibri" w:cs="Arial"/>
          <w:szCs w:val="22"/>
        </w:rPr>
        <w:t>.</w:t>
      </w:r>
    </w:p>
    <w:p w14:paraId="58CCB942" w14:textId="77777777" w:rsidR="00D0162B" w:rsidRPr="00EA1C40" w:rsidRDefault="00D0162B" w:rsidP="00D0162B">
      <w:pPr>
        <w:ind w:firstLine="720"/>
        <w:jc w:val="both"/>
        <w:rPr>
          <w:rFonts w:eastAsia="Calibri" w:cs="Arial"/>
          <w:szCs w:val="22"/>
        </w:rPr>
      </w:pPr>
      <w:r w:rsidRPr="00EA1C40">
        <w:rPr>
          <w:rFonts w:eastAsia="Calibri" w:cs="Arial"/>
          <w:szCs w:val="22"/>
        </w:rPr>
        <w:t xml:space="preserve">10. 2010 m. gruodžio 15 d. Europos Parlamento ir Tarybos reglamentas (ES) Nr. 1210/2010 dėl euro monetų autentiškumo tikrinimo ir apyvartai netinkamų euro monetų tvarkymo </w:t>
      </w:r>
      <w:r w:rsidRPr="00EA1C40">
        <w:rPr>
          <w:rFonts w:eastAsia="Calibri" w:cs="Arial"/>
          <w:strike/>
          <w:szCs w:val="22"/>
        </w:rPr>
        <w:t>(OL 2010 L 339, p. 1)</w:t>
      </w:r>
      <w:r w:rsidRPr="00EA1C40">
        <w:rPr>
          <w:rFonts w:eastAsia="Calibri" w:cs="Arial"/>
          <w:szCs w:val="22"/>
        </w:rPr>
        <w:t>.</w:t>
      </w:r>
    </w:p>
    <w:p w14:paraId="40EBF0CB" w14:textId="77777777" w:rsidR="00D0162B" w:rsidRPr="00EA1C40" w:rsidRDefault="00D0162B" w:rsidP="00D0162B">
      <w:pPr>
        <w:ind w:firstLine="720"/>
        <w:jc w:val="both"/>
        <w:rPr>
          <w:rFonts w:eastAsia="Calibri" w:cs="Arial"/>
          <w:szCs w:val="22"/>
        </w:rPr>
      </w:pPr>
      <w:r w:rsidRPr="00EA1C40">
        <w:rPr>
          <w:rFonts w:eastAsia="Calibri" w:cs="Arial"/>
          <w:szCs w:val="22"/>
        </w:rPr>
        <w:t xml:space="preserve">11. 2011 m. gruodžio 22 d. Europos sisteminės rizikos valdybos rekomendacija ESRV/2011/3 dėl nacionalinių institucijų įgaliojimų makrolygio rizikos ribojimo srityje </w:t>
      </w:r>
      <w:r w:rsidRPr="00EA1C40">
        <w:rPr>
          <w:rFonts w:eastAsia="Calibri" w:cs="Arial"/>
          <w:strike/>
          <w:szCs w:val="22"/>
        </w:rPr>
        <w:t>(OL 2012 C 41, p. 1)</w:t>
      </w:r>
      <w:r w:rsidRPr="00EA1C40">
        <w:rPr>
          <w:rFonts w:eastAsia="Calibri" w:cs="Arial"/>
          <w:szCs w:val="22"/>
        </w:rPr>
        <w:t>.</w:t>
      </w:r>
    </w:p>
    <w:p w14:paraId="36817117" w14:textId="041BB5B8" w:rsidR="00D0162B" w:rsidRPr="00C668CF" w:rsidRDefault="000E139D" w:rsidP="00D0162B">
      <w:pPr>
        <w:ind w:firstLine="720"/>
        <w:jc w:val="both"/>
        <w:rPr>
          <w:rFonts w:eastAsia="Calibri" w:cs="Arial"/>
          <w:b/>
          <w:szCs w:val="22"/>
        </w:rPr>
      </w:pPr>
      <w:r w:rsidRPr="00EA1C40">
        <w:rPr>
          <w:rFonts w:eastAsia="Calibri" w:cs="Arial"/>
          <w:b/>
          <w:szCs w:val="22"/>
        </w:rPr>
        <w:t>1</w:t>
      </w:r>
      <w:r>
        <w:rPr>
          <w:rFonts w:eastAsia="Calibri" w:cs="Arial"/>
          <w:b/>
          <w:szCs w:val="22"/>
        </w:rPr>
        <w:t>2</w:t>
      </w:r>
      <w:r w:rsidR="00D0162B" w:rsidRPr="00C668CF">
        <w:rPr>
          <w:rFonts w:eastAsia="Calibri" w:cs="Arial"/>
          <w:b/>
          <w:szCs w:val="22"/>
        </w:rPr>
        <w:t>.</w:t>
      </w:r>
      <w:r w:rsidR="00D0162B" w:rsidRPr="00C668CF">
        <w:rPr>
          <w:rFonts w:eastAsia="Calibri"/>
          <w:b/>
          <w:szCs w:val="24"/>
        </w:rPr>
        <w:t xml:space="preserve"> 2013 m. birželio 26 d. Europos Parlamento ir Tarybos direktyva 2013/36/ES dėl galimybės verstis kredito įstaigų veikla ir dėl riziką ribojančios kredito įstaigų ir investicinių įmonių priežiūros, kuria iš dalies keičiama Direktyva 2002/87/EB ir panaikinamos direktyvos 2006/48/EB be</w:t>
      </w:r>
      <w:r w:rsidR="00D0162B" w:rsidRPr="00EA1C40">
        <w:rPr>
          <w:rFonts w:eastAsia="Calibri"/>
          <w:b/>
          <w:szCs w:val="24"/>
        </w:rPr>
        <w:t xml:space="preserve">i 2006/49/EB, </w:t>
      </w:r>
      <w:r w:rsidR="00D0162B" w:rsidRPr="00C668CF">
        <w:rPr>
          <w:rFonts w:eastAsia="Calibri"/>
          <w:b/>
          <w:szCs w:val="24"/>
        </w:rPr>
        <w:t>su paskutiniais pakeitimais, padarytais 2019 m. gegužės 20 d. Europos Parlamento ir Tarybos direktyva (ES) 2019/878.</w:t>
      </w:r>
    </w:p>
    <w:p w14:paraId="1EDC54ED" w14:textId="15447F1B" w:rsidR="00D0162B" w:rsidRPr="00C668CF"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2</w:t>
      </w:r>
      <w:r w:rsidR="000E139D" w:rsidRPr="00CC5BA8">
        <w:rPr>
          <w:rFonts w:eastAsia="Calibri" w:cs="Arial"/>
          <w:b/>
          <w:szCs w:val="22"/>
        </w:rPr>
        <w:t>13</w:t>
      </w:r>
      <w:r w:rsidRPr="00F62252">
        <w:rPr>
          <w:rFonts w:eastAsia="Calibri" w:cs="Arial"/>
          <w:szCs w:val="22"/>
        </w:rPr>
        <w:t xml:space="preserve">. 2014 m. gegužės 15 d. Europos Parlamento ir Tarybos direktyva 2014/59/ES, kuria nustatoma kredito įstaigų ir investicinių įmonių gaivinimo ir pertvarkymo sistema ir </w:t>
      </w:r>
      <w:proofErr w:type="spellStart"/>
      <w:r w:rsidRPr="00F62252">
        <w:rPr>
          <w:rFonts w:eastAsia="Calibri" w:cs="Arial"/>
          <w:szCs w:val="22"/>
        </w:rPr>
        <w:t>is</w:t>
      </w:r>
      <w:proofErr w:type="spellEnd"/>
      <w:r w:rsidRPr="00F62252">
        <w:rPr>
          <w:rFonts w:eastAsia="Calibri" w:cs="Arial"/>
          <w:szCs w:val="22"/>
        </w:rPr>
        <w:t>̌ dalies keičiamos Tarybos direktyva 82/891/EEB, direktyvos 2001/24/EB, 2002/47/EB, 20</w:t>
      </w:r>
      <w:r w:rsidRPr="00EA1C40">
        <w:rPr>
          <w:rFonts w:eastAsia="Calibri" w:cs="Arial"/>
          <w:szCs w:val="22"/>
        </w:rPr>
        <w:t>04/25/EB, 2005/56/EB, 2007/36/EB, 2011/35/ES, 2012/30/ES bei 2013/36/ES ir Europos Parlamento ir Tarybos reglamentai (ES) Nr. 1093/2010 bei (ES) Nr. 648/2012</w:t>
      </w:r>
      <w:r>
        <w:rPr>
          <w:rFonts w:eastAsia="Calibri" w:cs="Arial"/>
          <w:szCs w:val="22"/>
        </w:rPr>
        <w:t xml:space="preserve">, </w:t>
      </w:r>
      <w:r w:rsidRPr="00C668CF">
        <w:rPr>
          <w:rFonts w:eastAsia="Calibri"/>
          <w:b/>
          <w:szCs w:val="24"/>
        </w:rPr>
        <w:t>su paskutiniais pakeitimais, padarytais 2019 m. gegužės 20 d. Europos Parlamento ir Tarybos direktyva (ES) 2019/87</w:t>
      </w:r>
      <w:r>
        <w:rPr>
          <w:rFonts w:eastAsia="Calibri"/>
          <w:b/>
          <w:szCs w:val="24"/>
        </w:rPr>
        <w:t>9</w:t>
      </w:r>
      <w:r w:rsidR="004A2621">
        <w:rPr>
          <w:rFonts w:eastAsia="Calibri"/>
          <w:b/>
          <w:szCs w:val="24"/>
        </w:rPr>
        <w:t xml:space="preserve"> </w:t>
      </w:r>
      <w:r w:rsidRPr="00C668CF">
        <w:rPr>
          <w:rFonts w:eastAsia="Calibri" w:cs="Arial"/>
          <w:strike/>
          <w:szCs w:val="22"/>
        </w:rPr>
        <w:t>(OL 2014 L 173, p. 190)</w:t>
      </w:r>
      <w:r w:rsidRPr="00C668CF">
        <w:rPr>
          <w:rFonts w:eastAsia="Calibri" w:cs="Arial"/>
          <w:szCs w:val="22"/>
        </w:rPr>
        <w:t>.</w:t>
      </w:r>
    </w:p>
    <w:p w14:paraId="05B2CC36" w14:textId="7FCCDA7D" w:rsidR="00D0162B" w:rsidRPr="00C668CF"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3</w:t>
      </w:r>
      <w:r w:rsidR="000E139D">
        <w:rPr>
          <w:rFonts w:eastAsia="Calibri"/>
          <w:b/>
          <w:bCs/>
          <w:szCs w:val="24"/>
          <w:lang w:val="en-US"/>
        </w:rPr>
        <w:t>14</w:t>
      </w:r>
      <w:r w:rsidRPr="00C668CF">
        <w:rPr>
          <w:rFonts w:eastAsia="Calibri" w:cs="Arial"/>
          <w:szCs w:val="22"/>
        </w:rPr>
        <w:t>. 2014 m. lapkričio 26 d. Europos Parlamento ir Tarybos reglamentas (ES) Nr. 1286/2014 dėl mažmeninių investicinių produktų paketų ir draudimo principu pagrįstų investicinių produktų (MIPP ir DIP) pagrindinės informacijos dokumentų</w:t>
      </w:r>
      <w:r>
        <w:rPr>
          <w:rFonts w:eastAsia="Calibri" w:cs="Arial"/>
          <w:szCs w:val="22"/>
        </w:rPr>
        <w:t xml:space="preserve">, </w:t>
      </w:r>
      <w:r w:rsidRPr="00C668CF">
        <w:rPr>
          <w:rFonts w:eastAsia="Calibri"/>
          <w:b/>
          <w:szCs w:val="24"/>
        </w:rPr>
        <w:t xml:space="preserve">su paskutiniais pakeitimais, padarytais 2019 m. </w:t>
      </w:r>
      <w:r>
        <w:rPr>
          <w:rFonts w:eastAsia="Calibri"/>
          <w:b/>
          <w:szCs w:val="24"/>
        </w:rPr>
        <w:t>birželio</w:t>
      </w:r>
      <w:r w:rsidRPr="00C668CF">
        <w:rPr>
          <w:rFonts w:eastAsia="Calibri"/>
          <w:b/>
          <w:szCs w:val="24"/>
        </w:rPr>
        <w:t xml:space="preserve"> 20 d. Europos Parlamento ir Tarybos </w:t>
      </w:r>
      <w:r>
        <w:rPr>
          <w:rFonts w:eastAsia="Calibri"/>
          <w:b/>
          <w:szCs w:val="24"/>
        </w:rPr>
        <w:t>reglamentu</w:t>
      </w:r>
      <w:r w:rsidRPr="00C668CF">
        <w:rPr>
          <w:rFonts w:eastAsia="Calibri"/>
          <w:b/>
          <w:szCs w:val="24"/>
        </w:rPr>
        <w:t xml:space="preserve"> (ES) 2019/</w:t>
      </w:r>
      <w:r>
        <w:rPr>
          <w:rFonts w:eastAsia="Calibri"/>
          <w:b/>
          <w:szCs w:val="24"/>
        </w:rPr>
        <w:t>1156</w:t>
      </w:r>
      <w:r w:rsidRPr="00C668CF">
        <w:rPr>
          <w:rFonts w:eastAsia="Calibri" w:cs="Arial"/>
          <w:szCs w:val="22"/>
        </w:rPr>
        <w:t xml:space="preserve"> </w:t>
      </w:r>
      <w:r w:rsidRPr="00C668CF">
        <w:rPr>
          <w:rFonts w:eastAsia="Calibri" w:cs="Arial"/>
          <w:strike/>
          <w:szCs w:val="22"/>
        </w:rPr>
        <w:t>(OL 2014, L 352, p. 1)</w:t>
      </w:r>
      <w:r w:rsidRPr="00C668CF">
        <w:rPr>
          <w:rFonts w:eastAsia="Calibri" w:cs="Arial"/>
          <w:szCs w:val="22"/>
        </w:rPr>
        <w:t>.</w:t>
      </w:r>
    </w:p>
    <w:p w14:paraId="3750EB5D" w14:textId="70E6E9A3" w:rsidR="00D0162B" w:rsidRPr="00CA7E30"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4</w:t>
      </w:r>
      <w:r w:rsidR="000E139D">
        <w:rPr>
          <w:rFonts w:eastAsia="Calibri" w:cs="Arial"/>
          <w:b/>
          <w:szCs w:val="22"/>
        </w:rPr>
        <w:t>15</w:t>
      </w:r>
      <w:r w:rsidRPr="00C668CF">
        <w:rPr>
          <w:rFonts w:eastAsia="Calibri" w:cs="Arial"/>
          <w:szCs w:val="22"/>
        </w:rPr>
        <w:t>. 2017 m. birželio 14 d. Europos Parlamento ir Tarybos reglamentas (ES) 2017/1129 dėl prospekto, kuris turi būti skelbiamas, kai vertybiniai popieriai siūlomi viešai arba įtraukiami į prekybos reguliuojamoje rinkoje sąrašą, ir kuriuo panaikinama Direktyva 2003/71/EB</w:t>
      </w:r>
      <w:r>
        <w:rPr>
          <w:rFonts w:eastAsia="Calibri" w:cs="Arial"/>
          <w:szCs w:val="22"/>
        </w:rPr>
        <w:t xml:space="preserve"> </w:t>
      </w:r>
      <w:r w:rsidRPr="00C668CF">
        <w:rPr>
          <w:rFonts w:eastAsia="Calibri"/>
          <w:b/>
          <w:szCs w:val="24"/>
        </w:rPr>
        <w:t>su paskutiniais pakeitimais, padarytais 20</w:t>
      </w:r>
      <w:r>
        <w:rPr>
          <w:rFonts w:eastAsia="Calibri"/>
          <w:b/>
          <w:szCs w:val="24"/>
        </w:rPr>
        <w:t>21</w:t>
      </w:r>
      <w:r w:rsidRPr="00C668CF">
        <w:rPr>
          <w:rFonts w:eastAsia="Calibri"/>
          <w:b/>
          <w:szCs w:val="24"/>
        </w:rPr>
        <w:t xml:space="preserve"> m. </w:t>
      </w:r>
      <w:r>
        <w:rPr>
          <w:rFonts w:eastAsia="Calibri"/>
          <w:b/>
          <w:szCs w:val="24"/>
        </w:rPr>
        <w:t>vasario</w:t>
      </w:r>
      <w:r w:rsidRPr="00C668CF">
        <w:rPr>
          <w:rFonts w:eastAsia="Calibri"/>
          <w:b/>
          <w:szCs w:val="24"/>
        </w:rPr>
        <w:t xml:space="preserve"> </w:t>
      </w:r>
      <w:r>
        <w:rPr>
          <w:rFonts w:eastAsia="Calibri"/>
          <w:b/>
          <w:szCs w:val="24"/>
        </w:rPr>
        <w:t>16</w:t>
      </w:r>
      <w:r w:rsidRPr="00C668CF">
        <w:rPr>
          <w:rFonts w:eastAsia="Calibri"/>
          <w:b/>
          <w:szCs w:val="24"/>
        </w:rPr>
        <w:t xml:space="preserve"> d. Europos Parlamento ir Tarybos </w:t>
      </w:r>
      <w:r>
        <w:rPr>
          <w:rFonts w:eastAsia="Calibri"/>
          <w:b/>
          <w:szCs w:val="24"/>
        </w:rPr>
        <w:t>reglamentu</w:t>
      </w:r>
      <w:r w:rsidRPr="00C668CF">
        <w:rPr>
          <w:rFonts w:eastAsia="Calibri"/>
          <w:b/>
          <w:szCs w:val="24"/>
        </w:rPr>
        <w:t xml:space="preserve"> (ES) </w:t>
      </w:r>
      <w:r>
        <w:rPr>
          <w:rFonts w:eastAsia="Calibri"/>
          <w:b/>
          <w:szCs w:val="24"/>
        </w:rPr>
        <w:t>2021</w:t>
      </w:r>
      <w:r w:rsidRPr="00C668CF">
        <w:rPr>
          <w:rFonts w:eastAsia="Calibri"/>
          <w:b/>
          <w:szCs w:val="24"/>
        </w:rPr>
        <w:t>/</w:t>
      </w:r>
      <w:r>
        <w:rPr>
          <w:rFonts w:eastAsia="Calibri"/>
          <w:b/>
          <w:szCs w:val="24"/>
        </w:rPr>
        <w:t>337</w:t>
      </w:r>
      <w:r w:rsidR="004A2621">
        <w:rPr>
          <w:rFonts w:eastAsia="Calibri"/>
          <w:b/>
          <w:szCs w:val="24"/>
        </w:rPr>
        <w:t xml:space="preserve"> </w:t>
      </w:r>
      <w:r w:rsidRPr="00CA7E30">
        <w:rPr>
          <w:rFonts w:eastAsia="Calibri" w:cs="Arial"/>
          <w:strike/>
          <w:szCs w:val="22"/>
        </w:rPr>
        <w:t>(OL 2017 L 168, p. 12)</w:t>
      </w:r>
      <w:r w:rsidRPr="00CA7E30">
        <w:rPr>
          <w:rFonts w:eastAsia="Calibri" w:cs="Arial"/>
          <w:szCs w:val="22"/>
        </w:rPr>
        <w:t>.</w:t>
      </w:r>
    </w:p>
    <w:p w14:paraId="36622E05" w14:textId="659E18B6" w:rsidR="00D0162B" w:rsidRPr="00C668CF" w:rsidRDefault="00D0162B" w:rsidP="00D0162B">
      <w:pPr>
        <w:ind w:firstLine="720"/>
        <w:jc w:val="both"/>
        <w:rPr>
          <w:rFonts w:eastAsia="Calibri" w:cs="Arial"/>
          <w:szCs w:val="22"/>
        </w:rPr>
      </w:pPr>
      <w:r w:rsidRPr="00CC5BA8">
        <w:rPr>
          <w:rFonts w:eastAsia="Calibri" w:cs="Arial"/>
          <w:strike/>
          <w:szCs w:val="22"/>
        </w:rPr>
        <w:t>1</w:t>
      </w:r>
      <w:r w:rsidRPr="00CC5BA8">
        <w:rPr>
          <w:rFonts w:eastAsia="Calibri"/>
          <w:bCs/>
          <w:strike/>
          <w:szCs w:val="24"/>
          <w:lang w:val="en-US"/>
        </w:rPr>
        <w:t>5</w:t>
      </w:r>
      <w:r w:rsidR="000E139D">
        <w:rPr>
          <w:rFonts w:eastAsia="Calibri" w:cs="Arial"/>
          <w:b/>
          <w:szCs w:val="22"/>
        </w:rPr>
        <w:t>16</w:t>
      </w:r>
      <w:r w:rsidRPr="00C668CF">
        <w:rPr>
          <w:rFonts w:eastAsia="Calibri" w:cs="Arial"/>
          <w:szCs w:val="22"/>
        </w:rPr>
        <w:t xml:space="preserve">. 2017 m. birželio 14 d. Europos Parlamento ir Tarybos reglamentas (ES) 2017/1131 dėl pinigų rinkos fondų </w:t>
      </w:r>
      <w:r w:rsidRPr="00C668CF">
        <w:rPr>
          <w:rFonts w:eastAsia="Calibri" w:cs="Arial"/>
          <w:strike/>
          <w:szCs w:val="22"/>
        </w:rPr>
        <w:t>(OL 2017 L 169, p. 8)</w:t>
      </w:r>
      <w:r w:rsidRPr="00C668CF">
        <w:rPr>
          <w:rFonts w:eastAsia="Calibri" w:cs="Arial"/>
          <w:szCs w:val="22"/>
        </w:rPr>
        <w:t>.</w:t>
      </w:r>
    </w:p>
    <w:p w14:paraId="7747A95A" w14:textId="7D26D9C0" w:rsidR="00473225" w:rsidRDefault="00D0162B" w:rsidP="00473225">
      <w:pPr>
        <w:ind w:firstLine="720"/>
        <w:jc w:val="both"/>
        <w:rPr>
          <w:rFonts w:eastAsia="Calibri" w:cs="Arial"/>
          <w:szCs w:val="22"/>
        </w:rPr>
      </w:pPr>
      <w:r w:rsidRPr="00CC5BA8">
        <w:rPr>
          <w:rFonts w:eastAsia="Calibri" w:cs="Arial"/>
          <w:strike/>
          <w:szCs w:val="22"/>
        </w:rPr>
        <w:t>16</w:t>
      </w:r>
      <w:r w:rsidR="000E139D">
        <w:rPr>
          <w:rFonts w:eastAsia="Calibri" w:cs="Arial"/>
          <w:b/>
          <w:szCs w:val="22"/>
        </w:rPr>
        <w:t>17</w:t>
      </w:r>
      <w:r w:rsidRPr="00C668CF">
        <w:rPr>
          <w:rFonts w:eastAsia="Calibri" w:cs="Arial"/>
          <w:szCs w:val="22"/>
        </w:rPr>
        <w:t>. 2017 m. gruodžio 12 d. Europos Parlamento ir Tarybos reglamentas (ES) 2017/2394 dėl nacionalinių institucijų, atsakingų už vartotojų apsaugos teisės aktų vykdymo užtikrinimą, bendradarbiavimo, kuriuo panaikinamas Reglamentas (EB) Nr. 2006/2004</w:t>
      </w:r>
      <w:r w:rsidRPr="00EA1C40">
        <w:rPr>
          <w:rFonts w:eastAsia="Calibri" w:cs="Arial"/>
          <w:szCs w:val="22"/>
        </w:rPr>
        <w:t xml:space="preserve"> </w:t>
      </w:r>
      <w:r w:rsidRPr="00EA1C40">
        <w:rPr>
          <w:rFonts w:eastAsia="Calibri" w:cs="Arial"/>
          <w:strike/>
          <w:szCs w:val="22"/>
        </w:rPr>
        <w:t>(OL 2017 L 345, p. 1)</w:t>
      </w:r>
      <w:r w:rsidRPr="00EA1C40">
        <w:rPr>
          <w:rFonts w:eastAsia="Calibri" w:cs="Arial"/>
          <w:szCs w:val="22"/>
        </w:rPr>
        <w:t xml:space="preserve">, su paskutiniais pakeitimais, padarytais 2019 m. gegužės 20 d. Europos Parlamento ir Tarybos direktyva (ES) 2019/771 </w:t>
      </w:r>
      <w:r w:rsidRPr="00EA1C40">
        <w:rPr>
          <w:rFonts w:eastAsia="Calibri" w:cs="Arial"/>
          <w:strike/>
          <w:szCs w:val="22"/>
        </w:rPr>
        <w:t>(OL 2019 L 136, p. 28)</w:t>
      </w:r>
      <w:r w:rsidRPr="00EA1C40">
        <w:rPr>
          <w:rFonts w:eastAsia="Calibri" w:cs="Arial"/>
          <w:szCs w:val="22"/>
        </w:rPr>
        <w:t>.</w:t>
      </w:r>
      <w:r w:rsidR="00473225" w:rsidRPr="00473225">
        <w:rPr>
          <w:rFonts w:eastAsia="Calibri" w:cs="Arial"/>
          <w:szCs w:val="22"/>
        </w:rPr>
        <w:t xml:space="preserve"> </w:t>
      </w:r>
    </w:p>
    <w:p w14:paraId="7F2B9565" w14:textId="4954CF57" w:rsidR="00D0162B" w:rsidRPr="00EA1C40" w:rsidRDefault="000E139D" w:rsidP="00D0162B">
      <w:pPr>
        <w:ind w:firstLine="720"/>
        <w:jc w:val="both"/>
        <w:rPr>
          <w:rFonts w:eastAsia="Calibri" w:cs="Arial"/>
          <w:szCs w:val="22"/>
        </w:rPr>
      </w:pPr>
      <w:r w:rsidRPr="00DD402A">
        <w:rPr>
          <w:rFonts w:eastAsia="Calibri" w:cs="Arial"/>
          <w:strike/>
          <w:szCs w:val="22"/>
        </w:rPr>
        <w:t>15</w:t>
      </w:r>
      <w:r w:rsidRPr="00DD402A">
        <w:rPr>
          <w:rFonts w:eastAsia="Calibri" w:cs="Arial"/>
          <w:strike/>
          <w:szCs w:val="22"/>
          <w:vertAlign w:val="superscript"/>
        </w:rPr>
        <w:t>1</w:t>
      </w:r>
      <w:r>
        <w:rPr>
          <w:rFonts w:eastAsia="Calibri" w:cs="Arial"/>
          <w:b/>
          <w:szCs w:val="22"/>
        </w:rPr>
        <w:t>18</w:t>
      </w:r>
      <w:r w:rsidR="00473225" w:rsidRPr="00C668CF">
        <w:rPr>
          <w:rFonts w:eastAsia="Calibri" w:cs="Arial"/>
          <w:szCs w:val="22"/>
        </w:rPr>
        <w:t>. 2018 m. gegužės 30 d. Europos Parlamento ir Tarybos direktyva (ES) 2018/843, kuria iš dalies keičiama Direktyva (ES) 2015/849 dėl finansų sistemos naudoji</w:t>
      </w:r>
      <w:r w:rsidR="00473225" w:rsidRPr="00EA1C40">
        <w:rPr>
          <w:rFonts w:eastAsia="Calibri" w:cs="Arial"/>
          <w:szCs w:val="22"/>
        </w:rPr>
        <w:t xml:space="preserve">mo pinigų plovimui ar teroristų finansavimui prevencijos ir iš dalies keičiamos direktyvos 2009/138/EB ir 2013/36/ES </w:t>
      </w:r>
      <w:r w:rsidR="00473225" w:rsidRPr="00EA1C40">
        <w:rPr>
          <w:rFonts w:eastAsia="Calibri" w:cs="Arial"/>
          <w:strike/>
          <w:szCs w:val="22"/>
        </w:rPr>
        <w:t>(OL 2018 L 156, p. 43)</w:t>
      </w:r>
      <w:r w:rsidR="00473225" w:rsidRPr="00EA1C40">
        <w:rPr>
          <w:rFonts w:eastAsia="Calibri" w:cs="Arial"/>
          <w:szCs w:val="22"/>
        </w:rPr>
        <w:t>.</w:t>
      </w:r>
      <w:r w:rsidR="00D0162B" w:rsidRPr="00C668CF">
        <w:rPr>
          <w:rFonts w:eastAsia="Calibri" w:cs="Arial"/>
          <w:szCs w:val="22"/>
        </w:rPr>
        <w:t>“</w:t>
      </w:r>
    </w:p>
    <w:p w14:paraId="2ECE06D9" w14:textId="1DAD28E6" w:rsidR="009D166B" w:rsidRDefault="009D166B">
      <w:pPr>
        <w:ind w:firstLine="720"/>
        <w:jc w:val="both"/>
        <w:rPr>
          <w:rFonts w:eastAsia="Calibri"/>
          <w:bCs/>
          <w:szCs w:val="24"/>
        </w:rPr>
      </w:pPr>
    </w:p>
    <w:p w14:paraId="7EFDC319" w14:textId="63707FA1" w:rsidR="009D166B" w:rsidRDefault="00731035">
      <w:pPr>
        <w:ind w:firstLine="720"/>
        <w:jc w:val="both"/>
        <w:rPr>
          <w:rFonts w:eastAsia="Calibri"/>
          <w:bCs/>
          <w:szCs w:val="24"/>
        </w:rPr>
      </w:pPr>
      <w:r>
        <w:rPr>
          <w:rFonts w:eastAsia="Calibri"/>
          <w:b/>
          <w:szCs w:val="24"/>
        </w:rPr>
        <w:t>9</w:t>
      </w:r>
      <w:r w:rsidR="00091B93">
        <w:rPr>
          <w:rFonts w:eastAsia="Calibri"/>
          <w:b/>
          <w:szCs w:val="24"/>
        </w:rPr>
        <w:t xml:space="preserve"> </w:t>
      </w:r>
      <w:r w:rsidR="009449B1">
        <w:rPr>
          <w:rFonts w:eastAsia="Calibri"/>
          <w:b/>
          <w:szCs w:val="24"/>
        </w:rPr>
        <w:t>straipsnis. Įstatymo įsigaliojimas</w:t>
      </w:r>
    </w:p>
    <w:p w14:paraId="79B6CBED" w14:textId="1F231676" w:rsidR="009D166B" w:rsidRDefault="009449B1">
      <w:pPr>
        <w:ind w:firstLine="720"/>
        <w:jc w:val="both"/>
        <w:rPr>
          <w:rFonts w:eastAsia="Calibri"/>
          <w:bCs/>
          <w:szCs w:val="24"/>
        </w:rPr>
      </w:pPr>
      <w:r>
        <w:rPr>
          <w:rFonts w:eastAsia="Calibri"/>
          <w:bCs/>
          <w:szCs w:val="24"/>
        </w:rPr>
        <w:t xml:space="preserve">Šis įstatymas įsigalioja 2021 m. </w:t>
      </w:r>
      <w:r w:rsidR="00D0162B">
        <w:rPr>
          <w:rFonts w:eastAsia="Calibri"/>
          <w:bCs/>
          <w:szCs w:val="24"/>
        </w:rPr>
        <w:t>lapkričio</w:t>
      </w:r>
      <w:r>
        <w:rPr>
          <w:rFonts w:eastAsia="Calibri"/>
          <w:bCs/>
          <w:szCs w:val="24"/>
        </w:rPr>
        <w:t xml:space="preserve"> </w:t>
      </w:r>
      <w:r w:rsidR="00D0162B">
        <w:rPr>
          <w:rFonts w:eastAsia="Calibri"/>
          <w:bCs/>
          <w:szCs w:val="24"/>
        </w:rPr>
        <w:t>1</w:t>
      </w:r>
      <w:r>
        <w:rPr>
          <w:rFonts w:eastAsia="Calibri"/>
          <w:bCs/>
          <w:szCs w:val="24"/>
        </w:rPr>
        <w:t xml:space="preserve"> d.</w:t>
      </w:r>
    </w:p>
    <w:p w14:paraId="117DC0DE" w14:textId="77777777" w:rsidR="009D166B" w:rsidRDefault="009D166B">
      <w:pPr>
        <w:ind w:firstLine="720"/>
        <w:jc w:val="both"/>
        <w:rPr>
          <w:rFonts w:eastAsia="Calibri"/>
          <w:bCs/>
          <w:szCs w:val="24"/>
        </w:rPr>
      </w:pPr>
    </w:p>
    <w:p w14:paraId="63147B68" w14:textId="77777777" w:rsidR="009D166B" w:rsidRDefault="009D166B">
      <w:pPr>
        <w:ind w:firstLine="709"/>
        <w:jc w:val="both"/>
        <w:rPr>
          <w:rFonts w:ascii="Arial" w:hAnsi="Arial" w:cs="Arial"/>
          <w:sz w:val="20"/>
          <w:szCs w:val="24"/>
          <w:lang w:eastAsia="lt-LT"/>
        </w:rPr>
      </w:pPr>
    </w:p>
    <w:p w14:paraId="52598BBA" w14:textId="77777777" w:rsidR="009D166B" w:rsidRDefault="009449B1">
      <w:pPr>
        <w:ind w:firstLine="709"/>
        <w:rPr>
          <w:rFonts w:eastAsia="Calibri"/>
          <w:i/>
          <w:szCs w:val="24"/>
        </w:rPr>
      </w:pPr>
      <w:r>
        <w:rPr>
          <w:rFonts w:eastAsia="Calibri"/>
          <w:i/>
          <w:szCs w:val="24"/>
        </w:rPr>
        <w:t>Skelbiu šį Lietuvos Respublikos Seimo priimtą įstatymą.</w:t>
      </w:r>
    </w:p>
    <w:p w14:paraId="50522F1E" w14:textId="77777777" w:rsidR="009D166B" w:rsidRDefault="009D166B">
      <w:pPr>
        <w:ind w:firstLine="771"/>
        <w:rPr>
          <w:rFonts w:eastAsia="Calibri"/>
          <w:i/>
          <w:szCs w:val="24"/>
        </w:rPr>
      </w:pPr>
    </w:p>
    <w:p w14:paraId="7BE675D9" w14:textId="77777777" w:rsidR="009D166B" w:rsidRDefault="009449B1">
      <w:pPr>
        <w:rPr>
          <w:rFonts w:eastAsia="Calibri"/>
          <w:szCs w:val="24"/>
        </w:rPr>
      </w:pPr>
      <w:r>
        <w:rPr>
          <w:rFonts w:eastAsia="Calibri"/>
          <w:szCs w:val="24"/>
        </w:rPr>
        <w:t>Respublikos Prezidentas</w:t>
      </w:r>
    </w:p>
    <w:p w14:paraId="534411DF" w14:textId="77777777" w:rsidR="009D166B" w:rsidRDefault="009D166B">
      <w:pPr>
        <w:ind w:firstLine="709"/>
        <w:rPr>
          <w:rFonts w:eastAsia="Calibri"/>
          <w:szCs w:val="24"/>
        </w:rPr>
      </w:pPr>
    </w:p>
    <w:p w14:paraId="71419443" w14:textId="77777777" w:rsidR="009D166B" w:rsidRDefault="009D166B"/>
    <w:sectPr w:rsidR="009D166B" w:rsidSect="00CC5BA8">
      <w:headerReference w:type="even" r:id="rId12"/>
      <w:headerReference w:type="default" r:id="rId13"/>
      <w:footerReference w:type="even" r:id="rId14"/>
      <w:footerReference w:type="default" r:id="rId15"/>
      <w:headerReference w:type="first" r:id="rId16"/>
      <w:footerReference w:type="first" r:id="rId17"/>
      <w:pgSz w:w="11907" w:h="16839"/>
      <w:pgMar w:top="1134" w:right="567" w:bottom="993" w:left="1701"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D289AF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6C85C" w16cex:dateUtc="2021-04-30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289AF4" w16cid:durableId="2436C85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74C13A" w14:textId="77777777" w:rsidR="002A2BA7" w:rsidRDefault="002A2BA7" w:rsidP="009E7C85">
      <w:r>
        <w:separator/>
      </w:r>
    </w:p>
  </w:endnote>
  <w:endnote w:type="continuationSeparator" w:id="0">
    <w:p w14:paraId="4C561163" w14:textId="77777777" w:rsidR="002A2BA7" w:rsidRDefault="002A2BA7" w:rsidP="009E7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2AAD0" w14:textId="77777777" w:rsidR="009E7C85" w:rsidRDefault="009E7C85">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FF5D8" w14:textId="77777777" w:rsidR="009E7C85" w:rsidRDefault="009E7C85">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E2744" w14:textId="77777777" w:rsidR="009E7C85" w:rsidRDefault="009E7C8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E4A76F" w14:textId="77777777" w:rsidR="002A2BA7" w:rsidRDefault="002A2BA7" w:rsidP="009E7C85">
      <w:r>
        <w:separator/>
      </w:r>
    </w:p>
  </w:footnote>
  <w:footnote w:type="continuationSeparator" w:id="0">
    <w:p w14:paraId="518FCAB9" w14:textId="77777777" w:rsidR="002A2BA7" w:rsidRDefault="002A2BA7" w:rsidP="009E7C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909EA9" w14:textId="77777777" w:rsidR="009E7C85" w:rsidRDefault="009E7C8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910831"/>
      <w:docPartObj>
        <w:docPartGallery w:val="Page Numbers (Top of Page)"/>
        <w:docPartUnique/>
      </w:docPartObj>
    </w:sdtPr>
    <w:sdtEndPr/>
    <w:sdtContent>
      <w:p w14:paraId="0EBC7645" w14:textId="1C6F158B" w:rsidR="009E7C85" w:rsidRDefault="009E7C85">
        <w:pPr>
          <w:pStyle w:val="Antrats"/>
          <w:jc w:val="center"/>
        </w:pPr>
        <w:r>
          <w:fldChar w:fldCharType="begin"/>
        </w:r>
        <w:r>
          <w:instrText>PAGE   \* MERGEFORMAT</w:instrText>
        </w:r>
        <w:r>
          <w:fldChar w:fldCharType="separate"/>
        </w:r>
        <w:r w:rsidR="00BE22A2">
          <w:rPr>
            <w:noProof/>
          </w:rPr>
          <w:t>2</w:t>
        </w:r>
        <w:r>
          <w:fldChar w:fldCharType="end"/>
        </w:r>
      </w:p>
    </w:sdtContent>
  </w:sdt>
  <w:p w14:paraId="1C6F1878" w14:textId="77777777" w:rsidR="009E7C85" w:rsidRDefault="009E7C85">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7F7B7D" w14:textId="77777777" w:rsidR="009E7C85" w:rsidRDefault="009E7C85">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8364BB"/>
    <w:multiLevelType w:val="hybridMultilevel"/>
    <w:tmpl w:val="FDC05156"/>
    <w:lvl w:ilvl="0" w:tplc="010A2E9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rius Palikša">
    <w15:presenceInfo w15:providerId="AD" w15:userId="S::MPaliksa@lb.lt::e5502bdb-aa6b-4116-b1c5-ed42ad0da1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85"/>
    <w:rsid w:val="0006188A"/>
    <w:rsid w:val="00091B93"/>
    <w:rsid w:val="000E139D"/>
    <w:rsid w:val="00121D73"/>
    <w:rsid w:val="00182814"/>
    <w:rsid w:val="001D6609"/>
    <w:rsid w:val="00244B1F"/>
    <w:rsid w:val="00245D3C"/>
    <w:rsid w:val="00294DED"/>
    <w:rsid w:val="002A2BA7"/>
    <w:rsid w:val="002D1E40"/>
    <w:rsid w:val="00347A7B"/>
    <w:rsid w:val="00364204"/>
    <w:rsid w:val="003C6CF1"/>
    <w:rsid w:val="00424ABF"/>
    <w:rsid w:val="00473225"/>
    <w:rsid w:val="00474FFF"/>
    <w:rsid w:val="004A2621"/>
    <w:rsid w:val="004B706E"/>
    <w:rsid w:val="005B2C02"/>
    <w:rsid w:val="005D75D3"/>
    <w:rsid w:val="005F37B9"/>
    <w:rsid w:val="005F4E85"/>
    <w:rsid w:val="00641620"/>
    <w:rsid w:val="00664EBC"/>
    <w:rsid w:val="00707E35"/>
    <w:rsid w:val="00711531"/>
    <w:rsid w:val="00731035"/>
    <w:rsid w:val="00774242"/>
    <w:rsid w:val="007F1FDF"/>
    <w:rsid w:val="008B66EA"/>
    <w:rsid w:val="008C10B0"/>
    <w:rsid w:val="009449B1"/>
    <w:rsid w:val="009A79E3"/>
    <w:rsid w:val="009D166B"/>
    <w:rsid w:val="009E7A08"/>
    <w:rsid w:val="009E7C85"/>
    <w:rsid w:val="00A25751"/>
    <w:rsid w:val="00B7589B"/>
    <w:rsid w:val="00B80C2B"/>
    <w:rsid w:val="00BC30C1"/>
    <w:rsid w:val="00BE22A2"/>
    <w:rsid w:val="00C875B6"/>
    <w:rsid w:val="00CC5BA8"/>
    <w:rsid w:val="00CE01F3"/>
    <w:rsid w:val="00D0162B"/>
    <w:rsid w:val="00D22E7E"/>
    <w:rsid w:val="00DD402A"/>
    <w:rsid w:val="00E8517D"/>
    <w:rsid w:val="00E931B8"/>
    <w:rsid w:val="00EB1545"/>
    <w:rsid w:val="00ED18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9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449B1"/>
    <w:rPr>
      <w:sz w:val="16"/>
      <w:szCs w:val="16"/>
    </w:rPr>
  </w:style>
  <w:style w:type="paragraph" w:styleId="Komentarotekstas">
    <w:name w:val="annotation text"/>
    <w:basedOn w:val="prastasis"/>
    <w:link w:val="KomentarotekstasDiagrama"/>
    <w:semiHidden/>
    <w:unhideWhenUsed/>
    <w:rsid w:val="009449B1"/>
    <w:rPr>
      <w:sz w:val="20"/>
    </w:rPr>
  </w:style>
  <w:style w:type="character" w:customStyle="1" w:styleId="KomentarotekstasDiagrama">
    <w:name w:val="Komentaro tekstas Diagrama"/>
    <w:basedOn w:val="Numatytasispastraiposriftas"/>
    <w:link w:val="Komentarotekstas"/>
    <w:semiHidden/>
    <w:rsid w:val="009449B1"/>
    <w:rPr>
      <w:sz w:val="20"/>
    </w:rPr>
  </w:style>
  <w:style w:type="paragraph" w:styleId="Komentarotema">
    <w:name w:val="annotation subject"/>
    <w:basedOn w:val="Komentarotekstas"/>
    <w:next w:val="Komentarotekstas"/>
    <w:link w:val="KomentarotemaDiagrama"/>
    <w:semiHidden/>
    <w:unhideWhenUsed/>
    <w:rsid w:val="009449B1"/>
    <w:rPr>
      <w:b/>
      <w:bCs/>
    </w:rPr>
  </w:style>
  <w:style w:type="character" w:customStyle="1" w:styleId="KomentarotemaDiagrama">
    <w:name w:val="Komentaro tema Diagrama"/>
    <w:basedOn w:val="KomentarotekstasDiagrama"/>
    <w:link w:val="Komentarotema"/>
    <w:semiHidden/>
    <w:rsid w:val="009449B1"/>
    <w:rPr>
      <w:b/>
      <w:bCs/>
      <w:sz w:val="20"/>
    </w:rPr>
  </w:style>
  <w:style w:type="paragraph" w:styleId="Debesliotekstas">
    <w:name w:val="Balloon Text"/>
    <w:basedOn w:val="prastasis"/>
    <w:link w:val="DebesliotekstasDiagrama"/>
    <w:rsid w:val="009449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449B1"/>
    <w:rPr>
      <w:rFonts w:ascii="Segoe UI" w:hAnsi="Segoe UI" w:cs="Segoe UI"/>
      <w:sz w:val="18"/>
      <w:szCs w:val="18"/>
    </w:rPr>
  </w:style>
  <w:style w:type="character" w:styleId="Hipersaitas">
    <w:name w:val="Hyperlink"/>
    <w:basedOn w:val="Numatytasispastraiposriftas"/>
    <w:unhideWhenUsed/>
    <w:rsid w:val="008B66EA"/>
    <w:rPr>
      <w:color w:val="0563C1" w:themeColor="hyperlink"/>
      <w:u w:val="single"/>
    </w:rPr>
  </w:style>
  <w:style w:type="paragraph" w:styleId="Sraopastraipa">
    <w:name w:val="List Paragraph"/>
    <w:basedOn w:val="prastasis"/>
    <w:rsid w:val="00B80C2B"/>
    <w:pPr>
      <w:ind w:left="720"/>
      <w:contextualSpacing/>
    </w:pPr>
  </w:style>
  <w:style w:type="paragraph" w:styleId="Antrats">
    <w:name w:val="header"/>
    <w:basedOn w:val="prastasis"/>
    <w:link w:val="AntratsDiagrama"/>
    <w:uiPriority w:val="99"/>
    <w:unhideWhenUsed/>
    <w:rsid w:val="009E7C85"/>
    <w:pPr>
      <w:tabs>
        <w:tab w:val="center" w:pos="4986"/>
        <w:tab w:val="right" w:pos="9972"/>
      </w:tabs>
    </w:pPr>
  </w:style>
  <w:style w:type="character" w:customStyle="1" w:styleId="AntratsDiagrama">
    <w:name w:val="Antraštės Diagrama"/>
    <w:basedOn w:val="Numatytasispastraiposriftas"/>
    <w:link w:val="Antrats"/>
    <w:uiPriority w:val="99"/>
    <w:rsid w:val="009E7C85"/>
  </w:style>
  <w:style w:type="paragraph" w:styleId="Porat">
    <w:name w:val="footer"/>
    <w:basedOn w:val="prastasis"/>
    <w:link w:val="PoratDiagrama"/>
    <w:unhideWhenUsed/>
    <w:rsid w:val="009E7C85"/>
    <w:pPr>
      <w:tabs>
        <w:tab w:val="center" w:pos="4986"/>
        <w:tab w:val="right" w:pos="9972"/>
      </w:tabs>
    </w:pPr>
  </w:style>
  <w:style w:type="character" w:customStyle="1" w:styleId="PoratDiagrama">
    <w:name w:val="Poraštė Diagrama"/>
    <w:basedOn w:val="Numatytasispastraiposriftas"/>
    <w:link w:val="Porat"/>
    <w:rsid w:val="009E7C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Strong" w:semiHidden="0" w:unhideWhenUsed="0"/>
    <w:lsdException w:name="Emphasis" w:semiHidden="0" w:unhideWhenUsed="0"/>
    <w:lsdException w:name="Balloon Text"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9449B1"/>
    <w:rPr>
      <w:sz w:val="16"/>
      <w:szCs w:val="16"/>
    </w:rPr>
  </w:style>
  <w:style w:type="paragraph" w:styleId="Komentarotekstas">
    <w:name w:val="annotation text"/>
    <w:basedOn w:val="prastasis"/>
    <w:link w:val="KomentarotekstasDiagrama"/>
    <w:semiHidden/>
    <w:unhideWhenUsed/>
    <w:rsid w:val="009449B1"/>
    <w:rPr>
      <w:sz w:val="20"/>
    </w:rPr>
  </w:style>
  <w:style w:type="character" w:customStyle="1" w:styleId="KomentarotekstasDiagrama">
    <w:name w:val="Komentaro tekstas Diagrama"/>
    <w:basedOn w:val="Numatytasispastraiposriftas"/>
    <w:link w:val="Komentarotekstas"/>
    <w:semiHidden/>
    <w:rsid w:val="009449B1"/>
    <w:rPr>
      <w:sz w:val="20"/>
    </w:rPr>
  </w:style>
  <w:style w:type="paragraph" w:styleId="Komentarotema">
    <w:name w:val="annotation subject"/>
    <w:basedOn w:val="Komentarotekstas"/>
    <w:next w:val="Komentarotekstas"/>
    <w:link w:val="KomentarotemaDiagrama"/>
    <w:semiHidden/>
    <w:unhideWhenUsed/>
    <w:rsid w:val="009449B1"/>
    <w:rPr>
      <w:b/>
      <w:bCs/>
    </w:rPr>
  </w:style>
  <w:style w:type="character" w:customStyle="1" w:styleId="KomentarotemaDiagrama">
    <w:name w:val="Komentaro tema Diagrama"/>
    <w:basedOn w:val="KomentarotekstasDiagrama"/>
    <w:link w:val="Komentarotema"/>
    <w:semiHidden/>
    <w:rsid w:val="009449B1"/>
    <w:rPr>
      <w:b/>
      <w:bCs/>
      <w:sz w:val="20"/>
    </w:rPr>
  </w:style>
  <w:style w:type="paragraph" w:styleId="Debesliotekstas">
    <w:name w:val="Balloon Text"/>
    <w:basedOn w:val="prastasis"/>
    <w:link w:val="DebesliotekstasDiagrama"/>
    <w:rsid w:val="009449B1"/>
    <w:rPr>
      <w:rFonts w:ascii="Segoe UI" w:hAnsi="Segoe UI" w:cs="Segoe UI"/>
      <w:sz w:val="18"/>
      <w:szCs w:val="18"/>
    </w:rPr>
  </w:style>
  <w:style w:type="character" w:customStyle="1" w:styleId="DebesliotekstasDiagrama">
    <w:name w:val="Debesėlio tekstas Diagrama"/>
    <w:basedOn w:val="Numatytasispastraiposriftas"/>
    <w:link w:val="Debesliotekstas"/>
    <w:rsid w:val="009449B1"/>
    <w:rPr>
      <w:rFonts w:ascii="Segoe UI" w:hAnsi="Segoe UI" w:cs="Segoe UI"/>
      <w:sz w:val="18"/>
      <w:szCs w:val="18"/>
    </w:rPr>
  </w:style>
  <w:style w:type="character" w:styleId="Hipersaitas">
    <w:name w:val="Hyperlink"/>
    <w:basedOn w:val="Numatytasispastraiposriftas"/>
    <w:unhideWhenUsed/>
    <w:rsid w:val="008B66EA"/>
    <w:rPr>
      <w:color w:val="0563C1" w:themeColor="hyperlink"/>
      <w:u w:val="single"/>
    </w:rPr>
  </w:style>
  <w:style w:type="paragraph" w:styleId="Sraopastraipa">
    <w:name w:val="List Paragraph"/>
    <w:basedOn w:val="prastasis"/>
    <w:rsid w:val="00B80C2B"/>
    <w:pPr>
      <w:ind w:left="720"/>
      <w:contextualSpacing/>
    </w:pPr>
  </w:style>
  <w:style w:type="paragraph" w:styleId="Antrats">
    <w:name w:val="header"/>
    <w:basedOn w:val="prastasis"/>
    <w:link w:val="AntratsDiagrama"/>
    <w:uiPriority w:val="99"/>
    <w:unhideWhenUsed/>
    <w:rsid w:val="009E7C85"/>
    <w:pPr>
      <w:tabs>
        <w:tab w:val="center" w:pos="4986"/>
        <w:tab w:val="right" w:pos="9972"/>
      </w:tabs>
    </w:pPr>
  </w:style>
  <w:style w:type="character" w:customStyle="1" w:styleId="AntratsDiagrama">
    <w:name w:val="Antraštės Diagrama"/>
    <w:basedOn w:val="Numatytasispastraiposriftas"/>
    <w:link w:val="Antrats"/>
    <w:uiPriority w:val="99"/>
    <w:rsid w:val="009E7C85"/>
  </w:style>
  <w:style w:type="paragraph" w:styleId="Porat">
    <w:name w:val="footer"/>
    <w:basedOn w:val="prastasis"/>
    <w:link w:val="PoratDiagrama"/>
    <w:unhideWhenUsed/>
    <w:rsid w:val="009E7C85"/>
    <w:pPr>
      <w:tabs>
        <w:tab w:val="center" w:pos="4986"/>
        <w:tab w:val="right" w:pos="9972"/>
      </w:tabs>
    </w:pPr>
  </w:style>
  <w:style w:type="character" w:customStyle="1" w:styleId="PoratDiagrama">
    <w:name w:val="Poraštė Diagrama"/>
    <w:basedOn w:val="Numatytasispastraiposriftas"/>
    <w:link w:val="Porat"/>
    <w:rsid w:val="009E7C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97577">
      <w:bodyDiv w:val="1"/>
      <w:marLeft w:val="0"/>
      <w:marRight w:val="0"/>
      <w:marTop w:val="0"/>
      <w:marBottom w:val="0"/>
      <w:divBdr>
        <w:top w:val="none" w:sz="0" w:space="0" w:color="auto"/>
        <w:left w:val="none" w:sz="0" w:space="0" w:color="auto"/>
        <w:bottom w:val="none" w:sz="0" w:space="0" w:color="auto"/>
        <w:right w:val="none" w:sz="0" w:space="0" w:color="auto"/>
      </w:divBdr>
    </w:div>
    <w:div w:id="94644046">
      <w:bodyDiv w:val="1"/>
      <w:marLeft w:val="0"/>
      <w:marRight w:val="0"/>
      <w:marTop w:val="0"/>
      <w:marBottom w:val="0"/>
      <w:divBdr>
        <w:top w:val="none" w:sz="0" w:space="0" w:color="auto"/>
        <w:left w:val="none" w:sz="0" w:space="0" w:color="auto"/>
        <w:bottom w:val="none" w:sz="0" w:space="0" w:color="auto"/>
        <w:right w:val="none" w:sz="0" w:space="0" w:color="auto"/>
      </w:divBdr>
    </w:div>
    <w:div w:id="130679546">
      <w:bodyDiv w:val="1"/>
      <w:marLeft w:val="0"/>
      <w:marRight w:val="0"/>
      <w:marTop w:val="0"/>
      <w:marBottom w:val="0"/>
      <w:divBdr>
        <w:top w:val="none" w:sz="0" w:space="0" w:color="auto"/>
        <w:left w:val="none" w:sz="0" w:space="0" w:color="auto"/>
        <w:bottom w:val="none" w:sz="0" w:space="0" w:color="auto"/>
        <w:right w:val="none" w:sz="0" w:space="0" w:color="auto"/>
      </w:divBdr>
    </w:div>
    <w:div w:id="159203040">
      <w:bodyDiv w:val="1"/>
      <w:marLeft w:val="0"/>
      <w:marRight w:val="0"/>
      <w:marTop w:val="0"/>
      <w:marBottom w:val="0"/>
      <w:divBdr>
        <w:top w:val="none" w:sz="0" w:space="0" w:color="auto"/>
        <w:left w:val="none" w:sz="0" w:space="0" w:color="auto"/>
        <w:bottom w:val="none" w:sz="0" w:space="0" w:color="auto"/>
        <w:right w:val="none" w:sz="0" w:space="0" w:color="auto"/>
      </w:divBdr>
    </w:div>
    <w:div w:id="163208016">
      <w:bodyDiv w:val="1"/>
      <w:marLeft w:val="0"/>
      <w:marRight w:val="0"/>
      <w:marTop w:val="0"/>
      <w:marBottom w:val="0"/>
      <w:divBdr>
        <w:top w:val="none" w:sz="0" w:space="0" w:color="auto"/>
        <w:left w:val="none" w:sz="0" w:space="0" w:color="auto"/>
        <w:bottom w:val="none" w:sz="0" w:space="0" w:color="auto"/>
        <w:right w:val="none" w:sz="0" w:space="0" w:color="auto"/>
      </w:divBdr>
    </w:div>
    <w:div w:id="237981900">
      <w:bodyDiv w:val="1"/>
      <w:marLeft w:val="0"/>
      <w:marRight w:val="0"/>
      <w:marTop w:val="0"/>
      <w:marBottom w:val="0"/>
      <w:divBdr>
        <w:top w:val="none" w:sz="0" w:space="0" w:color="auto"/>
        <w:left w:val="none" w:sz="0" w:space="0" w:color="auto"/>
        <w:bottom w:val="none" w:sz="0" w:space="0" w:color="auto"/>
        <w:right w:val="none" w:sz="0" w:space="0" w:color="auto"/>
      </w:divBdr>
    </w:div>
    <w:div w:id="247546855">
      <w:bodyDiv w:val="1"/>
      <w:marLeft w:val="0"/>
      <w:marRight w:val="0"/>
      <w:marTop w:val="0"/>
      <w:marBottom w:val="0"/>
      <w:divBdr>
        <w:top w:val="none" w:sz="0" w:space="0" w:color="auto"/>
        <w:left w:val="none" w:sz="0" w:space="0" w:color="auto"/>
        <w:bottom w:val="none" w:sz="0" w:space="0" w:color="auto"/>
        <w:right w:val="none" w:sz="0" w:space="0" w:color="auto"/>
      </w:divBdr>
    </w:div>
    <w:div w:id="313219423">
      <w:bodyDiv w:val="1"/>
      <w:marLeft w:val="0"/>
      <w:marRight w:val="0"/>
      <w:marTop w:val="0"/>
      <w:marBottom w:val="0"/>
      <w:divBdr>
        <w:top w:val="none" w:sz="0" w:space="0" w:color="auto"/>
        <w:left w:val="none" w:sz="0" w:space="0" w:color="auto"/>
        <w:bottom w:val="none" w:sz="0" w:space="0" w:color="auto"/>
        <w:right w:val="none" w:sz="0" w:space="0" w:color="auto"/>
      </w:divBdr>
    </w:div>
    <w:div w:id="388920256">
      <w:bodyDiv w:val="1"/>
      <w:marLeft w:val="0"/>
      <w:marRight w:val="0"/>
      <w:marTop w:val="0"/>
      <w:marBottom w:val="0"/>
      <w:divBdr>
        <w:top w:val="none" w:sz="0" w:space="0" w:color="auto"/>
        <w:left w:val="none" w:sz="0" w:space="0" w:color="auto"/>
        <w:bottom w:val="none" w:sz="0" w:space="0" w:color="auto"/>
        <w:right w:val="none" w:sz="0" w:space="0" w:color="auto"/>
      </w:divBdr>
    </w:div>
    <w:div w:id="392701253">
      <w:bodyDiv w:val="1"/>
      <w:marLeft w:val="0"/>
      <w:marRight w:val="0"/>
      <w:marTop w:val="0"/>
      <w:marBottom w:val="0"/>
      <w:divBdr>
        <w:top w:val="none" w:sz="0" w:space="0" w:color="auto"/>
        <w:left w:val="none" w:sz="0" w:space="0" w:color="auto"/>
        <w:bottom w:val="none" w:sz="0" w:space="0" w:color="auto"/>
        <w:right w:val="none" w:sz="0" w:space="0" w:color="auto"/>
      </w:divBdr>
    </w:div>
    <w:div w:id="415710522">
      <w:bodyDiv w:val="1"/>
      <w:marLeft w:val="0"/>
      <w:marRight w:val="0"/>
      <w:marTop w:val="0"/>
      <w:marBottom w:val="0"/>
      <w:divBdr>
        <w:top w:val="none" w:sz="0" w:space="0" w:color="auto"/>
        <w:left w:val="none" w:sz="0" w:space="0" w:color="auto"/>
        <w:bottom w:val="none" w:sz="0" w:space="0" w:color="auto"/>
        <w:right w:val="none" w:sz="0" w:space="0" w:color="auto"/>
      </w:divBdr>
    </w:div>
    <w:div w:id="452793233">
      <w:bodyDiv w:val="1"/>
      <w:marLeft w:val="0"/>
      <w:marRight w:val="0"/>
      <w:marTop w:val="0"/>
      <w:marBottom w:val="0"/>
      <w:divBdr>
        <w:top w:val="none" w:sz="0" w:space="0" w:color="auto"/>
        <w:left w:val="none" w:sz="0" w:space="0" w:color="auto"/>
        <w:bottom w:val="none" w:sz="0" w:space="0" w:color="auto"/>
        <w:right w:val="none" w:sz="0" w:space="0" w:color="auto"/>
      </w:divBdr>
    </w:div>
    <w:div w:id="458498421">
      <w:bodyDiv w:val="1"/>
      <w:marLeft w:val="0"/>
      <w:marRight w:val="0"/>
      <w:marTop w:val="0"/>
      <w:marBottom w:val="0"/>
      <w:divBdr>
        <w:top w:val="none" w:sz="0" w:space="0" w:color="auto"/>
        <w:left w:val="none" w:sz="0" w:space="0" w:color="auto"/>
        <w:bottom w:val="none" w:sz="0" w:space="0" w:color="auto"/>
        <w:right w:val="none" w:sz="0" w:space="0" w:color="auto"/>
      </w:divBdr>
    </w:div>
    <w:div w:id="464200591">
      <w:bodyDiv w:val="1"/>
      <w:marLeft w:val="0"/>
      <w:marRight w:val="0"/>
      <w:marTop w:val="0"/>
      <w:marBottom w:val="0"/>
      <w:divBdr>
        <w:top w:val="none" w:sz="0" w:space="0" w:color="auto"/>
        <w:left w:val="none" w:sz="0" w:space="0" w:color="auto"/>
        <w:bottom w:val="none" w:sz="0" w:space="0" w:color="auto"/>
        <w:right w:val="none" w:sz="0" w:space="0" w:color="auto"/>
      </w:divBdr>
    </w:div>
    <w:div w:id="493568197">
      <w:bodyDiv w:val="1"/>
      <w:marLeft w:val="0"/>
      <w:marRight w:val="0"/>
      <w:marTop w:val="0"/>
      <w:marBottom w:val="0"/>
      <w:divBdr>
        <w:top w:val="none" w:sz="0" w:space="0" w:color="auto"/>
        <w:left w:val="none" w:sz="0" w:space="0" w:color="auto"/>
        <w:bottom w:val="none" w:sz="0" w:space="0" w:color="auto"/>
        <w:right w:val="none" w:sz="0" w:space="0" w:color="auto"/>
      </w:divBdr>
    </w:div>
    <w:div w:id="504368601">
      <w:bodyDiv w:val="1"/>
      <w:marLeft w:val="0"/>
      <w:marRight w:val="0"/>
      <w:marTop w:val="0"/>
      <w:marBottom w:val="0"/>
      <w:divBdr>
        <w:top w:val="none" w:sz="0" w:space="0" w:color="auto"/>
        <w:left w:val="none" w:sz="0" w:space="0" w:color="auto"/>
        <w:bottom w:val="none" w:sz="0" w:space="0" w:color="auto"/>
        <w:right w:val="none" w:sz="0" w:space="0" w:color="auto"/>
      </w:divBdr>
    </w:div>
    <w:div w:id="554049692">
      <w:bodyDiv w:val="1"/>
      <w:marLeft w:val="0"/>
      <w:marRight w:val="0"/>
      <w:marTop w:val="0"/>
      <w:marBottom w:val="0"/>
      <w:divBdr>
        <w:top w:val="none" w:sz="0" w:space="0" w:color="auto"/>
        <w:left w:val="none" w:sz="0" w:space="0" w:color="auto"/>
        <w:bottom w:val="none" w:sz="0" w:space="0" w:color="auto"/>
        <w:right w:val="none" w:sz="0" w:space="0" w:color="auto"/>
      </w:divBdr>
    </w:div>
    <w:div w:id="579141703">
      <w:bodyDiv w:val="1"/>
      <w:marLeft w:val="0"/>
      <w:marRight w:val="0"/>
      <w:marTop w:val="0"/>
      <w:marBottom w:val="0"/>
      <w:divBdr>
        <w:top w:val="none" w:sz="0" w:space="0" w:color="auto"/>
        <w:left w:val="none" w:sz="0" w:space="0" w:color="auto"/>
        <w:bottom w:val="none" w:sz="0" w:space="0" w:color="auto"/>
        <w:right w:val="none" w:sz="0" w:space="0" w:color="auto"/>
      </w:divBdr>
    </w:div>
    <w:div w:id="619268522">
      <w:bodyDiv w:val="1"/>
      <w:marLeft w:val="0"/>
      <w:marRight w:val="0"/>
      <w:marTop w:val="0"/>
      <w:marBottom w:val="0"/>
      <w:divBdr>
        <w:top w:val="none" w:sz="0" w:space="0" w:color="auto"/>
        <w:left w:val="none" w:sz="0" w:space="0" w:color="auto"/>
        <w:bottom w:val="none" w:sz="0" w:space="0" w:color="auto"/>
        <w:right w:val="none" w:sz="0" w:space="0" w:color="auto"/>
      </w:divBdr>
    </w:div>
    <w:div w:id="651568913">
      <w:bodyDiv w:val="1"/>
      <w:marLeft w:val="0"/>
      <w:marRight w:val="0"/>
      <w:marTop w:val="0"/>
      <w:marBottom w:val="0"/>
      <w:divBdr>
        <w:top w:val="none" w:sz="0" w:space="0" w:color="auto"/>
        <w:left w:val="none" w:sz="0" w:space="0" w:color="auto"/>
        <w:bottom w:val="none" w:sz="0" w:space="0" w:color="auto"/>
        <w:right w:val="none" w:sz="0" w:space="0" w:color="auto"/>
      </w:divBdr>
    </w:div>
    <w:div w:id="749081282">
      <w:bodyDiv w:val="1"/>
      <w:marLeft w:val="0"/>
      <w:marRight w:val="0"/>
      <w:marTop w:val="0"/>
      <w:marBottom w:val="0"/>
      <w:divBdr>
        <w:top w:val="none" w:sz="0" w:space="0" w:color="auto"/>
        <w:left w:val="none" w:sz="0" w:space="0" w:color="auto"/>
        <w:bottom w:val="none" w:sz="0" w:space="0" w:color="auto"/>
        <w:right w:val="none" w:sz="0" w:space="0" w:color="auto"/>
      </w:divBdr>
    </w:div>
    <w:div w:id="772281985">
      <w:bodyDiv w:val="1"/>
      <w:marLeft w:val="0"/>
      <w:marRight w:val="0"/>
      <w:marTop w:val="0"/>
      <w:marBottom w:val="0"/>
      <w:divBdr>
        <w:top w:val="none" w:sz="0" w:space="0" w:color="auto"/>
        <w:left w:val="none" w:sz="0" w:space="0" w:color="auto"/>
        <w:bottom w:val="none" w:sz="0" w:space="0" w:color="auto"/>
        <w:right w:val="none" w:sz="0" w:space="0" w:color="auto"/>
      </w:divBdr>
    </w:div>
    <w:div w:id="792090179">
      <w:bodyDiv w:val="1"/>
      <w:marLeft w:val="0"/>
      <w:marRight w:val="0"/>
      <w:marTop w:val="0"/>
      <w:marBottom w:val="0"/>
      <w:divBdr>
        <w:top w:val="none" w:sz="0" w:space="0" w:color="auto"/>
        <w:left w:val="none" w:sz="0" w:space="0" w:color="auto"/>
        <w:bottom w:val="none" w:sz="0" w:space="0" w:color="auto"/>
        <w:right w:val="none" w:sz="0" w:space="0" w:color="auto"/>
      </w:divBdr>
    </w:div>
    <w:div w:id="893271836">
      <w:bodyDiv w:val="1"/>
      <w:marLeft w:val="0"/>
      <w:marRight w:val="0"/>
      <w:marTop w:val="0"/>
      <w:marBottom w:val="0"/>
      <w:divBdr>
        <w:top w:val="none" w:sz="0" w:space="0" w:color="auto"/>
        <w:left w:val="none" w:sz="0" w:space="0" w:color="auto"/>
        <w:bottom w:val="none" w:sz="0" w:space="0" w:color="auto"/>
        <w:right w:val="none" w:sz="0" w:space="0" w:color="auto"/>
      </w:divBdr>
    </w:div>
    <w:div w:id="934555359">
      <w:bodyDiv w:val="1"/>
      <w:marLeft w:val="0"/>
      <w:marRight w:val="0"/>
      <w:marTop w:val="0"/>
      <w:marBottom w:val="0"/>
      <w:divBdr>
        <w:top w:val="none" w:sz="0" w:space="0" w:color="auto"/>
        <w:left w:val="none" w:sz="0" w:space="0" w:color="auto"/>
        <w:bottom w:val="none" w:sz="0" w:space="0" w:color="auto"/>
        <w:right w:val="none" w:sz="0" w:space="0" w:color="auto"/>
      </w:divBdr>
    </w:div>
    <w:div w:id="969820930">
      <w:bodyDiv w:val="1"/>
      <w:marLeft w:val="0"/>
      <w:marRight w:val="0"/>
      <w:marTop w:val="0"/>
      <w:marBottom w:val="0"/>
      <w:divBdr>
        <w:top w:val="none" w:sz="0" w:space="0" w:color="auto"/>
        <w:left w:val="none" w:sz="0" w:space="0" w:color="auto"/>
        <w:bottom w:val="none" w:sz="0" w:space="0" w:color="auto"/>
        <w:right w:val="none" w:sz="0" w:space="0" w:color="auto"/>
      </w:divBdr>
    </w:div>
    <w:div w:id="983772993">
      <w:bodyDiv w:val="1"/>
      <w:marLeft w:val="0"/>
      <w:marRight w:val="0"/>
      <w:marTop w:val="0"/>
      <w:marBottom w:val="0"/>
      <w:divBdr>
        <w:top w:val="none" w:sz="0" w:space="0" w:color="auto"/>
        <w:left w:val="none" w:sz="0" w:space="0" w:color="auto"/>
        <w:bottom w:val="none" w:sz="0" w:space="0" w:color="auto"/>
        <w:right w:val="none" w:sz="0" w:space="0" w:color="auto"/>
      </w:divBdr>
    </w:div>
    <w:div w:id="998457041">
      <w:bodyDiv w:val="1"/>
      <w:marLeft w:val="0"/>
      <w:marRight w:val="0"/>
      <w:marTop w:val="0"/>
      <w:marBottom w:val="0"/>
      <w:divBdr>
        <w:top w:val="none" w:sz="0" w:space="0" w:color="auto"/>
        <w:left w:val="none" w:sz="0" w:space="0" w:color="auto"/>
        <w:bottom w:val="none" w:sz="0" w:space="0" w:color="auto"/>
        <w:right w:val="none" w:sz="0" w:space="0" w:color="auto"/>
      </w:divBdr>
    </w:div>
    <w:div w:id="1077359354">
      <w:bodyDiv w:val="1"/>
      <w:marLeft w:val="0"/>
      <w:marRight w:val="0"/>
      <w:marTop w:val="0"/>
      <w:marBottom w:val="0"/>
      <w:divBdr>
        <w:top w:val="none" w:sz="0" w:space="0" w:color="auto"/>
        <w:left w:val="none" w:sz="0" w:space="0" w:color="auto"/>
        <w:bottom w:val="none" w:sz="0" w:space="0" w:color="auto"/>
        <w:right w:val="none" w:sz="0" w:space="0" w:color="auto"/>
      </w:divBdr>
    </w:div>
    <w:div w:id="1231190479">
      <w:bodyDiv w:val="1"/>
      <w:marLeft w:val="0"/>
      <w:marRight w:val="0"/>
      <w:marTop w:val="0"/>
      <w:marBottom w:val="0"/>
      <w:divBdr>
        <w:top w:val="none" w:sz="0" w:space="0" w:color="auto"/>
        <w:left w:val="none" w:sz="0" w:space="0" w:color="auto"/>
        <w:bottom w:val="none" w:sz="0" w:space="0" w:color="auto"/>
        <w:right w:val="none" w:sz="0" w:space="0" w:color="auto"/>
      </w:divBdr>
    </w:div>
    <w:div w:id="1272976581">
      <w:bodyDiv w:val="1"/>
      <w:marLeft w:val="0"/>
      <w:marRight w:val="0"/>
      <w:marTop w:val="0"/>
      <w:marBottom w:val="0"/>
      <w:divBdr>
        <w:top w:val="none" w:sz="0" w:space="0" w:color="auto"/>
        <w:left w:val="none" w:sz="0" w:space="0" w:color="auto"/>
        <w:bottom w:val="none" w:sz="0" w:space="0" w:color="auto"/>
        <w:right w:val="none" w:sz="0" w:space="0" w:color="auto"/>
      </w:divBdr>
    </w:div>
    <w:div w:id="1286961444">
      <w:bodyDiv w:val="1"/>
      <w:marLeft w:val="0"/>
      <w:marRight w:val="0"/>
      <w:marTop w:val="0"/>
      <w:marBottom w:val="0"/>
      <w:divBdr>
        <w:top w:val="none" w:sz="0" w:space="0" w:color="auto"/>
        <w:left w:val="none" w:sz="0" w:space="0" w:color="auto"/>
        <w:bottom w:val="none" w:sz="0" w:space="0" w:color="auto"/>
        <w:right w:val="none" w:sz="0" w:space="0" w:color="auto"/>
      </w:divBdr>
    </w:div>
    <w:div w:id="1447499758">
      <w:bodyDiv w:val="1"/>
      <w:marLeft w:val="0"/>
      <w:marRight w:val="0"/>
      <w:marTop w:val="0"/>
      <w:marBottom w:val="0"/>
      <w:divBdr>
        <w:top w:val="none" w:sz="0" w:space="0" w:color="auto"/>
        <w:left w:val="none" w:sz="0" w:space="0" w:color="auto"/>
        <w:bottom w:val="none" w:sz="0" w:space="0" w:color="auto"/>
        <w:right w:val="none" w:sz="0" w:space="0" w:color="auto"/>
      </w:divBdr>
    </w:div>
    <w:div w:id="1502234865">
      <w:bodyDiv w:val="1"/>
      <w:marLeft w:val="0"/>
      <w:marRight w:val="0"/>
      <w:marTop w:val="0"/>
      <w:marBottom w:val="0"/>
      <w:divBdr>
        <w:top w:val="none" w:sz="0" w:space="0" w:color="auto"/>
        <w:left w:val="none" w:sz="0" w:space="0" w:color="auto"/>
        <w:bottom w:val="none" w:sz="0" w:space="0" w:color="auto"/>
        <w:right w:val="none" w:sz="0" w:space="0" w:color="auto"/>
      </w:divBdr>
    </w:div>
    <w:div w:id="1538351136">
      <w:bodyDiv w:val="1"/>
      <w:marLeft w:val="0"/>
      <w:marRight w:val="0"/>
      <w:marTop w:val="0"/>
      <w:marBottom w:val="0"/>
      <w:divBdr>
        <w:top w:val="none" w:sz="0" w:space="0" w:color="auto"/>
        <w:left w:val="none" w:sz="0" w:space="0" w:color="auto"/>
        <w:bottom w:val="none" w:sz="0" w:space="0" w:color="auto"/>
        <w:right w:val="none" w:sz="0" w:space="0" w:color="auto"/>
      </w:divBdr>
    </w:div>
    <w:div w:id="1580141040">
      <w:bodyDiv w:val="1"/>
      <w:marLeft w:val="0"/>
      <w:marRight w:val="0"/>
      <w:marTop w:val="0"/>
      <w:marBottom w:val="0"/>
      <w:divBdr>
        <w:top w:val="none" w:sz="0" w:space="0" w:color="auto"/>
        <w:left w:val="none" w:sz="0" w:space="0" w:color="auto"/>
        <w:bottom w:val="none" w:sz="0" w:space="0" w:color="auto"/>
        <w:right w:val="none" w:sz="0" w:space="0" w:color="auto"/>
      </w:divBdr>
    </w:div>
    <w:div w:id="1581477184">
      <w:bodyDiv w:val="1"/>
      <w:marLeft w:val="0"/>
      <w:marRight w:val="0"/>
      <w:marTop w:val="0"/>
      <w:marBottom w:val="0"/>
      <w:divBdr>
        <w:top w:val="none" w:sz="0" w:space="0" w:color="auto"/>
        <w:left w:val="none" w:sz="0" w:space="0" w:color="auto"/>
        <w:bottom w:val="none" w:sz="0" w:space="0" w:color="auto"/>
        <w:right w:val="none" w:sz="0" w:space="0" w:color="auto"/>
      </w:divBdr>
    </w:div>
    <w:div w:id="1597250282">
      <w:bodyDiv w:val="1"/>
      <w:marLeft w:val="0"/>
      <w:marRight w:val="0"/>
      <w:marTop w:val="0"/>
      <w:marBottom w:val="0"/>
      <w:divBdr>
        <w:top w:val="none" w:sz="0" w:space="0" w:color="auto"/>
        <w:left w:val="none" w:sz="0" w:space="0" w:color="auto"/>
        <w:bottom w:val="none" w:sz="0" w:space="0" w:color="auto"/>
        <w:right w:val="none" w:sz="0" w:space="0" w:color="auto"/>
      </w:divBdr>
    </w:div>
    <w:div w:id="1615476753">
      <w:bodyDiv w:val="1"/>
      <w:marLeft w:val="0"/>
      <w:marRight w:val="0"/>
      <w:marTop w:val="0"/>
      <w:marBottom w:val="0"/>
      <w:divBdr>
        <w:top w:val="none" w:sz="0" w:space="0" w:color="auto"/>
        <w:left w:val="none" w:sz="0" w:space="0" w:color="auto"/>
        <w:bottom w:val="none" w:sz="0" w:space="0" w:color="auto"/>
        <w:right w:val="none" w:sz="0" w:space="0" w:color="auto"/>
      </w:divBdr>
    </w:div>
    <w:div w:id="1616592374">
      <w:bodyDiv w:val="1"/>
      <w:marLeft w:val="0"/>
      <w:marRight w:val="0"/>
      <w:marTop w:val="0"/>
      <w:marBottom w:val="0"/>
      <w:divBdr>
        <w:top w:val="none" w:sz="0" w:space="0" w:color="auto"/>
        <w:left w:val="none" w:sz="0" w:space="0" w:color="auto"/>
        <w:bottom w:val="none" w:sz="0" w:space="0" w:color="auto"/>
        <w:right w:val="none" w:sz="0" w:space="0" w:color="auto"/>
      </w:divBdr>
    </w:div>
    <w:div w:id="1620528842">
      <w:bodyDiv w:val="1"/>
      <w:marLeft w:val="0"/>
      <w:marRight w:val="0"/>
      <w:marTop w:val="0"/>
      <w:marBottom w:val="0"/>
      <w:divBdr>
        <w:top w:val="none" w:sz="0" w:space="0" w:color="auto"/>
        <w:left w:val="none" w:sz="0" w:space="0" w:color="auto"/>
        <w:bottom w:val="none" w:sz="0" w:space="0" w:color="auto"/>
        <w:right w:val="none" w:sz="0" w:space="0" w:color="auto"/>
      </w:divBdr>
    </w:div>
    <w:div w:id="1670056628">
      <w:bodyDiv w:val="1"/>
      <w:marLeft w:val="0"/>
      <w:marRight w:val="0"/>
      <w:marTop w:val="0"/>
      <w:marBottom w:val="0"/>
      <w:divBdr>
        <w:top w:val="none" w:sz="0" w:space="0" w:color="auto"/>
        <w:left w:val="none" w:sz="0" w:space="0" w:color="auto"/>
        <w:bottom w:val="none" w:sz="0" w:space="0" w:color="auto"/>
        <w:right w:val="none" w:sz="0" w:space="0" w:color="auto"/>
      </w:divBdr>
    </w:div>
    <w:div w:id="1797791711">
      <w:bodyDiv w:val="1"/>
      <w:marLeft w:val="0"/>
      <w:marRight w:val="0"/>
      <w:marTop w:val="0"/>
      <w:marBottom w:val="0"/>
      <w:divBdr>
        <w:top w:val="none" w:sz="0" w:space="0" w:color="auto"/>
        <w:left w:val="none" w:sz="0" w:space="0" w:color="auto"/>
        <w:bottom w:val="none" w:sz="0" w:space="0" w:color="auto"/>
        <w:right w:val="none" w:sz="0" w:space="0" w:color="auto"/>
      </w:divBdr>
    </w:div>
    <w:div w:id="1797866955">
      <w:bodyDiv w:val="1"/>
      <w:marLeft w:val="0"/>
      <w:marRight w:val="0"/>
      <w:marTop w:val="0"/>
      <w:marBottom w:val="0"/>
      <w:divBdr>
        <w:top w:val="none" w:sz="0" w:space="0" w:color="auto"/>
        <w:left w:val="none" w:sz="0" w:space="0" w:color="auto"/>
        <w:bottom w:val="none" w:sz="0" w:space="0" w:color="auto"/>
        <w:right w:val="none" w:sz="0" w:space="0" w:color="auto"/>
      </w:divBdr>
    </w:div>
    <w:div w:id="1802306088">
      <w:bodyDiv w:val="1"/>
      <w:marLeft w:val="0"/>
      <w:marRight w:val="0"/>
      <w:marTop w:val="0"/>
      <w:marBottom w:val="0"/>
      <w:divBdr>
        <w:top w:val="none" w:sz="0" w:space="0" w:color="auto"/>
        <w:left w:val="none" w:sz="0" w:space="0" w:color="auto"/>
        <w:bottom w:val="none" w:sz="0" w:space="0" w:color="auto"/>
        <w:right w:val="none" w:sz="0" w:space="0" w:color="auto"/>
      </w:divBdr>
    </w:div>
    <w:div w:id="1814984353">
      <w:bodyDiv w:val="1"/>
      <w:marLeft w:val="0"/>
      <w:marRight w:val="0"/>
      <w:marTop w:val="0"/>
      <w:marBottom w:val="0"/>
      <w:divBdr>
        <w:top w:val="none" w:sz="0" w:space="0" w:color="auto"/>
        <w:left w:val="none" w:sz="0" w:space="0" w:color="auto"/>
        <w:bottom w:val="none" w:sz="0" w:space="0" w:color="auto"/>
        <w:right w:val="none" w:sz="0" w:space="0" w:color="auto"/>
      </w:divBdr>
    </w:div>
    <w:div w:id="1818566665">
      <w:bodyDiv w:val="1"/>
      <w:marLeft w:val="0"/>
      <w:marRight w:val="0"/>
      <w:marTop w:val="0"/>
      <w:marBottom w:val="0"/>
      <w:divBdr>
        <w:top w:val="none" w:sz="0" w:space="0" w:color="auto"/>
        <w:left w:val="none" w:sz="0" w:space="0" w:color="auto"/>
        <w:bottom w:val="none" w:sz="0" w:space="0" w:color="auto"/>
        <w:right w:val="none" w:sz="0" w:space="0" w:color="auto"/>
      </w:divBdr>
    </w:div>
    <w:div w:id="1917012909">
      <w:bodyDiv w:val="1"/>
      <w:marLeft w:val="0"/>
      <w:marRight w:val="0"/>
      <w:marTop w:val="0"/>
      <w:marBottom w:val="0"/>
      <w:divBdr>
        <w:top w:val="none" w:sz="0" w:space="0" w:color="auto"/>
        <w:left w:val="none" w:sz="0" w:space="0" w:color="auto"/>
        <w:bottom w:val="none" w:sz="0" w:space="0" w:color="auto"/>
        <w:right w:val="none" w:sz="0" w:space="0" w:color="auto"/>
      </w:divBdr>
    </w:div>
    <w:div w:id="1974360210">
      <w:bodyDiv w:val="1"/>
      <w:marLeft w:val="0"/>
      <w:marRight w:val="0"/>
      <w:marTop w:val="0"/>
      <w:marBottom w:val="0"/>
      <w:divBdr>
        <w:top w:val="none" w:sz="0" w:space="0" w:color="auto"/>
        <w:left w:val="none" w:sz="0" w:space="0" w:color="auto"/>
        <w:bottom w:val="none" w:sz="0" w:space="0" w:color="auto"/>
        <w:right w:val="none" w:sz="0" w:space="0" w:color="auto"/>
      </w:divBdr>
    </w:div>
    <w:div w:id="1995453756">
      <w:bodyDiv w:val="1"/>
      <w:marLeft w:val="0"/>
      <w:marRight w:val="0"/>
      <w:marTop w:val="0"/>
      <w:marBottom w:val="0"/>
      <w:divBdr>
        <w:top w:val="none" w:sz="0" w:space="0" w:color="auto"/>
        <w:left w:val="none" w:sz="0" w:space="0" w:color="auto"/>
        <w:bottom w:val="none" w:sz="0" w:space="0" w:color="auto"/>
        <w:right w:val="none" w:sz="0" w:space="0" w:color="auto"/>
      </w:divBdr>
    </w:div>
    <w:div w:id="211127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20" Target="people.xml"
                 Type="http://schemas.microsoft.com/office/2011/relationships/people"/>
   <Relationship Id="rId21" Target="commentsExtended.xml"
                 Type="http://schemas.microsoft.com/office/2011/relationships/commentsExtended"/>
   <Relationship Id="rId22" Target="commentsIds.xml"
                 Type="http://schemas.microsoft.com/office/2016/09/relationships/commentsIds"/>
   <Relationship Id="rId23"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tylesWithEffects.xml"
                 Type="http://schemas.microsoft.com/office/2007/relationships/stylesWithEffect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AEE8B5866EA74A4D98A95446C77AB886" ma:contentTypeVersion="0" ma:contentTypeDescription="Kurkite naują dokumentą." ma:contentTypeScope="" ma:versionID="7c19209a1adf8356892b1659e18a1299">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CD2B5-1C2F-4401-9029-5706DD23687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1009BFFE-3043-444B-8EDF-46480B9C41A5}">
  <ds:schemaRefs>
    <ds:schemaRef ds:uri="http://schemas.microsoft.com/sharepoint/v3/contenttype/forms"/>
  </ds:schemaRefs>
</ds:datastoreItem>
</file>

<file path=customXml/itemProps3.xml><?xml version="1.0" encoding="utf-8"?>
<ds:datastoreItem xmlns:ds="http://schemas.openxmlformats.org/officeDocument/2006/customXml" ds:itemID="{E46CAFE4-78B9-4642-A212-0C2C6C13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E03792F-0C75-4DD3-AD3B-C102DC21D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2384</Words>
  <Characters>15450</Characters>
  <Application>Microsoft Office Word</Application>
  <DocSecurity>0</DocSecurity>
  <Lines>128</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Lietuvos banko įstatymas</vt:lpstr>
      <vt:lpstr>Lietuvos Respublikos Lietuvos banko įstatymas</vt:lpstr>
    </vt:vector>
  </TitlesOfParts>
  <Company>Infolex</Company>
  <LinksUpToDate>false</LinksUpToDate>
  <CharactersWithSpaces>17799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2021-08-13T08:59:00Z</dcterms:created>
  <dc:creator>Infolex</dc:creator>
  <cp:lastModifiedBy>Joana Daukševič</cp:lastModifiedBy>
  <dcterms:modified xsi:type="dcterms:W3CDTF">2021-09-22T13:25:00Z</dcterms:modified>
  <cp:revision>10</cp:revision>
  <dc:title>Lietuvos Respublikos Lietuvos banko įstatymas</dc:title>
</cp:coreProperties>
</file>