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4CA1" w14:textId="77777777" w:rsidR="00A25780" w:rsidRPr="00CC7CCF" w:rsidRDefault="00A25780" w:rsidP="00A25780">
      <w:pPr>
        <w:spacing w:after="0" w:line="240" w:lineRule="auto"/>
        <w:jc w:val="center"/>
        <w:rPr>
          <w:rFonts w:ascii="Times New Roman" w:hAnsi="Times New Roman" w:cs="Times New Roman"/>
          <w:b/>
          <w:sz w:val="24"/>
          <w:szCs w:val="24"/>
          <w:lang w:val="en-US"/>
        </w:rPr>
      </w:pPr>
      <w:r w:rsidRPr="00CC7CCF">
        <w:rPr>
          <w:rFonts w:ascii="Times New Roman" w:hAnsi="Times New Roman" w:cs="Times New Roman"/>
          <w:b/>
          <w:sz w:val="24"/>
          <w:szCs w:val="24"/>
          <w:lang w:val="en-US"/>
        </w:rPr>
        <w:t xml:space="preserve">LIETUVOS RESPUBLIKOS </w:t>
      </w:r>
    </w:p>
    <w:p w14:paraId="30A09C0B" w14:textId="77777777" w:rsidR="00CC7CCF" w:rsidRDefault="00CC7CCF" w:rsidP="00CC7CCF">
      <w:pPr>
        <w:keepNext/>
        <w:spacing w:after="0" w:line="240" w:lineRule="auto"/>
        <w:jc w:val="center"/>
        <w:rPr>
          <w:rFonts w:ascii="Times New Roman" w:hAnsi="Times New Roman" w:cs="Times New Roman"/>
          <w:b/>
          <w:caps/>
          <w:sz w:val="24"/>
          <w:szCs w:val="24"/>
        </w:rPr>
      </w:pPr>
      <w:bookmarkStart w:id="0" w:name="_Hlk84594621"/>
      <w:r w:rsidRPr="00CC7CCF">
        <w:rPr>
          <w:rFonts w:ascii="Times New Roman" w:hAnsi="Times New Roman" w:cs="Times New Roman"/>
          <w:b/>
          <w:caps/>
          <w:sz w:val="24"/>
          <w:szCs w:val="24"/>
        </w:rPr>
        <w:t>Valstybės ir savivaldybių įstaigų darbuotojų darbo apmokėjimo ir komisijų narių atlygio už darbą įstatymo nr. xiii-198 1, 3, 5, 6, 7, 9, 12,  14 STRAIPSNIŲ IR 1, 2, 3, 4 IR 5 priedų PAKEITIMO</w:t>
      </w:r>
      <w:bookmarkEnd w:id="0"/>
    </w:p>
    <w:p w14:paraId="344E902F" w14:textId="01ABA333" w:rsidR="00A25780" w:rsidRPr="00CC7CCF" w:rsidRDefault="009E5A56" w:rsidP="00CC7CCF">
      <w:pPr>
        <w:keepNext/>
        <w:spacing w:after="0" w:line="240" w:lineRule="auto"/>
        <w:jc w:val="center"/>
        <w:rPr>
          <w:rFonts w:ascii="Times New Roman" w:hAnsi="Times New Roman" w:cs="Times New Roman"/>
          <w:b/>
          <w:sz w:val="24"/>
          <w:szCs w:val="24"/>
        </w:rPr>
      </w:pPr>
      <w:r w:rsidRPr="00CC7CCF">
        <w:rPr>
          <w:rFonts w:ascii="Times New Roman" w:hAnsi="Times New Roman" w:cs="Times New Roman"/>
          <w:b/>
          <w:sz w:val="24"/>
          <w:szCs w:val="24"/>
        </w:rPr>
        <w:t>ĮSTATYMO PROJEKTO</w:t>
      </w:r>
    </w:p>
    <w:p w14:paraId="44FE30CB" w14:textId="77777777" w:rsidR="00A25780" w:rsidRPr="00CC7CCF" w:rsidRDefault="00A25780" w:rsidP="00CC7CCF">
      <w:pPr>
        <w:spacing w:after="0" w:line="240" w:lineRule="auto"/>
        <w:jc w:val="center"/>
        <w:rPr>
          <w:rFonts w:ascii="Times New Roman" w:hAnsi="Times New Roman" w:cs="Times New Roman"/>
          <w:b/>
          <w:sz w:val="24"/>
          <w:szCs w:val="24"/>
        </w:rPr>
      </w:pPr>
      <w:r w:rsidRPr="00CC7CCF">
        <w:rPr>
          <w:rFonts w:ascii="Times New Roman" w:hAnsi="Times New Roman" w:cs="Times New Roman"/>
          <w:b/>
          <w:sz w:val="24"/>
          <w:szCs w:val="24"/>
        </w:rPr>
        <w:t>DERINIMO PAŽYMA</w:t>
      </w:r>
    </w:p>
    <w:p w14:paraId="66A2ADCA" w14:textId="77777777" w:rsidR="00F03B7E" w:rsidRDefault="00F03B7E" w:rsidP="00A25780">
      <w:pPr>
        <w:spacing w:after="0" w:line="240" w:lineRule="auto"/>
        <w:jc w:val="center"/>
        <w:rPr>
          <w:rFonts w:ascii="Times New Roman" w:hAnsi="Times New Roman" w:cs="Times New Roman"/>
          <w:b/>
          <w:sz w:val="24"/>
          <w:szCs w:val="24"/>
        </w:rPr>
      </w:pPr>
    </w:p>
    <w:tbl>
      <w:tblPr>
        <w:tblStyle w:val="Lentelstinklelis"/>
        <w:tblW w:w="14850" w:type="dxa"/>
        <w:jc w:val="center"/>
        <w:tblLook w:val="04A0" w:firstRow="1" w:lastRow="0" w:firstColumn="1" w:lastColumn="0" w:noHBand="0" w:noVBand="1"/>
      </w:tblPr>
      <w:tblGrid>
        <w:gridCol w:w="1803"/>
        <w:gridCol w:w="5960"/>
        <w:gridCol w:w="7087"/>
      </w:tblGrid>
      <w:tr w:rsidR="00526891" w14:paraId="3EA269C9" w14:textId="77777777" w:rsidTr="00611AFE">
        <w:trPr>
          <w:jc w:val="center"/>
        </w:trPr>
        <w:tc>
          <w:tcPr>
            <w:tcW w:w="1803" w:type="dxa"/>
          </w:tcPr>
          <w:p w14:paraId="09F21A9E" w14:textId="77777777" w:rsidR="00F03B7E" w:rsidRDefault="00C50533" w:rsidP="00A25780">
            <w:pPr>
              <w:jc w:val="center"/>
              <w:rPr>
                <w:rFonts w:ascii="Times New Roman" w:hAnsi="Times New Roman" w:cs="Times New Roman"/>
                <w:b/>
                <w:sz w:val="24"/>
                <w:szCs w:val="24"/>
              </w:rPr>
            </w:pPr>
            <w:r>
              <w:rPr>
                <w:rFonts w:ascii="Times New Roman" w:hAnsi="Times New Roman" w:cs="Times New Roman"/>
                <w:b/>
                <w:sz w:val="24"/>
                <w:szCs w:val="24"/>
              </w:rPr>
              <w:t>Institucijos pavadinimas, rašto data ir numeris</w:t>
            </w:r>
          </w:p>
        </w:tc>
        <w:tc>
          <w:tcPr>
            <w:tcW w:w="5960" w:type="dxa"/>
            <w:vAlign w:val="center"/>
          </w:tcPr>
          <w:p w14:paraId="27F3D905" w14:textId="77777777" w:rsidR="00F03B7E" w:rsidRDefault="00C50533" w:rsidP="00A25780">
            <w:pPr>
              <w:jc w:val="center"/>
              <w:rPr>
                <w:rFonts w:ascii="Times New Roman" w:hAnsi="Times New Roman" w:cs="Times New Roman"/>
                <w:b/>
                <w:sz w:val="24"/>
                <w:szCs w:val="24"/>
              </w:rPr>
            </w:pPr>
            <w:r>
              <w:rPr>
                <w:rFonts w:ascii="Times New Roman" w:hAnsi="Times New Roman" w:cs="Times New Roman"/>
                <w:b/>
                <w:sz w:val="24"/>
                <w:szCs w:val="24"/>
              </w:rPr>
              <w:t>Pastabos ir pasiūlymai</w:t>
            </w:r>
          </w:p>
        </w:tc>
        <w:tc>
          <w:tcPr>
            <w:tcW w:w="7087" w:type="dxa"/>
            <w:vAlign w:val="center"/>
          </w:tcPr>
          <w:p w14:paraId="50D96271" w14:textId="77777777" w:rsidR="00F03B7E" w:rsidRPr="00E4734E" w:rsidRDefault="007A1E0A" w:rsidP="00A25780">
            <w:pPr>
              <w:jc w:val="center"/>
              <w:rPr>
                <w:rFonts w:ascii="Times New Roman" w:hAnsi="Times New Roman" w:cs="Times New Roman"/>
                <w:b/>
                <w:sz w:val="24"/>
                <w:szCs w:val="24"/>
              </w:rPr>
            </w:pPr>
            <w:r w:rsidRPr="00E4734E">
              <w:rPr>
                <w:rFonts w:ascii="Times New Roman" w:hAnsi="Times New Roman" w:cs="Times New Roman"/>
                <w:b/>
                <w:sz w:val="24"/>
                <w:szCs w:val="24"/>
              </w:rPr>
              <w:t>Žyma apie nepriimtas pastabas ir pasiūlymus</w:t>
            </w:r>
          </w:p>
        </w:tc>
      </w:tr>
      <w:tr w:rsidR="00B21176" w14:paraId="48E15119" w14:textId="77777777" w:rsidTr="00611AFE">
        <w:trPr>
          <w:trHeight w:val="59"/>
          <w:jc w:val="center"/>
        </w:trPr>
        <w:tc>
          <w:tcPr>
            <w:tcW w:w="1803" w:type="dxa"/>
          </w:tcPr>
          <w:p w14:paraId="77C10A99" w14:textId="412359E1" w:rsidR="009E5A56" w:rsidRDefault="009E5A56" w:rsidP="001116E2">
            <w:pPr>
              <w:jc w:val="both"/>
              <w:rPr>
                <w:rFonts w:ascii="Times New Roman" w:hAnsi="Times New Roman" w:cs="Times New Roman"/>
                <w:sz w:val="24"/>
                <w:szCs w:val="24"/>
              </w:rPr>
            </w:pPr>
            <w:r>
              <w:rPr>
                <w:rFonts w:ascii="Times New Roman" w:hAnsi="Times New Roman" w:cs="Times New Roman"/>
                <w:sz w:val="24"/>
                <w:szCs w:val="24"/>
              </w:rPr>
              <w:t xml:space="preserve">Lietuvos Respublikos </w:t>
            </w:r>
            <w:r w:rsidR="0028759E" w:rsidRPr="00880C85">
              <w:rPr>
                <w:rFonts w:ascii="Times New Roman" w:hAnsi="Times New Roman" w:cs="Times New Roman"/>
                <w:sz w:val="24"/>
                <w:szCs w:val="24"/>
              </w:rPr>
              <w:t>teisingumo ministerijos</w:t>
            </w:r>
            <w:r w:rsidRPr="00880C85">
              <w:rPr>
                <w:rFonts w:ascii="Times New Roman" w:hAnsi="Times New Roman" w:cs="Times New Roman"/>
                <w:sz w:val="24"/>
                <w:szCs w:val="24"/>
              </w:rPr>
              <w:t xml:space="preserve"> 20</w:t>
            </w:r>
            <w:r w:rsidR="0028759E" w:rsidRPr="00880C85">
              <w:rPr>
                <w:rFonts w:ascii="Times New Roman" w:hAnsi="Times New Roman" w:cs="Times New Roman"/>
                <w:sz w:val="24"/>
                <w:szCs w:val="24"/>
              </w:rPr>
              <w:t>21</w:t>
            </w:r>
            <w:r w:rsidRPr="00880C85">
              <w:rPr>
                <w:rFonts w:ascii="Times New Roman" w:hAnsi="Times New Roman" w:cs="Times New Roman"/>
                <w:sz w:val="24"/>
                <w:szCs w:val="24"/>
              </w:rPr>
              <w:t xml:space="preserve"> m. spalio </w:t>
            </w:r>
            <w:r w:rsidR="00880C85" w:rsidRPr="00880C85">
              <w:rPr>
                <w:rFonts w:ascii="Times New Roman" w:hAnsi="Times New Roman" w:cs="Times New Roman"/>
                <w:sz w:val="24"/>
                <w:szCs w:val="24"/>
              </w:rPr>
              <w:t>11</w:t>
            </w:r>
            <w:r w:rsidRPr="00880C85">
              <w:rPr>
                <w:rFonts w:ascii="Times New Roman" w:hAnsi="Times New Roman" w:cs="Times New Roman"/>
                <w:sz w:val="24"/>
                <w:szCs w:val="24"/>
              </w:rPr>
              <w:t xml:space="preserve"> d. raštas Nr.</w:t>
            </w:r>
            <w:r w:rsidR="007C7FE4">
              <w:rPr>
                <w:rFonts w:ascii="Times New Roman" w:hAnsi="Times New Roman" w:cs="Times New Roman"/>
                <w:sz w:val="24"/>
                <w:szCs w:val="24"/>
              </w:rPr>
              <w:t> </w:t>
            </w:r>
            <w:r w:rsidR="00880C85" w:rsidRPr="00880C85">
              <w:rPr>
                <w:rFonts w:ascii="Times New Roman" w:hAnsi="Times New Roman" w:cs="Times New Roman"/>
                <w:color w:val="000000"/>
                <w:sz w:val="24"/>
                <w:szCs w:val="24"/>
                <w:shd w:val="clear" w:color="auto" w:fill="FFFFFF"/>
              </w:rPr>
              <w:t>21-30468</w:t>
            </w:r>
            <w:r>
              <w:rPr>
                <w:rFonts w:ascii="Times New Roman" w:hAnsi="Times New Roman" w:cs="Times New Roman"/>
                <w:sz w:val="24"/>
                <w:szCs w:val="24"/>
              </w:rPr>
              <w:t xml:space="preserve"> </w:t>
            </w:r>
          </w:p>
          <w:p w14:paraId="06A0E94B" w14:textId="77777777" w:rsidR="00D10B1E" w:rsidRPr="00BA514A" w:rsidRDefault="00D10B1E" w:rsidP="00880C85">
            <w:pPr>
              <w:jc w:val="both"/>
              <w:rPr>
                <w:rFonts w:ascii="Times New Roman" w:hAnsi="Times New Roman" w:cs="Times New Roman"/>
                <w:sz w:val="24"/>
                <w:szCs w:val="24"/>
              </w:rPr>
            </w:pPr>
          </w:p>
        </w:tc>
        <w:tc>
          <w:tcPr>
            <w:tcW w:w="5960" w:type="dxa"/>
          </w:tcPr>
          <w:p w14:paraId="2C50D8A9" w14:textId="77777777" w:rsidR="00B21176" w:rsidRPr="00B21176" w:rsidRDefault="00B21176" w:rsidP="00B21176">
            <w:pPr>
              <w:ind w:firstLine="321"/>
              <w:jc w:val="both"/>
              <w:rPr>
                <w:rFonts w:ascii="Times New Roman" w:hAnsi="Times New Roman" w:cs="Times New Roman"/>
                <w:sz w:val="24"/>
                <w:szCs w:val="24"/>
              </w:rPr>
            </w:pPr>
            <w:r w:rsidRPr="00B21176">
              <w:rPr>
                <w:rFonts w:ascii="Times New Roman" w:hAnsi="Times New Roman" w:cs="Times New Roman"/>
                <w:sz w:val="24"/>
                <w:szCs w:val="24"/>
              </w:rPr>
              <w:t xml:space="preserve">1. Siūlytina peržiūrėti Įstatymo projekto 4 straipsnio 1 dalimi keičiamo Lietuvos Respublikos valstybės ir savivaldybių įstaigų darbuotojų darbo apmokėjimo įstatymo (toliau – Keičiamas įstatymas) 7 straipsnio 8 dalį ir apsvarstyti galimybę biudžetinės įstaigos vadovaujančių pareigybių (vadovai, jų pavaduotojai, administracijos ir struktūrinių padalinių vadovai, jų pavaduotojai) pareiginės algos pastoviosios dalies nustatymui taikomą kriterijų „pareigybių skaičius“ taikyti vienodai, t. y. valstybės ir savivaldybių įstaigų administracijos ir struktūrinių padalinių vadovų ir jų pavaduotojų pareiginės algos pastoviosios dalies koeficientus diferencijuoti pagal administracijos ir struktūrinio padalinio dydžio kriterijų taip pat, kaip pagal Lietuvos Respublikos valstybės ir savivaldybių įstaigų darbuotojų darbo apmokėjimo įstatyme (toliau – Įstatymas) įtvirtintą teisinį reguliavimą yra nustatyti valstybės ir savivaldybių įstaigų vadovų ir jų </w:t>
            </w:r>
            <w:r w:rsidRPr="00163A5B">
              <w:rPr>
                <w:rFonts w:ascii="Times New Roman" w:hAnsi="Times New Roman" w:cs="Times New Roman"/>
                <w:sz w:val="24"/>
                <w:szCs w:val="24"/>
              </w:rPr>
              <w:t>pavaduotojų pareiginės algos pastoviosios dalies koeficientai (Įstatymo 1 priedas). Atkreiptinas dėmesys į tai, kad to paties kriterijaus skirtingas taikymas biudžetinės įstaigos vadovaujančioms pareigybėms gali iškraipyti biudžetinės įstaigos darbo užmokesčio sistemą ir būtų sunkiai įgyvendinamas, pavyzdžiui</w:t>
            </w:r>
            <w:r w:rsidRPr="00B21176">
              <w:rPr>
                <w:rFonts w:ascii="Times New Roman" w:hAnsi="Times New Roman" w:cs="Times New Roman"/>
                <w:sz w:val="24"/>
                <w:szCs w:val="24"/>
              </w:rPr>
              <w:t xml:space="preserve">, modeliuojant biudžetinės įstaigos, kurios pareigybių skaičius yra 200, situaciją ir taikant tuos pačius </w:t>
            </w:r>
            <w:r w:rsidRPr="00B21176">
              <w:rPr>
                <w:rFonts w:ascii="Times New Roman" w:hAnsi="Times New Roman" w:cs="Times New Roman"/>
                <w:sz w:val="24"/>
                <w:szCs w:val="24"/>
              </w:rPr>
              <w:lastRenderedPageBreak/>
              <w:t xml:space="preserve">vadovaujamo darbo patirties iki 5 metų, pareigybės lygio A kriterijus, šios biudžetinės įstaigos vadovo maksimalus koeficientas būtų 13,7, jo pavaduotojo – 12,3, administracijos ir struktūrinio padalinio, kuriame yra daugiau kaip 100 pareigybių, vadovo koeficientas, jį padidinus 20 proc., būtų 12,6 proc. </w:t>
            </w:r>
          </w:p>
          <w:p w14:paraId="59B0F68A" w14:textId="1CC42875" w:rsidR="00D10B1E" w:rsidRPr="00B21176" w:rsidRDefault="00D10B1E" w:rsidP="00B21176">
            <w:pPr>
              <w:ind w:firstLine="321"/>
              <w:jc w:val="both"/>
              <w:rPr>
                <w:rFonts w:ascii="Times New Roman" w:eastAsia="Times New Roman" w:hAnsi="Times New Roman" w:cs="Times New Roman"/>
                <w:sz w:val="24"/>
                <w:szCs w:val="24"/>
                <w:lang w:eastAsia="lt-LT"/>
              </w:rPr>
            </w:pPr>
          </w:p>
        </w:tc>
        <w:tc>
          <w:tcPr>
            <w:tcW w:w="7087" w:type="dxa"/>
          </w:tcPr>
          <w:p w14:paraId="74EEF016" w14:textId="77777777" w:rsidR="009E5A56" w:rsidRDefault="00C41F47" w:rsidP="00203321">
            <w:pPr>
              <w:ind w:firstLine="211"/>
              <w:jc w:val="both"/>
              <w:rPr>
                <w:rFonts w:ascii="Times New Roman" w:hAnsi="Times New Roman" w:cs="Times New Roman"/>
                <w:b/>
                <w:sz w:val="24"/>
                <w:szCs w:val="24"/>
              </w:rPr>
            </w:pPr>
            <w:r w:rsidRPr="00C41F47">
              <w:rPr>
                <w:rFonts w:ascii="Times New Roman" w:hAnsi="Times New Roman" w:cs="Times New Roman"/>
                <w:b/>
                <w:sz w:val="24"/>
                <w:szCs w:val="24"/>
              </w:rPr>
              <w:lastRenderedPageBreak/>
              <w:t>Neatsižvelgta.</w:t>
            </w:r>
          </w:p>
          <w:p w14:paraId="1E18C9B2" w14:textId="0BFDF356" w:rsidR="00A8678E" w:rsidRDefault="009037A8" w:rsidP="00203321">
            <w:pPr>
              <w:ind w:firstLine="211"/>
              <w:jc w:val="both"/>
              <w:rPr>
                <w:rFonts w:ascii="Times New Roman" w:hAnsi="Times New Roman" w:cs="Times New Roman"/>
                <w:color w:val="000000"/>
                <w:sz w:val="24"/>
                <w:szCs w:val="24"/>
              </w:rPr>
            </w:pPr>
            <w:r w:rsidRPr="00362099">
              <w:rPr>
                <w:rFonts w:ascii="Times New Roman" w:hAnsi="Times New Roman"/>
                <w:sz w:val="24"/>
                <w:szCs w:val="24"/>
              </w:rPr>
              <w:t>Lietuvos Respublikos valstybės ir savivaldybių įstaigų darbuotojų darbo apmokėjimo</w:t>
            </w:r>
            <w:r>
              <w:rPr>
                <w:rFonts w:ascii="Times New Roman" w:hAnsi="Times New Roman"/>
                <w:sz w:val="24"/>
                <w:szCs w:val="24"/>
              </w:rPr>
              <w:t xml:space="preserve"> ir komisijų narių atlygio už darbą</w:t>
            </w:r>
            <w:r w:rsidRPr="00362099">
              <w:rPr>
                <w:rFonts w:ascii="Times New Roman" w:hAnsi="Times New Roman"/>
                <w:sz w:val="24"/>
                <w:szCs w:val="24"/>
              </w:rPr>
              <w:t xml:space="preserve"> įstatymo Nr.</w:t>
            </w:r>
            <w:r>
              <w:rPr>
                <w:rFonts w:ascii="Times New Roman" w:hAnsi="Times New Roman"/>
                <w:sz w:val="24"/>
                <w:szCs w:val="24"/>
              </w:rPr>
              <w:t> </w:t>
            </w:r>
            <w:r w:rsidRPr="00362099">
              <w:rPr>
                <w:rFonts w:ascii="Times New Roman" w:hAnsi="Times New Roman"/>
                <w:sz w:val="24"/>
                <w:szCs w:val="24"/>
              </w:rPr>
              <w:t>XIII-198 </w:t>
            </w:r>
            <w:r>
              <w:rPr>
                <w:rFonts w:ascii="Times New Roman" w:hAnsi="Times New Roman"/>
                <w:sz w:val="24"/>
                <w:szCs w:val="24"/>
              </w:rPr>
              <w:t xml:space="preserve">1, 3, </w:t>
            </w:r>
            <w:r w:rsidRPr="00362099">
              <w:rPr>
                <w:rFonts w:ascii="Times New Roman" w:hAnsi="Times New Roman"/>
                <w:caps/>
                <w:sz w:val="24"/>
                <w:szCs w:val="24"/>
              </w:rPr>
              <w:t>5, 6, 7, 9, 1</w:t>
            </w:r>
            <w:r>
              <w:rPr>
                <w:rFonts w:ascii="Times New Roman" w:hAnsi="Times New Roman"/>
                <w:caps/>
                <w:sz w:val="24"/>
                <w:szCs w:val="24"/>
              </w:rPr>
              <w:t>2</w:t>
            </w:r>
            <w:r w:rsidRPr="00362099">
              <w:rPr>
                <w:rFonts w:ascii="Times New Roman" w:hAnsi="Times New Roman"/>
                <w:caps/>
                <w:sz w:val="24"/>
                <w:szCs w:val="24"/>
              </w:rPr>
              <w:t>, 14</w:t>
            </w:r>
            <w:r>
              <w:rPr>
                <w:rFonts w:ascii="Times New Roman" w:hAnsi="Times New Roman"/>
                <w:caps/>
                <w:sz w:val="24"/>
                <w:szCs w:val="24"/>
              </w:rPr>
              <w:t> </w:t>
            </w:r>
            <w:r w:rsidRPr="00362099">
              <w:rPr>
                <w:rFonts w:ascii="Times New Roman" w:hAnsi="Times New Roman"/>
                <w:sz w:val="24"/>
                <w:szCs w:val="24"/>
              </w:rPr>
              <w:t>straipsnių ir 1, 2, 3</w:t>
            </w:r>
            <w:r>
              <w:rPr>
                <w:rFonts w:ascii="Times New Roman" w:hAnsi="Times New Roman"/>
                <w:sz w:val="24"/>
                <w:szCs w:val="24"/>
              </w:rPr>
              <w:t>,</w:t>
            </w:r>
            <w:r w:rsidR="00E7631C">
              <w:rPr>
                <w:rFonts w:ascii="Times New Roman" w:hAnsi="Times New Roman"/>
                <w:sz w:val="24"/>
                <w:szCs w:val="24"/>
              </w:rPr>
              <w:t xml:space="preserve"> </w:t>
            </w:r>
            <w:r>
              <w:rPr>
                <w:rFonts w:ascii="Times New Roman" w:hAnsi="Times New Roman"/>
                <w:sz w:val="24"/>
                <w:szCs w:val="24"/>
              </w:rPr>
              <w:t>4</w:t>
            </w:r>
            <w:r w:rsidRPr="00362099">
              <w:rPr>
                <w:rFonts w:ascii="Times New Roman" w:hAnsi="Times New Roman"/>
                <w:sz w:val="24"/>
                <w:szCs w:val="24"/>
              </w:rPr>
              <w:t xml:space="preserve"> ir </w:t>
            </w:r>
            <w:r>
              <w:rPr>
                <w:rFonts w:ascii="Times New Roman" w:hAnsi="Times New Roman"/>
                <w:sz w:val="24"/>
                <w:szCs w:val="24"/>
              </w:rPr>
              <w:t>5</w:t>
            </w:r>
            <w:r w:rsidRPr="00362099">
              <w:rPr>
                <w:rFonts w:ascii="Times New Roman" w:hAnsi="Times New Roman"/>
                <w:sz w:val="24"/>
                <w:szCs w:val="24"/>
              </w:rPr>
              <w:t xml:space="preserve"> priedų pakeitimo įstatymo projekt</w:t>
            </w:r>
            <w:r w:rsidR="00E7631C">
              <w:rPr>
                <w:rFonts w:ascii="Times New Roman" w:hAnsi="Times New Roman"/>
                <w:sz w:val="24"/>
                <w:szCs w:val="24"/>
              </w:rPr>
              <w:t>o</w:t>
            </w:r>
            <w:r w:rsidRPr="00362099">
              <w:rPr>
                <w:rFonts w:ascii="Times New Roman" w:hAnsi="Times New Roman"/>
                <w:sz w:val="24"/>
                <w:szCs w:val="24"/>
              </w:rPr>
              <w:t xml:space="preserve"> (toliau – Įstatymo projektas)</w:t>
            </w:r>
            <w:r w:rsidR="00E7631C">
              <w:rPr>
                <w:rFonts w:ascii="Times New Roman" w:hAnsi="Times New Roman"/>
                <w:sz w:val="24"/>
                <w:szCs w:val="24"/>
              </w:rPr>
              <w:t xml:space="preserve"> 5 straipsniu keičiamo </w:t>
            </w:r>
            <w:r w:rsidR="00E7631C" w:rsidRPr="00362099">
              <w:rPr>
                <w:rFonts w:ascii="Times New Roman" w:hAnsi="Times New Roman"/>
                <w:sz w:val="24"/>
                <w:szCs w:val="24"/>
              </w:rPr>
              <w:t>Lietuvos Respublikos valstybės ir savivaldybių įstaigų darbuotojų darbo apmokėjimo</w:t>
            </w:r>
            <w:r w:rsidR="00E7631C">
              <w:rPr>
                <w:rFonts w:ascii="Times New Roman" w:hAnsi="Times New Roman"/>
                <w:sz w:val="24"/>
                <w:szCs w:val="24"/>
              </w:rPr>
              <w:t xml:space="preserve"> ir komisijų narių atlygio už darbą</w:t>
            </w:r>
            <w:r w:rsidR="00E7631C" w:rsidRPr="00362099">
              <w:rPr>
                <w:rFonts w:ascii="Times New Roman" w:hAnsi="Times New Roman"/>
                <w:sz w:val="24"/>
                <w:szCs w:val="24"/>
              </w:rPr>
              <w:t xml:space="preserve"> įstatymo </w:t>
            </w:r>
            <w:r w:rsidR="00163A5B">
              <w:rPr>
                <w:rFonts w:ascii="Times New Roman" w:hAnsi="Times New Roman"/>
                <w:sz w:val="24"/>
                <w:szCs w:val="24"/>
              </w:rPr>
              <w:t xml:space="preserve">(toliau – Įstatymas) </w:t>
            </w:r>
            <w:r w:rsidR="00E7631C">
              <w:rPr>
                <w:rFonts w:ascii="Times New Roman" w:hAnsi="Times New Roman"/>
                <w:sz w:val="24"/>
                <w:szCs w:val="24"/>
              </w:rPr>
              <w:t xml:space="preserve">7 straipsnio </w:t>
            </w:r>
            <w:r w:rsidR="00E7631C" w:rsidRPr="00E7631C">
              <w:rPr>
                <w:rFonts w:ascii="Times New Roman" w:hAnsi="Times New Roman" w:cs="Times New Roman"/>
                <w:sz w:val="24"/>
                <w:szCs w:val="24"/>
              </w:rPr>
              <w:t xml:space="preserve">8 dalyje numatyta galimybė (ne pareiga) didinti biudžetinių įstaigų administracijos padalinių vadovų </w:t>
            </w:r>
            <w:r w:rsidR="00E7631C" w:rsidRPr="00E7631C">
              <w:rPr>
                <w:rFonts w:ascii="Times New Roman" w:hAnsi="Times New Roman" w:cs="Times New Roman"/>
                <w:color w:val="000000"/>
                <w:sz w:val="24"/>
                <w:szCs w:val="24"/>
                <w:lang w:eastAsia="lt-LT"/>
              </w:rPr>
              <w:t xml:space="preserve">pareiginės algos pastoviosios dalies koeficientus iki 20 procentų, jeigu biudžetinės įstaigos </w:t>
            </w:r>
            <w:r w:rsidR="00E7631C" w:rsidRPr="00E7631C">
              <w:rPr>
                <w:rFonts w:ascii="Times New Roman" w:hAnsi="Times New Roman" w:cs="Times New Roman"/>
                <w:sz w:val="24"/>
                <w:szCs w:val="24"/>
              </w:rPr>
              <w:t>administracijos padalinio vadovo vadovaujamo administracijos padalinio pareigybių skaičius, numatytas biudžetinės įstaigos pareigybių sąraše, yra vienas šimtas ir daugiau</w:t>
            </w:r>
            <w:r w:rsidR="00A6733D">
              <w:rPr>
                <w:rFonts w:ascii="Times New Roman" w:hAnsi="Times New Roman" w:cs="Times New Roman"/>
                <w:sz w:val="24"/>
                <w:szCs w:val="24"/>
              </w:rPr>
              <w:t xml:space="preserve">. Todėl, Lietuvos Respublikos socialinės apsaugos ir darbo ministerijos nuomone, biudžetinės įstaigos savo darbo apmokėjimo sistemose turi sistemiškai įvertinti tokią </w:t>
            </w:r>
            <w:r w:rsidR="00203321">
              <w:rPr>
                <w:rFonts w:ascii="Times New Roman" w:hAnsi="Times New Roman" w:cs="Times New Roman"/>
                <w:sz w:val="24"/>
                <w:szCs w:val="24"/>
              </w:rPr>
              <w:t xml:space="preserve">didinimo </w:t>
            </w:r>
            <w:r w:rsidR="00A6733D">
              <w:rPr>
                <w:rFonts w:ascii="Times New Roman" w:hAnsi="Times New Roman" w:cs="Times New Roman"/>
                <w:sz w:val="24"/>
                <w:szCs w:val="24"/>
              </w:rPr>
              <w:t>galimybę</w:t>
            </w:r>
            <w:r w:rsidR="00203321">
              <w:rPr>
                <w:rFonts w:ascii="Times New Roman" w:hAnsi="Times New Roman" w:cs="Times New Roman"/>
                <w:sz w:val="24"/>
                <w:szCs w:val="24"/>
              </w:rPr>
              <w:t>,</w:t>
            </w:r>
            <w:r w:rsidR="00A6733D">
              <w:rPr>
                <w:rFonts w:ascii="Times New Roman" w:hAnsi="Times New Roman" w:cs="Times New Roman"/>
                <w:sz w:val="24"/>
                <w:szCs w:val="24"/>
              </w:rPr>
              <w:t xml:space="preserve"> </w:t>
            </w:r>
            <w:r w:rsidR="00203321" w:rsidRPr="00203321">
              <w:rPr>
                <w:rFonts w:ascii="Times New Roman" w:hAnsi="Times New Roman" w:cs="Times New Roman"/>
                <w:sz w:val="24"/>
                <w:szCs w:val="24"/>
              </w:rPr>
              <w:t xml:space="preserve">atsižvelgiant į kitų pareigybių pareiginės algos pastoviosios dalies koeficientus, nustatytus taikant tam tikrus </w:t>
            </w:r>
            <w:r w:rsidR="00203321" w:rsidRPr="00203321">
              <w:rPr>
                <w:rFonts w:ascii="Times New Roman" w:hAnsi="Times New Roman" w:cs="Times New Roman"/>
                <w:color w:val="000000"/>
                <w:sz w:val="24"/>
                <w:szCs w:val="24"/>
              </w:rPr>
              <w:t>pareiginės algos pastoviosios dalies nustatymo kriterijus (išsilavinimą, profesinio ir (ar) vadovaujamo darbo patirtį, veiklos sudėtingumą, darbo krūvį, atsakomybės lygį, papildomų įgūdžių ar žinių, svarbių einamoms pareigoms, turėjimą ir pan.).</w:t>
            </w:r>
          </w:p>
          <w:p w14:paraId="48D06699" w14:textId="25CBE8AF" w:rsidR="00203321" w:rsidRPr="00484952" w:rsidRDefault="00203321" w:rsidP="00203321">
            <w:pPr>
              <w:ind w:firstLine="211"/>
              <w:jc w:val="both"/>
              <w:rPr>
                <w:rFonts w:ascii="Times New Roman" w:hAnsi="Times New Roman" w:cs="Times New Roman"/>
                <w:sz w:val="24"/>
                <w:szCs w:val="24"/>
              </w:rPr>
            </w:pPr>
            <w:r>
              <w:rPr>
                <w:rFonts w:ascii="Times New Roman" w:hAnsi="Times New Roman" w:cs="Times New Roman"/>
                <w:sz w:val="24"/>
                <w:szCs w:val="24"/>
              </w:rPr>
              <w:t xml:space="preserve">Be to, </w:t>
            </w:r>
            <w:r w:rsidR="00BE5D99">
              <w:rPr>
                <w:rFonts w:ascii="Times New Roman" w:hAnsi="Times New Roman" w:cs="Times New Roman"/>
                <w:sz w:val="24"/>
                <w:szCs w:val="24"/>
              </w:rPr>
              <w:t>pavyzdžiui, nusta</w:t>
            </w:r>
            <w:r w:rsidR="006C2D60">
              <w:rPr>
                <w:rFonts w:ascii="Times New Roman" w:hAnsi="Times New Roman" w:cs="Times New Roman"/>
                <w:sz w:val="24"/>
                <w:szCs w:val="24"/>
              </w:rPr>
              <w:t>čius</w:t>
            </w:r>
            <w:r w:rsidR="00BE5D99">
              <w:rPr>
                <w:rFonts w:ascii="Times New Roman" w:hAnsi="Times New Roman" w:cs="Times New Roman"/>
                <w:sz w:val="24"/>
                <w:szCs w:val="24"/>
              </w:rPr>
              <w:t xml:space="preserve"> tam tikroms pareigybėms A1 lygį, pagal kurį šių pareigybių pareiginės algos pastoviosios dalies koeficientai didinami 20 procentų, </w:t>
            </w:r>
            <w:r w:rsidR="006C2D60">
              <w:rPr>
                <w:rFonts w:ascii="Times New Roman" w:hAnsi="Times New Roman" w:cs="Times New Roman"/>
                <w:sz w:val="24"/>
                <w:szCs w:val="24"/>
              </w:rPr>
              <w:t xml:space="preserve">arba padidinus socialinių paslaugų srities </w:t>
            </w:r>
            <w:r w:rsidR="006C2D60">
              <w:rPr>
                <w:rFonts w:ascii="Times New Roman" w:hAnsi="Times New Roman" w:cs="Times New Roman"/>
                <w:sz w:val="24"/>
                <w:szCs w:val="24"/>
              </w:rPr>
              <w:lastRenderedPageBreak/>
              <w:t xml:space="preserve">darbuotojų minimaliuosius pareiginės algos pastoviosios dalies koeficientus 30 procentų, </w:t>
            </w:r>
            <w:r w:rsidR="00BE5D99">
              <w:rPr>
                <w:rFonts w:ascii="Times New Roman" w:hAnsi="Times New Roman" w:cs="Times New Roman"/>
                <w:sz w:val="24"/>
                <w:szCs w:val="24"/>
              </w:rPr>
              <w:t xml:space="preserve">tos pačios vadovaujamo darbo patirties kriterijų atitinkančių pareigybių pareiginės algos pastoviosios dalies koeficientai </w:t>
            </w:r>
            <w:r w:rsidR="006C2D60">
              <w:rPr>
                <w:rFonts w:ascii="Times New Roman" w:hAnsi="Times New Roman" w:cs="Times New Roman"/>
                <w:sz w:val="24"/>
                <w:szCs w:val="24"/>
              </w:rPr>
              <w:t xml:space="preserve">taip pat </w:t>
            </w:r>
            <w:r w:rsidR="00BE5D99">
              <w:rPr>
                <w:rFonts w:ascii="Times New Roman" w:hAnsi="Times New Roman" w:cs="Times New Roman"/>
                <w:sz w:val="24"/>
                <w:szCs w:val="24"/>
              </w:rPr>
              <w:t>gali skirtis</w:t>
            </w:r>
            <w:r w:rsidR="006C2D60">
              <w:rPr>
                <w:rFonts w:ascii="Times New Roman" w:hAnsi="Times New Roman" w:cs="Times New Roman"/>
                <w:sz w:val="24"/>
                <w:szCs w:val="24"/>
              </w:rPr>
              <w:t>.</w:t>
            </w:r>
            <w:r w:rsidR="00BE5D99">
              <w:rPr>
                <w:rFonts w:ascii="Times New Roman" w:hAnsi="Times New Roman" w:cs="Times New Roman"/>
                <w:sz w:val="24"/>
                <w:szCs w:val="24"/>
              </w:rPr>
              <w:t xml:space="preserve"> </w:t>
            </w:r>
            <w:r w:rsidR="006C2D60">
              <w:rPr>
                <w:rFonts w:ascii="Times New Roman" w:hAnsi="Times New Roman" w:cs="Times New Roman"/>
                <w:sz w:val="24"/>
                <w:szCs w:val="24"/>
              </w:rPr>
              <w:t>Pareiga sistemiškai ir teisingai nustatyti biudžetinės įstaigos darbuotojų pareiginės algos pastoviosios dalies koeficientus tenka biudžetinės įstaigos vadovui tvirtinant biudžetinės įstaigos darbo apmokėjimo sistemą (suderinus ją su darbuotojų atstovais).</w:t>
            </w:r>
          </w:p>
          <w:p w14:paraId="369D3AB0" w14:textId="14BC47B1" w:rsidR="005F50D9" w:rsidRPr="00E4734E" w:rsidRDefault="005F50D9" w:rsidP="00560373">
            <w:pPr>
              <w:jc w:val="both"/>
              <w:rPr>
                <w:rFonts w:ascii="Times New Roman" w:hAnsi="Times New Roman" w:cs="Times New Roman"/>
                <w:b/>
                <w:sz w:val="24"/>
                <w:szCs w:val="24"/>
              </w:rPr>
            </w:pPr>
          </w:p>
        </w:tc>
      </w:tr>
      <w:tr w:rsidR="00526891" w14:paraId="6C8F2962" w14:textId="77777777" w:rsidTr="00611AFE">
        <w:trPr>
          <w:trHeight w:val="59"/>
          <w:jc w:val="center"/>
        </w:trPr>
        <w:tc>
          <w:tcPr>
            <w:tcW w:w="1803" w:type="dxa"/>
          </w:tcPr>
          <w:p w14:paraId="06F0F9C9" w14:textId="36B6F2CC" w:rsidR="005D3877" w:rsidRDefault="005D3877" w:rsidP="00526891">
            <w:pPr>
              <w:jc w:val="both"/>
              <w:rPr>
                <w:rFonts w:ascii="Times New Roman" w:hAnsi="Times New Roman" w:cs="Times New Roman"/>
                <w:sz w:val="24"/>
                <w:szCs w:val="24"/>
              </w:rPr>
            </w:pPr>
          </w:p>
        </w:tc>
        <w:tc>
          <w:tcPr>
            <w:tcW w:w="5960" w:type="dxa"/>
          </w:tcPr>
          <w:p w14:paraId="78F66CE1" w14:textId="46A48712" w:rsidR="005D3877" w:rsidRPr="00611AFE" w:rsidRDefault="00611AFE" w:rsidP="00080B7C">
            <w:pPr>
              <w:ind w:firstLine="212"/>
              <w:jc w:val="both"/>
              <w:rPr>
                <w:rFonts w:ascii="Times New Roman" w:eastAsia="Times New Roman" w:hAnsi="Times New Roman" w:cs="Times New Roman"/>
                <w:sz w:val="24"/>
                <w:szCs w:val="24"/>
                <w:lang w:eastAsia="lt-LT"/>
              </w:rPr>
            </w:pPr>
            <w:bookmarkStart w:id="1" w:name="_Hlk84506117"/>
            <w:r w:rsidRPr="00611AFE">
              <w:rPr>
                <w:rFonts w:ascii="Times New Roman" w:hAnsi="Times New Roman" w:cs="Times New Roman"/>
                <w:sz w:val="24"/>
                <w:szCs w:val="24"/>
              </w:rPr>
              <w:t xml:space="preserve">2. Atsižvelgiant į tai, kad Įstatymo projekto 5 straipsniu siūloma nustatyti pareiginės algos kintamosios dalies mokėjimo laikotarpį, siūlome Keičiamo įstatymo 9 straipsnio 2, 3, 4, 5 dalyse aiškiai apibrėžti terminą, iki kurio mokama kintamoji dalis, pavyzdžiui, sprendimo priėmimo dienos. Kadangi Keičiamo įstatymo 9 straipsnio 2, 3, 4, 5 dalyse minėtas sprendimas gali būti priimtas bet kurią kalendorinio mėnesio darbo dieną, siūlome svarstyti galimybę pareiginės algos kintamosios dalies mokėjimo pabaigą susieti su kalendorinio mėnesio, kurį priimtas atitinkamas sprendimas, pabaiga, o pareiginės algos kintamoji dalis būtų nustatyta nuo kito kalendorinio mėnesio po atitinkamo sprendimo priėmimo dienos. Atitinkamai tikslintina Keičiamo įstatymo 14 straipsnio 11 dalis. </w:t>
            </w:r>
            <w:bookmarkEnd w:id="1"/>
          </w:p>
        </w:tc>
        <w:tc>
          <w:tcPr>
            <w:tcW w:w="7087" w:type="dxa"/>
          </w:tcPr>
          <w:p w14:paraId="5471A344" w14:textId="24FE34E9" w:rsidR="00D57E95" w:rsidRDefault="00D57E95" w:rsidP="00D57E95">
            <w:pPr>
              <w:ind w:firstLine="69"/>
              <w:jc w:val="both"/>
              <w:rPr>
                <w:rFonts w:ascii="Times New Roman" w:hAnsi="Times New Roman" w:cs="Times New Roman"/>
                <w:b/>
                <w:sz w:val="24"/>
                <w:szCs w:val="24"/>
              </w:rPr>
            </w:pPr>
            <w:r>
              <w:rPr>
                <w:rFonts w:ascii="Times New Roman" w:hAnsi="Times New Roman" w:cs="Times New Roman"/>
                <w:b/>
                <w:sz w:val="24"/>
                <w:szCs w:val="24"/>
              </w:rPr>
              <w:t xml:space="preserve"> Atsižvelgta iš dalies.</w:t>
            </w:r>
          </w:p>
          <w:p w14:paraId="26914870" w14:textId="77777777" w:rsidR="00D57E95" w:rsidRDefault="00D57E95" w:rsidP="00D57E95">
            <w:pPr>
              <w:ind w:firstLine="69"/>
              <w:jc w:val="both"/>
              <w:rPr>
                <w:rFonts w:ascii="Times New Roman" w:hAnsi="Times New Roman" w:cs="Times New Roman"/>
                <w:sz w:val="24"/>
                <w:szCs w:val="24"/>
              </w:rPr>
            </w:pPr>
            <w:r>
              <w:rPr>
                <w:rFonts w:ascii="Times New Roman" w:hAnsi="Times New Roman" w:cs="Times New Roman"/>
                <w:sz w:val="24"/>
                <w:szCs w:val="24"/>
              </w:rPr>
              <w:t>Patikslinome Įstatymo projekto 6 straipsnyje keičiamo Įstatymo 9 straipsnio 2, 3, 4 ir 5 dalyse bei 8 straipsnyje keičiamo Įstatymo 14 straipsnio 11 dalyje apibrėžtą terminą, nurodydami, kad kintamoji dalis mokama iki į pareigas priimančio asmens sprendimo įsigaliojimo dienos, kadangi į pareigas priimantis asmuo savo priimtame sprendime gali numatyti ir vėlesnę sprendimo įsigaliojimo datą.</w:t>
            </w:r>
          </w:p>
          <w:p w14:paraId="7FE62562" w14:textId="47408CAF" w:rsidR="00BC5B1F" w:rsidRDefault="00D57E95" w:rsidP="00163A5B">
            <w:pPr>
              <w:ind w:firstLine="69"/>
              <w:jc w:val="both"/>
              <w:rPr>
                <w:rFonts w:ascii="Times New Roman" w:hAnsi="Times New Roman" w:cs="Times New Roman"/>
                <w:sz w:val="24"/>
                <w:szCs w:val="24"/>
              </w:rPr>
            </w:pPr>
            <w:r>
              <w:rPr>
                <w:rFonts w:ascii="Times New Roman" w:hAnsi="Times New Roman" w:cs="Times New Roman"/>
                <w:sz w:val="24"/>
                <w:szCs w:val="24"/>
              </w:rPr>
              <w:t>Lietuvos Respublikos socialinės apsaugos ir darbo m</w:t>
            </w:r>
            <w:r w:rsidR="00BC5B1F">
              <w:rPr>
                <w:rFonts w:ascii="Times New Roman" w:hAnsi="Times New Roman" w:cs="Times New Roman"/>
                <w:sz w:val="24"/>
                <w:szCs w:val="24"/>
              </w:rPr>
              <w:t>inisterija apsvarstė galimybę pareiginės algos kintamosios dalies mokėjimo pabaigą susieti su kalendorinio mėnesio, kurį priimtas atitinkamas sprendimas, pabaiga, o pareiginės algos kintamąją dalį nustatyti nuo kito kalendorinio mėnesio po atitinkamo sprendimo priėmimo dienos, tačiau</w:t>
            </w:r>
            <w:r w:rsidR="00132D75">
              <w:rPr>
                <w:rFonts w:ascii="Times New Roman" w:hAnsi="Times New Roman" w:cs="Times New Roman"/>
                <w:sz w:val="24"/>
                <w:szCs w:val="24"/>
              </w:rPr>
              <w:t xml:space="preserve"> manome, kad nėra tikslinga tai reglamentuoti Įstatyme. Valstybės ir savivaldybių įstaigos tai gali pačios nusimatyti savo darbo apmokėjimo sistemose. O be to, naujam darbuotojui, kurio kasmetinis veiklos vertinimas įstaigoje yra pirmas, kintamoji dalis pagal dabartinį įstatymo reglamentavimą gali būti paskiriama anksčiau, nuo mėnesio pradžios ar vidurio</w:t>
            </w:r>
            <w:r w:rsidR="00474428">
              <w:rPr>
                <w:rFonts w:ascii="Times New Roman" w:hAnsi="Times New Roman" w:cs="Times New Roman"/>
                <w:sz w:val="24"/>
                <w:szCs w:val="24"/>
              </w:rPr>
              <w:t>, t. y. tada, kada į pareigas priimantis asmuo priima atitinkamą sprendimą, nereikia laukti kito mėnesio pradžios.</w:t>
            </w:r>
          </w:p>
          <w:p w14:paraId="6633CEBE" w14:textId="6A10277D" w:rsidR="00080B7C" w:rsidRPr="00F719C3" w:rsidRDefault="00080B7C" w:rsidP="00474428">
            <w:pPr>
              <w:ind w:firstLine="69"/>
              <w:jc w:val="both"/>
              <w:rPr>
                <w:rFonts w:ascii="Times New Roman" w:hAnsi="Times New Roman" w:cs="Times New Roman"/>
                <w:sz w:val="24"/>
                <w:szCs w:val="24"/>
              </w:rPr>
            </w:pPr>
          </w:p>
        </w:tc>
      </w:tr>
    </w:tbl>
    <w:p w14:paraId="6DD7C238" w14:textId="77777777" w:rsidR="000D48D8" w:rsidRPr="00E0004D" w:rsidRDefault="000D48D8">
      <w:pPr>
        <w:rPr>
          <w:sz w:val="24"/>
          <w:szCs w:val="24"/>
        </w:rPr>
      </w:pPr>
    </w:p>
    <w:sectPr w:rsidR="000D48D8" w:rsidRPr="00E0004D" w:rsidSect="005C10D6">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EF817" w14:textId="77777777" w:rsidR="00A36D93" w:rsidRDefault="00A36D93" w:rsidP="00D854FF">
      <w:pPr>
        <w:spacing w:after="0" w:line="240" w:lineRule="auto"/>
      </w:pPr>
      <w:r>
        <w:separator/>
      </w:r>
    </w:p>
  </w:endnote>
  <w:endnote w:type="continuationSeparator" w:id="0">
    <w:p w14:paraId="03888B16" w14:textId="77777777" w:rsidR="00A36D93" w:rsidRDefault="00A36D93" w:rsidP="00D8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E016C" w14:textId="77777777" w:rsidR="00A36D93" w:rsidRDefault="00A36D93" w:rsidP="00D854FF">
      <w:pPr>
        <w:spacing w:after="0" w:line="240" w:lineRule="auto"/>
      </w:pPr>
      <w:r>
        <w:separator/>
      </w:r>
    </w:p>
  </w:footnote>
  <w:footnote w:type="continuationSeparator" w:id="0">
    <w:p w14:paraId="453A2043" w14:textId="77777777" w:rsidR="00A36D93" w:rsidRDefault="00A36D93" w:rsidP="00D85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423696"/>
      <w:docPartObj>
        <w:docPartGallery w:val="Page Numbers (Top of Page)"/>
        <w:docPartUnique/>
      </w:docPartObj>
    </w:sdtPr>
    <w:sdtEndPr/>
    <w:sdtContent>
      <w:p w14:paraId="611AD93E" w14:textId="77777777" w:rsidR="00340E6B" w:rsidRDefault="00340E6B">
        <w:pPr>
          <w:pStyle w:val="Antrats"/>
          <w:jc w:val="center"/>
        </w:pPr>
        <w:r>
          <w:fldChar w:fldCharType="begin"/>
        </w:r>
        <w:r>
          <w:instrText>PAGE   \* MERGEFORMAT</w:instrText>
        </w:r>
        <w:r>
          <w:fldChar w:fldCharType="separate"/>
        </w:r>
        <w:r w:rsidR="00F14689">
          <w:rPr>
            <w:noProof/>
          </w:rPr>
          <w:t>2</w:t>
        </w:r>
        <w:r>
          <w:fldChar w:fldCharType="end"/>
        </w:r>
      </w:p>
    </w:sdtContent>
  </w:sdt>
  <w:p w14:paraId="5E0CFD42" w14:textId="77777777" w:rsidR="00D854FF" w:rsidRDefault="00D854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80"/>
    <w:rsid w:val="000161ED"/>
    <w:rsid w:val="00053585"/>
    <w:rsid w:val="00062A7A"/>
    <w:rsid w:val="00080B7C"/>
    <w:rsid w:val="000A1513"/>
    <w:rsid w:val="000D48D8"/>
    <w:rsid w:val="001116E2"/>
    <w:rsid w:val="00120ED7"/>
    <w:rsid w:val="001250D7"/>
    <w:rsid w:val="00132D75"/>
    <w:rsid w:val="001515AB"/>
    <w:rsid w:val="00163A5B"/>
    <w:rsid w:val="00186B6C"/>
    <w:rsid w:val="00187852"/>
    <w:rsid w:val="001B32E9"/>
    <w:rsid w:val="001B79AF"/>
    <w:rsid w:val="001B7A00"/>
    <w:rsid w:val="001C1936"/>
    <w:rsid w:val="001C7D2E"/>
    <w:rsid w:val="001D3A0F"/>
    <w:rsid w:val="00203239"/>
    <w:rsid w:val="00203321"/>
    <w:rsid w:val="002132CC"/>
    <w:rsid w:val="0026135E"/>
    <w:rsid w:val="002625EE"/>
    <w:rsid w:val="00266D92"/>
    <w:rsid w:val="00286C79"/>
    <w:rsid w:val="0028759E"/>
    <w:rsid w:val="00296144"/>
    <w:rsid w:val="002A300B"/>
    <w:rsid w:val="002C50DC"/>
    <w:rsid w:val="002C6BB7"/>
    <w:rsid w:val="002D177E"/>
    <w:rsid w:val="002F1DC6"/>
    <w:rsid w:val="00332A92"/>
    <w:rsid w:val="00340E6B"/>
    <w:rsid w:val="003B0353"/>
    <w:rsid w:val="003D1A38"/>
    <w:rsid w:val="003E7F32"/>
    <w:rsid w:val="00404127"/>
    <w:rsid w:val="004161BF"/>
    <w:rsid w:val="004407F9"/>
    <w:rsid w:val="0044114E"/>
    <w:rsid w:val="004454CF"/>
    <w:rsid w:val="00457D8A"/>
    <w:rsid w:val="00474428"/>
    <w:rsid w:val="00484952"/>
    <w:rsid w:val="004A6FA8"/>
    <w:rsid w:val="004C7A03"/>
    <w:rsid w:val="00504B3D"/>
    <w:rsid w:val="0051770A"/>
    <w:rsid w:val="00526891"/>
    <w:rsid w:val="00543AB0"/>
    <w:rsid w:val="00550C8F"/>
    <w:rsid w:val="00556FFB"/>
    <w:rsid w:val="00560373"/>
    <w:rsid w:val="00561297"/>
    <w:rsid w:val="0058630F"/>
    <w:rsid w:val="005C10D6"/>
    <w:rsid w:val="005C11D1"/>
    <w:rsid w:val="005C71FB"/>
    <w:rsid w:val="005D0B81"/>
    <w:rsid w:val="005D3877"/>
    <w:rsid w:val="005D6CB1"/>
    <w:rsid w:val="005E53EB"/>
    <w:rsid w:val="005F331D"/>
    <w:rsid w:val="005F50D9"/>
    <w:rsid w:val="00611AFE"/>
    <w:rsid w:val="00613932"/>
    <w:rsid w:val="0061651D"/>
    <w:rsid w:val="00654415"/>
    <w:rsid w:val="00663DE6"/>
    <w:rsid w:val="0067086E"/>
    <w:rsid w:val="006C121A"/>
    <w:rsid w:val="006C2D60"/>
    <w:rsid w:val="00756683"/>
    <w:rsid w:val="00791692"/>
    <w:rsid w:val="007917F1"/>
    <w:rsid w:val="007A1E0A"/>
    <w:rsid w:val="007A5974"/>
    <w:rsid w:val="007C0B87"/>
    <w:rsid w:val="007C7FE4"/>
    <w:rsid w:val="00810928"/>
    <w:rsid w:val="008213ED"/>
    <w:rsid w:val="00831967"/>
    <w:rsid w:val="00853299"/>
    <w:rsid w:val="008719D4"/>
    <w:rsid w:val="00880C85"/>
    <w:rsid w:val="008B363B"/>
    <w:rsid w:val="008C5086"/>
    <w:rsid w:val="009006F6"/>
    <w:rsid w:val="009037A8"/>
    <w:rsid w:val="00911B06"/>
    <w:rsid w:val="0091592D"/>
    <w:rsid w:val="0095356E"/>
    <w:rsid w:val="009651AF"/>
    <w:rsid w:val="00976B46"/>
    <w:rsid w:val="00996C67"/>
    <w:rsid w:val="009A0141"/>
    <w:rsid w:val="009E5A56"/>
    <w:rsid w:val="00A04098"/>
    <w:rsid w:val="00A13BF8"/>
    <w:rsid w:val="00A25780"/>
    <w:rsid w:val="00A36D93"/>
    <w:rsid w:val="00A6733D"/>
    <w:rsid w:val="00A8082F"/>
    <w:rsid w:val="00A80D81"/>
    <w:rsid w:val="00A8678E"/>
    <w:rsid w:val="00AD00C6"/>
    <w:rsid w:val="00AF2484"/>
    <w:rsid w:val="00B21176"/>
    <w:rsid w:val="00B8416B"/>
    <w:rsid w:val="00B911D0"/>
    <w:rsid w:val="00BA3704"/>
    <w:rsid w:val="00BA514A"/>
    <w:rsid w:val="00BC0773"/>
    <w:rsid w:val="00BC5B1F"/>
    <w:rsid w:val="00BE5D99"/>
    <w:rsid w:val="00BF0CC0"/>
    <w:rsid w:val="00BF5943"/>
    <w:rsid w:val="00C41F47"/>
    <w:rsid w:val="00C50533"/>
    <w:rsid w:val="00C62D46"/>
    <w:rsid w:val="00C742B0"/>
    <w:rsid w:val="00C75944"/>
    <w:rsid w:val="00CA4FF5"/>
    <w:rsid w:val="00CC40ED"/>
    <w:rsid w:val="00CC7CCF"/>
    <w:rsid w:val="00CF263B"/>
    <w:rsid w:val="00D01689"/>
    <w:rsid w:val="00D05B71"/>
    <w:rsid w:val="00D07F83"/>
    <w:rsid w:val="00D10B1E"/>
    <w:rsid w:val="00D17488"/>
    <w:rsid w:val="00D57E95"/>
    <w:rsid w:val="00D854FF"/>
    <w:rsid w:val="00DA56AF"/>
    <w:rsid w:val="00DB3F66"/>
    <w:rsid w:val="00DD3EA8"/>
    <w:rsid w:val="00DF7126"/>
    <w:rsid w:val="00E0004D"/>
    <w:rsid w:val="00E45B28"/>
    <w:rsid w:val="00E4734E"/>
    <w:rsid w:val="00E643D3"/>
    <w:rsid w:val="00E7631C"/>
    <w:rsid w:val="00E877B6"/>
    <w:rsid w:val="00EA5B1B"/>
    <w:rsid w:val="00F03B7E"/>
    <w:rsid w:val="00F13C28"/>
    <w:rsid w:val="00F14689"/>
    <w:rsid w:val="00F35264"/>
    <w:rsid w:val="00F3555C"/>
    <w:rsid w:val="00F4416F"/>
    <w:rsid w:val="00F719C3"/>
    <w:rsid w:val="00F80346"/>
    <w:rsid w:val="00F922A8"/>
    <w:rsid w:val="00FA3E40"/>
    <w:rsid w:val="00FC043E"/>
    <w:rsid w:val="00FC5EBD"/>
    <w:rsid w:val="00FD13A7"/>
    <w:rsid w:val="00FE6A52"/>
    <w:rsid w:val="00FF1E29"/>
    <w:rsid w:val="00FF4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C0DD1"/>
  <w15:docId w15:val="{CB4CC530-DE21-43A8-8E82-6996DF84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57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0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95356E"/>
    <w:pPr>
      <w:spacing w:before="40" w:after="40" w:line="240" w:lineRule="auto"/>
      <w:ind w:right="40" w:firstLine="1247"/>
      <w:jc w:val="both"/>
    </w:pPr>
    <w:rPr>
      <w:rFonts w:ascii="Times New Roman" w:eastAsia="Times New Roman" w:hAnsi="Times New Roman" w:cs="Times New Roman"/>
      <w:sz w:val="24"/>
      <w:szCs w:val="24"/>
    </w:rPr>
  </w:style>
  <w:style w:type="paragraph" w:styleId="Sraopastraipa">
    <w:name w:val="List Paragraph"/>
    <w:basedOn w:val="prastasis"/>
    <w:uiPriority w:val="34"/>
    <w:qFormat/>
    <w:rsid w:val="0095356E"/>
    <w:pPr>
      <w:ind w:left="720"/>
      <w:contextualSpacing/>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D016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1689"/>
    <w:rPr>
      <w:rFonts w:ascii="Tahoma" w:hAnsi="Tahoma" w:cs="Tahoma"/>
      <w:sz w:val="16"/>
      <w:szCs w:val="16"/>
    </w:rPr>
  </w:style>
  <w:style w:type="character" w:styleId="Komentaronuoroda">
    <w:name w:val="annotation reference"/>
    <w:basedOn w:val="Numatytasispastraiposriftas"/>
    <w:uiPriority w:val="99"/>
    <w:semiHidden/>
    <w:unhideWhenUsed/>
    <w:rsid w:val="00BA3704"/>
    <w:rPr>
      <w:sz w:val="16"/>
      <w:szCs w:val="16"/>
    </w:rPr>
  </w:style>
  <w:style w:type="paragraph" w:styleId="Komentarotekstas">
    <w:name w:val="annotation text"/>
    <w:basedOn w:val="prastasis"/>
    <w:link w:val="KomentarotekstasDiagrama"/>
    <w:uiPriority w:val="99"/>
    <w:semiHidden/>
    <w:unhideWhenUsed/>
    <w:rsid w:val="00BA37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A3704"/>
    <w:rPr>
      <w:sz w:val="20"/>
      <w:szCs w:val="20"/>
    </w:rPr>
  </w:style>
  <w:style w:type="paragraph" w:styleId="Komentarotema">
    <w:name w:val="annotation subject"/>
    <w:basedOn w:val="Komentarotekstas"/>
    <w:next w:val="Komentarotekstas"/>
    <w:link w:val="KomentarotemaDiagrama"/>
    <w:uiPriority w:val="99"/>
    <w:semiHidden/>
    <w:unhideWhenUsed/>
    <w:rsid w:val="00BA3704"/>
    <w:rPr>
      <w:b/>
      <w:bCs/>
    </w:rPr>
  </w:style>
  <w:style w:type="character" w:customStyle="1" w:styleId="KomentarotemaDiagrama">
    <w:name w:val="Komentaro tema Diagrama"/>
    <w:basedOn w:val="KomentarotekstasDiagrama"/>
    <w:link w:val="Komentarotema"/>
    <w:uiPriority w:val="99"/>
    <w:semiHidden/>
    <w:rsid w:val="00BA3704"/>
    <w:rPr>
      <w:b/>
      <w:bCs/>
      <w:sz w:val="20"/>
      <w:szCs w:val="20"/>
    </w:rPr>
  </w:style>
  <w:style w:type="paragraph" w:styleId="Pataisymai">
    <w:name w:val="Revision"/>
    <w:hidden/>
    <w:uiPriority w:val="99"/>
    <w:semiHidden/>
    <w:rsid w:val="00BA3704"/>
    <w:pPr>
      <w:spacing w:after="0" w:line="240" w:lineRule="auto"/>
    </w:pPr>
  </w:style>
  <w:style w:type="paragraph" w:styleId="Antrats">
    <w:name w:val="header"/>
    <w:aliases w:val=" Char,Char"/>
    <w:basedOn w:val="prastasis"/>
    <w:link w:val="AntratsDiagrama"/>
    <w:uiPriority w:val="99"/>
    <w:unhideWhenUsed/>
    <w:rsid w:val="00D854FF"/>
    <w:pPr>
      <w:tabs>
        <w:tab w:val="center" w:pos="4819"/>
        <w:tab w:val="right" w:pos="9638"/>
      </w:tabs>
      <w:spacing w:after="0" w:line="240" w:lineRule="auto"/>
    </w:pPr>
  </w:style>
  <w:style w:type="character" w:customStyle="1" w:styleId="AntratsDiagrama">
    <w:name w:val="Antraštės Diagrama"/>
    <w:aliases w:val=" Char Diagrama,Char Diagrama"/>
    <w:basedOn w:val="Numatytasispastraiposriftas"/>
    <w:link w:val="Antrats"/>
    <w:uiPriority w:val="99"/>
    <w:rsid w:val="00D854FF"/>
  </w:style>
  <w:style w:type="paragraph" w:styleId="Porat">
    <w:name w:val="footer"/>
    <w:basedOn w:val="prastasis"/>
    <w:link w:val="PoratDiagrama"/>
    <w:uiPriority w:val="99"/>
    <w:unhideWhenUsed/>
    <w:rsid w:val="00D854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5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022B1-44A6-4FC9-9662-D5FA163B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3947</Words>
  <Characters>2250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2021-10-11T10:25:00Z</dcterms:created>
  <dc:creator>Vanda Dudienė</dc:creator>
  <cp:lastModifiedBy>Agnė Nakčerienė</cp:lastModifiedBy>
  <cp:lastPrinted>2017-05-26T06:01:00Z</cp:lastPrinted>
  <dcterms:modified xsi:type="dcterms:W3CDTF">2021-10-11T10:25:00Z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