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920" w14:textId="77777777" w:rsidR="00192E94" w:rsidRPr="001826C6" w:rsidRDefault="00192E94" w:rsidP="00192E94">
      <w:pPr>
        <w:rPr>
          <w:rFonts w:ascii="Tahoma" w:hAnsi="Tahoma" w:cs="Tahoma"/>
          <w:sz w:val="22"/>
          <w:szCs w:val="22"/>
        </w:rPr>
      </w:pPr>
    </w:p>
    <w:p w14:paraId="5D3217AF" w14:textId="5A3850AF" w:rsidR="00192E94" w:rsidRPr="001826C6" w:rsidRDefault="00D2126E" w:rsidP="00370D3C">
      <w:pPr>
        <w:tabs>
          <w:tab w:val="left" w:pos="6804"/>
        </w:tabs>
        <w:rPr>
          <w:b/>
          <w:bCs/>
          <w:szCs w:val="24"/>
          <w:lang w:eastAsia="lt-LT"/>
        </w:rPr>
      </w:pPr>
      <w:r w:rsidRPr="001826C6">
        <w:rPr>
          <w:rFonts w:ascii="Tahoma" w:hAnsi="Tahoma" w:cs="Tahoma"/>
          <w:b/>
          <w:bCs/>
          <w:sz w:val="22"/>
          <w:szCs w:val="22"/>
          <w:lang w:eastAsia="lt-LT"/>
        </w:rPr>
        <w:tab/>
      </w:r>
      <w:r w:rsidR="00192E94" w:rsidRPr="001826C6">
        <w:rPr>
          <w:b/>
          <w:bCs/>
          <w:szCs w:val="24"/>
          <w:lang w:eastAsia="lt-LT"/>
        </w:rPr>
        <w:t xml:space="preserve">Projekto </w:t>
      </w:r>
    </w:p>
    <w:p w14:paraId="65C38677" w14:textId="389FDF90" w:rsidR="00D2126E" w:rsidRPr="001826C6" w:rsidRDefault="008F42AA" w:rsidP="00370D3C">
      <w:pPr>
        <w:tabs>
          <w:tab w:val="left" w:pos="6803"/>
        </w:tabs>
        <w:ind w:firstLine="6379"/>
        <w:rPr>
          <w:b/>
          <w:bCs/>
          <w:szCs w:val="24"/>
          <w:lang w:eastAsia="lt-LT"/>
        </w:rPr>
      </w:pPr>
      <w:r w:rsidRPr="001826C6">
        <w:rPr>
          <w:b/>
          <w:bCs/>
          <w:szCs w:val="24"/>
          <w:lang w:eastAsia="lt-LT"/>
        </w:rPr>
        <w:t xml:space="preserve">       </w:t>
      </w:r>
      <w:r w:rsidR="00D2126E" w:rsidRPr="001826C6">
        <w:rPr>
          <w:b/>
          <w:bCs/>
          <w:szCs w:val="24"/>
          <w:lang w:eastAsia="lt-LT"/>
        </w:rPr>
        <w:t>l</w:t>
      </w:r>
      <w:r w:rsidR="00192E94" w:rsidRPr="001826C6">
        <w:rPr>
          <w:b/>
          <w:bCs/>
          <w:szCs w:val="24"/>
          <w:lang w:eastAsia="lt-LT"/>
        </w:rPr>
        <w:t>yginamasis</w:t>
      </w:r>
      <w:r w:rsidRPr="001826C6">
        <w:rPr>
          <w:b/>
          <w:bCs/>
          <w:szCs w:val="24"/>
          <w:lang w:eastAsia="lt-LT"/>
        </w:rPr>
        <w:t xml:space="preserve"> variantas</w:t>
      </w:r>
    </w:p>
    <w:p w14:paraId="190A60AB" w14:textId="7875081A" w:rsidR="00192E94" w:rsidRPr="001826C6" w:rsidRDefault="00D2126E" w:rsidP="00D2126E">
      <w:pPr>
        <w:tabs>
          <w:tab w:val="left" w:pos="7513"/>
        </w:tabs>
        <w:ind w:firstLine="6379"/>
        <w:jc w:val="center"/>
        <w:rPr>
          <w:b/>
          <w:bCs/>
          <w:szCs w:val="24"/>
          <w:lang w:eastAsia="lt-LT"/>
        </w:rPr>
      </w:pPr>
      <w:r w:rsidRPr="001826C6">
        <w:rPr>
          <w:b/>
          <w:bCs/>
          <w:szCs w:val="24"/>
          <w:lang w:eastAsia="lt-LT"/>
        </w:rPr>
        <w:tab/>
        <w:t xml:space="preserve">           </w:t>
      </w:r>
    </w:p>
    <w:p w14:paraId="3E2B4701" w14:textId="77777777" w:rsidR="00192E94" w:rsidRPr="001826C6" w:rsidRDefault="00192E94" w:rsidP="00192E94">
      <w:pPr>
        <w:jc w:val="right"/>
        <w:rPr>
          <w:b/>
          <w:bCs/>
          <w:szCs w:val="24"/>
          <w:lang w:eastAsia="lt-LT"/>
        </w:rPr>
      </w:pPr>
    </w:p>
    <w:p w14:paraId="1D4FC4C3" w14:textId="77777777" w:rsidR="00192E94" w:rsidRPr="001826C6" w:rsidRDefault="00192E94" w:rsidP="00800DED">
      <w:pPr>
        <w:jc w:val="center"/>
        <w:rPr>
          <w:b/>
          <w:szCs w:val="24"/>
          <w:lang w:eastAsia="lt-LT"/>
        </w:rPr>
      </w:pPr>
      <w:r w:rsidRPr="001826C6">
        <w:rPr>
          <w:b/>
          <w:bCs/>
          <w:szCs w:val="24"/>
          <w:lang w:eastAsia="lt-LT"/>
        </w:rPr>
        <w:t>LIETUVOS RESPUBLIKOS</w:t>
      </w:r>
    </w:p>
    <w:p w14:paraId="183C26B0" w14:textId="76065A55" w:rsidR="00192E94" w:rsidRPr="001826C6" w:rsidRDefault="009B0655" w:rsidP="009B0655">
      <w:pPr>
        <w:jc w:val="center"/>
        <w:rPr>
          <w:b/>
          <w:szCs w:val="24"/>
          <w:lang w:eastAsia="lt-LT"/>
        </w:rPr>
      </w:pPr>
      <w:r w:rsidRPr="001826C6">
        <w:rPr>
          <w:b/>
          <w:bCs/>
          <w:szCs w:val="24"/>
          <w:lang w:eastAsia="lt-LT"/>
        </w:rPr>
        <w:t>NEKILNOJAMOJO TURTO REGISTRO ĮSTATYMO NR. I-1539</w:t>
      </w:r>
      <w:r w:rsidRPr="001826C6">
        <w:rPr>
          <w:b/>
          <w:szCs w:val="24"/>
          <w:lang w:eastAsia="lt-LT"/>
        </w:rPr>
        <w:t xml:space="preserve"> </w:t>
      </w:r>
      <w:r w:rsidR="00D74CDA" w:rsidRPr="001826C6">
        <w:rPr>
          <w:b/>
          <w:szCs w:val="24"/>
          <w:lang w:eastAsia="lt-LT"/>
        </w:rPr>
        <w:t xml:space="preserve">9, </w:t>
      </w:r>
      <w:r w:rsidR="0091047D" w:rsidRPr="001826C6">
        <w:rPr>
          <w:b/>
          <w:szCs w:val="24"/>
          <w:lang w:eastAsia="lt-LT"/>
        </w:rPr>
        <w:t>21</w:t>
      </w:r>
      <w:r w:rsidR="00D74CDA" w:rsidRPr="001826C6">
        <w:rPr>
          <w:b/>
          <w:szCs w:val="24"/>
          <w:lang w:eastAsia="lt-LT"/>
        </w:rPr>
        <w:t>,</w:t>
      </w:r>
      <w:r w:rsidR="0091047D" w:rsidRPr="001826C6">
        <w:rPr>
          <w:b/>
          <w:szCs w:val="24"/>
          <w:lang w:eastAsia="lt-LT"/>
        </w:rPr>
        <w:t xml:space="preserve"> </w:t>
      </w:r>
      <w:r w:rsidR="0091047D" w:rsidRPr="001826C6">
        <w:rPr>
          <w:b/>
          <w:strike/>
          <w:szCs w:val="24"/>
          <w:lang w:eastAsia="lt-LT"/>
        </w:rPr>
        <w:t>IR</w:t>
      </w:r>
      <w:r w:rsidR="0091047D" w:rsidRPr="001826C6">
        <w:rPr>
          <w:b/>
          <w:szCs w:val="24"/>
          <w:lang w:eastAsia="lt-LT"/>
        </w:rPr>
        <w:t xml:space="preserve"> 26</w:t>
      </w:r>
      <w:r w:rsidR="000E451B" w:rsidRPr="001826C6">
        <w:rPr>
          <w:b/>
          <w:szCs w:val="24"/>
          <w:lang w:eastAsia="lt-LT"/>
        </w:rPr>
        <w:t xml:space="preserve"> </w:t>
      </w:r>
      <w:r w:rsidR="00D74CDA" w:rsidRPr="001826C6">
        <w:rPr>
          <w:b/>
          <w:szCs w:val="24"/>
          <w:lang w:eastAsia="lt-LT"/>
        </w:rPr>
        <w:t>IR</w:t>
      </w:r>
      <w:r w:rsidR="00D74CDA" w:rsidRPr="001826C6">
        <w:rPr>
          <w:b/>
          <w:bCs/>
          <w:caps/>
          <w:szCs w:val="24"/>
        </w:rPr>
        <w:t xml:space="preserve"> 38 </w:t>
      </w:r>
      <w:r w:rsidR="0091047D" w:rsidRPr="001826C6">
        <w:rPr>
          <w:b/>
          <w:bCs/>
          <w:caps/>
          <w:szCs w:val="24"/>
        </w:rPr>
        <w:t>STRAIPSNIŲ PAKEITIMO</w:t>
      </w:r>
    </w:p>
    <w:p w14:paraId="56A4EA1B" w14:textId="77777777" w:rsidR="00192E94" w:rsidRPr="001826C6" w:rsidRDefault="00192E94" w:rsidP="00800DED">
      <w:pPr>
        <w:jc w:val="center"/>
        <w:rPr>
          <w:b/>
          <w:szCs w:val="24"/>
          <w:lang w:eastAsia="lt-LT"/>
        </w:rPr>
      </w:pPr>
      <w:r w:rsidRPr="001826C6">
        <w:rPr>
          <w:b/>
          <w:bCs/>
          <w:szCs w:val="24"/>
          <w:lang w:eastAsia="lt-LT"/>
        </w:rPr>
        <w:t>ĮSTATYMAS</w:t>
      </w:r>
    </w:p>
    <w:p w14:paraId="0FB5E22E" w14:textId="77777777" w:rsidR="00192E94" w:rsidRPr="001826C6" w:rsidRDefault="00192E94" w:rsidP="00192E94">
      <w:pPr>
        <w:jc w:val="center"/>
        <w:rPr>
          <w:b/>
          <w:szCs w:val="24"/>
          <w:lang w:eastAsia="lt-LT"/>
        </w:rPr>
      </w:pPr>
    </w:p>
    <w:p w14:paraId="4FB2C66B" w14:textId="745932ED" w:rsidR="00192E94" w:rsidRPr="001826C6" w:rsidRDefault="00192E94" w:rsidP="00192E94">
      <w:pPr>
        <w:jc w:val="center"/>
        <w:rPr>
          <w:szCs w:val="24"/>
          <w:lang w:eastAsia="lt-LT"/>
        </w:rPr>
      </w:pPr>
      <w:r w:rsidRPr="001826C6">
        <w:rPr>
          <w:szCs w:val="24"/>
          <w:lang w:eastAsia="lt-LT"/>
        </w:rPr>
        <w:t>Nr.</w:t>
      </w:r>
    </w:p>
    <w:p w14:paraId="1872CA32" w14:textId="77777777" w:rsidR="00192E94" w:rsidRPr="001826C6" w:rsidRDefault="00192E94" w:rsidP="00192E94">
      <w:pPr>
        <w:jc w:val="center"/>
        <w:rPr>
          <w:szCs w:val="24"/>
          <w:lang w:eastAsia="lt-LT"/>
        </w:rPr>
      </w:pPr>
      <w:r w:rsidRPr="001826C6">
        <w:rPr>
          <w:szCs w:val="24"/>
          <w:lang w:eastAsia="lt-LT"/>
        </w:rPr>
        <w:t>Vilnius</w:t>
      </w:r>
    </w:p>
    <w:p w14:paraId="4540AEF3" w14:textId="72884865" w:rsidR="00F65757" w:rsidRPr="001826C6" w:rsidRDefault="00F65757" w:rsidP="001C1146">
      <w:pPr>
        <w:jc w:val="both"/>
        <w:rPr>
          <w:szCs w:val="24"/>
        </w:rPr>
      </w:pPr>
    </w:p>
    <w:p w14:paraId="45F7B509" w14:textId="35EB530F" w:rsidR="00D74CDA" w:rsidRPr="001826C6" w:rsidRDefault="00D74CDA" w:rsidP="00012958">
      <w:pPr>
        <w:ind w:firstLine="680"/>
        <w:jc w:val="both"/>
        <w:rPr>
          <w:b/>
          <w:szCs w:val="24"/>
        </w:rPr>
      </w:pPr>
      <w:r w:rsidRPr="001826C6">
        <w:rPr>
          <w:b/>
          <w:szCs w:val="24"/>
        </w:rPr>
        <w:t>1 straipsnis. 9 straipsnio pakeitimas</w:t>
      </w:r>
    </w:p>
    <w:p w14:paraId="1FDE3A39" w14:textId="4B3F0DF6" w:rsidR="00D74CDA" w:rsidRPr="001826C6" w:rsidRDefault="00D74CDA" w:rsidP="00012958">
      <w:pPr>
        <w:ind w:firstLine="680"/>
        <w:jc w:val="both"/>
        <w:rPr>
          <w:bCs/>
          <w:szCs w:val="24"/>
        </w:rPr>
      </w:pPr>
      <w:r w:rsidRPr="001826C6">
        <w:rPr>
          <w:bCs/>
          <w:szCs w:val="24"/>
        </w:rPr>
        <w:t>Pakeisti 9 straipsnio 2 dalį ir ją išdėstyti taip:</w:t>
      </w:r>
    </w:p>
    <w:p w14:paraId="4D076724" w14:textId="47A0780A" w:rsidR="00D74CDA" w:rsidRPr="001826C6" w:rsidRDefault="00D74CDA" w:rsidP="00012958">
      <w:pPr>
        <w:ind w:firstLine="680"/>
        <w:jc w:val="both"/>
        <w:rPr>
          <w:b/>
          <w:szCs w:val="24"/>
        </w:rPr>
      </w:pPr>
      <w:r w:rsidRPr="001826C6">
        <w:rPr>
          <w:bCs/>
          <w:szCs w:val="24"/>
        </w:rPr>
        <w:t>„</w:t>
      </w:r>
      <w:r w:rsidRPr="001826C6">
        <w:rPr>
          <w:szCs w:val="24"/>
        </w:rPr>
        <w:t xml:space="preserve">2. Nekilnojamojo daikto įregistravimu nekilnojamojo turto registre yra laikomas </w:t>
      </w:r>
      <w:bookmarkStart w:id="0" w:name="n1_64"/>
      <w:r w:rsidRPr="001826C6">
        <w:rPr>
          <w:szCs w:val="24"/>
        </w:rPr>
        <w:fldChar w:fldCharType="begin"/>
      </w:r>
      <w:r w:rsidRPr="001826C6">
        <w:rPr>
          <w:szCs w:val="24"/>
        </w:rPr>
        <w:instrText xml:space="preserve"> HYPERLINK "https://www.infolex.lt/ta/103542" \o "Lietuvos Respublikos nekilnojamojo turto kadastro įstatymas" \t "_blank" </w:instrText>
      </w:r>
      <w:r w:rsidRPr="001826C6">
        <w:rPr>
          <w:szCs w:val="24"/>
        </w:rPr>
        <w:fldChar w:fldCharType="separate"/>
      </w:r>
      <w:r w:rsidRPr="001826C6">
        <w:rPr>
          <w:rStyle w:val="Hipersaitas"/>
          <w:color w:val="auto"/>
          <w:szCs w:val="24"/>
        </w:rPr>
        <w:t>Nekilnojamojo turto kadastro įstatymo</w:t>
      </w:r>
      <w:r w:rsidRPr="001826C6">
        <w:rPr>
          <w:szCs w:val="24"/>
        </w:rPr>
        <w:fldChar w:fldCharType="end"/>
      </w:r>
      <w:bookmarkStart w:id="1" w:name="pn1_64"/>
      <w:bookmarkEnd w:id="0"/>
      <w:bookmarkEnd w:id="1"/>
      <w:r w:rsidRPr="001826C6">
        <w:rPr>
          <w:szCs w:val="24"/>
        </w:rPr>
        <w:t xml:space="preserve"> nustatyta tvarka to daikto duomenų įrašymas į nekilnojamojo turto kadastrą. Registruojant nekilnojamąjį daiktą į nekilnojamojo turto registrą, padaromas nekilnojamojo daikto registro įrašas. Nekilnojamojo daikto kadastro duomenys kaupiami nekilnojamojo turto registro duomenų </w:t>
      </w:r>
      <w:r w:rsidRPr="001826C6">
        <w:rPr>
          <w:strike/>
          <w:szCs w:val="24"/>
        </w:rPr>
        <w:t>banke</w:t>
      </w:r>
      <w:r w:rsidRPr="001826C6">
        <w:rPr>
          <w:szCs w:val="24"/>
        </w:rPr>
        <w:t xml:space="preserve"> </w:t>
      </w:r>
      <w:r w:rsidRPr="001826C6">
        <w:rPr>
          <w:b/>
          <w:szCs w:val="24"/>
        </w:rPr>
        <w:t>bazėje</w:t>
      </w:r>
      <w:r w:rsidRPr="001826C6">
        <w:rPr>
          <w:szCs w:val="24"/>
        </w:rPr>
        <w:t>.“</w:t>
      </w:r>
    </w:p>
    <w:p w14:paraId="655FAE0D" w14:textId="77777777" w:rsidR="00D74CDA" w:rsidRPr="001826C6" w:rsidRDefault="00D74CDA" w:rsidP="00012958">
      <w:pPr>
        <w:ind w:firstLine="680"/>
        <w:jc w:val="both"/>
        <w:rPr>
          <w:b/>
          <w:szCs w:val="24"/>
        </w:rPr>
      </w:pPr>
    </w:p>
    <w:p w14:paraId="5D847CAA" w14:textId="3CD3C39A" w:rsidR="00A50332" w:rsidRPr="001826C6" w:rsidRDefault="00D74CDA" w:rsidP="00012958">
      <w:pPr>
        <w:ind w:firstLine="680"/>
        <w:jc w:val="both"/>
        <w:rPr>
          <w:b/>
          <w:szCs w:val="24"/>
        </w:rPr>
      </w:pPr>
      <w:r w:rsidRPr="001826C6">
        <w:rPr>
          <w:b/>
          <w:szCs w:val="24"/>
        </w:rPr>
        <w:t>2</w:t>
      </w:r>
      <w:r w:rsidR="0091047D" w:rsidRPr="001826C6">
        <w:rPr>
          <w:b/>
          <w:szCs w:val="24"/>
        </w:rPr>
        <w:t xml:space="preserve"> straipsnis.</w:t>
      </w:r>
      <w:r w:rsidR="00A50332" w:rsidRPr="001826C6">
        <w:rPr>
          <w:b/>
          <w:szCs w:val="24"/>
        </w:rPr>
        <w:t xml:space="preserve"> </w:t>
      </w:r>
      <w:r w:rsidR="001C1146" w:rsidRPr="001826C6">
        <w:rPr>
          <w:b/>
          <w:szCs w:val="24"/>
        </w:rPr>
        <w:t xml:space="preserve">21 </w:t>
      </w:r>
      <w:r w:rsidR="00A50332" w:rsidRPr="001826C6">
        <w:rPr>
          <w:b/>
          <w:szCs w:val="24"/>
        </w:rPr>
        <w:t>straipsnio pakeitimas</w:t>
      </w:r>
    </w:p>
    <w:p w14:paraId="3EAF5E2C" w14:textId="77777777" w:rsidR="00A50332" w:rsidRPr="001826C6" w:rsidRDefault="001C1146" w:rsidP="00012958">
      <w:pPr>
        <w:ind w:firstLine="680"/>
        <w:jc w:val="both"/>
        <w:rPr>
          <w:szCs w:val="24"/>
        </w:rPr>
      </w:pPr>
      <w:r w:rsidRPr="001826C6">
        <w:rPr>
          <w:szCs w:val="24"/>
        </w:rPr>
        <w:t>Pakeisti 21</w:t>
      </w:r>
      <w:r w:rsidR="00EF11C8" w:rsidRPr="001826C6">
        <w:rPr>
          <w:szCs w:val="24"/>
        </w:rPr>
        <w:t xml:space="preserve"> straipsnį</w:t>
      </w:r>
      <w:r w:rsidRPr="001826C6">
        <w:rPr>
          <w:szCs w:val="24"/>
        </w:rPr>
        <w:t xml:space="preserve"> ir jį</w:t>
      </w:r>
      <w:r w:rsidR="00A50332" w:rsidRPr="001826C6">
        <w:rPr>
          <w:szCs w:val="24"/>
        </w:rPr>
        <w:t xml:space="preserve"> išdėstyti taip:</w:t>
      </w:r>
    </w:p>
    <w:p w14:paraId="68BCA4B5" w14:textId="0E89B9E8" w:rsidR="001C1146" w:rsidRPr="001826C6" w:rsidRDefault="00A50332" w:rsidP="00BA1A75">
      <w:pPr>
        <w:ind w:firstLine="709"/>
        <w:jc w:val="both"/>
        <w:rPr>
          <w:szCs w:val="24"/>
        </w:rPr>
      </w:pPr>
      <w:r w:rsidRPr="001826C6">
        <w:rPr>
          <w:szCs w:val="24"/>
        </w:rPr>
        <w:t>„</w:t>
      </w:r>
      <w:r w:rsidR="001C1146" w:rsidRPr="001826C6">
        <w:rPr>
          <w:szCs w:val="24"/>
        </w:rPr>
        <w:t xml:space="preserve">21 straipsnis. </w:t>
      </w:r>
      <w:r w:rsidR="001C1146" w:rsidRPr="001826C6">
        <w:rPr>
          <w:strike/>
          <w:szCs w:val="24"/>
        </w:rPr>
        <w:t>Nekilnojamojo daikto, daiktinių</w:t>
      </w:r>
      <w:r w:rsidR="001C1146" w:rsidRPr="001826C6">
        <w:rPr>
          <w:szCs w:val="24"/>
        </w:rPr>
        <w:t xml:space="preserve"> </w:t>
      </w:r>
      <w:r w:rsidR="00363AD7" w:rsidRPr="001826C6">
        <w:rPr>
          <w:b/>
          <w:szCs w:val="24"/>
        </w:rPr>
        <w:t>Daiktinių</w:t>
      </w:r>
      <w:r w:rsidR="00363AD7" w:rsidRPr="001826C6">
        <w:rPr>
          <w:szCs w:val="24"/>
        </w:rPr>
        <w:t xml:space="preserve"> </w:t>
      </w:r>
      <w:r w:rsidR="001C1146" w:rsidRPr="001826C6">
        <w:rPr>
          <w:szCs w:val="24"/>
        </w:rPr>
        <w:t xml:space="preserve">teisių į </w:t>
      </w:r>
      <w:r w:rsidR="001C1146" w:rsidRPr="001826C6">
        <w:rPr>
          <w:strike/>
          <w:szCs w:val="24"/>
        </w:rPr>
        <w:t>jį</w:t>
      </w:r>
      <w:r w:rsidR="00363AD7" w:rsidRPr="001826C6">
        <w:rPr>
          <w:strike/>
          <w:szCs w:val="24"/>
        </w:rPr>
        <w:t xml:space="preserve"> </w:t>
      </w:r>
      <w:r w:rsidR="00363AD7" w:rsidRPr="001826C6">
        <w:rPr>
          <w:b/>
          <w:szCs w:val="24"/>
        </w:rPr>
        <w:t>nekilnojamąjį daiktą</w:t>
      </w:r>
      <w:r w:rsidR="001C1146" w:rsidRPr="001826C6">
        <w:rPr>
          <w:szCs w:val="24"/>
        </w:rPr>
        <w:t>, šių teisių suvaržymų ir juridinių faktų registravimo</w:t>
      </w:r>
      <w:r w:rsidR="001C1146" w:rsidRPr="001826C6">
        <w:rPr>
          <w:b/>
          <w:szCs w:val="24"/>
        </w:rPr>
        <w:t xml:space="preserve"> </w:t>
      </w:r>
      <w:r w:rsidR="001C1146" w:rsidRPr="001826C6">
        <w:rPr>
          <w:szCs w:val="24"/>
        </w:rPr>
        <w:t>vieta</w:t>
      </w:r>
    </w:p>
    <w:p w14:paraId="2807B515" w14:textId="77777777" w:rsidR="001C1146" w:rsidRPr="001826C6" w:rsidRDefault="001C1146" w:rsidP="001C1146">
      <w:pPr>
        <w:ind w:firstLine="708"/>
        <w:jc w:val="both"/>
        <w:rPr>
          <w:strike/>
          <w:szCs w:val="24"/>
        </w:rPr>
      </w:pPr>
      <w:r w:rsidRPr="001826C6">
        <w:rPr>
          <w:strike/>
          <w:szCs w:val="24"/>
        </w:rPr>
        <w:t>1. Nekilnojamasis daiktas registruojamas pagal daikto buvimo vietą Nekilnojamojo turto registro nuostatų nustatyta tvarka.</w:t>
      </w:r>
    </w:p>
    <w:p w14:paraId="4ABAADBC" w14:textId="390DF797" w:rsidR="00A50332" w:rsidRPr="001826C6" w:rsidRDefault="001C1146" w:rsidP="003E2AA8">
      <w:pPr>
        <w:ind w:firstLine="708"/>
        <w:jc w:val="both"/>
        <w:rPr>
          <w:szCs w:val="24"/>
        </w:rPr>
      </w:pPr>
      <w:r w:rsidRPr="001826C6">
        <w:rPr>
          <w:strike/>
          <w:szCs w:val="24"/>
        </w:rPr>
        <w:t>2.</w:t>
      </w:r>
      <w:r w:rsidRPr="001826C6">
        <w:rPr>
          <w:szCs w:val="24"/>
        </w:rPr>
        <w:t xml:space="preserve"> Daiktines teises į nekilnojamąjį daiktą, šių teisių suvaržymus ir juridinius faktus </w:t>
      </w:r>
      <w:r w:rsidRPr="001826C6">
        <w:rPr>
          <w:strike/>
          <w:szCs w:val="24"/>
        </w:rPr>
        <w:t>įregistruoja</w:t>
      </w:r>
      <w:r w:rsidRPr="001826C6">
        <w:rPr>
          <w:szCs w:val="24"/>
        </w:rPr>
        <w:t xml:space="preserve"> </w:t>
      </w:r>
      <w:r w:rsidR="0091047D" w:rsidRPr="001826C6">
        <w:rPr>
          <w:b/>
          <w:szCs w:val="24"/>
        </w:rPr>
        <w:t>registruoja</w:t>
      </w:r>
      <w:r w:rsidR="0091047D" w:rsidRPr="001826C6">
        <w:rPr>
          <w:szCs w:val="24"/>
        </w:rPr>
        <w:t xml:space="preserve"> </w:t>
      </w:r>
      <w:r w:rsidRPr="001826C6">
        <w:rPr>
          <w:szCs w:val="24"/>
        </w:rPr>
        <w:t>bet kuris Nekilnojamojo turto registro tvarkytojo</w:t>
      </w:r>
      <w:r w:rsidR="0091047D" w:rsidRPr="001826C6">
        <w:rPr>
          <w:szCs w:val="24"/>
        </w:rPr>
        <w:t xml:space="preserve"> </w:t>
      </w:r>
      <w:r w:rsidRPr="001826C6">
        <w:rPr>
          <w:szCs w:val="24"/>
        </w:rPr>
        <w:t>teritorinis registratorius Nekilnojamojo turto regi</w:t>
      </w:r>
      <w:r w:rsidR="003E2AA8" w:rsidRPr="001826C6">
        <w:rPr>
          <w:szCs w:val="24"/>
        </w:rPr>
        <w:t>stro nuostatų nustatyta tvarka.“</w:t>
      </w:r>
    </w:p>
    <w:p w14:paraId="76A7ED98" w14:textId="77777777" w:rsidR="00012958" w:rsidRPr="001826C6" w:rsidRDefault="00012958" w:rsidP="0091047D">
      <w:pPr>
        <w:jc w:val="both"/>
        <w:rPr>
          <w:szCs w:val="24"/>
        </w:rPr>
      </w:pPr>
    </w:p>
    <w:p w14:paraId="4ADE4102" w14:textId="6222AA61" w:rsidR="009F245D" w:rsidRPr="001826C6" w:rsidRDefault="00D74CDA" w:rsidP="009F245D">
      <w:pPr>
        <w:ind w:firstLine="720"/>
        <w:jc w:val="both"/>
        <w:rPr>
          <w:b/>
          <w:szCs w:val="24"/>
        </w:rPr>
      </w:pPr>
      <w:r w:rsidRPr="001826C6">
        <w:rPr>
          <w:b/>
          <w:szCs w:val="24"/>
        </w:rPr>
        <w:t>3</w:t>
      </w:r>
      <w:r w:rsidR="009F245D" w:rsidRPr="001826C6">
        <w:rPr>
          <w:b/>
          <w:szCs w:val="24"/>
        </w:rPr>
        <w:t xml:space="preserve"> straipsnis. 26 straipsnio pakeitimas</w:t>
      </w:r>
    </w:p>
    <w:p w14:paraId="4B70C6CA" w14:textId="74D9D5A1" w:rsidR="0051048F" w:rsidRPr="001826C6" w:rsidRDefault="0091047D" w:rsidP="009F245D">
      <w:pPr>
        <w:ind w:firstLine="720"/>
        <w:jc w:val="both"/>
        <w:rPr>
          <w:szCs w:val="24"/>
        </w:rPr>
      </w:pPr>
      <w:r w:rsidRPr="001826C6">
        <w:rPr>
          <w:szCs w:val="24"/>
        </w:rPr>
        <w:t>Pakeisti 26 straipsnio 1 dalį</w:t>
      </w:r>
      <w:r w:rsidR="0051048F" w:rsidRPr="001826C6">
        <w:rPr>
          <w:szCs w:val="24"/>
        </w:rPr>
        <w:t xml:space="preserve"> ir j</w:t>
      </w:r>
      <w:r w:rsidRPr="001826C6">
        <w:rPr>
          <w:szCs w:val="24"/>
        </w:rPr>
        <w:t>ą</w:t>
      </w:r>
      <w:r w:rsidR="0051048F" w:rsidRPr="001826C6">
        <w:rPr>
          <w:szCs w:val="24"/>
        </w:rPr>
        <w:t xml:space="preserve"> išdėstyti taip:</w:t>
      </w:r>
    </w:p>
    <w:p w14:paraId="2499BC66" w14:textId="2D13CD4E" w:rsidR="00EF11C8" w:rsidRPr="001826C6" w:rsidRDefault="0051048F" w:rsidP="00700C8B">
      <w:pPr>
        <w:ind w:firstLine="720"/>
        <w:jc w:val="both"/>
        <w:rPr>
          <w:szCs w:val="24"/>
        </w:rPr>
      </w:pPr>
      <w:r w:rsidRPr="001826C6">
        <w:rPr>
          <w:szCs w:val="24"/>
        </w:rPr>
        <w:t xml:space="preserve">„1. </w:t>
      </w:r>
      <w:r w:rsidRPr="001826C6">
        <w:rPr>
          <w:strike/>
          <w:szCs w:val="24"/>
        </w:rPr>
        <w:t>Prašymas įregistruoti nuosavybės teisę į nekilnojamąjį daiktą turi būti išnagrinėtas, sprendimas dėl jo priimtas ir duomenys į Nekilnojamojo turto registro duomenų bazę turi būti įrašyti ne vėliau kaip per dešimt darbo dienų po prašymo padavimo dienos arba asmens prašymu – skubos tvarka, per vieną darbo dieną.</w:t>
      </w:r>
      <w:r w:rsidRPr="001826C6">
        <w:rPr>
          <w:szCs w:val="24"/>
        </w:rPr>
        <w:t xml:space="preserve"> Prašymas įregistruoti </w:t>
      </w:r>
      <w:r w:rsidRPr="001826C6">
        <w:rPr>
          <w:strike/>
          <w:szCs w:val="24"/>
        </w:rPr>
        <w:t>kitą</w:t>
      </w:r>
      <w:r w:rsidRPr="001826C6">
        <w:rPr>
          <w:szCs w:val="24"/>
        </w:rPr>
        <w:t xml:space="preserve"> daiktinę teisę </w:t>
      </w:r>
      <w:r w:rsidRPr="001826C6">
        <w:rPr>
          <w:b/>
          <w:szCs w:val="24"/>
        </w:rPr>
        <w:t>į nekilnojamąjį daiktą</w:t>
      </w:r>
      <w:r w:rsidRPr="001826C6">
        <w:rPr>
          <w:szCs w:val="24"/>
        </w:rPr>
        <w:t>, šios teisės suvaržymus, juridinius faktus turi būti išnagrinėtas, sprendimas dėl jo priimtas ir duomenys į Nekilnojamojo turto registro duomenų bazę turi būti įrašyti ne vėliau kaip per penkias darbo dienas po prašymo padavimo</w:t>
      </w:r>
      <w:r w:rsidRPr="001826C6">
        <w:rPr>
          <w:b/>
          <w:szCs w:val="24"/>
        </w:rPr>
        <w:t xml:space="preserve">, jei kartu prašoma įregistruoti ir nekilnojamąjį daiktą arba pakeisti jo duomenis – </w:t>
      </w:r>
      <w:r w:rsidR="00BA1A75" w:rsidRPr="001826C6">
        <w:rPr>
          <w:b/>
          <w:szCs w:val="24"/>
        </w:rPr>
        <w:t xml:space="preserve">ne vėliau kaip </w:t>
      </w:r>
      <w:r w:rsidRPr="001826C6">
        <w:rPr>
          <w:b/>
          <w:szCs w:val="24"/>
        </w:rPr>
        <w:t>per penkias darbo dienas nuo dienos, kurią baigiasi nekilnojam</w:t>
      </w:r>
      <w:r w:rsidR="00BA1A75" w:rsidRPr="001826C6">
        <w:rPr>
          <w:b/>
          <w:szCs w:val="24"/>
        </w:rPr>
        <w:t>a</w:t>
      </w:r>
      <w:r w:rsidRPr="001826C6">
        <w:rPr>
          <w:b/>
          <w:szCs w:val="24"/>
        </w:rPr>
        <w:t>j</w:t>
      </w:r>
      <w:r w:rsidR="00BA1A75" w:rsidRPr="001826C6">
        <w:rPr>
          <w:b/>
          <w:szCs w:val="24"/>
        </w:rPr>
        <w:t>am</w:t>
      </w:r>
      <w:r w:rsidRPr="001826C6">
        <w:rPr>
          <w:b/>
          <w:szCs w:val="24"/>
        </w:rPr>
        <w:t xml:space="preserve"> daikt</w:t>
      </w:r>
      <w:r w:rsidR="00BA1A75" w:rsidRPr="001826C6">
        <w:rPr>
          <w:b/>
          <w:szCs w:val="24"/>
        </w:rPr>
        <w:t>ui</w:t>
      </w:r>
      <w:r w:rsidRPr="001826C6">
        <w:rPr>
          <w:b/>
          <w:szCs w:val="24"/>
        </w:rPr>
        <w:t xml:space="preserve"> įregistr</w:t>
      </w:r>
      <w:r w:rsidR="00BA1A75" w:rsidRPr="001826C6">
        <w:rPr>
          <w:b/>
          <w:szCs w:val="24"/>
        </w:rPr>
        <w:t xml:space="preserve">uoti </w:t>
      </w:r>
      <w:r w:rsidRPr="001826C6">
        <w:rPr>
          <w:b/>
          <w:szCs w:val="24"/>
        </w:rPr>
        <w:t>ar jo duomen</w:t>
      </w:r>
      <w:r w:rsidR="00BA1A75" w:rsidRPr="001826C6">
        <w:rPr>
          <w:b/>
          <w:szCs w:val="24"/>
        </w:rPr>
        <w:t>ims</w:t>
      </w:r>
      <w:r w:rsidRPr="001826C6">
        <w:rPr>
          <w:b/>
          <w:szCs w:val="24"/>
        </w:rPr>
        <w:t xml:space="preserve"> pakei</w:t>
      </w:r>
      <w:r w:rsidR="00BA1A75" w:rsidRPr="001826C6">
        <w:rPr>
          <w:b/>
          <w:szCs w:val="24"/>
        </w:rPr>
        <w:t>s</w:t>
      </w:r>
      <w:r w:rsidRPr="001826C6">
        <w:rPr>
          <w:b/>
          <w:szCs w:val="24"/>
        </w:rPr>
        <w:t>ti</w:t>
      </w:r>
      <w:r w:rsidR="00BA1A75" w:rsidRPr="001826C6">
        <w:rPr>
          <w:b/>
          <w:szCs w:val="24"/>
        </w:rPr>
        <w:t xml:space="preserve"> </w:t>
      </w:r>
      <w:r w:rsidRPr="001826C6">
        <w:rPr>
          <w:b/>
          <w:szCs w:val="24"/>
        </w:rPr>
        <w:t>nustatytas terminas</w:t>
      </w:r>
      <w:r w:rsidRPr="001826C6">
        <w:rPr>
          <w:szCs w:val="24"/>
        </w:rPr>
        <w:t xml:space="preserve">. </w:t>
      </w:r>
      <w:r w:rsidRPr="001826C6">
        <w:rPr>
          <w:strike/>
          <w:szCs w:val="24"/>
        </w:rPr>
        <w:t>Vyriausybės nustatyta tvarka</w:t>
      </w:r>
      <w:r w:rsidRPr="001826C6">
        <w:rPr>
          <w:szCs w:val="24"/>
        </w:rPr>
        <w:t xml:space="preserve"> </w:t>
      </w:r>
      <w:r w:rsidRPr="001826C6">
        <w:rPr>
          <w:strike/>
          <w:szCs w:val="24"/>
        </w:rPr>
        <w:t>asmens</w:t>
      </w:r>
      <w:r w:rsidRPr="001826C6">
        <w:rPr>
          <w:szCs w:val="24"/>
        </w:rPr>
        <w:t xml:space="preserve"> </w:t>
      </w:r>
      <w:r w:rsidR="00BA1A75" w:rsidRPr="001826C6">
        <w:rPr>
          <w:b/>
          <w:bCs/>
          <w:szCs w:val="24"/>
        </w:rPr>
        <w:t xml:space="preserve">Asmens pageidavimu </w:t>
      </w:r>
      <w:r w:rsidRPr="001826C6">
        <w:rPr>
          <w:szCs w:val="24"/>
        </w:rPr>
        <w:t>prašymas gali būti išnagrinėtas ir duomenys į Nekilnojamojo turto registro duomenų bazę įrašyti skubos tvarka</w:t>
      </w:r>
      <w:r w:rsidR="0091047D" w:rsidRPr="001826C6">
        <w:rPr>
          <w:b/>
          <w:szCs w:val="24"/>
        </w:rPr>
        <w:t xml:space="preserve"> – per tris, dvi arba vieną darbo dieną</w:t>
      </w:r>
      <w:r w:rsidR="0091047D" w:rsidRPr="001826C6">
        <w:rPr>
          <w:szCs w:val="24"/>
        </w:rPr>
        <w:t>.</w:t>
      </w:r>
      <w:r w:rsidR="00BA1A75" w:rsidRPr="001826C6">
        <w:rPr>
          <w:rFonts w:ascii="Tahoma" w:hAnsi="Tahoma" w:cs="Tahoma"/>
          <w:lang w:eastAsia="lt-LT"/>
        </w:rPr>
        <w:t xml:space="preserve"> </w:t>
      </w:r>
      <w:r w:rsidR="00BA1A75" w:rsidRPr="001826C6">
        <w:rPr>
          <w:b/>
          <w:bCs/>
          <w:lang w:eastAsia="lt-LT"/>
        </w:rPr>
        <w:t>Daiktinės teisės – hipoteka ir turtinės teisės į nekilnojamąjį daiktą įkeitimas turi būti įregistruojamos ne vėliau kaip per vieną darbo dieną nuo pranešimo apie patvirtintą hipotekos ar įkeitimo sandorį arba nustatytą priverstinę hipoteką ar įkeitimą gavimo dienos.</w:t>
      </w:r>
      <w:r w:rsidR="0091047D" w:rsidRPr="001826C6">
        <w:rPr>
          <w:szCs w:val="24"/>
        </w:rPr>
        <w:t>“</w:t>
      </w:r>
      <w:r w:rsidR="00064E51" w:rsidRPr="001826C6">
        <w:rPr>
          <w:szCs w:val="24"/>
        </w:rPr>
        <w:t xml:space="preserve"> </w:t>
      </w:r>
    </w:p>
    <w:p w14:paraId="433E705B" w14:textId="202271B8" w:rsidR="0091047D" w:rsidRPr="001826C6" w:rsidRDefault="0091047D" w:rsidP="0091047D">
      <w:pPr>
        <w:jc w:val="both"/>
        <w:rPr>
          <w:b/>
          <w:szCs w:val="24"/>
        </w:rPr>
      </w:pPr>
    </w:p>
    <w:p w14:paraId="509C9C7E" w14:textId="17EA3A02" w:rsidR="00D74CDA" w:rsidRPr="001826C6" w:rsidRDefault="00D74CDA" w:rsidP="00D74CDA">
      <w:pPr>
        <w:ind w:firstLine="680"/>
        <w:jc w:val="both"/>
        <w:rPr>
          <w:b/>
          <w:szCs w:val="24"/>
        </w:rPr>
      </w:pPr>
      <w:r w:rsidRPr="001826C6">
        <w:rPr>
          <w:b/>
          <w:szCs w:val="24"/>
        </w:rPr>
        <w:t>4 straipsnis. 38 straipsnio pakeitimas</w:t>
      </w:r>
    </w:p>
    <w:p w14:paraId="232C6BCF" w14:textId="1C1B539C" w:rsidR="00D74CDA" w:rsidRPr="001826C6" w:rsidRDefault="00D74CDA" w:rsidP="00D74CDA">
      <w:pPr>
        <w:ind w:firstLine="680"/>
        <w:jc w:val="both"/>
        <w:rPr>
          <w:bCs/>
          <w:szCs w:val="24"/>
        </w:rPr>
      </w:pPr>
      <w:r w:rsidRPr="001826C6">
        <w:rPr>
          <w:bCs/>
          <w:szCs w:val="24"/>
        </w:rPr>
        <w:t>Pakeisti 38 straipsnio 1 dalį ir ją išdėstyti taip:</w:t>
      </w:r>
    </w:p>
    <w:p w14:paraId="5F63499B" w14:textId="7F36F3D3" w:rsidR="00D74CDA" w:rsidRPr="001826C6" w:rsidRDefault="00D74CDA" w:rsidP="00D74CDA">
      <w:pPr>
        <w:ind w:firstLine="680"/>
        <w:jc w:val="both"/>
        <w:rPr>
          <w:b/>
          <w:szCs w:val="24"/>
        </w:rPr>
      </w:pPr>
      <w:r w:rsidRPr="001826C6">
        <w:rPr>
          <w:bCs/>
          <w:szCs w:val="24"/>
        </w:rPr>
        <w:t>„</w:t>
      </w:r>
      <w:r w:rsidRPr="001826C6">
        <w:rPr>
          <w:szCs w:val="24"/>
        </w:rPr>
        <w:t xml:space="preserve">1. Centrinis hipotekos registras Hipotekos registro nuostatų nustatyta tvarka duomenis apie nekilnojamojo daikto įkeitimo (hipotekos) įregistravimą ne vėliau kaip per 24 valandas perduoda </w:t>
      </w:r>
      <w:r w:rsidRPr="001826C6">
        <w:rPr>
          <w:szCs w:val="24"/>
        </w:rPr>
        <w:lastRenderedPageBreak/>
        <w:t xml:space="preserve">Nekilnojamojo turto registro tvarkytojui. Nekilnojamojo turto registro </w:t>
      </w:r>
      <w:r w:rsidRPr="001826C6">
        <w:rPr>
          <w:strike/>
          <w:szCs w:val="24"/>
        </w:rPr>
        <w:t>centrinis</w:t>
      </w:r>
      <w:r w:rsidRPr="001826C6">
        <w:rPr>
          <w:szCs w:val="24"/>
        </w:rPr>
        <w:t xml:space="preserve"> duomenų </w:t>
      </w:r>
      <w:r w:rsidRPr="001826C6">
        <w:rPr>
          <w:strike/>
          <w:szCs w:val="24"/>
        </w:rPr>
        <w:t>bankas</w:t>
      </w:r>
      <w:r w:rsidRPr="001826C6">
        <w:rPr>
          <w:szCs w:val="24"/>
        </w:rPr>
        <w:t xml:space="preserve"> </w:t>
      </w:r>
      <w:r w:rsidRPr="001826C6">
        <w:rPr>
          <w:b/>
          <w:bCs/>
          <w:szCs w:val="24"/>
        </w:rPr>
        <w:t>bazė</w:t>
      </w:r>
      <w:r w:rsidRPr="001826C6">
        <w:rPr>
          <w:szCs w:val="24"/>
        </w:rPr>
        <w:t>, pasikeitus įkeisto nekilnojamojo daikto duomenims nekilnojamojo turto registre, taip pat gav</w:t>
      </w:r>
      <w:r w:rsidR="00646888">
        <w:rPr>
          <w:szCs w:val="24"/>
        </w:rPr>
        <w:t>usi</w:t>
      </w:r>
      <w:r w:rsidRPr="001826C6">
        <w:rPr>
          <w:szCs w:val="24"/>
        </w:rPr>
        <w:t xml:space="preserve"> hipotekos teisėjo arba Centrinio hipotekos registro paklausimą, Nekilnojamojo turto registro nuostatų nustatyta tvarka ne vėliau kaip per 24 valandas perduoda duomenis apie nekilnojamojo daikto ir daiktinių teisių į jį statuso pasikeitimą Centriniam hipotekos registrui.“</w:t>
      </w:r>
    </w:p>
    <w:p w14:paraId="11CD6006" w14:textId="77777777" w:rsidR="00D74CDA" w:rsidRPr="001826C6" w:rsidRDefault="00D74CDA" w:rsidP="00012958">
      <w:pPr>
        <w:ind w:firstLine="680"/>
        <w:jc w:val="both"/>
        <w:rPr>
          <w:b/>
          <w:szCs w:val="24"/>
        </w:rPr>
      </w:pPr>
    </w:p>
    <w:p w14:paraId="38DD4F46" w14:textId="0F7F7F84" w:rsidR="00012958" w:rsidRPr="001826C6" w:rsidRDefault="00D74CDA" w:rsidP="00012958">
      <w:pPr>
        <w:ind w:firstLine="680"/>
        <w:jc w:val="both"/>
        <w:rPr>
          <w:b/>
          <w:szCs w:val="24"/>
        </w:rPr>
      </w:pPr>
      <w:r w:rsidRPr="001826C6">
        <w:rPr>
          <w:b/>
          <w:szCs w:val="24"/>
        </w:rPr>
        <w:t>5</w:t>
      </w:r>
      <w:r w:rsidR="00E16DA0" w:rsidRPr="001826C6">
        <w:rPr>
          <w:b/>
          <w:szCs w:val="24"/>
        </w:rPr>
        <w:t xml:space="preserve"> straipsnis. </w:t>
      </w:r>
      <w:r w:rsidR="00E16DA0" w:rsidRPr="001826C6">
        <w:rPr>
          <w:b/>
          <w:bCs/>
          <w:szCs w:val="24"/>
        </w:rPr>
        <w:t>Įstatymo įsigaliojimas</w:t>
      </w:r>
      <w:r w:rsidR="00A508BE" w:rsidRPr="001826C6">
        <w:rPr>
          <w:b/>
          <w:bCs/>
          <w:szCs w:val="24"/>
        </w:rPr>
        <w:t>, taikymas</w:t>
      </w:r>
      <w:r w:rsidR="00E16DA0" w:rsidRPr="001826C6">
        <w:rPr>
          <w:b/>
          <w:bCs/>
          <w:szCs w:val="24"/>
        </w:rPr>
        <w:t xml:space="preserve"> ir įgyvendinimas</w:t>
      </w:r>
    </w:p>
    <w:p w14:paraId="1D370F71" w14:textId="4C5F520F" w:rsidR="00012958" w:rsidRPr="001826C6" w:rsidRDefault="00E16DA0" w:rsidP="00012958">
      <w:pPr>
        <w:ind w:firstLine="680"/>
        <w:jc w:val="both"/>
        <w:rPr>
          <w:szCs w:val="24"/>
        </w:rPr>
      </w:pPr>
      <w:r w:rsidRPr="001826C6">
        <w:rPr>
          <w:szCs w:val="24"/>
        </w:rPr>
        <w:t xml:space="preserve">1. </w:t>
      </w:r>
      <w:r w:rsidR="00012958" w:rsidRPr="001826C6">
        <w:rPr>
          <w:szCs w:val="24"/>
        </w:rPr>
        <w:t>Šis įstatymas</w:t>
      </w:r>
      <w:r w:rsidR="004547F7" w:rsidRPr="001826C6">
        <w:rPr>
          <w:szCs w:val="24"/>
        </w:rPr>
        <w:t xml:space="preserve">, išskyrus šio straipsnio </w:t>
      </w:r>
      <w:r w:rsidR="00643D58" w:rsidRPr="001826C6">
        <w:rPr>
          <w:szCs w:val="24"/>
        </w:rPr>
        <w:t>3</w:t>
      </w:r>
      <w:r w:rsidR="004547F7" w:rsidRPr="001826C6">
        <w:rPr>
          <w:szCs w:val="24"/>
        </w:rPr>
        <w:t xml:space="preserve"> dalį,</w:t>
      </w:r>
      <w:r w:rsidR="00012958" w:rsidRPr="001826C6">
        <w:rPr>
          <w:szCs w:val="24"/>
        </w:rPr>
        <w:t xml:space="preserve"> įsigalioja 20</w:t>
      </w:r>
      <w:r w:rsidR="003554BD" w:rsidRPr="001826C6">
        <w:rPr>
          <w:szCs w:val="24"/>
        </w:rPr>
        <w:t>2</w:t>
      </w:r>
      <w:r w:rsidR="00F02DD9" w:rsidRPr="001826C6">
        <w:rPr>
          <w:szCs w:val="24"/>
        </w:rPr>
        <w:t>2</w:t>
      </w:r>
      <w:r w:rsidR="003554BD" w:rsidRPr="001826C6">
        <w:rPr>
          <w:szCs w:val="24"/>
        </w:rPr>
        <w:t xml:space="preserve"> </w:t>
      </w:r>
      <w:r w:rsidR="00012958" w:rsidRPr="001826C6">
        <w:rPr>
          <w:szCs w:val="24"/>
        </w:rPr>
        <w:t>m.</w:t>
      </w:r>
      <w:r w:rsidR="00F02DD9" w:rsidRPr="001826C6">
        <w:rPr>
          <w:szCs w:val="24"/>
        </w:rPr>
        <w:t xml:space="preserve"> sausio</w:t>
      </w:r>
      <w:r w:rsidR="003554BD" w:rsidRPr="001826C6">
        <w:rPr>
          <w:szCs w:val="24"/>
        </w:rPr>
        <w:t xml:space="preserve"> 1 </w:t>
      </w:r>
      <w:r w:rsidR="00012958" w:rsidRPr="001826C6">
        <w:rPr>
          <w:szCs w:val="24"/>
        </w:rPr>
        <w:t>d.</w:t>
      </w:r>
    </w:p>
    <w:p w14:paraId="64F51D6B" w14:textId="77777777" w:rsidR="00643D58" w:rsidRPr="001826C6" w:rsidRDefault="00643D58" w:rsidP="00643D58">
      <w:pPr>
        <w:pStyle w:val="Betarp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826C6">
        <w:rPr>
          <w:rFonts w:ascii="Times New Roman" w:hAnsi="Times New Roman" w:cs="Times New Roman"/>
          <w:sz w:val="24"/>
          <w:szCs w:val="24"/>
        </w:rPr>
        <w:t>2. Iki šio įstatymo įsigaliojimo Nekilnojamojo turto registro tvarkytojui pateikti prašymai baigiami nagrinėti iki šio įstatymo įsigaliojimo nustatyta tvarka ir terminais.</w:t>
      </w:r>
    </w:p>
    <w:p w14:paraId="15595781" w14:textId="7C87FED4" w:rsidR="00E16DA0" w:rsidRPr="001826C6" w:rsidRDefault="00643D58" w:rsidP="00012958">
      <w:pPr>
        <w:ind w:firstLine="680"/>
        <w:jc w:val="both"/>
        <w:rPr>
          <w:szCs w:val="24"/>
        </w:rPr>
      </w:pPr>
      <w:r w:rsidRPr="001826C6">
        <w:rPr>
          <w:szCs w:val="24"/>
        </w:rPr>
        <w:t>3</w:t>
      </w:r>
      <w:r w:rsidR="00E16DA0" w:rsidRPr="001826C6">
        <w:rPr>
          <w:szCs w:val="24"/>
        </w:rPr>
        <w:t xml:space="preserve">. Lietuvos Respublikos Vyriausybė iki </w:t>
      </w:r>
      <w:r w:rsidR="00D25ECC" w:rsidRPr="001826C6">
        <w:t xml:space="preserve">2021 m. gruodžio 31 d. </w:t>
      </w:r>
      <w:r w:rsidR="00E16DA0" w:rsidRPr="001826C6">
        <w:rPr>
          <w:szCs w:val="24"/>
        </w:rPr>
        <w:t>priima šio įstatymo įgyvendinamuosius teisės aktus.</w:t>
      </w:r>
    </w:p>
    <w:p w14:paraId="645821D0" w14:textId="77777777" w:rsidR="00012958" w:rsidRPr="001826C6" w:rsidRDefault="00012958" w:rsidP="00012958">
      <w:pPr>
        <w:jc w:val="both"/>
        <w:rPr>
          <w:szCs w:val="24"/>
        </w:rPr>
      </w:pPr>
    </w:p>
    <w:p w14:paraId="24161882" w14:textId="77777777" w:rsidR="00012958" w:rsidRPr="001826C6" w:rsidRDefault="00012958" w:rsidP="00012958">
      <w:pPr>
        <w:jc w:val="both"/>
        <w:rPr>
          <w:szCs w:val="24"/>
        </w:rPr>
      </w:pPr>
    </w:p>
    <w:p w14:paraId="7EB6F4EF" w14:textId="77777777" w:rsidR="00012958" w:rsidRPr="001826C6" w:rsidRDefault="00012958" w:rsidP="00012958">
      <w:pPr>
        <w:ind w:firstLine="680"/>
        <w:jc w:val="both"/>
        <w:rPr>
          <w:i/>
          <w:szCs w:val="24"/>
        </w:rPr>
      </w:pPr>
      <w:r w:rsidRPr="001826C6">
        <w:rPr>
          <w:i/>
          <w:szCs w:val="24"/>
        </w:rPr>
        <w:t>Skelbiu šį Lietuvos Respublikos Seimo priimtą įstatymą.</w:t>
      </w:r>
    </w:p>
    <w:p w14:paraId="58512B6D" w14:textId="77777777" w:rsidR="00012958" w:rsidRPr="001826C6" w:rsidRDefault="00012958" w:rsidP="00012958">
      <w:pPr>
        <w:jc w:val="both"/>
        <w:rPr>
          <w:szCs w:val="24"/>
        </w:rPr>
      </w:pPr>
    </w:p>
    <w:p w14:paraId="2658EBC3" w14:textId="7E182CE5" w:rsidR="00012958" w:rsidRPr="001826C6" w:rsidRDefault="00012958" w:rsidP="00B82D91">
      <w:pPr>
        <w:jc w:val="both"/>
        <w:rPr>
          <w:szCs w:val="24"/>
        </w:rPr>
      </w:pPr>
      <w:r w:rsidRPr="001826C6">
        <w:rPr>
          <w:szCs w:val="24"/>
        </w:rPr>
        <w:t>Respublikos Prezidentas</w:t>
      </w:r>
    </w:p>
    <w:sectPr w:rsidR="00012958" w:rsidRPr="001826C6" w:rsidSect="00E86CD7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7289" w14:textId="77777777" w:rsidR="009C52B5" w:rsidRDefault="009C52B5" w:rsidP="006F6B15">
      <w:r>
        <w:separator/>
      </w:r>
    </w:p>
  </w:endnote>
  <w:endnote w:type="continuationSeparator" w:id="0">
    <w:p w14:paraId="0833B30C" w14:textId="77777777" w:rsidR="009C52B5" w:rsidRDefault="009C52B5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FA3E" w14:textId="77777777" w:rsidR="009C52B5" w:rsidRDefault="009C52B5" w:rsidP="006F6B15">
      <w:r>
        <w:separator/>
      </w:r>
    </w:p>
  </w:footnote>
  <w:footnote w:type="continuationSeparator" w:id="0">
    <w:p w14:paraId="34F548D8" w14:textId="77777777" w:rsidR="009C52B5" w:rsidRDefault="009C52B5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7D42C40E" w14:textId="69167500" w:rsidR="006F6B15" w:rsidRPr="001E1BD1" w:rsidRDefault="006F6B15">
        <w:pPr>
          <w:pStyle w:val="Antrats"/>
          <w:jc w:val="center"/>
        </w:pPr>
        <w:r w:rsidRPr="001E1BD1">
          <w:rPr>
            <w:sz w:val="24"/>
            <w:szCs w:val="24"/>
          </w:rPr>
          <w:fldChar w:fldCharType="begin"/>
        </w:r>
        <w:r w:rsidRPr="001E1BD1">
          <w:instrText>NUMPAGES</w:instrText>
        </w:r>
        <w:r w:rsidRPr="001E1BD1">
          <w:rPr>
            <w:sz w:val="24"/>
            <w:szCs w:val="24"/>
          </w:rPr>
          <w:fldChar w:fldCharType="separate"/>
        </w:r>
        <w:r w:rsidR="0091047D" w:rsidRPr="001E1BD1">
          <w:rPr>
            <w:noProof/>
          </w:rPr>
          <w:t>4</w:t>
        </w:r>
        <w:r w:rsidRPr="001E1BD1">
          <w:rPr>
            <w:sz w:val="24"/>
            <w:szCs w:val="24"/>
          </w:rPr>
          <w:fldChar w:fldCharType="end"/>
        </w:r>
      </w:p>
    </w:sdtContent>
  </w:sdt>
  <w:p w14:paraId="056855FC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FF58" w14:textId="2F770AD7" w:rsidR="001E1BD1" w:rsidRDefault="001E1BD1">
    <w:pPr>
      <w:pStyle w:val="Antrats"/>
      <w:jc w:val="center"/>
    </w:pPr>
  </w:p>
  <w:p w14:paraId="06714F76" w14:textId="77777777" w:rsidR="006B1C43" w:rsidRDefault="006B1C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415"/>
    <w:multiLevelType w:val="hybridMultilevel"/>
    <w:tmpl w:val="AF2497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2D1A"/>
    <w:multiLevelType w:val="hybridMultilevel"/>
    <w:tmpl w:val="2C588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7EA1"/>
    <w:multiLevelType w:val="hybridMultilevel"/>
    <w:tmpl w:val="E7BCC022"/>
    <w:lvl w:ilvl="0" w:tplc="3C7A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1460D"/>
    <w:multiLevelType w:val="hybridMultilevel"/>
    <w:tmpl w:val="0696ED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C2E8B"/>
    <w:multiLevelType w:val="hybridMultilevel"/>
    <w:tmpl w:val="892E34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555"/>
    <w:multiLevelType w:val="hybridMultilevel"/>
    <w:tmpl w:val="C0B69C50"/>
    <w:lvl w:ilvl="0" w:tplc="D4AC6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7F75"/>
    <w:multiLevelType w:val="hybridMultilevel"/>
    <w:tmpl w:val="FAEA673C"/>
    <w:lvl w:ilvl="0" w:tplc="866C75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64651"/>
    <w:multiLevelType w:val="hybridMultilevel"/>
    <w:tmpl w:val="8F648FDE"/>
    <w:lvl w:ilvl="0" w:tplc="BAFE44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94"/>
    <w:rsid w:val="00000684"/>
    <w:rsid w:val="00012958"/>
    <w:rsid w:val="00035834"/>
    <w:rsid w:val="00064E51"/>
    <w:rsid w:val="00085A23"/>
    <w:rsid w:val="000A2FBE"/>
    <w:rsid w:val="000C78B6"/>
    <w:rsid w:val="000E451B"/>
    <w:rsid w:val="000F237B"/>
    <w:rsid w:val="0010287F"/>
    <w:rsid w:val="0013331F"/>
    <w:rsid w:val="00155D31"/>
    <w:rsid w:val="00175E45"/>
    <w:rsid w:val="00180DE8"/>
    <w:rsid w:val="001825FB"/>
    <w:rsid w:val="001826C6"/>
    <w:rsid w:val="00192E94"/>
    <w:rsid w:val="001B619C"/>
    <w:rsid w:val="001C1146"/>
    <w:rsid w:val="001C4F41"/>
    <w:rsid w:val="001D20AE"/>
    <w:rsid w:val="001D3E38"/>
    <w:rsid w:val="001E0969"/>
    <w:rsid w:val="001E1BD1"/>
    <w:rsid w:val="002041BF"/>
    <w:rsid w:val="00220BF9"/>
    <w:rsid w:val="002231D4"/>
    <w:rsid w:val="002432A4"/>
    <w:rsid w:val="00276ABB"/>
    <w:rsid w:val="002854FA"/>
    <w:rsid w:val="002C778B"/>
    <w:rsid w:val="002D46B4"/>
    <w:rsid w:val="002E3E91"/>
    <w:rsid w:val="00307695"/>
    <w:rsid w:val="003077D5"/>
    <w:rsid w:val="003117F7"/>
    <w:rsid w:val="003554BD"/>
    <w:rsid w:val="00357484"/>
    <w:rsid w:val="00363AD7"/>
    <w:rsid w:val="0036440F"/>
    <w:rsid w:val="0036560F"/>
    <w:rsid w:val="00370D3C"/>
    <w:rsid w:val="003746D7"/>
    <w:rsid w:val="003A4EC2"/>
    <w:rsid w:val="003B4C80"/>
    <w:rsid w:val="003E0CBF"/>
    <w:rsid w:val="003E2AA8"/>
    <w:rsid w:val="003E2BBB"/>
    <w:rsid w:val="003E734B"/>
    <w:rsid w:val="00444397"/>
    <w:rsid w:val="004547F7"/>
    <w:rsid w:val="00471635"/>
    <w:rsid w:val="004C6C1E"/>
    <w:rsid w:val="004C72B6"/>
    <w:rsid w:val="004D109F"/>
    <w:rsid w:val="004E642D"/>
    <w:rsid w:val="004F0A9E"/>
    <w:rsid w:val="0051048F"/>
    <w:rsid w:val="00537F0D"/>
    <w:rsid w:val="005510FE"/>
    <w:rsid w:val="00551F1E"/>
    <w:rsid w:val="00576713"/>
    <w:rsid w:val="005B48FB"/>
    <w:rsid w:val="005D03CD"/>
    <w:rsid w:val="005E4F62"/>
    <w:rsid w:val="005F3747"/>
    <w:rsid w:val="00602C3C"/>
    <w:rsid w:val="00643D58"/>
    <w:rsid w:val="00646888"/>
    <w:rsid w:val="006947DB"/>
    <w:rsid w:val="006A7671"/>
    <w:rsid w:val="006B1C43"/>
    <w:rsid w:val="006C2BD1"/>
    <w:rsid w:val="006C3E3C"/>
    <w:rsid w:val="006C708C"/>
    <w:rsid w:val="006F6B15"/>
    <w:rsid w:val="00700C8B"/>
    <w:rsid w:val="007060A0"/>
    <w:rsid w:val="007150F1"/>
    <w:rsid w:val="00726C53"/>
    <w:rsid w:val="00734059"/>
    <w:rsid w:val="0073599F"/>
    <w:rsid w:val="00777F79"/>
    <w:rsid w:val="0078188A"/>
    <w:rsid w:val="007849C6"/>
    <w:rsid w:val="007C1818"/>
    <w:rsid w:val="007D0FA1"/>
    <w:rsid w:val="007D3F7A"/>
    <w:rsid w:val="00800DED"/>
    <w:rsid w:val="00812BB0"/>
    <w:rsid w:val="00816C97"/>
    <w:rsid w:val="008263AA"/>
    <w:rsid w:val="00830D34"/>
    <w:rsid w:val="00832E3D"/>
    <w:rsid w:val="00850DF9"/>
    <w:rsid w:val="0089064A"/>
    <w:rsid w:val="008A3BF9"/>
    <w:rsid w:val="008B4375"/>
    <w:rsid w:val="008F42AA"/>
    <w:rsid w:val="008F7536"/>
    <w:rsid w:val="009036C4"/>
    <w:rsid w:val="0090622B"/>
    <w:rsid w:val="00910377"/>
    <w:rsid w:val="0091047D"/>
    <w:rsid w:val="0092056F"/>
    <w:rsid w:val="00934F04"/>
    <w:rsid w:val="009527F8"/>
    <w:rsid w:val="009531F3"/>
    <w:rsid w:val="0099521A"/>
    <w:rsid w:val="009A3CDA"/>
    <w:rsid w:val="009B0655"/>
    <w:rsid w:val="009C1F2D"/>
    <w:rsid w:val="009C52B5"/>
    <w:rsid w:val="009C7900"/>
    <w:rsid w:val="009E15B9"/>
    <w:rsid w:val="009F245D"/>
    <w:rsid w:val="009F6038"/>
    <w:rsid w:val="009F6FC3"/>
    <w:rsid w:val="00A03DAE"/>
    <w:rsid w:val="00A11902"/>
    <w:rsid w:val="00A342F1"/>
    <w:rsid w:val="00A3651B"/>
    <w:rsid w:val="00A439B6"/>
    <w:rsid w:val="00A50332"/>
    <w:rsid w:val="00A508BE"/>
    <w:rsid w:val="00A57E51"/>
    <w:rsid w:val="00A6754D"/>
    <w:rsid w:val="00A7705E"/>
    <w:rsid w:val="00A928D0"/>
    <w:rsid w:val="00AB3BFC"/>
    <w:rsid w:val="00B15DB5"/>
    <w:rsid w:val="00B24738"/>
    <w:rsid w:val="00B340C2"/>
    <w:rsid w:val="00B40E08"/>
    <w:rsid w:val="00B457E6"/>
    <w:rsid w:val="00B82D91"/>
    <w:rsid w:val="00BA1A75"/>
    <w:rsid w:val="00BA528A"/>
    <w:rsid w:val="00BE4E84"/>
    <w:rsid w:val="00C14E3E"/>
    <w:rsid w:val="00C3566B"/>
    <w:rsid w:val="00C35DBD"/>
    <w:rsid w:val="00C36277"/>
    <w:rsid w:val="00C43693"/>
    <w:rsid w:val="00C503EA"/>
    <w:rsid w:val="00C928B3"/>
    <w:rsid w:val="00CA5BFA"/>
    <w:rsid w:val="00CB4258"/>
    <w:rsid w:val="00D2126E"/>
    <w:rsid w:val="00D23BBD"/>
    <w:rsid w:val="00D25ECC"/>
    <w:rsid w:val="00D549D4"/>
    <w:rsid w:val="00D74CDA"/>
    <w:rsid w:val="00DA0D41"/>
    <w:rsid w:val="00DC0C8B"/>
    <w:rsid w:val="00DC1613"/>
    <w:rsid w:val="00DC52B5"/>
    <w:rsid w:val="00E00D18"/>
    <w:rsid w:val="00E0458D"/>
    <w:rsid w:val="00E14825"/>
    <w:rsid w:val="00E16DA0"/>
    <w:rsid w:val="00E208B4"/>
    <w:rsid w:val="00E24D00"/>
    <w:rsid w:val="00E32A12"/>
    <w:rsid w:val="00E86CD7"/>
    <w:rsid w:val="00EC2618"/>
    <w:rsid w:val="00EC50B0"/>
    <w:rsid w:val="00ED59B4"/>
    <w:rsid w:val="00EE0D3B"/>
    <w:rsid w:val="00EE6E66"/>
    <w:rsid w:val="00EF11C8"/>
    <w:rsid w:val="00EF3C79"/>
    <w:rsid w:val="00F02DD9"/>
    <w:rsid w:val="00F46B37"/>
    <w:rsid w:val="00F525E7"/>
    <w:rsid w:val="00F6022A"/>
    <w:rsid w:val="00F65757"/>
    <w:rsid w:val="00FA30A1"/>
    <w:rsid w:val="00FE5CF7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75B5"/>
  <w15:chartTrackingRefBased/>
  <w15:docId w15:val="{C9B7243D-00E2-490E-A147-B3DF7EAE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E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4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character" w:customStyle="1" w:styleId="Antrat1Diagrama">
    <w:name w:val="Antraštė 1 Diagrama"/>
    <w:basedOn w:val="Numatytasispastraiposriftas"/>
    <w:link w:val="Antrat1"/>
    <w:uiPriority w:val="9"/>
    <w:rsid w:val="00E04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E0458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03D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3DA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03DA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3D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3D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3D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3DA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7150F1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D74CDA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2948-1D38-4814-B961-1F26E524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2021-05-19T12:14:00Z</dcterms:created>
  <dc:creator>Giedrė Korsakovienė</dc:creator>
  <cp:lastModifiedBy>Alina Šileikienė</cp:lastModifiedBy>
  <dcterms:modified xsi:type="dcterms:W3CDTF">2021-05-26T08:02:00Z</dcterms:modified>
  <cp:revision>12</cp:revision>
</cp:coreProperties>
</file>