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5F87" w14:textId="77777777" w:rsidR="008A0947" w:rsidRDefault="008A0947" w:rsidP="008A0947">
      <w:pPr>
        <w:jc w:val="center"/>
        <w:rPr>
          <w:b/>
          <w:color w:val="0D0D0D"/>
          <w:szCs w:val="24"/>
        </w:rPr>
      </w:pPr>
      <w:r w:rsidRPr="004433F8">
        <w:rPr>
          <w:b/>
          <w:color w:val="0D0D0D"/>
          <w:szCs w:val="24"/>
        </w:rPr>
        <w:t>DERINIMO PAŽYMA</w:t>
      </w:r>
    </w:p>
    <w:p w14:paraId="1EB93C89" w14:textId="77777777" w:rsidR="00E21CD7" w:rsidRPr="004433F8" w:rsidRDefault="00E21CD7" w:rsidP="008A0947">
      <w:pPr>
        <w:jc w:val="center"/>
        <w:rPr>
          <w:b/>
          <w:color w:val="0D0D0D"/>
          <w:szCs w:val="24"/>
        </w:rPr>
      </w:pPr>
    </w:p>
    <w:p w14:paraId="0AFFBE0B" w14:textId="0AFA7C63" w:rsidR="00E21CD7" w:rsidRDefault="00496F03" w:rsidP="00EC37C6">
      <w:pPr>
        <w:jc w:val="center"/>
        <w:rPr>
          <w:szCs w:val="24"/>
        </w:rPr>
      </w:pPr>
      <w:r w:rsidRPr="00526DE6">
        <w:rPr>
          <w:szCs w:val="24"/>
        </w:rPr>
        <w:t xml:space="preserve">Lietuvos Respublikos Vyriausybės nutarimo „Dėl </w:t>
      </w:r>
      <w:r w:rsidR="00EC37C6">
        <w:rPr>
          <w:szCs w:val="24"/>
        </w:rPr>
        <w:t>L</w:t>
      </w:r>
      <w:r w:rsidR="00EC37C6" w:rsidRPr="00EC37C6">
        <w:rPr>
          <w:bCs/>
        </w:rPr>
        <w:t xml:space="preserve">ietuvos </w:t>
      </w:r>
      <w:r w:rsidR="00EC37C6">
        <w:rPr>
          <w:bCs/>
        </w:rPr>
        <w:t>R</w:t>
      </w:r>
      <w:r w:rsidR="00EC37C6" w:rsidRPr="00EC37C6">
        <w:rPr>
          <w:bCs/>
        </w:rPr>
        <w:t xml:space="preserve">espublikos </w:t>
      </w:r>
      <w:r w:rsidR="00EC37C6">
        <w:rPr>
          <w:bCs/>
        </w:rPr>
        <w:t>V</w:t>
      </w:r>
      <w:r w:rsidR="00EC37C6" w:rsidRPr="00EC37C6">
        <w:rPr>
          <w:bCs/>
        </w:rPr>
        <w:t xml:space="preserve">yriausybės </w:t>
      </w:r>
      <w:r w:rsidR="00EC37C6" w:rsidRPr="00EC37C6">
        <w:rPr>
          <w:bCs/>
          <w:color w:val="000000" w:themeColor="text1"/>
        </w:rPr>
        <w:t xml:space="preserve">2007 m. birželio 19 d. nutarimo </w:t>
      </w:r>
      <w:r w:rsidR="00EC37C6">
        <w:rPr>
          <w:bCs/>
          <w:color w:val="000000" w:themeColor="text1"/>
        </w:rPr>
        <w:t>N</w:t>
      </w:r>
      <w:r w:rsidR="00EC37C6" w:rsidRPr="00EC37C6">
        <w:rPr>
          <w:bCs/>
          <w:color w:val="000000" w:themeColor="text1"/>
        </w:rPr>
        <w:t>r. 659 „</w:t>
      </w:r>
      <w:r w:rsidR="00EC37C6">
        <w:rPr>
          <w:bCs/>
          <w:color w:val="000000" w:themeColor="text1"/>
        </w:rPr>
        <w:t>D</w:t>
      </w:r>
      <w:r w:rsidR="00EC37C6" w:rsidRPr="00EC37C6">
        <w:rPr>
          <w:bCs/>
          <w:color w:val="000000" w:themeColor="text1"/>
        </w:rPr>
        <w:t xml:space="preserve">ėl </w:t>
      </w:r>
      <w:r w:rsidR="00EC37C6">
        <w:rPr>
          <w:bCs/>
          <w:color w:val="000000" w:themeColor="text1"/>
        </w:rPr>
        <w:t>V</w:t>
      </w:r>
      <w:r w:rsidR="00EC37C6" w:rsidRPr="00EC37C6">
        <w:rPr>
          <w:bCs/>
          <w:color w:val="000000" w:themeColor="text1"/>
        </w:rPr>
        <w:t>alstybinės reikšmės istorijos, archeologijos ir kultūros objektų sąrašo patvirtinimo“ pakeitimo</w:t>
      </w:r>
      <w:r w:rsidR="00EC37C6">
        <w:rPr>
          <w:bCs/>
          <w:color w:val="000000" w:themeColor="text1"/>
        </w:rPr>
        <w:t xml:space="preserve"> </w:t>
      </w:r>
      <w:r w:rsidRPr="00526DE6">
        <w:rPr>
          <w:szCs w:val="24"/>
        </w:rPr>
        <w:t>projekt</w:t>
      </w:r>
      <w:r>
        <w:rPr>
          <w:szCs w:val="24"/>
        </w:rPr>
        <w:t>o</w:t>
      </w:r>
      <w:r w:rsidR="00980354">
        <w:rPr>
          <w:szCs w:val="24"/>
        </w:rPr>
        <w:t xml:space="preserve"> </w:t>
      </w:r>
      <w:r w:rsidR="004A037C" w:rsidRPr="004A037C">
        <w:rPr>
          <w:bCs/>
          <w:caps/>
          <w:snapToGrid w:val="0"/>
        </w:rPr>
        <w:t>(TAP-21-1179; TAIS Nr.: 21-26912(2))</w:t>
      </w:r>
    </w:p>
    <w:p w14:paraId="740ACF38" w14:textId="77777777" w:rsidR="00496F03" w:rsidRDefault="00496F03" w:rsidP="008A0947">
      <w:pPr>
        <w:jc w:val="center"/>
        <w:rPr>
          <w:b/>
          <w:szCs w:val="24"/>
        </w:rPr>
      </w:pPr>
    </w:p>
    <w:tbl>
      <w:tblPr>
        <w:tblStyle w:val="TableGrid"/>
        <w:tblW w:w="15026" w:type="dxa"/>
        <w:tblInd w:w="-34" w:type="dxa"/>
        <w:tblLook w:val="04A0" w:firstRow="1" w:lastRow="0" w:firstColumn="1" w:lastColumn="0" w:noHBand="0" w:noVBand="1"/>
      </w:tblPr>
      <w:tblGrid>
        <w:gridCol w:w="3006"/>
        <w:gridCol w:w="7655"/>
        <w:gridCol w:w="4365"/>
      </w:tblGrid>
      <w:tr w:rsidR="0065462A" w14:paraId="3EB45F8D" w14:textId="77777777" w:rsidTr="00A36C2F">
        <w:tc>
          <w:tcPr>
            <w:tcW w:w="3006" w:type="dxa"/>
          </w:tcPr>
          <w:p w14:paraId="3EB45F8A" w14:textId="77777777" w:rsidR="0065462A" w:rsidRDefault="0065462A" w:rsidP="0065462A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D0D0D"/>
                <w:szCs w:val="24"/>
              </w:rPr>
              <w:t xml:space="preserve">Institucijos pavadinimas, rašto data ir numeris </w:t>
            </w:r>
          </w:p>
        </w:tc>
        <w:tc>
          <w:tcPr>
            <w:tcW w:w="7655" w:type="dxa"/>
          </w:tcPr>
          <w:p w14:paraId="3EB45F8B" w14:textId="77777777" w:rsidR="0065462A" w:rsidRPr="004433F8" w:rsidRDefault="0065462A" w:rsidP="0065462A">
            <w:pPr>
              <w:jc w:val="center"/>
              <w:rPr>
                <w:b/>
                <w:color w:val="0D0D0D"/>
                <w:szCs w:val="24"/>
              </w:rPr>
            </w:pPr>
            <w:r>
              <w:rPr>
                <w:b/>
                <w:color w:val="0D0D0D"/>
                <w:szCs w:val="24"/>
              </w:rPr>
              <w:t>Pastabos ir pasiūlymai</w:t>
            </w:r>
          </w:p>
        </w:tc>
        <w:tc>
          <w:tcPr>
            <w:tcW w:w="4365" w:type="dxa"/>
          </w:tcPr>
          <w:p w14:paraId="3EB45F8C" w14:textId="77777777" w:rsidR="0065462A" w:rsidRDefault="0065462A" w:rsidP="000E3493">
            <w:pPr>
              <w:jc w:val="both"/>
              <w:rPr>
                <w:b/>
                <w:szCs w:val="24"/>
              </w:rPr>
            </w:pPr>
            <w:r w:rsidRPr="004433F8">
              <w:rPr>
                <w:b/>
                <w:color w:val="0D0D0D"/>
                <w:szCs w:val="24"/>
              </w:rPr>
              <w:t>Žyma apie pastabas ir pasiūlymus, į kuriuos nebuvo atsižvelgta arba atsižvelgta iš dalies</w:t>
            </w:r>
            <w:r>
              <w:rPr>
                <w:b/>
                <w:color w:val="0D0D0D"/>
                <w:szCs w:val="24"/>
              </w:rPr>
              <w:t xml:space="preserve"> (nurodyti motyvus)</w:t>
            </w:r>
          </w:p>
        </w:tc>
      </w:tr>
      <w:tr w:rsidR="0065462A" w14:paraId="3EB45F91" w14:textId="77777777" w:rsidTr="00A36C2F">
        <w:tc>
          <w:tcPr>
            <w:tcW w:w="3006" w:type="dxa"/>
          </w:tcPr>
          <w:p w14:paraId="7CB7DFBF" w14:textId="77777777" w:rsidR="0065462A" w:rsidRDefault="002672AB" w:rsidP="00180C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Akcinė bendrovė Lietuvos paštas</w:t>
            </w:r>
          </w:p>
          <w:p w14:paraId="74516624" w14:textId="0FDE3166" w:rsidR="00570C71" w:rsidRDefault="00570C71" w:rsidP="00570C71">
            <w:pPr>
              <w:rPr>
                <w:rFonts w:asciiTheme="majorBidi" w:hAnsiTheme="majorBidi" w:cstheme="majorBidi"/>
                <w:bCs/>
              </w:rPr>
            </w:pPr>
            <w:r>
              <w:rPr>
                <w:szCs w:val="24"/>
              </w:rPr>
              <w:t>2021-</w:t>
            </w:r>
            <w:r w:rsidR="00D03C1E">
              <w:rPr>
                <w:szCs w:val="24"/>
              </w:rPr>
              <w:t>10</w:t>
            </w:r>
            <w:r>
              <w:rPr>
                <w:szCs w:val="24"/>
              </w:rPr>
              <w:t>-0</w:t>
            </w:r>
            <w:r w:rsidR="00D03C1E">
              <w:rPr>
                <w:szCs w:val="24"/>
              </w:rPr>
              <w:t>1</w:t>
            </w:r>
            <w:r>
              <w:rPr>
                <w:szCs w:val="24"/>
              </w:rPr>
              <w:t xml:space="preserve"> raštas Nr.</w:t>
            </w:r>
            <w:r w:rsidR="005A0279">
              <w:rPr>
                <w:szCs w:val="24"/>
              </w:rPr>
              <w:t> </w:t>
            </w:r>
            <w:r>
              <w:rPr>
                <w:rFonts w:asciiTheme="majorBidi" w:hAnsiTheme="majorBidi" w:cstheme="majorBidi"/>
                <w:bCs/>
              </w:rPr>
              <w:t>3</w:t>
            </w:r>
            <w:r w:rsidR="009242A3">
              <w:rPr>
                <w:rFonts w:asciiTheme="majorBidi" w:hAnsiTheme="majorBidi" w:cstheme="majorBidi"/>
                <w:bCs/>
              </w:rPr>
              <w:noBreakHyphen/>
            </w:r>
            <w:r>
              <w:rPr>
                <w:rFonts w:asciiTheme="majorBidi" w:hAnsiTheme="majorBidi" w:cstheme="majorBidi"/>
                <w:bCs/>
              </w:rPr>
              <w:t>2021</w:t>
            </w:r>
            <w:r w:rsidR="009242A3">
              <w:rPr>
                <w:rFonts w:asciiTheme="majorBidi" w:hAnsiTheme="majorBidi" w:cstheme="majorBidi"/>
                <w:bCs/>
              </w:rPr>
              <w:noBreakHyphen/>
            </w:r>
            <w:r>
              <w:rPr>
                <w:rFonts w:asciiTheme="majorBidi" w:hAnsiTheme="majorBidi" w:cstheme="majorBidi"/>
                <w:bCs/>
              </w:rPr>
              <w:t>0</w:t>
            </w:r>
            <w:r w:rsidR="00D03C1E">
              <w:rPr>
                <w:rFonts w:asciiTheme="majorBidi" w:hAnsiTheme="majorBidi" w:cstheme="majorBidi"/>
                <w:bCs/>
              </w:rPr>
              <w:t>44</w:t>
            </w:r>
            <w:r>
              <w:rPr>
                <w:rFonts w:asciiTheme="majorBidi" w:hAnsiTheme="majorBidi" w:cstheme="majorBidi"/>
                <w:bCs/>
              </w:rPr>
              <w:t>00</w:t>
            </w:r>
          </w:p>
          <w:p w14:paraId="3EB45F8E" w14:textId="71C86DCF" w:rsidR="00570C71" w:rsidRPr="0065462A" w:rsidRDefault="00570C71" w:rsidP="00180CB1">
            <w:pPr>
              <w:jc w:val="both"/>
              <w:rPr>
                <w:szCs w:val="24"/>
              </w:rPr>
            </w:pPr>
          </w:p>
        </w:tc>
        <w:tc>
          <w:tcPr>
            <w:tcW w:w="7655" w:type="dxa"/>
          </w:tcPr>
          <w:p w14:paraId="48B8CFED" w14:textId="77777777" w:rsidR="00597F9C" w:rsidRDefault="007C2A22" w:rsidP="00597F9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597F9C">
              <w:rPr>
                <w:rFonts w:ascii="TimesNewRomanPSMT" w:eastAsiaTheme="minorHAnsi" w:hAnsi="TimesNewRomanPSMT" w:cs="TimesNewRomanPSMT"/>
                <w:szCs w:val="24"/>
              </w:rPr>
              <w:t>Norėtume atkreipti dėmesį į tai, kad Pastatas – įstaiga turi priklausinių, kuriuos sudaro:</w:t>
            </w:r>
          </w:p>
          <w:p w14:paraId="64D63909" w14:textId="534C7480" w:rsidR="00597F9C" w:rsidRDefault="00597F9C" w:rsidP="00597F9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ūkiniai pastatai, praėjimo punktas ir inžinieriniai statiniai, skirti tarnauti Pastatui – įstaigai ir pagal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savo savybes yra nuolat su juo susiję, taip pat ir fiziškai ir būtini Pastato-įstaigos naudojimui. Ši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aplinkybė patvirtinta ir Statinių adresu Laisvės al. 102, Kauno m. nekilnojamojo daikto kadastrinių</w:t>
            </w:r>
          </w:p>
          <w:p w14:paraId="288A7DCB" w14:textId="6C8AC374" w:rsidR="002672AB" w:rsidRDefault="00597F9C" w:rsidP="000A71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matavimų byloje Nr. 19/9663, registro Nr. 20/92456. CK 4.19 str. 1 d. numatyta, kad priklausiniais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laikomi savarankiški pagrindiniam daiktui tarnauti skirti daiktai, kurie pagal savo savybes yra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nuolat susiję su pagrindiniu daiktu.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Vertinant finansiškai aptariamų nedalomų priklausinių rinkos vertė (38,2 tūkst. Eur)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nesudarys reikšmingos dalies bendroje Kauno centrinio pašto rūmų komplekso, adresu Kauno m.</w:t>
            </w:r>
            <w:r w:rsidR="000A717C"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sav. Kauno m. Laisvės al. 102, vertėje.</w:t>
            </w:r>
          </w:p>
          <w:p w14:paraId="1CF914FB" w14:textId="4F27E710" w:rsidR="000A717C" w:rsidRDefault="00675F96" w:rsidP="00675F96">
            <w:pPr>
              <w:autoSpaceDE w:val="0"/>
              <w:autoSpaceDN w:val="0"/>
              <w:adjustRightInd w:val="0"/>
              <w:ind w:firstLine="30"/>
              <w:rPr>
                <w:rFonts w:asciiTheme="majorBidi" w:hAnsiTheme="majorBidi" w:cstheme="majorBidi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Neperėmus viso pastatų komplekso, t. y. Pastato – įstaigos su priklausiniais, gali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susiklostyti situacija, kad priklausinių atskyrimas (nugriovimas) gali padaryti neatstatomą žalą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pagrindiniam Pastatui – įstaigai ir jo savybėms, valstybė bei visuomenė negalėtų visa apimtimi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disponuoti ir naudotis pačiu kultūros paminklu – Kauno centrinio pašto rūmais, kaip visuomenei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reikšmingu kultūros paminklu, nes priklausiniai yra glaudžiai su juo susiję.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Atsižvelgdami į pirmiau nurodytus argumentus, prašytume planuojant valstybės biudžeto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lėšas, reikalingas atlyginimui už Pastatą – įstaigą, numatyti papildomą, atlyginimui už priklausinius,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Cs w:val="24"/>
              </w:rPr>
              <w:t>reikalingą lėšų sumą, perėmus ir priklausinius.</w:t>
            </w:r>
          </w:p>
          <w:p w14:paraId="056534C4" w14:textId="77777777" w:rsidR="000A717C" w:rsidRDefault="000A717C" w:rsidP="009A3397">
            <w:pPr>
              <w:pStyle w:val="BodyText"/>
              <w:ind w:firstLine="851"/>
              <w:jc w:val="both"/>
              <w:rPr>
                <w:rFonts w:asciiTheme="majorBidi" w:hAnsiTheme="majorBidi" w:cstheme="majorBidi"/>
              </w:rPr>
            </w:pPr>
          </w:p>
          <w:p w14:paraId="3EB45F8F" w14:textId="45749329" w:rsidR="002A52FD" w:rsidRPr="000055EE" w:rsidRDefault="002A52FD" w:rsidP="002A52FD">
            <w:pPr>
              <w:jc w:val="both"/>
              <w:rPr>
                <w:szCs w:val="24"/>
              </w:rPr>
            </w:pPr>
          </w:p>
        </w:tc>
        <w:tc>
          <w:tcPr>
            <w:tcW w:w="4365" w:type="dxa"/>
          </w:tcPr>
          <w:p w14:paraId="5723C3F9" w14:textId="2CB8543A" w:rsidR="00DA5025" w:rsidRPr="006D6F12" w:rsidRDefault="007C2A22" w:rsidP="006D6F12">
            <w:pPr>
              <w:jc w:val="both"/>
              <w:rPr>
                <w:rFonts w:asciiTheme="majorBidi" w:hAnsiTheme="majorBidi" w:cstheme="majorBidi"/>
              </w:rPr>
            </w:pPr>
            <w:r w:rsidRPr="00DA5025">
              <w:rPr>
                <w:b/>
                <w:szCs w:val="24"/>
              </w:rPr>
              <w:t xml:space="preserve">1. </w:t>
            </w:r>
            <w:r w:rsidR="009565C3">
              <w:rPr>
                <w:b/>
                <w:szCs w:val="24"/>
              </w:rPr>
              <w:t>Nea</w:t>
            </w:r>
            <w:r w:rsidR="00180CB1" w:rsidRPr="00DA5025">
              <w:rPr>
                <w:b/>
                <w:szCs w:val="24"/>
              </w:rPr>
              <w:t>tsižvelgta</w:t>
            </w:r>
            <w:r w:rsidR="00402B5B">
              <w:rPr>
                <w:b/>
                <w:szCs w:val="24"/>
              </w:rPr>
              <w:t>.</w:t>
            </w:r>
            <w:r w:rsidR="00180CB1" w:rsidRPr="00DA5025">
              <w:rPr>
                <w:b/>
                <w:szCs w:val="24"/>
              </w:rPr>
              <w:t xml:space="preserve"> </w:t>
            </w:r>
            <w:r w:rsidR="0080451F" w:rsidRPr="009E769A">
              <w:rPr>
                <w:bCs/>
                <w:szCs w:val="24"/>
              </w:rPr>
              <w:t>Šio teisės akto tikslas</w:t>
            </w:r>
            <w:r w:rsidR="0080451F" w:rsidRPr="00341F95">
              <w:rPr>
                <w:bCs/>
                <w:szCs w:val="24"/>
              </w:rPr>
              <w:t xml:space="preserve"> – </w:t>
            </w:r>
            <w:r w:rsidR="0080451F" w:rsidRPr="000A64CB">
              <w:t xml:space="preserve">įrašyti į </w:t>
            </w:r>
            <w:r w:rsidR="0080451F" w:rsidRPr="000A64CB">
              <w:rPr>
                <w:bCs/>
              </w:rPr>
              <w:t>Valstybinės reikšmės istorijos, archeologijos ir kultūros objektų s</w:t>
            </w:r>
            <w:r w:rsidR="0080451F" w:rsidRPr="000A64CB">
              <w:t xml:space="preserve">ąrašą (toliau </w:t>
            </w:r>
            <w:r w:rsidR="0080451F">
              <w:t xml:space="preserve">– </w:t>
            </w:r>
            <w:r w:rsidR="0080451F" w:rsidRPr="000A64CB">
              <w:t xml:space="preserve">Sąrašas) </w:t>
            </w:r>
            <w:r w:rsidR="0080451F" w:rsidRPr="009E769A">
              <w:rPr>
                <w:u w:val="single"/>
              </w:rPr>
              <w:t>kultūros paminklą</w:t>
            </w:r>
            <w:r w:rsidR="0080451F" w:rsidRPr="000A64CB">
              <w:t xml:space="preserve"> </w:t>
            </w:r>
            <w:r w:rsidR="0080451F" w:rsidRPr="007611BE">
              <w:sym w:font="Symbol" w:char="F02D"/>
            </w:r>
            <w:r w:rsidR="0080451F" w:rsidRPr="007611BE">
              <w:rPr>
                <w:rStyle w:val="rowvalue"/>
              </w:rPr>
              <w:t xml:space="preserve"> </w:t>
            </w:r>
            <w:r w:rsidR="0080451F" w:rsidRPr="000A64CB">
              <w:rPr>
                <w:rStyle w:val="rowvalue"/>
              </w:rPr>
              <w:t>Kauno centrinio pašto rūmus</w:t>
            </w:r>
            <w:r w:rsidR="0080451F">
              <w:rPr>
                <w:rStyle w:val="rowvalue"/>
              </w:rPr>
              <w:t xml:space="preserve">. </w:t>
            </w:r>
            <w:r w:rsidR="009242A3">
              <w:rPr>
                <w:rStyle w:val="rowvalue"/>
              </w:rPr>
              <w:t xml:space="preserve">Kultūros </w:t>
            </w:r>
            <w:r w:rsidR="009242A3">
              <w:rPr>
                <w:bCs/>
                <w:szCs w:val="24"/>
              </w:rPr>
              <w:t>m</w:t>
            </w:r>
            <w:r w:rsidR="00EF603B" w:rsidRPr="00EF603B">
              <w:rPr>
                <w:bCs/>
                <w:szCs w:val="24"/>
              </w:rPr>
              <w:t xml:space="preserve">inisterija </w:t>
            </w:r>
            <w:r w:rsidR="009565C3">
              <w:rPr>
                <w:bCs/>
                <w:szCs w:val="24"/>
              </w:rPr>
              <w:t>ne</w:t>
            </w:r>
            <w:r w:rsidR="00EF603B" w:rsidRPr="00EF603B">
              <w:rPr>
                <w:bCs/>
                <w:szCs w:val="24"/>
              </w:rPr>
              <w:t>sutinka, kad</w:t>
            </w:r>
            <w:r w:rsidR="00EF603B" w:rsidRPr="00341F95">
              <w:rPr>
                <w:bCs/>
                <w:szCs w:val="24"/>
              </w:rPr>
              <w:t xml:space="preserve"> </w:t>
            </w:r>
            <w:r w:rsidR="00EF603B" w:rsidRPr="00EF603B">
              <w:rPr>
                <w:bCs/>
                <w:szCs w:val="24"/>
              </w:rPr>
              <w:t xml:space="preserve">Nutarimo projektas būtų papildytas </w:t>
            </w:r>
            <w:r w:rsidR="00081FBB">
              <w:rPr>
                <w:bCs/>
                <w:szCs w:val="24"/>
              </w:rPr>
              <w:t>žodžiais „su priklausin</w:t>
            </w:r>
            <w:r w:rsidR="00BE178B">
              <w:rPr>
                <w:bCs/>
                <w:szCs w:val="24"/>
              </w:rPr>
              <w:t>i</w:t>
            </w:r>
            <w:r w:rsidR="00081FBB">
              <w:rPr>
                <w:bCs/>
                <w:szCs w:val="24"/>
              </w:rPr>
              <w:t>ais“</w:t>
            </w:r>
            <w:r w:rsidR="004352A4">
              <w:rPr>
                <w:bCs/>
                <w:szCs w:val="24"/>
              </w:rPr>
              <w:t>, nes</w:t>
            </w:r>
            <w:r w:rsidR="00BE178B">
              <w:rPr>
                <w:bCs/>
                <w:szCs w:val="24"/>
              </w:rPr>
              <w:t xml:space="preserve"> </w:t>
            </w:r>
            <w:r w:rsidR="009565C3">
              <w:rPr>
                <w:bCs/>
                <w:szCs w:val="24"/>
              </w:rPr>
              <w:t>priklausiniai nėra kultūros paveldo vertybės</w:t>
            </w:r>
            <w:r w:rsidR="006A2B93">
              <w:rPr>
                <w:bCs/>
                <w:szCs w:val="24"/>
              </w:rPr>
              <w:t>, išskyrus pri</w:t>
            </w:r>
            <w:r w:rsidR="00004771">
              <w:rPr>
                <w:bCs/>
                <w:szCs w:val="24"/>
              </w:rPr>
              <w:t>e</w:t>
            </w:r>
            <w:r w:rsidR="006A2B93">
              <w:rPr>
                <w:bCs/>
                <w:szCs w:val="24"/>
              </w:rPr>
              <w:t xml:space="preserve">statą, kuris plane pažymėtas </w:t>
            </w:r>
            <w:r w:rsidR="007E1605">
              <w:rPr>
                <w:bCs/>
                <w:szCs w:val="24"/>
              </w:rPr>
              <w:t xml:space="preserve">1B3p. </w:t>
            </w:r>
          </w:p>
          <w:p w14:paraId="5B7EA7E0" w14:textId="0546143C" w:rsidR="007E1605" w:rsidRDefault="007E1605" w:rsidP="00E87490">
            <w:pPr>
              <w:jc w:val="both"/>
              <w:rPr>
                <w:bCs/>
                <w:szCs w:val="24"/>
              </w:rPr>
            </w:pPr>
          </w:p>
          <w:p w14:paraId="6C8307B4" w14:textId="0FD7863C" w:rsidR="003B6E0F" w:rsidRDefault="003B6E0F" w:rsidP="00E8749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Priklausinių perėmimo valstybės nuosavybėn klausimas turėtų būti sprendžiamas kitais teisiniais pagrindais, o ne šiuo nutarimo projektu.</w:t>
            </w:r>
          </w:p>
          <w:p w14:paraId="3EB45F90" w14:textId="335A3FBE" w:rsidR="00141A4D" w:rsidRPr="00DA5025" w:rsidRDefault="00141A4D" w:rsidP="0046230B">
            <w:pPr>
              <w:pStyle w:val="Preformatted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left" w:pos="851"/>
                <w:tab w:val="left" w:pos="1134"/>
              </w:tabs>
              <w:jc w:val="both"/>
              <w:rPr>
                <w:szCs w:val="24"/>
              </w:rPr>
            </w:pPr>
          </w:p>
        </w:tc>
      </w:tr>
    </w:tbl>
    <w:p w14:paraId="3EB45F92" w14:textId="424C87BD" w:rsidR="00E1496B" w:rsidRDefault="003B6E0F" w:rsidP="00A36C2F"/>
    <w:sectPr w:rsidR="00E1496B" w:rsidSect="00675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16FD" w14:textId="77777777" w:rsidR="00802704" w:rsidRDefault="00802704" w:rsidP="00325D9F">
      <w:r>
        <w:separator/>
      </w:r>
    </w:p>
  </w:endnote>
  <w:endnote w:type="continuationSeparator" w:id="0">
    <w:p w14:paraId="5A907014" w14:textId="77777777" w:rsidR="00802704" w:rsidRDefault="00802704" w:rsidP="0032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F858" w14:textId="77777777" w:rsidR="00325D9F" w:rsidRDefault="00325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D7E6" w14:textId="77777777" w:rsidR="00325D9F" w:rsidRDefault="00325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CCDA" w14:textId="77777777" w:rsidR="00325D9F" w:rsidRDefault="00325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C50F" w14:textId="77777777" w:rsidR="00802704" w:rsidRDefault="00802704" w:rsidP="00325D9F">
      <w:r>
        <w:separator/>
      </w:r>
    </w:p>
  </w:footnote>
  <w:footnote w:type="continuationSeparator" w:id="0">
    <w:p w14:paraId="0C62F115" w14:textId="77777777" w:rsidR="00802704" w:rsidRDefault="00802704" w:rsidP="0032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F801" w14:textId="77777777" w:rsidR="00325D9F" w:rsidRDefault="0032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288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96B438" w14:textId="631D85F3" w:rsidR="00325D9F" w:rsidRDefault="00325D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4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67695F" w14:textId="77777777" w:rsidR="00325D9F" w:rsidRDefault="00325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D1FD" w14:textId="77777777" w:rsidR="00325D9F" w:rsidRDefault="00325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430D"/>
    <w:multiLevelType w:val="hybridMultilevel"/>
    <w:tmpl w:val="22CC5C7E"/>
    <w:lvl w:ilvl="0" w:tplc="B05E80F8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0360AE"/>
    <w:multiLevelType w:val="multilevel"/>
    <w:tmpl w:val="8C5AF97C"/>
    <w:lvl w:ilvl="0">
      <w:start w:val="2018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C10CF0"/>
    <w:multiLevelType w:val="multilevel"/>
    <w:tmpl w:val="2C0A0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none"/>
      </w:rPr>
    </w:lvl>
  </w:abstractNum>
  <w:abstractNum w:abstractNumId="3" w15:restartNumberingAfterBreak="0">
    <w:nsid w:val="5CF57AF9"/>
    <w:multiLevelType w:val="multilevel"/>
    <w:tmpl w:val="EA8809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 w15:restartNumberingAfterBreak="0">
    <w:nsid w:val="678B0578"/>
    <w:multiLevelType w:val="hybridMultilevel"/>
    <w:tmpl w:val="D398F48A"/>
    <w:lvl w:ilvl="0" w:tplc="5DF05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47"/>
    <w:rsid w:val="0000253C"/>
    <w:rsid w:val="00004771"/>
    <w:rsid w:val="000055EE"/>
    <w:rsid w:val="00006265"/>
    <w:rsid w:val="00013CCC"/>
    <w:rsid w:val="00035DA0"/>
    <w:rsid w:val="000534B4"/>
    <w:rsid w:val="0006468F"/>
    <w:rsid w:val="0006626C"/>
    <w:rsid w:val="00070335"/>
    <w:rsid w:val="000801DD"/>
    <w:rsid w:val="00081FBB"/>
    <w:rsid w:val="000A52D2"/>
    <w:rsid w:val="000A717C"/>
    <w:rsid w:val="000B0A9F"/>
    <w:rsid w:val="000E3493"/>
    <w:rsid w:val="000F30EF"/>
    <w:rsid w:val="0011393B"/>
    <w:rsid w:val="001261E6"/>
    <w:rsid w:val="00141A4D"/>
    <w:rsid w:val="00146DE6"/>
    <w:rsid w:val="00180CB1"/>
    <w:rsid w:val="002146BA"/>
    <w:rsid w:val="0021700C"/>
    <w:rsid w:val="002277A9"/>
    <w:rsid w:val="00236D28"/>
    <w:rsid w:val="0025155A"/>
    <w:rsid w:val="0025158F"/>
    <w:rsid w:val="002672AB"/>
    <w:rsid w:val="00277B54"/>
    <w:rsid w:val="002A52FD"/>
    <w:rsid w:val="002C528B"/>
    <w:rsid w:val="0032555A"/>
    <w:rsid w:val="00325D9F"/>
    <w:rsid w:val="00341F95"/>
    <w:rsid w:val="00361A0D"/>
    <w:rsid w:val="00364E33"/>
    <w:rsid w:val="003768F0"/>
    <w:rsid w:val="003A220F"/>
    <w:rsid w:val="003B6E0F"/>
    <w:rsid w:val="003E105A"/>
    <w:rsid w:val="003F2F73"/>
    <w:rsid w:val="0040143B"/>
    <w:rsid w:val="00401616"/>
    <w:rsid w:val="00402B5B"/>
    <w:rsid w:val="004213A6"/>
    <w:rsid w:val="00432BE9"/>
    <w:rsid w:val="004352A4"/>
    <w:rsid w:val="00442963"/>
    <w:rsid w:val="00444858"/>
    <w:rsid w:val="00453BC4"/>
    <w:rsid w:val="0046230B"/>
    <w:rsid w:val="00464DB9"/>
    <w:rsid w:val="004907CD"/>
    <w:rsid w:val="00496F03"/>
    <w:rsid w:val="004A037C"/>
    <w:rsid w:val="0054346E"/>
    <w:rsid w:val="00570C71"/>
    <w:rsid w:val="00570EEC"/>
    <w:rsid w:val="0057391A"/>
    <w:rsid w:val="005970A8"/>
    <w:rsid w:val="00597F9C"/>
    <w:rsid w:val="005A0279"/>
    <w:rsid w:val="005A68CC"/>
    <w:rsid w:val="005C304E"/>
    <w:rsid w:val="005D132A"/>
    <w:rsid w:val="005D2B20"/>
    <w:rsid w:val="005E1A49"/>
    <w:rsid w:val="005F68B6"/>
    <w:rsid w:val="0060553D"/>
    <w:rsid w:val="0061573B"/>
    <w:rsid w:val="00615E29"/>
    <w:rsid w:val="00645485"/>
    <w:rsid w:val="0065462A"/>
    <w:rsid w:val="0066495D"/>
    <w:rsid w:val="00675F96"/>
    <w:rsid w:val="006942B8"/>
    <w:rsid w:val="006958CE"/>
    <w:rsid w:val="006A2B93"/>
    <w:rsid w:val="006A31C7"/>
    <w:rsid w:val="006D0D21"/>
    <w:rsid w:val="006D6F12"/>
    <w:rsid w:val="006F428B"/>
    <w:rsid w:val="00716D25"/>
    <w:rsid w:val="00733A0D"/>
    <w:rsid w:val="00756D71"/>
    <w:rsid w:val="00765BCB"/>
    <w:rsid w:val="00783765"/>
    <w:rsid w:val="00790565"/>
    <w:rsid w:val="007A0332"/>
    <w:rsid w:val="007B3713"/>
    <w:rsid w:val="007B6492"/>
    <w:rsid w:val="007C2A22"/>
    <w:rsid w:val="007D7423"/>
    <w:rsid w:val="007E1605"/>
    <w:rsid w:val="00802704"/>
    <w:rsid w:val="0080451F"/>
    <w:rsid w:val="008100BE"/>
    <w:rsid w:val="00812546"/>
    <w:rsid w:val="00823619"/>
    <w:rsid w:val="00851CB8"/>
    <w:rsid w:val="00856F45"/>
    <w:rsid w:val="008835A3"/>
    <w:rsid w:val="008A0947"/>
    <w:rsid w:val="008C6DF0"/>
    <w:rsid w:val="00905FE1"/>
    <w:rsid w:val="009242A3"/>
    <w:rsid w:val="009253EB"/>
    <w:rsid w:val="00945596"/>
    <w:rsid w:val="009565C3"/>
    <w:rsid w:val="00980354"/>
    <w:rsid w:val="009A3397"/>
    <w:rsid w:val="009E769A"/>
    <w:rsid w:val="009F29AA"/>
    <w:rsid w:val="00A142A5"/>
    <w:rsid w:val="00A169BA"/>
    <w:rsid w:val="00A36C2F"/>
    <w:rsid w:val="00A4654A"/>
    <w:rsid w:val="00A73378"/>
    <w:rsid w:val="00A9560A"/>
    <w:rsid w:val="00B20DB2"/>
    <w:rsid w:val="00B409EF"/>
    <w:rsid w:val="00B54612"/>
    <w:rsid w:val="00B64509"/>
    <w:rsid w:val="00B64D65"/>
    <w:rsid w:val="00B6718D"/>
    <w:rsid w:val="00B74EE9"/>
    <w:rsid w:val="00B80A3E"/>
    <w:rsid w:val="00B81967"/>
    <w:rsid w:val="00B93E6E"/>
    <w:rsid w:val="00BC2349"/>
    <w:rsid w:val="00BC3B80"/>
    <w:rsid w:val="00BE008D"/>
    <w:rsid w:val="00BE178B"/>
    <w:rsid w:val="00BE1B2B"/>
    <w:rsid w:val="00BE7D60"/>
    <w:rsid w:val="00BF781E"/>
    <w:rsid w:val="00C523E3"/>
    <w:rsid w:val="00C549E5"/>
    <w:rsid w:val="00C63905"/>
    <w:rsid w:val="00CC390B"/>
    <w:rsid w:val="00CD57FA"/>
    <w:rsid w:val="00CF4974"/>
    <w:rsid w:val="00D03C1E"/>
    <w:rsid w:val="00D15ABA"/>
    <w:rsid w:val="00D35632"/>
    <w:rsid w:val="00D36D2C"/>
    <w:rsid w:val="00D45F88"/>
    <w:rsid w:val="00D46350"/>
    <w:rsid w:val="00D64625"/>
    <w:rsid w:val="00D70EC3"/>
    <w:rsid w:val="00D86E75"/>
    <w:rsid w:val="00DA5025"/>
    <w:rsid w:val="00DC75F4"/>
    <w:rsid w:val="00E21CD7"/>
    <w:rsid w:val="00E2716C"/>
    <w:rsid w:val="00E44D56"/>
    <w:rsid w:val="00E559E8"/>
    <w:rsid w:val="00E67FE6"/>
    <w:rsid w:val="00E87490"/>
    <w:rsid w:val="00EA0420"/>
    <w:rsid w:val="00EB1927"/>
    <w:rsid w:val="00EB7436"/>
    <w:rsid w:val="00EC37C6"/>
    <w:rsid w:val="00EC6638"/>
    <w:rsid w:val="00ED2FE6"/>
    <w:rsid w:val="00EE1132"/>
    <w:rsid w:val="00EE46D4"/>
    <w:rsid w:val="00EF345D"/>
    <w:rsid w:val="00EF603B"/>
    <w:rsid w:val="00F30D90"/>
    <w:rsid w:val="00F450F7"/>
    <w:rsid w:val="00F76337"/>
    <w:rsid w:val="00F96D19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45F87"/>
  <w15:docId w15:val="{C9514F3E-ED16-4E1E-AD41-3CD9923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47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947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5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6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6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62A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62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2A"/>
    <w:rPr>
      <w:rFonts w:ascii="Tahoma" w:eastAsia="Calibri" w:hAnsi="Tahoma" w:cs="Tahoma"/>
      <w:sz w:val="16"/>
      <w:szCs w:val="16"/>
    </w:rPr>
  </w:style>
  <w:style w:type="character" w:customStyle="1" w:styleId="dlxnowrap1">
    <w:name w:val="dlxnowrap1"/>
    <w:basedOn w:val="DefaultParagraphFont"/>
    <w:rsid w:val="00D35632"/>
  </w:style>
  <w:style w:type="paragraph" w:styleId="Header">
    <w:name w:val="header"/>
    <w:basedOn w:val="Normal"/>
    <w:link w:val="HeaderChar"/>
    <w:uiPriority w:val="99"/>
    <w:unhideWhenUsed/>
    <w:rsid w:val="00325D9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D9F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5D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D9F"/>
    <w:rPr>
      <w:rFonts w:ascii="Times New Roman" w:eastAsia="Calibri" w:hAnsi="Times New Roman" w:cs="Times New Roman"/>
      <w:sz w:val="24"/>
      <w:szCs w:val="20"/>
    </w:rPr>
  </w:style>
  <w:style w:type="paragraph" w:customStyle="1" w:styleId="AssecoParagraphNormalFirstLine">
    <w:name w:val="Asseco Paragraph Normal First Line"/>
    <w:basedOn w:val="Normal"/>
    <w:qFormat/>
    <w:rsid w:val="00570EEC"/>
    <w:pPr>
      <w:ind w:firstLine="709"/>
      <w:jc w:val="both"/>
    </w:pPr>
    <w:rPr>
      <w:rFonts w:ascii="Calibri" w:eastAsia="Times New Roman" w:hAnsi="Calibri"/>
      <w:sz w:val="22"/>
      <w:lang w:eastAsia="pl-PL"/>
    </w:rPr>
  </w:style>
  <w:style w:type="paragraph" w:customStyle="1" w:styleId="Preformatted">
    <w:name w:val="Preformatted"/>
    <w:basedOn w:val="Normal"/>
    <w:rsid w:val="00DA502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Times New Roman" w:hAnsi="Courier New"/>
      <w:sz w:val="20"/>
    </w:rPr>
  </w:style>
  <w:style w:type="paragraph" w:styleId="BodyText">
    <w:name w:val="Body Text"/>
    <w:basedOn w:val="Normal"/>
    <w:link w:val="BodyTextChar"/>
    <w:rsid w:val="002672AB"/>
    <w:pPr>
      <w:spacing w:after="120"/>
    </w:pPr>
    <w:rPr>
      <w:rFonts w:eastAsia="Times New Roman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2672A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rsid w:val="00402B5B"/>
    <w:rPr>
      <w:color w:val="0000FF" w:themeColor="hyperlink"/>
      <w:u w:val="single"/>
    </w:rPr>
  </w:style>
  <w:style w:type="character" w:customStyle="1" w:styleId="rowvalue">
    <w:name w:val="rowvalue"/>
    <w:basedOn w:val="DefaultParagraphFont"/>
    <w:rsid w:val="0080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9109-0CEE-455A-9DF2-3E850253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Maliavkina</dc:creator>
  <cp:lastModifiedBy>Romanas Senapėdis</cp:lastModifiedBy>
  <cp:revision>18</cp:revision>
  <dcterms:created xsi:type="dcterms:W3CDTF">2021-08-26T11:20:00Z</dcterms:created>
  <dcterms:modified xsi:type="dcterms:W3CDTF">2021-10-18T13:38:00Z</dcterms:modified>
</cp:coreProperties>
</file>