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7FFB1" w14:textId="317DDDB6" w:rsidR="009E5444" w:rsidRDefault="005C3BEC" w:rsidP="009E5444">
      <w:pPr>
        <w:jc w:val="center"/>
        <w:rPr>
          <w:b/>
          <w:bCs/>
          <w:caps/>
          <w:lang w:val="lt-LT"/>
        </w:rPr>
      </w:pPr>
      <w:r>
        <w:rPr>
          <w:b/>
          <w:bCs/>
          <w:caps/>
          <w:lang w:val="lt-LT"/>
        </w:rPr>
        <w:t>PAŽYMA</w:t>
      </w:r>
    </w:p>
    <w:p w14:paraId="44AF4B6F" w14:textId="77777777" w:rsidR="005C3BEC" w:rsidRDefault="005C3BEC" w:rsidP="009E5444">
      <w:pPr>
        <w:jc w:val="center"/>
        <w:rPr>
          <w:b/>
          <w:bCs/>
          <w:caps/>
          <w:lang w:val="lt-LT"/>
        </w:rPr>
      </w:pPr>
    </w:p>
    <w:p w14:paraId="46E905E9" w14:textId="4F1CF136" w:rsidR="009E5444" w:rsidRPr="002C45E5" w:rsidRDefault="009E5444" w:rsidP="009E5444">
      <w:pPr>
        <w:jc w:val="center"/>
        <w:rPr>
          <w:b/>
          <w:bCs/>
          <w:caps/>
          <w:lang w:val="lt-LT"/>
        </w:rPr>
      </w:pPr>
      <w:r w:rsidRPr="002C45E5">
        <w:rPr>
          <w:b/>
          <w:bCs/>
          <w:caps/>
          <w:lang w:val="lt-LT"/>
        </w:rPr>
        <w:t xml:space="preserve">Lietuvos Respublikos pozicijOS </w:t>
      </w:r>
      <w:r w:rsidRPr="002C45E5">
        <w:rPr>
          <w:b/>
          <w:bCs/>
          <w:caps/>
          <w:lang w:val="lt-LT"/>
        </w:rPr>
        <w:br/>
        <w:t xml:space="preserve">2021 m. </w:t>
      </w:r>
      <w:r>
        <w:rPr>
          <w:b/>
          <w:bCs/>
          <w:caps/>
          <w:lang w:val="lt-LT"/>
        </w:rPr>
        <w:t>birželio 11</w:t>
      </w:r>
      <w:r w:rsidRPr="002C45E5">
        <w:rPr>
          <w:b/>
          <w:bCs/>
          <w:caps/>
          <w:lang w:val="lt-LT"/>
        </w:rPr>
        <w:t xml:space="preserve"> d. </w:t>
      </w:r>
    </w:p>
    <w:p w14:paraId="7494A8F6" w14:textId="76EE601D" w:rsidR="009E5444" w:rsidRDefault="009E5444" w:rsidP="009E5444">
      <w:pPr>
        <w:jc w:val="center"/>
        <w:rPr>
          <w:b/>
          <w:bCs/>
          <w:caps/>
          <w:lang w:val="lt-LT"/>
        </w:rPr>
      </w:pPr>
      <w:r>
        <w:rPr>
          <w:b/>
          <w:bCs/>
          <w:caps/>
          <w:lang w:val="lt-LT"/>
        </w:rPr>
        <w:t xml:space="preserve">ES </w:t>
      </w:r>
      <w:r w:rsidR="002D01A1">
        <w:rPr>
          <w:b/>
          <w:bCs/>
          <w:caps/>
          <w:lang w:val="lt-LT"/>
        </w:rPr>
        <w:t xml:space="preserve">transporto, telekomunikacijų ir </w:t>
      </w:r>
      <w:r w:rsidRPr="002D01A1">
        <w:rPr>
          <w:b/>
          <w:bCs/>
          <w:caps/>
          <w:u w:val="single"/>
          <w:lang w:val="lt-LT"/>
        </w:rPr>
        <w:t>ENERGETIKOS</w:t>
      </w:r>
      <w:r w:rsidR="002D01A1" w:rsidRPr="002D01A1">
        <w:rPr>
          <w:b/>
          <w:bCs/>
          <w:caps/>
          <w:lang w:val="lt-LT"/>
        </w:rPr>
        <w:t xml:space="preserve"> (TTE)</w:t>
      </w:r>
      <w:r w:rsidRPr="002D01A1">
        <w:rPr>
          <w:b/>
          <w:bCs/>
          <w:caps/>
          <w:lang w:val="lt-LT"/>
        </w:rPr>
        <w:t xml:space="preserve"> </w:t>
      </w:r>
      <w:r>
        <w:rPr>
          <w:b/>
          <w:bCs/>
          <w:caps/>
          <w:lang w:val="lt-LT"/>
        </w:rPr>
        <w:t xml:space="preserve">Taryboje </w:t>
      </w:r>
      <w:r w:rsidRPr="002C45E5">
        <w:rPr>
          <w:b/>
          <w:bCs/>
          <w:caps/>
          <w:lang w:val="lt-LT"/>
        </w:rPr>
        <w:t>svarstomais klausimais</w:t>
      </w:r>
    </w:p>
    <w:p w14:paraId="0622E619" w14:textId="7CC1D78A" w:rsidR="009E5444" w:rsidRDefault="009E5444" w:rsidP="009E5444">
      <w:pPr>
        <w:jc w:val="center"/>
        <w:rPr>
          <w:b/>
          <w:bCs/>
          <w:caps/>
          <w:lang w:val="lt-LT"/>
        </w:rPr>
      </w:pPr>
    </w:p>
    <w:tbl>
      <w:tblPr>
        <w:tblStyle w:val="TableGrid"/>
        <w:tblW w:w="0" w:type="auto"/>
        <w:tblInd w:w="-431" w:type="dxa"/>
        <w:tblLook w:val="04A0" w:firstRow="1" w:lastRow="0" w:firstColumn="1" w:lastColumn="0" w:noHBand="0" w:noVBand="1"/>
      </w:tblPr>
      <w:tblGrid>
        <w:gridCol w:w="9924"/>
      </w:tblGrid>
      <w:tr w:rsidR="00953FEA" w14:paraId="7799982C" w14:textId="77777777" w:rsidTr="002D01A1">
        <w:tc>
          <w:tcPr>
            <w:tcW w:w="9924" w:type="dxa"/>
          </w:tcPr>
          <w:p w14:paraId="22216B18" w14:textId="26EA3084" w:rsidR="00D26994" w:rsidRDefault="005C3BEC" w:rsidP="00953FEA">
            <w:pPr>
              <w:pStyle w:val="BodyA"/>
              <w:tabs>
                <w:tab w:val="left" w:pos="284"/>
              </w:tabs>
              <w:jc w:val="both"/>
              <w:rPr>
                <w:rFonts w:hAnsi="Times New Roman" w:cs="Times New Roman"/>
                <w:b/>
                <w:bCs/>
                <w:iCs/>
                <w:lang w:val="lt-LT"/>
              </w:rPr>
            </w:pPr>
            <w:r>
              <w:rPr>
                <w:rFonts w:hAnsi="Times New Roman" w:cs="Times New Roman"/>
                <w:b/>
                <w:bCs/>
                <w:iCs/>
                <w:lang w:val="lt-LT"/>
              </w:rPr>
              <w:t>Posėdžio darbotvarkė</w:t>
            </w:r>
          </w:p>
          <w:p w14:paraId="0153F3C0" w14:textId="77777777" w:rsidR="005C3BEC" w:rsidRDefault="005C3BEC" w:rsidP="00953FEA">
            <w:pPr>
              <w:pStyle w:val="BodyA"/>
              <w:tabs>
                <w:tab w:val="left" w:pos="284"/>
              </w:tabs>
              <w:jc w:val="both"/>
              <w:rPr>
                <w:rFonts w:hAnsi="Times New Roman" w:cs="Times New Roman"/>
                <w:b/>
                <w:bCs/>
                <w:iCs/>
                <w:lang w:val="lt-LT"/>
              </w:rPr>
            </w:pPr>
          </w:p>
          <w:p w14:paraId="7F592DC2" w14:textId="77777777" w:rsidR="00D26994" w:rsidRDefault="00D26994" w:rsidP="00D26994">
            <w:pPr>
              <w:pBdr>
                <w:top w:val="none" w:sz="0" w:space="0" w:color="auto"/>
                <w:left w:val="none" w:sz="0" w:space="0" w:color="auto"/>
                <w:bottom w:val="none" w:sz="0" w:space="0" w:color="auto"/>
                <w:right w:val="none" w:sz="0" w:space="0" w:color="auto"/>
                <w:between w:val="none" w:sz="0" w:space="0" w:color="auto"/>
                <w:bar w:val="none" w:sz="0" w:color="auto"/>
              </w:pBdr>
              <w:rPr>
                <w:i/>
                <w:color w:val="000000"/>
                <w:u w:val="single"/>
                <w:lang w:val="lt-LT"/>
              </w:rPr>
            </w:pPr>
            <w:r w:rsidRPr="00D26994">
              <w:rPr>
                <w:i/>
                <w:color w:val="000000"/>
                <w:u w:val="single"/>
                <w:lang w:val="lt-LT"/>
              </w:rPr>
              <w:t xml:space="preserve">Teisėkūros procedūra priimamų aktų svarstymas </w:t>
            </w:r>
          </w:p>
          <w:p w14:paraId="196093F1" w14:textId="66F9B2B6" w:rsidR="00D26994" w:rsidRPr="00D26994" w:rsidRDefault="0095299B" w:rsidP="00D26994">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rPr>
                <w:i/>
                <w:lang w:val="lt-LT"/>
              </w:rPr>
            </w:pPr>
            <w:r w:rsidRPr="00D26994">
              <w:rPr>
                <w:iCs/>
                <w:lang w:val="lt-LT"/>
              </w:rPr>
              <w:t xml:space="preserve">TEN-E reglamento peržiūra – </w:t>
            </w:r>
            <w:r w:rsidRPr="00D26994">
              <w:rPr>
                <w:i/>
                <w:lang w:val="lt-LT"/>
              </w:rPr>
              <w:t xml:space="preserve">bendrasis požiūris </w:t>
            </w:r>
          </w:p>
          <w:p w14:paraId="484B223C" w14:textId="77777777" w:rsidR="00B72539" w:rsidRDefault="00B72539" w:rsidP="00B72539">
            <w:pPr>
              <w:pBdr>
                <w:top w:val="none" w:sz="0" w:space="0" w:color="auto"/>
                <w:left w:val="none" w:sz="0" w:space="0" w:color="auto"/>
                <w:bottom w:val="none" w:sz="0" w:space="0" w:color="auto"/>
                <w:right w:val="none" w:sz="0" w:space="0" w:color="auto"/>
                <w:between w:val="none" w:sz="0" w:space="0" w:color="auto"/>
                <w:bar w:val="none" w:sz="0" w:color="auto"/>
              </w:pBdr>
              <w:rPr>
                <w:i/>
                <w:iCs/>
                <w:u w:val="single"/>
                <w:lang w:val="lt-LT"/>
              </w:rPr>
            </w:pPr>
            <w:r w:rsidRPr="00B72539">
              <w:rPr>
                <w:i/>
                <w:iCs/>
                <w:u w:val="single"/>
                <w:lang w:val="lt-LT"/>
              </w:rPr>
              <w:t xml:space="preserve">Su teisėkūros procedūra nesusijusi veikla </w:t>
            </w:r>
          </w:p>
          <w:p w14:paraId="6032911A" w14:textId="55E8D3E9" w:rsidR="0095299B" w:rsidRPr="00B72539" w:rsidRDefault="0095299B" w:rsidP="00B72539">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rPr>
                <w:i/>
                <w:shd w:val="clear" w:color="auto" w:fill="FFFFFF"/>
                <w:lang w:val="lt-LT"/>
              </w:rPr>
            </w:pPr>
            <w:r w:rsidRPr="00B72539">
              <w:rPr>
                <w:shd w:val="clear" w:color="auto" w:fill="FFFFFF"/>
                <w:lang w:val="lt-LT"/>
              </w:rPr>
              <w:t xml:space="preserve">Tarybos išvados „Dėl renovacijos bangos, kuri gaivins ekonomiką dabar ir kurs tvarius būstus ateičiai“ </w:t>
            </w:r>
            <w:r w:rsidRPr="00B72539">
              <w:rPr>
                <w:i/>
                <w:shd w:val="clear" w:color="auto" w:fill="FFFFFF"/>
                <w:lang w:val="lt-LT"/>
              </w:rPr>
              <w:t>– tvirtinimas</w:t>
            </w:r>
          </w:p>
          <w:p w14:paraId="75D2D39B" w14:textId="263EF882" w:rsidR="0095299B" w:rsidRPr="00B72539" w:rsidRDefault="0095299B" w:rsidP="00B72539">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rPr>
                <w:b/>
                <w:bCs/>
                <w:caps/>
                <w:lang w:val="lt-LT"/>
              </w:rPr>
            </w:pPr>
            <w:r w:rsidRPr="00B72539">
              <w:rPr>
                <w:lang w:val="lt-LT"/>
              </w:rPr>
              <w:t xml:space="preserve">Vandenilio strategija klimatui neutraliai Europai - </w:t>
            </w:r>
            <w:r w:rsidRPr="00B72539">
              <w:rPr>
                <w:i/>
                <w:lang w:val="lt-LT"/>
              </w:rPr>
              <w:t>pasikeitimas nuomonėmis</w:t>
            </w:r>
          </w:p>
          <w:p w14:paraId="211EDCB0" w14:textId="33DDB3D4" w:rsidR="0095299B" w:rsidRPr="0095299B" w:rsidRDefault="0095299B" w:rsidP="0095299B">
            <w:pPr>
              <w:pBdr>
                <w:top w:val="none" w:sz="0" w:space="0" w:color="auto"/>
                <w:left w:val="none" w:sz="0" w:space="0" w:color="auto"/>
                <w:bottom w:val="none" w:sz="0" w:space="0" w:color="auto"/>
                <w:right w:val="none" w:sz="0" w:space="0" w:color="auto"/>
                <w:between w:val="none" w:sz="0" w:space="0" w:color="auto"/>
                <w:bar w:val="none" w:sz="0" w:color="auto"/>
              </w:pBdr>
              <w:rPr>
                <w:u w:val="single"/>
                <w:lang w:val="lt-LT"/>
              </w:rPr>
            </w:pPr>
            <w:r w:rsidRPr="0095299B">
              <w:rPr>
                <w:caps/>
                <w:u w:val="single"/>
                <w:lang w:val="lt-LT"/>
              </w:rPr>
              <w:t>K</w:t>
            </w:r>
            <w:r w:rsidRPr="0095299B">
              <w:rPr>
                <w:u w:val="single"/>
                <w:lang w:val="lt-LT"/>
              </w:rPr>
              <w:t>iti klausimai</w:t>
            </w:r>
          </w:p>
          <w:p w14:paraId="5B892574" w14:textId="77777777" w:rsidR="000A11D0" w:rsidRPr="000A11D0" w:rsidRDefault="000A11D0" w:rsidP="000A11D0">
            <w:pPr>
              <w:pStyle w:val="ListParagraph"/>
              <w:numPr>
                <w:ilvl w:val="0"/>
                <w:numId w:val="7"/>
              </w:numPr>
              <w:rPr>
                <w:u w:val="single"/>
                <w:lang w:val="lt-LT"/>
              </w:rPr>
            </w:pPr>
            <w:r>
              <w:rPr>
                <w:lang w:val="lt-LT"/>
              </w:rPr>
              <w:t>P</w:t>
            </w:r>
            <w:r w:rsidRPr="000A11D0">
              <w:rPr>
                <w:lang w:val="lt-LT"/>
              </w:rPr>
              <w:t xml:space="preserve">astarojo meto išorės santykių energetikos srityje eiga </w:t>
            </w:r>
          </w:p>
          <w:p w14:paraId="00200611" w14:textId="04A57BC0" w:rsidR="000A11D0" w:rsidRPr="000A11D0" w:rsidRDefault="000A11D0" w:rsidP="000A11D0">
            <w:pPr>
              <w:pStyle w:val="ListParagraph"/>
              <w:rPr>
                <w:u w:val="single"/>
                <w:lang w:val="lt-LT"/>
              </w:rPr>
            </w:pPr>
            <w:r w:rsidRPr="000A11D0">
              <w:rPr>
                <w:lang w:val="lt-LT"/>
              </w:rPr>
              <w:t xml:space="preserve">-  </w:t>
            </w:r>
            <w:r w:rsidRPr="000A11D0">
              <w:rPr>
                <w:i/>
                <w:iCs/>
                <w:lang w:val="lt-LT"/>
              </w:rPr>
              <w:t>Komisijos informacija</w:t>
            </w:r>
            <w:r w:rsidRPr="000A11D0">
              <w:rPr>
                <w:lang w:val="lt-LT"/>
              </w:rPr>
              <w:t xml:space="preserve"> </w:t>
            </w:r>
          </w:p>
          <w:p w14:paraId="3B8BFE3F" w14:textId="77777777" w:rsidR="000A11D0" w:rsidRDefault="000A11D0" w:rsidP="000A11D0">
            <w:pPr>
              <w:pStyle w:val="ListParagraph"/>
              <w:numPr>
                <w:ilvl w:val="0"/>
                <w:numId w:val="7"/>
              </w:numPr>
              <w:rPr>
                <w:lang w:val="lt-LT"/>
              </w:rPr>
            </w:pPr>
            <w:r w:rsidRPr="000A11D0">
              <w:rPr>
                <w:lang w:val="lt-LT"/>
              </w:rPr>
              <w:t xml:space="preserve">Raginimas imtis skubių veiksmų siekiant užtikrinti, kad Baltarusijos atominėje elektrinėje būtų visapusiškai įgyvendintos branduolinės saugos rekomendacijos ir užtikrinant 2020 m. gruodžio mėn. Europos Vadovų tarybos išvadų įgyvendinimą </w:t>
            </w:r>
          </w:p>
          <w:p w14:paraId="67957B83" w14:textId="167FAFE7" w:rsidR="000A11D0" w:rsidRPr="000A11D0" w:rsidRDefault="000A11D0" w:rsidP="000A11D0">
            <w:pPr>
              <w:pStyle w:val="ListParagraph"/>
              <w:rPr>
                <w:lang w:val="lt-LT"/>
              </w:rPr>
            </w:pPr>
            <w:r w:rsidRPr="000A11D0">
              <w:rPr>
                <w:lang w:val="lt-LT"/>
              </w:rPr>
              <w:t xml:space="preserve">- </w:t>
            </w:r>
            <w:r w:rsidRPr="000A11D0">
              <w:rPr>
                <w:i/>
                <w:iCs/>
                <w:lang w:val="lt-LT"/>
              </w:rPr>
              <w:t>Lietuvos delegacijos informacija</w:t>
            </w:r>
            <w:r w:rsidRPr="000A11D0">
              <w:rPr>
                <w:lang w:val="lt-LT"/>
              </w:rPr>
              <w:t xml:space="preserve"> </w:t>
            </w:r>
          </w:p>
          <w:p w14:paraId="2C50A676" w14:textId="77777777" w:rsidR="000A11D0" w:rsidRPr="000A11D0" w:rsidRDefault="000A11D0" w:rsidP="000A11D0">
            <w:pPr>
              <w:pStyle w:val="ListParagraph"/>
              <w:numPr>
                <w:ilvl w:val="0"/>
                <w:numId w:val="7"/>
              </w:numPr>
              <w:rPr>
                <w:u w:val="single"/>
                <w:lang w:val="lt-LT"/>
              </w:rPr>
            </w:pPr>
            <w:r w:rsidRPr="000A11D0">
              <w:rPr>
                <w:lang w:val="lt-LT"/>
              </w:rPr>
              <w:t xml:space="preserve">Pirmininkausiančios valstybės narės darbo programa </w:t>
            </w:r>
          </w:p>
          <w:p w14:paraId="2C6D4916" w14:textId="7B284D3D" w:rsidR="0095299B" w:rsidRPr="00B1257C" w:rsidRDefault="000A11D0" w:rsidP="00B1257C">
            <w:pPr>
              <w:pStyle w:val="ListParagraph"/>
              <w:rPr>
                <w:u w:val="single"/>
                <w:lang w:val="lt-LT"/>
              </w:rPr>
            </w:pPr>
            <w:r w:rsidRPr="000A11D0">
              <w:rPr>
                <w:lang w:val="lt-LT"/>
              </w:rPr>
              <w:t xml:space="preserve">- </w:t>
            </w:r>
            <w:r w:rsidRPr="000A11D0">
              <w:rPr>
                <w:i/>
                <w:iCs/>
                <w:lang w:val="lt-LT"/>
              </w:rPr>
              <w:t>Slovėnijos delegacijos informacija</w:t>
            </w:r>
          </w:p>
        </w:tc>
      </w:tr>
    </w:tbl>
    <w:p w14:paraId="0B7418EC" w14:textId="77777777" w:rsidR="00953FEA" w:rsidRDefault="00953FEA" w:rsidP="009E5444">
      <w:pPr>
        <w:jc w:val="center"/>
        <w:rPr>
          <w:b/>
          <w:bCs/>
          <w:caps/>
          <w:lang w:val="lt-LT"/>
        </w:rPr>
      </w:pPr>
    </w:p>
    <w:tbl>
      <w:tblPr>
        <w:tblStyle w:val="TableGrid"/>
        <w:tblW w:w="0" w:type="auto"/>
        <w:tblInd w:w="-431" w:type="dxa"/>
        <w:tblLook w:val="04A0" w:firstRow="1" w:lastRow="0" w:firstColumn="1" w:lastColumn="0" w:noHBand="0" w:noVBand="1"/>
      </w:tblPr>
      <w:tblGrid>
        <w:gridCol w:w="9924"/>
      </w:tblGrid>
      <w:tr w:rsidR="009E5444" w:rsidRPr="002C45E5" w14:paraId="1FBA5B87" w14:textId="77777777" w:rsidTr="002D01A1">
        <w:tc>
          <w:tcPr>
            <w:tcW w:w="9924" w:type="dxa"/>
          </w:tcPr>
          <w:p w14:paraId="083A9ACA" w14:textId="726DAAAE" w:rsidR="00C5226B" w:rsidRPr="00E534CA" w:rsidRDefault="009E5444" w:rsidP="00953FEA">
            <w:pPr>
              <w:pStyle w:val="BodyA"/>
              <w:numPr>
                <w:ilvl w:val="0"/>
                <w:numId w:val="4"/>
              </w:numPr>
              <w:tabs>
                <w:tab w:val="left" w:pos="284"/>
              </w:tabs>
              <w:jc w:val="both"/>
              <w:rPr>
                <w:rFonts w:hAnsi="Times New Roman" w:cs="Times New Roman"/>
                <w:b/>
                <w:bCs/>
                <w:iCs/>
                <w:lang w:val="lt-LT"/>
              </w:rPr>
            </w:pPr>
            <w:r w:rsidRPr="00E534CA">
              <w:rPr>
                <w:rFonts w:hAnsi="Times New Roman" w:cs="Times New Roman"/>
                <w:b/>
                <w:bCs/>
                <w:iCs/>
                <w:lang w:val="lt-LT"/>
              </w:rPr>
              <w:t xml:space="preserve">TEN-E reglamento peržiūra - </w:t>
            </w:r>
            <w:r w:rsidRPr="00FC46CC">
              <w:rPr>
                <w:rFonts w:hAnsi="Times New Roman" w:cs="Times New Roman"/>
                <w:i/>
                <w:lang w:val="lt-LT"/>
              </w:rPr>
              <w:t xml:space="preserve">bendrasis požiūris </w:t>
            </w:r>
            <w:r w:rsidRPr="00953FEA">
              <w:rPr>
                <w:rFonts w:hAnsi="Times New Roman" w:cs="Times New Roman"/>
                <w:iCs/>
                <w:u w:val="single"/>
                <w:lang w:val="lt-LT"/>
              </w:rPr>
              <w:t>(teisėkūros)</w:t>
            </w:r>
            <w:r w:rsidR="00953FEA" w:rsidRPr="00953FEA">
              <w:rPr>
                <w:rFonts w:hAnsi="Times New Roman" w:cs="Times New Roman"/>
                <w:iCs/>
                <w:u w:val="single"/>
                <w:lang w:val="lt-LT"/>
              </w:rPr>
              <w:t>.</w:t>
            </w:r>
            <w:r w:rsidR="00953FEA">
              <w:rPr>
                <w:rFonts w:hAnsi="Times New Roman" w:cs="Times New Roman"/>
                <w:b/>
                <w:bCs/>
                <w:iCs/>
                <w:lang w:val="lt-LT"/>
              </w:rPr>
              <w:t xml:space="preserve"> </w:t>
            </w:r>
          </w:p>
          <w:p w14:paraId="0C474D68" w14:textId="77777777" w:rsidR="00753B44" w:rsidRDefault="00753B44" w:rsidP="004159EA">
            <w:pPr>
              <w:pStyle w:val="Default"/>
              <w:rPr>
                <w:rFonts w:ascii="Times New Roman" w:hAnsi="Times New Roman" w:cs="Times New Roman"/>
                <w:b/>
                <w:u w:val="single"/>
              </w:rPr>
            </w:pPr>
          </w:p>
          <w:p w14:paraId="10983B7C" w14:textId="593CCB12" w:rsidR="009E5444" w:rsidRPr="00E534CA" w:rsidRDefault="009E5444" w:rsidP="004159EA">
            <w:pPr>
              <w:pStyle w:val="Default"/>
              <w:rPr>
                <w:rStyle w:val="eop"/>
              </w:rPr>
            </w:pPr>
            <w:r w:rsidRPr="00E534CA">
              <w:rPr>
                <w:rFonts w:ascii="Times New Roman" w:hAnsi="Times New Roman" w:cs="Times New Roman"/>
                <w:b/>
                <w:u w:val="single"/>
              </w:rPr>
              <w:t>Klausimo esmė</w:t>
            </w:r>
          </w:p>
          <w:p w14:paraId="18DEAAE7" w14:textId="5741CA17" w:rsidR="009E5444" w:rsidRPr="00E534CA" w:rsidRDefault="009E5444" w:rsidP="009E5444">
            <w:pPr>
              <w:pStyle w:val="Default"/>
              <w:ind w:firstLine="284"/>
              <w:jc w:val="both"/>
              <w:rPr>
                <w:rStyle w:val="eop"/>
              </w:rPr>
            </w:pPr>
            <w:r w:rsidRPr="00E534CA">
              <w:rPr>
                <w:rStyle w:val="eop"/>
              </w:rPr>
              <w:t xml:space="preserve">2020 m. gruodžio 15 d. EK pateikė pasiūlymą dėl </w:t>
            </w:r>
            <w:proofErr w:type="spellStart"/>
            <w:r w:rsidRPr="00E534CA">
              <w:rPr>
                <w:rStyle w:val="eop"/>
              </w:rPr>
              <w:t>Transeuropinių</w:t>
            </w:r>
            <w:proofErr w:type="spellEnd"/>
            <w:r w:rsidRPr="00E534CA">
              <w:rPr>
                <w:rStyle w:val="eop"/>
              </w:rPr>
              <w:t xml:space="preserve"> energetikos tinklų </w:t>
            </w:r>
            <w:r w:rsidR="00E80D95">
              <w:rPr>
                <w:rStyle w:val="eop"/>
              </w:rPr>
              <w:t xml:space="preserve">(TEN-E) </w:t>
            </w:r>
            <w:r w:rsidRPr="00E534CA">
              <w:rPr>
                <w:rStyle w:val="eop"/>
              </w:rPr>
              <w:t xml:space="preserve">reglamento atnaujinimo jį suderinant su ES Žaliojo kurso tikslais ir įgalinant perėjimą prie klimatui neutralios ekonomikos. </w:t>
            </w:r>
          </w:p>
          <w:p w14:paraId="26EEC64A" w14:textId="327AF94A" w:rsidR="009E5444" w:rsidRPr="00E534CA" w:rsidRDefault="009E5444" w:rsidP="009E5444">
            <w:pPr>
              <w:pStyle w:val="Default"/>
              <w:ind w:firstLine="284"/>
              <w:jc w:val="both"/>
              <w:rPr>
                <w:rStyle w:val="eop"/>
              </w:rPr>
            </w:pPr>
            <w:r w:rsidRPr="00E534CA">
              <w:rPr>
                <w:rStyle w:val="eop"/>
              </w:rPr>
              <w:t>Šiuo metu galiojantis 2013 m. TEN-E reglamentas leido Sąjungai pasiekti pagrindinius energetikos politikos tikslus nustatant bendrojo intereso projektų (BIP</w:t>
            </w:r>
            <w:r w:rsidR="005A0C34">
              <w:rPr>
                <w:rStyle w:val="eop"/>
              </w:rPr>
              <w:t xml:space="preserve">, angl. </w:t>
            </w:r>
            <w:proofErr w:type="spellStart"/>
            <w:r w:rsidR="002D01A1">
              <w:rPr>
                <w:rStyle w:val="eop"/>
              </w:rPr>
              <w:t>Projects</w:t>
            </w:r>
            <w:proofErr w:type="spellEnd"/>
            <w:r w:rsidR="002D01A1">
              <w:rPr>
                <w:rStyle w:val="eop"/>
              </w:rPr>
              <w:t xml:space="preserve"> </w:t>
            </w:r>
            <w:proofErr w:type="spellStart"/>
            <w:r w:rsidR="002D01A1">
              <w:rPr>
                <w:rStyle w:val="eop"/>
              </w:rPr>
              <w:t>of</w:t>
            </w:r>
            <w:proofErr w:type="spellEnd"/>
            <w:r w:rsidR="002D01A1">
              <w:rPr>
                <w:rStyle w:val="eop"/>
              </w:rPr>
              <w:t xml:space="preserve"> </w:t>
            </w:r>
            <w:proofErr w:type="spellStart"/>
            <w:r w:rsidR="002D01A1">
              <w:rPr>
                <w:rStyle w:val="eop"/>
              </w:rPr>
              <w:t>common</w:t>
            </w:r>
            <w:proofErr w:type="spellEnd"/>
            <w:r w:rsidR="002D01A1">
              <w:rPr>
                <w:rStyle w:val="eop"/>
              </w:rPr>
              <w:t xml:space="preserve"> </w:t>
            </w:r>
            <w:proofErr w:type="spellStart"/>
            <w:r w:rsidR="002D01A1">
              <w:rPr>
                <w:rStyle w:val="eop"/>
              </w:rPr>
              <w:t>interest</w:t>
            </w:r>
            <w:proofErr w:type="spellEnd"/>
            <w:r w:rsidR="002D01A1">
              <w:rPr>
                <w:rStyle w:val="eop"/>
              </w:rPr>
              <w:t xml:space="preserve">, </w:t>
            </w:r>
            <w:r w:rsidR="005A0C34">
              <w:rPr>
                <w:rStyle w:val="eop"/>
              </w:rPr>
              <w:t>PCI</w:t>
            </w:r>
            <w:r w:rsidRPr="00E534CA">
              <w:rPr>
                <w:rStyle w:val="eop"/>
              </w:rPr>
              <w:t xml:space="preserve">) nustatymo ir savalaikio vystymo taisykles, kurios užtikrino </w:t>
            </w:r>
            <w:proofErr w:type="spellStart"/>
            <w:r w:rsidRPr="00E534CA">
              <w:rPr>
                <w:rStyle w:val="eop"/>
              </w:rPr>
              <w:t>transeuropinių</w:t>
            </w:r>
            <w:proofErr w:type="spellEnd"/>
            <w:r w:rsidRPr="00E534CA">
              <w:rPr>
                <w:rStyle w:val="eop"/>
              </w:rPr>
              <w:t xml:space="preserve"> energetikos tinklų sąveiką ir vidaus energijos rinkos veikimą. TEN-E numato, kuri infrastruktūra gali patekti į </w:t>
            </w:r>
            <w:r w:rsidR="00B1257C">
              <w:rPr>
                <w:rStyle w:val="eop"/>
              </w:rPr>
              <w:t>PCI</w:t>
            </w:r>
            <w:r w:rsidRPr="00E534CA">
              <w:rPr>
                <w:rStyle w:val="eop"/>
              </w:rPr>
              <w:t xml:space="preserve"> sąrašą, kuriame esantys projektai gali pretenduoti gauti Europos infrastruktūros tinklų priemonės (EITP / angl. CEF) finansinę paramą. Reglamente nustatoma, kad valstybės narės supaprastintų leidimų išdavimo procedūras </w:t>
            </w:r>
            <w:r w:rsidR="00B1257C">
              <w:rPr>
                <w:rStyle w:val="eop"/>
              </w:rPr>
              <w:t>PCI</w:t>
            </w:r>
            <w:r w:rsidRPr="00E534CA">
              <w:rPr>
                <w:rStyle w:val="eop"/>
              </w:rPr>
              <w:t xml:space="preserve"> įgyvendinimui ir numatyta reguliavimo pagalba, taisyklės ir rekomendacijos dėl tarpvalstybinio išlaidų paskirstymo bei sąlygos </w:t>
            </w:r>
            <w:r w:rsidR="00B1257C">
              <w:rPr>
                <w:rStyle w:val="eop"/>
              </w:rPr>
              <w:t>PCI</w:t>
            </w:r>
            <w:r w:rsidRPr="00E534CA">
              <w:rPr>
                <w:rStyle w:val="eop"/>
              </w:rPr>
              <w:t xml:space="preserve"> projektų finansavimui iš EITP.</w:t>
            </w:r>
          </w:p>
          <w:p w14:paraId="32FC72C4" w14:textId="1B5FE8B6" w:rsidR="009E5444" w:rsidRPr="00E534CA" w:rsidRDefault="009E5444" w:rsidP="009E5444">
            <w:pPr>
              <w:pStyle w:val="Default"/>
              <w:ind w:firstLine="284"/>
              <w:jc w:val="both"/>
              <w:rPr>
                <w:rStyle w:val="eop"/>
              </w:rPr>
            </w:pPr>
            <w:r w:rsidRPr="00E534CA">
              <w:rPr>
                <w:rStyle w:val="eop"/>
              </w:rPr>
              <w:t xml:space="preserve">Esminiai pokyčiai naujame reglamento pasiūlyme - panaikinta galimybė iš EITP gauti paramą gamtinių dujų ir naftos infrastruktūros projektams, sukurti nauji prioritetiniai koridoriai – jūrinių elektros tinklų ir vandenilio. </w:t>
            </w:r>
            <w:r w:rsidR="002D01A1">
              <w:rPr>
                <w:rStyle w:val="eop"/>
              </w:rPr>
              <w:t xml:space="preserve">Taip pat, reglamentu numatomas ir Abipusio intereso projektų su trečiosiomis šalimis (angl. </w:t>
            </w:r>
            <w:proofErr w:type="spellStart"/>
            <w:r w:rsidR="002D01A1">
              <w:rPr>
                <w:rStyle w:val="eop"/>
              </w:rPr>
              <w:t>Projects</w:t>
            </w:r>
            <w:proofErr w:type="spellEnd"/>
            <w:r w:rsidR="002D01A1">
              <w:rPr>
                <w:rStyle w:val="eop"/>
              </w:rPr>
              <w:t xml:space="preserve"> </w:t>
            </w:r>
            <w:proofErr w:type="spellStart"/>
            <w:r w:rsidR="002D01A1">
              <w:rPr>
                <w:rStyle w:val="eop"/>
              </w:rPr>
              <w:t>of</w:t>
            </w:r>
            <w:proofErr w:type="spellEnd"/>
            <w:r w:rsidR="002D01A1">
              <w:rPr>
                <w:rStyle w:val="eop"/>
              </w:rPr>
              <w:t xml:space="preserve"> </w:t>
            </w:r>
            <w:proofErr w:type="spellStart"/>
            <w:r w:rsidR="002D01A1">
              <w:rPr>
                <w:rStyle w:val="eop"/>
              </w:rPr>
              <w:t>mutual</w:t>
            </w:r>
            <w:proofErr w:type="spellEnd"/>
            <w:r w:rsidR="002D01A1">
              <w:rPr>
                <w:rStyle w:val="eop"/>
              </w:rPr>
              <w:t xml:space="preserve"> </w:t>
            </w:r>
            <w:proofErr w:type="spellStart"/>
            <w:r w:rsidR="002D01A1">
              <w:rPr>
                <w:rStyle w:val="eop"/>
              </w:rPr>
              <w:t>interest</w:t>
            </w:r>
            <w:proofErr w:type="spellEnd"/>
            <w:r w:rsidR="002D01A1">
              <w:rPr>
                <w:rStyle w:val="eop"/>
              </w:rPr>
              <w:t xml:space="preserve">, PMI) įgyvendinimas. </w:t>
            </w:r>
          </w:p>
          <w:p w14:paraId="3232384F" w14:textId="64424DCE" w:rsidR="009E5444" w:rsidRPr="00E534CA" w:rsidRDefault="005A0C34" w:rsidP="009E5444">
            <w:pPr>
              <w:pStyle w:val="Default"/>
              <w:ind w:firstLine="284"/>
              <w:jc w:val="both"/>
              <w:rPr>
                <w:rStyle w:val="eop"/>
              </w:rPr>
            </w:pPr>
            <w:r>
              <w:rPr>
                <w:rStyle w:val="eop"/>
              </w:rPr>
              <w:t>Perėjimo prie švarios e</w:t>
            </w:r>
            <w:r w:rsidR="009E5444" w:rsidRPr="00E534CA">
              <w:rPr>
                <w:rStyle w:val="eop"/>
              </w:rPr>
              <w:t>nergetikos tikslas - pasiekti 2030</w:t>
            </w:r>
            <w:r>
              <w:rPr>
                <w:rStyle w:val="eop"/>
              </w:rPr>
              <w:t xml:space="preserve"> m.</w:t>
            </w:r>
            <w:r w:rsidR="009E5444" w:rsidRPr="00E534CA">
              <w:rPr>
                <w:rStyle w:val="eop"/>
              </w:rPr>
              <w:t xml:space="preserve"> ir 2050 m. klimato tikslus ir skatinti sąsajas, rinkos ir sistemų integraciją, konkurencingumą ir tiekimo saugumą mažiausiomis kainomis vartotojams ir įmonėms. Naujojo reglamento taikymo sritis taip pat yra energetikos infrastruktūros planavimo tobulinimas ir supaprastinto leidimų išdavimo </w:t>
            </w:r>
            <w:r w:rsidR="00B1257C">
              <w:rPr>
                <w:rStyle w:val="eop"/>
              </w:rPr>
              <w:t>PCI</w:t>
            </w:r>
            <w:r w:rsidR="009E5444" w:rsidRPr="00E534CA">
              <w:rPr>
                <w:rStyle w:val="eop"/>
              </w:rPr>
              <w:t xml:space="preserve"> reglamentavimas.</w:t>
            </w:r>
          </w:p>
          <w:p w14:paraId="7A1BF7AC" w14:textId="5B2605CA" w:rsidR="009E5444" w:rsidRPr="0095299B" w:rsidRDefault="009E5444" w:rsidP="00FC46CC">
            <w:pPr>
              <w:ind w:firstLine="284"/>
              <w:jc w:val="both"/>
              <w:rPr>
                <w:lang w:val="lt-LT"/>
              </w:rPr>
            </w:pPr>
            <w:r w:rsidRPr="0095299B">
              <w:rPr>
                <w:rStyle w:val="eop"/>
                <w:lang w:val="lt-LT"/>
              </w:rPr>
              <w:t>Birželio 11 d. Energetikos taryboje</w:t>
            </w:r>
            <w:r w:rsidRPr="0095299B" w:rsidDel="00706FC4">
              <w:rPr>
                <w:rStyle w:val="eop"/>
                <w:lang w:val="lt-LT"/>
              </w:rPr>
              <w:t xml:space="preserve"> </w:t>
            </w:r>
            <w:r w:rsidRPr="0095299B">
              <w:rPr>
                <w:rStyle w:val="eop"/>
                <w:lang w:val="lt-LT"/>
              </w:rPr>
              <w:t xml:space="preserve">pirmininkaujanti Portugalija tikisi pasiekti bendrąjį tarybos požiūrį dėl reglamento pasiūlymo. </w:t>
            </w:r>
          </w:p>
          <w:p w14:paraId="60418415" w14:textId="77777777" w:rsidR="00753B44" w:rsidRDefault="00753B44" w:rsidP="004159EA">
            <w:pPr>
              <w:jc w:val="both"/>
              <w:rPr>
                <w:b/>
                <w:color w:val="000000"/>
                <w:u w:val="single"/>
                <w:lang w:val="lt-LT"/>
              </w:rPr>
            </w:pPr>
          </w:p>
          <w:p w14:paraId="1DF97FE4" w14:textId="2671366C" w:rsidR="009E5444" w:rsidRPr="0095299B" w:rsidRDefault="009E5444" w:rsidP="004159EA">
            <w:pPr>
              <w:jc w:val="both"/>
              <w:rPr>
                <w:b/>
                <w:color w:val="000000"/>
                <w:u w:val="single"/>
                <w:lang w:val="lt-LT"/>
              </w:rPr>
            </w:pPr>
            <w:r w:rsidRPr="0095299B">
              <w:rPr>
                <w:b/>
                <w:color w:val="000000"/>
                <w:u w:val="single"/>
                <w:lang w:val="lt-LT"/>
              </w:rPr>
              <w:t>Lietuvos pozicija</w:t>
            </w:r>
          </w:p>
          <w:p w14:paraId="789B5B6B" w14:textId="228CA183" w:rsidR="00953FEA" w:rsidRPr="0095299B" w:rsidRDefault="00953FEA" w:rsidP="002222DF">
            <w:pPr>
              <w:pBdr>
                <w:top w:val="none" w:sz="0" w:space="0" w:color="auto"/>
                <w:left w:val="none" w:sz="0" w:space="0" w:color="auto"/>
                <w:bottom w:val="none" w:sz="0" w:space="0" w:color="auto"/>
                <w:right w:val="none" w:sz="0" w:space="0" w:color="auto"/>
                <w:between w:val="none" w:sz="0" w:space="0" w:color="auto"/>
                <w:bar w:val="none" w:sz="0" w:color="auto"/>
              </w:pBdr>
              <w:ind w:firstLine="284"/>
              <w:jc w:val="both"/>
              <w:rPr>
                <w:rStyle w:val="normaltextrun"/>
                <w:i/>
                <w:iCs/>
                <w:u w:val="single"/>
                <w:lang w:val="lt-LT"/>
              </w:rPr>
            </w:pPr>
            <w:r w:rsidRPr="0095299B">
              <w:rPr>
                <w:rStyle w:val="normaltextrun"/>
                <w:i/>
                <w:iCs/>
                <w:u w:val="single"/>
                <w:lang w:val="lt-LT"/>
              </w:rPr>
              <w:t xml:space="preserve">Lietuva </w:t>
            </w:r>
            <w:r w:rsidR="0095299B" w:rsidRPr="0095299B">
              <w:rPr>
                <w:rStyle w:val="normaltextrun"/>
                <w:i/>
                <w:iCs/>
                <w:u w:val="single"/>
                <w:lang w:val="lt-LT"/>
              </w:rPr>
              <w:t xml:space="preserve">birželio 2 d. COREPERI posėdyje </w:t>
            </w:r>
            <w:r w:rsidR="00EC1C64">
              <w:rPr>
                <w:rStyle w:val="normaltextrun"/>
                <w:i/>
                <w:iCs/>
                <w:u w:val="single"/>
                <w:lang w:val="lt-LT"/>
              </w:rPr>
              <w:t>kels</w:t>
            </w:r>
            <w:r w:rsidR="0095299B" w:rsidRPr="0095299B">
              <w:rPr>
                <w:rStyle w:val="normaltextrun"/>
                <w:i/>
                <w:iCs/>
                <w:u w:val="single"/>
                <w:lang w:val="lt-LT"/>
              </w:rPr>
              <w:t xml:space="preserve"> klausimą dėl Komisijos vaidmens stiprinimo - teisės priimti galutinius sprendimus dėl </w:t>
            </w:r>
            <w:r w:rsidR="00B1257C">
              <w:rPr>
                <w:rStyle w:val="normaltextrun"/>
                <w:i/>
                <w:iCs/>
                <w:u w:val="single"/>
                <w:lang w:val="lt-LT"/>
              </w:rPr>
              <w:t>P</w:t>
            </w:r>
            <w:r w:rsidR="00B1257C">
              <w:rPr>
                <w:rStyle w:val="normaltextrun"/>
                <w:i/>
                <w:iCs/>
                <w:u w:val="single"/>
              </w:rPr>
              <w:t>CI</w:t>
            </w:r>
            <w:r w:rsidR="0095299B" w:rsidRPr="0095299B">
              <w:rPr>
                <w:rStyle w:val="normaltextrun"/>
                <w:i/>
                <w:iCs/>
                <w:u w:val="single"/>
                <w:lang w:val="lt-LT"/>
              </w:rPr>
              <w:t xml:space="preserve"> kaštų ir naudos analizės metodologijų</w:t>
            </w:r>
            <w:r w:rsidR="0095299B">
              <w:rPr>
                <w:rStyle w:val="normaltextrun"/>
                <w:i/>
                <w:iCs/>
                <w:u w:val="single"/>
                <w:lang w:val="lt-LT"/>
              </w:rPr>
              <w:t xml:space="preserve"> sugrąžinimo pagal </w:t>
            </w:r>
            <w:r w:rsidR="0095299B">
              <w:rPr>
                <w:rStyle w:val="normaltextrun"/>
                <w:i/>
                <w:iCs/>
                <w:u w:val="single"/>
                <w:lang w:val="lt-LT"/>
              </w:rPr>
              <w:lastRenderedPageBreak/>
              <w:t>pirminį projekto pasiūlymą</w:t>
            </w:r>
            <w:r w:rsidR="0095299B" w:rsidRPr="0095299B">
              <w:rPr>
                <w:rStyle w:val="normaltextrun"/>
                <w:i/>
                <w:iCs/>
                <w:u w:val="single"/>
                <w:lang w:val="lt-LT"/>
              </w:rPr>
              <w:t xml:space="preserve">. </w:t>
            </w:r>
            <w:r w:rsidR="004703B6">
              <w:rPr>
                <w:rStyle w:val="normaltextrun"/>
                <w:i/>
                <w:iCs/>
                <w:u w:val="single"/>
                <w:lang w:val="lt-LT"/>
              </w:rPr>
              <w:t>Tikėtina</w:t>
            </w:r>
            <w:r w:rsidR="0095299B" w:rsidRPr="0095299B">
              <w:rPr>
                <w:rStyle w:val="normaltextrun"/>
                <w:i/>
                <w:iCs/>
                <w:u w:val="single"/>
                <w:lang w:val="lt-LT"/>
              </w:rPr>
              <w:t>, kad po COREPER posėdžio reglamento tekstas bus dar kartą atnaujintas</w:t>
            </w:r>
            <w:r w:rsidR="00D77A25">
              <w:rPr>
                <w:rStyle w:val="normaltextrun"/>
                <w:i/>
                <w:iCs/>
                <w:u w:val="single"/>
                <w:lang w:val="lt-LT"/>
              </w:rPr>
              <w:t xml:space="preserve"> ir pateiktas tolesniam derinimui prieš ministrų tarybą.</w:t>
            </w:r>
          </w:p>
          <w:p w14:paraId="051E3B8F" w14:textId="08B73C92" w:rsidR="002222DF" w:rsidRPr="0095299B" w:rsidRDefault="002222DF" w:rsidP="002222DF">
            <w:pPr>
              <w:pBdr>
                <w:top w:val="none" w:sz="0" w:space="0" w:color="auto"/>
                <w:left w:val="none" w:sz="0" w:space="0" w:color="auto"/>
                <w:bottom w:val="none" w:sz="0" w:space="0" w:color="auto"/>
                <w:right w:val="none" w:sz="0" w:space="0" w:color="auto"/>
                <w:between w:val="none" w:sz="0" w:space="0" w:color="auto"/>
                <w:bar w:val="none" w:sz="0" w:color="auto"/>
              </w:pBdr>
              <w:ind w:firstLine="284"/>
              <w:jc w:val="both"/>
              <w:rPr>
                <w:rStyle w:val="normaltextrun"/>
                <w:lang w:val="lt-LT"/>
              </w:rPr>
            </w:pPr>
            <w:r w:rsidRPr="0095299B">
              <w:rPr>
                <w:rStyle w:val="normaltextrun"/>
                <w:lang w:val="lt-LT"/>
              </w:rPr>
              <w:t xml:space="preserve">Lietuva teigiamai vertina reglamento pasiūlymą ir siekį per paskatas </w:t>
            </w:r>
            <w:r w:rsidR="00C5226B" w:rsidRPr="0095299B">
              <w:rPr>
                <w:rStyle w:val="normaltextrun"/>
                <w:lang w:val="lt-LT"/>
              </w:rPr>
              <w:t xml:space="preserve">reikiamos infrastruktūros sukūrimui </w:t>
            </w:r>
            <w:r w:rsidRPr="0095299B">
              <w:rPr>
                <w:rStyle w:val="normaltextrun"/>
                <w:lang w:val="lt-LT"/>
              </w:rPr>
              <w:t xml:space="preserve">įgalinti ES perėjimą prie klimatui neutralios ekonomikos. </w:t>
            </w:r>
          </w:p>
          <w:p w14:paraId="05438DBC" w14:textId="32BA6A98" w:rsidR="00C5226B" w:rsidRPr="00E534CA" w:rsidRDefault="002222DF" w:rsidP="00C5226B">
            <w:pPr>
              <w:pBdr>
                <w:top w:val="none" w:sz="0" w:space="0" w:color="auto"/>
                <w:left w:val="none" w:sz="0" w:space="0" w:color="auto"/>
                <w:bottom w:val="none" w:sz="0" w:space="0" w:color="auto"/>
                <w:right w:val="none" w:sz="0" w:space="0" w:color="auto"/>
                <w:between w:val="none" w:sz="0" w:space="0" w:color="auto"/>
                <w:bar w:val="none" w:sz="0" w:color="auto"/>
              </w:pBdr>
              <w:ind w:firstLine="284"/>
              <w:jc w:val="both"/>
              <w:rPr>
                <w:rStyle w:val="normaltextrun"/>
                <w:lang w:val="lt-LT"/>
              </w:rPr>
            </w:pPr>
            <w:r w:rsidRPr="0095299B">
              <w:rPr>
                <w:rStyle w:val="normaltextrun"/>
                <w:lang w:val="lt-LT"/>
              </w:rPr>
              <w:t xml:space="preserve">Lietuva pritaria požiūriui, kad turi būti išlaikyti esminiai </w:t>
            </w:r>
            <w:r w:rsidR="00E80D95">
              <w:rPr>
                <w:rStyle w:val="normaltextrun"/>
                <w:lang w:val="lt-LT"/>
              </w:rPr>
              <w:t xml:space="preserve">TEN-E </w:t>
            </w:r>
            <w:r w:rsidRPr="0095299B">
              <w:rPr>
                <w:rStyle w:val="normaltextrun"/>
                <w:lang w:val="lt-LT"/>
              </w:rPr>
              <w:t xml:space="preserve">reglamento nuostatai dėl tarpvalstybinės projektų reikšmės. </w:t>
            </w:r>
            <w:r w:rsidR="00B1257C">
              <w:rPr>
                <w:rStyle w:val="normaltextrun"/>
                <w:lang w:val="lt-LT"/>
              </w:rPr>
              <w:t>P</w:t>
            </w:r>
            <w:r w:rsidR="00B1257C">
              <w:rPr>
                <w:rStyle w:val="normaltextrun"/>
              </w:rPr>
              <w:t>CI</w:t>
            </w:r>
            <w:r w:rsidRPr="0095299B">
              <w:rPr>
                <w:rStyle w:val="normaltextrun"/>
                <w:lang w:val="lt-LT"/>
              </w:rPr>
              <w:t xml:space="preserve"> turi tapti tik tarpvalstybiniai projektai, </w:t>
            </w:r>
            <w:r w:rsidRPr="00846240">
              <w:rPr>
                <w:rStyle w:val="normaltextrun"/>
                <w:lang w:val="lt-LT"/>
              </w:rPr>
              <w:t xml:space="preserve">būtini ES energetikos vidaus rinkos glaudžiam integravimui, </w:t>
            </w:r>
            <w:r w:rsidRPr="0095299B">
              <w:rPr>
                <w:rStyle w:val="normaltextrun"/>
                <w:lang w:val="lt-LT"/>
              </w:rPr>
              <w:t xml:space="preserve">turintys aiškią naudą siekiant bendrų ES klimato tikslų, kurie </w:t>
            </w:r>
            <w:r w:rsidRPr="00846240">
              <w:rPr>
                <w:rStyle w:val="normaltextrun"/>
                <w:lang w:val="lt-LT"/>
              </w:rPr>
              <w:t>nėra pakankamai komerciškai patrauklūs.</w:t>
            </w:r>
            <w:r w:rsidR="00C5226B" w:rsidRPr="00E534CA">
              <w:rPr>
                <w:rStyle w:val="normaltextrun"/>
                <w:lang w:val="lt-LT"/>
              </w:rPr>
              <w:t xml:space="preserve"> Tokią bendrą naudą ES</w:t>
            </w:r>
            <w:r w:rsidR="00E534CA" w:rsidRPr="00E534CA">
              <w:rPr>
                <w:rStyle w:val="normaltextrun"/>
                <w:lang w:val="lt-LT"/>
              </w:rPr>
              <w:t xml:space="preserve"> valstybėms narėms</w:t>
            </w:r>
            <w:r w:rsidR="00C5226B" w:rsidRPr="00E534CA">
              <w:rPr>
                <w:rStyle w:val="normaltextrun"/>
                <w:lang w:val="lt-LT"/>
              </w:rPr>
              <w:t xml:space="preserve"> turi nešti ir Abipusio intereso projektai su trečiosiomis šalimis. Taip pat svarbu įtvirtinti, kad planuojami projektai su trečiosiomis šalimis atitiktų reikalavimus</w:t>
            </w:r>
            <w:r w:rsidR="005A0C34">
              <w:rPr>
                <w:rStyle w:val="normaltextrun"/>
                <w:lang w:val="lt-LT"/>
              </w:rPr>
              <w:t>,</w:t>
            </w:r>
            <w:r w:rsidR="00C5226B" w:rsidRPr="00E534CA">
              <w:rPr>
                <w:rStyle w:val="normaltextrun"/>
                <w:lang w:val="lt-LT"/>
              </w:rPr>
              <w:t xml:space="preserve"> įtvirtintus ES teisėkūroje, visų pirma dėl saugos ir aplinkosaugos.</w:t>
            </w:r>
          </w:p>
          <w:p w14:paraId="7BA826B9" w14:textId="37ADB576" w:rsidR="002222DF" w:rsidRPr="00E534CA" w:rsidRDefault="002222DF" w:rsidP="00C5226B">
            <w:pPr>
              <w:pBdr>
                <w:top w:val="none" w:sz="0" w:space="0" w:color="auto"/>
                <w:left w:val="none" w:sz="0" w:space="0" w:color="auto"/>
                <w:bottom w:val="none" w:sz="0" w:space="0" w:color="auto"/>
                <w:right w:val="none" w:sz="0" w:space="0" w:color="auto"/>
                <w:between w:val="none" w:sz="0" w:space="0" w:color="auto"/>
                <w:bar w:val="none" w:sz="0" w:color="auto"/>
              </w:pBdr>
              <w:ind w:firstLine="284"/>
              <w:jc w:val="both"/>
              <w:rPr>
                <w:rStyle w:val="normaltextrun"/>
                <w:lang w:val="lt-LT"/>
              </w:rPr>
            </w:pPr>
            <w:r w:rsidRPr="00E534CA">
              <w:rPr>
                <w:rStyle w:val="normaltextrun"/>
                <w:lang w:val="lt-LT"/>
              </w:rPr>
              <w:t xml:space="preserve">Dėl vandenilio įmaišymo į gamtines dujas, Lietuva pritaria, kad </w:t>
            </w:r>
            <w:r w:rsidR="00E80D95">
              <w:rPr>
                <w:rStyle w:val="normaltextrun"/>
                <w:lang w:val="lt-LT"/>
              </w:rPr>
              <w:t xml:space="preserve">ES </w:t>
            </w:r>
            <w:r w:rsidRPr="00E534CA">
              <w:rPr>
                <w:rStyle w:val="normaltextrun"/>
                <w:lang w:val="lt-LT"/>
              </w:rPr>
              <w:t xml:space="preserve">valstybėms narėms turi būti galimybė didinti perduodamo vandenilio kiekius tam pritaikant esamą infrastruktūrą pereinamuoju laikotarpiu, kol vandenilio rinka nėra išsivysčiusi. Šios investicijos atpigins kaštus ateityje infrastruktūrą pritaikant grynam vandeniliui. Tačiau svarbu užtikrinti, kad šie projektai turėtų aiškiai įrodomą naudą integruojant vandenilį ir kitas atsinaujinančias dujas ir netaptų tiesiog investicijomis į gamtinių dujų infrastruktūrą, juo labiau, naują gamtinių dujų infrastruktūrą. </w:t>
            </w:r>
          </w:p>
          <w:p w14:paraId="6B43B66D" w14:textId="76C92F4C" w:rsidR="009E5444" w:rsidRPr="002C45E5" w:rsidRDefault="002222DF" w:rsidP="00EA6351">
            <w:pPr>
              <w:pBdr>
                <w:top w:val="none" w:sz="0" w:space="0" w:color="auto"/>
                <w:left w:val="none" w:sz="0" w:space="0" w:color="auto"/>
                <w:bottom w:val="none" w:sz="0" w:space="0" w:color="auto"/>
                <w:right w:val="none" w:sz="0" w:space="0" w:color="auto"/>
                <w:between w:val="none" w:sz="0" w:space="0" w:color="auto"/>
                <w:bar w:val="none" w:sz="0" w:color="auto"/>
              </w:pBdr>
              <w:ind w:firstLine="284"/>
              <w:jc w:val="both"/>
              <w:rPr>
                <w:lang w:val="lt-LT"/>
              </w:rPr>
            </w:pPr>
            <w:r w:rsidRPr="00E534CA">
              <w:rPr>
                <w:rStyle w:val="normaltextrun"/>
                <w:lang w:val="lt-LT"/>
              </w:rPr>
              <w:t xml:space="preserve">Taip pat pritariame, </w:t>
            </w:r>
            <w:r w:rsidRPr="00EA6351">
              <w:rPr>
                <w:rStyle w:val="normaltextrun"/>
                <w:lang w:val="lt-LT"/>
              </w:rPr>
              <w:t xml:space="preserve">kad </w:t>
            </w:r>
            <w:r w:rsidR="00E80D95" w:rsidRPr="00EA6351">
              <w:rPr>
                <w:rStyle w:val="normaltextrun"/>
                <w:lang w:val="lt-LT"/>
              </w:rPr>
              <w:t>E</w:t>
            </w:r>
            <w:r w:rsidR="00E80D95" w:rsidRPr="00B1257C">
              <w:rPr>
                <w:rStyle w:val="normaltextrun"/>
                <w:lang w:val="lt-LT"/>
              </w:rPr>
              <w:t>nergetikos reguliavimo institucijų bendradarbiavimo</w:t>
            </w:r>
            <w:r w:rsidR="00E80D95">
              <w:rPr>
                <w:rStyle w:val="normaltextrun"/>
              </w:rPr>
              <w:t xml:space="preserve"> </w:t>
            </w:r>
            <w:proofErr w:type="spellStart"/>
            <w:r w:rsidR="00E80D95">
              <w:rPr>
                <w:rStyle w:val="normaltextrun"/>
              </w:rPr>
              <w:t>agentūros</w:t>
            </w:r>
            <w:proofErr w:type="spellEnd"/>
            <w:r w:rsidR="00E80D95">
              <w:rPr>
                <w:rStyle w:val="normaltextrun"/>
              </w:rPr>
              <w:t xml:space="preserve"> (</w:t>
            </w:r>
            <w:proofErr w:type="spellStart"/>
            <w:r w:rsidR="00E80D95">
              <w:rPr>
                <w:rStyle w:val="normaltextrun"/>
              </w:rPr>
              <w:t>angl.</w:t>
            </w:r>
            <w:proofErr w:type="spellEnd"/>
            <w:r w:rsidR="00E80D95">
              <w:rPr>
                <w:rStyle w:val="normaltextrun"/>
              </w:rPr>
              <w:t xml:space="preserve"> </w:t>
            </w:r>
            <w:r w:rsidRPr="00E534CA">
              <w:rPr>
                <w:rStyle w:val="normaltextrun"/>
                <w:lang w:val="lt-LT"/>
              </w:rPr>
              <w:t>ACER</w:t>
            </w:r>
            <w:r w:rsidR="00E80D95">
              <w:rPr>
                <w:rStyle w:val="normaltextrun"/>
                <w:lang w:val="lt-LT"/>
              </w:rPr>
              <w:t>)</w:t>
            </w:r>
            <w:r w:rsidRPr="00E534CA">
              <w:rPr>
                <w:rStyle w:val="normaltextrun"/>
                <w:lang w:val="lt-LT"/>
              </w:rPr>
              <w:t xml:space="preserve"> vaidmuo ir dalyvavimas yra labai svarbus užtikrinant, kad TEN-E </w:t>
            </w:r>
            <w:r w:rsidR="00E80D95">
              <w:rPr>
                <w:rStyle w:val="normaltextrun"/>
                <w:lang w:val="lt-LT"/>
              </w:rPr>
              <w:t xml:space="preserve">reglamento </w:t>
            </w:r>
            <w:r w:rsidRPr="00E534CA">
              <w:rPr>
                <w:rStyle w:val="normaltextrun"/>
                <w:lang w:val="lt-LT"/>
              </w:rPr>
              <w:t>reglamentuojami procesai būtų maksimaliai skaidrūs</w:t>
            </w:r>
            <w:r w:rsidR="00C5226B" w:rsidRPr="00E534CA">
              <w:rPr>
                <w:rStyle w:val="normaltextrun"/>
                <w:lang w:val="lt-LT"/>
              </w:rPr>
              <w:t xml:space="preserve"> ir efektyvūs</w:t>
            </w:r>
            <w:r w:rsidRPr="00E534CA">
              <w:rPr>
                <w:rStyle w:val="normaltextrun"/>
                <w:lang w:val="lt-LT"/>
              </w:rPr>
              <w:t xml:space="preserve">. Tačiau manome, kad galutinius sprendimus dėl </w:t>
            </w:r>
            <w:r w:rsidR="00B1257C">
              <w:rPr>
                <w:rStyle w:val="normaltextrun"/>
                <w:lang w:val="lt-LT"/>
              </w:rPr>
              <w:t>P</w:t>
            </w:r>
            <w:r w:rsidR="00B1257C">
              <w:rPr>
                <w:rStyle w:val="normaltextrun"/>
              </w:rPr>
              <w:t>CI</w:t>
            </w:r>
            <w:r w:rsidRPr="00E534CA">
              <w:rPr>
                <w:rStyle w:val="normaltextrun"/>
                <w:lang w:val="lt-LT"/>
              </w:rPr>
              <w:t xml:space="preserve"> turi priimti </w:t>
            </w:r>
            <w:r w:rsidR="00E80D95">
              <w:rPr>
                <w:rStyle w:val="normaltextrun"/>
                <w:lang w:val="lt-LT"/>
              </w:rPr>
              <w:t xml:space="preserve">ES </w:t>
            </w:r>
            <w:r w:rsidRPr="00E534CA">
              <w:rPr>
                <w:rStyle w:val="normaltextrun"/>
                <w:lang w:val="lt-LT"/>
              </w:rPr>
              <w:t xml:space="preserve">valstybės narės ir Europos Komisija. Negalime pritarti, kad sprendimą tvirtinti energetikos sistemos kaštų ir naudos analizės metodologijas tvirtintų ACER. Manome, kad galutinį sprendimą turi priimti Komisija, atitinkamam </w:t>
            </w:r>
            <w:r w:rsidR="00E80D95">
              <w:rPr>
                <w:rStyle w:val="normaltextrun"/>
                <w:lang w:val="lt-LT"/>
              </w:rPr>
              <w:t xml:space="preserve">Europos </w:t>
            </w:r>
            <w:r w:rsidR="00856C9C" w:rsidRPr="00E534CA">
              <w:rPr>
                <w:rStyle w:val="normaltextrun"/>
                <w:lang w:val="lt-LT"/>
              </w:rPr>
              <w:t>dujų ar elektros</w:t>
            </w:r>
            <w:r w:rsidR="00856C9C">
              <w:rPr>
                <w:rStyle w:val="normaltextrun"/>
                <w:lang w:val="lt-LT"/>
              </w:rPr>
              <w:t xml:space="preserve"> perdavimo sistemos operatorių tinklui (angl. </w:t>
            </w:r>
            <w:proofErr w:type="spellStart"/>
            <w:r w:rsidR="00856C9C" w:rsidRPr="00856C9C">
              <w:rPr>
                <w:lang w:val="lt-LT"/>
              </w:rPr>
              <w:t>European</w:t>
            </w:r>
            <w:proofErr w:type="spellEnd"/>
            <w:r w:rsidR="00856C9C" w:rsidRPr="00856C9C">
              <w:rPr>
                <w:lang w:val="lt-LT"/>
              </w:rPr>
              <w:t xml:space="preserve"> Network </w:t>
            </w:r>
            <w:proofErr w:type="spellStart"/>
            <w:r w:rsidR="00856C9C" w:rsidRPr="00856C9C">
              <w:rPr>
                <w:lang w:val="lt-LT"/>
              </w:rPr>
              <w:t>of</w:t>
            </w:r>
            <w:proofErr w:type="spellEnd"/>
            <w:r w:rsidR="00856C9C" w:rsidRPr="00856C9C">
              <w:rPr>
                <w:lang w:val="lt-LT"/>
              </w:rPr>
              <w:t xml:space="preserve"> </w:t>
            </w:r>
            <w:proofErr w:type="spellStart"/>
            <w:r w:rsidR="00856C9C" w:rsidRPr="00856C9C">
              <w:rPr>
                <w:lang w:val="lt-LT"/>
              </w:rPr>
              <w:t>Transmission</w:t>
            </w:r>
            <w:proofErr w:type="spellEnd"/>
            <w:r w:rsidR="00856C9C" w:rsidRPr="00856C9C">
              <w:rPr>
                <w:lang w:val="lt-LT"/>
              </w:rPr>
              <w:t xml:space="preserve"> System </w:t>
            </w:r>
            <w:proofErr w:type="spellStart"/>
            <w:r w:rsidR="00856C9C" w:rsidRPr="00856C9C">
              <w:rPr>
                <w:lang w:val="lt-LT"/>
              </w:rPr>
              <w:t>Operators</w:t>
            </w:r>
            <w:proofErr w:type="spellEnd"/>
            <w:r w:rsidR="00856C9C" w:rsidRPr="00856C9C">
              <w:rPr>
                <w:lang w:val="lt-LT"/>
              </w:rPr>
              <w:t xml:space="preserve"> </w:t>
            </w:r>
            <w:proofErr w:type="spellStart"/>
            <w:r w:rsidR="00856C9C" w:rsidRPr="00856C9C">
              <w:rPr>
                <w:lang w:val="lt-LT"/>
              </w:rPr>
              <w:t>for</w:t>
            </w:r>
            <w:proofErr w:type="spellEnd"/>
            <w:r w:rsidR="00856C9C" w:rsidRPr="00856C9C">
              <w:rPr>
                <w:lang w:val="lt-LT"/>
              </w:rPr>
              <w:t xml:space="preserve"> </w:t>
            </w:r>
            <w:proofErr w:type="spellStart"/>
            <w:r w:rsidR="00856C9C" w:rsidRPr="00856C9C">
              <w:rPr>
                <w:lang w:val="lt-LT"/>
              </w:rPr>
              <w:t>Electricity</w:t>
            </w:r>
            <w:proofErr w:type="spellEnd"/>
            <w:r w:rsidR="00856C9C">
              <w:rPr>
                <w:lang w:val="lt-LT"/>
              </w:rPr>
              <w:t xml:space="preserve"> </w:t>
            </w:r>
            <w:r w:rsidR="00856C9C">
              <w:t xml:space="preserve">or Gas, </w:t>
            </w:r>
            <w:r w:rsidRPr="00E534CA">
              <w:rPr>
                <w:rStyle w:val="normaltextrun"/>
                <w:lang w:val="lt-LT"/>
              </w:rPr>
              <w:t>ENTSO</w:t>
            </w:r>
            <w:r w:rsidR="00856C9C">
              <w:rPr>
                <w:rStyle w:val="normaltextrun"/>
                <w:lang w:val="lt-LT"/>
              </w:rPr>
              <w:t>-E ar ENSO-G)</w:t>
            </w:r>
            <w:r w:rsidRPr="00E534CA">
              <w:rPr>
                <w:rStyle w:val="normaltextrun"/>
                <w:lang w:val="lt-LT"/>
              </w:rPr>
              <w:t xml:space="preserve"> atsižvelgus į Komisijos, </w:t>
            </w:r>
            <w:r w:rsidR="00856C9C">
              <w:rPr>
                <w:rStyle w:val="normaltextrun"/>
                <w:lang w:val="lt-LT"/>
              </w:rPr>
              <w:t xml:space="preserve">ES </w:t>
            </w:r>
            <w:r w:rsidR="00E534CA" w:rsidRPr="00E534CA">
              <w:rPr>
                <w:rStyle w:val="normaltextrun"/>
                <w:lang w:val="lt-LT"/>
              </w:rPr>
              <w:t>v</w:t>
            </w:r>
            <w:r w:rsidRPr="00E534CA">
              <w:rPr>
                <w:rStyle w:val="normaltextrun"/>
                <w:lang w:val="lt-LT"/>
              </w:rPr>
              <w:t>alstybių narių ir ACER teiktą nuomonę ir pastabas.</w:t>
            </w:r>
          </w:p>
        </w:tc>
      </w:tr>
    </w:tbl>
    <w:p w14:paraId="4B55FB1F" w14:textId="77777777" w:rsidR="009E5444" w:rsidRPr="00FC46CC" w:rsidRDefault="009E5444" w:rsidP="009E5444">
      <w:pPr>
        <w:jc w:val="both"/>
        <w:rPr>
          <w:b/>
          <w:bCs/>
          <w:caps/>
          <w:lang w:val="lt-LT"/>
        </w:rPr>
      </w:pPr>
    </w:p>
    <w:tbl>
      <w:tblPr>
        <w:tblStyle w:val="TableGrid"/>
        <w:tblW w:w="0" w:type="auto"/>
        <w:tblInd w:w="-431" w:type="dxa"/>
        <w:tblLook w:val="04A0" w:firstRow="1" w:lastRow="0" w:firstColumn="1" w:lastColumn="0" w:noHBand="0" w:noVBand="1"/>
      </w:tblPr>
      <w:tblGrid>
        <w:gridCol w:w="9924"/>
      </w:tblGrid>
      <w:tr w:rsidR="009E5444" w:rsidRPr="00FC46CC" w14:paraId="40F01D71" w14:textId="77777777" w:rsidTr="00F60176">
        <w:tc>
          <w:tcPr>
            <w:tcW w:w="9924" w:type="dxa"/>
          </w:tcPr>
          <w:p w14:paraId="3F672D72" w14:textId="063B5917" w:rsidR="00FC46CC" w:rsidRPr="00953FEA" w:rsidRDefault="00E534CA" w:rsidP="00953FEA">
            <w:pPr>
              <w:pStyle w:val="ListParagraph"/>
              <w:numPr>
                <w:ilvl w:val="0"/>
                <w:numId w:val="4"/>
              </w:numPr>
              <w:jc w:val="both"/>
              <w:rPr>
                <w:i/>
                <w:shd w:val="clear" w:color="auto" w:fill="FFFFFF"/>
                <w:lang w:val="lt-LT"/>
              </w:rPr>
            </w:pPr>
            <w:r w:rsidRPr="00953FEA">
              <w:rPr>
                <w:b/>
                <w:shd w:val="clear" w:color="auto" w:fill="FFFFFF"/>
                <w:lang w:val="lt-LT"/>
              </w:rPr>
              <w:t xml:space="preserve">Tarybos išvados „Dėl renovacijos bangos, kuri gaivins ekonomiką dabar ir kurs tvarius būstus ateičiai“ </w:t>
            </w:r>
            <w:r w:rsidR="009E5444" w:rsidRPr="00953FEA">
              <w:rPr>
                <w:i/>
                <w:shd w:val="clear" w:color="auto" w:fill="FFFFFF"/>
                <w:lang w:val="lt-LT"/>
              </w:rPr>
              <w:t>– tvirtinimas</w:t>
            </w:r>
            <w:r w:rsidR="00FC46CC" w:rsidRPr="00953FEA">
              <w:rPr>
                <w:i/>
                <w:shd w:val="clear" w:color="auto" w:fill="FFFFFF"/>
                <w:lang w:val="lt-LT"/>
              </w:rPr>
              <w:t xml:space="preserve"> </w:t>
            </w:r>
            <w:r w:rsidR="00FC46CC" w:rsidRPr="00953FEA">
              <w:rPr>
                <w:iCs/>
                <w:shd w:val="clear" w:color="auto" w:fill="FFFFFF"/>
                <w:lang w:val="lt-LT"/>
              </w:rPr>
              <w:t>(ne teisėkūros)</w:t>
            </w:r>
          </w:p>
          <w:p w14:paraId="3D7396DA" w14:textId="77777777" w:rsidR="00753B44" w:rsidRDefault="00753B44" w:rsidP="004159EA">
            <w:pPr>
              <w:pStyle w:val="Default"/>
              <w:jc w:val="both"/>
              <w:rPr>
                <w:rFonts w:hAnsi="Times New Roman" w:cs="Times New Roman"/>
                <w:b/>
                <w:u w:val="single"/>
              </w:rPr>
            </w:pPr>
          </w:p>
          <w:p w14:paraId="6EF18ECC" w14:textId="4C74F1F8" w:rsidR="009E5444" w:rsidRPr="00FC46CC" w:rsidRDefault="009E5444" w:rsidP="004159EA">
            <w:pPr>
              <w:pStyle w:val="Default"/>
              <w:jc w:val="both"/>
              <w:rPr>
                <w:rFonts w:hAnsi="Times New Roman" w:cs="Times New Roman"/>
                <w:b/>
                <w:u w:val="single"/>
              </w:rPr>
            </w:pPr>
            <w:r w:rsidRPr="00FC46CC">
              <w:rPr>
                <w:rFonts w:hAnsi="Times New Roman" w:cs="Times New Roman"/>
                <w:b/>
                <w:u w:val="single"/>
              </w:rPr>
              <w:t>Klausimo esm</w:t>
            </w:r>
            <w:r w:rsidRPr="00FC46CC">
              <w:rPr>
                <w:rFonts w:hAnsi="Times New Roman" w:cs="Times New Roman"/>
                <w:b/>
                <w:u w:val="single"/>
              </w:rPr>
              <w:t>ė</w:t>
            </w:r>
          </w:p>
          <w:p w14:paraId="4DA5CDAF" w14:textId="77777777" w:rsidR="00E534CA" w:rsidRPr="00FC46CC" w:rsidRDefault="00E534CA" w:rsidP="00E534CA">
            <w:pPr>
              <w:pStyle w:val="Default"/>
              <w:jc w:val="both"/>
              <w:rPr>
                <w:rFonts w:ascii="Times New Roman" w:hAnsi="Times New Roman" w:cs="Times New Roman"/>
              </w:rPr>
            </w:pPr>
            <w:r w:rsidRPr="00FC46CC">
              <w:rPr>
                <w:rFonts w:ascii="Times New Roman" w:hAnsi="Times New Roman" w:cs="Times New Roman"/>
              </w:rPr>
              <w:t xml:space="preserve">2020 m. spalio 14 d. Komisija pristatė strategiją „Renovacijos banga Europoje“. Strategija siekiama intensyvinti renovacijos pastangas visoje Europoje, prisidedant prie 2050 m. poveikio klimatui neutralumo tikslo ir siekiant žaliąją pertvarką įgyvendinti sąžiningai ir teisinga. Strategijoje taip pat pripažįstamas esminis pastatų renovacijos vaidmuo ekonomikos atsigavimo po COVID-19 pandemijos procese. </w:t>
            </w:r>
          </w:p>
          <w:p w14:paraId="15019255" w14:textId="036E2D65" w:rsidR="00E534CA" w:rsidRPr="00FC46CC" w:rsidRDefault="00E534CA" w:rsidP="00E534CA">
            <w:pPr>
              <w:pStyle w:val="Default"/>
              <w:jc w:val="both"/>
              <w:rPr>
                <w:rFonts w:ascii="Times New Roman" w:hAnsi="Times New Roman" w:cs="Times New Roman"/>
              </w:rPr>
            </w:pPr>
            <w:r w:rsidRPr="00FC46CC">
              <w:rPr>
                <w:rFonts w:ascii="Times New Roman" w:hAnsi="Times New Roman" w:cs="Times New Roman"/>
              </w:rPr>
              <w:t xml:space="preserve">ES Tarybai pirmininkaujanti Portugalija 2021 m. vasario 15 d. išplatino </w:t>
            </w:r>
            <w:r w:rsidR="00856C9C">
              <w:rPr>
                <w:rFonts w:ascii="Times New Roman" w:hAnsi="Times New Roman" w:cs="Times New Roman"/>
              </w:rPr>
              <w:t xml:space="preserve">ES </w:t>
            </w:r>
            <w:r w:rsidRPr="00FC46CC">
              <w:rPr>
                <w:rFonts w:ascii="Times New Roman" w:hAnsi="Times New Roman" w:cs="Times New Roman"/>
              </w:rPr>
              <w:t xml:space="preserve">Tarybos išvadų dėl Europos Renovacijos bangos projektą „Dėl renovacijos bangos, kuri gaivins ekonomiką dabar ir kurs tvarius būstus ateičiai“. Išvadų projektas paremtas ES tikslu 2050 m. pasiekti ekonomikos neutralumą klimato atžvilgiu, Paryžiaus susitarimo tikslais, Europos Žaliojo kurso tikslais, Europos Vadovų tarybos išvadomis, kuriomis pritarta didesniam </w:t>
            </w:r>
            <w:r w:rsidR="00856C9C">
              <w:rPr>
                <w:rFonts w:ascii="Times New Roman" w:hAnsi="Times New Roman" w:cs="Times New Roman"/>
              </w:rPr>
              <w:t>šiltnamio efektą sukeliančių dujų (</w:t>
            </w:r>
            <w:r w:rsidRPr="00FC46CC">
              <w:rPr>
                <w:rFonts w:ascii="Times New Roman" w:hAnsi="Times New Roman" w:cs="Times New Roman"/>
              </w:rPr>
              <w:t>ŠESD</w:t>
            </w:r>
            <w:r w:rsidR="00856C9C">
              <w:rPr>
                <w:rFonts w:ascii="Times New Roman" w:hAnsi="Times New Roman" w:cs="Times New Roman"/>
              </w:rPr>
              <w:t>)</w:t>
            </w:r>
            <w:r w:rsidRPr="00FC46CC">
              <w:rPr>
                <w:rFonts w:ascii="Times New Roman" w:hAnsi="Times New Roman" w:cs="Times New Roman"/>
              </w:rPr>
              <w:t xml:space="preserve"> išmetimo mažinimo tikslui 2030 m (-55 proc.), Europos Renovacijos bangos strategijos ir Žiedinės ekonomikos veiksmų plano tikslais ir 2020 m. birželio 15 d. </w:t>
            </w:r>
            <w:r w:rsidR="00856C9C">
              <w:rPr>
                <w:rFonts w:ascii="Times New Roman" w:hAnsi="Times New Roman" w:cs="Times New Roman"/>
              </w:rPr>
              <w:t xml:space="preserve">ES </w:t>
            </w:r>
            <w:r w:rsidRPr="00FC46CC">
              <w:rPr>
                <w:rFonts w:ascii="Times New Roman" w:hAnsi="Times New Roman" w:cs="Times New Roman"/>
              </w:rPr>
              <w:t xml:space="preserve">Tarybos išvadomis dėl  Žaliojo atsigavimo. </w:t>
            </w:r>
          </w:p>
          <w:p w14:paraId="3BBF4A97" w14:textId="0C2BE37F" w:rsidR="00FC46CC" w:rsidRPr="00FC46CC" w:rsidRDefault="00E534CA" w:rsidP="00EA6351">
            <w:pPr>
              <w:pStyle w:val="Default"/>
              <w:jc w:val="both"/>
              <w:rPr>
                <w:rFonts w:ascii="Times New Roman" w:hAnsi="Times New Roman" w:cs="Times New Roman"/>
              </w:rPr>
            </w:pPr>
            <w:r w:rsidRPr="00FC46CC">
              <w:rPr>
                <w:rFonts w:ascii="Times New Roman" w:hAnsi="Times New Roman" w:cs="Times New Roman"/>
              </w:rPr>
              <w:t xml:space="preserve">Išvadų </w:t>
            </w:r>
            <w:r w:rsidR="00FC46CC" w:rsidRPr="00FC46CC">
              <w:rPr>
                <w:rFonts w:ascii="Times New Roman" w:hAnsi="Times New Roman" w:cs="Times New Roman"/>
              </w:rPr>
              <w:t xml:space="preserve">projekte akcentuojamas finansavimo ir investicijų poreikis, ypač Atsigavimo ir atsparumo fondo </w:t>
            </w:r>
            <w:r w:rsidR="00EA6351">
              <w:rPr>
                <w:rFonts w:ascii="Times New Roman" w:hAnsi="Times New Roman" w:cs="Times New Roman"/>
              </w:rPr>
              <w:t xml:space="preserve">(angl. </w:t>
            </w:r>
            <w:r w:rsidR="00EA6351" w:rsidRPr="00EA6351">
              <w:rPr>
                <w:rFonts w:ascii="Times New Roman" w:hAnsi="Times New Roman" w:cs="Times New Roman"/>
                <w:lang w:val="en-US"/>
              </w:rPr>
              <w:t>Recovery and Resilience Facility, </w:t>
            </w:r>
            <w:r w:rsidR="00EA6351" w:rsidRPr="00B1257C">
              <w:rPr>
                <w:rFonts w:ascii="Times New Roman" w:hAnsi="Times New Roman" w:cs="Times New Roman"/>
                <w:lang w:val="en-US"/>
              </w:rPr>
              <w:t>RRF)</w:t>
            </w:r>
            <w:r w:rsidR="00EA6351">
              <w:rPr>
                <w:rFonts w:ascii="Times New Roman" w:hAnsi="Times New Roman" w:cs="Times New Roman"/>
                <w:b/>
                <w:bCs/>
                <w:lang w:val="en-US"/>
              </w:rPr>
              <w:t xml:space="preserve"> </w:t>
            </w:r>
            <w:r w:rsidR="00FC46CC" w:rsidRPr="00FC46CC">
              <w:rPr>
                <w:rFonts w:ascii="Times New Roman" w:hAnsi="Times New Roman" w:cs="Times New Roman"/>
              </w:rPr>
              <w:t xml:space="preserve">lėšų panaudojimas renovacijai skatinti, poreikis į renovaciją žiūrėti integruotai ir visapusiškai – kartu suplanuojant tvarius šildymo ir šaldymo sprendimus, užtikrinant socialiai teisingą procesą. Akcentuojama energetinio skurdo problematika ir poreikis kurti dedikuotus mechanizmus, kad renovacija teigiamai ir teisingai prisidėtų prie labiausiai pažeidžiamų namų ūkių </w:t>
            </w:r>
            <w:proofErr w:type="spellStart"/>
            <w:r w:rsidR="00FC46CC" w:rsidRPr="00FC46CC">
              <w:rPr>
                <w:rFonts w:ascii="Times New Roman" w:hAnsi="Times New Roman" w:cs="Times New Roman"/>
              </w:rPr>
              <w:t>gerbūvio</w:t>
            </w:r>
            <w:proofErr w:type="spellEnd"/>
            <w:r w:rsidR="00FC46CC" w:rsidRPr="00FC46CC">
              <w:rPr>
                <w:rFonts w:ascii="Times New Roman" w:hAnsi="Times New Roman" w:cs="Times New Roman"/>
              </w:rPr>
              <w:t xml:space="preserve"> didinimo. Išvadų projekte stiprinamos nuostatos dėl medžiagų</w:t>
            </w:r>
            <w:r w:rsidR="00856C9C">
              <w:rPr>
                <w:rFonts w:ascii="Times New Roman" w:hAnsi="Times New Roman" w:cs="Times New Roman"/>
              </w:rPr>
              <w:t>,</w:t>
            </w:r>
            <w:r w:rsidR="00FC46CC" w:rsidRPr="00FC46CC">
              <w:rPr>
                <w:rFonts w:ascii="Times New Roman" w:hAnsi="Times New Roman" w:cs="Times New Roman"/>
              </w:rPr>
              <w:t xml:space="preserve"> reikalingų renovacijai</w:t>
            </w:r>
            <w:r w:rsidR="00856C9C">
              <w:rPr>
                <w:rFonts w:ascii="Times New Roman" w:hAnsi="Times New Roman" w:cs="Times New Roman"/>
              </w:rPr>
              <w:t>,</w:t>
            </w:r>
            <w:r w:rsidR="00FC46CC" w:rsidRPr="00FC46CC">
              <w:rPr>
                <w:rFonts w:ascii="Times New Roman" w:hAnsi="Times New Roman" w:cs="Times New Roman"/>
              </w:rPr>
              <w:t xml:space="preserve"> pakartotinio panaudojimo, tvarių vietinių žaliavų panaudojimo, </w:t>
            </w:r>
            <w:proofErr w:type="spellStart"/>
            <w:r w:rsidR="00FC46CC" w:rsidRPr="00FC46CC">
              <w:rPr>
                <w:rFonts w:ascii="Times New Roman" w:hAnsi="Times New Roman" w:cs="Times New Roman"/>
              </w:rPr>
              <w:t>ekoprojektavimo</w:t>
            </w:r>
            <w:proofErr w:type="spellEnd"/>
            <w:r w:rsidR="00FC46CC" w:rsidRPr="00FC46CC">
              <w:rPr>
                <w:rFonts w:ascii="Times New Roman" w:hAnsi="Times New Roman" w:cs="Times New Roman"/>
              </w:rPr>
              <w:t xml:space="preserve"> svarbos. Daug dėmesio skiriama administracinių pajėgumų ir mechanizmų, spartinsiančių renovaciją kūrimo poreikiui, intensyvesnės renovacijos svarbai. </w:t>
            </w:r>
          </w:p>
          <w:p w14:paraId="3C9D78E4" w14:textId="77777777" w:rsidR="00753B44" w:rsidRDefault="00753B44" w:rsidP="004159EA">
            <w:pPr>
              <w:jc w:val="both"/>
              <w:rPr>
                <w:b/>
                <w:color w:val="000000"/>
                <w:u w:val="single"/>
                <w:lang w:val="lt-LT"/>
              </w:rPr>
            </w:pPr>
          </w:p>
          <w:p w14:paraId="76F7C7F8" w14:textId="166F0848" w:rsidR="009E5444" w:rsidRPr="00FC46CC" w:rsidRDefault="009E5444" w:rsidP="004159EA">
            <w:pPr>
              <w:jc w:val="both"/>
              <w:rPr>
                <w:b/>
                <w:color w:val="000000"/>
                <w:u w:val="single"/>
                <w:lang w:val="lt-LT"/>
              </w:rPr>
            </w:pPr>
            <w:r w:rsidRPr="00FC46CC">
              <w:rPr>
                <w:b/>
                <w:color w:val="000000"/>
                <w:u w:val="single"/>
                <w:lang w:val="lt-LT"/>
              </w:rPr>
              <w:t>Lietuvos pozicija</w:t>
            </w:r>
          </w:p>
          <w:p w14:paraId="3F768599" w14:textId="74473332" w:rsidR="00FC46CC" w:rsidRPr="00FC46CC" w:rsidRDefault="00FC46CC" w:rsidP="00FC46CC">
            <w:pPr>
              <w:pBdr>
                <w:top w:val="none" w:sz="0" w:space="0" w:color="auto"/>
                <w:left w:val="none" w:sz="0" w:space="0" w:color="auto"/>
                <w:bottom w:val="none" w:sz="0" w:space="0" w:color="auto"/>
                <w:right w:val="none" w:sz="0" w:space="0" w:color="auto"/>
                <w:between w:val="none" w:sz="0" w:space="0" w:color="auto"/>
                <w:bar w:val="none" w:sz="0" w:color="auto"/>
              </w:pBdr>
              <w:ind w:firstLine="284"/>
              <w:jc w:val="both"/>
              <w:rPr>
                <w:lang w:val="lt-LT"/>
              </w:rPr>
            </w:pPr>
            <w:r w:rsidRPr="00FC46CC">
              <w:rPr>
                <w:lang w:val="lt-LT"/>
              </w:rPr>
              <w:lastRenderedPageBreak/>
              <w:t>Dėkojame pirmininkaujančiai Portugalijai už parengtą ir suderintą Tarybos išvadų tekstą. Lietuva pritaria pateiktam išvadų projektui. Išvados yra ambicingos ir atitinka ES tikslus. Lietuva palaiko požiūrį, kad turi būti siekiama ambicingų tikslų, numatant atsparumo klimato kaitai priemones, užtikrinant žiedinį renovacijai reikalingų išteklių panaudojimą, efektyvinant tiekimo grandines. Lietuvos Ilgalaikėje pastatų renovacijos strategijoje keliami ambicingi nacionaliniai tikslai atitinka išvadų tekste ir Renovacijos bangos strategijos ambicijas, numatomos priemonės kylantiems iššūkiams spręsti.</w:t>
            </w:r>
          </w:p>
        </w:tc>
      </w:tr>
    </w:tbl>
    <w:p w14:paraId="56A6503E" w14:textId="77777777" w:rsidR="009E5444" w:rsidRPr="002C45E5" w:rsidRDefault="009E5444" w:rsidP="009E5444">
      <w:pPr>
        <w:jc w:val="both"/>
        <w:rPr>
          <w:b/>
          <w:bCs/>
          <w:caps/>
          <w:lang w:val="lt-LT"/>
        </w:rPr>
      </w:pPr>
    </w:p>
    <w:p w14:paraId="45612C58" w14:textId="77777777" w:rsidR="009E5444" w:rsidRPr="002C45E5" w:rsidRDefault="009E5444" w:rsidP="009E5444">
      <w:pPr>
        <w:jc w:val="both"/>
        <w:rPr>
          <w:lang w:val="lt-LT"/>
        </w:rPr>
      </w:pPr>
    </w:p>
    <w:tbl>
      <w:tblPr>
        <w:tblStyle w:val="TableGrid"/>
        <w:tblW w:w="0" w:type="auto"/>
        <w:tblInd w:w="-431" w:type="dxa"/>
        <w:tblLook w:val="04A0" w:firstRow="1" w:lastRow="0" w:firstColumn="1" w:lastColumn="0" w:noHBand="0" w:noVBand="1"/>
      </w:tblPr>
      <w:tblGrid>
        <w:gridCol w:w="9924"/>
      </w:tblGrid>
      <w:tr w:rsidR="009E5444" w:rsidRPr="002C45E5" w14:paraId="677BAD9E" w14:textId="77777777" w:rsidTr="00F60176">
        <w:tc>
          <w:tcPr>
            <w:tcW w:w="9924" w:type="dxa"/>
          </w:tcPr>
          <w:p w14:paraId="3BEF134C" w14:textId="4529383F" w:rsidR="009E5444" w:rsidRPr="00953FEA" w:rsidRDefault="00953FEA" w:rsidP="00953FEA">
            <w:pPr>
              <w:pStyle w:val="Default"/>
              <w:numPr>
                <w:ilvl w:val="0"/>
                <w:numId w:val="4"/>
              </w:numPr>
              <w:jc w:val="both"/>
              <w:rPr>
                <w:b/>
              </w:rPr>
            </w:pPr>
            <w:r w:rsidRPr="00953FEA">
              <w:rPr>
                <w:b/>
              </w:rPr>
              <w:t>Vandenilio strategija klimatui neutraliai Europai</w:t>
            </w:r>
            <w:r>
              <w:rPr>
                <w:b/>
              </w:rPr>
              <w:t xml:space="preserve"> - </w:t>
            </w:r>
            <w:r w:rsidR="009E5444" w:rsidRPr="00953FEA">
              <w:rPr>
                <w:rFonts w:ascii="Times New Roman" w:hAnsi="Times New Roman" w:cs="Times New Roman"/>
                <w:i/>
              </w:rPr>
              <w:t>pasikeitimas nuomonėmis</w:t>
            </w:r>
            <w:r>
              <w:rPr>
                <w:rFonts w:ascii="Times New Roman" w:hAnsi="Times New Roman" w:cs="Times New Roman"/>
                <w:i/>
              </w:rPr>
              <w:t xml:space="preserve"> </w:t>
            </w:r>
            <w:r w:rsidRPr="00953FEA">
              <w:rPr>
                <w:iCs/>
                <w:shd w:val="clear" w:color="auto" w:fill="FFFFFF"/>
              </w:rPr>
              <w:t>(ne teisėkūros)</w:t>
            </w:r>
          </w:p>
          <w:p w14:paraId="4ACEB3C0" w14:textId="77777777" w:rsidR="00E96F35" w:rsidRDefault="00E96F35" w:rsidP="004159EA">
            <w:pPr>
              <w:pStyle w:val="BodyA"/>
              <w:jc w:val="both"/>
              <w:rPr>
                <w:rFonts w:hAnsi="Times New Roman" w:cs="Times New Roman"/>
                <w:b/>
                <w:u w:val="single"/>
                <w:lang w:val="lt-LT"/>
              </w:rPr>
            </w:pPr>
          </w:p>
          <w:p w14:paraId="52E8DD6A" w14:textId="2122B035" w:rsidR="00FC46CC" w:rsidRDefault="009E5444" w:rsidP="004159EA">
            <w:pPr>
              <w:pStyle w:val="BodyA"/>
              <w:jc w:val="both"/>
              <w:rPr>
                <w:rFonts w:hAnsi="Times New Roman" w:cs="Times New Roman"/>
                <w:b/>
                <w:u w:val="single"/>
                <w:lang w:val="lt-LT"/>
              </w:rPr>
            </w:pPr>
            <w:r w:rsidRPr="002C45E5">
              <w:rPr>
                <w:rFonts w:hAnsi="Times New Roman" w:cs="Times New Roman"/>
                <w:b/>
                <w:u w:val="single"/>
                <w:lang w:val="lt-LT"/>
              </w:rPr>
              <w:t>Klausimo esm</w:t>
            </w:r>
            <w:r w:rsidR="00FC46CC">
              <w:rPr>
                <w:rFonts w:hAnsi="Times New Roman" w:cs="Times New Roman"/>
                <w:b/>
                <w:u w:val="single"/>
                <w:lang w:val="lt-LT"/>
              </w:rPr>
              <w:t>ė</w:t>
            </w:r>
          </w:p>
          <w:p w14:paraId="6023B9D8" w14:textId="426F1C6B" w:rsidR="00FC46CC" w:rsidRPr="00FC46CC" w:rsidRDefault="00FC46CC" w:rsidP="00953FEA">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FC46CC">
              <w:rPr>
                <w:lang w:val="lt-LT"/>
              </w:rPr>
              <w:t>ES Tarybai pirmininkaujan</w:t>
            </w:r>
            <w:r w:rsidR="00953FEA">
              <w:rPr>
                <w:lang w:val="lt-LT"/>
              </w:rPr>
              <w:t>ti</w:t>
            </w:r>
            <w:r w:rsidRPr="00FC46CC">
              <w:rPr>
                <w:lang w:val="lt-LT"/>
              </w:rPr>
              <w:t xml:space="preserve"> Portugalij</w:t>
            </w:r>
            <w:r w:rsidR="00953FEA">
              <w:rPr>
                <w:lang w:val="lt-LT"/>
              </w:rPr>
              <w:t>a</w:t>
            </w:r>
            <w:r w:rsidRPr="00FC46CC">
              <w:rPr>
                <w:lang w:val="lt-LT"/>
              </w:rPr>
              <w:t xml:space="preserve"> </w:t>
            </w:r>
            <w:r w:rsidR="00953FEA">
              <w:rPr>
                <w:lang w:val="lt-LT"/>
              </w:rPr>
              <w:t>parengė</w:t>
            </w:r>
            <w:r w:rsidRPr="00FC46CC">
              <w:rPr>
                <w:lang w:val="lt-LT"/>
              </w:rPr>
              <w:t xml:space="preserve"> diskusin</w:t>
            </w:r>
            <w:r w:rsidR="00953FEA">
              <w:rPr>
                <w:lang w:val="lt-LT"/>
              </w:rPr>
              <w:t>į</w:t>
            </w:r>
            <w:r w:rsidRPr="00FC46CC">
              <w:rPr>
                <w:lang w:val="lt-LT"/>
              </w:rPr>
              <w:t xml:space="preserve"> dokument</w:t>
            </w:r>
            <w:r w:rsidR="00953FEA">
              <w:rPr>
                <w:lang w:val="lt-LT"/>
              </w:rPr>
              <w:t>ą</w:t>
            </w:r>
            <w:r w:rsidRPr="00FC46CC">
              <w:rPr>
                <w:lang w:val="lt-LT"/>
              </w:rPr>
              <w:t xml:space="preserve"> „Vandenilio strategijos evoliucija Europoje“. Dokumentas paremtas ES tikslu 2050 m. pasiekti ekonomikos neutralumą klimato atžvilgiu, Europos Žaliojo kurso tikslais. Vandenilis yra matomas kaip esminis įrankis garantuoti Europos klimato neutralumą - jis įgalintų sektorių integraciją bei užtikrintų švarų, prieinamą ir saugų energijos tiekimą</w:t>
            </w:r>
            <w:r w:rsidR="00953FEA">
              <w:rPr>
                <w:lang w:val="lt-LT"/>
              </w:rPr>
              <w:t>. Tam visų pirma</w:t>
            </w:r>
            <w:r w:rsidRPr="00FC46CC">
              <w:rPr>
                <w:lang w:val="lt-LT"/>
              </w:rPr>
              <w:t xml:space="preserve"> reikalinga išmani infrastruktūra.</w:t>
            </w:r>
            <w:r w:rsidR="00953FEA">
              <w:rPr>
                <w:lang w:val="lt-LT"/>
              </w:rPr>
              <w:t xml:space="preserve"> </w:t>
            </w:r>
            <w:r w:rsidRPr="00FC46CC">
              <w:rPr>
                <w:lang w:val="lt-LT"/>
              </w:rPr>
              <w:t>Pramonės mobilizavimas švarios ir žiedinės ekonomikos tikslui taip pat itin svarbus, nes tik taip bus vystomos pažangios technologijos esminiuose pramonės sektoriuose.</w:t>
            </w:r>
          </w:p>
          <w:p w14:paraId="16DE3A30" w14:textId="77017728" w:rsidR="00FC46CC" w:rsidRPr="00FC46CC" w:rsidRDefault="00FC46CC" w:rsidP="00953FEA">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FC46CC">
              <w:rPr>
                <w:lang w:val="lt-LT"/>
              </w:rPr>
              <w:t xml:space="preserve">Pateiktas dokumentas </w:t>
            </w:r>
            <w:r w:rsidR="00953FEA">
              <w:rPr>
                <w:lang w:val="lt-LT"/>
              </w:rPr>
              <w:t>remiasi</w:t>
            </w:r>
            <w:r w:rsidRPr="00FC46CC">
              <w:rPr>
                <w:lang w:val="lt-LT"/>
              </w:rPr>
              <w:t xml:space="preserve"> ES </w:t>
            </w:r>
            <w:r w:rsidR="00953FEA">
              <w:rPr>
                <w:lang w:val="lt-LT"/>
              </w:rPr>
              <w:t xml:space="preserve">2020 m. liepą parengtomis </w:t>
            </w:r>
            <w:r w:rsidRPr="00FC46CC">
              <w:rPr>
                <w:lang w:val="lt-LT"/>
              </w:rPr>
              <w:t>vandenilio bei energetikos sistemų integracijos strategij</w:t>
            </w:r>
            <w:r w:rsidR="00953FEA">
              <w:rPr>
                <w:lang w:val="lt-LT"/>
              </w:rPr>
              <w:t>omis.</w:t>
            </w:r>
          </w:p>
          <w:p w14:paraId="666B07C5" w14:textId="51D55BE7" w:rsidR="00FC46CC" w:rsidRPr="00FC46CC" w:rsidRDefault="00FC46CC" w:rsidP="00953FEA">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FC46CC">
              <w:rPr>
                <w:lang w:val="lt-LT"/>
              </w:rPr>
              <w:t xml:space="preserve">Dokumente išskiriamos </w:t>
            </w:r>
            <w:r w:rsidR="00953FEA">
              <w:rPr>
                <w:lang w:val="lt-LT"/>
              </w:rPr>
              <w:t>11 skirtingo lygmens klausimų, kuriuos reikia spręsti siekiant tikslų vandenilio srityje</w:t>
            </w:r>
            <w:r w:rsidRPr="00FC46CC">
              <w:rPr>
                <w:lang w:val="lt-LT"/>
              </w:rPr>
              <w:t>:</w:t>
            </w:r>
          </w:p>
          <w:p w14:paraId="33160395" w14:textId="6551D4C0" w:rsidR="00FC46CC" w:rsidRPr="00FC46CC" w:rsidRDefault="00FC46CC" w:rsidP="00953FEA">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FC46CC">
              <w:rPr>
                <w:lang w:val="lt-LT"/>
              </w:rPr>
              <w:t>1) Vandenilio strategija bei jo</w:t>
            </w:r>
            <w:r w:rsidR="00953FEA">
              <w:rPr>
                <w:lang w:val="lt-LT"/>
              </w:rPr>
              <w:t>s</w:t>
            </w:r>
            <w:r w:rsidRPr="00FC46CC">
              <w:rPr>
                <w:lang w:val="lt-LT"/>
              </w:rPr>
              <w:t xml:space="preserve"> teisinė ir reguliacinė aplink</w:t>
            </w:r>
            <w:r w:rsidR="00953FEA">
              <w:rPr>
                <w:lang w:val="lt-LT"/>
              </w:rPr>
              <w:t>a</w:t>
            </w:r>
            <w:r w:rsidRPr="00FC46CC">
              <w:rPr>
                <w:lang w:val="lt-LT"/>
              </w:rPr>
              <w:t xml:space="preserve"> turėtų būti labiau dinamiška;</w:t>
            </w:r>
          </w:p>
          <w:p w14:paraId="6E943DFF" w14:textId="77777777" w:rsidR="00FC46CC" w:rsidRPr="00FC46CC" w:rsidRDefault="00FC46CC" w:rsidP="00953FEA">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FC46CC">
              <w:rPr>
                <w:lang w:val="lt-LT"/>
              </w:rPr>
              <w:t>2) Turėtų būti skiriamas didesnis dėmesys „žaliojo“ vandenilio integravimui į energetikos sistemą;</w:t>
            </w:r>
          </w:p>
          <w:p w14:paraId="481B5BCB" w14:textId="77777777" w:rsidR="00FC46CC" w:rsidRPr="00FC46CC" w:rsidRDefault="00FC46CC" w:rsidP="00953FEA">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FC46CC">
              <w:rPr>
                <w:lang w:val="lt-LT"/>
              </w:rPr>
              <w:t xml:space="preserve">3) Strategijos, apimančios tiek gamtinių dujų infrastruktūros panaudojimą, tiek vandenilio panaudojimą ekonomikoje suteikia daugiau lankstumo siekiant </w:t>
            </w:r>
            <w:proofErr w:type="spellStart"/>
            <w:r w:rsidRPr="00FC46CC">
              <w:rPr>
                <w:lang w:val="lt-LT"/>
              </w:rPr>
              <w:t>dekarbonizacijos</w:t>
            </w:r>
            <w:proofErr w:type="spellEnd"/>
            <w:r w:rsidRPr="00FC46CC">
              <w:rPr>
                <w:lang w:val="lt-LT"/>
              </w:rPr>
              <w:t>;</w:t>
            </w:r>
          </w:p>
          <w:p w14:paraId="5C9D53D6" w14:textId="77777777" w:rsidR="00FC46CC" w:rsidRPr="00FC46CC" w:rsidRDefault="00FC46CC" w:rsidP="00953FEA">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FC46CC">
              <w:rPr>
                <w:lang w:val="lt-LT"/>
              </w:rPr>
              <w:t>4) Įvairesnis vandenilio panaudojimo planavimas prisideda prie masto ekonomijos ir greitesnio jo technologijų diegimo;</w:t>
            </w:r>
          </w:p>
          <w:p w14:paraId="1AA61176" w14:textId="5E271D5B" w:rsidR="00FC46CC" w:rsidRPr="00FC46CC" w:rsidRDefault="00FC46CC" w:rsidP="00953FEA">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FC46CC">
              <w:rPr>
                <w:lang w:val="lt-LT"/>
              </w:rPr>
              <w:t xml:space="preserve">5) </w:t>
            </w:r>
            <w:r w:rsidR="00953FEA">
              <w:rPr>
                <w:lang w:val="lt-LT"/>
              </w:rPr>
              <w:t>Trūksta aiškios</w:t>
            </w:r>
            <w:r w:rsidRPr="00FC46CC">
              <w:rPr>
                <w:lang w:val="lt-LT"/>
              </w:rPr>
              <w:t xml:space="preserve"> investavimo į vandenilį darbotvarkė;</w:t>
            </w:r>
          </w:p>
          <w:p w14:paraId="6FF891BD" w14:textId="77777777" w:rsidR="00FC46CC" w:rsidRPr="00FC46CC" w:rsidRDefault="00FC46CC" w:rsidP="00953FEA">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FC46CC">
              <w:rPr>
                <w:lang w:val="lt-LT"/>
              </w:rPr>
              <w:t>6) Reikia didinti vandenilio paklausą;</w:t>
            </w:r>
          </w:p>
          <w:p w14:paraId="2DFBF081" w14:textId="77777777" w:rsidR="00FC46CC" w:rsidRPr="00FC46CC" w:rsidRDefault="00FC46CC" w:rsidP="00953FEA">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FC46CC">
              <w:rPr>
                <w:lang w:val="lt-LT"/>
              </w:rPr>
              <w:t>7) Vandenilio gamybos kaštai labai priklausys nuo geografinių sąlygų, kur tai bus daroma;</w:t>
            </w:r>
          </w:p>
          <w:p w14:paraId="35464D9F" w14:textId="77777777" w:rsidR="00FC46CC" w:rsidRPr="00FC46CC" w:rsidRDefault="00FC46CC" w:rsidP="00953FEA">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FC46CC">
              <w:rPr>
                <w:lang w:val="lt-LT"/>
              </w:rPr>
              <w:t>8) Tyrimai ir inovacijos vandenilio srityje turi apimti visą vertės grandinę;</w:t>
            </w:r>
          </w:p>
          <w:p w14:paraId="651C8E8C" w14:textId="77777777" w:rsidR="00FC46CC" w:rsidRPr="00FC46CC" w:rsidRDefault="00FC46CC" w:rsidP="00953FEA">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FC46CC">
              <w:rPr>
                <w:lang w:val="lt-LT"/>
              </w:rPr>
              <w:t>9) Reikia didinti tarptautinį bendradarbiavimą vandenilio srityje;</w:t>
            </w:r>
          </w:p>
          <w:p w14:paraId="13957D22" w14:textId="77777777" w:rsidR="00FC46CC" w:rsidRPr="00FC46CC" w:rsidRDefault="00FC46CC" w:rsidP="00953FEA">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FC46CC">
              <w:rPr>
                <w:lang w:val="lt-LT"/>
              </w:rPr>
              <w:t>10) Dar trūksta didesnio prioriteto „žaliajam“ vandeniliui;</w:t>
            </w:r>
          </w:p>
          <w:p w14:paraId="18223B86" w14:textId="1D9E1ABB" w:rsidR="00FC46CC" w:rsidRPr="00FC46CC" w:rsidRDefault="00FC46CC" w:rsidP="00953FEA">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FC46CC">
              <w:rPr>
                <w:lang w:val="lt-LT"/>
              </w:rPr>
              <w:t>11) Reikia užtikrinti darnumo kriterijus - reikia siekti garantijų, kad „žaliasis“ vandenilis iš tiesų būtų pagamintas iš atsinaujinančių energijos išteklių.</w:t>
            </w:r>
          </w:p>
          <w:p w14:paraId="11AD649C" w14:textId="1B0AB9A7" w:rsidR="00FC46CC" w:rsidRPr="00FC46CC" w:rsidRDefault="00953FEA" w:rsidP="00953FEA">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Pr>
                <w:lang w:val="lt-LT"/>
              </w:rPr>
              <w:t>Diskusijai valstybėms narėms keliami šie klausimai</w:t>
            </w:r>
            <w:r w:rsidR="00FC46CC" w:rsidRPr="00FC46CC">
              <w:rPr>
                <w:lang w:val="lt-LT"/>
              </w:rPr>
              <w:t>:</w:t>
            </w:r>
          </w:p>
          <w:p w14:paraId="550E6998" w14:textId="6AF44089" w:rsidR="00FC46CC" w:rsidRPr="00FC46CC" w:rsidRDefault="00FC46CC" w:rsidP="00953FEA">
            <w:pPr>
              <w:pBdr>
                <w:top w:val="none" w:sz="0" w:space="0" w:color="auto"/>
                <w:left w:val="none" w:sz="0" w:space="0" w:color="auto"/>
                <w:bottom w:val="none" w:sz="0" w:space="0" w:color="auto"/>
                <w:right w:val="none" w:sz="0" w:space="0" w:color="auto"/>
                <w:between w:val="none" w:sz="0" w:space="0" w:color="auto"/>
                <w:bar w:val="none" w:sz="0" w:color="auto"/>
              </w:pBdr>
              <w:jc w:val="both"/>
              <w:rPr>
                <w:i/>
                <w:iCs/>
                <w:lang w:val="lt-LT"/>
              </w:rPr>
            </w:pPr>
            <w:r w:rsidRPr="00FC46CC">
              <w:rPr>
                <w:i/>
                <w:iCs/>
                <w:lang w:val="lt-LT"/>
              </w:rPr>
              <w:t xml:space="preserve">1. </w:t>
            </w:r>
            <w:r w:rsidR="00953FEA" w:rsidRPr="00EC1C64">
              <w:rPr>
                <w:i/>
                <w:iCs/>
                <w:lang w:val="lt-LT"/>
              </w:rPr>
              <w:t xml:space="preserve">Kaip šalys narės gali bendradarbiauti, kad sukurtų sąlygas rinkos skatinimui ir greitesniam sureguliavimui galutinio vartotojų technologijų atžvilgiu, kad būtų </w:t>
            </w:r>
            <w:r w:rsidR="0095299B" w:rsidRPr="00EC1C64">
              <w:rPr>
                <w:i/>
                <w:iCs/>
                <w:lang w:val="lt-LT"/>
              </w:rPr>
              <w:t xml:space="preserve">didinamas vandenilio naudojimas sunkiai </w:t>
            </w:r>
            <w:proofErr w:type="spellStart"/>
            <w:r w:rsidR="0095299B" w:rsidRPr="00EC1C64">
              <w:rPr>
                <w:i/>
                <w:iCs/>
                <w:lang w:val="lt-LT"/>
              </w:rPr>
              <w:t>dekarbonizuojamuose</w:t>
            </w:r>
            <w:proofErr w:type="spellEnd"/>
            <w:r w:rsidR="0095299B" w:rsidRPr="00EC1C64">
              <w:rPr>
                <w:i/>
                <w:iCs/>
                <w:lang w:val="lt-LT"/>
              </w:rPr>
              <w:t xml:space="preserve"> sektoriuose?</w:t>
            </w:r>
          </w:p>
          <w:p w14:paraId="1F2EF2FC" w14:textId="51014D40" w:rsidR="00FC46CC" w:rsidRPr="00EC1C64" w:rsidRDefault="00FC46CC" w:rsidP="0095299B">
            <w:pPr>
              <w:pBdr>
                <w:top w:val="none" w:sz="0" w:space="0" w:color="auto"/>
                <w:left w:val="none" w:sz="0" w:space="0" w:color="auto"/>
                <w:bottom w:val="none" w:sz="0" w:space="0" w:color="auto"/>
                <w:right w:val="none" w:sz="0" w:space="0" w:color="auto"/>
                <w:between w:val="none" w:sz="0" w:space="0" w:color="auto"/>
                <w:bar w:val="none" w:sz="0" w:color="auto"/>
              </w:pBdr>
              <w:jc w:val="both"/>
              <w:rPr>
                <w:i/>
                <w:iCs/>
                <w:lang w:val="lt-LT"/>
              </w:rPr>
            </w:pPr>
            <w:r w:rsidRPr="00FC46CC">
              <w:rPr>
                <w:i/>
                <w:iCs/>
                <w:lang w:val="lt-LT"/>
              </w:rPr>
              <w:t xml:space="preserve">2. </w:t>
            </w:r>
            <w:r w:rsidR="0095299B" w:rsidRPr="00EC1C64">
              <w:rPr>
                <w:i/>
                <w:iCs/>
                <w:lang w:val="lt-LT"/>
              </w:rPr>
              <w:t xml:space="preserve">Kokie yra finansavimo prioritetai vandenilio srityje ir kaip vieningai remti eksportą, turint omenyje potencialą stiprinti Europos partnerystes? </w:t>
            </w:r>
          </w:p>
          <w:p w14:paraId="540040F8" w14:textId="77777777" w:rsidR="00753B44" w:rsidRDefault="00753B44" w:rsidP="004159EA">
            <w:pPr>
              <w:jc w:val="both"/>
              <w:rPr>
                <w:b/>
                <w:color w:val="000000"/>
                <w:u w:val="single"/>
                <w:lang w:val="lt-LT"/>
              </w:rPr>
            </w:pPr>
          </w:p>
          <w:p w14:paraId="0C5B8594" w14:textId="0033884A" w:rsidR="009E5444" w:rsidRDefault="009E5444" w:rsidP="004159EA">
            <w:pPr>
              <w:jc w:val="both"/>
              <w:rPr>
                <w:b/>
                <w:color w:val="000000"/>
                <w:u w:val="single"/>
                <w:lang w:val="lt-LT"/>
              </w:rPr>
            </w:pPr>
            <w:r w:rsidRPr="002C45E5">
              <w:rPr>
                <w:b/>
                <w:color w:val="000000"/>
                <w:u w:val="single"/>
                <w:lang w:val="lt-LT"/>
              </w:rPr>
              <w:t>Lietuvos pozicija</w:t>
            </w:r>
          </w:p>
          <w:p w14:paraId="74BBAA77" w14:textId="34D0238E" w:rsidR="00083D55" w:rsidRPr="00083D55" w:rsidRDefault="00083D55" w:rsidP="00083D55">
            <w:pPr>
              <w:jc w:val="both"/>
              <w:rPr>
                <w:bCs/>
                <w:color w:val="000000"/>
                <w:lang w:val="lt-LT"/>
              </w:rPr>
            </w:pPr>
            <w:r w:rsidRPr="00083D55">
              <w:rPr>
                <w:bCs/>
                <w:color w:val="000000"/>
                <w:u w:val="single"/>
                <w:lang w:val="lt-LT"/>
              </w:rPr>
              <w:t>1 klausimas:</w:t>
            </w:r>
            <w:r w:rsidRPr="00083D55">
              <w:rPr>
                <w:bCs/>
                <w:color w:val="000000"/>
                <w:lang w:val="lt-LT"/>
              </w:rPr>
              <w:t xml:space="preserve"> </w:t>
            </w:r>
            <w:r w:rsidR="00EA6351">
              <w:rPr>
                <w:bCs/>
                <w:color w:val="000000"/>
                <w:lang w:val="lt-LT"/>
              </w:rPr>
              <w:t>Lietuva laikosi pozicijos</w:t>
            </w:r>
            <w:r w:rsidRPr="00083D55">
              <w:rPr>
                <w:bCs/>
                <w:color w:val="000000"/>
                <w:lang w:val="lt-LT"/>
              </w:rPr>
              <w:t>, kad būtinas suderintas ES vandenilio reglamentavimas, ypatingai sujungimo vietose, siekiant išvengti rinkos susiskaidymo</w:t>
            </w:r>
            <w:r w:rsidR="009B2E35">
              <w:rPr>
                <w:bCs/>
                <w:color w:val="000000"/>
                <w:lang w:val="lt-LT"/>
              </w:rPr>
              <w:t xml:space="preserve">. </w:t>
            </w:r>
            <w:r w:rsidR="006A74D1">
              <w:rPr>
                <w:bCs/>
                <w:color w:val="000000"/>
                <w:lang w:val="lt-LT"/>
              </w:rPr>
              <w:t>Reikia užtikrinti</w:t>
            </w:r>
            <w:r w:rsidRPr="00083D55">
              <w:rPr>
                <w:bCs/>
                <w:color w:val="000000"/>
                <w:lang w:val="lt-LT"/>
              </w:rPr>
              <w:t xml:space="preserve"> tarpvalstybin</w:t>
            </w:r>
            <w:r w:rsidR="006A74D1">
              <w:rPr>
                <w:bCs/>
                <w:color w:val="000000"/>
                <w:lang w:val="lt-LT"/>
              </w:rPr>
              <w:t>į</w:t>
            </w:r>
            <w:r w:rsidRPr="00083D55">
              <w:rPr>
                <w:bCs/>
                <w:color w:val="000000"/>
                <w:lang w:val="lt-LT"/>
              </w:rPr>
              <w:t xml:space="preserve"> dujų kokybės koordinavim</w:t>
            </w:r>
            <w:r w:rsidR="006A74D1">
              <w:rPr>
                <w:bCs/>
                <w:color w:val="000000"/>
                <w:lang w:val="lt-LT"/>
              </w:rPr>
              <w:t>ą</w:t>
            </w:r>
            <w:r w:rsidRPr="00083D55">
              <w:rPr>
                <w:bCs/>
                <w:color w:val="000000"/>
                <w:lang w:val="lt-LT"/>
              </w:rPr>
              <w:t xml:space="preserve">, </w:t>
            </w:r>
            <w:r w:rsidR="006A74D1">
              <w:rPr>
                <w:bCs/>
                <w:color w:val="000000"/>
                <w:lang w:val="lt-LT"/>
              </w:rPr>
              <w:t xml:space="preserve">skatinti </w:t>
            </w:r>
            <w:r w:rsidRPr="00083D55">
              <w:rPr>
                <w:bCs/>
                <w:color w:val="000000"/>
                <w:lang w:val="lt-LT"/>
              </w:rPr>
              <w:t>nacionalinių ir ES standartų peržiūr</w:t>
            </w:r>
            <w:r w:rsidR="006A74D1">
              <w:rPr>
                <w:bCs/>
                <w:color w:val="000000"/>
                <w:lang w:val="lt-LT"/>
              </w:rPr>
              <w:t>ą</w:t>
            </w:r>
            <w:r w:rsidRPr="00083D55">
              <w:rPr>
                <w:bCs/>
                <w:color w:val="000000"/>
                <w:lang w:val="lt-LT"/>
              </w:rPr>
              <w:t xml:space="preserve">, dujų </w:t>
            </w:r>
            <w:r w:rsidR="00DC50F5">
              <w:rPr>
                <w:bCs/>
                <w:color w:val="000000"/>
                <w:lang w:val="lt-LT"/>
              </w:rPr>
              <w:t xml:space="preserve">kokybės </w:t>
            </w:r>
            <w:r w:rsidRPr="00083D55">
              <w:rPr>
                <w:bCs/>
                <w:color w:val="000000"/>
                <w:lang w:val="lt-LT"/>
              </w:rPr>
              <w:t>principų nustatym</w:t>
            </w:r>
            <w:r w:rsidR="00DC50F5">
              <w:rPr>
                <w:bCs/>
                <w:color w:val="000000"/>
                <w:lang w:val="lt-LT"/>
              </w:rPr>
              <w:t>as.</w:t>
            </w:r>
          </w:p>
          <w:p w14:paraId="11E079A0" w14:textId="1F287F6E" w:rsidR="00083D55" w:rsidRPr="00083D55" w:rsidRDefault="00083D55" w:rsidP="00083D55">
            <w:pPr>
              <w:jc w:val="both"/>
              <w:rPr>
                <w:bCs/>
                <w:color w:val="000000"/>
                <w:lang w:val="lt-LT"/>
              </w:rPr>
            </w:pPr>
            <w:r w:rsidRPr="00083D55">
              <w:rPr>
                <w:bCs/>
                <w:color w:val="000000"/>
                <w:lang w:val="lt-LT"/>
              </w:rPr>
              <w:t xml:space="preserve">Kadangi kai kurie regionai taps </w:t>
            </w:r>
            <w:r w:rsidR="00DC50F5">
              <w:rPr>
                <w:bCs/>
                <w:color w:val="000000"/>
                <w:lang w:val="lt-LT"/>
              </w:rPr>
              <w:t>eksportuojančiais</w:t>
            </w:r>
            <w:r w:rsidRPr="00083D55">
              <w:rPr>
                <w:bCs/>
                <w:color w:val="000000"/>
                <w:lang w:val="lt-LT"/>
              </w:rPr>
              <w:t xml:space="preserve">, bendra sistema turėtų </w:t>
            </w:r>
            <w:r w:rsidR="00DC50F5">
              <w:rPr>
                <w:bCs/>
                <w:color w:val="000000"/>
                <w:lang w:val="lt-LT"/>
              </w:rPr>
              <w:t>tai skatinti</w:t>
            </w:r>
            <w:r w:rsidRPr="00083D55">
              <w:rPr>
                <w:bCs/>
                <w:color w:val="000000"/>
                <w:lang w:val="lt-LT"/>
              </w:rPr>
              <w:t xml:space="preserve"> ir sudaryti </w:t>
            </w:r>
            <w:r w:rsidR="00056970">
              <w:rPr>
                <w:bCs/>
                <w:color w:val="000000"/>
                <w:lang w:val="lt-LT"/>
              </w:rPr>
              <w:t>lanksčias</w:t>
            </w:r>
            <w:r w:rsidRPr="00083D55">
              <w:rPr>
                <w:bCs/>
                <w:color w:val="000000"/>
                <w:lang w:val="lt-LT"/>
              </w:rPr>
              <w:t xml:space="preserve"> atsinaujinančios energijos tarpvalstybinio perdavimo sąlygas (visų pirma, suteikiant kilmės garantijas) </w:t>
            </w:r>
            <w:r w:rsidR="00056970">
              <w:rPr>
                <w:bCs/>
                <w:color w:val="000000"/>
                <w:lang w:val="lt-LT"/>
              </w:rPr>
              <w:t xml:space="preserve">– </w:t>
            </w:r>
            <w:r w:rsidRPr="00083D55">
              <w:rPr>
                <w:bCs/>
                <w:color w:val="000000"/>
                <w:lang w:val="lt-LT"/>
              </w:rPr>
              <w:t xml:space="preserve"> tai leistų efektyviau ir greičiau mažinti anglies dioksido </w:t>
            </w:r>
            <w:r w:rsidR="00056970">
              <w:rPr>
                <w:bCs/>
                <w:color w:val="000000"/>
                <w:lang w:val="lt-LT"/>
              </w:rPr>
              <w:t>emisijas</w:t>
            </w:r>
            <w:r w:rsidRPr="00083D55">
              <w:rPr>
                <w:bCs/>
                <w:color w:val="000000"/>
                <w:lang w:val="lt-LT"/>
              </w:rPr>
              <w:t xml:space="preserve"> visoje Europoje, kur energijos intensyvumas ir atsinaujinančios energijos gamybos potencialas pasiskirstę netolygiai.</w:t>
            </w:r>
          </w:p>
          <w:p w14:paraId="35740E07" w14:textId="138C000D" w:rsidR="00083D55" w:rsidRPr="00083D55" w:rsidRDefault="00083D55" w:rsidP="00083D55">
            <w:pPr>
              <w:jc w:val="both"/>
              <w:rPr>
                <w:bCs/>
                <w:color w:val="000000"/>
                <w:lang w:val="lt-LT"/>
              </w:rPr>
            </w:pPr>
            <w:r w:rsidRPr="00083D55">
              <w:rPr>
                <w:bCs/>
                <w:color w:val="000000"/>
                <w:lang w:val="lt-LT"/>
              </w:rPr>
              <w:lastRenderedPageBreak/>
              <w:t>Atsinaujinančios dujos (</w:t>
            </w:r>
            <w:proofErr w:type="spellStart"/>
            <w:r w:rsidRPr="00083D55">
              <w:rPr>
                <w:bCs/>
                <w:color w:val="000000"/>
                <w:lang w:val="lt-LT"/>
              </w:rPr>
              <w:t>biometano</w:t>
            </w:r>
            <w:proofErr w:type="spellEnd"/>
            <w:r w:rsidRPr="00083D55">
              <w:rPr>
                <w:bCs/>
                <w:color w:val="000000"/>
                <w:lang w:val="lt-LT"/>
              </w:rPr>
              <w:t xml:space="preserve"> gamyba ir </w:t>
            </w:r>
            <w:proofErr w:type="spellStart"/>
            <w:r w:rsidR="00946E91">
              <w:rPr>
                <w:bCs/>
                <w:color w:val="000000"/>
                <w:lang w:val="lt-LT"/>
              </w:rPr>
              <w:t>power</w:t>
            </w:r>
            <w:proofErr w:type="spellEnd"/>
            <w:r w:rsidR="00946E91">
              <w:rPr>
                <w:bCs/>
                <w:color w:val="000000"/>
                <w:lang w:val="lt-LT"/>
              </w:rPr>
              <w:t>-to-</w:t>
            </w:r>
            <w:proofErr w:type="spellStart"/>
            <w:r w:rsidR="00946E91">
              <w:rPr>
                <w:bCs/>
                <w:color w:val="000000"/>
                <w:lang w:val="lt-LT"/>
              </w:rPr>
              <w:t>gas</w:t>
            </w:r>
            <w:proofErr w:type="spellEnd"/>
            <w:r w:rsidR="001A6E73">
              <w:rPr>
                <w:bCs/>
                <w:color w:val="000000"/>
                <w:lang w:val="lt-LT"/>
              </w:rPr>
              <w:t xml:space="preserve"> (P2G)</w:t>
            </w:r>
            <w:r w:rsidR="00946E91">
              <w:rPr>
                <w:bCs/>
                <w:color w:val="000000"/>
                <w:lang w:val="lt-LT"/>
              </w:rPr>
              <w:t xml:space="preserve"> įranga</w:t>
            </w:r>
            <w:r w:rsidRPr="00083D55">
              <w:rPr>
                <w:bCs/>
                <w:color w:val="000000"/>
                <w:lang w:val="lt-LT"/>
              </w:rPr>
              <w:t xml:space="preserve">) turės didelę naudą ne tik </w:t>
            </w:r>
            <w:proofErr w:type="spellStart"/>
            <w:r w:rsidRPr="00083D55">
              <w:rPr>
                <w:bCs/>
                <w:color w:val="000000"/>
                <w:lang w:val="lt-LT"/>
              </w:rPr>
              <w:t>dekarbonizacijos</w:t>
            </w:r>
            <w:proofErr w:type="spellEnd"/>
            <w:r w:rsidRPr="00083D55">
              <w:rPr>
                <w:bCs/>
                <w:color w:val="000000"/>
                <w:lang w:val="lt-LT"/>
              </w:rPr>
              <w:t xml:space="preserve"> perspektyvai, bet ir efektyvesniam energetikos sistemos veikimui (papildomas lankstumas, tinklų optimizavimas, efektyvesnis jau esamos infrastruktūros naudojimas, padidintas, tiekimo saugumas ir sistemos atsparumas). Todėl svarbu, kad </w:t>
            </w:r>
            <w:r w:rsidR="00E1600F">
              <w:rPr>
                <w:bCs/>
                <w:color w:val="000000"/>
                <w:lang w:val="lt-LT"/>
              </w:rPr>
              <w:t xml:space="preserve">P2G įrenginiams </w:t>
            </w:r>
            <w:r w:rsidR="00E35626">
              <w:rPr>
                <w:bCs/>
                <w:color w:val="000000"/>
                <w:lang w:val="lt-LT"/>
              </w:rPr>
              <w:t xml:space="preserve">būtų </w:t>
            </w:r>
            <w:r w:rsidR="00CA6824">
              <w:rPr>
                <w:bCs/>
                <w:color w:val="000000"/>
                <w:lang w:val="lt-LT"/>
              </w:rPr>
              <w:t>pritaikytos</w:t>
            </w:r>
            <w:r w:rsidRPr="00083D55">
              <w:rPr>
                <w:bCs/>
                <w:color w:val="000000"/>
                <w:lang w:val="lt-LT"/>
              </w:rPr>
              <w:t xml:space="preserve"> tiek prieigos prie infrastruktūros</w:t>
            </w:r>
            <w:r w:rsidR="00E1600F">
              <w:rPr>
                <w:bCs/>
                <w:color w:val="000000"/>
                <w:lang w:val="lt-LT"/>
              </w:rPr>
              <w:t xml:space="preserve"> </w:t>
            </w:r>
            <w:r w:rsidRPr="00083D55">
              <w:rPr>
                <w:bCs/>
                <w:color w:val="000000"/>
                <w:lang w:val="lt-LT"/>
              </w:rPr>
              <w:t>sąlygos. Svarbiausia – nacionalinėms reguliavimo tarnyboms turėtų būti leidžiama daryti nuolaidas tinklo tarifams prisijungimo prie šių (</w:t>
            </w:r>
            <w:proofErr w:type="spellStart"/>
            <w:r w:rsidRPr="00083D55">
              <w:rPr>
                <w:bCs/>
                <w:color w:val="000000"/>
                <w:lang w:val="lt-LT"/>
              </w:rPr>
              <w:t>biometano</w:t>
            </w:r>
            <w:proofErr w:type="spellEnd"/>
            <w:r w:rsidRPr="00083D55">
              <w:rPr>
                <w:bCs/>
                <w:color w:val="000000"/>
                <w:lang w:val="lt-LT"/>
              </w:rPr>
              <w:t xml:space="preserve"> gamybos ir P2G) įrenginių vietose, taip pat </w:t>
            </w:r>
            <w:r w:rsidR="00075E70">
              <w:rPr>
                <w:bCs/>
                <w:color w:val="000000"/>
                <w:lang w:val="lt-LT"/>
              </w:rPr>
              <w:t>numatyta galimybė</w:t>
            </w:r>
            <w:r w:rsidRPr="00083D55">
              <w:rPr>
                <w:bCs/>
                <w:color w:val="000000"/>
                <w:lang w:val="lt-LT"/>
              </w:rPr>
              <w:t xml:space="preserve"> taikyti ilgesnius balansavimo laikotarpius srautams iš šių įrenginių.</w:t>
            </w:r>
          </w:p>
          <w:p w14:paraId="61C90944" w14:textId="77777777" w:rsidR="00A9461A" w:rsidRPr="00A9461A" w:rsidRDefault="00083D55" w:rsidP="00A9461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lt-LT" w:eastAsia="lt-LT"/>
              </w:rPr>
            </w:pPr>
            <w:r w:rsidRPr="00083D55">
              <w:rPr>
                <w:bCs/>
                <w:color w:val="000000"/>
                <w:lang w:val="lt-LT"/>
              </w:rPr>
              <w:t xml:space="preserve">Europos mastu suderintų atsinaujinančių dujų kilmės garantijų (ir tvarumo sertifikavimo) sistema yra pagrindinis žingsnis siekiant ES klimato ir </w:t>
            </w:r>
            <w:proofErr w:type="spellStart"/>
            <w:r w:rsidRPr="00083D55">
              <w:rPr>
                <w:bCs/>
                <w:color w:val="000000"/>
                <w:lang w:val="lt-LT"/>
              </w:rPr>
              <w:t>dekarbonizacijos</w:t>
            </w:r>
            <w:proofErr w:type="spellEnd"/>
            <w:r w:rsidRPr="00083D55">
              <w:rPr>
                <w:bCs/>
                <w:color w:val="000000"/>
                <w:lang w:val="lt-LT"/>
              </w:rPr>
              <w:t xml:space="preserve"> tikslų. Ši sistema turėtų leisti </w:t>
            </w:r>
            <w:r w:rsidR="00EA6351">
              <w:rPr>
                <w:bCs/>
                <w:color w:val="000000"/>
                <w:lang w:val="lt-LT"/>
              </w:rPr>
              <w:t xml:space="preserve">ES </w:t>
            </w:r>
            <w:r w:rsidRPr="00083D55">
              <w:rPr>
                <w:bCs/>
                <w:color w:val="000000"/>
                <w:lang w:val="lt-LT"/>
              </w:rPr>
              <w:t xml:space="preserve">valstybėms narėms perduoti </w:t>
            </w:r>
            <w:r w:rsidR="00EC693A">
              <w:rPr>
                <w:bCs/>
                <w:color w:val="000000"/>
                <w:lang w:val="lt-LT"/>
              </w:rPr>
              <w:t>kilmės garantijas</w:t>
            </w:r>
            <w:r w:rsidRPr="00083D55">
              <w:rPr>
                <w:bCs/>
                <w:color w:val="000000"/>
                <w:lang w:val="lt-LT"/>
              </w:rPr>
              <w:t xml:space="preserve"> nepriklausomai nuo fizinės energijos, o tai galėtų sumažinti rinkos dalyvių administracines išlaidas, palengvinti prekybą atsinaujinančiomis dujomis ir veiksmingai </w:t>
            </w:r>
            <w:proofErr w:type="spellStart"/>
            <w:r w:rsidRPr="00083D55">
              <w:rPr>
                <w:bCs/>
                <w:color w:val="000000"/>
                <w:lang w:val="lt-LT"/>
              </w:rPr>
              <w:t>dekarbonizuoti</w:t>
            </w:r>
            <w:proofErr w:type="spellEnd"/>
            <w:r w:rsidRPr="00083D55">
              <w:rPr>
                <w:bCs/>
                <w:color w:val="000000"/>
                <w:lang w:val="lt-LT"/>
              </w:rPr>
              <w:t xml:space="preserve"> dujų sektorių</w:t>
            </w:r>
            <w:r w:rsidR="001451F9">
              <w:rPr>
                <w:bCs/>
                <w:color w:val="000000"/>
                <w:lang w:val="lt-LT"/>
              </w:rPr>
              <w:t xml:space="preserve">. </w:t>
            </w:r>
            <w:r w:rsidR="00A9461A" w:rsidRPr="00A9461A">
              <w:rPr>
                <w:rFonts w:eastAsia="Times New Roman"/>
                <w:bdr w:val="none" w:sz="0" w:space="0" w:color="auto"/>
                <w:lang w:val="lt-LT" w:eastAsia="lt-LT"/>
              </w:rPr>
              <w:t>Stabilios gamtinių dujų sudėties ir kokybės klausimas Lietuvai išlieka labai svarbus siekiant didesnio esamos Lietuvos gamtinių dujų infrastruktūros išnaudojimo įmaišant žaliąjį vandenilį. </w:t>
            </w:r>
          </w:p>
          <w:p w14:paraId="74FABCA4" w14:textId="78756232" w:rsidR="003723A5" w:rsidRDefault="003723A5" w:rsidP="00083D55">
            <w:pPr>
              <w:jc w:val="both"/>
              <w:rPr>
                <w:bCs/>
                <w:color w:val="000000"/>
                <w:lang w:val="lt-LT"/>
              </w:rPr>
            </w:pPr>
          </w:p>
          <w:p w14:paraId="576F3DDE" w14:textId="77777777" w:rsidR="003723A5" w:rsidRPr="003723A5" w:rsidRDefault="003723A5" w:rsidP="003723A5">
            <w:pPr>
              <w:jc w:val="both"/>
              <w:rPr>
                <w:bCs/>
                <w:color w:val="000000"/>
                <w:lang w:val="lt-LT"/>
              </w:rPr>
            </w:pPr>
            <w:r w:rsidRPr="00CC0B0E">
              <w:rPr>
                <w:bCs/>
                <w:color w:val="000000"/>
                <w:u w:val="single"/>
                <w:lang w:val="lt-LT"/>
              </w:rPr>
              <w:t>2 klausimas:</w:t>
            </w:r>
            <w:r>
              <w:rPr>
                <w:bCs/>
                <w:color w:val="000000"/>
                <w:lang w:val="lt-LT"/>
              </w:rPr>
              <w:t xml:space="preserve"> </w:t>
            </w:r>
            <w:r w:rsidRPr="00B1257C">
              <w:rPr>
                <w:bCs/>
                <w:color w:val="000000"/>
                <w:lang w:val="lt-LT"/>
              </w:rPr>
              <w:t>Matome 3 finansavimo prioritetus:</w:t>
            </w:r>
          </w:p>
          <w:p w14:paraId="1D7AAF29" w14:textId="71093104" w:rsidR="003723A5" w:rsidRPr="003723A5" w:rsidRDefault="003723A5" w:rsidP="003723A5">
            <w:pPr>
              <w:pStyle w:val="ListParagraph"/>
              <w:numPr>
                <w:ilvl w:val="0"/>
                <w:numId w:val="9"/>
              </w:numPr>
              <w:jc w:val="both"/>
              <w:rPr>
                <w:bCs/>
                <w:color w:val="000000"/>
                <w:lang w:val="lt-LT"/>
              </w:rPr>
            </w:pPr>
            <w:r w:rsidRPr="00E2748C">
              <w:rPr>
                <w:bCs/>
                <w:i/>
                <w:iCs/>
                <w:color w:val="000000"/>
                <w:lang w:val="lt-LT"/>
              </w:rPr>
              <w:t>Pilotiniai projektai siekiant panaudoti esamą gamtinių dujų transportavimo infrastruktūrą vandeniliui:</w:t>
            </w:r>
            <w:r w:rsidRPr="003723A5">
              <w:rPr>
                <w:bCs/>
                <w:color w:val="000000"/>
                <w:lang w:val="lt-LT"/>
              </w:rPr>
              <w:t xml:space="preserve"> prioritetas bus teikiamas „žaliojo“ vandenilio gamybai ir perdavimui į gamtinių dujų tinklus, t. y. siekiant praktiškai išbandyti pagaminto „žaliojo“ vandenilio maišymą ir perdavimą į esamą dujų infrastruktūrą, ištirti tokio mišinio poveikį galutiniam vartotojui, praktiškai patikrinti prielaidas, kokios vandenilio ir gamtinių dujų mišinio proporcijos yra saugios, kokios egzistuoja ribos prie esamų dujų srautų. Visi šio mechanizmo praktiniai rezultatai bus vertinami ir moksliniu požiūriu, įgyjant praktikoje patikrintas kompetencijas.</w:t>
            </w:r>
          </w:p>
          <w:p w14:paraId="09D9E709" w14:textId="23CB9477" w:rsidR="003723A5" w:rsidRPr="009B2E35" w:rsidRDefault="003723A5" w:rsidP="009B2E35">
            <w:pPr>
              <w:pStyle w:val="ListParagraph"/>
              <w:numPr>
                <w:ilvl w:val="0"/>
                <w:numId w:val="9"/>
              </w:numPr>
              <w:jc w:val="both"/>
              <w:rPr>
                <w:bCs/>
                <w:color w:val="000000"/>
                <w:lang w:val="lt-LT"/>
              </w:rPr>
            </w:pPr>
            <w:r w:rsidRPr="00E2748C">
              <w:rPr>
                <w:bCs/>
                <w:i/>
                <w:iCs/>
                <w:color w:val="000000"/>
                <w:lang w:val="lt-LT"/>
              </w:rPr>
              <w:t xml:space="preserve">„Žaliojo“ vandenilio naudojimas pramonėje: </w:t>
            </w:r>
            <w:r w:rsidRPr="009B2E35">
              <w:rPr>
                <w:bCs/>
                <w:color w:val="000000"/>
                <w:lang w:val="lt-LT"/>
              </w:rPr>
              <w:t>šiuo metu vandenilį gaminti iš iškastinių išteklių – konkrečiai gamtinių dujų – vis dar pigiau nei iš atsinaujinančių energijos išteklių (AEI). Todėl pramonė, kuri naudoja vandenilį kaip gamybos produktą – ypač stambios naftos perdirbimo ir trąšų gamybos bendrovės – renkasi pigesnį vandenilio gamybos kelią. Tačiau pramonė yra susidomėjusi perėjimu prie vandenilio gamybos iš AEI. Todėl dedikuota finansinė parama pilotiniams vandenilio gamybos iš AEI projektams būtina, kad daugiau kompanijų imtų eksperimentuoti su inovatyviais vandenilio gamybos ir panaudojimo sprendimais, tokiu būdu palaipsniui mažinant „žaliojo“ vandenilio gamybos kainą (bei artinant ją prie vandenilio gamybos iš gamtinių dujų).</w:t>
            </w:r>
          </w:p>
          <w:p w14:paraId="7B64F845" w14:textId="21131005" w:rsidR="003723A5" w:rsidRPr="009B2E35" w:rsidRDefault="003723A5" w:rsidP="009B2E35">
            <w:pPr>
              <w:pStyle w:val="ListParagraph"/>
              <w:numPr>
                <w:ilvl w:val="0"/>
                <w:numId w:val="9"/>
              </w:numPr>
              <w:jc w:val="both"/>
              <w:rPr>
                <w:bCs/>
                <w:color w:val="000000"/>
                <w:lang w:val="lt-LT"/>
              </w:rPr>
            </w:pPr>
            <w:r w:rsidRPr="00B26DCB">
              <w:rPr>
                <w:bCs/>
                <w:i/>
                <w:iCs/>
                <w:color w:val="000000"/>
                <w:lang w:val="lt-LT"/>
              </w:rPr>
              <w:t>Vandenilis kaip alternatyvus kuras transporte:</w:t>
            </w:r>
            <w:r w:rsidRPr="009B2E35">
              <w:rPr>
                <w:bCs/>
                <w:color w:val="000000"/>
                <w:lang w:val="lt-LT"/>
              </w:rPr>
              <w:t xml:space="preserve"> skatinant vandenilio gamybą, būtina investuoti ir į jo panaudojimo infrastruktūrą; be pramonės, kita esminė sritis vandeniliui panaudoti yra transportas, kur vandenilis yra vienas iš alternatyviųjų degalų. </w:t>
            </w:r>
            <w:r w:rsidR="001656B3">
              <w:rPr>
                <w:bCs/>
                <w:color w:val="000000"/>
                <w:lang w:val="lt-LT"/>
              </w:rPr>
              <w:t>Tam, kad</w:t>
            </w:r>
            <w:r w:rsidRPr="009B2E35">
              <w:rPr>
                <w:bCs/>
                <w:color w:val="000000"/>
                <w:lang w:val="lt-LT"/>
              </w:rPr>
              <w:t xml:space="preserve"> infrastruktūra būtų naudojama, rei</w:t>
            </w:r>
            <w:r w:rsidR="001656B3">
              <w:rPr>
                <w:bCs/>
                <w:color w:val="000000"/>
                <w:lang w:val="lt-LT"/>
              </w:rPr>
              <w:t>kia</w:t>
            </w:r>
            <w:r w:rsidRPr="009B2E35">
              <w:rPr>
                <w:bCs/>
                <w:color w:val="000000"/>
                <w:lang w:val="lt-LT"/>
              </w:rPr>
              <w:t xml:space="preserve"> skatinti ir pačių vandeniliu varomų transporto priemonių įsigijimą. Pvz., Lietuvos </w:t>
            </w:r>
            <w:r w:rsidRPr="00EA6351">
              <w:rPr>
                <w:bCs/>
                <w:color w:val="000000"/>
                <w:lang w:val="lt-LT"/>
              </w:rPr>
              <w:t>RRF</w:t>
            </w:r>
            <w:r w:rsidRPr="009B2E35">
              <w:rPr>
                <w:bCs/>
                <w:color w:val="000000"/>
                <w:lang w:val="lt-LT"/>
              </w:rPr>
              <w:t xml:space="preserve"> projekte ketinama remti 23 500 transporto priemonių, varomų elektra, vandeniliu arba biodujomis, įsigijimą; taip pat numatyta įrengti 30 viešųjų </w:t>
            </w:r>
            <w:proofErr w:type="spellStart"/>
            <w:r w:rsidRPr="009B2E35">
              <w:rPr>
                <w:bCs/>
                <w:color w:val="000000"/>
                <w:lang w:val="lt-LT"/>
              </w:rPr>
              <w:t>biometano</w:t>
            </w:r>
            <w:proofErr w:type="spellEnd"/>
            <w:r w:rsidRPr="009B2E35">
              <w:rPr>
                <w:bCs/>
                <w:color w:val="000000"/>
                <w:lang w:val="lt-LT"/>
              </w:rPr>
              <w:t xml:space="preserve"> ir 4 vandenilio papildymo stotelės.</w:t>
            </w:r>
          </w:p>
          <w:p w14:paraId="6B955E1C" w14:textId="77777777" w:rsidR="003723A5" w:rsidRPr="003723A5" w:rsidRDefault="003723A5" w:rsidP="003723A5">
            <w:pPr>
              <w:jc w:val="both"/>
              <w:rPr>
                <w:bCs/>
                <w:color w:val="000000"/>
                <w:lang w:val="lt-LT"/>
              </w:rPr>
            </w:pPr>
          </w:p>
          <w:p w14:paraId="2642B08C" w14:textId="00C2B79D" w:rsidR="009E5444" w:rsidRPr="005E4F95" w:rsidRDefault="003723A5" w:rsidP="00097812">
            <w:pPr>
              <w:jc w:val="both"/>
              <w:rPr>
                <w:b/>
                <w:color w:val="000000"/>
                <w:lang w:val="lt-LT"/>
              </w:rPr>
            </w:pPr>
            <w:r w:rsidRPr="003723A5">
              <w:rPr>
                <w:bCs/>
                <w:color w:val="000000"/>
                <w:lang w:val="lt-LT"/>
              </w:rPr>
              <w:t xml:space="preserve">Kalbant apie vandenilio eksportą iš ES, labai pritariame, kad Europinė vandenilio vertės grandinė turėtų būti viena iš esminių. Pasiekus žemyno </w:t>
            </w:r>
            <w:r w:rsidR="00ED5BA7">
              <w:rPr>
                <w:bCs/>
                <w:color w:val="000000"/>
                <w:lang w:val="lt-LT"/>
              </w:rPr>
              <w:t>lyderystę</w:t>
            </w:r>
            <w:r w:rsidRPr="003723A5">
              <w:rPr>
                <w:bCs/>
                <w:color w:val="000000"/>
                <w:lang w:val="lt-LT"/>
              </w:rPr>
              <w:t xml:space="preserve"> </w:t>
            </w:r>
            <w:r w:rsidR="00ED5BA7">
              <w:rPr>
                <w:bCs/>
                <w:color w:val="000000"/>
                <w:lang w:val="lt-LT"/>
              </w:rPr>
              <w:t>tiek vandenilio tyrimuose</w:t>
            </w:r>
            <w:r w:rsidRPr="003723A5">
              <w:rPr>
                <w:bCs/>
                <w:color w:val="000000"/>
                <w:lang w:val="lt-LT"/>
              </w:rPr>
              <w:t xml:space="preserve">, </w:t>
            </w:r>
            <w:r w:rsidR="00ED5BA7">
              <w:rPr>
                <w:bCs/>
                <w:color w:val="000000"/>
                <w:lang w:val="lt-LT"/>
              </w:rPr>
              <w:t xml:space="preserve">tiek </w:t>
            </w:r>
            <w:r w:rsidRPr="003723A5">
              <w:rPr>
                <w:bCs/>
                <w:color w:val="000000"/>
                <w:lang w:val="lt-LT"/>
              </w:rPr>
              <w:t>pilotini</w:t>
            </w:r>
            <w:r w:rsidR="00ED5BA7">
              <w:rPr>
                <w:bCs/>
                <w:color w:val="000000"/>
                <w:lang w:val="lt-LT"/>
              </w:rPr>
              <w:t>uose</w:t>
            </w:r>
            <w:r w:rsidRPr="003723A5">
              <w:rPr>
                <w:bCs/>
                <w:color w:val="000000"/>
                <w:lang w:val="lt-LT"/>
              </w:rPr>
              <w:t xml:space="preserve"> projekt</w:t>
            </w:r>
            <w:r w:rsidR="00ED5BA7">
              <w:rPr>
                <w:bCs/>
                <w:color w:val="000000"/>
                <w:lang w:val="lt-LT"/>
              </w:rPr>
              <w:t>uose</w:t>
            </w:r>
            <w:r w:rsidRPr="003723A5">
              <w:rPr>
                <w:bCs/>
                <w:color w:val="000000"/>
                <w:lang w:val="lt-LT"/>
              </w:rPr>
              <w:t xml:space="preserve"> </w:t>
            </w:r>
            <w:r w:rsidR="00ED5BA7">
              <w:rPr>
                <w:bCs/>
                <w:color w:val="000000"/>
                <w:lang w:val="lt-LT"/>
              </w:rPr>
              <w:t>ir gamybos apimtyse</w:t>
            </w:r>
            <w:r w:rsidRPr="003723A5">
              <w:rPr>
                <w:bCs/>
                <w:color w:val="000000"/>
                <w:lang w:val="lt-LT"/>
              </w:rPr>
              <w:t>, Europa neabejotinai galėtų vandenilio gamybos perviršį eksportuoti. Todėl palaikome ir dalyvaujame šiuo metu formuojamame vandenilio</w:t>
            </w:r>
            <w:r w:rsidR="00097812" w:rsidRPr="003723A5">
              <w:rPr>
                <w:bCs/>
                <w:color w:val="000000"/>
                <w:lang w:val="lt-LT"/>
              </w:rPr>
              <w:t xml:space="preserve"> </w:t>
            </w:r>
            <w:r w:rsidR="00097812">
              <w:rPr>
                <w:bCs/>
                <w:color w:val="000000"/>
                <w:lang w:val="lt-LT"/>
              </w:rPr>
              <w:t>„Svarbiame b</w:t>
            </w:r>
            <w:r w:rsidR="00097812" w:rsidRPr="003723A5">
              <w:rPr>
                <w:bCs/>
                <w:color w:val="000000"/>
                <w:lang w:val="lt-LT"/>
              </w:rPr>
              <w:t>endro europinio intereso projekte“</w:t>
            </w:r>
            <w:r w:rsidRPr="003723A5">
              <w:rPr>
                <w:bCs/>
                <w:color w:val="000000"/>
                <w:lang w:val="lt-LT"/>
              </w:rPr>
              <w:t xml:space="preserve"> </w:t>
            </w:r>
            <w:r w:rsidR="00097812">
              <w:rPr>
                <w:bCs/>
                <w:color w:val="000000"/>
                <w:lang w:val="lt-LT"/>
              </w:rPr>
              <w:t xml:space="preserve">(angl. </w:t>
            </w:r>
            <w:r w:rsidR="00EA6351" w:rsidRPr="00EA6351">
              <w:rPr>
                <w:bCs/>
                <w:color w:val="000000"/>
              </w:rPr>
              <w:t>Important Project of Common European Interest</w:t>
            </w:r>
            <w:r w:rsidR="00097812">
              <w:rPr>
                <w:bCs/>
                <w:color w:val="000000"/>
              </w:rPr>
              <w:t>,</w:t>
            </w:r>
            <w:r w:rsidR="00EA6351" w:rsidRPr="00EA6351">
              <w:rPr>
                <w:bCs/>
                <w:color w:val="000000"/>
                <w:lang w:val="lt-LT"/>
              </w:rPr>
              <w:t xml:space="preserve"> </w:t>
            </w:r>
            <w:r w:rsidRPr="003723A5">
              <w:rPr>
                <w:bCs/>
                <w:color w:val="000000"/>
                <w:lang w:val="lt-LT"/>
              </w:rPr>
              <w:t>IPCEI</w:t>
            </w:r>
            <w:r w:rsidR="00097812">
              <w:rPr>
                <w:bCs/>
                <w:color w:val="000000"/>
                <w:lang w:val="lt-LT"/>
              </w:rPr>
              <w:t>).</w:t>
            </w:r>
          </w:p>
        </w:tc>
      </w:tr>
    </w:tbl>
    <w:p w14:paraId="0EC08089" w14:textId="77777777" w:rsidR="009E5444" w:rsidRPr="00717595" w:rsidRDefault="009E5444" w:rsidP="009E5444">
      <w:pPr>
        <w:rPr>
          <w:lang w:val="lt-LT"/>
        </w:rPr>
      </w:pPr>
    </w:p>
    <w:tbl>
      <w:tblPr>
        <w:tblStyle w:val="TableGrid"/>
        <w:tblW w:w="0" w:type="auto"/>
        <w:tblInd w:w="-431" w:type="dxa"/>
        <w:tblLook w:val="04A0" w:firstRow="1" w:lastRow="0" w:firstColumn="1" w:lastColumn="0" w:noHBand="0" w:noVBand="1"/>
      </w:tblPr>
      <w:tblGrid>
        <w:gridCol w:w="9924"/>
      </w:tblGrid>
      <w:tr w:rsidR="00717595" w:rsidRPr="00717595" w14:paraId="4C8AE3E6" w14:textId="77777777" w:rsidTr="00F60176">
        <w:tc>
          <w:tcPr>
            <w:tcW w:w="9924" w:type="dxa"/>
          </w:tcPr>
          <w:p w14:paraId="6F1D124C" w14:textId="46384F17" w:rsidR="00717595" w:rsidRDefault="00717595">
            <w:pPr>
              <w:pBdr>
                <w:top w:val="none" w:sz="0" w:space="0" w:color="auto"/>
                <w:left w:val="none" w:sz="0" w:space="0" w:color="auto"/>
                <w:bottom w:val="none" w:sz="0" w:space="0" w:color="auto"/>
                <w:right w:val="none" w:sz="0" w:space="0" w:color="auto"/>
                <w:between w:val="none" w:sz="0" w:space="0" w:color="auto"/>
                <w:bar w:val="none" w:sz="0" w:color="auto"/>
              </w:pBdr>
              <w:rPr>
                <w:b/>
                <w:bCs/>
                <w:lang w:val="lt-LT"/>
              </w:rPr>
            </w:pPr>
            <w:r w:rsidRPr="00717595">
              <w:rPr>
                <w:b/>
                <w:bCs/>
                <w:lang w:val="lt-LT"/>
              </w:rPr>
              <w:t>Kiti klausimai</w:t>
            </w:r>
          </w:p>
          <w:p w14:paraId="793EFF7E" w14:textId="77777777" w:rsidR="00F60176" w:rsidRPr="00717595" w:rsidRDefault="00F60176">
            <w:pPr>
              <w:pBdr>
                <w:top w:val="none" w:sz="0" w:space="0" w:color="auto"/>
                <w:left w:val="none" w:sz="0" w:space="0" w:color="auto"/>
                <w:bottom w:val="none" w:sz="0" w:space="0" w:color="auto"/>
                <w:right w:val="none" w:sz="0" w:space="0" w:color="auto"/>
                <w:between w:val="none" w:sz="0" w:space="0" w:color="auto"/>
                <w:bar w:val="none" w:sz="0" w:color="auto"/>
              </w:pBdr>
              <w:rPr>
                <w:b/>
                <w:bCs/>
                <w:lang w:val="lt-LT"/>
              </w:rPr>
            </w:pPr>
          </w:p>
          <w:p w14:paraId="4DB89E2A" w14:textId="40CC7503" w:rsidR="00717595" w:rsidRPr="00B1257C" w:rsidRDefault="00B1257C" w:rsidP="00B1257C">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rPr>
                <w:caps/>
                <w:u w:val="single"/>
                <w:lang w:val="lt-LT"/>
              </w:rPr>
            </w:pPr>
            <w:r w:rsidRPr="00B1257C">
              <w:rPr>
                <w:lang w:val="lt-LT"/>
              </w:rPr>
              <w:t xml:space="preserve">pastarojo </w:t>
            </w:r>
            <w:r w:rsidR="00717595" w:rsidRPr="00B1257C">
              <w:rPr>
                <w:lang w:val="lt-LT"/>
              </w:rPr>
              <w:t xml:space="preserve">meto išorės santykių energetikos srityje eiga -  </w:t>
            </w:r>
            <w:r w:rsidR="00717595" w:rsidRPr="00B1257C">
              <w:rPr>
                <w:i/>
                <w:iCs/>
                <w:lang w:val="lt-LT"/>
              </w:rPr>
              <w:t>Komisijos informacija</w:t>
            </w:r>
            <w:r w:rsidR="00717595" w:rsidRPr="00B1257C">
              <w:rPr>
                <w:lang w:val="lt-LT"/>
              </w:rPr>
              <w:t xml:space="preserve"> </w:t>
            </w:r>
          </w:p>
          <w:p w14:paraId="6E4C2A39" w14:textId="7A1244C9" w:rsidR="00717595" w:rsidRPr="00717595" w:rsidRDefault="00717595" w:rsidP="00717595">
            <w:pPr>
              <w:rPr>
                <w:lang w:val="lt-LT"/>
              </w:rPr>
            </w:pPr>
            <w:r w:rsidRPr="00717595">
              <w:rPr>
                <w:lang w:val="lt-LT"/>
              </w:rPr>
              <w:t xml:space="preserve">Europos Komisija pristatys pastarojo laikotarpio poslinkius ES išorės Energetikos santykių srityje (dokumentas </w:t>
            </w:r>
            <w:r w:rsidR="00EC1C64">
              <w:rPr>
                <w:lang w:val="lt-LT"/>
              </w:rPr>
              <w:t xml:space="preserve">dar </w:t>
            </w:r>
            <w:r w:rsidRPr="00717595">
              <w:rPr>
                <w:lang w:val="lt-LT"/>
              </w:rPr>
              <w:t xml:space="preserve">neišplatintas). </w:t>
            </w:r>
          </w:p>
          <w:p w14:paraId="4FC5AC7A" w14:textId="5A6629C3" w:rsidR="00717595" w:rsidRDefault="00717595" w:rsidP="00EC1C64">
            <w:pPr>
              <w:rPr>
                <w:i/>
                <w:iCs/>
                <w:lang w:val="lt-LT"/>
              </w:rPr>
            </w:pPr>
            <w:r w:rsidRPr="00717595">
              <w:rPr>
                <w:b/>
                <w:bCs/>
                <w:lang w:val="lt-LT"/>
              </w:rPr>
              <w:t>Lietuvos pozicija:</w:t>
            </w:r>
            <w:r w:rsidRPr="00717595">
              <w:rPr>
                <w:lang w:val="lt-LT"/>
              </w:rPr>
              <w:t xml:space="preserve"> </w:t>
            </w:r>
            <w:r w:rsidRPr="00717595">
              <w:rPr>
                <w:i/>
                <w:iCs/>
                <w:lang w:val="lt-LT"/>
              </w:rPr>
              <w:t>Išklausyti informaciją</w:t>
            </w:r>
          </w:p>
          <w:p w14:paraId="1C5D0E89" w14:textId="77777777" w:rsidR="00EC1C64" w:rsidRPr="00717595" w:rsidRDefault="00EC1C64" w:rsidP="00EC1C64">
            <w:pPr>
              <w:rPr>
                <w:lang w:val="lt-LT"/>
              </w:rPr>
            </w:pPr>
          </w:p>
          <w:p w14:paraId="02C4CC6B" w14:textId="369C5C6F" w:rsidR="00717595" w:rsidRPr="00F60176" w:rsidRDefault="00717595" w:rsidP="00B1257C">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rPr>
                <w:caps/>
                <w:u w:val="single"/>
                <w:lang w:val="lt-LT"/>
              </w:rPr>
            </w:pPr>
            <w:r w:rsidRPr="00B1257C">
              <w:rPr>
                <w:lang w:val="lt-LT"/>
              </w:rPr>
              <w:lastRenderedPageBreak/>
              <w:t xml:space="preserve">Raginimas imtis skubių veiksmų siekiant užtikrinti, kad Baltarusijos atominėje elektrinėje būtų visapusiškai įgyvendintos branduolinės saugos rekomendacijos ir užtikrinant 2020 m. gruodžio mėn. Europos Vadovų tarybos išvadų įgyvendinimą - </w:t>
            </w:r>
            <w:r w:rsidRPr="00B1257C">
              <w:rPr>
                <w:b/>
                <w:bCs/>
                <w:i/>
                <w:iCs/>
                <w:lang w:val="lt-LT"/>
              </w:rPr>
              <w:t>Lietuvos delegacijos informacija</w:t>
            </w:r>
            <w:r w:rsidRPr="00B1257C">
              <w:rPr>
                <w:lang w:val="lt-LT"/>
              </w:rPr>
              <w:t xml:space="preserve"> </w:t>
            </w:r>
          </w:p>
          <w:p w14:paraId="2792CFBD" w14:textId="77777777" w:rsidR="00F60176" w:rsidRPr="00B1257C" w:rsidRDefault="00F60176" w:rsidP="00F60176">
            <w:pPr>
              <w:pStyle w:val="ListParagraph"/>
              <w:pBdr>
                <w:top w:val="none" w:sz="0" w:space="0" w:color="auto"/>
                <w:left w:val="none" w:sz="0" w:space="0" w:color="auto"/>
                <w:bottom w:val="none" w:sz="0" w:space="0" w:color="auto"/>
                <w:right w:val="none" w:sz="0" w:space="0" w:color="auto"/>
                <w:between w:val="none" w:sz="0" w:space="0" w:color="auto"/>
                <w:bar w:val="none" w:sz="0" w:color="auto"/>
              </w:pBdr>
              <w:rPr>
                <w:caps/>
                <w:u w:val="single"/>
                <w:lang w:val="lt-LT"/>
              </w:rPr>
            </w:pPr>
          </w:p>
          <w:p w14:paraId="65336D41" w14:textId="60E24979" w:rsidR="00717595" w:rsidRDefault="00EC1C64">
            <w:pPr>
              <w:jc w:val="both"/>
              <w:rPr>
                <w:lang w:val="lt-LT"/>
              </w:rPr>
            </w:pPr>
            <w:r w:rsidRPr="00717595">
              <w:rPr>
                <w:b/>
                <w:bCs/>
                <w:lang w:val="lt-LT"/>
              </w:rPr>
              <w:t>Lietuvos pozicija</w:t>
            </w:r>
            <w:r>
              <w:rPr>
                <w:b/>
                <w:bCs/>
                <w:lang w:val="lt-LT"/>
              </w:rPr>
              <w:t>:</w:t>
            </w:r>
            <w:r w:rsidRPr="00717595">
              <w:rPr>
                <w:lang w:val="lt-LT"/>
              </w:rPr>
              <w:t xml:space="preserve"> </w:t>
            </w:r>
            <w:r w:rsidR="00097812" w:rsidRPr="00E86000">
              <w:rPr>
                <w:lang w:val="lt-LT"/>
              </w:rPr>
              <w:t xml:space="preserve">Lietuva </w:t>
            </w:r>
            <w:r w:rsidR="00E86000" w:rsidRPr="00E86000">
              <w:rPr>
                <w:lang w:val="lt-LT"/>
              </w:rPr>
              <w:t>ragins</w:t>
            </w:r>
            <w:r w:rsidR="00097812" w:rsidRPr="00E86000">
              <w:rPr>
                <w:lang w:val="lt-LT"/>
              </w:rPr>
              <w:t xml:space="preserve"> Europos Komisiją imtis neatidėliotinų veiksmų tam, kad būtų įgyvendintos 2020 m. gruodžio mėn. Europos Vadovų Tarybos (EVT) išvados, kuriose </w:t>
            </w:r>
            <w:r w:rsidR="00097812" w:rsidRPr="00B1257C">
              <w:rPr>
                <w:lang w:val="lt-LT"/>
              </w:rPr>
              <w:t xml:space="preserve">EVT pabrėžė, kad svarbu užtikrinti Baltarusijos Astravo atominės elektrinės branduolinę saugą ir prašė Komisijos išnagrinėti galimas priemones, kuriomis būtų užkirstas kelias komerciniam elektros importui iš trečiųjų valstybių branduolinės energetikos objektų, neatitinkančių ES pripažįstamo saugos lygio. </w:t>
            </w:r>
            <w:r w:rsidR="00717595" w:rsidRPr="00E86000">
              <w:rPr>
                <w:lang w:val="lt-LT"/>
              </w:rPr>
              <w:t xml:space="preserve">Lietuva </w:t>
            </w:r>
            <w:r w:rsidR="00E86000" w:rsidRPr="00E86000">
              <w:rPr>
                <w:lang w:val="lt-LT"/>
              </w:rPr>
              <w:t>kvies Komisiją ieškoti priemonių, siekiant spręsti elektros perviršio Baltarusijoje klausimą</w:t>
            </w:r>
            <w:r w:rsidR="00E86000">
              <w:rPr>
                <w:lang w:val="lt-LT"/>
              </w:rPr>
              <w:t>, pradėjus veikti Astravo atominei elektrinei,</w:t>
            </w:r>
            <w:r w:rsidR="00E86000" w:rsidRPr="00E86000">
              <w:rPr>
                <w:lang w:val="lt-LT"/>
              </w:rPr>
              <w:t xml:space="preserve"> ir jo poveikį ES energijos gamintojų konkurencingumui </w:t>
            </w:r>
            <w:r w:rsidR="00E86000">
              <w:rPr>
                <w:lang w:val="lt-LT"/>
              </w:rPr>
              <w:t>ir ES klimato ir energetikos tikslams. Taip pat kvies spręsti</w:t>
            </w:r>
            <w:r w:rsidR="00717595" w:rsidRPr="00E86000">
              <w:rPr>
                <w:lang w:val="lt-LT"/>
              </w:rPr>
              <w:t xml:space="preserve"> </w:t>
            </w:r>
            <w:r w:rsidR="00086883" w:rsidRPr="00E86000">
              <w:rPr>
                <w:lang w:val="lt-LT"/>
              </w:rPr>
              <w:t>išliekančias problemas</w:t>
            </w:r>
            <w:r w:rsidR="00717595" w:rsidRPr="00E86000">
              <w:rPr>
                <w:lang w:val="lt-LT"/>
              </w:rPr>
              <w:t xml:space="preserve"> </w:t>
            </w:r>
            <w:r w:rsidRPr="00E86000">
              <w:rPr>
                <w:lang w:val="lt-LT"/>
              </w:rPr>
              <w:t xml:space="preserve">dėl </w:t>
            </w:r>
            <w:r w:rsidR="00097812" w:rsidRPr="00E86000">
              <w:rPr>
                <w:lang w:val="lt-LT"/>
              </w:rPr>
              <w:t>neišspręstų branduolinės</w:t>
            </w:r>
            <w:r w:rsidR="00717595" w:rsidRPr="00E86000">
              <w:rPr>
                <w:lang w:val="lt-LT"/>
              </w:rPr>
              <w:t xml:space="preserve"> saugos </w:t>
            </w:r>
            <w:r w:rsidR="00E86000">
              <w:rPr>
                <w:lang w:val="lt-LT"/>
              </w:rPr>
              <w:t>klausimų</w:t>
            </w:r>
            <w:r w:rsidR="00E86000" w:rsidRPr="00E86000">
              <w:rPr>
                <w:lang w:val="lt-LT"/>
              </w:rPr>
              <w:t xml:space="preserve"> ir</w:t>
            </w:r>
            <w:r w:rsidR="00717595" w:rsidRPr="00E86000">
              <w:rPr>
                <w:lang w:val="lt-LT"/>
              </w:rPr>
              <w:t xml:space="preserve"> </w:t>
            </w:r>
            <w:r w:rsidR="00097812" w:rsidRPr="00E86000">
              <w:rPr>
                <w:lang w:val="lt-LT"/>
              </w:rPr>
              <w:t xml:space="preserve">visų </w:t>
            </w:r>
            <w:r w:rsidR="00717595" w:rsidRPr="00E86000">
              <w:rPr>
                <w:lang w:val="lt-LT"/>
              </w:rPr>
              <w:t>streso testo rekomendacijų</w:t>
            </w:r>
            <w:r w:rsidR="00097812" w:rsidRPr="00E86000">
              <w:rPr>
                <w:lang w:val="lt-LT"/>
              </w:rPr>
              <w:t xml:space="preserve"> įgyvendinimo</w:t>
            </w:r>
            <w:r w:rsidR="00717595" w:rsidRPr="00E86000">
              <w:rPr>
                <w:lang w:val="lt-LT"/>
              </w:rPr>
              <w:t>, vykdant Baltarusijos AE projek</w:t>
            </w:r>
            <w:r w:rsidR="00E86000" w:rsidRPr="00E86000">
              <w:rPr>
                <w:lang w:val="lt-LT"/>
              </w:rPr>
              <w:t>tą.</w:t>
            </w:r>
            <w:r w:rsidR="00717595" w:rsidRPr="00E86000">
              <w:rPr>
                <w:lang w:val="lt-LT"/>
              </w:rPr>
              <w:t xml:space="preserve"> </w:t>
            </w:r>
          </w:p>
          <w:p w14:paraId="64298211" w14:textId="77777777" w:rsidR="002D01A1" w:rsidRPr="00E86000" w:rsidRDefault="002D01A1">
            <w:pPr>
              <w:jc w:val="both"/>
              <w:rPr>
                <w:lang w:val="lt-LT"/>
              </w:rPr>
            </w:pPr>
          </w:p>
          <w:p w14:paraId="7D454DF1" w14:textId="77777777" w:rsidR="00717595" w:rsidRPr="00717595" w:rsidRDefault="00717595" w:rsidP="00B1257C">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contextualSpacing/>
              <w:rPr>
                <w:i/>
                <w:iCs/>
                <w:caps/>
                <w:u w:val="single"/>
                <w:lang w:val="lt-LT"/>
              </w:rPr>
            </w:pPr>
            <w:r w:rsidRPr="00717595">
              <w:rPr>
                <w:lang w:val="lt-LT"/>
              </w:rPr>
              <w:t xml:space="preserve">Pirmininkausiančios valstybės narės darbo programa - </w:t>
            </w:r>
            <w:r w:rsidRPr="00717595">
              <w:rPr>
                <w:i/>
                <w:iCs/>
                <w:lang w:val="lt-LT"/>
              </w:rPr>
              <w:t>Slovėnijos delegacijos informacija</w:t>
            </w:r>
          </w:p>
          <w:p w14:paraId="32DA21B1" w14:textId="68FE213E" w:rsidR="00717595" w:rsidRDefault="00EC1C64">
            <w:pPr>
              <w:pBdr>
                <w:top w:val="none" w:sz="0" w:space="0" w:color="auto"/>
                <w:left w:val="none" w:sz="0" w:space="0" w:color="auto"/>
                <w:bottom w:val="none" w:sz="0" w:space="0" w:color="auto"/>
                <w:right w:val="none" w:sz="0" w:space="0" w:color="auto"/>
                <w:between w:val="none" w:sz="0" w:space="0" w:color="auto"/>
                <w:bar w:val="none" w:sz="0" w:color="auto"/>
              </w:pBdr>
              <w:rPr>
                <w:lang w:val="lt-LT"/>
              </w:rPr>
            </w:pPr>
            <w:r>
              <w:rPr>
                <w:lang w:val="lt-LT"/>
              </w:rPr>
              <w:t xml:space="preserve">Slovėnijos delegacija pristatys 2021 m. II pusmečio </w:t>
            </w:r>
            <w:r w:rsidR="00B1257C">
              <w:rPr>
                <w:lang w:val="lt-LT"/>
              </w:rPr>
              <w:t>pirmininkavimo</w:t>
            </w:r>
            <w:r>
              <w:rPr>
                <w:lang w:val="lt-LT"/>
              </w:rPr>
              <w:t xml:space="preserve"> programą </w:t>
            </w:r>
            <w:r w:rsidRPr="00717595">
              <w:rPr>
                <w:lang w:val="lt-LT"/>
              </w:rPr>
              <w:t xml:space="preserve">(dokumentas </w:t>
            </w:r>
            <w:r>
              <w:rPr>
                <w:lang w:val="lt-LT"/>
              </w:rPr>
              <w:t xml:space="preserve">dar </w:t>
            </w:r>
            <w:r w:rsidRPr="00717595">
              <w:rPr>
                <w:lang w:val="lt-LT"/>
              </w:rPr>
              <w:t>neišplatintas).</w:t>
            </w:r>
          </w:p>
          <w:p w14:paraId="4DD7A485" w14:textId="77777777" w:rsidR="00717595" w:rsidRDefault="00EC1C64">
            <w:pPr>
              <w:pBdr>
                <w:top w:val="none" w:sz="0" w:space="0" w:color="auto"/>
                <w:left w:val="none" w:sz="0" w:space="0" w:color="auto"/>
                <w:bottom w:val="none" w:sz="0" w:space="0" w:color="auto"/>
                <w:right w:val="none" w:sz="0" w:space="0" w:color="auto"/>
                <w:between w:val="none" w:sz="0" w:space="0" w:color="auto"/>
                <w:bar w:val="none" w:sz="0" w:color="auto"/>
              </w:pBdr>
              <w:rPr>
                <w:i/>
                <w:iCs/>
                <w:lang w:val="lt-LT"/>
              </w:rPr>
            </w:pPr>
            <w:r w:rsidRPr="00717595">
              <w:rPr>
                <w:b/>
                <w:bCs/>
                <w:lang w:val="lt-LT"/>
              </w:rPr>
              <w:t>Lietuvos pozicija:</w:t>
            </w:r>
            <w:r w:rsidRPr="00717595">
              <w:rPr>
                <w:lang w:val="lt-LT"/>
              </w:rPr>
              <w:t xml:space="preserve"> </w:t>
            </w:r>
            <w:r w:rsidRPr="00717595">
              <w:rPr>
                <w:i/>
                <w:iCs/>
                <w:lang w:val="lt-LT"/>
              </w:rPr>
              <w:t>Išklausyti informaciją</w:t>
            </w:r>
          </w:p>
          <w:p w14:paraId="76E86580" w14:textId="328FB320" w:rsidR="00F60176" w:rsidRPr="00717595" w:rsidRDefault="00F60176">
            <w:pPr>
              <w:pBdr>
                <w:top w:val="none" w:sz="0" w:space="0" w:color="auto"/>
                <w:left w:val="none" w:sz="0" w:space="0" w:color="auto"/>
                <w:bottom w:val="none" w:sz="0" w:space="0" w:color="auto"/>
                <w:right w:val="none" w:sz="0" w:space="0" w:color="auto"/>
                <w:between w:val="none" w:sz="0" w:space="0" w:color="auto"/>
                <w:bar w:val="none" w:sz="0" w:color="auto"/>
              </w:pBdr>
              <w:rPr>
                <w:lang w:val="lt-LT"/>
              </w:rPr>
            </w:pPr>
          </w:p>
        </w:tc>
      </w:tr>
    </w:tbl>
    <w:p w14:paraId="0CA7E30A" w14:textId="1FBDB74D" w:rsidR="00717595" w:rsidRDefault="00717595"/>
    <w:sectPr w:rsidR="00717595" w:rsidSect="005C3BEC">
      <w:footerReference w:type="default" r:id="rId7"/>
      <w:pgSz w:w="11905" w:h="16837"/>
      <w:pgMar w:top="851" w:right="567" w:bottom="992" w:left="1701" w:header="284"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625A2" w14:textId="77777777" w:rsidR="006F5760" w:rsidRDefault="006F5760">
      <w:r>
        <w:separator/>
      </w:r>
    </w:p>
  </w:endnote>
  <w:endnote w:type="continuationSeparator" w:id="0">
    <w:p w14:paraId="4C25FEA7" w14:textId="77777777" w:rsidR="006F5760" w:rsidRDefault="006F5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6151657"/>
      <w:docPartObj>
        <w:docPartGallery w:val="Page Numbers (Bottom of Page)"/>
        <w:docPartUnique/>
      </w:docPartObj>
    </w:sdtPr>
    <w:sdtEndPr>
      <w:rPr>
        <w:noProof/>
      </w:rPr>
    </w:sdtEndPr>
    <w:sdtContent>
      <w:p w14:paraId="0A0FBE19" w14:textId="77777777" w:rsidR="008224F6" w:rsidRDefault="00ED5BA7">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18FC6CA6" w14:textId="77777777" w:rsidR="00972BD8" w:rsidRDefault="00A946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491DB" w14:textId="77777777" w:rsidR="006F5760" w:rsidRDefault="006F5760">
      <w:r>
        <w:separator/>
      </w:r>
    </w:p>
  </w:footnote>
  <w:footnote w:type="continuationSeparator" w:id="0">
    <w:p w14:paraId="1E6E3E4C" w14:textId="77777777" w:rsidR="006F5760" w:rsidRDefault="006F57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B43CE"/>
    <w:multiLevelType w:val="hybridMultilevel"/>
    <w:tmpl w:val="3ECEAF5E"/>
    <w:lvl w:ilvl="0" w:tplc="04270019">
      <w:start w:val="1"/>
      <w:numFmt w:val="lowerLetter"/>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AA086B"/>
    <w:multiLevelType w:val="hybridMultilevel"/>
    <w:tmpl w:val="F7E0EA30"/>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EB2CC8"/>
    <w:multiLevelType w:val="hybridMultilevel"/>
    <w:tmpl w:val="CD96740C"/>
    <w:lvl w:ilvl="0" w:tplc="9440FD56">
      <w:start w:val="1"/>
      <w:numFmt w:val="lowerLetter"/>
      <w:lvlText w:val="%1."/>
      <w:lvlJc w:val="left"/>
      <w:pPr>
        <w:ind w:left="720" w:hanging="360"/>
      </w:pPr>
      <w:rPr>
        <w:rFonts w:ascii="Times New Roman" w:eastAsia="Arial Unicode MS" w:hAnsi="Times New Roman" w:cs="Times New Roman"/>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EC769EA"/>
    <w:multiLevelType w:val="hybridMultilevel"/>
    <w:tmpl w:val="5328AA6A"/>
    <w:lvl w:ilvl="0" w:tplc="18A6F718">
      <w:start w:val="1"/>
      <w:numFmt w:val="decimal"/>
      <w:lvlText w:val="%1."/>
      <w:lvlJc w:val="left"/>
      <w:pPr>
        <w:ind w:left="720" w:hanging="360"/>
      </w:pPr>
      <w:rPr>
        <w:rFonts w:hint="default"/>
        <w:b w:val="0"/>
        <w:bCs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AC63560"/>
    <w:multiLevelType w:val="hybridMultilevel"/>
    <w:tmpl w:val="070A873C"/>
    <w:lvl w:ilvl="0" w:tplc="B5448580">
      <w:start w:val="2"/>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05664C5"/>
    <w:multiLevelType w:val="hybridMultilevel"/>
    <w:tmpl w:val="847AA396"/>
    <w:lvl w:ilvl="0" w:tplc="22EAC4C4">
      <w:start w:val="1"/>
      <w:numFmt w:val="decimal"/>
      <w:lvlText w:val="%1."/>
      <w:lvlJc w:val="left"/>
      <w:pPr>
        <w:ind w:left="720" w:hanging="360"/>
      </w:pPr>
      <w:rPr>
        <w:rFonts w:hint="default"/>
        <w:b/>
        <w:bCs/>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A5B2ACA"/>
    <w:multiLevelType w:val="hybridMultilevel"/>
    <w:tmpl w:val="2314F72A"/>
    <w:lvl w:ilvl="0" w:tplc="B4F8036C">
      <w:start w:val="1"/>
      <w:numFmt w:val="decimal"/>
      <w:lvlText w:val="%1."/>
      <w:lvlJc w:val="left"/>
      <w:pPr>
        <w:ind w:left="720" w:hanging="360"/>
      </w:pPr>
      <w:rPr>
        <w:rFonts w:hint="default"/>
        <w:b/>
        <w:bCs/>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43866A8"/>
    <w:multiLevelType w:val="hybridMultilevel"/>
    <w:tmpl w:val="2314F72A"/>
    <w:lvl w:ilvl="0" w:tplc="B4F8036C">
      <w:start w:val="1"/>
      <w:numFmt w:val="decimal"/>
      <w:lvlText w:val="%1."/>
      <w:lvlJc w:val="left"/>
      <w:pPr>
        <w:ind w:left="720" w:hanging="360"/>
      </w:pPr>
      <w:rPr>
        <w:rFonts w:hint="default"/>
        <w:b/>
        <w:bCs/>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5B15023"/>
    <w:multiLevelType w:val="hybridMultilevel"/>
    <w:tmpl w:val="CDF4B4E2"/>
    <w:lvl w:ilvl="0" w:tplc="F104A526">
      <w:start w:val="1"/>
      <w:numFmt w:val="lowerLetter"/>
      <w:lvlText w:val="%1."/>
      <w:lvlJc w:val="left"/>
      <w:pPr>
        <w:ind w:left="720" w:hanging="360"/>
      </w:pPr>
      <w:rPr>
        <w:rFonts w:hint="default"/>
        <w:i w:val="0"/>
        <w:iCs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D6D0A96"/>
    <w:multiLevelType w:val="hybridMultilevel"/>
    <w:tmpl w:val="406E0B0E"/>
    <w:lvl w:ilvl="0" w:tplc="66CE7F40">
      <w:start w:val="1"/>
      <w:numFmt w:val="decimal"/>
      <w:lvlText w:val="%1."/>
      <w:lvlJc w:val="left"/>
      <w:pPr>
        <w:ind w:left="720" w:hanging="360"/>
      </w:pPr>
      <w:rPr>
        <w:rFonts w:hint="default"/>
        <w:b/>
        <w:i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FF77BE3"/>
    <w:multiLevelType w:val="multilevel"/>
    <w:tmpl w:val="F2D6C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9"/>
  </w:num>
  <w:num w:numId="3">
    <w:abstractNumId w:val="5"/>
  </w:num>
  <w:num w:numId="4">
    <w:abstractNumId w:val="7"/>
  </w:num>
  <w:num w:numId="5">
    <w:abstractNumId w:val="6"/>
  </w:num>
  <w:num w:numId="6">
    <w:abstractNumId w:val="4"/>
  </w:num>
  <w:num w:numId="7">
    <w:abstractNumId w:val="2"/>
  </w:num>
  <w:num w:numId="8">
    <w:abstractNumId w:val="3"/>
  </w:num>
  <w:num w:numId="9">
    <w:abstractNumId w:val="1"/>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444"/>
    <w:rsid w:val="00056970"/>
    <w:rsid w:val="00075E70"/>
    <w:rsid w:val="00083D55"/>
    <w:rsid w:val="00086883"/>
    <w:rsid w:val="00097812"/>
    <w:rsid w:val="000A11D0"/>
    <w:rsid w:val="001451F9"/>
    <w:rsid w:val="001656B3"/>
    <w:rsid w:val="0019373B"/>
    <w:rsid w:val="001A6E73"/>
    <w:rsid w:val="002222DF"/>
    <w:rsid w:val="002D01A1"/>
    <w:rsid w:val="003723A5"/>
    <w:rsid w:val="003A7BC1"/>
    <w:rsid w:val="004703B6"/>
    <w:rsid w:val="004D2F6B"/>
    <w:rsid w:val="005A0C34"/>
    <w:rsid w:val="005C3BEC"/>
    <w:rsid w:val="006459A8"/>
    <w:rsid w:val="006A74D1"/>
    <w:rsid w:val="006F5760"/>
    <w:rsid w:val="00717595"/>
    <w:rsid w:val="007409B4"/>
    <w:rsid w:val="00753B44"/>
    <w:rsid w:val="007B3D9D"/>
    <w:rsid w:val="00856C9C"/>
    <w:rsid w:val="0090011C"/>
    <w:rsid w:val="00946E91"/>
    <w:rsid w:val="0095299B"/>
    <w:rsid w:val="00953FEA"/>
    <w:rsid w:val="009543EF"/>
    <w:rsid w:val="009B2E35"/>
    <w:rsid w:val="009E5444"/>
    <w:rsid w:val="00A9461A"/>
    <w:rsid w:val="00B1257C"/>
    <w:rsid w:val="00B26DCB"/>
    <w:rsid w:val="00B72539"/>
    <w:rsid w:val="00BB0DC3"/>
    <w:rsid w:val="00C5226B"/>
    <w:rsid w:val="00CA6824"/>
    <w:rsid w:val="00CC0B0E"/>
    <w:rsid w:val="00D26994"/>
    <w:rsid w:val="00D77A25"/>
    <w:rsid w:val="00DC50F5"/>
    <w:rsid w:val="00DC6201"/>
    <w:rsid w:val="00E1600F"/>
    <w:rsid w:val="00E2748C"/>
    <w:rsid w:val="00E35626"/>
    <w:rsid w:val="00E534CA"/>
    <w:rsid w:val="00E80D95"/>
    <w:rsid w:val="00E86000"/>
    <w:rsid w:val="00E96F35"/>
    <w:rsid w:val="00EA6351"/>
    <w:rsid w:val="00EC1C64"/>
    <w:rsid w:val="00EC693A"/>
    <w:rsid w:val="00ED5BA7"/>
    <w:rsid w:val="00F60176"/>
    <w:rsid w:val="00FC46C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59903"/>
  <w15:chartTrackingRefBased/>
  <w15:docId w15:val="{47BB00CD-D2A2-4E85-BA3A-A9B16A4C9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17595"/>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uiPriority w:val="9"/>
    <w:qFormat/>
    <w:rsid w:val="00856C9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E5444"/>
    <w:pPr>
      <w:pBdr>
        <w:top w:val="none" w:sz="0" w:space="0" w:color="auto"/>
        <w:left w:val="none" w:sz="0" w:space="0" w:color="auto"/>
        <w:bottom w:val="none" w:sz="0" w:space="0" w:color="auto"/>
        <w:right w:val="none" w:sz="0" w:space="0" w:color="auto"/>
        <w:between w:val="none" w:sz="0" w:space="0" w:color="auto"/>
        <w:bar w:val="none" w:sz="0" w:color="auto"/>
      </w:pBdr>
      <w:tabs>
        <w:tab w:val="center" w:pos="4819"/>
        <w:tab w:val="right" w:pos="9638"/>
      </w:tabs>
    </w:pPr>
    <w:rPr>
      <w:rFonts w:asciiTheme="minorHAnsi" w:eastAsiaTheme="minorHAnsi" w:hAnsiTheme="minorHAnsi" w:cstheme="minorBidi"/>
      <w:sz w:val="22"/>
      <w:szCs w:val="22"/>
      <w:bdr w:val="none" w:sz="0" w:space="0" w:color="auto"/>
      <w:lang w:val="lt-LT"/>
    </w:rPr>
  </w:style>
  <w:style w:type="character" w:customStyle="1" w:styleId="FooterChar">
    <w:name w:val="Footer Char"/>
    <w:basedOn w:val="DefaultParagraphFont"/>
    <w:link w:val="Footer"/>
    <w:uiPriority w:val="99"/>
    <w:rsid w:val="009E5444"/>
  </w:style>
  <w:style w:type="paragraph" w:customStyle="1" w:styleId="BodyA">
    <w:name w:val="Body A"/>
    <w:rsid w:val="009E5444"/>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en-US"/>
    </w:rPr>
  </w:style>
  <w:style w:type="table" w:styleId="TableGrid">
    <w:name w:val="Table Grid"/>
    <w:basedOn w:val="TableNormal"/>
    <w:uiPriority w:val="59"/>
    <w:rsid w:val="009E54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9E5444"/>
  </w:style>
  <w:style w:type="character" w:customStyle="1" w:styleId="eop">
    <w:name w:val="eop"/>
    <w:basedOn w:val="DefaultParagraphFont"/>
    <w:rsid w:val="009E5444"/>
  </w:style>
  <w:style w:type="paragraph" w:customStyle="1" w:styleId="Default">
    <w:name w:val="Default"/>
    <w:rsid w:val="009E5444"/>
    <w:pPr>
      <w:autoSpaceDE w:val="0"/>
      <w:autoSpaceDN w:val="0"/>
      <w:adjustRightInd w:val="0"/>
      <w:spacing w:after="0" w:line="240" w:lineRule="auto"/>
    </w:pPr>
    <w:rPr>
      <w:rFonts w:ascii="TimesNewRomanPSMT" w:eastAsia="Arial Unicode MS" w:hAnsi="TimesNewRomanPSMT" w:cs="TimesNewRomanPSMT"/>
      <w:color w:val="000000"/>
      <w:sz w:val="24"/>
      <w:szCs w:val="24"/>
      <w:bdr w:val="nil"/>
    </w:rPr>
  </w:style>
  <w:style w:type="paragraph" w:styleId="ListParagraph">
    <w:name w:val="List Paragraph"/>
    <w:basedOn w:val="Normal"/>
    <w:uiPriority w:val="34"/>
    <w:qFormat/>
    <w:rsid w:val="00E534CA"/>
    <w:pPr>
      <w:ind w:left="720"/>
      <w:contextualSpacing/>
    </w:pPr>
  </w:style>
  <w:style w:type="paragraph" w:styleId="NormalWeb">
    <w:name w:val="Normal (Web)"/>
    <w:basedOn w:val="Normal"/>
    <w:uiPriority w:val="99"/>
    <w:semiHidden/>
    <w:unhideWhenUsed/>
    <w:rsid w:val="00FC46C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styleId="Strong">
    <w:name w:val="Strong"/>
    <w:basedOn w:val="DefaultParagraphFont"/>
    <w:uiPriority w:val="22"/>
    <w:qFormat/>
    <w:rsid w:val="00FC46CC"/>
    <w:rPr>
      <w:b/>
      <w:bCs/>
    </w:rPr>
  </w:style>
  <w:style w:type="character" w:styleId="CommentReference">
    <w:name w:val="annotation reference"/>
    <w:basedOn w:val="DefaultParagraphFont"/>
    <w:uiPriority w:val="99"/>
    <w:semiHidden/>
    <w:unhideWhenUsed/>
    <w:rsid w:val="005A0C34"/>
    <w:rPr>
      <w:sz w:val="16"/>
      <w:szCs w:val="16"/>
    </w:rPr>
  </w:style>
  <w:style w:type="paragraph" w:styleId="CommentText">
    <w:name w:val="annotation text"/>
    <w:basedOn w:val="Normal"/>
    <w:link w:val="CommentTextChar"/>
    <w:uiPriority w:val="99"/>
    <w:semiHidden/>
    <w:unhideWhenUsed/>
    <w:rsid w:val="005A0C34"/>
    <w:rPr>
      <w:sz w:val="20"/>
      <w:szCs w:val="20"/>
    </w:rPr>
  </w:style>
  <w:style w:type="character" w:customStyle="1" w:styleId="CommentTextChar">
    <w:name w:val="Comment Text Char"/>
    <w:basedOn w:val="DefaultParagraphFont"/>
    <w:link w:val="CommentText"/>
    <w:uiPriority w:val="99"/>
    <w:semiHidden/>
    <w:rsid w:val="005A0C34"/>
    <w:rPr>
      <w:rFonts w:ascii="Times New Roman" w:eastAsia="Arial Unicode MS" w:hAnsi="Times New Roman"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5A0C34"/>
    <w:rPr>
      <w:b/>
      <w:bCs/>
    </w:rPr>
  </w:style>
  <w:style w:type="character" w:customStyle="1" w:styleId="CommentSubjectChar">
    <w:name w:val="Comment Subject Char"/>
    <w:basedOn w:val="CommentTextChar"/>
    <w:link w:val="CommentSubject"/>
    <w:uiPriority w:val="99"/>
    <w:semiHidden/>
    <w:rsid w:val="005A0C34"/>
    <w:rPr>
      <w:rFonts w:ascii="Times New Roman" w:eastAsia="Arial Unicode MS" w:hAnsi="Times New Roman" w:cs="Times New Roman"/>
      <w:b/>
      <w:bCs/>
      <w:sz w:val="20"/>
      <w:szCs w:val="20"/>
      <w:bdr w:val="nil"/>
      <w:lang w:val="en-US"/>
    </w:rPr>
  </w:style>
  <w:style w:type="character" w:customStyle="1" w:styleId="Heading1Char">
    <w:name w:val="Heading 1 Char"/>
    <w:basedOn w:val="DefaultParagraphFont"/>
    <w:link w:val="Heading1"/>
    <w:uiPriority w:val="9"/>
    <w:rsid w:val="00856C9C"/>
    <w:rPr>
      <w:rFonts w:asciiTheme="majorHAnsi" w:eastAsiaTheme="majorEastAsia" w:hAnsiTheme="majorHAnsi" w:cstheme="majorBidi"/>
      <w:color w:val="2F5496" w:themeColor="accent1" w:themeShade="BF"/>
      <w:sz w:val="32"/>
      <w:szCs w:val="3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738018">
      <w:bodyDiv w:val="1"/>
      <w:marLeft w:val="0"/>
      <w:marRight w:val="0"/>
      <w:marTop w:val="0"/>
      <w:marBottom w:val="0"/>
      <w:divBdr>
        <w:top w:val="none" w:sz="0" w:space="0" w:color="auto"/>
        <w:left w:val="none" w:sz="0" w:space="0" w:color="auto"/>
        <w:bottom w:val="none" w:sz="0" w:space="0" w:color="auto"/>
        <w:right w:val="none" w:sz="0" w:space="0" w:color="auto"/>
      </w:divBdr>
    </w:div>
    <w:div w:id="1110468719">
      <w:bodyDiv w:val="1"/>
      <w:marLeft w:val="0"/>
      <w:marRight w:val="0"/>
      <w:marTop w:val="0"/>
      <w:marBottom w:val="0"/>
      <w:divBdr>
        <w:top w:val="none" w:sz="0" w:space="0" w:color="auto"/>
        <w:left w:val="none" w:sz="0" w:space="0" w:color="auto"/>
        <w:bottom w:val="none" w:sz="0" w:space="0" w:color="auto"/>
        <w:right w:val="none" w:sz="0" w:space="0" w:color="auto"/>
      </w:divBdr>
    </w:div>
    <w:div w:id="1199122671">
      <w:bodyDiv w:val="1"/>
      <w:marLeft w:val="0"/>
      <w:marRight w:val="0"/>
      <w:marTop w:val="0"/>
      <w:marBottom w:val="0"/>
      <w:divBdr>
        <w:top w:val="none" w:sz="0" w:space="0" w:color="auto"/>
        <w:left w:val="none" w:sz="0" w:space="0" w:color="auto"/>
        <w:bottom w:val="none" w:sz="0" w:space="0" w:color="auto"/>
        <w:right w:val="none" w:sz="0" w:space="0" w:color="auto"/>
      </w:divBdr>
      <w:divsChild>
        <w:div w:id="97216093">
          <w:marLeft w:val="0"/>
          <w:marRight w:val="0"/>
          <w:marTop w:val="0"/>
          <w:marBottom w:val="0"/>
          <w:divBdr>
            <w:top w:val="none" w:sz="0" w:space="0" w:color="auto"/>
            <w:left w:val="none" w:sz="0" w:space="0" w:color="auto"/>
            <w:bottom w:val="none" w:sz="0" w:space="0" w:color="auto"/>
            <w:right w:val="none" w:sz="0" w:space="0" w:color="auto"/>
          </w:divBdr>
        </w:div>
      </w:divsChild>
    </w:div>
    <w:div w:id="1297639552">
      <w:bodyDiv w:val="1"/>
      <w:marLeft w:val="0"/>
      <w:marRight w:val="0"/>
      <w:marTop w:val="0"/>
      <w:marBottom w:val="0"/>
      <w:divBdr>
        <w:top w:val="none" w:sz="0" w:space="0" w:color="auto"/>
        <w:left w:val="none" w:sz="0" w:space="0" w:color="auto"/>
        <w:bottom w:val="none" w:sz="0" w:space="0" w:color="auto"/>
        <w:right w:val="none" w:sz="0" w:space="0" w:color="auto"/>
      </w:divBdr>
      <w:divsChild>
        <w:div w:id="941768134">
          <w:marLeft w:val="0"/>
          <w:marRight w:val="0"/>
          <w:marTop w:val="0"/>
          <w:marBottom w:val="0"/>
          <w:divBdr>
            <w:top w:val="none" w:sz="0" w:space="0" w:color="auto"/>
            <w:left w:val="none" w:sz="0" w:space="0" w:color="auto"/>
            <w:bottom w:val="none" w:sz="0" w:space="0" w:color="auto"/>
            <w:right w:val="none" w:sz="0" w:space="0" w:color="auto"/>
          </w:divBdr>
        </w:div>
        <w:div w:id="15765458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10678</Words>
  <Characters>6087</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 Matulevičienė</dc:creator>
  <cp:keywords/>
  <dc:description/>
  <cp:lastModifiedBy>Donata Matulevičienė</cp:lastModifiedBy>
  <cp:revision>5</cp:revision>
  <dcterms:created xsi:type="dcterms:W3CDTF">2021-06-01T10:55:00Z</dcterms:created>
  <dcterms:modified xsi:type="dcterms:W3CDTF">2021-06-01T12:57:00Z</dcterms:modified>
</cp:coreProperties>
</file>