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6330" w14:textId="50F22477" w:rsidR="00406268" w:rsidRDefault="00406268" w:rsidP="004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Projekto </w:t>
      </w:r>
    </w:p>
    <w:p w14:paraId="2F612208" w14:textId="0B6A389B" w:rsidR="00406268" w:rsidRDefault="00406268" w:rsidP="004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lyginamasis variantas</w:t>
      </w:r>
    </w:p>
    <w:p w14:paraId="5932ED7D" w14:textId="77777777" w:rsidR="00406268" w:rsidRDefault="00406268" w:rsidP="00406268">
      <w:pPr>
        <w:jc w:val="center"/>
        <w:rPr>
          <w:b/>
          <w:sz w:val="24"/>
          <w:szCs w:val="24"/>
        </w:rPr>
      </w:pPr>
    </w:p>
    <w:p w14:paraId="4B57CA5B" w14:textId="2F7C937D" w:rsidR="00406268" w:rsidRPr="00406268" w:rsidRDefault="00406268" w:rsidP="00406268">
      <w:pPr>
        <w:jc w:val="center"/>
        <w:rPr>
          <w:b/>
          <w:sz w:val="24"/>
          <w:szCs w:val="24"/>
        </w:rPr>
      </w:pPr>
      <w:r w:rsidRPr="00406268">
        <w:rPr>
          <w:b/>
          <w:sz w:val="24"/>
          <w:szCs w:val="24"/>
        </w:rPr>
        <w:t>NUTARIMAS</w:t>
      </w:r>
    </w:p>
    <w:p w14:paraId="01FAE08D" w14:textId="0ACA12AF" w:rsidR="00406268" w:rsidRPr="00406268" w:rsidRDefault="00406268" w:rsidP="00406268">
      <w:pPr>
        <w:jc w:val="center"/>
        <w:rPr>
          <w:b/>
          <w:sz w:val="24"/>
          <w:szCs w:val="24"/>
        </w:rPr>
      </w:pPr>
      <w:r w:rsidRPr="00406268">
        <w:rPr>
          <w:b/>
          <w:sz w:val="24"/>
          <w:szCs w:val="24"/>
        </w:rPr>
        <w:t xml:space="preserve">DĖL LIETUVOS RESPUBLIKOS VYRIAUSYBĖS 2004 M. GEGUŽĖS 19 D. </w:t>
      </w:r>
    </w:p>
    <w:p w14:paraId="10852C62" w14:textId="751CD9CB" w:rsidR="00406268" w:rsidRPr="00406268" w:rsidRDefault="00406268" w:rsidP="00406268">
      <w:pPr>
        <w:jc w:val="center"/>
        <w:rPr>
          <w:b/>
          <w:bCs/>
          <w:sz w:val="24"/>
          <w:szCs w:val="24"/>
        </w:rPr>
      </w:pPr>
      <w:r w:rsidRPr="00406268">
        <w:rPr>
          <w:b/>
          <w:sz w:val="24"/>
          <w:szCs w:val="24"/>
        </w:rPr>
        <w:t xml:space="preserve">NUTARIMO NR. 610 „DĖL UŽMOKESČIO UŽ MINIMALŲJĮ PRIEIGOS </w:t>
      </w:r>
      <w:r w:rsidR="00ED2ACF">
        <w:rPr>
          <w:b/>
          <w:sz w:val="24"/>
          <w:szCs w:val="24"/>
        </w:rPr>
        <w:t xml:space="preserve">PRIE VIEŠOSIOS GELEŽINKELIŲ INFRASTRUKTŪROS </w:t>
      </w:r>
      <w:r w:rsidRPr="00406268">
        <w:rPr>
          <w:b/>
          <w:sz w:val="24"/>
          <w:szCs w:val="24"/>
        </w:rPr>
        <w:t xml:space="preserve">PAKETĄ </w:t>
      </w:r>
      <w:r w:rsidR="00B76B8D">
        <w:rPr>
          <w:b/>
          <w:sz w:val="24"/>
          <w:szCs w:val="24"/>
        </w:rPr>
        <w:t xml:space="preserve">IR UŽMOKESČIO UŽ SKIRTUS, BET NEPANAUDOTUS VIEŠOSIOS GELEŽINKELIŲ INFRASTRUKTŪROS PAJĖGUMUS </w:t>
      </w:r>
      <w:r w:rsidRPr="00406268">
        <w:rPr>
          <w:b/>
          <w:sz w:val="24"/>
          <w:szCs w:val="24"/>
        </w:rPr>
        <w:t xml:space="preserve">APSKAIČIAVIMO IR MOKĖJIMO TAISYKLIŲ PATVIRTINIMO“ </w:t>
      </w:r>
      <w:r w:rsidR="001B0E82">
        <w:rPr>
          <w:b/>
          <w:sz w:val="24"/>
          <w:szCs w:val="24"/>
        </w:rPr>
        <w:t>PAKEITIMO</w:t>
      </w:r>
      <w:r w:rsidRPr="00406268">
        <w:rPr>
          <w:b/>
          <w:sz w:val="24"/>
          <w:szCs w:val="24"/>
        </w:rPr>
        <w:t xml:space="preserve"> </w:t>
      </w:r>
    </w:p>
    <w:p w14:paraId="6004770E" w14:textId="77777777" w:rsidR="00406268" w:rsidRPr="00406268" w:rsidRDefault="00406268" w:rsidP="00406268">
      <w:pPr>
        <w:jc w:val="center"/>
        <w:rPr>
          <w:b/>
          <w:sz w:val="24"/>
          <w:szCs w:val="24"/>
        </w:rPr>
      </w:pPr>
    </w:p>
    <w:p w14:paraId="2658418F" w14:textId="67B63A60" w:rsidR="00406268" w:rsidRPr="0022385E" w:rsidRDefault="00406268" w:rsidP="00406268">
      <w:pPr>
        <w:jc w:val="center"/>
        <w:rPr>
          <w:sz w:val="24"/>
          <w:szCs w:val="24"/>
        </w:rPr>
      </w:pPr>
      <w:r w:rsidRPr="0022385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1</w:t>
      </w:r>
      <w:r w:rsidRPr="0022385E">
        <w:rPr>
          <w:sz w:val="24"/>
          <w:szCs w:val="24"/>
        </w:rPr>
        <w:t xml:space="preserve"> m. _________ __ d. Nr. ____</w:t>
      </w:r>
    </w:p>
    <w:p w14:paraId="22D7CCE3" w14:textId="77777777" w:rsidR="00406268" w:rsidRPr="004C4117" w:rsidRDefault="00406268" w:rsidP="00406268">
      <w:pPr>
        <w:jc w:val="center"/>
        <w:rPr>
          <w:sz w:val="24"/>
          <w:szCs w:val="24"/>
        </w:rPr>
      </w:pPr>
      <w:r w:rsidRPr="0022385E">
        <w:rPr>
          <w:sz w:val="24"/>
          <w:szCs w:val="24"/>
        </w:rPr>
        <w:t>Vilnius</w:t>
      </w:r>
    </w:p>
    <w:p w14:paraId="4BDBF44F" w14:textId="77777777" w:rsidR="00406268" w:rsidRPr="004C4117" w:rsidRDefault="00406268" w:rsidP="00406268">
      <w:pPr>
        <w:jc w:val="both"/>
        <w:rPr>
          <w:sz w:val="24"/>
          <w:szCs w:val="24"/>
        </w:rPr>
      </w:pPr>
    </w:p>
    <w:p w14:paraId="272996DB" w14:textId="77777777" w:rsidR="00407D69" w:rsidRPr="00D333CF" w:rsidRDefault="00407D69" w:rsidP="00881EBC">
      <w:pPr>
        <w:ind w:firstLine="1134"/>
        <w:jc w:val="both"/>
        <w:rPr>
          <w:sz w:val="24"/>
          <w:szCs w:val="24"/>
        </w:rPr>
      </w:pPr>
      <w:r w:rsidRPr="00D333CF">
        <w:rPr>
          <w:sz w:val="24"/>
          <w:szCs w:val="24"/>
        </w:rPr>
        <w:t>Lietuvos Respublikos Vyriausybė n u t a r i a:</w:t>
      </w:r>
    </w:p>
    <w:p w14:paraId="3F9F9AE2" w14:textId="29ABE89D" w:rsidR="00105C51" w:rsidRDefault="00D33E1E" w:rsidP="00881EBC">
      <w:pPr>
        <w:ind w:firstLine="1134"/>
        <w:jc w:val="both"/>
        <w:rPr>
          <w:sz w:val="24"/>
          <w:szCs w:val="24"/>
        </w:rPr>
      </w:pPr>
      <w:r w:rsidRPr="00D33E1E">
        <w:rPr>
          <w:sz w:val="24"/>
          <w:szCs w:val="24"/>
        </w:rPr>
        <w:t xml:space="preserve">1. </w:t>
      </w:r>
      <w:r w:rsidR="00105C51">
        <w:rPr>
          <w:sz w:val="24"/>
          <w:szCs w:val="24"/>
        </w:rPr>
        <w:t xml:space="preserve">Pakeisti </w:t>
      </w:r>
      <w:r w:rsidR="00105C51" w:rsidRPr="00D333CF">
        <w:rPr>
          <w:sz w:val="24"/>
          <w:szCs w:val="24"/>
        </w:rPr>
        <w:t>Lietuvos Respublikos Vyriausybės 2004 m. gegužės 19 d. nutarim</w:t>
      </w:r>
      <w:r w:rsidR="00105C51">
        <w:rPr>
          <w:sz w:val="24"/>
          <w:szCs w:val="24"/>
        </w:rPr>
        <w:t>ą</w:t>
      </w:r>
      <w:r w:rsidR="00105C51" w:rsidRPr="00D333CF">
        <w:rPr>
          <w:sz w:val="24"/>
          <w:szCs w:val="24"/>
        </w:rPr>
        <w:t xml:space="preserve"> Nr. 610 „Dėl Užmokesčio už minimalųjį prieigos prie viešosios geležinkelių infrastruktūros paketą ir užmokesčio už skirtus, bet nepanaudotus viešosios geležinkelių infrastruktūros pajėgumus apskaičiavimo ir mokėjimo taisykl</w:t>
      </w:r>
      <w:r w:rsidR="00105C51">
        <w:rPr>
          <w:sz w:val="24"/>
          <w:szCs w:val="24"/>
        </w:rPr>
        <w:t>ių patvirtinimo“</w:t>
      </w:r>
      <w:r>
        <w:rPr>
          <w:sz w:val="24"/>
          <w:szCs w:val="24"/>
        </w:rPr>
        <w:t xml:space="preserve"> ir </w:t>
      </w:r>
      <w:r w:rsidR="00105C51">
        <w:rPr>
          <w:sz w:val="24"/>
          <w:szCs w:val="24"/>
        </w:rPr>
        <w:t>preambulę išdėstyti taip:</w:t>
      </w:r>
    </w:p>
    <w:p w14:paraId="7EC20678" w14:textId="5818BA85" w:rsidR="00105C51" w:rsidRPr="00881EBC" w:rsidRDefault="00105C51" w:rsidP="00881EBC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,,</w:t>
      </w:r>
      <w:r w:rsidRPr="00105C51">
        <w:rPr>
          <w:sz w:val="24"/>
          <w:szCs w:val="24"/>
        </w:rPr>
        <w:t>Vadovaudamasi Lietuvos Respublikos geležinkelių transporto kodekso 25 straipsnio 2 dalimi, 25</w:t>
      </w:r>
      <w:r w:rsidRPr="00105C51">
        <w:rPr>
          <w:sz w:val="24"/>
          <w:szCs w:val="24"/>
          <w:vertAlign w:val="superscript"/>
        </w:rPr>
        <w:t>2</w:t>
      </w:r>
      <w:r w:rsidRPr="00105C51">
        <w:rPr>
          <w:sz w:val="24"/>
          <w:szCs w:val="24"/>
        </w:rPr>
        <w:t xml:space="preserve"> straipsnio 4 dalimi, perkeldama ir įgyvendindama 2012 m. lapkričio 21 d. Europos Parlamento ir Tarybos direktyvą 2012/34/ES, kuria sukuriama bendra Europos geležinkelių erdvė </w:t>
      </w:r>
      <w:r w:rsidRPr="00105C51">
        <w:rPr>
          <w:strike/>
          <w:sz w:val="24"/>
          <w:szCs w:val="24"/>
        </w:rPr>
        <w:t>(OL 2012 L 343, p. 32)</w:t>
      </w:r>
      <w:r w:rsidR="003D16F7" w:rsidRPr="000259DA">
        <w:rPr>
          <w:sz w:val="24"/>
          <w:szCs w:val="24"/>
        </w:rPr>
        <w:t>,</w:t>
      </w:r>
      <w:r w:rsidRPr="00105C51">
        <w:rPr>
          <w:b/>
          <w:bCs/>
          <w:color w:val="000000"/>
          <w:sz w:val="24"/>
          <w:szCs w:val="24"/>
        </w:rPr>
        <w:t xml:space="preserve"> su paskutiniais pakeitimais, padarytais 2017 m. rugsėjo 4 d. Komisijos </w:t>
      </w:r>
      <w:r w:rsidRPr="00881EBC">
        <w:rPr>
          <w:b/>
          <w:bCs/>
          <w:color w:val="000000"/>
          <w:sz w:val="24"/>
          <w:szCs w:val="24"/>
        </w:rPr>
        <w:t>deleguotuoju sprendimu (ES) 2017/2075</w:t>
      </w:r>
      <w:r w:rsidRPr="00881EBC">
        <w:rPr>
          <w:sz w:val="24"/>
          <w:szCs w:val="24"/>
        </w:rPr>
        <w:t>, Lietuvos Respublikos Vyriausybė  n u t a r i a:“</w:t>
      </w:r>
      <w:r w:rsidR="003D16F7">
        <w:rPr>
          <w:sz w:val="24"/>
          <w:szCs w:val="24"/>
        </w:rPr>
        <w:t>.</w:t>
      </w:r>
    </w:p>
    <w:p w14:paraId="257C16D6" w14:textId="04E1639B" w:rsidR="001855A9" w:rsidRPr="00881EBC" w:rsidRDefault="00105C51" w:rsidP="00881EBC">
      <w:pPr>
        <w:ind w:firstLine="1134"/>
        <w:jc w:val="both"/>
        <w:rPr>
          <w:sz w:val="24"/>
          <w:szCs w:val="24"/>
        </w:rPr>
      </w:pPr>
      <w:r w:rsidRPr="00881EBC">
        <w:rPr>
          <w:sz w:val="24"/>
          <w:szCs w:val="24"/>
        </w:rPr>
        <w:t>2.</w:t>
      </w:r>
      <w:r w:rsidR="00D33E1E" w:rsidRPr="00881EBC">
        <w:rPr>
          <w:color w:val="000000"/>
          <w:sz w:val="24"/>
          <w:szCs w:val="24"/>
        </w:rPr>
        <w:t xml:space="preserve"> </w:t>
      </w:r>
      <w:r w:rsidR="003D16F7">
        <w:rPr>
          <w:color w:val="000000"/>
          <w:sz w:val="24"/>
          <w:szCs w:val="24"/>
        </w:rPr>
        <w:t xml:space="preserve">Pakeisti </w:t>
      </w:r>
      <w:r w:rsidR="00D33E1E" w:rsidRPr="00881EBC">
        <w:rPr>
          <w:color w:val="000000"/>
          <w:sz w:val="24"/>
          <w:szCs w:val="24"/>
        </w:rPr>
        <w:t>nurodytu nutarimu patvirtintas</w:t>
      </w:r>
      <w:r w:rsidR="00D33E1E" w:rsidRPr="00881EBC">
        <w:rPr>
          <w:sz w:val="24"/>
          <w:szCs w:val="24"/>
        </w:rPr>
        <w:t xml:space="preserve"> </w:t>
      </w:r>
      <w:r w:rsidR="00407D69" w:rsidRPr="00881EBC">
        <w:rPr>
          <w:sz w:val="24"/>
          <w:szCs w:val="24"/>
        </w:rPr>
        <w:t>Užmokesčio už minimalųjį prieigos prie viešosios geležinkelių infrastruktūros paketą ir užmokesčio už skirtus, bet nepanaudotus viešosios geležinkelių infrastruktūros pajėgumus apskaičiavimo ir mokėjimo taisykles</w:t>
      </w:r>
      <w:r w:rsidR="00D33E1E" w:rsidRPr="00881EBC">
        <w:rPr>
          <w:sz w:val="24"/>
          <w:szCs w:val="24"/>
        </w:rPr>
        <w:t xml:space="preserve"> </w:t>
      </w:r>
      <w:r w:rsidR="003D16F7">
        <w:rPr>
          <w:sz w:val="24"/>
          <w:szCs w:val="24"/>
        </w:rPr>
        <w:t xml:space="preserve">ir papildyti </w:t>
      </w:r>
      <w:r w:rsidR="001855A9" w:rsidRPr="00881EBC">
        <w:rPr>
          <w:color w:val="000000"/>
          <w:sz w:val="24"/>
          <w:szCs w:val="24"/>
        </w:rPr>
        <w:t>36.5 papunkčiu:</w:t>
      </w:r>
    </w:p>
    <w:p w14:paraId="2484CA7D" w14:textId="45A86A4C" w:rsidR="001855A9" w:rsidRDefault="001855A9" w:rsidP="00881EBC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881EBC">
        <w:rPr>
          <w:color w:val="000000"/>
          <w:sz w:val="24"/>
          <w:szCs w:val="24"/>
        </w:rPr>
        <w:t>„</w:t>
      </w:r>
      <w:r w:rsidRPr="00881EBC">
        <w:rPr>
          <w:b/>
          <w:bCs/>
          <w:color w:val="000000"/>
          <w:sz w:val="24"/>
          <w:szCs w:val="24"/>
        </w:rPr>
        <w:t xml:space="preserve">36.5. pajėgumais, kuriais geležinkelio įmonė (vežėjas) negalėjo pasinaudoti, kadangi geležinkelio įmonės (vežėjo) traukiniai buvo atšaukti dėl kitos geležinkelio įmonės </w:t>
      </w:r>
      <w:r w:rsidR="00881EBC" w:rsidRPr="00881EBC">
        <w:rPr>
          <w:rFonts w:eastAsiaTheme="minorHAnsi"/>
          <w:b/>
          <w:bCs/>
          <w:sz w:val="24"/>
          <w:szCs w:val="24"/>
          <w:lang w:eastAsia="en-US"/>
        </w:rPr>
        <w:t>ar įmonės, kuri važiuoja į geležinkelių infrastruktūros objektų statybos, remonto ir (ar) techninės priežiūros darbų atlikimo vietą ir iš jos,</w:t>
      </w:r>
      <w:r w:rsidR="00881EBC" w:rsidRPr="00881EBC">
        <w:rPr>
          <w:b/>
          <w:bCs/>
          <w:color w:val="000000"/>
          <w:sz w:val="24"/>
          <w:szCs w:val="24"/>
        </w:rPr>
        <w:t xml:space="preserve"> </w:t>
      </w:r>
      <w:r w:rsidRPr="00881EBC">
        <w:rPr>
          <w:b/>
          <w:bCs/>
          <w:color w:val="000000"/>
          <w:sz w:val="24"/>
          <w:szCs w:val="24"/>
        </w:rPr>
        <w:t>(vežėjo) kaltės</w:t>
      </w:r>
      <w:r w:rsidR="003D16F7">
        <w:rPr>
          <w:b/>
          <w:bCs/>
          <w:color w:val="000000"/>
          <w:sz w:val="24"/>
          <w:szCs w:val="24"/>
        </w:rPr>
        <w:t>.</w:t>
      </w:r>
      <w:r w:rsidRPr="00881EBC">
        <w:rPr>
          <w:color w:val="000000"/>
          <w:sz w:val="24"/>
          <w:szCs w:val="24"/>
        </w:rPr>
        <w:t>“</w:t>
      </w:r>
    </w:p>
    <w:p w14:paraId="2A8E43E8" w14:textId="77777777" w:rsidR="002E1AB1" w:rsidRPr="00F14E79" w:rsidRDefault="002E1AB1" w:rsidP="002E1AB1">
      <w:pPr>
        <w:ind w:firstLine="1134"/>
        <w:jc w:val="both"/>
        <w:rPr>
          <w:sz w:val="24"/>
          <w:szCs w:val="24"/>
        </w:rPr>
      </w:pPr>
      <w:r w:rsidRPr="00F14E79">
        <w:rPr>
          <w:sz w:val="24"/>
          <w:szCs w:val="24"/>
        </w:rPr>
        <w:t xml:space="preserve">3. Nustatyti, kad šio nutarimo 2 punktas taikomas apskaičiuojant </w:t>
      </w:r>
      <w:r w:rsidRPr="00F14E79">
        <w:rPr>
          <w:color w:val="000000"/>
          <w:sz w:val="24"/>
          <w:szCs w:val="24"/>
        </w:rPr>
        <w:t xml:space="preserve">geležinkelio įmonės (vežėjo) traukinių darbo apimtį pagal pareiškėjui skirtus pajėgumus </w:t>
      </w:r>
      <w:r w:rsidRPr="00F14E79">
        <w:rPr>
          <w:sz w:val="24"/>
          <w:szCs w:val="24"/>
        </w:rPr>
        <w:t>2020–2021 m. tarnybinio traukinių tvarkaraščio galiojimo laikotarpiu ir vėlesniais tarnybinio traukinių tvarkaraščio galiojimo laikotarpiais.</w:t>
      </w:r>
    </w:p>
    <w:p w14:paraId="6902C6B7" w14:textId="77777777" w:rsidR="002E1AB1" w:rsidRPr="00881EBC" w:rsidRDefault="002E1AB1" w:rsidP="00881EBC">
      <w:pPr>
        <w:autoSpaceDE w:val="0"/>
        <w:autoSpaceDN w:val="0"/>
        <w:adjustRightInd w:val="0"/>
        <w:ind w:firstLine="113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05EF1682" w14:textId="26C8B062" w:rsidR="00406268" w:rsidRDefault="00406268" w:rsidP="00210928">
      <w:pPr>
        <w:rPr>
          <w:sz w:val="24"/>
          <w:szCs w:val="24"/>
        </w:rPr>
      </w:pPr>
    </w:p>
    <w:p w14:paraId="7C236E59" w14:textId="77777777" w:rsidR="000D28C1" w:rsidRPr="001855A9" w:rsidRDefault="000D28C1" w:rsidP="00210928">
      <w:pPr>
        <w:rPr>
          <w:sz w:val="24"/>
          <w:szCs w:val="24"/>
        </w:rPr>
      </w:pPr>
    </w:p>
    <w:p w14:paraId="5BD62DC9" w14:textId="6B4664BB" w:rsidR="00406268" w:rsidRPr="00D333CF" w:rsidRDefault="00406268" w:rsidP="00210928">
      <w:pPr>
        <w:rPr>
          <w:sz w:val="24"/>
          <w:szCs w:val="24"/>
        </w:rPr>
      </w:pPr>
      <w:r w:rsidRPr="00D333CF">
        <w:rPr>
          <w:sz w:val="24"/>
          <w:szCs w:val="24"/>
        </w:rPr>
        <w:t>Ministras Pirmininkas</w:t>
      </w:r>
    </w:p>
    <w:p w14:paraId="06934349" w14:textId="77777777" w:rsidR="006B5A43" w:rsidRDefault="006B5A43" w:rsidP="00210928">
      <w:pPr>
        <w:rPr>
          <w:sz w:val="24"/>
          <w:szCs w:val="24"/>
        </w:rPr>
      </w:pPr>
    </w:p>
    <w:p w14:paraId="53E79873" w14:textId="77777777" w:rsidR="00406268" w:rsidRPr="00406268" w:rsidRDefault="00406268" w:rsidP="00210928">
      <w:pPr>
        <w:rPr>
          <w:sz w:val="24"/>
          <w:szCs w:val="24"/>
        </w:rPr>
      </w:pPr>
    </w:p>
    <w:p w14:paraId="510807CB" w14:textId="3A5A82F1" w:rsidR="00406268" w:rsidRPr="00406268" w:rsidRDefault="00406268" w:rsidP="00210928">
      <w:pPr>
        <w:rPr>
          <w:sz w:val="24"/>
          <w:szCs w:val="24"/>
        </w:rPr>
      </w:pPr>
      <w:r w:rsidRPr="00406268">
        <w:rPr>
          <w:sz w:val="24"/>
          <w:szCs w:val="24"/>
        </w:rPr>
        <w:t>Susisiekimo ministras</w:t>
      </w:r>
    </w:p>
    <w:sectPr w:rsidR="00406268" w:rsidRPr="00406268" w:rsidSect="0096016D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225D" w14:textId="77777777" w:rsidR="00D53733" w:rsidRDefault="00D53733" w:rsidP="0096016D">
      <w:r>
        <w:separator/>
      </w:r>
    </w:p>
  </w:endnote>
  <w:endnote w:type="continuationSeparator" w:id="0">
    <w:p w14:paraId="60F23101" w14:textId="77777777" w:rsidR="00D53733" w:rsidRDefault="00D53733" w:rsidP="0096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0DFE" w14:textId="77777777" w:rsidR="00D53733" w:rsidRDefault="00D53733" w:rsidP="0096016D">
      <w:r>
        <w:separator/>
      </w:r>
    </w:p>
  </w:footnote>
  <w:footnote w:type="continuationSeparator" w:id="0">
    <w:p w14:paraId="16BE497D" w14:textId="77777777" w:rsidR="00D53733" w:rsidRDefault="00D53733" w:rsidP="0096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37986"/>
      <w:docPartObj>
        <w:docPartGallery w:val="Page Numbers (Top of Page)"/>
        <w:docPartUnique/>
      </w:docPartObj>
    </w:sdtPr>
    <w:sdtEndPr/>
    <w:sdtContent>
      <w:p w14:paraId="29F4AC37" w14:textId="798AC5A6" w:rsidR="0096016D" w:rsidRDefault="009601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92789E" w14:textId="77777777" w:rsidR="0096016D" w:rsidRDefault="009601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8CF"/>
    <w:multiLevelType w:val="hybridMultilevel"/>
    <w:tmpl w:val="9BA47996"/>
    <w:lvl w:ilvl="0" w:tplc="A0C065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28"/>
    <w:rsid w:val="000259DA"/>
    <w:rsid w:val="000D28C1"/>
    <w:rsid w:val="000E4D9B"/>
    <w:rsid w:val="000E5438"/>
    <w:rsid w:val="00105C51"/>
    <w:rsid w:val="001855A9"/>
    <w:rsid w:val="001B0E82"/>
    <w:rsid w:val="00210928"/>
    <w:rsid w:val="002E1AB1"/>
    <w:rsid w:val="002E28D8"/>
    <w:rsid w:val="00362519"/>
    <w:rsid w:val="003672C6"/>
    <w:rsid w:val="003B7C21"/>
    <w:rsid w:val="003D16F7"/>
    <w:rsid w:val="00406268"/>
    <w:rsid w:val="00407D69"/>
    <w:rsid w:val="00510D86"/>
    <w:rsid w:val="005862CA"/>
    <w:rsid w:val="006B5A43"/>
    <w:rsid w:val="007C179B"/>
    <w:rsid w:val="008020E7"/>
    <w:rsid w:val="00812FA0"/>
    <w:rsid w:val="00881EBC"/>
    <w:rsid w:val="0096016D"/>
    <w:rsid w:val="00981934"/>
    <w:rsid w:val="009A33EA"/>
    <w:rsid w:val="00A130E7"/>
    <w:rsid w:val="00B76B8D"/>
    <w:rsid w:val="00C25B47"/>
    <w:rsid w:val="00C451F2"/>
    <w:rsid w:val="00CE12EB"/>
    <w:rsid w:val="00D12441"/>
    <w:rsid w:val="00D333CF"/>
    <w:rsid w:val="00D33E1E"/>
    <w:rsid w:val="00D53733"/>
    <w:rsid w:val="00E23C6F"/>
    <w:rsid w:val="00ED2ACF"/>
    <w:rsid w:val="00EF1D47"/>
    <w:rsid w:val="00EF41ED"/>
    <w:rsid w:val="00F02A3F"/>
    <w:rsid w:val="00F37138"/>
    <w:rsid w:val="00FC0955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E2AE"/>
  <w15:chartTrackingRefBased/>
  <w15:docId w15:val="{0EB8A0ED-0A8D-448D-A153-18BF11EB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626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5A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A4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A4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A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A4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020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020E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12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12EB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855A9"/>
    <w:pPr>
      <w:ind w:firstLine="1247"/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855A9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601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16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601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016D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2021-10-05T10:29:00Z</dcterms:created>
  <dc:creator>Jurgita Norkienė</dc:creator>
  <cp:lastModifiedBy>Jurgita Norkienė</cp:lastModifiedBy>
  <dcterms:modified xsi:type="dcterms:W3CDTF">2021-10-05T12:20:00Z</dcterms:modified>
  <cp:revision>5</cp:revision>
</cp:coreProperties>
</file>