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1D261" w14:textId="49695387" w:rsidR="00D66D75" w:rsidRDefault="003F284D">
      <w:pPr>
        <w:pStyle w:val="Pagrindinistekstas3"/>
        <w:rPr>
          <w:szCs w:val="24"/>
        </w:rPr>
      </w:pPr>
      <w:r w:rsidRPr="00561224">
        <w:rPr>
          <w:szCs w:val="24"/>
        </w:rPr>
        <w:t>2021 M. BALANDŽIO 28 D. EUROPOS PARLAMENTO IR TARYBOS REGLAMENT</w:t>
      </w:r>
      <w:r>
        <w:rPr>
          <w:szCs w:val="24"/>
        </w:rPr>
        <w:t>O</w:t>
      </w:r>
      <w:r w:rsidRPr="00561224">
        <w:rPr>
          <w:szCs w:val="24"/>
        </w:rPr>
        <w:t xml:space="preserve"> (ES) 2021/691 D</w:t>
      </w:r>
      <w:r w:rsidRPr="00561224">
        <w:rPr>
          <w:rFonts w:hint="eastAsia"/>
          <w:szCs w:val="24"/>
        </w:rPr>
        <w:t>Ė</w:t>
      </w:r>
      <w:r w:rsidRPr="00561224">
        <w:rPr>
          <w:szCs w:val="24"/>
        </w:rPr>
        <w:t>L EUROPOS PRISITAIKYMO PRIE GLOBALIZACIJOS PADARINI</w:t>
      </w:r>
      <w:r w:rsidRPr="00561224">
        <w:rPr>
          <w:rFonts w:hint="eastAsia"/>
          <w:szCs w:val="24"/>
        </w:rPr>
        <w:t>Ų</w:t>
      </w:r>
      <w:r w:rsidRPr="00561224">
        <w:rPr>
          <w:szCs w:val="24"/>
        </w:rPr>
        <w:t xml:space="preserve"> FONDO ATLEISTIEMS DARBUOTOJAMS (EGF), KURIUO PANAIKINAMAS REGLAMENTAS (ES) NR. 1309/2013</w:t>
      </w:r>
      <w:r>
        <w:rPr>
          <w:szCs w:val="24"/>
        </w:rPr>
        <w:t>,</w:t>
      </w:r>
      <w:r w:rsidRPr="006C3C46">
        <w:rPr>
          <w:szCs w:val="24"/>
        </w:rPr>
        <w:t xml:space="preserve"> IR </w:t>
      </w:r>
      <w:r w:rsidRPr="00915C1E">
        <w:t xml:space="preserve">LIETUVOS RESPUBLIKOS VYRIAUSYBĖS NUTARIMO </w:t>
      </w:r>
      <w:r>
        <w:t>„</w:t>
      </w:r>
      <w:r w:rsidRPr="00561224">
        <w:t>D</w:t>
      </w:r>
      <w:r w:rsidRPr="00561224">
        <w:rPr>
          <w:rFonts w:hint="eastAsia"/>
        </w:rPr>
        <w:t>Ė</w:t>
      </w:r>
      <w:r w:rsidRPr="00561224">
        <w:t>L INSTITUCIJ</w:t>
      </w:r>
      <w:r w:rsidRPr="00561224">
        <w:rPr>
          <w:rFonts w:hint="eastAsia"/>
        </w:rPr>
        <w:t>Ų</w:t>
      </w:r>
      <w:r w:rsidRPr="00561224">
        <w:t>, ATSAKING</w:t>
      </w:r>
      <w:r w:rsidRPr="00561224">
        <w:rPr>
          <w:rFonts w:hint="eastAsia"/>
        </w:rPr>
        <w:t>Ų</w:t>
      </w:r>
      <w:r w:rsidRPr="00561224">
        <w:t xml:space="preserve"> UŽ EUROPOS PRISITAIKYMO PRIE GLOBALIZACIJOS PADARINI</w:t>
      </w:r>
      <w:r w:rsidRPr="00561224">
        <w:rPr>
          <w:rFonts w:hint="eastAsia"/>
        </w:rPr>
        <w:t>Ų</w:t>
      </w:r>
      <w:r w:rsidRPr="00561224">
        <w:t xml:space="preserve"> FONDO ATLEISTIEMS DARBUOTOJAMS L</w:t>
      </w:r>
      <w:r w:rsidRPr="00561224">
        <w:rPr>
          <w:rFonts w:hint="eastAsia"/>
        </w:rPr>
        <w:t>ĖŠŲ</w:t>
      </w:r>
      <w:r w:rsidRPr="00561224">
        <w:t xml:space="preserve"> VALDYM</w:t>
      </w:r>
      <w:r w:rsidRPr="00561224">
        <w:rPr>
          <w:rFonts w:hint="eastAsia"/>
        </w:rPr>
        <w:t>Ą</w:t>
      </w:r>
      <w:r w:rsidRPr="00561224">
        <w:t xml:space="preserve"> IR KONTROL</w:t>
      </w:r>
      <w:r w:rsidRPr="00561224">
        <w:rPr>
          <w:rFonts w:hint="eastAsia"/>
        </w:rPr>
        <w:t>Ę</w:t>
      </w:r>
      <w:r w:rsidRPr="00561224">
        <w:t xml:space="preserve"> 2021–2027 METAIS, PASKYRIMO</w:t>
      </w:r>
      <w:r>
        <w:t xml:space="preserve">“ </w:t>
      </w:r>
      <w:r w:rsidRPr="006C3C46">
        <w:rPr>
          <w:szCs w:val="24"/>
        </w:rPr>
        <w:t xml:space="preserve">PROJEKTO </w:t>
      </w:r>
    </w:p>
    <w:p w14:paraId="3C0A85A4" w14:textId="1B0DEAB5" w:rsidR="00A0513A" w:rsidRPr="006C3C46" w:rsidRDefault="00A0513A">
      <w:pPr>
        <w:pStyle w:val="Pagrindinistekstas3"/>
        <w:rPr>
          <w:caps/>
          <w:szCs w:val="24"/>
        </w:rPr>
      </w:pPr>
      <w:r w:rsidRPr="006C3C46">
        <w:rPr>
          <w:caps/>
          <w:szCs w:val="24"/>
        </w:rPr>
        <w:t>ATITIKTIES LENTELĖ</w:t>
      </w:r>
    </w:p>
    <w:p w14:paraId="7AB5AFBA" w14:textId="77777777" w:rsidR="00A0513A" w:rsidRPr="006C3C46" w:rsidRDefault="00A0513A">
      <w:pPr>
        <w:jc w:val="center"/>
        <w:rPr>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560"/>
        <w:gridCol w:w="1800"/>
      </w:tblGrid>
      <w:tr w:rsidR="00BB380C" w:rsidRPr="006C3C46" w14:paraId="4299C083" w14:textId="77777777">
        <w:tc>
          <w:tcPr>
            <w:tcW w:w="5760" w:type="dxa"/>
          </w:tcPr>
          <w:p w14:paraId="272379E5" w14:textId="32F32FBA" w:rsidR="00BB380C" w:rsidRPr="003F284D" w:rsidRDefault="003F284D" w:rsidP="003F284D">
            <w:pPr>
              <w:jc w:val="left"/>
              <w:rPr>
                <w:b/>
                <w:bCs/>
                <w:szCs w:val="24"/>
              </w:rPr>
            </w:pPr>
            <w:r w:rsidRPr="003F284D">
              <w:rPr>
                <w:b/>
                <w:bCs/>
                <w:szCs w:val="24"/>
              </w:rPr>
              <w:t>2021 m. balandžio 28 d. Europos Parlamento ir Tarybos reglamentas (ES) 2021/691 D</w:t>
            </w:r>
            <w:r w:rsidRPr="003F284D">
              <w:rPr>
                <w:rFonts w:hint="eastAsia"/>
                <w:b/>
                <w:bCs/>
                <w:szCs w:val="24"/>
              </w:rPr>
              <w:t>ė</w:t>
            </w:r>
            <w:r w:rsidRPr="003F284D">
              <w:rPr>
                <w:b/>
                <w:bCs/>
                <w:szCs w:val="24"/>
              </w:rPr>
              <w:t>l Europos prisitaikymo prie globalizacijos padarini</w:t>
            </w:r>
            <w:r w:rsidRPr="003F284D">
              <w:rPr>
                <w:rFonts w:hint="eastAsia"/>
                <w:b/>
                <w:bCs/>
                <w:szCs w:val="24"/>
              </w:rPr>
              <w:t>ų</w:t>
            </w:r>
            <w:r w:rsidRPr="003F284D">
              <w:rPr>
                <w:b/>
                <w:bCs/>
                <w:szCs w:val="24"/>
              </w:rPr>
              <w:t xml:space="preserve"> fondo atleistiems darbuotojams (EGF), kuriuo panaikinamas reglamentas (ES) Nr. 1309/2013</w:t>
            </w:r>
          </w:p>
        </w:tc>
        <w:tc>
          <w:tcPr>
            <w:tcW w:w="7560" w:type="dxa"/>
          </w:tcPr>
          <w:p w14:paraId="1707FB78" w14:textId="68B63057" w:rsidR="00BB380C" w:rsidRPr="003F284D" w:rsidRDefault="003F284D" w:rsidP="003F284D">
            <w:pPr>
              <w:jc w:val="left"/>
              <w:rPr>
                <w:b/>
                <w:bCs/>
                <w:szCs w:val="24"/>
              </w:rPr>
            </w:pPr>
            <w:r w:rsidRPr="003F284D">
              <w:rPr>
                <w:b/>
                <w:bCs/>
              </w:rPr>
              <w:t>Lietuvos Respublikos Vyriausybės nutarimas „D</w:t>
            </w:r>
            <w:r w:rsidRPr="003F284D">
              <w:rPr>
                <w:rFonts w:hint="eastAsia"/>
                <w:b/>
                <w:bCs/>
              </w:rPr>
              <w:t>ė</w:t>
            </w:r>
            <w:r w:rsidRPr="003F284D">
              <w:rPr>
                <w:b/>
                <w:bCs/>
              </w:rPr>
              <w:t>l institucij</w:t>
            </w:r>
            <w:r w:rsidRPr="003F284D">
              <w:rPr>
                <w:rFonts w:hint="eastAsia"/>
                <w:b/>
                <w:bCs/>
              </w:rPr>
              <w:t>ų</w:t>
            </w:r>
            <w:r w:rsidRPr="003F284D">
              <w:rPr>
                <w:b/>
                <w:bCs/>
              </w:rPr>
              <w:t>, atsaking</w:t>
            </w:r>
            <w:r w:rsidRPr="003F284D">
              <w:rPr>
                <w:rFonts w:hint="eastAsia"/>
                <w:b/>
                <w:bCs/>
              </w:rPr>
              <w:t>ų</w:t>
            </w:r>
            <w:r w:rsidRPr="003F284D">
              <w:rPr>
                <w:b/>
                <w:bCs/>
              </w:rPr>
              <w:t xml:space="preserve"> už Europos prisitaikymo prie globalizacijos padarini</w:t>
            </w:r>
            <w:r w:rsidRPr="003F284D">
              <w:rPr>
                <w:rFonts w:hint="eastAsia"/>
                <w:b/>
                <w:bCs/>
              </w:rPr>
              <w:t>ų</w:t>
            </w:r>
            <w:r w:rsidRPr="003F284D">
              <w:rPr>
                <w:b/>
                <w:bCs/>
              </w:rPr>
              <w:t xml:space="preserve"> fondo atleistiems darbuotojams l</w:t>
            </w:r>
            <w:r w:rsidRPr="003F284D">
              <w:rPr>
                <w:rFonts w:hint="eastAsia"/>
                <w:b/>
                <w:bCs/>
              </w:rPr>
              <w:t>ėšų</w:t>
            </w:r>
            <w:r w:rsidRPr="003F284D">
              <w:rPr>
                <w:b/>
                <w:bCs/>
              </w:rPr>
              <w:t xml:space="preserve"> valdym</w:t>
            </w:r>
            <w:r w:rsidRPr="003F284D">
              <w:rPr>
                <w:rFonts w:hint="eastAsia"/>
                <w:b/>
                <w:bCs/>
              </w:rPr>
              <w:t>ą</w:t>
            </w:r>
            <w:r w:rsidRPr="003F284D">
              <w:rPr>
                <w:b/>
                <w:bCs/>
              </w:rPr>
              <w:t xml:space="preserve"> ir kontrol</w:t>
            </w:r>
            <w:r w:rsidRPr="003F284D">
              <w:rPr>
                <w:rFonts w:hint="eastAsia"/>
                <w:b/>
                <w:bCs/>
              </w:rPr>
              <w:t>ę</w:t>
            </w:r>
            <w:r w:rsidRPr="003F284D">
              <w:rPr>
                <w:b/>
                <w:bCs/>
              </w:rPr>
              <w:t xml:space="preserve"> 2021–2027 metais, paskyrimo“ </w:t>
            </w:r>
            <w:r w:rsidRPr="003F284D">
              <w:rPr>
                <w:b/>
                <w:bCs/>
                <w:szCs w:val="24"/>
              </w:rPr>
              <w:t>projekt</w:t>
            </w:r>
            <w:r w:rsidR="005026B3">
              <w:rPr>
                <w:b/>
                <w:bCs/>
                <w:szCs w:val="24"/>
              </w:rPr>
              <w:t>as</w:t>
            </w:r>
          </w:p>
        </w:tc>
        <w:tc>
          <w:tcPr>
            <w:tcW w:w="1800" w:type="dxa"/>
          </w:tcPr>
          <w:p w14:paraId="2846E3B1" w14:textId="77777777" w:rsidR="00BB380C" w:rsidRPr="006C3C46" w:rsidRDefault="0023643A" w:rsidP="005026B3">
            <w:pPr>
              <w:pStyle w:val="Antrats"/>
              <w:jc w:val="left"/>
              <w:rPr>
                <w:b/>
                <w:szCs w:val="24"/>
              </w:rPr>
            </w:pPr>
            <w:r w:rsidRPr="006C3C46">
              <w:rPr>
                <w:b/>
                <w:szCs w:val="24"/>
              </w:rPr>
              <w:t xml:space="preserve">Reglamento </w:t>
            </w:r>
            <w:r w:rsidR="00BB380C" w:rsidRPr="006C3C46">
              <w:rPr>
                <w:b/>
                <w:szCs w:val="24"/>
              </w:rPr>
              <w:t>perkėlimo ir įgyvendinimo lygis</w:t>
            </w:r>
          </w:p>
        </w:tc>
      </w:tr>
      <w:tr w:rsidR="00BB380C" w:rsidRPr="006C3C46" w14:paraId="66E39A86" w14:textId="77777777">
        <w:tc>
          <w:tcPr>
            <w:tcW w:w="5760" w:type="dxa"/>
          </w:tcPr>
          <w:p w14:paraId="140C1533" w14:textId="77777777" w:rsidR="003F284D" w:rsidRDefault="003F284D" w:rsidP="006C3C46">
            <w:pPr>
              <w:pStyle w:val="Default"/>
              <w:jc w:val="both"/>
              <w:rPr>
                <w:rFonts w:ascii="Times New Roman" w:hAnsi="Times New Roman" w:cs="Times New Roman"/>
                <w:bCs/>
              </w:rPr>
            </w:pPr>
          </w:p>
          <w:p w14:paraId="1F7B38CF" w14:textId="3F7C59F2" w:rsidR="006C3C46" w:rsidRPr="003F284D" w:rsidRDefault="006C3C46" w:rsidP="006C3C46">
            <w:pPr>
              <w:pStyle w:val="Default"/>
              <w:jc w:val="both"/>
              <w:rPr>
                <w:rFonts w:ascii="Times New Roman" w:hAnsi="Times New Roman" w:cs="Times New Roman"/>
                <w:b/>
              </w:rPr>
            </w:pPr>
            <w:r w:rsidRPr="003F284D">
              <w:rPr>
                <w:rFonts w:ascii="Times New Roman" w:hAnsi="Times New Roman" w:cs="Times New Roman"/>
                <w:b/>
              </w:rPr>
              <w:t>2</w:t>
            </w:r>
            <w:r w:rsidR="003F284D" w:rsidRPr="003F284D">
              <w:rPr>
                <w:rFonts w:ascii="Times New Roman" w:hAnsi="Times New Roman" w:cs="Times New Roman"/>
                <w:b/>
              </w:rPr>
              <w:t>3</w:t>
            </w:r>
            <w:r w:rsidRPr="003F284D">
              <w:rPr>
                <w:rFonts w:ascii="Times New Roman" w:hAnsi="Times New Roman" w:cs="Times New Roman"/>
                <w:b/>
              </w:rPr>
              <w:t xml:space="preserve"> straipsnio </w:t>
            </w:r>
            <w:r w:rsidR="003F284D">
              <w:rPr>
                <w:rFonts w:ascii="Times New Roman" w:hAnsi="Times New Roman" w:cs="Times New Roman"/>
                <w:b/>
              </w:rPr>
              <w:t>3</w:t>
            </w:r>
            <w:r w:rsidRPr="003F284D">
              <w:rPr>
                <w:rFonts w:ascii="Times New Roman" w:hAnsi="Times New Roman" w:cs="Times New Roman"/>
                <w:b/>
              </w:rPr>
              <w:t xml:space="preserve"> dalis</w:t>
            </w:r>
          </w:p>
          <w:p w14:paraId="74574625" w14:textId="77777777" w:rsidR="003F284D" w:rsidRDefault="003F284D" w:rsidP="003F284D">
            <w:pPr>
              <w:pStyle w:val="oj-normal"/>
              <w:shd w:val="clear" w:color="auto" w:fill="FFFFFF"/>
              <w:spacing w:before="120" w:beforeAutospacing="0" w:after="0" w:afterAutospacing="0"/>
              <w:jc w:val="both"/>
              <w:rPr>
                <w:color w:val="000000"/>
              </w:rPr>
            </w:pPr>
            <w:r>
              <w:rPr>
                <w:color w:val="000000"/>
              </w:rPr>
              <w:t>3.   Finansinio reglamento 63 straipsnio 3 dalies tikslais valstybės narės nustato įstaigas, atsakingas už EGF remiamų priemonių valdymą ir kontrolę. Teikiant Komisijai šio reglamento 20 straipsnio 1 dalyje nurodytą galutinę ataskaitą, tos įstaigos pateikia Komisijai Finansinio reglamento 63 straipsnio 5, 6 ir 7 dalyse nustatytą informaciją apie finansinio įnašo įgyvendinimą.</w:t>
            </w:r>
          </w:p>
          <w:p w14:paraId="532AF6DF" w14:textId="77777777" w:rsidR="003F284D" w:rsidRDefault="003F284D" w:rsidP="003F284D">
            <w:pPr>
              <w:pStyle w:val="oj-normal"/>
              <w:shd w:val="clear" w:color="auto" w:fill="FFFFFF"/>
              <w:spacing w:before="120" w:beforeAutospacing="0" w:after="0" w:afterAutospacing="0"/>
              <w:jc w:val="both"/>
              <w:rPr>
                <w:color w:val="000000"/>
              </w:rPr>
            </w:pPr>
            <w:r>
              <w:rPr>
                <w:color w:val="000000"/>
              </w:rPr>
              <w:t>Jei pagal Reglamentą (ES) Nr. 1309/2013 paskirtos institucijos pateikia pakankamai garantijų, kad mokėjimai yra teisėti, tvarkingi ir tinkamai apskaitomi, atitinkama valstybė narė gali pranešti Komisijai, kad tos įstaigos yra patvirtintos pagal šį reglamentą. Tokiame pranešime ta valstybė narė nurodo, kurios įstaigos yra patvirtintos ir kokios yra jų funkcijos.</w:t>
            </w:r>
          </w:p>
          <w:p w14:paraId="6A3E5DA6" w14:textId="77777777" w:rsidR="00BB380C" w:rsidRPr="006C3C46" w:rsidRDefault="00BB380C">
            <w:pPr>
              <w:rPr>
                <w:b/>
                <w:szCs w:val="24"/>
              </w:rPr>
            </w:pPr>
          </w:p>
        </w:tc>
        <w:tc>
          <w:tcPr>
            <w:tcW w:w="7560" w:type="dxa"/>
          </w:tcPr>
          <w:p w14:paraId="12D8DF93" w14:textId="77777777" w:rsidR="003F284D" w:rsidRDefault="003F284D" w:rsidP="003F284D">
            <w:pPr>
              <w:ind w:firstLine="720"/>
            </w:pPr>
          </w:p>
          <w:p w14:paraId="396066F3" w14:textId="0C50CD19" w:rsidR="003F284D" w:rsidRPr="00E45B1C" w:rsidRDefault="003F284D" w:rsidP="003F284D">
            <w:pPr>
              <w:ind w:firstLine="720"/>
            </w:pPr>
            <w:r w:rsidRPr="00E45B1C">
              <w:t xml:space="preserve">Paskirti institucijas, atsakingas už </w:t>
            </w:r>
            <w:r>
              <w:rPr>
                <w:color w:val="000000"/>
                <w:shd w:val="clear" w:color="auto" w:fill="FFFFFF"/>
              </w:rPr>
              <w:t xml:space="preserve">Europos prisitaikymo prie globalizacijos padarinių atleistiems darbuotojams fondo (toliau – </w:t>
            </w:r>
            <w:r w:rsidRPr="00487289">
              <w:t>EGF</w:t>
            </w:r>
            <w:r>
              <w:t xml:space="preserve">) </w:t>
            </w:r>
            <w:r w:rsidRPr="00E45B1C">
              <w:t>lėšų valdymą ir kontrolę 20</w:t>
            </w:r>
            <w:r>
              <w:t>21</w:t>
            </w:r>
            <w:r w:rsidRPr="00E45B1C">
              <w:t>–202</w:t>
            </w:r>
            <w:r>
              <w:t>7</w:t>
            </w:r>
            <w:r w:rsidRPr="00E45B1C">
              <w:t xml:space="preserve"> metais:</w:t>
            </w:r>
          </w:p>
          <w:p w14:paraId="425A5231" w14:textId="253FB7AA" w:rsidR="003F284D" w:rsidRPr="00E45B1C" w:rsidRDefault="003F284D" w:rsidP="003F284D">
            <w:pPr>
              <w:ind w:firstLine="720"/>
            </w:pPr>
            <w:r w:rsidRPr="00E45B1C">
              <w:t>1. Lietuvos Respublikos socialinės apsaugos ir darbo ministeriją – vadovaujanči</w:t>
            </w:r>
            <w:r w:rsidR="005026B3">
              <w:t>ąja</w:t>
            </w:r>
            <w:r>
              <w:t>,</w:t>
            </w:r>
            <w:r w:rsidRPr="00E45B1C">
              <w:t xml:space="preserve"> mokėjimo </w:t>
            </w:r>
            <w:r>
              <w:t xml:space="preserve">ir audito </w:t>
            </w:r>
            <w:r w:rsidRPr="00E45B1C">
              <w:t>institucija;</w:t>
            </w:r>
          </w:p>
          <w:p w14:paraId="1E0FFA71" w14:textId="77777777" w:rsidR="003F284D" w:rsidRPr="00E45B1C" w:rsidRDefault="003F284D" w:rsidP="003F284D">
            <w:pPr>
              <w:ind w:firstLine="720"/>
            </w:pPr>
            <w:r w:rsidRPr="00E45B1C">
              <w:t>2. Užimtumo tarnybą prie Lietuvos Respublikos socialinės apsaugos ir darbo ministerijos –</w:t>
            </w:r>
            <w:r>
              <w:t xml:space="preserve"> EGF lėšomis finansuojamų projektus įgyvendinančia institucija</w:t>
            </w:r>
            <w:r w:rsidRPr="00E45B1C">
              <w:t>;</w:t>
            </w:r>
          </w:p>
          <w:p w14:paraId="66079651" w14:textId="77777777" w:rsidR="003F284D" w:rsidRPr="00E45B1C" w:rsidRDefault="003F284D" w:rsidP="003F284D">
            <w:pPr>
              <w:ind w:firstLine="720"/>
            </w:pPr>
            <w:r w:rsidRPr="00E45B1C">
              <w:t xml:space="preserve">3. viešąją įstaigą Europos socialinio fondo agentūrą – </w:t>
            </w:r>
            <w:r>
              <w:t xml:space="preserve">tarpine institucija, </w:t>
            </w:r>
            <w:r w:rsidRPr="00E45B1C">
              <w:t xml:space="preserve">atsakinga </w:t>
            </w:r>
            <w:r>
              <w:t xml:space="preserve">už </w:t>
            </w:r>
            <w:r w:rsidRPr="00487289">
              <w:t>EGF</w:t>
            </w:r>
            <w:r>
              <w:t xml:space="preserve"> </w:t>
            </w:r>
            <w:r w:rsidRPr="00E45B1C">
              <w:t>lėšomis finansuojamų projektų mokėjimo prašymų tikrinimą ir tvirtinimą, mokėjimo prašymuose nurodytų išlaidų tinkamumą finansuoti ir mokėjimo paraiškų rengimą</w:t>
            </w:r>
            <w:r>
              <w:t>.</w:t>
            </w:r>
          </w:p>
          <w:p w14:paraId="12A94C90" w14:textId="77777777" w:rsidR="00BB380C" w:rsidRPr="006C3C46" w:rsidRDefault="00BB380C" w:rsidP="003F284D">
            <w:pPr>
              <w:autoSpaceDE w:val="0"/>
              <w:autoSpaceDN w:val="0"/>
              <w:adjustRightInd w:val="0"/>
              <w:ind w:right="-327" w:firstLine="709"/>
              <w:rPr>
                <w:szCs w:val="24"/>
              </w:rPr>
            </w:pPr>
          </w:p>
        </w:tc>
        <w:tc>
          <w:tcPr>
            <w:tcW w:w="1800" w:type="dxa"/>
          </w:tcPr>
          <w:p w14:paraId="66BCE4A5" w14:textId="77777777" w:rsidR="003F284D" w:rsidRDefault="003F284D" w:rsidP="00BB380C">
            <w:pPr>
              <w:rPr>
                <w:szCs w:val="24"/>
              </w:rPr>
            </w:pPr>
          </w:p>
          <w:p w14:paraId="03EAEF1B" w14:textId="2505B351" w:rsidR="00BB380C" w:rsidRPr="006C3C46" w:rsidRDefault="007A0F09" w:rsidP="00BB380C">
            <w:pPr>
              <w:rPr>
                <w:szCs w:val="24"/>
              </w:rPr>
            </w:pPr>
            <w:r w:rsidRPr="006C3C46">
              <w:rPr>
                <w:szCs w:val="24"/>
              </w:rPr>
              <w:t>Visiškas</w:t>
            </w:r>
          </w:p>
        </w:tc>
      </w:tr>
    </w:tbl>
    <w:p w14:paraId="44ABFDF7" w14:textId="77777777" w:rsidR="00A0513A" w:rsidRPr="006C3C46" w:rsidRDefault="00A0513A" w:rsidP="00206223">
      <w:pPr>
        <w:rPr>
          <w:szCs w:val="24"/>
        </w:rPr>
      </w:pPr>
    </w:p>
    <w:sectPr w:rsidR="00A0513A" w:rsidRPr="006C3C46" w:rsidSect="0017758C">
      <w:footerReference w:type="even" r:id="rId8"/>
      <w:footerReference w:type="default" r:id="rId9"/>
      <w:pgSz w:w="16840" w:h="11907" w:orient="landscape" w:code="9"/>
      <w:pgMar w:top="1438"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FB629" w14:textId="77777777" w:rsidR="00222034" w:rsidRDefault="00222034">
      <w:r>
        <w:separator/>
      </w:r>
    </w:p>
  </w:endnote>
  <w:endnote w:type="continuationSeparator" w:id="0">
    <w:p w14:paraId="404B3A69" w14:textId="77777777" w:rsidR="00222034" w:rsidRDefault="0022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DD473" w14:textId="77777777" w:rsidR="00C65A02" w:rsidRDefault="00C65A02" w:rsidP="008A7B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0C43CD" w14:textId="77777777" w:rsidR="00C65A02" w:rsidRDefault="00C65A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F01C" w14:textId="77777777" w:rsidR="00C65A02" w:rsidRDefault="00C65A02" w:rsidP="002B140E">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FCECA" w14:textId="77777777" w:rsidR="00222034" w:rsidRDefault="00222034">
      <w:r>
        <w:separator/>
      </w:r>
    </w:p>
  </w:footnote>
  <w:footnote w:type="continuationSeparator" w:id="0">
    <w:p w14:paraId="3EA4C0D1" w14:textId="77777777" w:rsidR="00222034" w:rsidRDefault="00222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3FC3"/>
    <w:multiLevelType w:val="singleLevel"/>
    <w:tmpl w:val="33EC5718"/>
    <w:lvl w:ilvl="0">
      <w:start w:val="1"/>
      <w:numFmt w:val="decimal"/>
      <w:lvlText w:val="%1."/>
      <w:lvlJc w:val="left"/>
      <w:pPr>
        <w:tabs>
          <w:tab w:val="num" w:pos="360"/>
        </w:tabs>
        <w:ind w:left="360" w:hanging="360"/>
      </w:pPr>
      <w:rPr>
        <w:rFonts w:hint="default"/>
      </w:rPr>
    </w:lvl>
  </w:abstractNum>
  <w:abstractNum w:abstractNumId="1" w15:restartNumberingAfterBreak="0">
    <w:nsid w:val="187A2733"/>
    <w:multiLevelType w:val="singleLevel"/>
    <w:tmpl w:val="33EC5718"/>
    <w:lvl w:ilvl="0">
      <w:start w:val="1"/>
      <w:numFmt w:val="decimal"/>
      <w:lvlText w:val="%1."/>
      <w:lvlJc w:val="left"/>
      <w:pPr>
        <w:tabs>
          <w:tab w:val="num" w:pos="360"/>
        </w:tabs>
        <w:ind w:left="360" w:hanging="360"/>
      </w:pPr>
      <w:rPr>
        <w:rFonts w:hint="default"/>
      </w:rPr>
    </w:lvl>
  </w:abstractNum>
  <w:abstractNum w:abstractNumId="2" w15:restartNumberingAfterBreak="0">
    <w:nsid w:val="26891EB6"/>
    <w:multiLevelType w:val="singleLevel"/>
    <w:tmpl w:val="33EC5718"/>
    <w:lvl w:ilvl="0">
      <w:start w:val="1"/>
      <w:numFmt w:val="decimal"/>
      <w:lvlText w:val="%1."/>
      <w:lvlJc w:val="left"/>
      <w:pPr>
        <w:tabs>
          <w:tab w:val="num" w:pos="360"/>
        </w:tabs>
        <w:ind w:left="360" w:hanging="360"/>
      </w:pPr>
      <w:rPr>
        <w:rFonts w:hint="default"/>
      </w:rPr>
    </w:lvl>
  </w:abstractNum>
  <w:abstractNum w:abstractNumId="3" w15:restartNumberingAfterBreak="0">
    <w:nsid w:val="288D5465"/>
    <w:multiLevelType w:val="singleLevel"/>
    <w:tmpl w:val="B8BEEF3A"/>
    <w:lvl w:ilvl="0">
      <w:start w:val="1"/>
      <w:numFmt w:val="bullet"/>
      <w:lvlText w:val="-"/>
      <w:lvlJc w:val="left"/>
      <w:pPr>
        <w:tabs>
          <w:tab w:val="num" w:pos="360"/>
        </w:tabs>
        <w:ind w:left="360" w:hanging="360"/>
      </w:pPr>
      <w:rPr>
        <w:rFonts w:hint="default"/>
      </w:rPr>
    </w:lvl>
  </w:abstractNum>
  <w:abstractNum w:abstractNumId="4" w15:restartNumberingAfterBreak="0">
    <w:nsid w:val="32854A4C"/>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4AA43F5F"/>
    <w:multiLevelType w:val="singleLevel"/>
    <w:tmpl w:val="33EC5718"/>
    <w:lvl w:ilvl="0">
      <w:start w:val="1"/>
      <w:numFmt w:val="decimal"/>
      <w:lvlText w:val="%1."/>
      <w:lvlJc w:val="left"/>
      <w:pPr>
        <w:tabs>
          <w:tab w:val="num" w:pos="360"/>
        </w:tabs>
        <w:ind w:left="360" w:hanging="360"/>
      </w:pPr>
      <w:rPr>
        <w:rFonts w:hint="default"/>
      </w:rPr>
    </w:lvl>
  </w:abstractNum>
  <w:abstractNum w:abstractNumId="6" w15:restartNumberingAfterBreak="0">
    <w:nsid w:val="5DB47FD7"/>
    <w:multiLevelType w:val="singleLevel"/>
    <w:tmpl w:val="33EC5718"/>
    <w:lvl w:ilvl="0">
      <w:start w:val="1"/>
      <w:numFmt w:val="decimal"/>
      <w:lvlText w:val="%1."/>
      <w:lvlJc w:val="left"/>
      <w:pPr>
        <w:tabs>
          <w:tab w:val="num" w:pos="360"/>
        </w:tabs>
        <w:ind w:left="360" w:hanging="360"/>
      </w:pPr>
      <w:rPr>
        <w:rFonts w:hint="default"/>
      </w:rPr>
    </w:lvl>
  </w:abstractNum>
  <w:abstractNum w:abstractNumId="7" w15:restartNumberingAfterBreak="0">
    <w:nsid w:val="713961D9"/>
    <w:multiLevelType w:val="singleLevel"/>
    <w:tmpl w:val="33EC5718"/>
    <w:lvl w:ilvl="0">
      <w:start w:val="1"/>
      <w:numFmt w:val="decimal"/>
      <w:lvlText w:val="%1."/>
      <w:lvlJc w:val="left"/>
      <w:pPr>
        <w:tabs>
          <w:tab w:val="num" w:pos="360"/>
        </w:tabs>
        <w:ind w:left="360" w:hanging="360"/>
      </w:pPr>
      <w:rPr>
        <w:rFonts w:hint="default"/>
      </w:rPr>
    </w:lvl>
  </w:abstractNum>
  <w:abstractNum w:abstractNumId="8" w15:restartNumberingAfterBreak="0">
    <w:nsid w:val="77AF4A21"/>
    <w:multiLevelType w:val="singleLevel"/>
    <w:tmpl w:val="136A33E2"/>
    <w:lvl w:ilvl="0">
      <w:start w:val="1"/>
      <w:numFmt w:val="lowerLetter"/>
      <w:lvlText w:val="%1)"/>
      <w:lvlJc w:val="left"/>
      <w:pPr>
        <w:tabs>
          <w:tab w:val="num" w:pos="360"/>
        </w:tabs>
        <w:ind w:left="0" w:firstLine="0"/>
      </w:pPr>
    </w:lvl>
  </w:abstractNum>
  <w:num w:numId="1">
    <w:abstractNumId w:val="4"/>
  </w:num>
  <w:num w:numId="2">
    <w:abstractNumId w:val="8"/>
  </w:num>
  <w:num w:numId="3">
    <w:abstractNumId w:val="5"/>
  </w:num>
  <w:num w:numId="4">
    <w:abstractNumId w:val="6"/>
  </w:num>
  <w:num w:numId="5">
    <w:abstractNumId w:val="2"/>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67"/>
    <w:rsid w:val="000606E1"/>
    <w:rsid w:val="000E575F"/>
    <w:rsid w:val="0017758C"/>
    <w:rsid w:val="001A43C7"/>
    <w:rsid w:val="001E110D"/>
    <w:rsid w:val="001E3101"/>
    <w:rsid w:val="001E567F"/>
    <w:rsid w:val="00206223"/>
    <w:rsid w:val="00222034"/>
    <w:rsid w:val="0023643A"/>
    <w:rsid w:val="00280DC7"/>
    <w:rsid w:val="002B140E"/>
    <w:rsid w:val="002F614E"/>
    <w:rsid w:val="00335680"/>
    <w:rsid w:val="0034670C"/>
    <w:rsid w:val="003F284D"/>
    <w:rsid w:val="004E68FE"/>
    <w:rsid w:val="004F179C"/>
    <w:rsid w:val="005026B3"/>
    <w:rsid w:val="005A4403"/>
    <w:rsid w:val="005E738C"/>
    <w:rsid w:val="006348BF"/>
    <w:rsid w:val="006C3C46"/>
    <w:rsid w:val="00727D67"/>
    <w:rsid w:val="00756D40"/>
    <w:rsid w:val="00783490"/>
    <w:rsid w:val="007A0F09"/>
    <w:rsid w:val="007A20F8"/>
    <w:rsid w:val="007B1524"/>
    <w:rsid w:val="007E1F6B"/>
    <w:rsid w:val="008426EC"/>
    <w:rsid w:val="008A540C"/>
    <w:rsid w:val="008A7BAD"/>
    <w:rsid w:val="008F6DE9"/>
    <w:rsid w:val="009013F0"/>
    <w:rsid w:val="009779FF"/>
    <w:rsid w:val="009B304B"/>
    <w:rsid w:val="009C2C42"/>
    <w:rsid w:val="00A0513A"/>
    <w:rsid w:val="00A2678A"/>
    <w:rsid w:val="00A412DF"/>
    <w:rsid w:val="00A619C2"/>
    <w:rsid w:val="00A865F5"/>
    <w:rsid w:val="00A91F58"/>
    <w:rsid w:val="00AA3A5E"/>
    <w:rsid w:val="00B17DD3"/>
    <w:rsid w:val="00B429AE"/>
    <w:rsid w:val="00BB30C7"/>
    <w:rsid w:val="00BB380C"/>
    <w:rsid w:val="00BB690D"/>
    <w:rsid w:val="00BC0D63"/>
    <w:rsid w:val="00BC186E"/>
    <w:rsid w:val="00C203C1"/>
    <w:rsid w:val="00C65A02"/>
    <w:rsid w:val="00C84029"/>
    <w:rsid w:val="00CF6828"/>
    <w:rsid w:val="00D66D75"/>
    <w:rsid w:val="00D76D05"/>
    <w:rsid w:val="00E35855"/>
    <w:rsid w:val="00E83BC6"/>
    <w:rsid w:val="00E9318C"/>
    <w:rsid w:val="00EA1418"/>
    <w:rsid w:val="00EC58D2"/>
    <w:rsid w:val="00EF7209"/>
    <w:rsid w:val="00F31E44"/>
    <w:rsid w:val="00F81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D6F56"/>
  <w15:chartTrackingRefBased/>
  <w15:docId w15:val="{C2A67C19-6394-4496-9D7A-F3F3427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6223"/>
    <w:pPr>
      <w:jc w:val="both"/>
    </w:pPr>
    <w:rPr>
      <w:sz w:val="24"/>
    </w:rPr>
  </w:style>
  <w:style w:type="paragraph" w:styleId="Antrat1">
    <w:name w:val="heading 1"/>
    <w:basedOn w:val="prastasis"/>
    <w:qFormat/>
    <w:pPr>
      <w:spacing w:before="100" w:beforeAutospacing="1" w:after="100" w:afterAutospacing="1"/>
      <w:jc w:val="center"/>
      <w:outlineLvl w:val="0"/>
    </w:pPr>
    <w:rPr>
      <w:b/>
      <w:bCs/>
      <w:kern w:val="36"/>
      <w:sz w:val="16"/>
      <w:szCs w:val="16"/>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3">
    <w:name w:val="Body Text 3"/>
    <w:basedOn w:val="prastasis"/>
    <w:pPr>
      <w:jc w:val="center"/>
    </w:pPr>
    <w:rPr>
      <w:b/>
    </w:rPr>
  </w:style>
  <w:style w:type="character" w:customStyle="1" w:styleId="Datametai">
    <w:name w:val="Data_metai"/>
    <w:basedOn w:val="Numatytasispastraiposriftas"/>
  </w:style>
  <w:style w:type="character" w:customStyle="1" w:styleId="Datamnuo">
    <w:name w:val="Data_mënuo"/>
    <w:rPr>
      <w:rFonts w:ascii="HelveticaLT" w:hAnsi="HelveticaLT"/>
      <w:sz w:val="24"/>
    </w:rPr>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paragraph" w:styleId="Pagrindinistekstas">
    <w:name w:val="Body Text"/>
    <w:basedOn w:val="prastasis"/>
    <w:pPr>
      <w:spacing w:after="120"/>
    </w:pPr>
  </w:style>
  <w:style w:type="paragraph" w:styleId="Pagrindiniotekstotrauka">
    <w:name w:val="Body Text Indent"/>
    <w:basedOn w:val="prastasis"/>
    <w:pPr>
      <w:spacing w:after="120"/>
      <w:ind w:left="283"/>
    </w:pPr>
  </w:style>
  <w:style w:type="paragraph" w:customStyle="1" w:styleId="tekstas">
    <w:name w:val="tekstas"/>
    <w:basedOn w:val="prastasis"/>
    <w:pPr>
      <w:spacing w:before="100" w:beforeAutospacing="1" w:after="100" w:afterAutospacing="1"/>
    </w:pPr>
  </w:style>
  <w:style w:type="character" w:styleId="Puslapioinaosnuoroda">
    <w:name w:val="footnote reference"/>
    <w:basedOn w:val="Numatytasispastraiposriftas"/>
    <w:semiHidden/>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CentrBold">
    <w:name w:val="CentrBold"/>
    <w:pPr>
      <w:jc w:val="center"/>
    </w:pPr>
    <w:rPr>
      <w:rFonts w:ascii="TimesLT" w:hAnsi="TimesLT"/>
      <w:b/>
      <w:caps/>
      <w:snapToGrid w:val="0"/>
      <w:lang w:val="en-US" w:eastAsia="en-US"/>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customStyle="1" w:styleId="HTMLTypewriter1">
    <w:name w:val="HTML Typewriter1"/>
    <w:rPr>
      <w:rFonts w:ascii="Courier New" w:eastAsia="Times New Roman" w:hAnsi="Courier New" w:cs="Tahoma"/>
      <w:sz w:val="20"/>
      <w:szCs w:val="20"/>
    </w:rPr>
  </w:style>
  <w:style w:type="paragraph" w:styleId="Tekstoblokas">
    <w:name w:val="Block Text"/>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 w:type="paragraph" w:customStyle="1" w:styleId="BalloonText1">
    <w:name w:val="Balloon Text1"/>
    <w:basedOn w:val="prastasis"/>
    <w:semiHidden/>
    <w:rPr>
      <w:rFonts w:ascii="Tahoma" w:hAnsi="Tahoma" w:cs="HelveticaLT"/>
      <w:sz w:val="16"/>
      <w:szCs w:val="16"/>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customStyle="1" w:styleId="mazas">
    <w:name w:val="mazas"/>
    <w:basedOn w:val="prastasis"/>
    <w:pPr>
      <w:spacing w:before="100" w:beforeAutospacing="1" w:after="100" w:afterAutospacing="1"/>
    </w:pPr>
    <w:rPr>
      <w:rFonts w:ascii="Arial Unicode MS" w:eastAsia="Arial Unicode MS" w:hAnsi="Arial Unicode MS" w:cs="TimesLT"/>
    </w:rPr>
  </w:style>
  <w:style w:type="paragraph" w:styleId="Pagrindinistekstas2">
    <w:name w:val="Body Text 2"/>
    <w:basedOn w:val="prastasis"/>
    <w:rPr>
      <w:sz w:val="22"/>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rPr>
  </w:style>
  <w:style w:type="paragraph" w:customStyle="1" w:styleId="BalloonText2">
    <w:name w:val="Balloon Text2"/>
    <w:basedOn w:val="prastasis"/>
    <w:semiHidden/>
    <w:rPr>
      <w:rFonts w:ascii="Tahoma" w:hAnsi="Tahoma" w:cs="HelveticaLT"/>
      <w:sz w:val="16"/>
      <w:szCs w:val="16"/>
    </w:rPr>
  </w:style>
  <w:style w:type="paragraph" w:styleId="Puslapioinaostekstas">
    <w:name w:val="footnote text"/>
    <w:basedOn w:val="prastasis"/>
    <w:semiHidden/>
    <w:rPr>
      <w:sz w:val="20"/>
      <w:lang w:eastAsia="en-US"/>
    </w:rPr>
  </w:style>
  <w:style w:type="character" w:styleId="Emfaz">
    <w:name w:val="Emphasis"/>
    <w:qFormat/>
    <w:rPr>
      <w:i/>
    </w:rPr>
  </w:style>
  <w:style w:type="paragraph" w:styleId="Debesliotekstas">
    <w:name w:val="Balloon Text"/>
    <w:basedOn w:val="prastasis"/>
    <w:semiHidden/>
    <w:rPr>
      <w:rFonts w:ascii="Tahoma" w:hAnsi="Tahoma" w:cs="Tahoma"/>
      <w:sz w:val="16"/>
      <w:szCs w:val="16"/>
    </w:rPr>
  </w:style>
  <w:style w:type="character" w:styleId="Hipersaitas">
    <w:name w:val="Hyperlink"/>
    <w:rPr>
      <w:color w:val="000000"/>
      <w:u w:val="single"/>
    </w:rPr>
  </w:style>
  <w:style w:type="character" w:styleId="Perirtashipersaitas">
    <w:name w:val="FollowedHyperlink"/>
    <w:rPr>
      <w:color w:val="800080"/>
      <w:u w:val="single"/>
    </w:rPr>
  </w:style>
  <w:style w:type="paragraph" w:customStyle="1" w:styleId="prastasistinklapis">
    <w:name w:val="Įprastasis (tinklapis)"/>
    <w:basedOn w:val="prastasis"/>
    <w:rsid w:val="00BB380C"/>
    <w:pPr>
      <w:spacing w:before="150" w:after="150"/>
      <w:ind w:left="675" w:right="525"/>
      <w:jc w:val="left"/>
    </w:pPr>
    <w:rPr>
      <w:sz w:val="19"/>
      <w:szCs w:val="19"/>
    </w:rPr>
  </w:style>
  <w:style w:type="paragraph" w:customStyle="1" w:styleId="Default">
    <w:name w:val="Default"/>
    <w:rsid w:val="006C3C4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C3C46"/>
    <w:rPr>
      <w:rFonts w:cs="Times New Roman"/>
      <w:color w:val="auto"/>
    </w:rPr>
  </w:style>
  <w:style w:type="paragraph" w:customStyle="1" w:styleId="CM3">
    <w:name w:val="CM3"/>
    <w:basedOn w:val="Default"/>
    <w:next w:val="Default"/>
    <w:uiPriority w:val="99"/>
    <w:rsid w:val="006C3C46"/>
    <w:rPr>
      <w:rFonts w:cs="Times New Roman"/>
      <w:color w:val="auto"/>
    </w:rPr>
  </w:style>
  <w:style w:type="character" w:styleId="Komentaronuoroda">
    <w:name w:val="annotation reference"/>
    <w:rsid w:val="008A540C"/>
    <w:rPr>
      <w:sz w:val="16"/>
      <w:szCs w:val="16"/>
    </w:rPr>
  </w:style>
  <w:style w:type="paragraph" w:styleId="Komentarotekstas">
    <w:name w:val="annotation text"/>
    <w:basedOn w:val="prastasis"/>
    <w:link w:val="KomentarotekstasDiagrama"/>
    <w:rsid w:val="008A540C"/>
    <w:rPr>
      <w:sz w:val="20"/>
    </w:rPr>
  </w:style>
  <w:style w:type="character" w:customStyle="1" w:styleId="KomentarotekstasDiagrama">
    <w:name w:val="Komentaro tekstas Diagrama"/>
    <w:basedOn w:val="Numatytasispastraiposriftas"/>
    <w:link w:val="Komentarotekstas"/>
    <w:rsid w:val="008A540C"/>
  </w:style>
  <w:style w:type="paragraph" w:styleId="Komentarotema">
    <w:name w:val="annotation subject"/>
    <w:basedOn w:val="Komentarotekstas"/>
    <w:next w:val="Komentarotekstas"/>
    <w:link w:val="KomentarotemaDiagrama"/>
    <w:rsid w:val="008A540C"/>
    <w:rPr>
      <w:b/>
      <w:bCs/>
    </w:rPr>
  </w:style>
  <w:style w:type="character" w:customStyle="1" w:styleId="KomentarotemaDiagrama">
    <w:name w:val="Komentaro tema Diagrama"/>
    <w:link w:val="Komentarotema"/>
    <w:rsid w:val="008A540C"/>
    <w:rPr>
      <w:b/>
      <w:bCs/>
    </w:rPr>
  </w:style>
  <w:style w:type="paragraph" w:customStyle="1" w:styleId="oj-normal">
    <w:name w:val="oj-normal"/>
    <w:basedOn w:val="prastasis"/>
    <w:rsid w:val="003F284D"/>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001629">
      <w:bodyDiv w:val="1"/>
      <w:marLeft w:val="0"/>
      <w:marRight w:val="0"/>
      <w:marTop w:val="0"/>
      <w:marBottom w:val="0"/>
      <w:divBdr>
        <w:top w:val="none" w:sz="0" w:space="0" w:color="auto"/>
        <w:left w:val="none" w:sz="0" w:space="0" w:color="auto"/>
        <w:bottom w:val="none" w:sz="0" w:space="0" w:color="auto"/>
        <w:right w:val="none" w:sz="0" w:space="0" w:color="auto"/>
      </w:divBdr>
      <w:divsChild>
        <w:div w:id="1440492469">
          <w:marLeft w:val="3"/>
          <w:marRight w:val="3"/>
          <w:marTop w:val="0"/>
          <w:marBottom w:val="0"/>
          <w:divBdr>
            <w:top w:val="single" w:sz="6" w:space="0" w:color="112449"/>
            <w:left w:val="single" w:sz="6" w:space="0" w:color="112449"/>
            <w:bottom w:val="single" w:sz="6" w:space="0" w:color="112449"/>
            <w:right w:val="single" w:sz="6" w:space="0" w:color="112449"/>
          </w:divBdr>
          <w:divsChild>
            <w:div w:id="124368092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 w:id="17969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54CC-6B2D-4293-B729-654F7EEE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pozicijos Europos Sąjungos institucijose nagrinėjamais klausimais rengimo, derinimo, pristatymo ir Europo</vt:lpstr>
      <vt:lpstr>Lietuvos Respublikos pozicijos Europos Sąjungos institucijose nagrinėjamais klausimais rengimo, derinimo, pristatymo ir Europo</vt:lpstr>
    </vt:vector>
  </TitlesOfParts>
  <Company>NVTAT</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2021-07-02T11:57:00Z</dcterms:created>
  <dc:creator>Girma</dc:creator>
  <cp:lastModifiedBy>Artūras Bytautas</cp:lastModifiedBy>
  <cp:lastPrinted>2005-11-23T08:04:00Z</cp:lastPrinted>
  <dcterms:modified xsi:type="dcterms:W3CDTF">2021-07-02T11:57:00Z</dcterms:modified>
  <cp:revision>2</cp:revision>
  <dc:title>Lietuvos Respublikos pozicijos Europos Sąjungos institucijose nagrinėjamais klausimais rengimo, derinimo, pristatymo ir Europo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-964153767</vt:i4>
  </property>
  <property fmtid="{D5CDD505-2E9C-101B-9397-08002B2CF9AE}" pid="3" name="_NewReviewCycle">
    <vt:lpwstr/>
  </property>
  <property fmtid="{D5CDD505-2E9C-101B-9397-08002B2CF9AE}" pid="4" name="_EmailSubject">
    <vt:lpwstr>LINESIS: Nuo 2021-05-04 užregistruoti ES teisės aktai</vt:lpwstr>
  </property>
  <property fmtid="{D5CDD505-2E9C-101B-9397-08002B2CF9AE}" pid="5" name="_AuthorEmail">
    <vt:lpwstr>Diana.Rudokiene@socmin.lt</vt:lpwstr>
  </property>
  <property fmtid="{D5CDD505-2E9C-101B-9397-08002B2CF9AE}" pid="6" name="_AuthorEmailDisplayName">
    <vt:lpwstr>Diana Rudokienė</vt:lpwstr>
  </property>
  <property fmtid="{D5CDD505-2E9C-101B-9397-08002B2CF9AE}" pid="7" name="_PreviousAdHocReviewCycleID">
    <vt:i4>-1519262967</vt:i4>
  </property>
  <property fmtid="{D5CDD505-2E9C-101B-9397-08002B2CF9AE}" pid="8" name="_ReviewingToolsShownOnce">
    <vt:lpwstr/>
  </property>
</Properties>
</file>