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 Id="rId4" Target="docProps/custom.xml"
                 Type="http://schemas.openxmlformats.org/officeDocument/2006/relationships/custom-properties"/>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03698" w:rsidRPr="004E7790" w:rsidRDefault="00BF4B02">
      <w:pPr>
        <w:pStyle w:val="Standard"/>
        <w:spacing w:after="0"/>
        <w:contextualSpacing/>
        <w:jc w:val="center"/>
        <w:rPr>
          <w:rFonts w:ascii="Times New Roman" w:hAnsi="Times New Roman"/>
        </w:rPr>
      </w:pPr>
      <w:bookmarkStart w:id="0" w:name="_GoBack"/>
      <w:bookmarkEnd w:id="0"/>
      <w:r w:rsidRPr="004E7790">
        <w:rPr>
          <w:rFonts w:ascii="Times New Roman" w:hAnsi="Times New Roman"/>
          <w:b/>
          <w:bCs/>
        </w:rPr>
        <w:t>LIETUVOS RESPUBLIKOS ADMINISTRACINIŲ NUSIŽENGIMŲ KODEKSO 234</w:t>
      </w:r>
      <w:r w:rsidRPr="004E7790">
        <w:rPr>
          <w:rFonts w:ascii="Times New Roman" w:hAnsi="Times New Roman"/>
          <w:b/>
          <w:bCs/>
          <w:vertAlign w:val="superscript"/>
        </w:rPr>
        <w:t>1</w:t>
      </w:r>
      <w:r w:rsidRPr="004E7790">
        <w:rPr>
          <w:rFonts w:ascii="Times New Roman" w:hAnsi="Times New Roman"/>
          <w:b/>
          <w:bCs/>
        </w:rPr>
        <w:t>, 234</w:t>
      </w:r>
      <w:r w:rsidRPr="004E7790">
        <w:rPr>
          <w:rFonts w:ascii="Times New Roman" w:hAnsi="Times New Roman"/>
          <w:b/>
          <w:bCs/>
          <w:vertAlign w:val="superscript"/>
        </w:rPr>
        <w:t>2</w:t>
      </w:r>
      <w:r w:rsidRPr="004E7790">
        <w:rPr>
          <w:rFonts w:ascii="Times New Roman" w:hAnsi="Times New Roman"/>
          <w:b/>
          <w:bCs/>
        </w:rPr>
        <w:t xml:space="preserve"> STRAIPSNIŲ IR PRIEDO PAKEITIMO ĮSTATYMO PROJEKTO</w:t>
      </w:r>
    </w:p>
    <w:p w:rsidR="00503698" w:rsidRPr="004E7790" w:rsidRDefault="00BF4B02">
      <w:pPr>
        <w:pStyle w:val="Standard"/>
        <w:spacing w:after="0"/>
        <w:contextualSpacing/>
        <w:jc w:val="center"/>
        <w:rPr>
          <w:rFonts w:ascii="Times New Roman" w:hAnsi="Times New Roman"/>
        </w:rPr>
      </w:pPr>
      <w:r w:rsidRPr="004E7790">
        <w:rPr>
          <w:rFonts w:ascii="Times New Roman" w:hAnsi="Times New Roman"/>
          <w:b/>
          <w:szCs w:val="24"/>
        </w:rPr>
        <w:t>AIŠKINAMASIS RAŠTAS</w:t>
      </w:r>
    </w:p>
    <w:p w:rsidR="00503698" w:rsidRPr="004E7790" w:rsidRDefault="00503698">
      <w:pPr>
        <w:pStyle w:val="Standard"/>
        <w:spacing w:after="0"/>
        <w:contextualSpacing/>
        <w:jc w:val="center"/>
        <w:rPr>
          <w:rFonts w:ascii="Times New Roman" w:hAnsi="Times New Roman"/>
          <w:b/>
          <w:szCs w:val="24"/>
        </w:rPr>
      </w:pPr>
    </w:p>
    <w:p w:rsidR="00503698" w:rsidRPr="004E7790" w:rsidRDefault="00503698">
      <w:pPr>
        <w:pStyle w:val="Standard"/>
        <w:spacing w:after="0"/>
        <w:ind w:firstLine="850"/>
        <w:contextualSpacing/>
        <w:jc w:val="both"/>
        <w:rPr>
          <w:rFonts w:ascii="Times New Roman" w:hAnsi="Times New Roman"/>
          <w:b/>
          <w:szCs w:val="24"/>
        </w:rPr>
      </w:pPr>
    </w:p>
    <w:p w:rsidR="00E01574" w:rsidRPr="004E7790" w:rsidRDefault="00BF4B02" w:rsidP="00E01574">
      <w:pPr>
        <w:pStyle w:val="Standard"/>
        <w:numPr>
          <w:ilvl w:val="0"/>
          <w:numId w:val="1"/>
        </w:numPr>
        <w:tabs>
          <w:tab w:val="left" w:pos="1134"/>
        </w:tabs>
        <w:spacing w:after="0"/>
        <w:ind w:left="0" w:firstLine="850"/>
        <w:contextualSpacing/>
        <w:jc w:val="both"/>
        <w:rPr>
          <w:rFonts w:ascii="Times New Roman" w:hAnsi="Times New Roman"/>
        </w:rPr>
      </w:pPr>
      <w:r w:rsidRPr="004E7790">
        <w:rPr>
          <w:rFonts w:ascii="Times New Roman" w:hAnsi="Times New Roman"/>
          <w:b/>
          <w:bCs/>
          <w:szCs w:val="24"/>
          <w:lang w:eastAsia="lt-LT"/>
        </w:rPr>
        <w:t xml:space="preserve">Įstatymo projekto rengimą paskatinusios priežastys, </w:t>
      </w:r>
      <w:r w:rsidRPr="004E7790">
        <w:rPr>
          <w:rFonts w:ascii="Times New Roman" w:hAnsi="Times New Roman"/>
          <w:b/>
          <w:bCs/>
          <w:szCs w:val="24"/>
          <w:lang w:eastAsia="en-GB"/>
        </w:rPr>
        <w:t>parengto projekto tikslai ir uždaviniai</w:t>
      </w:r>
      <w:r w:rsidR="00E01574" w:rsidRPr="004E7790">
        <w:rPr>
          <w:rFonts w:ascii="Times New Roman" w:hAnsi="Times New Roman" w:cs="Times New Roman"/>
          <w:szCs w:val="24"/>
        </w:rPr>
        <w:t xml:space="preserve"> </w:t>
      </w:r>
    </w:p>
    <w:p w:rsidR="00503698" w:rsidRPr="004E7790" w:rsidRDefault="00E01574">
      <w:pPr>
        <w:pStyle w:val="Betarp"/>
        <w:tabs>
          <w:tab w:val="left" w:pos="1134"/>
        </w:tabs>
        <w:spacing w:line="276" w:lineRule="auto"/>
        <w:ind w:firstLine="850"/>
        <w:contextualSpacing/>
        <w:jc w:val="both"/>
        <w:rPr>
          <w:rFonts w:ascii="Times New Roman" w:hAnsi="Times New Roman"/>
        </w:rPr>
      </w:pPr>
      <w:r w:rsidRPr="00BD75CC">
        <w:rPr>
          <w:rFonts w:ascii="Times New Roman" w:hAnsi="Times New Roman"/>
          <w:bCs/>
          <w:color w:val="auto"/>
          <w:szCs w:val="24"/>
        </w:rPr>
        <w:t xml:space="preserve">Nuo 2021 m. vasario 1 d. bus taikomas </w:t>
      </w:r>
      <w:r w:rsidR="001E78D2" w:rsidRPr="00BD75CC">
        <w:rPr>
          <w:rFonts w:ascii="Times New Roman" w:hAnsi="Times New Roman"/>
          <w:bCs/>
          <w:color w:val="auto"/>
          <w:szCs w:val="24"/>
        </w:rPr>
        <w:t xml:space="preserve">2019 m. birželio 20 d. Europos Parlamento ir Tarybos reglamentas (ES) 2019/1148 dėl prekybos sprogstamųjų medžiagų pirmtakais ir jų naudojimo, kuriuo iš dalies keičiamas Reglamentas (EB) Nr. 1907/2006 ir panaikinamas Reglamentas (ES) Nr. 98/2013 </w:t>
      </w:r>
      <w:r w:rsidR="004E7790">
        <w:rPr>
          <w:rFonts w:ascii="Times New Roman" w:hAnsi="Times New Roman"/>
          <w:bCs/>
          <w:color w:val="auto"/>
          <w:szCs w:val="24"/>
        </w:rPr>
        <w:t xml:space="preserve">(toliau – </w:t>
      </w:r>
      <w:r w:rsidR="004E7790">
        <w:rPr>
          <w:rFonts w:ascii="Times New Roman" w:hAnsi="Times New Roman"/>
          <w:bCs/>
          <w:szCs w:val="24"/>
        </w:rPr>
        <w:t>Reglamentas</w:t>
      </w:r>
      <w:r w:rsidR="004E7790" w:rsidRPr="004E7790">
        <w:rPr>
          <w:rFonts w:ascii="Times New Roman" w:hAnsi="Times New Roman"/>
          <w:bCs/>
          <w:szCs w:val="24"/>
        </w:rPr>
        <w:t xml:space="preserve"> (ES) 2019/1148</w:t>
      </w:r>
      <w:r w:rsidR="004E7790">
        <w:rPr>
          <w:rFonts w:ascii="Times New Roman" w:hAnsi="Times New Roman"/>
          <w:bCs/>
          <w:szCs w:val="24"/>
        </w:rPr>
        <w:t>).</w:t>
      </w:r>
      <w:r w:rsidR="004E7790" w:rsidRPr="004E7790">
        <w:rPr>
          <w:rFonts w:ascii="Times New Roman" w:hAnsi="Times New Roman"/>
          <w:bCs/>
          <w:szCs w:val="24"/>
        </w:rPr>
        <w:t xml:space="preserve"> </w:t>
      </w:r>
      <w:r w:rsidR="00BF4B02" w:rsidRPr="004E7790">
        <w:rPr>
          <w:rFonts w:ascii="Times New Roman" w:hAnsi="Times New Roman"/>
          <w:bCs/>
          <w:szCs w:val="24"/>
        </w:rPr>
        <w:t xml:space="preserve">Reglamente (ES) 2019/1148 įvesta reglamentuojamų sprogstamųjų medžiagų pirmtako sąvoka (reglamentuojamas sprogstamųjų medžiagų pirmtakas – į Reglamento (ES) 2019/1148 I arba II priede pateiktą sąrašą įtraukta cheminė medžiaga, įskaitant mišinį arba kitą medžiagą, kurių sudėtyje yra į tuose prieduose pateiktus sąrašus įtrauktos cheminės medžiagos, išskyrus iš daugiau kaip 5 sudedamųjų dalių sudarytus homogeninius mišinius, kuriuose kiekvienos į I arba II priede pateiktą sąrašą įtrauktos cheminės medžiagos koncentracija yra mažesnė nei 1 proc. masinės dalies) ir nustatyti reikalavimai reglamentuojamų sprogstamųjų medžiagų pirmtakų apyvartai. </w:t>
      </w:r>
    </w:p>
    <w:p w:rsidR="00503698" w:rsidRPr="004E7790" w:rsidRDefault="00BF4B02">
      <w:pPr>
        <w:pStyle w:val="Betarp"/>
        <w:tabs>
          <w:tab w:val="left" w:pos="1134"/>
        </w:tabs>
        <w:spacing w:line="276" w:lineRule="auto"/>
        <w:ind w:firstLine="850"/>
        <w:contextualSpacing/>
        <w:jc w:val="both"/>
        <w:rPr>
          <w:rFonts w:ascii="Times New Roman" w:hAnsi="Times New Roman"/>
        </w:rPr>
      </w:pPr>
      <w:r w:rsidRPr="004E7790">
        <w:rPr>
          <w:rFonts w:ascii="Times New Roman" w:hAnsi="Times New Roman"/>
          <w:bCs/>
          <w:szCs w:val="24"/>
        </w:rPr>
        <w:t xml:space="preserve">Reglamentu (ES) 2019/1148 panaikinta galimybė plačiosios visuomenės nariams tiekti riboto naudojimo sprogstamųjų medžiagų pirmtakus (riboto naudojimo sprogstamųjų medžiagų pirmtakas – į Reglamento (ES) 2019/1148 I priede pateiktą sąrašą įtraukta cheminė medžiaga, kurios koncentracija yra didesnė nei atitinkama ribinė vertė, nustatyta I priede pateiktos lentelės 2 skiltyje, įskaitant mišinį arba kitą cheminę medžiagą, kurios sudėtyje yra į tame priede pateiktą sąrašą įtrauktos cheminės medžiagos, kurios koncentracija yra didesnė nei atitinkama ribinė vertė), įregistruojant šiuos sandorius. Taip pat uždrausta plačiosios visuomenės nariams tiekti, </w:t>
      </w:r>
      <w:r w:rsidRPr="004E7790">
        <w:rPr>
          <w:rFonts w:ascii="Times New Roman" w:hAnsi="Times New Roman"/>
          <w:bCs/>
          <w:lang w:eastAsia="lt-LT"/>
        </w:rPr>
        <w:t>įvežti, laikyti arba naudoti</w:t>
      </w:r>
      <w:r w:rsidRPr="004E7790">
        <w:rPr>
          <w:rFonts w:ascii="Times New Roman" w:hAnsi="Times New Roman"/>
          <w:bCs/>
          <w:szCs w:val="24"/>
        </w:rPr>
        <w:t xml:space="preserve"> </w:t>
      </w:r>
      <w:r w:rsidRPr="004E7790">
        <w:rPr>
          <w:rFonts w:ascii="Times New Roman" w:hAnsi="Times New Roman"/>
          <w:bCs/>
          <w:lang w:eastAsia="lt-LT"/>
        </w:rPr>
        <w:t>mišinius, kurių sudėtyje kalio chlorato, kalio perchlorato, natrio chlorato, natrio perchlorato bendra koncentracija mišinyje viršija 40 proc. ribinę vertę.</w:t>
      </w:r>
      <w:r w:rsidRPr="004E7790">
        <w:rPr>
          <w:rFonts w:ascii="Times New Roman" w:hAnsi="Times New Roman"/>
          <w:bCs/>
          <w:szCs w:val="24"/>
        </w:rPr>
        <w:t xml:space="preserve"> </w:t>
      </w:r>
    </w:p>
    <w:p w:rsidR="00503698" w:rsidRPr="004E7790" w:rsidRDefault="00BF4B02">
      <w:pPr>
        <w:pStyle w:val="Betarp"/>
        <w:tabs>
          <w:tab w:val="left" w:pos="1134"/>
        </w:tabs>
        <w:spacing w:line="276" w:lineRule="auto"/>
        <w:ind w:firstLine="850"/>
        <w:contextualSpacing/>
        <w:jc w:val="both"/>
        <w:rPr>
          <w:rFonts w:ascii="Times New Roman" w:hAnsi="Times New Roman"/>
        </w:rPr>
      </w:pPr>
      <w:r w:rsidRPr="004E7790">
        <w:rPr>
          <w:rFonts w:ascii="Times New Roman" w:hAnsi="Times New Roman"/>
          <w:bCs/>
          <w:szCs w:val="24"/>
        </w:rPr>
        <w:t>Reglamentas (ES) 2019/1148 papildytas pareigomis, taikomomis elektroninėms prekyvietėms (elektroninė prekyvietė – tarpininkavimo paslaugos teikėja; ta paslauga sudaro sąlygas ekonominės veiklos vykdytojams ir plačiosios visuomenės nariams, profesionaliems naudotojams arba kitiems ekonominės veiklos vykdytojams sudaryti sandorius dėl reglamentuojamų sprogstamųjų medžiagų pirmtakų pardavimo internetu arba sudarant paslaugų sutartis elektroninės prekyvietės interneto svetainėje arba ekonominės veiklos vykdytojo interneto svetainėje, kurioje naudojamos elektroninės prekyvietės teikiamos kompiuterijos paslaugos).</w:t>
      </w:r>
    </w:p>
    <w:p w:rsidR="00503698" w:rsidRPr="004E7790" w:rsidRDefault="00BF4B02">
      <w:pPr>
        <w:pStyle w:val="Betarp"/>
        <w:tabs>
          <w:tab w:val="left" w:pos="1134"/>
        </w:tabs>
        <w:spacing w:line="276" w:lineRule="auto"/>
        <w:ind w:firstLine="850"/>
        <w:contextualSpacing/>
        <w:jc w:val="both"/>
        <w:rPr>
          <w:rFonts w:ascii="Times New Roman" w:hAnsi="Times New Roman"/>
        </w:rPr>
      </w:pPr>
      <w:r w:rsidRPr="004E7790">
        <w:rPr>
          <w:rFonts w:ascii="Times New Roman" w:hAnsi="Times New Roman"/>
          <w:bCs/>
          <w:szCs w:val="24"/>
        </w:rPr>
        <w:t>Lietuvos Respublikos administracinių nusižengimų kodekso 234</w:t>
      </w:r>
      <w:r w:rsidRPr="004E7790">
        <w:rPr>
          <w:rFonts w:ascii="Times New Roman" w:hAnsi="Times New Roman"/>
          <w:bCs/>
          <w:szCs w:val="24"/>
          <w:vertAlign w:val="superscript"/>
        </w:rPr>
        <w:t>1</w:t>
      </w:r>
      <w:r w:rsidRPr="004E7790">
        <w:rPr>
          <w:rFonts w:ascii="Times New Roman" w:hAnsi="Times New Roman"/>
          <w:bCs/>
          <w:szCs w:val="24"/>
        </w:rPr>
        <w:t>, 234</w:t>
      </w:r>
      <w:r w:rsidRPr="004E7790">
        <w:rPr>
          <w:rFonts w:ascii="Times New Roman" w:hAnsi="Times New Roman"/>
          <w:bCs/>
          <w:szCs w:val="24"/>
          <w:vertAlign w:val="superscript"/>
        </w:rPr>
        <w:t>2</w:t>
      </w:r>
      <w:r w:rsidRPr="004E7790">
        <w:rPr>
          <w:rFonts w:ascii="Times New Roman" w:hAnsi="Times New Roman"/>
          <w:bCs/>
          <w:szCs w:val="24"/>
        </w:rPr>
        <w:t xml:space="preserve"> straipsnių ir priedo pakeitimo įstatymo projektas (toliau – Įstatymo projektas) parengtas siekiant nustatyti atsakomybę už Reglamente (ES) 2019/1148 nustatytų sprogstamųjų medžiagų pirmtakų apyvartos taisyklių pažeidimus.</w:t>
      </w:r>
    </w:p>
    <w:p w:rsidR="00503698" w:rsidRPr="004E7790" w:rsidRDefault="00503698">
      <w:pPr>
        <w:pStyle w:val="Betarp"/>
        <w:tabs>
          <w:tab w:val="left" w:pos="1134"/>
        </w:tabs>
        <w:spacing w:line="276" w:lineRule="auto"/>
        <w:ind w:firstLine="850"/>
        <w:contextualSpacing/>
        <w:jc w:val="both"/>
        <w:rPr>
          <w:rFonts w:ascii="Times New Roman" w:eastAsia="Helvetica" w:hAnsi="Times New Roman"/>
          <w:bCs/>
          <w:szCs w:val="24"/>
          <w:lang w:eastAsia="lt-LT"/>
        </w:rPr>
      </w:pPr>
    </w:p>
    <w:p w:rsidR="00503698" w:rsidRPr="004E7790" w:rsidRDefault="00BF4B02">
      <w:pPr>
        <w:pStyle w:val="Betarp"/>
        <w:tabs>
          <w:tab w:val="left" w:pos="1134"/>
        </w:tabs>
        <w:spacing w:line="276" w:lineRule="auto"/>
        <w:ind w:firstLine="850"/>
        <w:contextualSpacing/>
        <w:jc w:val="both"/>
        <w:rPr>
          <w:rFonts w:ascii="Times New Roman" w:hAnsi="Times New Roman"/>
        </w:rPr>
      </w:pPr>
      <w:r w:rsidRPr="004E7790">
        <w:rPr>
          <w:rFonts w:ascii="Times New Roman" w:hAnsi="Times New Roman"/>
          <w:b/>
          <w:bCs/>
          <w:szCs w:val="24"/>
        </w:rPr>
        <w:t xml:space="preserve">2. </w:t>
      </w:r>
      <w:r w:rsidRPr="004E7790">
        <w:rPr>
          <w:rFonts w:ascii="Times New Roman" w:hAnsi="Times New Roman"/>
          <w:b/>
          <w:szCs w:val="24"/>
          <w:lang w:eastAsia="lt-LT"/>
        </w:rPr>
        <w:t>Įstatymo</w:t>
      </w:r>
      <w:r w:rsidRPr="004E7790">
        <w:rPr>
          <w:rFonts w:ascii="Times New Roman" w:hAnsi="Times New Roman"/>
          <w:b/>
          <w:bCs/>
          <w:szCs w:val="24"/>
        </w:rPr>
        <w:t xml:space="preserve"> projekto</w:t>
      </w:r>
      <w:r w:rsidRPr="004E7790">
        <w:rPr>
          <w:rFonts w:ascii="Times New Roman" w:hAnsi="Times New Roman"/>
          <w:b/>
          <w:szCs w:val="24"/>
          <w:lang w:eastAsia="en-GB"/>
        </w:rPr>
        <w:t xml:space="preserve"> iniciatoriai (institucija, asmenys ar piliečių įgalioti atstovai) ir rengėjai</w:t>
      </w:r>
    </w:p>
    <w:p w:rsidR="00503698" w:rsidRPr="004E7790" w:rsidRDefault="00BF4B02">
      <w:pPr>
        <w:pStyle w:val="Standard"/>
        <w:tabs>
          <w:tab w:val="left" w:pos="851"/>
        </w:tabs>
        <w:spacing w:after="0"/>
        <w:ind w:firstLine="850"/>
        <w:contextualSpacing/>
        <w:jc w:val="both"/>
        <w:rPr>
          <w:rFonts w:ascii="Times New Roman" w:hAnsi="Times New Roman"/>
        </w:rPr>
      </w:pPr>
      <w:r w:rsidRPr="004E7790">
        <w:rPr>
          <w:rFonts w:ascii="Times New Roman" w:hAnsi="Times New Roman"/>
          <w:lang w:eastAsia="lt-LT"/>
        </w:rPr>
        <w:t>Įstatymo projekto rengimą inicijavo Policijos departamentas prie Lietuvos Respublikos vidaus reikalų ministerijos (toliau – Policijos departamentas). Tiesiogini</w:t>
      </w:r>
      <w:r w:rsidR="004E7790">
        <w:rPr>
          <w:rFonts w:ascii="Times New Roman" w:hAnsi="Times New Roman"/>
          <w:lang w:eastAsia="lt-LT"/>
        </w:rPr>
        <w:t>ai</w:t>
      </w:r>
      <w:r w:rsidRPr="004E7790">
        <w:rPr>
          <w:rFonts w:ascii="Times New Roman" w:hAnsi="Times New Roman"/>
          <w:lang w:eastAsia="lt-LT"/>
        </w:rPr>
        <w:t xml:space="preserve"> </w:t>
      </w:r>
      <w:r w:rsidR="004E7790">
        <w:rPr>
          <w:rFonts w:ascii="Times New Roman" w:hAnsi="Times New Roman"/>
          <w:lang w:eastAsia="lt-LT"/>
        </w:rPr>
        <w:t xml:space="preserve">Įstatymo </w:t>
      </w:r>
      <w:r w:rsidRPr="004E7790">
        <w:rPr>
          <w:rFonts w:ascii="Times New Roman" w:hAnsi="Times New Roman"/>
          <w:lang w:eastAsia="lt-LT"/>
        </w:rPr>
        <w:t>projekto rengėja</w:t>
      </w:r>
      <w:r w:rsidR="004E7790">
        <w:rPr>
          <w:rFonts w:ascii="Times New Roman" w:hAnsi="Times New Roman"/>
          <w:lang w:eastAsia="lt-LT"/>
        </w:rPr>
        <w:t>i</w:t>
      </w:r>
      <w:r w:rsidRPr="004E7790">
        <w:rPr>
          <w:rFonts w:ascii="Times New Roman" w:hAnsi="Times New Roman"/>
          <w:lang w:eastAsia="lt-LT"/>
        </w:rPr>
        <w:t xml:space="preserve"> – Policijos departamento Viešosios policijos valdybos viršininkas Mindaugas Akelaitis</w:t>
      </w:r>
      <w:r w:rsidRPr="004E7790">
        <w:rPr>
          <w:rFonts w:ascii="Times New Roman" w:hAnsi="Times New Roman"/>
          <w:lang w:eastAsia="lt-LT"/>
        </w:rPr>
        <w:br/>
        <w:t>(tel. (8 5) 271 7910), Licencijavimo skyriaus viršininkas Audrius Čiupala (tel. (8 5) 271 9767), vyriausiasis tyrėjas Virginijus Šostucha (tel. (8 5) 271 9949).</w:t>
      </w:r>
    </w:p>
    <w:p w:rsidR="00503698" w:rsidRPr="004E7790" w:rsidRDefault="00503698">
      <w:pPr>
        <w:pStyle w:val="Standard"/>
        <w:tabs>
          <w:tab w:val="left" w:pos="851"/>
        </w:tabs>
        <w:spacing w:after="0"/>
        <w:ind w:firstLine="850"/>
        <w:contextualSpacing/>
        <w:jc w:val="both"/>
        <w:rPr>
          <w:rFonts w:ascii="Times New Roman" w:hAnsi="Times New Roman"/>
          <w:lang w:eastAsia="lt-LT"/>
        </w:rPr>
      </w:pPr>
    </w:p>
    <w:p w:rsidR="00503698" w:rsidRPr="004E7790" w:rsidRDefault="00BF4B02">
      <w:pPr>
        <w:pStyle w:val="Standard"/>
        <w:tabs>
          <w:tab w:val="left" w:pos="1134"/>
        </w:tabs>
        <w:spacing w:after="0"/>
        <w:ind w:firstLine="850"/>
        <w:contextualSpacing/>
        <w:jc w:val="both"/>
        <w:rPr>
          <w:rFonts w:ascii="Times New Roman" w:hAnsi="Times New Roman"/>
        </w:rPr>
      </w:pPr>
      <w:r w:rsidRPr="004E7790">
        <w:rPr>
          <w:rFonts w:ascii="Times New Roman" w:hAnsi="Times New Roman"/>
          <w:b/>
          <w:bCs/>
          <w:szCs w:val="24"/>
          <w:lang w:eastAsia="en-GB"/>
        </w:rPr>
        <w:t xml:space="preserve">3. Kaip šiuo metu yra reguliuojami </w:t>
      </w:r>
      <w:r w:rsidR="00DE2B4F" w:rsidRPr="004E7790">
        <w:rPr>
          <w:rFonts w:ascii="Times New Roman" w:hAnsi="Times New Roman"/>
          <w:b/>
          <w:bCs/>
          <w:szCs w:val="24"/>
          <w:lang w:eastAsia="en-GB"/>
        </w:rPr>
        <w:t>į</w:t>
      </w:r>
      <w:r w:rsidRPr="004E7790">
        <w:rPr>
          <w:rFonts w:ascii="Times New Roman" w:hAnsi="Times New Roman"/>
          <w:b/>
          <w:bCs/>
          <w:szCs w:val="24"/>
          <w:lang w:eastAsia="en-GB"/>
        </w:rPr>
        <w:t xml:space="preserve">statymo projekte aptarti teisiniai santykiai </w:t>
      </w:r>
    </w:p>
    <w:p w:rsidR="00503698" w:rsidRPr="004E7790" w:rsidRDefault="00BF4B02">
      <w:pPr>
        <w:pStyle w:val="Standard"/>
        <w:spacing w:after="0"/>
        <w:ind w:firstLine="850"/>
        <w:contextualSpacing/>
        <w:jc w:val="both"/>
        <w:rPr>
          <w:rFonts w:ascii="Times New Roman" w:hAnsi="Times New Roman"/>
        </w:rPr>
      </w:pPr>
      <w:r w:rsidRPr="004E7790">
        <w:rPr>
          <w:rFonts w:ascii="Times New Roman" w:hAnsi="Times New Roman"/>
        </w:rPr>
        <w:t>Šiuo metu Administracinių nusižengimų kodekse yra nustatyta atsakomybė už 2013 m. sausio 15 d. Europos Parlamento ir Tarybos reglamente (ES) Nr. 98/2013 dėl prekybos sprogstamųjų medžiagų pirmtakais ir jų naudojimo nustatytus sprogstamųjų medžiagų pirmtakų apyvartos taisyklių pažeidimus (toliau – Reglamentas Nr. 98/2013).</w:t>
      </w:r>
    </w:p>
    <w:p w:rsidR="00503698" w:rsidRPr="004E7790" w:rsidRDefault="00503698">
      <w:pPr>
        <w:pStyle w:val="Standard"/>
        <w:spacing w:after="0"/>
        <w:ind w:firstLine="850"/>
        <w:contextualSpacing/>
        <w:jc w:val="both"/>
        <w:rPr>
          <w:rFonts w:ascii="Times New Roman" w:hAnsi="Times New Roman"/>
          <w:b/>
        </w:rPr>
      </w:pPr>
    </w:p>
    <w:p w:rsidR="00503698" w:rsidRPr="004E7790" w:rsidRDefault="00BF4B02">
      <w:pPr>
        <w:pStyle w:val="Standard"/>
        <w:tabs>
          <w:tab w:val="left" w:pos="1134"/>
        </w:tabs>
        <w:spacing w:after="0"/>
        <w:ind w:firstLine="850"/>
        <w:contextualSpacing/>
        <w:jc w:val="both"/>
        <w:rPr>
          <w:rFonts w:ascii="Times New Roman" w:hAnsi="Times New Roman"/>
        </w:rPr>
      </w:pPr>
      <w:r w:rsidRPr="004E7790">
        <w:rPr>
          <w:rFonts w:ascii="Times New Roman" w:hAnsi="Times New Roman"/>
          <w:b/>
          <w:szCs w:val="24"/>
        </w:rPr>
        <w:t>4. Kokios siūlomos naujos teisinio reguliavimo nuostatos ir kokių teigiamų rezultatų laukiama</w:t>
      </w:r>
    </w:p>
    <w:p w:rsidR="00503698" w:rsidRPr="004E7790" w:rsidRDefault="00BF4B02">
      <w:pPr>
        <w:pStyle w:val="Standard"/>
        <w:tabs>
          <w:tab w:val="left" w:pos="1134"/>
        </w:tabs>
        <w:spacing w:after="0"/>
        <w:ind w:firstLine="850"/>
        <w:contextualSpacing/>
        <w:jc w:val="both"/>
        <w:rPr>
          <w:rFonts w:ascii="Times New Roman" w:hAnsi="Times New Roman"/>
        </w:rPr>
      </w:pPr>
      <w:r w:rsidRPr="004E7790">
        <w:rPr>
          <w:rFonts w:ascii="Times New Roman" w:hAnsi="Times New Roman"/>
          <w:color w:val="000000"/>
          <w:szCs w:val="24"/>
          <w:lang w:eastAsia="lt-LT"/>
        </w:rPr>
        <w:t>Įstatymo projektu siūloma pakeisti Administracinių nusižengimų kodekso 234</w:t>
      </w:r>
      <w:r w:rsidRPr="004E7790">
        <w:rPr>
          <w:rFonts w:ascii="Times New Roman" w:hAnsi="Times New Roman"/>
          <w:color w:val="000000"/>
          <w:szCs w:val="24"/>
          <w:vertAlign w:val="superscript"/>
          <w:lang w:eastAsia="lt-LT"/>
        </w:rPr>
        <w:t xml:space="preserve">1 </w:t>
      </w:r>
      <w:r w:rsidRPr="004E7790">
        <w:rPr>
          <w:rFonts w:ascii="Times New Roman" w:hAnsi="Times New Roman"/>
          <w:color w:val="000000"/>
          <w:szCs w:val="24"/>
          <w:lang w:eastAsia="lt-LT"/>
        </w:rPr>
        <w:t xml:space="preserve">straipsnio pavadinimą („Registruojamų sprogstamųjų medžiagų pirmtakų, medžiagų ar mišinių, kuriuose yra registruojamų sprogstamųjų medžiagų pirmtakų, apyvartos reikalavimų pažeidimas“ į „Reglamentuojamų sprogstamųjų medžiagų pirmtakų apyvartos reikalavimų pažeidimas“, nes </w:t>
      </w:r>
      <w:bookmarkStart w:id="1" w:name="__DdeLink__1685_4013028491"/>
      <w:r w:rsidRPr="004E7790">
        <w:rPr>
          <w:rFonts w:ascii="Times New Roman" w:hAnsi="Times New Roman"/>
          <w:color w:val="000000"/>
          <w:szCs w:val="24"/>
          <w:lang w:eastAsia="lt-LT"/>
        </w:rPr>
        <w:t>Reglamente</w:t>
      </w:r>
      <w:bookmarkEnd w:id="1"/>
      <w:r w:rsidRPr="004E7790">
        <w:rPr>
          <w:rFonts w:ascii="Times New Roman" w:hAnsi="Times New Roman"/>
          <w:color w:val="000000"/>
          <w:szCs w:val="24"/>
          <w:lang w:eastAsia="lt-LT"/>
        </w:rPr>
        <w:t xml:space="preserve"> </w:t>
      </w:r>
      <w:r w:rsidRPr="004E7790">
        <w:rPr>
          <w:rFonts w:ascii="Times New Roman" w:hAnsi="Times New Roman"/>
          <w:bCs/>
          <w:szCs w:val="24"/>
          <w:lang w:eastAsia="lt-LT"/>
        </w:rPr>
        <w:t>(ES) 2019/1148</w:t>
      </w:r>
      <w:r w:rsidRPr="004E7790">
        <w:rPr>
          <w:rFonts w:ascii="Times New Roman" w:hAnsi="Times New Roman"/>
          <w:color w:val="000000"/>
          <w:szCs w:val="24"/>
          <w:lang w:eastAsia="lt-LT"/>
        </w:rPr>
        <w:t xml:space="preserve"> nebėra sąvokos „registruojami sprogstamųjų medžiagų pirmtakai“). Reglamento </w:t>
      </w:r>
      <w:r w:rsidRPr="004E7790">
        <w:rPr>
          <w:rFonts w:ascii="Times New Roman" w:hAnsi="Times New Roman"/>
          <w:bCs/>
          <w:szCs w:val="24"/>
          <w:lang w:eastAsia="lt-LT"/>
        </w:rPr>
        <w:t>(ES) 2019/1148</w:t>
      </w:r>
      <w:r w:rsidRPr="004E7790">
        <w:rPr>
          <w:rFonts w:ascii="Times New Roman" w:hAnsi="Times New Roman"/>
          <w:color w:val="000000"/>
          <w:szCs w:val="24"/>
          <w:lang w:eastAsia="lt-LT"/>
        </w:rPr>
        <w:t xml:space="preserve"> 3 straipsnio 13 punkte nustatyta, </w:t>
      </w:r>
      <w:bookmarkStart w:id="2" w:name="__DdeLink__1232_1638011276"/>
      <w:r w:rsidRPr="004E7790">
        <w:rPr>
          <w:rFonts w:ascii="Times New Roman" w:hAnsi="Times New Roman"/>
          <w:color w:val="000000"/>
          <w:szCs w:val="24"/>
          <w:lang w:eastAsia="lt-LT"/>
        </w:rPr>
        <w:t>kad reglamentuojamas sprogstamųjų medžiagų pirmtakas</w:t>
      </w:r>
      <w:bookmarkEnd w:id="2"/>
      <w:r w:rsidRPr="004E7790">
        <w:rPr>
          <w:rFonts w:ascii="Times New Roman" w:hAnsi="Times New Roman"/>
          <w:color w:val="000000"/>
          <w:szCs w:val="24"/>
          <w:lang w:eastAsia="lt-LT"/>
        </w:rPr>
        <w:t xml:space="preserve"> – į I arba II priede pateiktą sąrašą įtraukta cheminė medžiaga, įskaitant mišinį arba kitą medžiagą, kurių sudėtyje yra į tuose prieduose pateiktus sąrašus įtraukta cheminė medžiaga, išskyrus iš daugiau kaip 5 sudedamųjų dalių sudarytus homogeninius mišinius, kuriuose kiekvienos į I arba II priede pateiktą sąrašą įtrauktos cheminės medžiagos koncentracija yra mažesnė nei 1 proc. masinės dalies, taip pat iš Administracinių nusižengimų kodekso 234</w:t>
      </w:r>
      <w:r w:rsidRPr="004E7790">
        <w:rPr>
          <w:rFonts w:ascii="Times New Roman" w:hAnsi="Times New Roman"/>
          <w:color w:val="000000"/>
          <w:szCs w:val="24"/>
          <w:vertAlign w:val="superscript"/>
          <w:lang w:eastAsia="lt-LT"/>
        </w:rPr>
        <w:t xml:space="preserve">1 </w:t>
      </w:r>
      <w:r w:rsidRPr="004E7790">
        <w:rPr>
          <w:rFonts w:ascii="Times New Roman" w:hAnsi="Times New Roman"/>
          <w:color w:val="000000"/>
          <w:szCs w:val="24"/>
          <w:lang w:eastAsia="lt-LT"/>
        </w:rPr>
        <w:t>straipsnio pavadinimo išbraukiami žodžiai „medžiagų ar mišinių, kuriuose yra registruojamų sprogstamųjų medžiagų pirmtakų“. Reglamentas Nr. 98/2013 kaip vieną iš sprogstamųjų medžiagų pirmtakų kontrolės priemonių nustatė sprogstamųjų medžiagų pirmtakų ženklinimą, atsakomybė už sprogstamųjų medžiagų pirmtakų ženklinimo pažeidimą nustatyta Administracinių nusižengimų kodekso 234</w:t>
      </w:r>
      <w:r w:rsidRPr="004E7790">
        <w:rPr>
          <w:rFonts w:ascii="Times New Roman" w:hAnsi="Times New Roman"/>
          <w:color w:val="000000"/>
          <w:szCs w:val="24"/>
          <w:vertAlign w:val="superscript"/>
          <w:lang w:eastAsia="lt-LT"/>
        </w:rPr>
        <w:t xml:space="preserve">1 </w:t>
      </w:r>
      <w:r w:rsidRPr="004E7790">
        <w:rPr>
          <w:rFonts w:ascii="Times New Roman" w:hAnsi="Times New Roman"/>
          <w:color w:val="000000"/>
          <w:szCs w:val="24"/>
          <w:lang w:eastAsia="lt-LT"/>
        </w:rPr>
        <w:t>straipsnio 1 dalyje. Reglamente (ES) 2019/1148 sprogstamųjų medžiagų pirmtakų ženklinimo atsisakyta, atitinkamai pakeista Administracinių nusižengimų kodekso 234</w:t>
      </w:r>
      <w:r w:rsidRPr="004E7790">
        <w:rPr>
          <w:rFonts w:ascii="Times New Roman" w:hAnsi="Times New Roman"/>
          <w:color w:val="000000"/>
          <w:szCs w:val="24"/>
          <w:vertAlign w:val="superscript"/>
          <w:lang w:eastAsia="lt-LT"/>
        </w:rPr>
        <w:t>1</w:t>
      </w:r>
      <w:r w:rsidRPr="004E7790">
        <w:rPr>
          <w:rFonts w:ascii="Times New Roman" w:hAnsi="Times New Roman"/>
          <w:color w:val="000000"/>
          <w:szCs w:val="24"/>
          <w:lang w:eastAsia="lt-LT"/>
        </w:rPr>
        <w:t xml:space="preserve"> straipsnio 1 dalis, joje nustatant atsakomybę už Reglamento </w:t>
      </w:r>
      <w:r w:rsidRPr="004E7790">
        <w:rPr>
          <w:rFonts w:ascii="Times New Roman" w:hAnsi="Times New Roman"/>
          <w:bCs/>
          <w:szCs w:val="24"/>
          <w:lang w:eastAsia="lt-LT"/>
        </w:rPr>
        <w:t>(ES) 2019/1148</w:t>
      </w:r>
      <w:r w:rsidRPr="004E7790">
        <w:rPr>
          <w:rFonts w:ascii="Times New Roman" w:hAnsi="Times New Roman"/>
          <w:color w:val="000000"/>
          <w:szCs w:val="24"/>
          <w:lang w:eastAsia="lt-LT"/>
        </w:rPr>
        <w:t xml:space="preserve"> 8 straipsnio 2 dalyje nustatytos pareigos neįvykdymą asmenims ir juridinių asmenų vadovams ar kitiems atsakingiems asmenims, kurie neatliko patikrinimo, ar klientas turi teisę įsigyti riboto naudojimo sprogstamųjų medžiagų pirmtakų, arba neišsaugojo patikrinimo metu iš kliento gautos informacijos, įrodančios, kad klientas turi teisę įsigyti riboto naudojimo sprogstamųjų medžiagų pirmtak</w:t>
      </w:r>
      <w:r w:rsidR="00A02437" w:rsidRPr="004E7790">
        <w:rPr>
          <w:rFonts w:ascii="Times New Roman" w:hAnsi="Times New Roman"/>
          <w:color w:val="000000"/>
          <w:szCs w:val="24"/>
          <w:lang w:eastAsia="lt-LT"/>
        </w:rPr>
        <w:t>ų</w:t>
      </w:r>
      <w:r w:rsidRPr="004E7790">
        <w:rPr>
          <w:rFonts w:ascii="Times New Roman" w:hAnsi="Times New Roman"/>
          <w:color w:val="000000"/>
          <w:szCs w:val="24"/>
          <w:lang w:eastAsia="lt-LT"/>
        </w:rPr>
        <w:t>, nustatytą terminą, šio</w:t>
      </w:r>
      <w:r w:rsidRPr="004E7790">
        <w:rPr>
          <w:rFonts w:ascii="Times New Roman" w:hAnsi="Times New Roman"/>
          <w:color w:val="000000"/>
          <w:szCs w:val="24"/>
          <w:vertAlign w:val="superscript"/>
          <w:lang w:eastAsia="lt-LT"/>
        </w:rPr>
        <w:t xml:space="preserve"> </w:t>
      </w:r>
      <w:r w:rsidRPr="004E7790">
        <w:rPr>
          <w:rFonts w:ascii="Times New Roman" w:hAnsi="Times New Roman"/>
          <w:color w:val="000000"/>
          <w:szCs w:val="24"/>
          <w:lang w:eastAsia="lt-LT"/>
        </w:rPr>
        <w:t>straipsnio</w:t>
      </w:r>
      <w:r w:rsidRPr="004E7790">
        <w:rPr>
          <w:rFonts w:ascii="Times New Roman" w:hAnsi="Times New Roman"/>
          <w:szCs w:val="24"/>
        </w:rPr>
        <w:t xml:space="preserve"> 2 dalyje nustatant griežtesnę atsakomybę už pakartotinai 1 dalyje padarytą administracinį nusižengimą. </w:t>
      </w:r>
    </w:p>
    <w:p w:rsidR="00503698" w:rsidRPr="004E7790" w:rsidRDefault="00BF4B02">
      <w:pPr>
        <w:pStyle w:val="Standard"/>
        <w:tabs>
          <w:tab w:val="left" w:pos="1134"/>
        </w:tabs>
        <w:spacing w:after="0"/>
        <w:ind w:firstLine="850"/>
        <w:contextualSpacing/>
        <w:jc w:val="both"/>
        <w:rPr>
          <w:rFonts w:ascii="Times New Roman" w:hAnsi="Times New Roman"/>
        </w:rPr>
      </w:pPr>
      <w:r w:rsidRPr="004E7790">
        <w:rPr>
          <w:rFonts w:ascii="Times New Roman" w:hAnsi="Times New Roman"/>
          <w:szCs w:val="24"/>
        </w:rPr>
        <w:t>Dėl Reglamente (ES) 2019/1148 pakeistos sąvokos „registruojami sprogstamųjų medžiagų pirmtakai“ į „reglamentuojami sprogstamųjų medžiagų pirmtakai“ patikslinama Administracinių nusižengimų kodekso 234</w:t>
      </w:r>
      <w:r w:rsidRPr="004E7790">
        <w:rPr>
          <w:rFonts w:ascii="Times New Roman" w:hAnsi="Times New Roman"/>
          <w:szCs w:val="24"/>
          <w:vertAlign w:val="superscript"/>
        </w:rPr>
        <w:t>1</w:t>
      </w:r>
      <w:r w:rsidRPr="004E7790">
        <w:rPr>
          <w:rFonts w:ascii="Times New Roman" w:hAnsi="Times New Roman"/>
          <w:szCs w:val="24"/>
        </w:rPr>
        <w:t xml:space="preserve"> straipsnio 3 dalis nustatant atsakomybę asmenims ir juridinių asmenų vadovams ar kitiems atsakingiems asmenims už nepranešimą apie įtartiną sandorį dėl reglamentuojamų sprogstamųjų medžiagų pirmtakų ar nepranešimą apie reglamentuojamų sprogstamųjų medžiagų pirmtakų dingimą ar vagystę. </w:t>
      </w:r>
    </w:p>
    <w:p w:rsidR="00503698" w:rsidRPr="004E7790" w:rsidRDefault="00BF4B02">
      <w:pPr>
        <w:pStyle w:val="Standard"/>
        <w:tabs>
          <w:tab w:val="left" w:pos="1134"/>
        </w:tabs>
        <w:spacing w:after="0"/>
        <w:ind w:firstLine="850"/>
        <w:contextualSpacing/>
        <w:jc w:val="both"/>
        <w:rPr>
          <w:rFonts w:ascii="Times New Roman" w:hAnsi="Times New Roman"/>
        </w:rPr>
      </w:pPr>
      <w:r w:rsidRPr="004E7790">
        <w:rPr>
          <w:rFonts w:ascii="Times New Roman" w:hAnsi="Times New Roman"/>
          <w:szCs w:val="24"/>
        </w:rPr>
        <w:t>Reglamentas (ES) 2019/1148 nustato pareigas:</w:t>
      </w:r>
    </w:p>
    <w:p w:rsidR="00503698" w:rsidRPr="004E7790" w:rsidRDefault="00BF4B02">
      <w:pPr>
        <w:pStyle w:val="Standard"/>
        <w:tabs>
          <w:tab w:val="left" w:pos="1134"/>
        </w:tabs>
        <w:spacing w:after="0"/>
        <w:ind w:firstLine="850"/>
        <w:contextualSpacing/>
        <w:jc w:val="both"/>
        <w:rPr>
          <w:rFonts w:ascii="Times New Roman" w:hAnsi="Times New Roman"/>
        </w:rPr>
      </w:pPr>
      <w:r w:rsidRPr="004E7790">
        <w:rPr>
          <w:rFonts w:ascii="Times New Roman" w:hAnsi="Times New Roman"/>
          <w:szCs w:val="24"/>
        </w:rPr>
        <w:t xml:space="preserve">1. </w:t>
      </w:r>
      <w:bookmarkStart w:id="3" w:name="__DdeLink__742_2535405846"/>
      <w:r w:rsidRPr="004E7790">
        <w:rPr>
          <w:rFonts w:ascii="Times New Roman" w:hAnsi="Times New Roman"/>
          <w:szCs w:val="24"/>
        </w:rPr>
        <w:t>Asmenims, kurie vykd</w:t>
      </w:r>
      <w:r w:rsidR="00A02437" w:rsidRPr="004E7790">
        <w:rPr>
          <w:rFonts w:ascii="Times New Roman" w:hAnsi="Times New Roman"/>
          <w:szCs w:val="24"/>
        </w:rPr>
        <w:t>yd</w:t>
      </w:r>
      <w:r w:rsidRPr="004E7790">
        <w:rPr>
          <w:rFonts w:ascii="Times New Roman" w:hAnsi="Times New Roman"/>
          <w:szCs w:val="24"/>
        </w:rPr>
        <w:t>ami prekybą ir parduodami kitam prekiautojui sprogstamųjų medžiagų pirmtakais</w:t>
      </w:r>
      <w:bookmarkEnd w:id="3"/>
      <w:r w:rsidRPr="004E7790">
        <w:rPr>
          <w:rFonts w:ascii="Times New Roman" w:hAnsi="Times New Roman"/>
          <w:szCs w:val="24"/>
        </w:rPr>
        <w:t xml:space="preserve"> riboto naudojimo sprogstamųjų medžiagų pirmtakus ar mišinius, kurių sudėtyje kalio chlorato, kalio perchlorato, natrio chlorato, natrio perchlorato bendra koncentracija mišinyje viršija 40 proc. ribinę vertę, informuoti pirkėjus apie Reglamente taikomus apribojimus</w:t>
      </w:r>
      <w:r w:rsidRPr="004E7790">
        <w:rPr>
          <w:rFonts w:ascii="Times New Roman" w:hAnsi="Times New Roman"/>
          <w:color w:val="000000"/>
          <w:szCs w:val="24"/>
          <w:lang w:eastAsia="lt-LT"/>
        </w:rPr>
        <w:t>.</w:t>
      </w:r>
    </w:p>
    <w:p w:rsidR="00503698" w:rsidRPr="004E7790" w:rsidRDefault="00BF4B02">
      <w:pPr>
        <w:pStyle w:val="Standard"/>
        <w:tabs>
          <w:tab w:val="left" w:pos="1134"/>
        </w:tabs>
        <w:spacing w:after="0"/>
        <w:ind w:firstLine="850"/>
        <w:contextualSpacing/>
        <w:jc w:val="both"/>
        <w:rPr>
          <w:rFonts w:ascii="Times New Roman" w:hAnsi="Times New Roman"/>
        </w:rPr>
      </w:pPr>
      <w:r w:rsidRPr="004E7790">
        <w:rPr>
          <w:rFonts w:ascii="Times New Roman" w:hAnsi="Times New Roman"/>
          <w:color w:val="000000"/>
          <w:szCs w:val="24"/>
          <w:lang w:eastAsia="lt-LT"/>
        </w:rPr>
        <w:t xml:space="preserve">2. Ekonominės veiklos vykdytojui, kuris tiekia kitam ekonominės veiklos vykdytojui reglamentuojamą sprogstamosios medžiagos pirmtaką, informuoti pirkėją, kad plačiosios visuomenės </w:t>
      </w:r>
      <w:r w:rsidRPr="004E7790">
        <w:rPr>
          <w:rFonts w:ascii="Times New Roman" w:hAnsi="Times New Roman"/>
          <w:color w:val="000000"/>
          <w:szCs w:val="24"/>
          <w:lang w:eastAsia="lt-LT"/>
        </w:rPr>
        <w:lastRenderedPageBreak/>
        <w:t>nariams įsigyjant, įvežant, laikant ar naudojant tą reguliuojamą sprogstamosios medžiagos pirmtaką</w:t>
      </w:r>
      <w:r w:rsidR="00A02437" w:rsidRPr="004E7790">
        <w:rPr>
          <w:rFonts w:ascii="Times New Roman" w:hAnsi="Times New Roman"/>
          <w:color w:val="000000"/>
          <w:szCs w:val="24"/>
          <w:lang w:eastAsia="lt-LT"/>
        </w:rPr>
        <w:t>,</w:t>
      </w:r>
      <w:r w:rsidRPr="004E7790">
        <w:rPr>
          <w:rFonts w:ascii="Times New Roman" w:hAnsi="Times New Roman"/>
          <w:color w:val="000000"/>
          <w:szCs w:val="24"/>
          <w:lang w:eastAsia="lt-LT"/>
        </w:rPr>
        <w:t xml:space="preserve"> taikomos Reglamento 9 straipsnyje nustatytos pareigos pranešti.</w:t>
      </w:r>
    </w:p>
    <w:p w:rsidR="00503698" w:rsidRPr="004E7790" w:rsidRDefault="00BF4B02">
      <w:pPr>
        <w:pStyle w:val="Standard"/>
        <w:tabs>
          <w:tab w:val="left" w:pos="1134"/>
        </w:tabs>
        <w:spacing w:after="0"/>
        <w:ind w:firstLine="850"/>
        <w:contextualSpacing/>
        <w:jc w:val="both"/>
        <w:rPr>
          <w:rFonts w:ascii="Times New Roman" w:hAnsi="Times New Roman"/>
        </w:rPr>
      </w:pPr>
      <w:r w:rsidRPr="004E7790">
        <w:rPr>
          <w:rFonts w:ascii="Times New Roman" w:hAnsi="Times New Roman"/>
          <w:color w:val="000000"/>
          <w:szCs w:val="24"/>
          <w:lang w:eastAsia="lt-LT"/>
        </w:rPr>
        <w:t>3. Asmenims, kurie vykdo prekybą reglamentuojamais sprogstamųjų medžiagų pirmtakais, supažindinti darbuotojus, kurie dalyvauja parduodant reglamentuojamus sprogstamųjų medžiagų pirmtakus, su Reglamento 5–9 straipsnių nuostatomis ir užtikrinti, jog šie darbuotojai žinotų, kuriuose tiekiamuose gaminiuose yra reglamentuojamų sprogstamųjų medžiagų pirmtakų.</w:t>
      </w:r>
    </w:p>
    <w:p w:rsidR="00503698" w:rsidRPr="004E7790" w:rsidRDefault="00BF4B02">
      <w:pPr>
        <w:pStyle w:val="Standard"/>
        <w:tabs>
          <w:tab w:val="left" w:pos="1134"/>
        </w:tabs>
        <w:spacing w:after="0"/>
        <w:ind w:firstLine="850"/>
        <w:contextualSpacing/>
        <w:jc w:val="both"/>
        <w:rPr>
          <w:rFonts w:ascii="Times New Roman" w:hAnsi="Times New Roman"/>
        </w:rPr>
      </w:pPr>
      <w:r w:rsidRPr="004E7790">
        <w:rPr>
          <w:rFonts w:ascii="Times New Roman" w:hAnsi="Times New Roman"/>
          <w:color w:val="000000"/>
          <w:szCs w:val="24"/>
          <w:lang w:eastAsia="lt-LT"/>
        </w:rPr>
        <w:t>4. Elektroninių prekyviečių atsakingiems asmenims imtis priemonių užtikrinti, jog jos naudotojai, kurie</w:t>
      </w:r>
      <w:r w:rsidR="00A02437" w:rsidRPr="004E7790">
        <w:rPr>
          <w:rFonts w:ascii="Times New Roman" w:hAnsi="Times New Roman"/>
          <w:color w:val="000000"/>
          <w:szCs w:val="24"/>
          <w:lang w:eastAsia="lt-LT"/>
        </w:rPr>
        <w:t>,</w:t>
      </w:r>
      <w:r w:rsidRPr="004E7790">
        <w:rPr>
          <w:rFonts w:ascii="Times New Roman" w:hAnsi="Times New Roman"/>
          <w:color w:val="000000"/>
          <w:szCs w:val="24"/>
          <w:lang w:eastAsia="lt-LT"/>
        </w:rPr>
        <w:t xml:space="preserve"> naudodamiesi jos paslaugomis</w:t>
      </w:r>
      <w:r w:rsidR="00A02437" w:rsidRPr="004E7790">
        <w:rPr>
          <w:rFonts w:ascii="Times New Roman" w:hAnsi="Times New Roman"/>
          <w:color w:val="000000"/>
          <w:szCs w:val="24"/>
          <w:lang w:eastAsia="lt-LT"/>
        </w:rPr>
        <w:t>,</w:t>
      </w:r>
      <w:r w:rsidRPr="004E7790">
        <w:rPr>
          <w:rFonts w:ascii="Times New Roman" w:hAnsi="Times New Roman"/>
          <w:color w:val="000000"/>
          <w:szCs w:val="24"/>
          <w:lang w:eastAsia="lt-LT"/>
        </w:rPr>
        <w:t xml:space="preserve"> tiekia reglamentuojamus sprogstamųjų medžiagų pirmtakus, būtų informuojami apie jų pareigas, nustatytas Reglamente.</w:t>
      </w:r>
    </w:p>
    <w:p w:rsidR="00503698" w:rsidRPr="004E7790" w:rsidRDefault="00BF4B02">
      <w:pPr>
        <w:pStyle w:val="Standard"/>
        <w:tabs>
          <w:tab w:val="left" w:pos="1134"/>
        </w:tabs>
        <w:spacing w:after="0"/>
        <w:ind w:firstLine="850"/>
        <w:contextualSpacing/>
        <w:jc w:val="both"/>
        <w:rPr>
          <w:rFonts w:ascii="Times New Roman" w:hAnsi="Times New Roman"/>
        </w:rPr>
      </w:pPr>
      <w:r w:rsidRPr="004E7790">
        <w:rPr>
          <w:rFonts w:ascii="Times New Roman" w:hAnsi="Times New Roman"/>
          <w:color w:val="000000"/>
          <w:szCs w:val="24"/>
          <w:lang w:eastAsia="lt-LT"/>
        </w:rPr>
        <w:t>Atsakomybė už šių Reglamente (ES) 2019/1148 nustatytų pareigų neįvykdymą nediferencijuojama, papildant 234</w:t>
      </w:r>
      <w:r w:rsidRPr="004E7790">
        <w:rPr>
          <w:rFonts w:ascii="Times New Roman" w:hAnsi="Times New Roman"/>
          <w:color w:val="000000"/>
          <w:szCs w:val="24"/>
          <w:vertAlign w:val="superscript"/>
          <w:lang w:eastAsia="lt-LT"/>
        </w:rPr>
        <w:t>1</w:t>
      </w:r>
      <w:r w:rsidRPr="004E7790">
        <w:rPr>
          <w:rFonts w:ascii="Times New Roman" w:hAnsi="Times New Roman"/>
          <w:color w:val="000000"/>
          <w:szCs w:val="24"/>
          <w:lang w:eastAsia="lt-LT"/>
        </w:rPr>
        <w:t xml:space="preserve"> straipsnį 4 dalimi, kuriame nustatoma atsakomybė už kitus Reglamento pažeidimus, išskyrus šiame kodekse nurodytuosius.</w:t>
      </w:r>
    </w:p>
    <w:p w:rsidR="00503698" w:rsidRPr="004E7790" w:rsidRDefault="00BF4B02">
      <w:pPr>
        <w:pStyle w:val="Standard"/>
        <w:tabs>
          <w:tab w:val="left" w:pos="1134"/>
        </w:tabs>
        <w:spacing w:after="0"/>
        <w:ind w:firstLine="850"/>
        <w:contextualSpacing/>
        <w:jc w:val="both"/>
        <w:rPr>
          <w:rFonts w:ascii="Times New Roman" w:hAnsi="Times New Roman"/>
        </w:rPr>
      </w:pPr>
      <w:bookmarkStart w:id="4" w:name="__DdeLink__249_3223478351"/>
      <w:r w:rsidRPr="004E7790">
        <w:rPr>
          <w:rFonts w:ascii="Times New Roman" w:hAnsi="Times New Roman"/>
          <w:color w:val="000000"/>
          <w:szCs w:val="24"/>
          <w:lang w:eastAsia="lt-LT"/>
        </w:rPr>
        <w:t>Reglamento Nr. 2019/1148</w:t>
      </w:r>
      <w:bookmarkEnd w:id="4"/>
      <w:r w:rsidRPr="004E7790">
        <w:rPr>
          <w:rFonts w:ascii="Times New Roman" w:hAnsi="Times New Roman"/>
          <w:color w:val="000000"/>
          <w:szCs w:val="24"/>
          <w:lang w:eastAsia="lt-LT"/>
        </w:rPr>
        <w:t xml:space="preserve"> 5 straipsnio 2 dalyje nustatytas draudimas plačiosios visuomenės nariams tiekti, įvežti, laikyti arba naudoti mišinius, kurių sudėtyje kalio chlorato, kalio perchlorato, natrio chlorato, natrio perchlorato bendra koncentracija mišinyje viršija 40 proc. ribinę vertę. Įstatymo projektu siūloma pakeisti Administracinių nusižengimų kodekso 234</w:t>
      </w:r>
      <w:r w:rsidRPr="004E7790">
        <w:rPr>
          <w:rFonts w:ascii="Times New Roman" w:hAnsi="Times New Roman"/>
          <w:color w:val="000000"/>
          <w:szCs w:val="24"/>
          <w:vertAlign w:val="superscript"/>
          <w:lang w:eastAsia="lt-LT"/>
        </w:rPr>
        <w:t>2</w:t>
      </w:r>
      <w:r w:rsidRPr="004E7790">
        <w:rPr>
          <w:rFonts w:ascii="Times New Roman" w:hAnsi="Times New Roman"/>
          <w:color w:val="000000"/>
          <w:szCs w:val="24"/>
          <w:lang w:eastAsia="lt-LT"/>
        </w:rPr>
        <w:t xml:space="preserve"> straipsnį, papildant jį nuostata, kad atsakomybė taikoma asmenims ir juridinių asmenų vadovams ar kitiems atsakingiems asmenims už neteisėtą mišinių, kuriuose kalio chlorato, kalio perchlorato, natrio chlorato, natrio perchlorato bendra koncentracija mišinyje viršija 40 proc. ribinę vertę, tiekimą, įvežimą, laikymą ar naudojimą.</w:t>
      </w:r>
    </w:p>
    <w:p w:rsidR="00503698" w:rsidRPr="004E7790" w:rsidRDefault="00BF4B02">
      <w:pPr>
        <w:pStyle w:val="Standard"/>
        <w:tabs>
          <w:tab w:val="left" w:pos="1134"/>
        </w:tabs>
        <w:spacing w:after="0"/>
        <w:ind w:firstLine="850"/>
        <w:contextualSpacing/>
        <w:jc w:val="both"/>
        <w:rPr>
          <w:rFonts w:ascii="Times New Roman" w:hAnsi="Times New Roman"/>
        </w:rPr>
      </w:pPr>
      <w:r w:rsidRPr="004E7790">
        <w:rPr>
          <w:rFonts w:ascii="Times New Roman" w:hAnsi="Times New Roman"/>
          <w:color w:val="000000"/>
          <w:szCs w:val="24"/>
          <w:lang w:eastAsia="lt-LT"/>
        </w:rPr>
        <w:t>Pasikeitus sprogstamųjų medžiagų pirmtakų apyvartą reguliuojančiam Europos Sąjungos teisės aktui, atitinkamai patikslinamas Administracinių nusižengimų kodekso priedas.</w:t>
      </w:r>
    </w:p>
    <w:p w:rsidR="00503698" w:rsidRPr="004E7790" w:rsidRDefault="00503698">
      <w:pPr>
        <w:pStyle w:val="Standard"/>
        <w:tabs>
          <w:tab w:val="left" w:pos="1134"/>
        </w:tabs>
        <w:spacing w:after="0"/>
        <w:ind w:firstLine="850"/>
        <w:contextualSpacing/>
        <w:jc w:val="both"/>
        <w:rPr>
          <w:rFonts w:ascii="Times New Roman" w:hAnsi="Times New Roman"/>
          <w:b/>
          <w:szCs w:val="24"/>
        </w:rPr>
      </w:pPr>
    </w:p>
    <w:p w:rsidR="00503698" w:rsidRPr="004E7790" w:rsidRDefault="00BF4B02">
      <w:pPr>
        <w:pStyle w:val="Standard"/>
        <w:tabs>
          <w:tab w:val="left" w:pos="1134"/>
        </w:tabs>
        <w:spacing w:after="0"/>
        <w:ind w:firstLine="850"/>
        <w:contextualSpacing/>
        <w:jc w:val="both"/>
        <w:rPr>
          <w:rFonts w:ascii="Times New Roman" w:hAnsi="Times New Roman"/>
        </w:rPr>
      </w:pPr>
      <w:r w:rsidRPr="004E7790">
        <w:rPr>
          <w:rFonts w:ascii="Times New Roman" w:hAnsi="Times New Roman"/>
          <w:b/>
          <w:szCs w:val="24"/>
        </w:rPr>
        <w:t xml:space="preserve">5. </w:t>
      </w:r>
      <w:r w:rsidRPr="004E7790">
        <w:rPr>
          <w:rFonts w:ascii="Times New Roman" w:hAnsi="Times New Roman"/>
          <w:b/>
          <w:bCs/>
          <w:szCs w:val="24"/>
        </w:rPr>
        <w:t>Numatomo teisinio reguliavimo poveikio vertinimo rezultatai, galimos neigiamos priimto įstatymo pasekmės ir kokių priemonių reikėtų imtis, kad tokių pasekmių būtų išvengta</w:t>
      </w:r>
    </w:p>
    <w:p w:rsidR="00503698" w:rsidRPr="004E7790" w:rsidRDefault="00BF4B02">
      <w:pPr>
        <w:pStyle w:val="Standard"/>
        <w:tabs>
          <w:tab w:val="left" w:pos="1134"/>
        </w:tabs>
        <w:spacing w:after="0"/>
        <w:ind w:firstLine="850"/>
        <w:contextualSpacing/>
        <w:jc w:val="both"/>
        <w:rPr>
          <w:rFonts w:ascii="Times New Roman" w:hAnsi="Times New Roman"/>
        </w:rPr>
      </w:pPr>
      <w:r w:rsidRPr="004E7790">
        <w:rPr>
          <w:rFonts w:ascii="Times New Roman" w:hAnsi="Times New Roman"/>
          <w:szCs w:val="24"/>
        </w:rPr>
        <w:t xml:space="preserve">Priėmus </w:t>
      </w:r>
      <w:r w:rsidR="00A02437" w:rsidRPr="004E7790">
        <w:rPr>
          <w:rFonts w:ascii="Times New Roman" w:hAnsi="Times New Roman"/>
          <w:szCs w:val="24"/>
        </w:rPr>
        <w:t>Į</w:t>
      </w:r>
      <w:r w:rsidRPr="004E7790">
        <w:rPr>
          <w:rFonts w:ascii="Times New Roman" w:hAnsi="Times New Roman"/>
          <w:szCs w:val="24"/>
        </w:rPr>
        <w:t>statymą neigiamų pasekmių nenumatoma.</w:t>
      </w:r>
    </w:p>
    <w:p w:rsidR="00503698" w:rsidRPr="004E7790" w:rsidRDefault="00503698">
      <w:pPr>
        <w:pStyle w:val="Standard"/>
        <w:tabs>
          <w:tab w:val="left" w:pos="1134"/>
        </w:tabs>
        <w:spacing w:after="0"/>
        <w:ind w:firstLine="850"/>
        <w:contextualSpacing/>
        <w:jc w:val="both"/>
        <w:rPr>
          <w:rFonts w:ascii="Times New Roman" w:hAnsi="Times New Roman"/>
          <w:b/>
          <w:szCs w:val="24"/>
        </w:rPr>
      </w:pPr>
    </w:p>
    <w:p w:rsidR="00503698" w:rsidRPr="004E7790" w:rsidRDefault="00BF4B02">
      <w:pPr>
        <w:pStyle w:val="Standard"/>
        <w:tabs>
          <w:tab w:val="left" w:pos="1134"/>
        </w:tabs>
        <w:spacing w:after="0"/>
        <w:ind w:firstLine="850"/>
        <w:contextualSpacing/>
        <w:jc w:val="both"/>
        <w:rPr>
          <w:rFonts w:ascii="Times New Roman" w:hAnsi="Times New Roman"/>
        </w:rPr>
      </w:pPr>
      <w:r w:rsidRPr="004E7790">
        <w:rPr>
          <w:rFonts w:ascii="Times New Roman" w:hAnsi="Times New Roman"/>
          <w:b/>
          <w:szCs w:val="24"/>
        </w:rPr>
        <w:t>6. Kokią įtaką įstatymas turės kriminogeninei situacijai, korupcijai</w:t>
      </w:r>
    </w:p>
    <w:p w:rsidR="00503698" w:rsidRPr="004E7790" w:rsidRDefault="00BF4B02">
      <w:pPr>
        <w:pStyle w:val="Standard"/>
        <w:tabs>
          <w:tab w:val="left" w:pos="1134"/>
        </w:tabs>
        <w:spacing w:after="0"/>
        <w:ind w:firstLine="851"/>
        <w:contextualSpacing/>
        <w:jc w:val="both"/>
        <w:rPr>
          <w:rFonts w:ascii="Times New Roman" w:hAnsi="Times New Roman"/>
        </w:rPr>
      </w:pPr>
      <w:r w:rsidRPr="004E7790">
        <w:rPr>
          <w:rFonts w:ascii="Times New Roman" w:hAnsi="Times New Roman"/>
          <w:lang w:eastAsia="lt-LT"/>
        </w:rPr>
        <w:t>Įstatymo priėmimas kriminogeninei situacijai ir korupcijai įtakos neturės.</w:t>
      </w:r>
    </w:p>
    <w:p w:rsidR="00503698" w:rsidRPr="004E7790" w:rsidRDefault="00503698">
      <w:pPr>
        <w:pStyle w:val="Standard"/>
        <w:tabs>
          <w:tab w:val="left" w:pos="1134"/>
        </w:tabs>
        <w:spacing w:after="0"/>
        <w:ind w:firstLine="850"/>
        <w:contextualSpacing/>
        <w:jc w:val="both"/>
        <w:rPr>
          <w:rFonts w:ascii="Times New Roman" w:hAnsi="Times New Roman"/>
          <w:szCs w:val="24"/>
        </w:rPr>
      </w:pPr>
    </w:p>
    <w:p w:rsidR="00503698" w:rsidRPr="004E7790" w:rsidRDefault="00BF4B02">
      <w:pPr>
        <w:pStyle w:val="Standard"/>
        <w:tabs>
          <w:tab w:val="left" w:pos="1134"/>
        </w:tabs>
        <w:spacing w:after="0"/>
        <w:ind w:firstLine="850"/>
        <w:contextualSpacing/>
        <w:jc w:val="both"/>
        <w:rPr>
          <w:rFonts w:ascii="Times New Roman" w:hAnsi="Times New Roman"/>
        </w:rPr>
      </w:pPr>
      <w:r w:rsidRPr="004E7790">
        <w:rPr>
          <w:rFonts w:ascii="Times New Roman" w:hAnsi="Times New Roman"/>
          <w:b/>
          <w:szCs w:val="24"/>
        </w:rPr>
        <w:t>7. Kaip įstatymo įgyvendinimas atsilieps verslo sąlygoms ir jo plėtrai</w:t>
      </w:r>
    </w:p>
    <w:p w:rsidR="00503698" w:rsidRPr="004E7790" w:rsidRDefault="00BF4B02">
      <w:pPr>
        <w:pStyle w:val="Standard"/>
        <w:tabs>
          <w:tab w:val="left" w:pos="1134"/>
        </w:tabs>
        <w:spacing w:after="0"/>
        <w:ind w:firstLine="850"/>
        <w:contextualSpacing/>
        <w:jc w:val="both"/>
        <w:rPr>
          <w:rFonts w:ascii="Times New Roman" w:hAnsi="Times New Roman"/>
        </w:rPr>
      </w:pPr>
      <w:r w:rsidRPr="004E7790">
        <w:rPr>
          <w:rFonts w:ascii="Times New Roman" w:hAnsi="Times New Roman"/>
          <w:szCs w:val="24"/>
        </w:rPr>
        <w:t>Įstatymo įgyvendinimas įtakos verslo sąlygoms ir jo plėtrai neturės.</w:t>
      </w:r>
    </w:p>
    <w:p w:rsidR="00503698" w:rsidRPr="004E7790" w:rsidRDefault="00503698">
      <w:pPr>
        <w:pStyle w:val="Standard"/>
        <w:tabs>
          <w:tab w:val="left" w:pos="1134"/>
        </w:tabs>
        <w:spacing w:after="0"/>
        <w:ind w:firstLine="850"/>
        <w:contextualSpacing/>
        <w:jc w:val="both"/>
        <w:rPr>
          <w:rFonts w:ascii="Times New Roman" w:hAnsi="Times New Roman"/>
        </w:rPr>
      </w:pPr>
    </w:p>
    <w:p w:rsidR="00503698" w:rsidRPr="004E7790" w:rsidRDefault="00BF4B02">
      <w:pPr>
        <w:pStyle w:val="Standard"/>
        <w:tabs>
          <w:tab w:val="left" w:pos="1134"/>
        </w:tabs>
        <w:spacing w:after="0"/>
        <w:ind w:firstLine="850"/>
        <w:contextualSpacing/>
        <w:jc w:val="both"/>
        <w:rPr>
          <w:rFonts w:ascii="Times New Roman" w:hAnsi="Times New Roman"/>
        </w:rPr>
      </w:pPr>
      <w:r w:rsidRPr="004E7790">
        <w:rPr>
          <w:rFonts w:ascii="Times New Roman" w:hAnsi="Times New Roman"/>
          <w:b/>
          <w:szCs w:val="24"/>
        </w:rPr>
        <w:t xml:space="preserve">8. </w:t>
      </w:r>
      <w:r w:rsidRPr="004E7790">
        <w:rPr>
          <w:rFonts w:ascii="Times New Roman" w:hAnsi="Times New Roman"/>
          <w:b/>
          <w:bCs/>
          <w:szCs w:val="24"/>
          <w:lang w:eastAsia="en-GB"/>
        </w:rPr>
        <w:t>Įstatymo inkorporavimas į teisinę sistemą, kokius teisės aktus būtina priimti, kokius galiojančius teisės aktus reikia pakeisti ar pripažinti netekusiais galios</w:t>
      </w:r>
    </w:p>
    <w:p w:rsidR="00503698" w:rsidRPr="004E7790" w:rsidRDefault="00BF4B02">
      <w:pPr>
        <w:pStyle w:val="Standard"/>
        <w:tabs>
          <w:tab w:val="left" w:pos="1134"/>
        </w:tabs>
        <w:spacing w:after="0"/>
        <w:ind w:firstLine="850"/>
        <w:contextualSpacing/>
        <w:jc w:val="both"/>
        <w:rPr>
          <w:rFonts w:ascii="Times New Roman" w:hAnsi="Times New Roman"/>
        </w:rPr>
      </w:pPr>
      <w:r w:rsidRPr="004E7790">
        <w:rPr>
          <w:rFonts w:ascii="Times New Roman" w:hAnsi="Times New Roman"/>
          <w:szCs w:val="24"/>
        </w:rPr>
        <w:t xml:space="preserve">Priėmus </w:t>
      </w:r>
      <w:r w:rsidR="00DE2B4F" w:rsidRPr="004E7790">
        <w:rPr>
          <w:rFonts w:ascii="Times New Roman" w:hAnsi="Times New Roman"/>
          <w:szCs w:val="24"/>
        </w:rPr>
        <w:t>Į</w:t>
      </w:r>
      <w:r w:rsidRPr="004E7790">
        <w:rPr>
          <w:rFonts w:ascii="Times New Roman" w:hAnsi="Times New Roman"/>
          <w:szCs w:val="24"/>
          <w:highlight w:val="white"/>
          <w:lang w:eastAsia="lt-LT"/>
        </w:rPr>
        <w:t>statym</w:t>
      </w:r>
      <w:bookmarkStart w:id="5" w:name="_Hlk536190390"/>
      <w:bookmarkStart w:id="6" w:name="_Hlk536190402"/>
      <w:bookmarkStart w:id="7" w:name="_Hlk536190415"/>
      <w:bookmarkEnd w:id="5"/>
      <w:bookmarkEnd w:id="6"/>
      <w:bookmarkEnd w:id="7"/>
      <w:r w:rsidRPr="004E7790">
        <w:rPr>
          <w:rFonts w:ascii="Times New Roman" w:hAnsi="Times New Roman"/>
          <w:szCs w:val="24"/>
        </w:rPr>
        <w:t>ą kitų įstatymų keisti nereikės.</w:t>
      </w:r>
    </w:p>
    <w:p w:rsidR="00503698" w:rsidRPr="004E7790" w:rsidRDefault="00503698">
      <w:pPr>
        <w:pStyle w:val="Standard"/>
        <w:spacing w:after="0"/>
        <w:ind w:firstLine="850"/>
        <w:contextualSpacing/>
        <w:jc w:val="both"/>
        <w:rPr>
          <w:rFonts w:ascii="Times New Roman" w:hAnsi="Times New Roman"/>
          <w:szCs w:val="24"/>
        </w:rPr>
      </w:pPr>
    </w:p>
    <w:p w:rsidR="00503698" w:rsidRPr="004E7790" w:rsidRDefault="00BF4B02">
      <w:pPr>
        <w:pStyle w:val="Standard"/>
        <w:tabs>
          <w:tab w:val="left" w:pos="1134"/>
        </w:tabs>
        <w:spacing w:after="0"/>
        <w:ind w:firstLine="850"/>
        <w:contextualSpacing/>
        <w:jc w:val="both"/>
        <w:rPr>
          <w:rFonts w:ascii="Times New Roman" w:hAnsi="Times New Roman"/>
        </w:rPr>
      </w:pPr>
      <w:r w:rsidRPr="004E7790">
        <w:rPr>
          <w:rFonts w:ascii="Times New Roman" w:hAnsi="Times New Roman"/>
          <w:b/>
          <w:bCs/>
          <w:szCs w:val="24"/>
        </w:rPr>
        <w:t xml:space="preserve">9. </w:t>
      </w:r>
      <w:r w:rsidRPr="004E7790">
        <w:rPr>
          <w:rFonts w:ascii="Times New Roman" w:hAnsi="Times New Roman"/>
          <w:b/>
          <w:bCs/>
          <w:szCs w:val="24"/>
          <w:lang w:eastAsia="en-GB"/>
        </w:rPr>
        <w:t xml:space="preserve">Ar įstatymo projektas parengtas laikantis Lietuvos Respublikos valstybinės kalbos, </w:t>
      </w:r>
      <w:bookmarkStart w:id="8" w:name="n1_635"/>
      <w:bookmarkEnd w:id="8"/>
      <w:r w:rsidRPr="004E7790">
        <w:rPr>
          <w:rFonts w:ascii="Times New Roman" w:hAnsi="Times New Roman"/>
          <w:b/>
          <w:bCs/>
          <w:szCs w:val="24"/>
          <w:lang w:eastAsia="en-GB"/>
        </w:rPr>
        <w:t>Teisėkūros pagrindų įstatymų</w:t>
      </w:r>
      <w:bookmarkStart w:id="9" w:name="pn1_635"/>
      <w:bookmarkEnd w:id="9"/>
      <w:r w:rsidRPr="004E7790">
        <w:rPr>
          <w:rFonts w:ascii="Times New Roman" w:hAnsi="Times New Roman"/>
          <w:b/>
          <w:bCs/>
          <w:szCs w:val="24"/>
          <w:lang w:eastAsia="en-GB"/>
        </w:rPr>
        <w:t xml:space="preserve"> reikalavimų, o įstatym</w:t>
      </w:r>
      <w:r w:rsidR="00DE2B4F" w:rsidRPr="004E7790">
        <w:rPr>
          <w:rFonts w:ascii="Times New Roman" w:hAnsi="Times New Roman"/>
          <w:b/>
          <w:bCs/>
          <w:szCs w:val="24"/>
          <w:lang w:eastAsia="en-GB"/>
        </w:rPr>
        <w:t>o</w:t>
      </w:r>
      <w:r w:rsidRPr="004E7790">
        <w:rPr>
          <w:rFonts w:ascii="Times New Roman" w:hAnsi="Times New Roman"/>
          <w:b/>
          <w:bCs/>
          <w:szCs w:val="24"/>
          <w:lang w:eastAsia="en-GB"/>
        </w:rPr>
        <w:t xml:space="preserve"> projekt</w:t>
      </w:r>
      <w:r w:rsidR="00DE2B4F" w:rsidRPr="004E7790">
        <w:rPr>
          <w:rFonts w:ascii="Times New Roman" w:hAnsi="Times New Roman"/>
          <w:b/>
          <w:bCs/>
          <w:szCs w:val="24"/>
          <w:lang w:eastAsia="en-GB"/>
        </w:rPr>
        <w:t>o</w:t>
      </w:r>
      <w:r w:rsidRPr="004E7790">
        <w:rPr>
          <w:rFonts w:ascii="Times New Roman" w:hAnsi="Times New Roman"/>
          <w:b/>
          <w:bCs/>
          <w:szCs w:val="24"/>
          <w:lang w:eastAsia="en-GB"/>
        </w:rPr>
        <w:t xml:space="preserve"> sąvokos ir jas įvardijantys terminai įvertinti </w:t>
      </w:r>
      <w:bookmarkStart w:id="10" w:name="n1_637"/>
      <w:bookmarkEnd w:id="10"/>
      <w:r w:rsidRPr="004E7790">
        <w:rPr>
          <w:rFonts w:ascii="Times New Roman" w:hAnsi="Times New Roman"/>
          <w:b/>
          <w:bCs/>
          <w:szCs w:val="24"/>
          <w:lang w:eastAsia="en-GB"/>
        </w:rPr>
        <w:t>Terminų banko įstatymo</w:t>
      </w:r>
      <w:bookmarkStart w:id="11" w:name="pn1_637"/>
      <w:bookmarkEnd w:id="11"/>
      <w:r w:rsidRPr="004E7790">
        <w:rPr>
          <w:rFonts w:ascii="Times New Roman" w:hAnsi="Times New Roman"/>
          <w:b/>
          <w:bCs/>
          <w:szCs w:val="24"/>
          <w:lang w:eastAsia="en-GB"/>
        </w:rPr>
        <w:t xml:space="preserve"> ir jo įgyvendinamųjų teisės aktų nustatyta tvarka</w:t>
      </w:r>
    </w:p>
    <w:p w:rsidR="00503698" w:rsidRPr="004E7790" w:rsidRDefault="00BF4B02">
      <w:pPr>
        <w:pStyle w:val="Standard"/>
        <w:spacing w:after="0"/>
        <w:ind w:firstLine="850"/>
        <w:contextualSpacing/>
        <w:jc w:val="both"/>
        <w:rPr>
          <w:rFonts w:ascii="Times New Roman" w:hAnsi="Times New Roman"/>
        </w:rPr>
      </w:pPr>
      <w:r w:rsidRPr="004E7790">
        <w:rPr>
          <w:rFonts w:ascii="Times New Roman" w:hAnsi="Times New Roman"/>
          <w:lang w:eastAsia="lt-LT"/>
        </w:rPr>
        <w:t>Įstatymo</w:t>
      </w:r>
      <w:r w:rsidRPr="004E7790">
        <w:rPr>
          <w:rFonts w:ascii="Times New Roman" w:hAnsi="Times New Roman"/>
        </w:rPr>
        <w:t xml:space="preserve"> projektas parengtas laikantis </w:t>
      </w:r>
      <w:r w:rsidRPr="004E7790">
        <w:rPr>
          <w:rFonts w:ascii="Times New Roman" w:hAnsi="Times New Roman"/>
          <w:bCs/>
          <w:lang w:eastAsia="en-GB"/>
        </w:rPr>
        <w:t xml:space="preserve">Lietuvos Respublikos </w:t>
      </w:r>
      <w:r w:rsidRPr="004E7790">
        <w:rPr>
          <w:rFonts w:ascii="Times New Roman" w:hAnsi="Times New Roman"/>
        </w:rPr>
        <w:t xml:space="preserve">valstybinės kalbos, </w:t>
      </w:r>
      <w:r w:rsidRPr="004E7790">
        <w:rPr>
          <w:rFonts w:ascii="Times New Roman" w:hAnsi="Times New Roman"/>
          <w:bCs/>
          <w:lang w:eastAsia="en-GB"/>
        </w:rPr>
        <w:t>Lietuvos Respublikos t</w:t>
      </w:r>
      <w:r w:rsidRPr="004E7790">
        <w:rPr>
          <w:rFonts w:ascii="Times New Roman" w:hAnsi="Times New Roman"/>
          <w:lang w:eastAsia="en-GB"/>
        </w:rPr>
        <w:t>eisėkūros pagrindų įstatymų reikalavimų</w:t>
      </w:r>
      <w:r w:rsidRPr="004E7790">
        <w:rPr>
          <w:rFonts w:ascii="Times New Roman" w:hAnsi="Times New Roman"/>
        </w:rPr>
        <w:t xml:space="preserve"> ir atitinka bendrinės lietuvių kalbos normas. Įstatymo projekte nenumatoma naujų sąvokų, kurias reikėtų įvertinti </w:t>
      </w:r>
      <w:r w:rsidRPr="004E7790">
        <w:rPr>
          <w:rFonts w:ascii="Times New Roman" w:hAnsi="Times New Roman"/>
          <w:bCs/>
          <w:lang w:eastAsia="en-GB"/>
        </w:rPr>
        <w:t>Terminų banko įstatymo ir jo įgyvendinamųjų teisės aktų nustatyta tvarka.</w:t>
      </w:r>
    </w:p>
    <w:p w:rsidR="00503698" w:rsidRPr="004E7790" w:rsidRDefault="00503698">
      <w:pPr>
        <w:pStyle w:val="Standard"/>
        <w:spacing w:after="0"/>
        <w:ind w:firstLine="850"/>
        <w:contextualSpacing/>
        <w:jc w:val="both"/>
        <w:rPr>
          <w:rFonts w:ascii="Times New Roman" w:hAnsi="Times New Roman"/>
          <w:b/>
        </w:rPr>
      </w:pPr>
    </w:p>
    <w:p w:rsidR="00503698" w:rsidRPr="004E7790" w:rsidRDefault="00BF4B02">
      <w:pPr>
        <w:pStyle w:val="Standard"/>
        <w:tabs>
          <w:tab w:val="left" w:pos="1134"/>
        </w:tabs>
        <w:spacing w:after="0"/>
        <w:ind w:firstLine="850"/>
        <w:contextualSpacing/>
        <w:jc w:val="both"/>
        <w:rPr>
          <w:rFonts w:ascii="Times New Roman" w:hAnsi="Times New Roman"/>
        </w:rPr>
      </w:pPr>
      <w:r w:rsidRPr="004E7790">
        <w:rPr>
          <w:rFonts w:ascii="Times New Roman" w:hAnsi="Times New Roman"/>
          <w:b/>
          <w:bCs/>
          <w:szCs w:val="24"/>
        </w:rPr>
        <w:t>10. Ar į</w:t>
      </w:r>
      <w:r w:rsidRPr="004E7790">
        <w:rPr>
          <w:rFonts w:ascii="Times New Roman" w:hAnsi="Times New Roman"/>
          <w:b/>
          <w:szCs w:val="24"/>
          <w:lang w:eastAsia="lt-LT"/>
        </w:rPr>
        <w:t>statymo</w:t>
      </w:r>
      <w:r w:rsidRPr="004E7790">
        <w:rPr>
          <w:rFonts w:ascii="Times New Roman" w:hAnsi="Times New Roman"/>
          <w:b/>
          <w:bCs/>
          <w:szCs w:val="24"/>
        </w:rPr>
        <w:t xml:space="preserve"> projektas atitinka Žmogaus teisių ir pagrindinių laisvių apsaugos konvencijos nuostatas ir Europos Sąjungos dokumentus</w:t>
      </w:r>
    </w:p>
    <w:p w:rsidR="00503698" w:rsidRPr="004E7790" w:rsidRDefault="00BF4B02">
      <w:pPr>
        <w:pStyle w:val="Antrats"/>
        <w:spacing w:after="0"/>
        <w:ind w:firstLine="850"/>
        <w:contextualSpacing/>
        <w:jc w:val="both"/>
        <w:rPr>
          <w:rFonts w:ascii="Times New Roman" w:hAnsi="Times New Roman"/>
        </w:rPr>
      </w:pPr>
      <w:r w:rsidRPr="004E7790">
        <w:rPr>
          <w:rFonts w:ascii="Times New Roman" w:hAnsi="Times New Roman"/>
        </w:rPr>
        <w:lastRenderedPageBreak/>
        <w:t>Įstatymo projekto nuostatos Žmogaus teisių ir pagrindinių laisvių apsaugos konvencijos nuostatoms ir Europos Sąjungos dokumentams neprieštarauja.</w:t>
      </w:r>
    </w:p>
    <w:p w:rsidR="00503698" w:rsidRPr="004E7790" w:rsidRDefault="00503698">
      <w:pPr>
        <w:pStyle w:val="Standard"/>
        <w:tabs>
          <w:tab w:val="left" w:pos="1134"/>
        </w:tabs>
        <w:spacing w:after="0"/>
        <w:ind w:firstLine="850"/>
        <w:contextualSpacing/>
        <w:jc w:val="both"/>
        <w:rPr>
          <w:rFonts w:ascii="Times New Roman" w:hAnsi="Times New Roman"/>
          <w:szCs w:val="24"/>
        </w:rPr>
      </w:pPr>
    </w:p>
    <w:p w:rsidR="00503698" w:rsidRPr="004E7790" w:rsidRDefault="00BF4B02">
      <w:pPr>
        <w:pStyle w:val="Standard"/>
        <w:tabs>
          <w:tab w:val="left" w:pos="1134"/>
        </w:tabs>
        <w:spacing w:after="0"/>
        <w:ind w:firstLine="850"/>
        <w:contextualSpacing/>
        <w:jc w:val="both"/>
        <w:rPr>
          <w:rFonts w:ascii="Times New Roman" w:hAnsi="Times New Roman"/>
        </w:rPr>
      </w:pPr>
      <w:r w:rsidRPr="004E7790">
        <w:rPr>
          <w:rFonts w:ascii="Times New Roman" w:hAnsi="Times New Roman"/>
          <w:b/>
          <w:bCs/>
          <w:szCs w:val="24"/>
        </w:rPr>
        <w:t xml:space="preserve">11. </w:t>
      </w:r>
      <w:r w:rsidRPr="004E7790">
        <w:rPr>
          <w:rFonts w:ascii="Times New Roman" w:hAnsi="Times New Roman"/>
          <w:b/>
          <w:bCs/>
          <w:szCs w:val="24"/>
          <w:lang w:eastAsia="en-GB"/>
        </w:rPr>
        <w:t>Jeigu įstatymui įgyvendinti reikia įgyvendinamųjų teisės aktų, – kas ir kada juos turėtų priimti</w:t>
      </w:r>
    </w:p>
    <w:p w:rsidR="00503698" w:rsidRPr="004E7790" w:rsidRDefault="00BF4B02">
      <w:pPr>
        <w:pStyle w:val="Standard"/>
        <w:tabs>
          <w:tab w:val="left" w:pos="1134"/>
        </w:tabs>
        <w:spacing w:after="0"/>
        <w:ind w:firstLine="850"/>
        <w:contextualSpacing/>
        <w:jc w:val="both"/>
        <w:rPr>
          <w:rFonts w:ascii="Times New Roman" w:hAnsi="Times New Roman"/>
        </w:rPr>
      </w:pPr>
      <w:r w:rsidRPr="004E7790">
        <w:rPr>
          <w:rFonts w:ascii="Times New Roman" w:hAnsi="Times New Roman"/>
          <w:szCs w:val="24"/>
        </w:rPr>
        <w:t>Įstatymui įgyvendinti nereikia įgyvendinamųjų teisės aktų.</w:t>
      </w:r>
    </w:p>
    <w:p w:rsidR="00503698" w:rsidRPr="004E7790" w:rsidRDefault="00503698">
      <w:pPr>
        <w:pStyle w:val="Standard"/>
        <w:tabs>
          <w:tab w:val="left" w:pos="1134"/>
        </w:tabs>
        <w:spacing w:after="0"/>
        <w:ind w:firstLine="850"/>
        <w:contextualSpacing/>
        <w:jc w:val="both"/>
        <w:rPr>
          <w:rFonts w:ascii="Times New Roman" w:hAnsi="Times New Roman"/>
          <w:szCs w:val="24"/>
        </w:rPr>
      </w:pPr>
    </w:p>
    <w:p w:rsidR="00503698" w:rsidRPr="004E7790" w:rsidRDefault="00BF4B02">
      <w:pPr>
        <w:pStyle w:val="Standard"/>
        <w:tabs>
          <w:tab w:val="left" w:pos="1134"/>
        </w:tabs>
        <w:spacing w:after="0"/>
        <w:ind w:firstLine="850"/>
        <w:contextualSpacing/>
        <w:jc w:val="both"/>
        <w:rPr>
          <w:rFonts w:ascii="Times New Roman" w:hAnsi="Times New Roman"/>
        </w:rPr>
      </w:pPr>
      <w:r w:rsidRPr="004E7790">
        <w:rPr>
          <w:rFonts w:ascii="Times New Roman" w:hAnsi="Times New Roman"/>
          <w:b/>
          <w:bCs/>
          <w:szCs w:val="24"/>
        </w:rPr>
        <w:t xml:space="preserve">12. </w:t>
      </w:r>
      <w:r w:rsidRPr="004E7790">
        <w:rPr>
          <w:rFonts w:ascii="Times New Roman" w:hAnsi="Times New Roman"/>
          <w:b/>
          <w:szCs w:val="24"/>
          <w:lang w:eastAsia="lt-LT"/>
        </w:rPr>
        <w:t>Kiek valstybės, savivaldybių biudžetų ir kitų valstybės įsteigtų fondų lėšų prireiks įstatymui įgyvendinti, ar bus galima sutaupyti (pateikiami prognozuojami rodikliai einamaisiais ir artimiausiais 3 biudžetiniais metais)</w:t>
      </w:r>
    </w:p>
    <w:p w:rsidR="00503698" w:rsidRPr="004E7790" w:rsidRDefault="00BF4B02">
      <w:pPr>
        <w:pStyle w:val="Standard"/>
        <w:tabs>
          <w:tab w:val="left" w:pos="1134"/>
        </w:tabs>
        <w:spacing w:after="0"/>
        <w:ind w:firstLine="850"/>
        <w:contextualSpacing/>
        <w:jc w:val="both"/>
        <w:rPr>
          <w:rFonts w:ascii="Times New Roman" w:hAnsi="Times New Roman"/>
        </w:rPr>
      </w:pPr>
      <w:r w:rsidRPr="004E7790">
        <w:rPr>
          <w:rFonts w:ascii="Times New Roman" w:hAnsi="Times New Roman"/>
          <w:bCs/>
          <w:szCs w:val="24"/>
        </w:rPr>
        <w:t>Įstatym</w:t>
      </w:r>
      <w:r w:rsidR="00DE2B4F" w:rsidRPr="004E7790">
        <w:rPr>
          <w:rFonts w:ascii="Times New Roman" w:hAnsi="Times New Roman"/>
          <w:bCs/>
          <w:szCs w:val="24"/>
        </w:rPr>
        <w:t>ui</w:t>
      </w:r>
      <w:r w:rsidRPr="004E7790">
        <w:rPr>
          <w:rFonts w:ascii="Times New Roman" w:hAnsi="Times New Roman"/>
          <w:bCs/>
          <w:szCs w:val="24"/>
        </w:rPr>
        <w:t xml:space="preserve"> įgyvendinti papildomų valstybės, savivaldybių biudžetų ir kitų valstybės įsteigtų fondų lėšų nereikės.</w:t>
      </w:r>
    </w:p>
    <w:p w:rsidR="00503698" w:rsidRPr="004E7790" w:rsidRDefault="00503698">
      <w:pPr>
        <w:pStyle w:val="Standard"/>
        <w:tabs>
          <w:tab w:val="left" w:pos="1134"/>
        </w:tabs>
        <w:spacing w:after="0"/>
        <w:ind w:firstLine="850"/>
        <w:contextualSpacing/>
        <w:jc w:val="both"/>
        <w:rPr>
          <w:rFonts w:ascii="Times New Roman" w:hAnsi="Times New Roman"/>
          <w:b/>
          <w:bCs/>
          <w:szCs w:val="24"/>
        </w:rPr>
      </w:pPr>
    </w:p>
    <w:p w:rsidR="00503698" w:rsidRPr="004E7790" w:rsidRDefault="00BF4B02">
      <w:pPr>
        <w:pStyle w:val="Antrats"/>
        <w:tabs>
          <w:tab w:val="left" w:pos="1134"/>
        </w:tabs>
        <w:spacing w:after="0"/>
        <w:ind w:firstLine="850"/>
        <w:contextualSpacing/>
        <w:jc w:val="both"/>
        <w:rPr>
          <w:rFonts w:ascii="Times New Roman" w:hAnsi="Times New Roman"/>
        </w:rPr>
      </w:pPr>
      <w:r w:rsidRPr="004E7790">
        <w:rPr>
          <w:rFonts w:ascii="Times New Roman" w:hAnsi="Times New Roman"/>
          <w:b/>
          <w:bCs/>
        </w:rPr>
        <w:t>13. Rengiant į</w:t>
      </w:r>
      <w:r w:rsidRPr="004E7790">
        <w:rPr>
          <w:rFonts w:ascii="Times New Roman" w:hAnsi="Times New Roman"/>
          <w:b/>
          <w:bCs/>
          <w:lang w:eastAsia="en-GB"/>
        </w:rPr>
        <w:t>statymo projektą gauti specialistų vertinimai ir išvados</w:t>
      </w:r>
    </w:p>
    <w:p w:rsidR="00503698" w:rsidRPr="004E7790" w:rsidRDefault="00BF4B02">
      <w:pPr>
        <w:pStyle w:val="Antrats"/>
        <w:spacing w:after="0"/>
        <w:ind w:firstLine="850"/>
        <w:contextualSpacing/>
        <w:jc w:val="both"/>
        <w:rPr>
          <w:rFonts w:ascii="Times New Roman" w:hAnsi="Times New Roman"/>
        </w:rPr>
      </w:pPr>
      <w:r w:rsidRPr="004E7790">
        <w:rPr>
          <w:rFonts w:ascii="Times New Roman" w:hAnsi="Times New Roman"/>
        </w:rPr>
        <w:t>Rengiant Įstatymo projektą specialistų vertinimų ir išvadų negauta.</w:t>
      </w:r>
    </w:p>
    <w:p w:rsidR="00503698" w:rsidRPr="004E7790" w:rsidRDefault="00503698">
      <w:pPr>
        <w:pStyle w:val="Antrats"/>
        <w:tabs>
          <w:tab w:val="left" w:pos="1134"/>
        </w:tabs>
        <w:spacing w:after="0"/>
        <w:ind w:firstLine="850"/>
        <w:contextualSpacing/>
        <w:jc w:val="both"/>
        <w:rPr>
          <w:rFonts w:ascii="Times New Roman" w:hAnsi="Times New Roman"/>
        </w:rPr>
      </w:pPr>
    </w:p>
    <w:p w:rsidR="00503698" w:rsidRPr="004E7790" w:rsidRDefault="00BF4B02">
      <w:pPr>
        <w:pStyle w:val="Antrats"/>
        <w:tabs>
          <w:tab w:val="left" w:pos="1134"/>
        </w:tabs>
        <w:spacing w:after="0"/>
        <w:ind w:firstLine="850"/>
        <w:contextualSpacing/>
        <w:jc w:val="both"/>
      </w:pPr>
      <w:r w:rsidRPr="004E7790">
        <w:rPr>
          <w:rFonts w:ascii="Times New Roman" w:hAnsi="Times New Roman"/>
          <w:b/>
          <w:bCs/>
        </w:rPr>
        <w:t xml:space="preserve">14. </w:t>
      </w:r>
      <w:r w:rsidRPr="004E7790">
        <w:rPr>
          <w:rStyle w:val="FontStyle13"/>
          <w:rFonts w:eastAsia="Calibri"/>
          <w:bCs/>
          <w:sz w:val="24"/>
        </w:rPr>
        <w:t>Reikšminiai žodžiai, kurių reikia ši</w:t>
      </w:r>
      <w:r w:rsidR="00DE2B4F" w:rsidRPr="004E7790">
        <w:rPr>
          <w:rStyle w:val="FontStyle13"/>
          <w:rFonts w:eastAsia="Calibri"/>
          <w:bCs/>
          <w:sz w:val="24"/>
        </w:rPr>
        <w:t>am</w:t>
      </w:r>
      <w:r w:rsidRPr="004E7790">
        <w:rPr>
          <w:rStyle w:val="FontStyle13"/>
          <w:rFonts w:eastAsia="Calibri"/>
          <w:bCs/>
          <w:sz w:val="24"/>
        </w:rPr>
        <w:t xml:space="preserve"> projekt</w:t>
      </w:r>
      <w:r w:rsidR="00DE2B4F" w:rsidRPr="004E7790">
        <w:rPr>
          <w:rStyle w:val="FontStyle13"/>
          <w:rFonts w:eastAsia="Calibri"/>
          <w:bCs/>
          <w:sz w:val="24"/>
        </w:rPr>
        <w:t>ui</w:t>
      </w:r>
      <w:r w:rsidRPr="004E7790">
        <w:rPr>
          <w:rStyle w:val="FontStyle13"/>
          <w:rFonts w:eastAsia="Calibri"/>
          <w:bCs/>
          <w:sz w:val="24"/>
        </w:rPr>
        <w:t xml:space="preserve"> įtraukti į kompiuterinę paieškos sistemą, įskaitant Europos žodyno </w:t>
      </w:r>
      <w:bookmarkStart w:id="12" w:name="__DdeLink__5286_1638094449"/>
      <w:r w:rsidRPr="004E7790">
        <w:rPr>
          <w:rStyle w:val="FontStyle13"/>
          <w:rFonts w:eastAsia="Calibri"/>
          <w:bCs/>
          <w:i/>
          <w:sz w:val="24"/>
        </w:rPr>
        <w:t xml:space="preserve">Eurovoc </w:t>
      </w:r>
      <w:bookmarkEnd w:id="12"/>
      <w:r w:rsidRPr="004E7790">
        <w:rPr>
          <w:rStyle w:val="FontStyle13"/>
          <w:rFonts w:eastAsia="Calibri"/>
          <w:bCs/>
          <w:sz w:val="24"/>
        </w:rPr>
        <w:t>terminus, temas bei sritis</w:t>
      </w:r>
    </w:p>
    <w:p w:rsidR="00503698" w:rsidRPr="004E7790" w:rsidRDefault="00BF4B02">
      <w:pPr>
        <w:pStyle w:val="Betarp"/>
        <w:tabs>
          <w:tab w:val="left" w:pos="1134"/>
        </w:tabs>
        <w:spacing w:line="276" w:lineRule="auto"/>
        <w:ind w:firstLine="850"/>
        <w:contextualSpacing/>
        <w:jc w:val="both"/>
        <w:rPr>
          <w:rFonts w:ascii="Times New Roman" w:hAnsi="Times New Roman"/>
        </w:rPr>
      </w:pPr>
      <w:r w:rsidRPr="004E7790">
        <w:rPr>
          <w:rFonts w:ascii="Times New Roman" w:hAnsi="Times New Roman"/>
          <w:szCs w:val="24"/>
        </w:rPr>
        <w:t>„Sprogstamųjų medžiagų pirmtakai“.</w:t>
      </w:r>
    </w:p>
    <w:p w:rsidR="00503698" w:rsidRPr="004E7790" w:rsidRDefault="00503698">
      <w:pPr>
        <w:pStyle w:val="Betarp"/>
        <w:tabs>
          <w:tab w:val="left" w:pos="1134"/>
        </w:tabs>
        <w:spacing w:line="276" w:lineRule="auto"/>
        <w:ind w:firstLine="850"/>
        <w:contextualSpacing/>
        <w:jc w:val="both"/>
        <w:rPr>
          <w:rFonts w:ascii="Times New Roman" w:hAnsi="Times New Roman"/>
          <w:b/>
          <w:bCs/>
          <w:szCs w:val="24"/>
        </w:rPr>
      </w:pPr>
    </w:p>
    <w:p w:rsidR="00503698" w:rsidRPr="004E7790" w:rsidRDefault="00BF4B02">
      <w:pPr>
        <w:pStyle w:val="Betarp"/>
        <w:tabs>
          <w:tab w:val="left" w:pos="1134"/>
        </w:tabs>
        <w:spacing w:line="276" w:lineRule="auto"/>
        <w:ind w:firstLine="850"/>
        <w:contextualSpacing/>
        <w:jc w:val="both"/>
        <w:rPr>
          <w:rFonts w:ascii="Times New Roman" w:hAnsi="Times New Roman"/>
        </w:rPr>
      </w:pPr>
      <w:r w:rsidRPr="004E7790">
        <w:rPr>
          <w:rFonts w:ascii="Times New Roman" w:hAnsi="Times New Roman"/>
          <w:b/>
          <w:bCs/>
          <w:szCs w:val="24"/>
        </w:rPr>
        <w:t xml:space="preserve">15. </w:t>
      </w:r>
      <w:r w:rsidRPr="004E7790">
        <w:rPr>
          <w:rFonts w:ascii="Times New Roman" w:hAnsi="Times New Roman"/>
          <w:b/>
          <w:bCs/>
          <w:szCs w:val="24"/>
          <w:lang w:eastAsia="en-GB"/>
        </w:rPr>
        <w:t>Kiti, iniciatorių nuomone, reikalingi pagrindimai ir paaiškinimai</w:t>
      </w:r>
    </w:p>
    <w:p w:rsidR="00503698" w:rsidRPr="004E7790" w:rsidRDefault="00BF4B02">
      <w:pPr>
        <w:pStyle w:val="Betarp"/>
        <w:tabs>
          <w:tab w:val="left" w:pos="1134"/>
        </w:tabs>
        <w:spacing w:line="276" w:lineRule="auto"/>
        <w:ind w:firstLine="850"/>
        <w:contextualSpacing/>
        <w:jc w:val="both"/>
        <w:rPr>
          <w:rFonts w:ascii="Times New Roman" w:hAnsi="Times New Roman"/>
        </w:rPr>
      </w:pPr>
      <w:r w:rsidRPr="004E7790">
        <w:rPr>
          <w:rFonts w:ascii="Times New Roman" w:hAnsi="Times New Roman"/>
          <w:bCs/>
          <w:szCs w:val="24"/>
          <w:lang w:eastAsia="en-GB"/>
        </w:rPr>
        <w:t>Nėra.</w:t>
      </w:r>
    </w:p>
    <w:p w:rsidR="00503698" w:rsidRPr="004E7790" w:rsidRDefault="00503698">
      <w:pPr>
        <w:pStyle w:val="Betarp"/>
        <w:tabs>
          <w:tab w:val="left" w:pos="1134"/>
        </w:tabs>
        <w:spacing w:line="276" w:lineRule="auto"/>
        <w:ind w:firstLine="850"/>
        <w:contextualSpacing/>
        <w:jc w:val="both"/>
        <w:rPr>
          <w:rFonts w:ascii="Times New Roman" w:hAnsi="Times New Roman"/>
          <w:bCs/>
          <w:szCs w:val="24"/>
          <w:lang w:eastAsia="en-GB"/>
        </w:rPr>
      </w:pPr>
    </w:p>
    <w:p w:rsidR="00503698" w:rsidRPr="004E7790" w:rsidRDefault="00503698">
      <w:pPr>
        <w:pStyle w:val="Betarp"/>
        <w:tabs>
          <w:tab w:val="left" w:pos="1134"/>
        </w:tabs>
        <w:spacing w:line="276" w:lineRule="auto"/>
        <w:ind w:firstLine="850"/>
        <w:contextualSpacing/>
        <w:jc w:val="both"/>
        <w:rPr>
          <w:rFonts w:ascii="Times New Roman" w:hAnsi="Times New Roman"/>
        </w:rPr>
      </w:pPr>
    </w:p>
    <w:sectPr w:rsidR="00503698" w:rsidRPr="004E7790" w:rsidSect="00722144">
      <w:headerReference w:type="default" r:id="rId7"/>
      <w:pgSz w:w="11906" w:h="16838"/>
      <w:pgMar w:top="1134" w:right="567" w:bottom="1134" w:left="1701" w:header="567" w:footer="0" w:gutter="0"/>
      <w:cols w:space="1296"/>
      <w:formProt w:val="0"/>
      <w:titlePg/>
      <w:docGrid w:linePitch="24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00192" w:rsidRDefault="00600192">
      <w:r>
        <w:separator/>
      </w:r>
    </w:p>
  </w:endnote>
  <w:endnote w:type="continuationSeparator" w:id="0">
    <w:p w:rsidR="00600192" w:rsidRDefault="006001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Liberation Serif">
    <w:altName w:val="Times New Roman"/>
    <w:charset w:val="00"/>
    <w:family w:val="roman"/>
    <w:pitch w:val="variable"/>
    <w:sig w:usb0="E0000AFF" w:usb1="500078FF" w:usb2="00000021" w:usb3="00000000" w:csb0="000001BF" w:csb1="00000000"/>
  </w:font>
  <w:font w:name="NSimSun">
    <w:panose1 w:val="02010609030101010101"/>
    <w:charset w:val="86"/>
    <w:family w:val="modern"/>
    <w:pitch w:val="fixed"/>
    <w:sig w:usb0="00000283" w:usb1="288F0000" w:usb2="00000016" w:usb3="00000000" w:csb0="00040001" w:csb1="00000000"/>
  </w:font>
  <w:font w:name="Arial">
    <w:panose1 w:val="020B0604020202020204"/>
    <w:charset w:val="BA"/>
    <w:family w:val="swiss"/>
    <w:pitch w:val="variable"/>
    <w:sig w:usb0="E0002EFF" w:usb1="C000785B" w:usb2="00000009" w:usb3="00000000" w:csb0="000001FF" w:csb1="00000000"/>
  </w:font>
  <w:font w:name="Mangal">
    <w:altName w:val="Courier New"/>
    <w:panose1 w:val="00000400000000000000"/>
    <w:charset w:val="01"/>
    <w:family w:val="roman"/>
    <w:notTrueType/>
    <w:pitch w:val="variable"/>
    <w:sig w:usb0="00002000" w:usb1="00000000" w:usb2="00000000" w:usb3="00000000" w:csb0="00000000" w:csb1="00000000"/>
  </w:font>
  <w:font w:name="Segoe UI">
    <w:panose1 w:val="020B0502040204020203"/>
    <w:charset w:val="BA"/>
    <w:family w:val="swiss"/>
    <w:pitch w:val="variable"/>
    <w:sig w:usb0="E4002EFF" w:usb1="C000E47F" w:usb2="00000009" w:usb3="00000000" w:csb0="000001FF" w:csb1="00000000"/>
  </w:font>
  <w:font w:name="Liberation Sans">
    <w:altName w:val="Arial"/>
    <w:charset w:val="BA"/>
    <w:family w:val="roman"/>
    <w:pitch w:val="variable"/>
  </w:font>
  <w:font w:name="Microsoft YaHei">
    <w:panose1 w:val="020B0503020204020204"/>
    <w:charset w:val="86"/>
    <w:family w:val="swiss"/>
    <w:pitch w:val="variable"/>
    <w:sig w:usb0="80000287" w:usb1="2ACF3C50" w:usb2="00000016" w:usb3="00000000" w:csb0="0004001F" w:csb1="00000000"/>
  </w:font>
  <w:font w:name="Calibri">
    <w:panose1 w:val="020F0502020204030204"/>
    <w:charset w:val="BA"/>
    <w:family w:val="swiss"/>
    <w:pitch w:val="variable"/>
    <w:sig w:usb0="E4002EFF" w:usb1="C000247B"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00192" w:rsidRDefault="00600192">
      <w:r>
        <w:separator/>
      </w:r>
    </w:p>
  </w:footnote>
  <w:footnote w:type="continuationSeparator" w:id="0">
    <w:p w:rsidR="00600192" w:rsidRDefault="0060019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03698" w:rsidRDefault="00BF4B02">
    <w:pPr>
      <w:pStyle w:val="Antrats"/>
      <w:jc w:val="center"/>
    </w:pPr>
    <w:r>
      <w:fldChar w:fldCharType="begin"/>
    </w:r>
    <w:r>
      <w:instrText>PAGE</w:instrText>
    </w:r>
    <w:r>
      <w:fldChar w:fldCharType="separate"/>
    </w:r>
    <w:r w:rsidR="00BD75CC">
      <w:rPr>
        <w:noProof/>
      </w:rPr>
      <w:t>4</w:t>
    </w:r>
    <w: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EFB193E"/>
    <w:multiLevelType w:val="multilevel"/>
    <w:tmpl w:val="4982838E"/>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3A772025"/>
    <w:multiLevelType w:val="multilevel"/>
    <w:tmpl w:val="B274B80C"/>
    <w:lvl w:ilvl="0">
      <w:start w:val="1"/>
      <w:numFmt w:val="decimal"/>
      <w:lvlText w:val="%1."/>
      <w:lvlJc w:val="left"/>
      <w:pPr>
        <w:tabs>
          <w:tab w:val="num" w:pos="0"/>
        </w:tabs>
        <w:ind w:left="1211" w:hanging="360"/>
      </w:pPr>
      <w:rPr>
        <w:b/>
        <w:sz w:val="24"/>
      </w:rPr>
    </w:lvl>
    <w:lvl w:ilvl="1">
      <w:start w:val="1"/>
      <w:numFmt w:val="lowerLetter"/>
      <w:lvlText w:val="%2."/>
      <w:lvlJc w:val="left"/>
      <w:pPr>
        <w:tabs>
          <w:tab w:val="num" w:pos="0"/>
        </w:tabs>
        <w:ind w:left="1931" w:hanging="360"/>
      </w:pPr>
      <w:rPr>
        <w:rFonts w:cs="Times New Roman"/>
        <w:b/>
        <w:sz w:val="24"/>
      </w:rPr>
    </w:lvl>
    <w:lvl w:ilvl="2">
      <w:start w:val="1"/>
      <w:numFmt w:val="lowerRoman"/>
      <w:lvlText w:val="%3."/>
      <w:lvlJc w:val="right"/>
      <w:pPr>
        <w:tabs>
          <w:tab w:val="num" w:pos="0"/>
        </w:tabs>
        <w:ind w:left="2651" w:hanging="180"/>
      </w:pPr>
      <w:rPr>
        <w:rFonts w:cs="Times New Roman"/>
        <w:b/>
        <w:sz w:val="24"/>
      </w:rPr>
    </w:lvl>
    <w:lvl w:ilvl="3">
      <w:start w:val="1"/>
      <w:numFmt w:val="decimal"/>
      <w:lvlText w:val="%4."/>
      <w:lvlJc w:val="left"/>
      <w:pPr>
        <w:tabs>
          <w:tab w:val="num" w:pos="0"/>
        </w:tabs>
        <w:ind w:left="3371" w:hanging="360"/>
      </w:pPr>
      <w:rPr>
        <w:rFonts w:cs="Times New Roman"/>
        <w:b/>
        <w:sz w:val="24"/>
      </w:rPr>
    </w:lvl>
    <w:lvl w:ilvl="4">
      <w:start w:val="1"/>
      <w:numFmt w:val="lowerLetter"/>
      <w:lvlText w:val="%5."/>
      <w:lvlJc w:val="left"/>
      <w:pPr>
        <w:tabs>
          <w:tab w:val="num" w:pos="0"/>
        </w:tabs>
        <w:ind w:left="4091" w:hanging="360"/>
      </w:pPr>
      <w:rPr>
        <w:rFonts w:cs="Times New Roman"/>
        <w:b/>
        <w:sz w:val="24"/>
      </w:rPr>
    </w:lvl>
    <w:lvl w:ilvl="5">
      <w:start w:val="1"/>
      <w:numFmt w:val="lowerRoman"/>
      <w:lvlText w:val="%6."/>
      <w:lvlJc w:val="right"/>
      <w:pPr>
        <w:tabs>
          <w:tab w:val="num" w:pos="0"/>
        </w:tabs>
        <w:ind w:left="4811" w:hanging="180"/>
      </w:pPr>
      <w:rPr>
        <w:rFonts w:cs="Times New Roman"/>
        <w:b/>
        <w:sz w:val="24"/>
      </w:rPr>
    </w:lvl>
    <w:lvl w:ilvl="6">
      <w:start w:val="1"/>
      <w:numFmt w:val="decimal"/>
      <w:lvlText w:val="%7."/>
      <w:lvlJc w:val="left"/>
      <w:pPr>
        <w:tabs>
          <w:tab w:val="num" w:pos="0"/>
        </w:tabs>
        <w:ind w:left="5531" w:hanging="360"/>
      </w:pPr>
      <w:rPr>
        <w:rFonts w:cs="Times New Roman"/>
        <w:b/>
        <w:sz w:val="24"/>
      </w:rPr>
    </w:lvl>
    <w:lvl w:ilvl="7">
      <w:start w:val="1"/>
      <w:numFmt w:val="lowerLetter"/>
      <w:lvlText w:val="%8."/>
      <w:lvlJc w:val="left"/>
      <w:pPr>
        <w:tabs>
          <w:tab w:val="num" w:pos="0"/>
        </w:tabs>
        <w:ind w:left="6251" w:hanging="360"/>
      </w:pPr>
      <w:rPr>
        <w:rFonts w:cs="Times New Roman"/>
        <w:b/>
        <w:sz w:val="24"/>
      </w:rPr>
    </w:lvl>
    <w:lvl w:ilvl="8">
      <w:start w:val="1"/>
      <w:numFmt w:val="lowerRoman"/>
      <w:lvlText w:val="%9."/>
      <w:lvlJc w:val="right"/>
      <w:pPr>
        <w:tabs>
          <w:tab w:val="num" w:pos="0"/>
        </w:tabs>
        <w:ind w:left="6971" w:hanging="180"/>
      </w:pPr>
      <w:rPr>
        <w:rFonts w:cs="Times New Roman"/>
        <w:b/>
        <w:sz w:val="24"/>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9"/>
  <w:autoHyphenation/>
  <w:hyphenationZone w:val="396"/>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03698"/>
    <w:rsid w:val="001E78D2"/>
    <w:rsid w:val="0037557C"/>
    <w:rsid w:val="00454E36"/>
    <w:rsid w:val="004E7790"/>
    <w:rsid w:val="00503698"/>
    <w:rsid w:val="00574650"/>
    <w:rsid w:val="00600192"/>
    <w:rsid w:val="00722144"/>
    <w:rsid w:val="009643F5"/>
    <w:rsid w:val="00A02437"/>
    <w:rsid w:val="00AF7DA7"/>
    <w:rsid w:val="00B96243"/>
    <w:rsid w:val="00BC7379"/>
    <w:rsid w:val="00BD75CC"/>
    <w:rsid w:val="00BF4B02"/>
    <w:rsid w:val="00C27DEB"/>
    <w:rsid w:val="00D27D81"/>
    <w:rsid w:val="00DE2B4F"/>
    <w:rsid w:val="00E01574"/>
    <w:rsid w:val="00EB4C26"/>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375E005-630B-4DE2-8843-B850613160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Liberation Serif" w:eastAsia="NSimSun" w:hAnsi="Liberation Serif" w:cs="Arial"/>
        <w:szCs w:val="24"/>
        <w:lang w:val="lt-LT" w:eastAsia="zh-CN" w:bidi="hi-IN"/>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pPr>
      <w:overflowPunct w:val="0"/>
      <w:textAlignment w:val="baseline"/>
    </w:pPr>
    <w:rPr>
      <w:color w:val="00000A"/>
      <w:sz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WW8Num3z0">
    <w:name w:val="WW8Num3z0"/>
    <w:qFormat/>
    <w:rPr>
      <w:rFonts w:ascii="Times New Roman" w:eastAsia="Times New Roman" w:hAnsi="Times New Roman" w:cs="Times New Roman"/>
      <w:b w:val="0"/>
      <w:bCs w:val="0"/>
    </w:rPr>
  </w:style>
  <w:style w:type="character" w:customStyle="1" w:styleId="FontStyle13">
    <w:name w:val="Font Style13"/>
    <w:qFormat/>
    <w:rPr>
      <w:rFonts w:ascii="Times New Roman" w:eastAsia="Times New Roman" w:hAnsi="Times New Roman" w:cs="Times New Roman"/>
      <w:b/>
      <w:sz w:val="22"/>
    </w:rPr>
  </w:style>
  <w:style w:type="character" w:styleId="Komentaronuoroda">
    <w:name w:val="annotation reference"/>
    <w:basedOn w:val="Numatytasispastraiposriftas"/>
    <w:qFormat/>
    <w:rPr>
      <w:sz w:val="16"/>
      <w:szCs w:val="16"/>
    </w:rPr>
  </w:style>
  <w:style w:type="character" w:customStyle="1" w:styleId="KomentarotekstasDiagrama">
    <w:name w:val="Komentaro tekstas Diagrama"/>
    <w:basedOn w:val="Numatytasispastraiposriftas"/>
    <w:qFormat/>
    <w:rPr>
      <w:rFonts w:cs="Mangal"/>
      <w:sz w:val="20"/>
      <w:szCs w:val="18"/>
    </w:rPr>
  </w:style>
  <w:style w:type="character" w:customStyle="1" w:styleId="KomentarotemaDiagrama">
    <w:name w:val="Komentaro tema Diagrama"/>
    <w:basedOn w:val="KomentarotekstasDiagrama"/>
    <w:qFormat/>
    <w:rPr>
      <w:rFonts w:cs="Mangal"/>
      <w:b/>
      <w:bCs/>
      <w:sz w:val="20"/>
      <w:szCs w:val="18"/>
    </w:rPr>
  </w:style>
  <w:style w:type="character" w:customStyle="1" w:styleId="DebesliotekstasDiagrama">
    <w:name w:val="Debesėlio tekstas Diagrama"/>
    <w:basedOn w:val="Numatytasispastraiposriftas"/>
    <w:qFormat/>
    <w:rPr>
      <w:rFonts w:ascii="Segoe UI" w:hAnsi="Segoe UI" w:cs="Mangal"/>
      <w:sz w:val="18"/>
      <w:szCs w:val="16"/>
    </w:rPr>
  </w:style>
  <w:style w:type="paragraph" w:customStyle="1" w:styleId="Heading">
    <w:name w:val="Heading"/>
    <w:basedOn w:val="prastasis"/>
    <w:next w:val="Pagrindinistekstas"/>
    <w:qFormat/>
    <w:pPr>
      <w:keepNext/>
      <w:widowControl w:val="0"/>
      <w:spacing w:before="240" w:after="120"/>
    </w:pPr>
    <w:rPr>
      <w:rFonts w:ascii="Liberation Sans" w:eastAsia="Microsoft YaHei" w:hAnsi="Liberation Sans"/>
      <w:sz w:val="28"/>
      <w:szCs w:val="28"/>
    </w:rPr>
  </w:style>
  <w:style w:type="paragraph" w:styleId="Pagrindinistekstas">
    <w:name w:val="Body Text"/>
    <w:basedOn w:val="prastasis"/>
    <w:pPr>
      <w:spacing w:after="140" w:line="276" w:lineRule="auto"/>
    </w:pPr>
  </w:style>
  <w:style w:type="paragraph" w:styleId="Sraas">
    <w:name w:val="List"/>
    <w:basedOn w:val="prastasis"/>
    <w:pPr>
      <w:widowControl w:val="0"/>
    </w:pPr>
  </w:style>
  <w:style w:type="paragraph" w:styleId="Antrat">
    <w:name w:val="caption"/>
    <w:basedOn w:val="Standard"/>
    <w:qFormat/>
    <w:pPr>
      <w:suppressLineNumbers/>
      <w:spacing w:before="120" w:after="120"/>
    </w:pPr>
    <w:rPr>
      <w:i/>
      <w:iCs/>
    </w:rPr>
  </w:style>
  <w:style w:type="paragraph" w:customStyle="1" w:styleId="Index">
    <w:name w:val="Index"/>
    <w:basedOn w:val="prastasis"/>
    <w:qFormat/>
    <w:pPr>
      <w:widowControl w:val="0"/>
      <w:suppressLineNumbers/>
    </w:pPr>
  </w:style>
  <w:style w:type="paragraph" w:customStyle="1" w:styleId="Standard">
    <w:name w:val="Standard"/>
    <w:qFormat/>
    <w:pPr>
      <w:overflowPunct w:val="0"/>
      <w:spacing w:after="200" w:line="276" w:lineRule="auto"/>
    </w:pPr>
    <w:rPr>
      <w:color w:val="00000A"/>
      <w:sz w:val="24"/>
      <w:szCs w:val="22"/>
    </w:rPr>
  </w:style>
  <w:style w:type="paragraph" w:customStyle="1" w:styleId="Textbody">
    <w:name w:val="Text body"/>
    <w:basedOn w:val="Standard"/>
    <w:qFormat/>
    <w:pPr>
      <w:spacing w:after="140"/>
    </w:pPr>
  </w:style>
  <w:style w:type="paragraph" w:styleId="Sraopastraipa">
    <w:name w:val="List Paragraph"/>
    <w:basedOn w:val="Standard"/>
    <w:qFormat/>
    <w:pPr>
      <w:ind w:left="720"/>
    </w:pPr>
    <w:rPr>
      <w:rFonts w:ascii="Calibri" w:eastAsia="Calibri" w:hAnsi="Calibri" w:cs="Calibri"/>
      <w:sz w:val="22"/>
    </w:rPr>
  </w:style>
  <w:style w:type="paragraph" w:customStyle="1" w:styleId="HeaderandFooter">
    <w:name w:val="Header and Footer"/>
    <w:basedOn w:val="prastasis"/>
    <w:qFormat/>
  </w:style>
  <w:style w:type="paragraph" w:styleId="Antrats">
    <w:name w:val="header"/>
    <w:basedOn w:val="Standard"/>
    <w:pPr>
      <w:suppressLineNumbers/>
      <w:tabs>
        <w:tab w:val="center" w:pos="4819"/>
        <w:tab w:val="right" w:pos="9638"/>
      </w:tabs>
    </w:pPr>
  </w:style>
  <w:style w:type="paragraph" w:customStyle="1" w:styleId="TableContents">
    <w:name w:val="Table Contents"/>
    <w:basedOn w:val="Standard"/>
    <w:qFormat/>
    <w:pPr>
      <w:suppressLineNumbers/>
    </w:pPr>
  </w:style>
  <w:style w:type="paragraph" w:styleId="Betarp">
    <w:name w:val="No Spacing"/>
    <w:qFormat/>
    <w:pPr>
      <w:overflowPunct w:val="0"/>
    </w:pPr>
    <w:rPr>
      <w:color w:val="00000A"/>
      <w:sz w:val="24"/>
      <w:szCs w:val="22"/>
    </w:rPr>
  </w:style>
  <w:style w:type="paragraph" w:styleId="Komentarotekstas">
    <w:name w:val="annotation text"/>
    <w:basedOn w:val="prastasis"/>
    <w:qFormat/>
    <w:rPr>
      <w:rFonts w:cs="Mangal"/>
      <w:sz w:val="20"/>
      <w:szCs w:val="18"/>
    </w:rPr>
  </w:style>
  <w:style w:type="paragraph" w:styleId="Komentarotema">
    <w:name w:val="annotation subject"/>
    <w:basedOn w:val="Komentarotekstas"/>
    <w:qFormat/>
    <w:rPr>
      <w:b/>
      <w:bCs/>
    </w:rPr>
  </w:style>
  <w:style w:type="paragraph" w:styleId="Debesliotekstas">
    <w:name w:val="Balloon Text"/>
    <w:basedOn w:val="prastasis"/>
    <w:qFormat/>
    <w:rPr>
      <w:rFonts w:ascii="Segoe UI" w:hAnsi="Segoe UI" w:cs="Mangal"/>
      <w:sz w:val="18"/>
      <w:szCs w:val="16"/>
    </w:rPr>
  </w:style>
  <w:style w:type="numbering" w:customStyle="1" w:styleId="WW8Num3">
    <w:name w:val="WW8Num3"/>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
   <Relationship Id="rId1" Target="numbering.xml"
                 Type="http://schemas.openxmlformats.org/officeDocument/2006/relationships/numbering"/>
   <Relationship Id="rId2" Target="styles.xml"
                 Type="http://schemas.openxmlformats.org/officeDocument/2006/relationships/styles"/>
   <Relationship Id="rId3" Target="settings.xml"
                 Type="http://schemas.openxmlformats.org/officeDocument/2006/relationships/settings"/>
   <Relationship Id="rId4" Target="webSettings.xml"
                 Type="http://schemas.openxmlformats.org/officeDocument/2006/relationships/webSettings"/>
   <Relationship Id="rId5" Target="footnotes.xml"
                 Type="http://schemas.openxmlformats.org/officeDocument/2006/relationships/footnotes"/>
   <Relationship Id="rId6" Target="endnotes.xml"
                 Type="http://schemas.openxmlformats.org/officeDocument/2006/relationships/endnotes"/>
   <Relationship Id="rId7" Target="header1.xml"
                 Type="http://schemas.openxmlformats.org/officeDocument/2006/relationships/header"/>
   <Relationship Id="rId8" Target="fontTable.xml"
                 Type="http://schemas.openxmlformats.org/officeDocument/2006/relationships/fontTable"/>
   <Relationship Id="rId9" Target="theme/theme1.xml"
                 Type="http://schemas.openxmlformats.org/officeDocument/2006/relationships/theme"/>
</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7392</Words>
  <Characters>4214</Characters>
  <Application>Microsoft Office Word</Application>
  <DocSecurity>0</DocSecurity>
  <Lines>35</Lines>
  <Paragraphs>23</Paragraphs>
  <ScaleCrop>false</ScaleCrop>
  <HeadingPairs>
    <vt:vector size="2" baseType="variant">
      <vt:variant>
        <vt:lpstr>Pavadinimas</vt:lpstr>
      </vt:variant>
      <vt:variant>
        <vt:i4>1</vt:i4>
      </vt:variant>
    </vt:vector>
  </HeadingPairs>
  <TitlesOfParts>
    <vt:vector size="1" baseType="lpstr">
      <vt:lpstr/>
    </vt:vector>
  </TitlesOfParts>
  <Company>Microsoft</Company>
  <LinksUpToDate>false</LinksUpToDate>
  <CharactersWithSpaces>11583</CharactersWithSpaces>
  <SharedDoc>false</SharedDoc>
  <HyperlinksChanged>false</HyperlinksChanged>
  <AppVersion>15.0000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2021-01-20T12:52:00Z</dcterms:created>
  <dc:creator>Žydrūnė</dc:creator>
  <dc:language>lt-LT</dc:language>
  <cp:lastModifiedBy>Bronius Dalinkevičius</cp:lastModifiedBy>
  <dcterms:modified xsi:type="dcterms:W3CDTF">2021-01-20T12:52:00Z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