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051F"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PAŽYMA</w:t>
      </w:r>
    </w:p>
    <w:p w14:paraId="2A0B477C"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Europos sąjungos taryba </w:t>
      </w:r>
    </w:p>
    <w:p w14:paraId="0DC235FE"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(teisingumas ir vidaus reikalai) </w:t>
      </w:r>
    </w:p>
    <w:p w14:paraId="6E9E11DC" w14:textId="77777777" w:rsidR="00FF3DD4" w:rsidRPr="00DB21E1" w:rsidRDefault="00FF3DD4" w:rsidP="00FF3DD4">
      <w:pPr>
        <w:pStyle w:val="BodyA"/>
        <w:jc w:val="center"/>
        <w:rPr>
          <w:rFonts w:hAnsi="Times New Roman" w:cs="Times New Roman"/>
          <w:b/>
          <w:bCs/>
          <w:caps/>
          <w:lang w:val="lt-LT"/>
        </w:rPr>
      </w:pPr>
    </w:p>
    <w:p w14:paraId="412014CA"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2021 m. </w:t>
      </w:r>
      <w:r>
        <w:rPr>
          <w:rFonts w:hAnsi="Times New Roman" w:cs="Times New Roman"/>
          <w:b/>
          <w:bCs/>
          <w:caps/>
          <w:lang w:val="lt-LT"/>
        </w:rPr>
        <w:t xml:space="preserve">Spalio </w:t>
      </w:r>
      <w:r w:rsidRPr="00DB21E1">
        <w:rPr>
          <w:rFonts w:hAnsi="Times New Roman" w:cs="Times New Roman"/>
          <w:b/>
          <w:bCs/>
          <w:caps/>
          <w:lang w:val="lt-LT"/>
        </w:rPr>
        <w:t xml:space="preserve">7 </w:t>
      </w:r>
      <w:r>
        <w:rPr>
          <w:rFonts w:hAnsi="Times New Roman" w:cs="Times New Roman"/>
          <w:b/>
          <w:bCs/>
          <w:caps/>
          <w:lang w:val="lt-LT"/>
        </w:rPr>
        <w:t xml:space="preserve">-8 </w:t>
      </w:r>
      <w:r w:rsidRPr="00DB21E1">
        <w:rPr>
          <w:rFonts w:hAnsi="Times New Roman" w:cs="Times New Roman"/>
          <w:b/>
          <w:bCs/>
          <w:caps/>
          <w:lang w:val="lt-LT"/>
        </w:rPr>
        <w:t>d., Liuksemburgas</w:t>
      </w:r>
    </w:p>
    <w:p w14:paraId="06CA6A92" w14:textId="56A7608A" w:rsidR="00FF3DD4" w:rsidRDefault="00FF3DD4" w:rsidP="00FF3DD4">
      <w:pPr>
        <w:pStyle w:val="BodyA"/>
        <w:jc w:val="center"/>
        <w:rPr>
          <w:rFonts w:hAnsi="Times New Roman" w:cs="Times New Roman"/>
          <w:b/>
          <w:bCs/>
          <w:caps/>
          <w:lang w:val="lt-LT"/>
        </w:rPr>
      </w:pPr>
    </w:p>
    <w:p w14:paraId="6E2F7E00" w14:textId="2F01A71C" w:rsidR="00395157" w:rsidRDefault="00395157" w:rsidP="00FF3DD4">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2A0070" w14:paraId="3B6196A0" w14:textId="77777777" w:rsidTr="630AD957">
        <w:trPr>
          <w:trHeight w:val="1049"/>
        </w:trPr>
        <w:tc>
          <w:tcPr>
            <w:tcW w:w="90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395157" w:rsidRPr="00CC0E56" w14:paraId="17007342" w14:textId="77777777" w:rsidTr="630AD957">
              <w:trPr>
                <w:trHeight w:val="631"/>
              </w:trPr>
              <w:tc>
                <w:tcPr>
                  <w:tcW w:w="9071" w:type="dxa"/>
                  <w:tcMar>
                    <w:top w:w="284" w:type="dxa"/>
                    <w:left w:w="113" w:type="dxa"/>
                    <w:bottom w:w="0" w:type="dxa"/>
                    <w:right w:w="113" w:type="dxa"/>
                  </w:tcMar>
                  <w:hideMark/>
                </w:tcPr>
                <w:p w14:paraId="406EFE5F" w14:textId="77777777" w:rsidR="00465935" w:rsidRDefault="630AD957" w:rsidP="630AD957">
                  <w:pPr>
                    <w:framePr w:hSpace="180" w:wrap="around" w:vAnchor="text" w:hAnchor="margin" w:y="196"/>
                    <w:ind w:left="74"/>
                    <w:rPr>
                      <w:rFonts w:eastAsia="Times New Roman"/>
                      <w:b/>
                      <w:bCs/>
                    </w:rPr>
                  </w:pPr>
                  <w:proofErr w:type="spellStart"/>
                  <w:r w:rsidRPr="630AD957">
                    <w:rPr>
                      <w:rFonts w:eastAsia="Times New Roman"/>
                      <w:b/>
                      <w:bCs/>
                    </w:rPr>
                    <w:t>Kovos</w:t>
                  </w:r>
                  <w:proofErr w:type="spellEnd"/>
                  <w:r w:rsidRPr="630AD957">
                    <w:rPr>
                      <w:rFonts w:eastAsia="Times New Roman"/>
                      <w:b/>
                      <w:bCs/>
                    </w:rPr>
                    <w:t xml:space="preserve"> </w:t>
                  </w:r>
                  <w:proofErr w:type="spellStart"/>
                  <w:r w:rsidRPr="630AD957">
                    <w:rPr>
                      <w:rFonts w:eastAsia="Times New Roman"/>
                      <w:b/>
                      <w:bCs/>
                    </w:rPr>
                    <w:t>su</w:t>
                  </w:r>
                  <w:proofErr w:type="spellEnd"/>
                  <w:r w:rsidRPr="630AD957">
                    <w:rPr>
                      <w:rFonts w:eastAsia="Times New Roman"/>
                      <w:b/>
                      <w:bCs/>
                    </w:rPr>
                    <w:t xml:space="preserve"> </w:t>
                  </w:r>
                  <w:proofErr w:type="spellStart"/>
                  <w:r w:rsidRPr="630AD957">
                    <w:rPr>
                      <w:rFonts w:eastAsia="Times New Roman"/>
                      <w:b/>
                      <w:bCs/>
                    </w:rPr>
                    <w:t>piktnaudžiavimu</w:t>
                  </w:r>
                  <w:proofErr w:type="spellEnd"/>
                  <w:r w:rsidRPr="630AD957">
                    <w:rPr>
                      <w:rFonts w:eastAsia="Times New Roman"/>
                      <w:b/>
                      <w:bCs/>
                    </w:rPr>
                    <w:t xml:space="preserve"> </w:t>
                  </w:r>
                  <w:proofErr w:type="spellStart"/>
                  <w:r w:rsidRPr="630AD957">
                    <w:rPr>
                      <w:rFonts w:eastAsia="Times New Roman"/>
                      <w:b/>
                      <w:bCs/>
                    </w:rPr>
                    <w:t>strateginiais</w:t>
                  </w:r>
                  <w:proofErr w:type="spellEnd"/>
                  <w:r w:rsidRPr="630AD957">
                    <w:rPr>
                      <w:rFonts w:eastAsia="Times New Roman"/>
                      <w:b/>
                      <w:bCs/>
                    </w:rPr>
                    <w:t xml:space="preserve"> </w:t>
                  </w:r>
                  <w:proofErr w:type="spellStart"/>
                  <w:r w:rsidRPr="630AD957">
                    <w:rPr>
                      <w:rFonts w:eastAsia="Times New Roman"/>
                      <w:b/>
                      <w:bCs/>
                    </w:rPr>
                    <w:t>ieškiniais</w:t>
                  </w:r>
                  <w:proofErr w:type="spellEnd"/>
                  <w:r w:rsidRPr="630AD957">
                    <w:rPr>
                      <w:rFonts w:eastAsia="Times New Roman"/>
                      <w:b/>
                      <w:bCs/>
                    </w:rPr>
                    <w:t xml:space="preserve"> </w:t>
                  </w:r>
                  <w:proofErr w:type="spellStart"/>
                  <w:r w:rsidRPr="630AD957">
                    <w:rPr>
                      <w:rFonts w:eastAsia="Times New Roman"/>
                      <w:b/>
                      <w:bCs/>
                    </w:rPr>
                    <w:t>dėl</w:t>
                  </w:r>
                  <w:proofErr w:type="spellEnd"/>
                  <w:r w:rsidRPr="630AD957">
                    <w:rPr>
                      <w:rFonts w:eastAsia="Times New Roman"/>
                      <w:b/>
                      <w:bCs/>
                    </w:rPr>
                    <w:t xml:space="preserve"> </w:t>
                  </w:r>
                  <w:proofErr w:type="spellStart"/>
                  <w:r w:rsidRPr="630AD957">
                    <w:rPr>
                      <w:rFonts w:eastAsia="Times New Roman"/>
                      <w:b/>
                      <w:bCs/>
                    </w:rPr>
                    <w:t>visuomenės</w:t>
                  </w:r>
                  <w:proofErr w:type="spellEnd"/>
                  <w:r w:rsidRPr="630AD957">
                    <w:rPr>
                      <w:rFonts w:eastAsia="Times New Roman"/>
                      <w:b/>
                      <w:bCs/>
                    </w:rPr>
                    <w:t xml:space="preserve"> </w:t>
                  </w:r>
                  <w:proofErr w:type="spellStart"/>
                  <w:r w:rsidRPr="630AD957">
                    <w:rPr>
                      <w:rFonts w:eastAsia="Times New Roman"/>
                      <w:b/>
                      <w:bCs/>
                    </w:rPr>
                    <w:t>dalyvavimo</w:t>
                  </w:r>
                  <w:proofErr w:type="spellEnd"/>
                  <w:r w:rsidRPr="630AD957">
                    <w:rPr>
                      <w:rFonts w:eastAsia="Times New Roman"/>
                      <w:b/>
                      <w:bCs/>
                    </w:rPr>
                    <w:t xml:space="preserve"> </w:t>
                  </w:r>
                  <w:proofErr w:type="spellStart"/>
                  <w:r w:rsidRPr="630AD957">
                    <w:rPr>
                      <w:rFonts w:eastAsia="Times New Roman"/>
                      <w:b/>
                      <w:bCs/>
                    </w:rPr>
                    <w:t>byla</w:t>
                  </w:r>
                  <w:proofErr w:type="spellEnd"/>
                  <w:r w:rsidRPr="630AD957">
                    <w:rPr>
                      <w:rFonts w:eastAsia="Times New Roman"/>
                      <w:b/>
                      <w:bCs/>
                    </w:rPr>
                    <w:t xml:space="preserve"> / Strategic Lawsuit Against Public Participation (SLAPP) </w:t>
                  </w:r>
                </w:p>
                <w:p w14:paraId="539D58EE" w14:textId="4956AEF3" w:rsidR="00395157" w:rsidRPr="00465935" w:rsidRDefault="630AD957" w:rsidP="630AD957">
                  <w:pPr>
                    <w:framePr w:hSpace="180" w:wrap="around" w:vAnchor="text" w:hAnchor="margin" w:y="196"/>
                    <w:ind w:left="74"/>
                    <w:rPr>
                      <w:rFonts w:eastAsia="Times New Roman"/>
                      <w:u w:val="single"/>
                    </w:rPr>
                  </w:pPr>
                  <w:r w:rsidRPr="630AD957">
                    <w:rPr>
                      <w:rFonts w:eastAsia="Times New Roman"/>
                      <w:u w:val="single"/>
                    </w:rPr>
                    <w:t>(</w:t>
                  </w:r>
                  <w:proofErr w:type="spellStart"/>
                  <w:r w:rsidRPr="630AD957">
                    <w:rPr>
                      <w:rFonts w:eastAsia="Times New Roman"/>
                      <w:u w:val="single"/>
                    </w:rPr>
                    <w:t>Ministrų</w:t>
                  </w:r>
                  <w:proofErr w:type="spellEnd"/>
                  <w:r w:rsidRPr="630AD957">
                    <w:rPr>
                      <w:rFonts w:eastAsia="Times New Roman"/>
                      <w:u w:val="single"/>
                    </w:rPr>
                    <w:t xml:space="preserve"> </w:t>
                  </w:r>
                  <w:proofErr w:type="spellStart"/>
                  <w:r w:rsidRPr="630AD957">
                    <w:rPr>
                      <w:rFonts w:eastAsia="Times New Roman"/>
                      <w:u w:val="single"/>
                    </w:rPr>
                    <w:t>darbinių</w:t>
                  </w:r>
                  <w:proofErr w:type="spellEnd"/>
                  <w:r w:rsidRPr="630AD957">
                    <w:rPr>
                      <w:rFonts w:eastAsia="Times New Roman"/>
                      <w:u w:val="single"/>
                    </w:rPr>
                    <w:t xml:space="preserve"> </w:t>
                  </w:r>
                  <w:proofErr w:type="spellStart"/>
                  <w:r w:rsidRPr="630AD957">
                    <w:rPr>
                      <w:rFonts w:eastAsia="Times New Roman"/>
                      <w:u w:val="single"/>
                    </w:rPr>
                    <w:t>pietų</w:t>
                  </w:r>
                  <w:proofErr w:type="spellEnd"/>
                  <w:r w:rsidRPr="630AD957">
                    <w:rPr>
                      <w:rFonts w:eastAsia="Times New Roman"/>
                      <w:u w:val="single"/>
                    </w:rPr>
                    <w:t xml:space="preserve"> </w:t>
                  </w:r>
                  <w:proofErr w:type="spellStart"/>
                  <w:r w:rsidRPr="630AD957">
                    <w:rPr>
                      <w:rFonts w:eastAsia="Times New Roman"/>
                      <w:u w:val="single"/>
                    </w:rPr>
                    <w:t>klausimas</w:t>
                  </w:r>
                  <w:proofErr w:type="spellEnd"/>
                  <w:r w:rsidRPr="630AD957">
                    <w:rPr>
                      <w:rFonts w:eastAsia="Times New Roman"/>
                      <w:u w:val="single"/>
                    </w:rPr>
                    <w:t>)</w:t>
                  </w:r>
                </w:p>
                <w:p w14:paraId="22682CB3" w14:textId="77777777" w:rsidR="00395157" w:rsidRDefault="00395157" w:rsidP="630AD957">
                  <w:pPr>
                    <w:ind w:left="74"/>
                    <w:rPr>
                      <w:rFonts w:eastAsia="Times New Roman"/>
                      <w:i/>
                      <w:iCs/>
                    </w:rPr>
                  </w:pPr>
                </w:p>
                <w:p w14:paraId="11879444" w14:textId="37CE76EB" w:rsidR="00395157" w:rsidRPr="00815AC7" w:rsidRDefault="630AD957" w:rsidP="630AD957">
                  <w:pPr>
                    <w:ind w:left="74"/>
                    <w:rPr>
                      <w:rFonts w:eastAsia="Times New Roman"/>
                      <w:i/>
                      <w:iCs/>
                    </w:rPr>
                  </w:pPr>
                  <w:proofErr w:type="spellStart"/>
                  <w:r w:rsidRPr="630AD957">
                    <w:rPr>
                      <w:rFonts w:eastAsia="Times New Roman"/>
                      <w:i/>
                      <w:iCs/>
                    </w:rPr>
                    <w:t>Apsikeitimas</w:t>
                  </w:r>
                  <w:proofErr w:type="spellEnd"/>
                  <w:r w:rsidRPr="630AD957">
                    <w:rPr>
                      <w:rFonts w:eastAsia="Times New Roman"/>
                      <w:i/>
                      <w:iCs/>
                    </w:rPr>
                    <w:t xml:space="preserve"> </w:t>
                  </w:r>
                  <w:proofErr w:type="spellStart"/>
                  <w:r w:rsidRPr="630AD957">
                    <w:rPr>
                      <w:rFonts w:eastAsia="Times New Roman"/>
                      <w:i/>
                      <w:iCs/>
                    </w:rPr>
                    <w:t>nuomonėmis</w:t>
                  </w:r>
                  <w:proofErr w:type="spellEnd"/>
                  <w:r w:rsidRPr="630AD957">
                    <w:rPr>
                      <w:rFonts w:eastAsia="Times New Roman"/>
                      <w:i/>
                      <w:iCs/>
                    </w:rPr>
                    <w:t xml:space="preserve"> / Exchange of views</w:t>
                  </w:r>
                </w:p>
                <w:p w14:paraId="194FA1E3" w14:textId="77777777" w:rsidR="00395157" w:rsidRPr="00DB21E1" w:rsidRDefault="00395157" w:rsidP="630AD957">
                  <w:pPr>
                    <w:framePr w:hSpace="180" w:wrap="around" w:vAnchor="text" w:hAnchor="margin" w:y="196"/>
                    <w:ind w:left="74"/>
                    <w:rPr>
                      <w:rFonts w:eastAsia="Times New Roman"/>
                    </w:rPr>
                  </w:pPr>
                </w:p>
              </w:tc>
              <w:tc>
                <w:tcPr>
                  <w:tcW w:w="1019" w:type="dxa"/>
                  <w:tcMar>
                    <w:top w:w="284" w:type="dxa"/>
                    <w:left w:w="28" w:type="dxa"/>
                    <w:bottom w:w="0" w:type="dxa"/>
                    <w:right w:w="113" w:type="dxa"/>
                  </w:tcMar>
                </w:tcPr>
                <w:p w14:paraId="1F024940" w14:textId="77777777" w:rsidR="00395157" w:rsidRPr="00DB21E1" w:rsidRDefault="00395157" w:rsidP="630AD957">
                  <w:pPr>
                    <w:framePr w:hSpace="180" w:wrap="around" w:vAnchor="text" w:hAnchor="margin" w:y="196"/>
                    <w:ind w:left="194"/>
                    <w:jc w:val="right"/>
                    <w:rPr>
                      <w:rFonts w:eastAsia="Times New Roman"/>
                      <w:noProof/>
                    </w:rPr>
                  </w:pPr>
                </w:p>
                <w:p w14:paraId="35C0D02D" w14:textId="77777777" w:rsidR="00395157" w:rsidRPr="00DB21E1" w:rsidRDefault="00395157" w:rsidP="630AD957">
                  <w:pPr>
                    <w:framePr w:hSpace="180" w:wrap="around" w:vAnchor="text" w:hAnchor="margin" w:y="196"/>
                    <w:ind w:left="194"/>
                    <w:jc w:val="right"/>
                    <w:rPr>
                      <w:rFonts w:eastAsia="Times New Roman"/>
                      <w:noProof/>
                      <w:lang w:eastAsia="en-GB"/>
                    </w:rPr>
                  </w:pPr>
                </w:p>
              </w:tc>
              <w:tc>
                <w:tcPr>
                  <w:tcW w:w="2127" w:type="dxa"/>
                  <w:tcMar>
                    <w:top w:w="284" w:type="dxa"/>
                    <w:left w:w="113" w:type="dxa"/>
                    <w:bottom w:w="0" w:type="dxa"/>
                    <w:right w:w="0" w:type="dxa"/>
                  </w:tcMar>
                </w:tcPr>
                <w:p w14:paraId="40FF2377" w14:textId="77777777" w:rsidR="00395157" w:rsidRPr="00DB21E1" w:rsidRDefault="00395157" w:rsidP="630AD957">
                  <w:pPr>
                    <w:framePr w:hSpace="180" w:wrap="around" w:vAnchor="text" w:hAnchor="margin" w:y="196"/>
                    <w:ind w:left="194"/>
                    <w:rPr>
                      <w:rFonts w:eastAsia="Times New Roman"/>
                    </w:rPr>
                  </w:pPr>
                </w:p>
              </w:tc>
            </w:tr>
          </w:tbl>
          <w:p w14:paraId="1BDB50B7" w14:textId="7E8F870E" w:rsidR="00395157" w:rsidRPr="00395157" w:rsidRDefault="00395157" w:rsidP="630AD957">
            <w:pPr>
              <w:ind w:left="194"/>
              <w:jc w:val="both"/>
              <w:rPr>
                <w:rFonts w:eastAsia="Times New Roman"/>
                <w:bdr w:val="none" w:sz="0" w:space="0" w:color="auto"/>
                <w:lang w:val="lt-LT" w:eastAsia="lt-LT"/>
              </w:rPr>
            </w:pPr>
            <w:r w:rsidRPr="630AD957">
              <w:rPr>
                <w:rFonts w:eastAsia="Times New Roman"/>
                <w:b/>
                <w:bCs/>
                <w:lang w:val="lt-LT"/>
              </w:rPr>
              <w:t>Klausimo esmė:</w:t>
            </w:r>
            <w:r w:rsidRPr="630AD957">
              <w:rPr>
                <w:rFonts w:eastAsia="Times New Roman"/>
                <w:bdr w:val="none" w:sz="0" w:space="0" w:color="auto"/>
                <w:lang w:val="lt-LT" w:eastAsia="lt-LT"/>
              </w:rPr>
              <w:t xml:space="preserve"> </w:t>
            </w:r>
            <w:r w:rsidR="006A65EB" w:rsidRPr="630AD957">
              <w:rPr>
                <w:rFonts w:eastAsia="Times New Roman"/>
                <w:bdr w:val="none" w:sz="0" w:space="0" w:color="auto"/>
                <w:lang w:val="lt-LT" w:eastAsia="lt-LT"/>
              </w:rPr>
              <w:t>Ž</w:t>
            </w:r>
            <w:r w:rsidRPr="630AD957">
              <w:rPr>
                <w:rFonts w:eastAsia="Times New Roman"/>
                <w:bdr w:val="none" w:sz="0" w:space="0" w:color="auto"/>
                <w:lang w:val="lt-LT" w:eastAsia="lt-LT"/>
              </w:rPr>
              <w:t>urnalistų ir teisių gynėjų apsaugos nuo piktnaudžiaujamo bylinėjimosi tema, kitaip žinoma kaip kova su piktnaudžiavimu strateginiais ieškiniais dėl visuomenės dalyvavimo (anglų k. sutrumpintai – SLAPP).</w:t>
            </w:r>
            <w:r w:rsidR="006A65EB" w:rsidRPr="630AD957">
              <w:rPr>
                <w:rFonts w:eastAsia="Times New Roman"/>
                <w:bdr w:val="none" w:sz="0" w:space="0" w:color="auto"/>
                <w:lang w:val="lt-LT" w:eastAsia="lt-LT"/>
              </w:rPr>
              <w:t xml:space="preserve"> </w:t>
            </w:r>
            <w:r w:rsidRPr="630AD957">
              <w:rPr>
                <w:rFonts w:eastAsia="Times New Roman"/>
                <w:bdr w:val="none" w:sz="0" w:space="0" w:color="auto"/>
                <w:lang w:val="lt-LT" w:eastAsia="lt-LT"/>
              </w:rPr>
              <w:t>Europos Komisija rengia inciatyvą, kuria siekiama apsaugoti žurnalistus ir teisių gynėjus nuo piktnaudžiavimo strateginiais ieškiniais dėl visuomenės dalyvavimo, iniciatyvą planuojama paskelbti 2022 m. pavasarį. Ši iniciatyva yra vienas iš 2020 m. gruodžio 2 d. Europos Komisijos paskelbto Europos demokratijos veiksmų plano dalis. Be to, Europos Parlamento LIBE ir JURI komitetai šių metų spalio mėn. planuoja paskelbti ataskaitą apie SLAPP.</w:t>
            </w:r>
          </w:p>
          <w:p w14:paraId="0E0A2562" w14:textId="2F9D52ED" w:rsidR="00395157" w:rsidRPr="00395157"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 xml:space="preserve">SLAPP reiškinys yra susijęs su ieškiniais, kuriuos reiškia valstybės institucijos, verslo įmonės ir galingi pavieniai asmenys prieš silpnesnius subjektus, kurie tokius pareiškėjus kritikuoja arba teikia jiems nepalankią informaciją su viešuoju interesu susijusiais klausimais. Tokiais ieškiniais siekiama cenzūruoti, įbauginti ir nutildyti kritikus, juos apkraunant teisinės gynybos išlaidomis. </w:t>
            </w:r>
            <w:r w:rsidR="006A65EB" w:rsidRPr="630AD957">
              <w:rPr>
                <w:rFonts w:eastAsia="Times New Roman"/>
                <w:bdr w:val="none" w:sz="0" w:space="0" w:color="auto"/>
                <w:lang w:val="lt-LT" w:eastAsia="lt-LT"/>
              </w:rPr>
              <w:t>T</w:t>
            </w:r>
            <w:r w:rsidRPr="630AD957">
              <w:rPr>
                <w:rFonts w:eastAsia="Times New Roman"/>
                <w:bdr w:val="none" w:sz="0" w:space="0" w:color="auto"/>
                <w:lang w:val="lt-LT" w:eastAsia="lt-LT"/>
              </w:rPr>
              <w:t>arpvalstybiniame kontekste taip pat svarbu nagrinėti, kaip apsaugoti ES žurnalistus ir pilietinę visuomenę nuo SLAPP ieškinių trečiosiose valstybėse.</w:t>
            </w:r>
            <w:r w:rsidR="006A65EB" w:rsidRPr="630AD957">
              <w:rPr>
                <w:rFonts w:eastAsia="Times New Roman"/>
                <w:bdr w:val="none" w:sz="0" w:space="0" w:color="auto"/>
                <w:lang w:val="lt-LT" w:eastAsia="lt-LT"/>
              </w:rPr>
              <w:t xml:space="preserve"> </w:t>
            </w:r>
            <w:r w:rsidRPr="630AD957">
              <w:rPr>
                <w:rFonts w:eastAsia="Times New Roman"/>
                <w:bdr w:val="none" w:sz="0" w:space="0" w:color="auto"/>
                <w:lang w:val="lt-LT" w:eastAsia="lt-LT"/>
              </w:rPr>
              <w:t>SLAPP ieškiniai kelia grėsmę viešiems debatams ir demokratijoms, jie turi atgrasantį poveikį ir riboja požiūrių įvairovę, taip pat riboja saviraiškos laisvę ir viešus debatus, kadangi dalis asmenų susilaiko nuo teisės skleisti informaciją įgyvendinimo, kad nesusidurtų su SLAPP ieškiniais.</w:t>
            </w:r>
          </w:p>
          <w:p w14:paraId="19EEF201" w14:textId="218319EE" w:rsidR="00395157" w:rsidRPr="00395157" w:rsidRDefault="006A65EB"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2021 m. k</w:t>
            </w:r>
            <w:r w:rsidR="00395157" w:rsidRPr="630AD957">
              <w:rPr>
                <w:rFonts w:eastAsia="Times New Roman"/>
                <w:bdr w:val="none" w:sz="0" w:space="0" w:color="auto"/>
                <w:lang w:val="lt-LT" w:eastAsia="lt-LT"/>
              </w:rPr>
              <w:t>ovo mėn. konkrečios suinteresuotos grupės pateikė Komisijai įžvalgas, kokia parama būtų naudinga subjektams, susiduriantiems su SLAPP ieškiniais, kokie požymiai būdingi šiems ieškiniams. Komisija parengė dvi studijas, siekiant geriau suprasti šį reiškinį ES ir įvertinti situaciją valstybėse narėse. Suinteresuotų asmenų grupės išreiškė didelį susirūpinimą dėl SLAPP ieškinių ir kviečia ES imtis veiksmų šioje srityje, taip pat yra pateiktas galimo teisės akto projektas</w:t>
            </w:r>
            <w:r w:rsidRPr="630AD957">
              <w:rPr>
                <w:rFonts w:eastAsia="Times New Roman"/>
                <w:bdr w:val="none" w:sz="0" w:space="0" w:color="auto"/>
                <w:lang w:val="lt-LT" w:eastAsia="lt-LT"/>
              </w:rPr>
              <w:t xml:space="preserve">. </w:t>
            </w:r>
          </w:p>
          <w:p w14:paraId="53483582" w14:textId="3D867D47" w:rsidR="006A65EB"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 xml:space="preserve">Komisija yra sudariusi ekspertų  grupę, kurioje keičiamasi gerosiomis praktikomis Europos lygiu ir, kai įmanoma, siekiama teikti pagalbą SLAPP aukoms. </w:t>
            </w:r>
          </w:p>
          <w:p w14:paraId="2E2DD46C" w14:textId="4EE21B90" w:rsidR="00395157" w:rsidRPr="00395157"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Komisija nagrinėja galimybes, kaip geriausiai įveikti iššūkius, kuriuos kelia SLAPP kompleksiškumas, ypač orientuojamasi į procedūrinius saugiklius prieš SLAPP ir į ankstyvą bylų nutraukimą. Reikalinga tolesnė analizė dėl teisėkūros iniciatyvos taikymo srities, ypač siejant su tarpvalstybine SLAPP dimensija. Ypatingas dėmesys turi būti skiriamas visų susijusių asmenų teisėms, siekiant išlaikyti tinkamą teisių ir interesų balansą.</w:t>
            </w:r>
          </w:p>
          <w:p w14:paraId="2F3AEC42" w14:textId="77777777" w:rsidR="00395157" w:rsidRPr="00395157"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Teisėkūros iniciatyva dėl SLAPP būtų taip pat suderinta su Europos Komisijos rekomendacija dėl žurnalistų ir kitų žiniasklaidos profesionalų apsaugos ir įgalinimo užtikrinimo Europos Sąjungoje (dokumentas 11812/21).</w:t>
            </w:r>
          </w:p>
          <w:p w14:paraId="02865C39" w14:textId="77777777" w:rsidR="00395157" w:rsidRPr="00395157"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t>Po diskusijų Taryboje bus organizuojama tolesnė valstybių narių atstovų diskusija techniniu lygiu 2021 m. spalio 26 d.</w:t>
            </w:r>
          </w:p>
          <w:p w14:paraId="778CABAE" w14:textId="77777777" w:rsidR="00395157" w:rsidRPr="00395157" w:rsidRDefault="00395157" w:rsidP="630AD957">
            <w:pPr>
              <w:ind w:left="194"/>
              <w:jc w:val="both"/>
              <w:rPr>
                <w:rFonts w:eastAsia="Times New Roman"/>
                <w:bdr w:val="none" w:sz="0" w:space="0" w:color="auto"/>
                <w:lang w:val="lt-LT" w:eastAsia="lt-LT"/>
              </w:rPr>
            </w:pPr>
          </w:p>
          <w:p w14:paraId="6AA31C29" w14:textId="77777777" w:rsidR="00395157" w:rsidRPr="006A65EB" w:rsidRDefault="00395157" w:rsidP="630AD957">
            <w:pPr>
              <w:ind w:left="194"/>
              <w:jc w:val="both"/>
              <w:rPr>
                <w:rFonts w:eastAsia="Times New Roman"/>
                <w:bdr w:val="none" w:sz="0" w:space="0" w:color="auto"/>
                <w:lang w:val="lt-LT" w:eastAsia="lt-LT"/>
              </w:rPr>
            </w:pPr>
            <w:r w:rsidRPr="630AD957">
              <w:rPr>
                <w:rFonts w:eastAsia="Times New Roman"/>
                <w:bdr w:val="none" w:sz="0" w:space="0" w:color="auto"/>
                <w:lang w:val="lt-LT" w:eastAsia="lt-LT"/>
              </w:rPr>
              <w:lastRenderedPageBreak/>
              <w:t>Ministrų diskusijai teikiami šie klausimai:</w:t>
            </w:r>
          </w:p>
          <w:p w14:paraId="0E7C3BAC" w14:textId="77777777" w:rsidR="00395157" w:rsidRPr="006A65EB" w:rsidRDefault="00395157" w:rsidP="630AD957">
            <w:pPr>
              <w:ind w:left="194"/>
              <w:jc w:val="both"/>
              <w:rPr>
                <w:rFonts w:eastAsia="Times New Roman"/>
                <w:b/>
                <w:bCs/>
                <w:i/>
                <w:iCs/>
                <w:bdr w:val="none" w:sz="0" w:space="0" w:color="auto"/>
                <w:lang w:val="lt-LT" w:eastAsia="lt-LT"/>
              </w:rPr>
            </w:pPr>
            <w:r w:rsidRPr="630AD957">
              <w:rPr>
                <w:rFonts w:eastAsia="Times New Roman"/>
                <w:b/>
                <w:bCs/>
                <w:i/>
                <w:iCs/>
                <w:bdr w:val="none" w:sz="0" w:space="0" w:color="auto"/>
                <w:lang w:val="lt-LT" w:eastAsia="lt-LT"/>
              </w:rPr>
              <w:t xml:space="preserve">1. Ar Jūsų valstybė narė turi patirties ir /ar gerosios praktikos kovojant su SLAPP ieškiniais (pvz., pasitelkiant </w:t>
            </w:r>
            <w:proofErr w:type="spellStart"/>
            <w:r w:rsidRPr="630AD957">
              <w:rPr>
                <w:rFonts w:eastAsia="Times New Roman"/>
                <w:b/>
                <w:bCs/>
                <w:i/>
                <w:iCs/>
                <w:bdr w:val="none" w:sz="0" w:space="0" w:color="auto"/>
                <w:lang w:val="lt-LT" w:eastAsia="lt-LT"/>
              </w:rPr>
              <w:t>anti</w:t>
            </w:r>
            <w:proofErr w:type="spellEnd"/>
            <w:r w:rsidRPr="630AD957">
              <w:rPr>
                <w:rFonts w:eastAsia="Times New Roman"/>
                <w:b/>
                <w:bCs/>
                <w:i/>
                <w:iCs/>
                <w:bdr w:val="none" w:sz="0" w:space="0" w:color="auto"/>
                <w:lang w:val="lt-LT" w:eastAsia="lt-LT"/>
              </w:rPr>
              <w:t>-SLAPP teisėkūrą ar  procedūrinius saugiklius)?</w:t>
            </w:r>
          </w:p>
          <w:p w14:paraId="07527B74" w14:textId="494C61C6" w:rsidR="00395157" w:rsidRPr="006A65EB" w:rsidRDefault="00395157" w:rsidP="630AD957">
            <w:pPr>
              <w:ind w:left="194"/>
              <w:jc w:val="both"/>
              <w:rPr>
                <w:rFonts w:eastAsia="Times New Roman"/>
                <w:b/>
                <w:bCs/>
                <w:i/>
                <w:iCs/>
                <w:lang w:val="lt-LT"/>
              </w:rPr>
            </w:pPr>
            <w:r w:rsidRPr="630AD957">
              <w:rPr>
                <w:rFonts w:eastAsia="Times New Roman"/>
                <w:b/>
                <w:bCs/>
                <w:i/>
                <w:iCs/>
                <w:bdr w:val="none" w:sz="0" w:space="0" w:color="auto"/>
                <w:lang w:val="lt-LT" w:eastAsia="lt-LT"/>
              </w:rPr>
              <w:t>2. Ar matote SLAPP Europos ar tarpvalstybinį aspektą ir atitinkamai teisėkūros Europos lygiu pridėtinę vertę šioje srityje? Ar tokia teisėkūros iniciatyva turėtų būti privalomo ar neprivalomo (rekomendacinio) pobūdžio, ar turėtų būti abiejų bruožų derinys?</w:t>
            </w:r>
          </w:p>
          <w:p w14:paraId="745F558D" w14:textId="77777777" w:rsidR="006A65EB" w:rsidRDefault="006A65EB" w:rsidP="630AD957">
            <w:pPr>
              <w:pStyle w:val="BodyA"/>
              <w:ind w:left="198"/>
              <w:jc w:val="both"/>
              <w:rPr>
                <w:rFonts w:eastAsia="Times New Roman" w:hAnsi="Times New Roman" w:cs="Times New Roman"/>
                <w:b/>
                <w:bCs/>
                <w:i/>
                <w:iCs/>
                <w:color w:val="auto"/>
                <w:lang w:val="lt-LT"/>
              </w:rPr>
            </w:pPr>
          </w:p>
          <w:p w14:paraId="31E46E47" w14:textId="77777777" w:rsidR="00395157" w:rsidRDefault="630AD957" w:rsidP="630AD957">
            <w:pPr>
              <w:pStyle w:val="BodyA"/>
              <w:ind w:left="198"/>
              <w:jc w:val="both"/>
              <w:rPr>
                <w:rFonts w:eastAsia="Times New Roman" w:hAnsi="Times New Roman" w:cs="Times New Roman"/>
                <w:b/>
                <w:bCs/>
                <w:color w:val="auto"/>
                <w:lang w:val="lt-LT"/>
              </w:rPr>
            </w:pPr>
            <w:r w:rsidRPr="630AD957">
              <w:rPr>
                <w:rFonts w:eastAsia="Times New Roman" w:hAnsi="Times New Roman" w:cs="Times New Roman"/>
                <w:b/>
                <w:bCs/>
                <w:color w:val="auto"/>
                <w:lang w:val="lt-LT"/>
              </w:rPr>
              <w:t>Lietuvos pozicija:</w:t>
            </w:r>
          </w:p>
          <w:p w14:paraId="34F964F0" w14:textId="0EF5D41A"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bidi="lt-LT"/>
              </w:rPr>
            </w:pPr>
            <w:r w:rsidRPr="630AD957">
              <w:rPr>
                <w:rFonts w:eastAsia="Times New Roman"/>
                <w:b/>
                <w:bCs/>
                <w:i/>
                <w:iCs/>
                <w:bdr w:val="none" w:sz="0" w:space="0" w:color="auto"/>
                <w:lang w:val="lt-LT" w:eastAsia="lt-LT" w:bidi="lt-LT"/>
              </w:rPr>
              <w:t xml:space="preserve">1. </w:t>
            </w:r>
            <w:r w:rsidRPr="630AD957">
              <w:rPr>
                <w:rFonts w:eastAsia="Times New Roman"/>
                <w:b/>
                <w:bCs/>
                <w:bdr w:val="none" w:sz="0" w:space="0" w:color="auto"/>
                <w:lang w:val="lt-LT" w:eastAsia="lt-LT" w:bidi="lt-LT"/>
              </w:rPr>
              <w:t>SLAPP ieškinių fenomenas nėra naujas</w:t>
            </w:r>
            <w:r w:rsidRPr="630AD957">
              <w:rPr>
                <w:rFonts w:eastAsia="Times New Roman"/>
                <w:bdr w:val="none" w:sz="0" w:space="0" w:color="auto"/>
                <w:lang w:val="lt-LT" w:eastAsia="lt-LT" w:bidi="lt-LT"/>
              </w:rPr>
              <w:t xml:space="preserve"> pasaulyje ar Europoje. Vis dėlto turime pripažinti, kad mūsų </w:t>
            </w:r>
            <w:r w:rsidRPr="630AD957">
              <w:rPr>
                <w:rFonts w:eastAsia="Times New Roman"/>
                <w:b/>
                <w:bCs/>
                <w:bdr w:val="none" w:sz="0" w:space="0" w:color="auto"/>
                <w:lang w:val="lt-LT" w:eastAsia="lt-LT" w:bidi="lt-LT"/>
              </w:rPr>
              <w:t xml:space="preserve">teisinės priemonės, kovojant su šia problema, ne visais atvejais adekvačios ir efektyvios, </w:t>
            </w:r>
            <w:r w:rsidR="630AD957" w:rsidRPr="630AD957">
              <w:rPr>
                <w:rFonts w:eastAsia="Times New Roman"/>
                <w:lang w:val="lt-LT"/>
              </w:rPr>
              <w:t xml:space="preserve">o kartais apskritai </w:t>
            </w:r>
            <w:r w:rsidR="630AD957" w:rsidRPr="630AD957">
              <w:rPr>
                <w:rFonts w:eastAsia="Times New Roman"/>
                <w:b/>
                <w:bCs/>
                <w:lang w:val="lt-LT"/>
              </w:rPr>
              <w:t>nėra tokių teisinių priemonių</w:t>
            </w:r>
            <w:r w:rsidRPr="630AD957">
              <w:rPr>
                <w:rFonts w:eastAsia="Times New Roman"/>
                <w:bdr w:val="none" w:sz="0" w:space="0" w:color="auto"/>
                <w:lang w:val="lt-LT" w:eastAsia="lt-LT" w:bidi="lt-LT"/>
              </w:rPr>
              <w:t>. Todėl mes labai vertiname pirmininkaujančios valstybės iniciatyvą diskutuoti šiuo jautriu klausimu.</w:t>
            </w:r>
          </w:p>
          <w:p w14:paraId="0A03B6CB" w14:textId="77777777"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r w:rsidRPr="630AD957">
              <w:rPr>
                <w:rFonts w:eastAsia="Times New Roman"/>
                <w:bdr w:val="none" w:sz="0" w:space="0" w:color="auto"/>
                <w:lang w:val="lt-LT" w:eastAsia="lt-LT" w:bidi="lt-LT"/>
              </w:rPr>
              <w:t>Kaip teisingai pažymėjo Europos Komisija praėjusių metų pabaigoje paskelbtame Europos demokratijos veiksmų plane</w:t>
            </w:r>
            <w:r w:rsidRPr="630AD957">
              <w:rPr>
                <w:rFonts w:eastAsia="Times New Roman"/>
                <w:bdr w:val="none" w:sz="0" w:space="0" w:color="auto" w:frame="1"/>
                <w:vertAlign w:val="superscript"/>
                <w:lang w:val="lt-LT" w:eastAsia="en-GB"/>
              </w:rPr>
              <w:footnoteReference w:id="1"/>
            </w:r>
            <w:r w:rsidRPr="630AD957">
              <w:rPr>
                <w:rFonts w:eastAsia="Times New Roman"/>
                <w:bdr w:val="none" w:sz="0" w:space="0" w:color="auto" w:frame="1"/>
                <w:lang w:val="lt-LT" w:eastAsia="en-GB"/>
              </w:rPr>
              <w:t xml:space="preserve">, SLAPP ieškiniai gali sukelti žalą įvairioms pilietinės visuomenės grupėms: NVO, žmogaus teisių gynėjams ir kitiems. Vis dėlto </w:t>
            </w:r>
            <w:r w:rsidRPr="630AD957">
              <w:rPr>
                <w:rFonts w:eastAsia="Times New Roman"/>
                <w:b/>
                <w:bCs/>
                <w:bdr w:val="none" w:sz="0" w:space="0" w:color="auto" w:frame="1"/>
                <w:lang w:val="lt-LT" w:eastAsia="en-GB"/>
              </w:rPr>
              <w:t>žurnalistų profesijos esmė ir paskirtis daro juos ypač pažeidžiamus</w:t>
            </w:r>
            <w:r w:rsidRPr="630AD957">
              <w:rPr>
                <w:rFonts w:eastAsia="Times New Roman"/>
                <w:bdr w:val="none" w:sz="0" w:space="0" w:color="auto" w:frame="1"/>
                <w:lang w:val="lt-LT" w:eastAsia="en-GB"/>
              </w:rPr>
              <w:t xml:space="preserve"> ir neapsaugotus nuo persekiojimo. Atsižvelgiant į tai, žurnalistų saugumo garantijų užtikrinimas yra </w:t>
            </w:r>
            <w:r w:rsidRPr="630AD957">
              <w:rPr>
                <w:rFonts w:eastAsia="Times New Roman"/>
                <w:b/>
                <w:bCs/>
                <w:bdr w:val="none" w:sz="0" w:space="0" w:color="auto" w:frame="1"/>
                <w:lang w:val="lt-LT" w:eastAsia="en-GB"/>
              </w:rPr>
              <w:t>vienas iš Lietuvos Vyriausybės prioritetinių tikslų</w:t>
            </w:r>
            <w:r w:rsidRPr="630AD957">
              <w:rPr>
                <w:rFonts w:eastAsia="Times New Roman"/>
                <w:bdr w:val="none" w:sz="0" w:space="0" w:color="auto" w:frame="1"/>
                <w:lang w:val="lt-LT" w:eastAsia="en-GB"/>
              </w:rPr>
              <w:t>.</w:t>
            </w:r>
            <w:r w:rsidRPr="630AD957">
              <w:rPr>
                <w:rFonts w:eastAsia="Times New Roman"/>
                <w:b/>
                <w:bCs/>
                <w:bdr w:val="none" w:sz="0" w:space="0" w:color="auto" w:frame="1"/>
                <w:vertAlign w:val="superscript"/>
                <w:lang w:eastAsia="en-GB"/>
              </w:rPr>
              <w:footnoteReference w:id="2"/>
            </w:r>
          </w:p>
          <w:p w14:paraId="43D28EB1" w14:textId="77777777"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r w:rsidRPr="630AD957">
              <w:rPr>
                <w:rFonts w:eastAsia="Times New Roman"/>
                <w:bdr w:val="none" w:sz="0" w:space="0" w:color="auto" w:frame="1"/>
                <w:lang w:val="lt-LT" w:eastAsia="en-GB"/>
              </w:rPr>
              <w:t>Šių metų pavasarį Lietuvos Respublikos Seimas ėmėsi iniciatyvos ir įkūrė darbo grupę</w:t>
            </w:r>
            <w:r w:rsidRPr="630AD957">
              <w:rPr>
                <w:rFonts w:eastAsia="Times New Roman"/>
                <w:bdr w:val="none" w:sz="0" w:space="0" w:color="auto" w:frame="1"/>
                <w:vertAlign w:val="superscript"/>
                <w:lang w:val="lt-LT" w:eastAsia="en-GB"/>
              </w:rPr>
              <w:footnoteReference w:id="3"/>
            </w:r>
            <w:r w:rsidRPr="630AD957">
              <w:rPr>
                <w:rFonts w:eastAsia="Times New Roman"/>
                <w:bdr w:val="none" w:sz="0" w:space="0" w:color="auto" w:frame="1"/>
                <w:lang w:val="lt-LT" w:eastAsia="en-GB"/>
              </w:rPr>
              <w:t>, kurios tikslas – spręsti specifinę SLAPP ieškinių problemą. Išanalizavus kitų valstybių patirtį ir išdiskutavus klausimą su nacionaliniais ekspertais, buvo parengti šie įstatymų projektai:</w:t>
            </w:r>
          </w:p>
          <w:p w14:paraId="7FB8EB7F" w14:textId="77777777" w:rsidR="006A65EB" w:rsidRPr="006A65EB" w:rsidRDefault="006A65EB" w:rsidP="630AD957">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589"/>
              <w:contextualSpacing/>
              <w:jc w:val="both"/>
              <w:rPr>
                <w:rFonts w:eastAsia="Times New Roman"/>
                <w:color w:val="000000"/>
                <w:bdr w:val="none" w:sz="0" w:space="0" w:color="auto" w:frame="1"/>
                <w:lang w:val="lt-LT" w:eastAsia="en-GB"/>
              </w:rPr>
            </w:pPr>
            <w:r w:rsidRPr="630AD957">
              <w:rPr>
                <w:rFonts w:eastAsia="Times New Roman"/>
                <w:b/>
                <w:bCs/>
                <w:bdr w:val="none" w:sz="0" w:space="0" w:color="auto" w:frame="1"/>
                <w:lang w:val="lt-LT" w:eastAsia="en-GB"/>
              </w:rPr>
              <w:t>Civilinio proceso kodekso pakeitimai</w:t>
            </w:r>
            <w:r w:rsidRPr="630AD957">
              <w:rPr>
                <w:rFonts w:eastAsia="Times New Roman"/>
                <w:bdr w:val="none" w:sz="0" w:space="0" w:color="auto" w:frame="1"/>
                <w:lang w:val="lt-LT" w:eastAsia="en-GB"/>
              </w:rPr>
              <w:t xml:space="preserve">: kartu su jau egzistuojančiais procesiniais saugikliais, skirtais kovoti su piktnaudžiavimu procesu, pavyzdžiui, įpareigojimu sumokėti baudą ar kompensuoti kitos šalies nuostolius, įstatymo projekte numatyta </w:t>
            </w:r>
            <w:r w:rsidRPr="630AD957">
              <w:rPr>
                <w:rFonts w:eastAsia="Times New Roman"/>
                <w:b/>
                <w:bCs/>
                <w:bdr w:val="none" w:sz="0" w:space="0" w:color="auto" w:frame="1"/>
                <w:lang w:val="lt-LT" w:eastAsia="en-GB"/>
              </w:rPr>
              <w:t>galimybė palikti ieškinį nenagrinėtą jau ankstyvoje (pradinėje) stadijoje,</w:t>
            </w:r>
            <w:r w:rsidRPr="630AD957">
              <w:rPr>
                <w:rFonts w:eastAsia="Times New Roman"/>
                <w:bdr w:val="none" w:sz="0" w:space="0" w:color="auto" w:frame="1"/>
                <w:lang w:val="lt-LT" w:eastAsia="en-GB"/>
              </w:rPr>
              <w:t xml:space="preserve"> jei teismas nustato, kad ieškinys gali būti priskiriamas SLAPP ieškinių kategorijai;</w:t>
            </w:r>
          </w:p>
          <w:p w14:paraId="742F671D" w14:textId="77777777" w:rsidR="006A65EB" w:rsidRPr="006A65EB" w:rsidRDefault="006A65EB" w:rsidP="630AD957">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589"/>
              <w:contextualSpacing/>
              <w:jc w:val="both"/>
              <w:rPr>
                <w:rFonts w:eastAsia="Times New Roman"/>
                <w:color w:val="000000"/>
                <w:bdr w:val="none" w:sz="0" w:space="0" w:color="auto" w:frame="1"/>
                <w:lang w:val="lt-LT" w:eastAsia="en-GB"/>
              </w:rPr>
            </w:pPr>
            <w:r w:rsidRPr="630AD957">
              <w:rPr>
                <w:rFonts w:eastAsia="Times New Roman"/>
                <w:b/>
                <w:bCs/>
                <w:bdr w:val="none" w:sz="0" w:space="0" w:color="auto" w:frame="1"/>
                <w:lang w:val="lt-LT" w:eastAsia="en-GB"/>
              </w:rPr>
              <w:t>Baudžiamojo kodekso pakeitimai</w:t>
            </w:r>
            <w:r w:rsidRPr="630AD957">
              <w:rPr>
                <w:rFonts w:eastAsia="Times New Roman"/>
                <w:bdr w:val="none" w:sz="0" w:space="0" w:color="auto" w:frame="1"/>
                <w:lang w:val="lt-LT" w:eastAsia="en-GB"/>
              </w:rPr>
              <w:t>: įstatymo projektu siekiama pakeisti nuostatą dėl šmeižimo ir apriboti baudžiamąją atsakomybę už šią veiką, iš dalies ją dekriminalizuojant ir sumažinant maksimalią skirtiną laisvės atėmimo bausmę, taip pat papildant sankcijų sąrašą alternatyviomis laisvės atėmimui bausmėmis. Tikimasi, kad šiais pakeitimais bus sustiprinta žurnalistų ir kitų viešosios informacijos skleidėjų apsauga nuo nepagrįsto persekiojimo už jų reiškiamą kritiką, taip pat bus įgyvendinti baudžiamosios atsakomybės, kaip kraštutinės priemonės, reikalavimai.</w:t>
            </w:r>
          </w:p>
          <w:p w14:paraId="106DAD97" w14:textId="77777777"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r w:rsidRPr="630AD957">
              <w:rPr>
                <w:rFonts w:eastAsia="Times New Roman"/>
                <w:bdr w:val="none" w:sz="0" w:space="0" w:color="auto" w:frame="1"/>
                <w:lang w:val="lt-LT" w:eastAsia="en-GB"/>
              </w:rPr>
              <w:t xml:space="preserve">Dėl šių įstatymų pakeitimų bus toliau diskutuojama Seime. Be to, darbo grupė nagrinės galimybes </w:t>
            </w:r>
            <w:r w:rsidRPr="630AD957">
              <w:rPr>
                <w:rFonts w:eastAsia="Times New Roman"/>
                <w:b/>
                <w:bCs/>
                <w:bdr w:val="none" w:sz="0" w:space="0" w:color="auto" w:frame="1"/>
                <w:lang w:val="lt-LT" w:eastAsia="en-GB"/>
              </w:rPr>
              <w:t>užtikrinti efektyvią teisinę pagalbą</w:t>
            </w:r>
            <w:r w:rsidRPr="630AD957">
              <w:rPr>
                <w:rFonts w:eastAsia="Times New Roman"/>
                <w:bdr w:val="none" w:sz="0" w:space="0" w:color="auto" w:frame="1"/>
                <w:lang w:val="lt-LT" w:eastAsia="en-GB"/>
              </w:rPr>
              <w:t xml:space="preserve"> žurnalistams ir kitiems subjektams, susiduriantiems su SLAPP ieškinių pasekmėmis. Tikimės, kad naujos teisinės priemonės suteiks </w:t>
            </w:r>
            <w:r w:rsidRPr="630AD957">
              <w:rPr>
                <w:rFonts w:eastAsia="Times New Roman"/>
                <w:b/>
                <w:bCs/>
                <w:bdr w:val="none" w:sz="0" w:space="0" w:color="auto" w:frame="1"/>
                <w:lang w:val="lt-LT" w:eastAsia="en-GB"/>
              </w:rPr>
              <w:t>tvirtą teisinį atkirtį</w:t>
            </w:r>
            <w:r w:rsidRPr="630AD957">
              <w:rPr>
                <w:rFonts w:eastAsia="Times New Roman"/>
                <w:bdr w:val="none" w:sz="0" w:space="0" w:color="auto" w:frame="1"/>
                <w:lang w:val="lt-LT" w:eastAsia="en-GB"/>
              </w:rPr>
              <w:t xml:space="preserve"> strateginiam bylinėjimuisi ir padės užtikrinti saviraiškos laisvę ir apsaugoti nepriklausomą žiniasklaidą Lietuvoje.</w:t>
            </w:r>
          </w:p>
          <w:p w14:paraId="5AA9278F" w14:textId="77777777"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p>
          <w:p w14:paraId="220066A6" w14:textId="5EFC2072"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r w:rsidRPr="630AD957">
              <w:rPr>
                <w:rFonts w:eastAsia="Times New Roman"/>
                <w:b/>
                <w:bCs/>
                <w:i/>
                <w:iCs/>
                <w:bdr w:val="none" w:sz="0" w:space="0" w:color="auto" w:frame="1"/>
                <w:lang w:val="lt-LT" w:eastAsia="en-GB"/>
              </w:rPr>
              <w:t xml:space="preserve">2. </w:t>
            </w:r>
            <w:r w:rsidRPr="630AD957">
              <w:rPr>
                <w:rFonts w:eastAsia="Times New Roman"/>
                <w:bdr w:val="none" w:sz="0" w:space="0" w:color="auto" w:frame="1"/>
                <w:lang w:val="lt-LT" w:eastAsia="en-GB"/>
              </w:rPr>
              <w:t xml:space="preserve">Visiškai pripažįstame SLAPP reiškinio kompleksiškumą, ypač </w:t>
            </w:r>
            <w:r w:rsidRPr="630AD957">
              <w:rPr>
                <w:rFonts w:eastAsia="Times New Roman"/>
                <w:b/>
                <w:bCs/>
                <w:bdr w:val="none" w:sz="0" w:space="0" w:color="auto" w:frame="1"/>
                <w:lang w:val="lt-LT" w:eastAsia="en-GB"/>
              </w:rPr>
              <w:t>tarpvalstybinėse bylose</w:t>
            </w:r>
            <w:r w:rsidRPr="630AD957">
              <w:rPr>
                <w:rFonts w:eastAsia="Times New Roman"/>
                <w:bdr w:val="none" w:sz="0" w:space="0" w:color="auto" w:frame="1"/>
                <w:lang w:val="lt-LT" w:eastAsia="en-GB"/>
              </w:rPr>
              <w:t>. Šiais laikais pilietinės visuomenės ir žiniasklaidos veiklos neapsiriboja valstybių sienomis. Dabartinė COVID-19 pandemijos sukelta krizė aiškiai parodė objektyvios informacijos ir laisvų viešų debatų poreikį pasaulyje ir Europoje.</w:t>
            </w:r>
          </w:p>
          <w:p w14:paraId="274938E7" w14:textId="77777777"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eastAsia="en-GB"/>
              </w:rPr>
            </w:pPr>
            <w:r w:rsidRPr="630AD957">
              <w:rPr>
                <w:rFonts w:eastAsia="Times New Roman"/>
                <w:bdr w:val="none" w:sz="0" w:space="0" w:color="auto" w:frame="1"/>
                <w:lang w:val="lt-LT" w:eastAsia="en-GB"/>
              </w:rPr>
              <w:lastRenderedPageBreak/>
              <w:t xml:space="preserve">Kaip žinome, </w:t>
            </w:r>
            <w:r w:rsidRPr="630AD957">
              <w:rPr>
                <w:rFonts w:eastAsia="Times New Roman"/>
                <w:b/>
                <w:bCs/>
                <w:bdr w:val="none" w:sz="0" w:space="0" w:color="auto" w:frame="1"/>
                <w:lang w:val="lt-LT" w:eastAsia="en-GB"/>
              </w:rPr>
              <w:t>Europos Komisija ruošia 2022 m. pavasarį planuojamą pateikti iniciatyvą</w:t>
            </w:r>
            <w:r w:rsidRPr="630AD957">
              <w:rPr>
                <w:rFonts w:eastAsia="Times New Roman"/>
                <w:bdr w:val="none" w:sz="0" w:space="0" w:color="auto" w:frame="1"/>
                <w:lang w:val="lt-LT" w:eastAsia="en-GB"/>
              </w:rPr>
              <w:t>, kuria bus siekiama apsaugoti žurnalistus ir pilietinę visuomenę nuo SLAPP ieškinių Europos lygiu. Mes sekame parengiamuosius darbus su dideliu susidomėjimu ir tikimės, kad, kai ši iniciatyva bus pristatyta, būsime pasirengę pasidalinti ir savo nacionaline patirtimi.</w:t>
            </w:r>
          </w:p>
          <w:p w14:paraId="32971D4D" w14:textId="73BCEAB1" w:rsidR="006A65EB" w:rsidRPr="006A65EB" w:rsidRDefault="006A65EB" w:rsidP="630AD9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frame="1"/>
                <w:lang w:val="lt-LT"/>
              </w:rPr>
            </w:pPr>
            <w:r w:rsidRPr="630AD957">
              <w:rPr>
                <w:rFonts w:eastAsia="Times New Roman"/>
                <w:bdr w:val="none" w:sz="0" w:space="0" w:color="auto" w:frame="1"/>
                <w:lang w:val="lt-LT" w:eastAsia="en-GB"/>
              </w:rPr>
              <w:t xml:space="preserve">Europinė teisėkūros iniciatyva ypač </w:t>
            </w:r>
            <w:r w:rsidRPr="630AD957">
              <w:rPr>
                <w:rFonts w:eastAsia="Times New Roman"/>
                <w:b/>
                <w:bCs/>
                <w:bdr w:val="none" w:sz="0" w:space="0" w:color="auto" w:frame="1"/>
                <w:lang w:val="lt-LT" w:eastAsia="en-GB"/>
              </w:rPr>
              <w:t>turėtų pridėtinę vertę</w:t>
            </w:r>
            <w:r w:rsidRPr="630AD957">
              <w:rPr>
                <w:rFonts w:eastAsia="Times New Roman"/>
                <w:bdr w:val="none" w:sz="0" w:space="0" w:color="auto" w:frame="1"/>
                <w:lang w:val="lt-LT" w:eastAsia="en-GB"/>
              </w:rPr>
              <w:t xml:space="preserve">, jei ja būtų siekiama spręsti problemas, susijusias su SLAPP ieškinių </w:t>
            </w:r>
            <w:r w:rsidRPr="630AD957">
              <w:rPr>
                <w:rFonts w:eastAsia="Times New Roman"/>
                <w:b/>
                <w:bCs/>
                <w:bdr w:val="none" w:sz="0" w:space="0" w:color="auto" w:frame="1"/>
                <w:lang w:val="lt-LT" w:eastAsia="en-GB"/>
              </w:rPr>
              <w:t>tarpvalstybiniais aspektais</w:t>
            </w:r>
            <w:r w:rsidRPr="630AD957">
              <w:rPr>
                <w:rFonts w:eastAsia="Times New Roman"/>
                <w:bdr w:val="none" w:sz="0" w:space="0" w:color="auto" w:frame="1"/>
                <w:lang w:val="lt-LT" w:eastAsia="en-GB"/>
              </w:rPr>
              <w:t>. Pavyzdžiui, turėtume svarstyti, ar egzistuojantys Europos Sąjungos tarptautinės privatinės teisės instrumentai (pvz., Roma II reglamentas) visiškai atsižvelgia į SLAPP reiškinio specifiškumą, ar turėtume siekti labiau situacijai pritaikytų sprendimų.</w:t>
            </w:r>
            <w:r w:rsidR="630AD957" w:rsidRPr="630AD957">
              <w:rPr>
                <w:rFonts w:eastAsia="Times New Roman"/>
                <w:u w:val="single"/>
                <w:lang w:val="lt-LT"/>
              </w:rPr>
              <w:t xml:space="preserve"> </w:t>
            </w:r>
            <w:r w:rsidR="630AD957" w:rsidRPr="630AD957">
              <w:rPr>
                <w:rFonts w:eastAsia="Times New Roman"/>
                <w:lang w:val="lt-LT"/>
              </w:rPr>
              <w:t xml:space="preserve">Be to, svarstytinas klausimas, ar turėtų būti nustatytas Europos Sąjungos standartas </w:t>
            </w:r>
            <w:r w:rsidR="630AD957" w:rsidRPr="630AD957">
              <w:rPr>
                <w:rFonts w:eastAsia="Times New Roman"/>
                <w:b/>
                <w:bCs/>
                <w:lang w:val="lt-LT"/>
              </w:rPr>
              <w:t>dėl teisinės pagalbos tokiose bylose</w:t>
            </w:r>
            <w:r w:rsidR="630AD957" w:rsidRPr="630AD957">
              <w:rPr>
                <w:rFonts w:eastAsia="Times New Roman"/>
                <w:lang w:val="lt-LT"/>
              </w:rPr>
              <w:t xml:space="preserve">. Siekiant naujų priemonių </w:t>
            </w:r>
            <w:r w:rsidR="630AD957" w:rsidRPr="630AD957">
              <w:rPr>
                <w:rFonts w:eastAsia="Times New Roman"/>
                <w:b/>
                <w:bCs/>
                <w:lang w:val="lt-LT"/>
              </w:rPr>
              <w:t>efektyvumo</w:t>
            </w:r>
            <w:r w:rsidR="630AD957" w:rsidRPr="630AD957">
              <w:rPr>
                <w:rFonts w:eastAsia="Times New Roman"/>
                <w:lang w:val="lt-LT"/>
              </w:rPr>
              <w:t xml:space="preserve">, preliminariai pasisakytume </w:t>
            </w:r>
            <w:r w:rsidR="630AD957" w:rsidRPr="630AD957">
              <w:rPr>
                <w:rFonts w:eastAsia="Times New Roman"/>
                <w:b/>
                <w:bCs/>
                <w:lang w:val="lt-LT"/>
              </w:rPr>
              <w:t>už tam tikrų privalomų taisyklių</w:t>
            </w:r>
            <w:r w:rsidR="630AD957" w:rsidRPr="630AD957">
              <w:rPr>
                <w:rFonts w:eastAsia="Times New Roman"/>
                <w:lang w:val="lt-LT"/>
              </w:rPr>
              <w:t xml:space="preserve"> nustatymą tarpvalstybinių bylų atveju.</w:t>
            </w:r>
          </w:p>
          <w:p w14:paraId="0E039B18" w14:textId="0861FAF0" w:rsidR="006A65EB" w:rsidRPr="006A65EB" w:rsidRDefault="006A65EB" w:rsidP="630AD957">
            <w:pPr>
              <w:pStyle w:val="BodyA"/>
              <w:jc w:val="both"/>
              <w:rPr>
                <w:rFonts w:eastAsia="Times New Roman" w:hAnsi="Times New Roman" w:cs="Times New Roman"/>
                <w:b/>
                <w:bCs/>
                <w:color w:val="auto"/>
                <w:lang w:val="lt-LT"/>
              </w:rPr>
            </w:pPr>
          </w:p>
        </w:tc>
      </w:tr>
    </w:tbl>
    <w:p w14:paraId="6D74A03B" w14:textId="77777777" w:rsidR="00395157" w:rsidRPr="00DB21E1" w:rsidRDefault="00395157" w:rsidP="00FF3DD4">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DB21E1" w14:paraId="6FC82F51" w14:textId="77777777" w:rsidTr="630AD957">
        <w:trPr>
          <w:trHeight w:val="1049"/>
        </w:trPr>
        <w:tc>
          <w:tcPr>
            <w:tcW w:w="90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395157" w:rsidRPr="00CC0E56" w14:paraId="4AFAB22D" w14:textId="77777777" w:rsidTr="269527E0">
              <w:trPr>
                <w:trHeight w:val="631"/>
              </w:trPr>
              <w:tc>
                <w:tcPr>
                  <w:tcW w:w="9071" w:type="dxa"/>
                  <w:tcMar>
                    <w:top w:w="284" w:type="dxa"/>
                    <w:left w:w="113" w:type="dxa"/>
                    <w:bottom w:w="0" w:type="dxa"/>
                    <w:right w:w="113" w:type="dxa"/>
                  </w:tcMar>
                  <w:hideMark/>
                </w:tcPr>
                <w:p w14:paraId="7447DC07" w14:textId="77777777" w:rsidR="00395157" w:rsidRPr="00815AC7" w:rsidRDefault="00395157" w:rsidP="008F01C8">
                  <w:pPr>
                    <w:framePr w:hSpace="180" w:wrap="around" w:vAnchor="text" w:hAnchor="margin" w:y="196"/>
                    <w:ind w:left="74"/>
                    <w:rPr>
                      <w:b/>
                      <w:bCs/>
                      <w:szCs w:val="20"/>
                    </w:rPr>
                  </w:pPr>
                  <w:proofErr w:type="spellStart"/>
                  <w:r w:rsidRPr="00815AC7">
                    <w:rPr>
                      <w:b/>
                      <w:bCs/>
                      <w:szCs w:val="20"/>
                    </w:rPr>
                    <w:t>Kardomasis</w:t>
                  </w:r>
                  <w:proofErr w:type="spellEnd"/>
                  <w:r w:rsidRPr="00815AC7">
                    <w:rPr>
                      <w:b/>
                      <w:bCs/>
                      <w:szCs w:val="20"/>
                    </w:rPr>
                    <w:t xml:space="preserve"> </w:t>
                  </w:r>
                  <w:proofErr w:type="spellStart"/>
                  <w:r w:rsidRPr="00815AC7">
                    <w:rPr>
                      <w:b/>
                      <w:bCs/>
                      <w:szCs w:val="20"/>
                    </w:rPr>
                    <w:t>kalinimas</w:t>
                  </w:r>
                  <w:proofErr w:type="spellEnd"/>
                  <w:r>
                    <w:rPr>
                      <w:b/>
                      <w:bCs/>
                      <w:szCs w:val="20"/>
                    </w:rPr>
                    <w:t xml:space="preserve"> / </w:t>
                  </w:r>
                  <w:r w:rsidRPr="00815AC7">
                    <w:rPr>
                      <w:b/>
                      <w:bCs/>
                      <w:szCs w:val="20"/>
                    </w:rPr>
                    <w:t>Pre-trial detention</w:t>
                  </w:r>
                </w:p>
                <w:p w14:paraId="03D0F0F5" w14:textId="77777777" w:rsidR="00395157" w:rsidRDefault="00395157" w:rsidP="008F01C8">
                  <w:pPr>
                    <w:ind w:left="74"/>
                    <w:rPr>
                      <w:i/>
                      <w:iCs/>
                      <w:szCs w:val="20"/>
                    </w:rPr>
                  </w:pPr>
                </w:p>
                <w:p w14:paraId="01B89696" w14:textId="77777777" w:rsidR="00395157" w:rsidRPr="00815AC7" w:rsidRDefault="00395157" w:rsidP="008F01C8">
                  <w:pPr>
                    <w:ind w:left="74"/>
                    <w:rPr>
                      <w:i/>
                      <w:iCs/>
                      <w:szCs w:val="20"/>
                    </w:rPr>
                  </w:pPr>
                  <w:proofErr w:type="spellStart"/>
                  <w:r w:rsidRPr="00815AC7">
                    <w:rPr>
                      <w:i/>
                      <w:iCs/>
                      <w:szCs w:val="20"/>
                    </w:rPr>
                    <w:t>Politiniai</w:t>
                  </w:r>
                  <w:proofErr w:type="spellEnd"/>
                  <w:r w:rsidRPr="00815AC7">
                    <w:rPr>
                      <w:i/>
                      <w:iCs/>
                      <w:szCs w:val="20"/>
                    </w:rPr>
                    <w:t xml:space="preserve"> </w:t>
                  </w:r>
                  <w:proofErr w:type="spellStart"/>
                  <w:r w:rsidRPr="00815AC7">
                    <w:rPr>
                      <w:i/>
                      <w:iCs/>
                      <w:szCs w:val="20"/>
                    </w:rPr>
                    <w:t>debatai</w:t>
                  </w:r>
                  <w:proofErr w:type="spellEnd"/>
                  <w:r>
                    <w:rPr>
                      <w:i/>
                      <w:iCs/>
                      <w:szCs w:val="20"/>
                    </w:rPr>
                    <w:t xml:space="preserve"> /</w:t>
                  </w:r>
                  <w:r w:rsidRPr="00815AC7">
                    <w:rPr>
                      <w:i/>
                      <w:iCs/>
                      <w:szCs w:val="20"/>
                    </w:rPr>
                    <w:t xml:space="preserve"> Policy debate</w:t>
                  </w:r>
                </w:p>
                <w:p w14:paraId="2175B915" w14:textId="77777777" w:rsidR="00395157" w:rsidRPr="00DB21E1" w:rsidRDefault="00395157" w:rsidP="008F01C8">
                  <w:pPr>
                    <w:framePr w:hSpace="180" w:wrap="around" w:vAnchor="text" w:hAnchor="margin" w:y="196"/>
                    <w:ind w:left="74"/>
                  </w:pPr>
                </w:p>
              </w:tc>
              <w:tc>
                <w:tcPr>
                  <w:tcW w:w="1019" w:type="dxa"/>
                  <w:tcMar>
                    <w:top w:w="284" w:type="dxa"/>
                    <w:left w:w="28" w:type="dxa"/>
                    <w:bottom w:w="0" w:type="dxa"/>
                    <w:right w:w="113" w:type="dxa"/>
                  </w:tcMar>
                </w:tcPr>
                <w:p w14:paraId="3C4A2423" w14:textId="77777777" w:rsidR="00395157" w:rsidRPr="00DB21E1" w:rsidRDefault="00395157" w:rsidP="008F01C8">
                  <w:pPr>
                    <w:framePr w:hSpace="180" w:wrap="around" w:vAnchor="text" w:hAnchor="margin" w:y="196"/>
                    <w:ind w:left="194"/>
                    <w:jc w:val="right"/>
                    <w:rPr>
                      <w:rFonts w:asciiTheme="majorBidi" w:hAnsiTheme="majorBidi" w:cstheme="majorBidi"/>
                      <w:noProof/>
                    </w:rPr>
                  </w:pPr>
                </w:p>
                <w:p w14:paraId="03592477" w14:textId="77777777" w:rsidR="00395157" w:rsidRPr="00DB21E1" w:rsidRDefault="00395157" w:rsidP="008F01C8">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0DD8A33A" w14:textId="77777777" w:rsidR="00395157" w:rsidRPr="00DB21E1" w:rsidRDefault="00395157" w:rsidP="008F01C8">
                  <w:pPr>
                    <w:framePr w:hSpace="180" w:wrap="around" w:vAnchor="text" w:hAnchor="margin" w:y="196"/>
                    <w:ind w:left="194"/>
                  </w:pPr>
                </w:p>
              </w:tc>
            </w:tr>
          </w:tbl>
          <w:p w14:paraId="6867CC10" w14:textId="054C7D4E" w:rsidR="269527E0" w:rsidRDefault="269527E0" w:rsidP="269527E0">
            <w:pPr>
              <w:jc w:val="both"/>
            </w:pPr>
            <w:r w:rsidRPr="269527E0">
              <w:rPr>
                <w:rFonts w:eastAsia="Times New Roman"/>
                <w:b/>
                <w:bCs/>
                <w:lang w:val="lt-LT"/>
              </w:rPr>
              <w:t>Klausimo esmė:</w:t>
            </w:r>
            <w:r w:rsidRPr="269527E0">
              <w:rPr>
                <w:rFonts w:eastAsia="Times New Roman"/>
                <w:color w:val="000000" w:themeColor="text1"/>
                <w:lang w:val="lt-LT"/>
              </w:rPr>
              <w:t xml:space="preserve"> ES Tarybai pirmininkaujanti Slovėnija, siekdama didinti tarpusavio pasitikėjimą tarp valstybių narių bendradarbiavimo baudžiamosiose bylose srityje, atsižvelgdama į ES Tarybos Generalinio sekretoriato atliktą analizę, siūlo pradėti diskusiją dėl minimalių suėmimo vykdymo materialinių ir procedūrinių standartų reglamentavimo ES lygmenyje būtinybės ir šių standartų apibrėžimo (prioritetų).</w:t>
            </w:r>
            <w:r w:rsidRPr="269527E0">
              <w:rPr>
                <w:rFonts w:eastAsia="Times New Roman"/>
                <w:color w:val="000000" w:themeColor="text1"/>
              </w:rPr>
              <w:t xml:space="preserve"> </w:t>
            </w:r>
          </w:p>
          <w:p w14:paraId="5575911D" w14:textId="027FD47D" w:rsidR="269527E0" w:rsidRPr="002A0070" w:rsidRDefault="269527E0" w:rsidP="269527E0">
            <w:pPr>
              <w:jc w:val="both"/>
              <w:rPr>
                <w:lang w:val="lt-LT"/>
              </w:rPr>
            </w:pPr>
            <w:r w:rsidRPr="269527E0">
              <w:rPr>
                <w:rFonts w:eastAsia="Times New Roman"/>
                <w:color w:val="000000" w:themeColor="text1"/>
                <w:lang w:val="lt-LT"/>
              </w:rPr>
              <w:t xml:space="preserve">Remiantis ES Tarybos Generalinio sekretoriato atlikta analize, nustatydamos suėmimo vykdymo materialinius standartus (kameros plotas, temperatūra, sanitarinio mazgo atskyrimas, suimtųjų aprūpinimas bei už kameros praleidžiamas laikas ir pan.), valstybės narės remiasi EŽTT suformuluota praktika, Europos Tarybos ir Jungtinių Tautų suformuluotomis rekomendacijomis. Praktikoje valstybės narės yra nustačiusios itin skirtingus kardomojo kalinimo materialinių sąlygų standartus, todėl sprendžiant klausimus dėl asmenų perdavimo pagal Europos arešto orderį klausimus, atskiros valstybės narės abejoja, ar kitose valstybėse narėse nustatytos kalinimo sąlygos atitinka EŽT Konvencijos 3 straipsnio (kankinimo uždraudimas) reikalavimus. Be to, valstybių narių nacionalinėje teisėje nustatyti ir skirtingi procesiniai suėmimo skyrimo standartai (suėmimas, kaip </w:t>
            </w:r>
            <w:proofErr w:type="spellStart"/>
            <w:r w:rsidRPr="269527E0">
              <w:rPr>
                <w:rFonts w:eastAsia="Times New Roman"/>
                <w:i/>
                <w:iCs/>
                <w:color w:val="000000" w:themeColor="text1"/>
                <w:lang w:val="lt-LT"/>
              </w:rPr>
              <w:t>ultima</w:t>
            </w:r>
            <w:proofErr w:type="spellEnd"/>
            <w:r w:rsidRPr="269527E0">
              <w:rPr>
                <w:rFonts w:eastAsia="Times New Roman"/>
                <w:i/>
                <w:iCs/>
                <w:color w:val="000000" w:themeColor="text1"/>
                <w:lang w:val="lt-LT"/>
              </w:rPr>
              <w:t xml:space="preserve"> </w:t>
            </w:r>
            <w:proofErr w:type="spellStart"/>
            <w:r w:rsidRPr="269527E0">
              <w:rPr>
                <w:rFonts w:eastAsia="Times New Roman"/>
                <w:i/>
                <w:iCs/>
                <w:color w:val="000000" w:themeColor="text1"/>
                <w:lang w:val="lt-LT"/>
              </w:rPr>
              <w:t>ratio</w:t>
            </w:r>
            <w:proofErr w:type="spellEnd"/>
            <w:r w:rsidRPr="269527E0">
              <w:rPr>
                <w:rFonts w:eastAsia="Times New Roman"/>
                <w:color w:val="000000" w:themeColor="text1"/>
                <w:lang w:val="lt-LT"/>
              </w:rPr>
              <w:t xml:space="preserve"> priemonė, alternatyvių suėmimui kardomųjų priemonių taikymo galimybės, reikalavimai pagrįsti suėmimo skyrimą, suėmimo skyrimo pagrįstumo peržiūros mechanizmas ir pan.).</w:t>
            </w:r>
            <w:r w:rsidRPr="002A0070">
              <w:rPr>
                <w:rFonts w:eastAsia="Times New Roman"/>
                <w:color w:val="000000" w:themeColor="text1"/>
                <w:lang w:val="lt-LT"/>
              </w:rPr>
              <w:t xml:space="preserve"> </w:t>
            </w:r>
          </w:p>
          <w:p w14:paraId="07FDD747" w14:textId="094FA074" w:rsidR="269527E0" w:rsidRPr="002A0070" w:rsidRDefault="269527E0" w:rsidP="269527E0">
            <w:pPr>
              <w:jc w:val="both"/>
              <w:rPr>
                <w:lang w:val="lt-LT"/>
              </w:rPr>
            </w:pPr>
            <w:r w:rsidRPr="269527E0">
              <w:rPr>
                <w:rFonts w:eastAsia="Times New Roman"/>
                <w:color w:val="000000" w:themeColor="text1"/>
                <w:lang w:val="lt-LT"/>
              </w:rPr>
              <w:t>Atsižvelgiant į pirmiau nurodytus aspektus, ministrai bus pakviesti diskusijai, kokie suėmimo vykdymo sąlygų ir procesiniais suėmimo taikymo standartai turėtų būti prioretizuojami, jei būtų priimtas sprendimas šiuos aspektus reglamentuoti ES lygmeniu.</w:t>
            </w:r>
            <w:r w:rsidRPr="002A0070">
              <w:rPr>
                <w:rFonts w:eastAsia="Times New Roman"/>
                <w:color w:val="000000" w:themeColor="text1"/>
                <w:lang w:val="lt-LT"/>
              </w:rPr>
              <w:t xml:space="preserve"> </w:t>
            </w:r>
          </w:p>
          <w:p w14:paraId="675D2809" w14:textId="1C8040F1" w:rsidR="269527E0" w:rsidRPr="002A0070" w:rsidRDefault="269527E0" w:rsidP="269527E0">
            <w:pPr>
              <w:jc w:val="both"/>
              <w:rPr>
                <w:lang w:val="lt-LT"/>
              </w:rPr>
            </w:pPr>
            <w:r w:rsidRPr="269527E0">
              <w:rPr>
                <w:rFonts w:eastAsia="Times New Roman"/>
                <w:color w:val="000000" w:themeColor="text1"/>
                <w:lang w:val="lt-LT"/>
              </w:rPr>
              <w:t>Atsižvelgiant į dokumente išdėstytus aspektus, ministrai yra kviečiami pasidalinti savo nuomonėmis dėl šių klausimų:</w:t>
            </w:r>
            <w:r w:rsidRPr="002A0070">
              <w:rPr>
                <w:rFonts w:eastAsia="Times New Roman"/>
                <w:color w:val="000000" w:themeColor="text1"/>
                <w:lang w:val="lt-LT"/>
              </w:rPr>
              <w:t xml:space="preserve"> </w:t>
            </w:r>
          </w:p>
          <w:p w14:paraId="62314F96" w14:textId="06F6F829" w:rsidR="269527E0" w:rsidRPr="002A0070" w:rsidRDefault="269527E0" w:rsidP="269527E0">
            <w:pPr>
              <w:jc w:val="both"/>
              <w:rPr>
                <w:lang w:val="lt-LT"/>
              </w:rPr>
            </w:pPr>
            <w:r w:rsidRPr="269527E0">
              <w:rPr>
                <w:rFonts w:eastAsia="Times New Roman"/>
                <w:b/>
                <w:bCs/>
                <w:i/>
                <w:iCs/>
                <w:color w:val="000000" w:themeColor="text1"/>
                <w:lang w:val="lt-LT"/>
              </w:rPr>
              <w:t>1. Kokie suėmimo taikymo ir suėmimo vykdymo sąlygų standartai turėtų būti prioretizuojami, kad didėtų valstybių narių tarpusavio pasitikėjimas?</w:t>
            </w:r>
            <w:r w:rsidRPr="002A0070">
              <w:rPr>
                <w:rFonts w:eastAsia="Times New Roman"/>
                <w:color w:val="000000" w:themeColor="text1"/>
                <w:lang w:val="lt-LT"/>
              </w:rPr>
              <w:t xml:space="preserve"> </w:t>
            </w:r>
          </w:p>
          <w:p w14:paraId="5A1E40D0" w14:textId="5CA6FBA2" w:rsidR="269527E0" w:rsidRPr="002A0070" w:rsidRDefault="269527E0" w:rsidP="269527E0">
            <w:pPr>
              <w:jc w:val="both"/>
              <w:rPr>
                <w:rFonts w:eastAsia="Times New Roman"/>
                <w:color w:val="000000" w:themeColor="text1"/>
                <w:lang w:val="lt-LT"/>
              </w:rPr>
            </w:pPr>
            <w:r w:rsidRPr="269527E0">
              <w:rPr>
                <w:rFonts w:eastAsia="Times New Roman"/>
                <w:b/>
                <w:bCs/>
                <w:i/>
                <w:iCs/>
                <w:color w:val="000000" w:themeColor="text1"/>
                <w:lang w:val="lt-LT"/>
              </w:rPr>
              <w:t>2. Kokios kitos ES lygmens iniciatyvos galėtų pagerinti kalinimo sąlygas ir paskatinti alternatyvių suėmimui kardomųjų priemonių taikymą.</w:t>
            </w:r>
          </w:p>
          <w:p w14:paraId="15588DA2" w14:textId="3B4373D8" w:rsidR="269527E0" w:rsidRDefault="269527E0" w:rsidP="269527E0">
            <w:pPr>
              <w:ind w:left="194"/>
              <w:jc w:val="both"/>
              <w:rPr>
                <w:b/>
                <w:bCs/>
                <w:i/>
                <w:iCs/>
                <w:color w:val="000000" w:themeColor="text1"/>
                <w:lang w:val="lt-LT" w:eastAsia="lt-LT"/>
              </w:rPr>
            </w:pPr>
          </w:p>
          <w:p w14:paraId="14FD22BF" w14:textId="77777777" w:rsidR="00395157" w:rsidRPr="00DB21E1" w:rsidRDefault="00395157" w:rsidP="008F01C8">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p>
          <w:p w14:paraId="1CF85A2A" w14:textId="1895EA85" w:rsidR="00395157" w:rsidRPr="00DB21E1" w:rsidRDefault="630AD957" w:rsidP="269527E0">
            <w:pPr>
              <w:spacing w:line="257" w:lineRule="auto"/>
              <w:jc w:val="both"/>
            </w:pPr>
            <w:r w:rsidRPr="630AD957">
              <w:rPr>
                <w:rFonts w:eastAsia="Times New Roman"/>
                <w:b/>
                <w:bCs/>
                <w:color w:val="000000" w:themeColor="text1"/>
                <w:lang w:val="lt-LT"/>
              </w:rPr>
              <w:t>Lietuvos pozicija:</w:t>
            </w:r>
            <w:r w:rsidRPr="630AD957">
              <w:rPr>
                <w:rFonts w:eastAsia="Times New Roman"/>
                <w:color w:val="000000" w:themeColor="text1"/>
                <w:lang w:val="lt-LT"/>
              </w:rPr>
              <w:t xml:space="preserve"> </w:t>
            </w:r>
          </w:p>
          <w:p w14:paraId="4F509627" w14:textId="6FFC0697"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Pritartina, kad šie klausimai toliau būtų svarstomi. Diskusijos suteiktų reikšmingą postūmį užtikrinti veiksmingesnę pagrindinių žmogaus teisių apsaugą visoje ES.   </w:t>
            </w:r>
          </w:p>
          <w:p w14:paraId="0967F5F4" w14:textId="1617FAF0" w:rsidR="00395157" w:rsidRPr="002A0070" w:rsidRDefault="630AD957" w:rsidP="269527E0">
            <w:pPr>
              <w:spacing w:line="257" w:lineRule="auto"/>
              <w:jc w:val="both"/>
              <w:rPr>
                <w:lang w:val="lt-LT"/>
              </w:rPr>
            </w:pPr>
            <w:r w:rsidRPr="630AD957">
              <w:rPr>
                <w:rFonts w:eastAsia="Times New Roman"/>
                <w:b/>
                <w:bCs/>
                <w:color w:val="000000" w:themeColor="text1"/>
                <w:lang w:val="lt-LT"/>
              </w:rPr>
              <w:lastRenderedPageBreak/>
              <w:t>1.</w:t>
            </w:r>
            <w:r w:rsidRPr="630AD957">
              <w:rPr>
                <w:rFonts w:eastAsia="Times New Roman"/>
                <w:b/>
                <w:bCs/>
                <w:color w:val="000000" w:themeColor="text1"/>
                <w:sz w:val="14"/>
                <w:szCs w:val="14"/>
                <w:lang w:val="lt-LT"/>
              </w:rPr>
              <w:t xml:space="preserve">  </w:t>
            </w:r>
            <w:r w:rsidRPr="630AD957">
              <w:rPr>
                <w:rFonts w:eastAsia="Times New Roman"/>
                <w:b/>
                <w:bCs/>
                <w:color w:val="000000" w:themeColor="text1"/>
                <w:lang w:val="lt-LT"/>
              </w:rPr>
              <w:t>Dėl suėmimo taikymo ir suėmimo vykdymo sąlygų standartų reglamentavimo ES lygmeniu:</w:t>
            </w:r>
            <w:r w:rsidRPr="630AD957">
              <w:rPr>
                <w:rFonts w:eastAsia="Times New Roman"/>
                <w:color w:val="000000" w:themeColor="text1"/>
                <w:lang w:val="lt-LT"/>
              </w:rPr>
              <w:t xml:space="preserve"> </w:t>
            </w:r>
          </w:p>
          <w:p w14:paraId="5118A246" w14:textId="68AC91B2"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2F30AC69" w14:textId="70363B62" w:rsidR="00395157" w:rsidRPr="002A0070" w:rsidRDefault="630AD957" w:rsidP="269527E0">
            <w:pPr>
              <w:spacing w:line="257" w:lineRule="auto"/>
              <w:jc w:val="both"/>
              <w:rPr>
                <w:lang w:val="lt-LT"/>
              </w:rPr>
            </w:pPr>
            <w:r w:rsidRPr="630AD957">
              <w:rPr>
                <w:rFonts w:eastAsia="Times New Roman"/>
                <w:color w:val="000000" w:themeColor="text1"/>
                <w:lang w:val="lt-LT"/>
              </w:rPr>
              <w:t>Pastebėtina, kad visos valstybės narės – EŽT Konvencijos dalyvės, yra nustačiusios tokias kalinimų sąlygų ir procesinius suėmimo taikymo standartus, kurie atitinka minimalius Europos Tarybos, Jungtinių Tautų rekomendacijose nustatytus standartus ir EŽTT praktiką. Tokių standartų suvienodinimas ir ES lygiu neabejotinai prisidėtų prie efektyvesnio teisinio bendradarbiavimo ir tarpusavio pasitikėjimo tarp valstybių narių, taip pat –  teisinės valstybės principo laikymosi.</w:t>
            </w:r>
          </w:p>
          <w:p w14:paraId="441516EF" w14:textId="183C6475"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6C239A3E" w14:textId="6C7E53A5"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Kalbant apie konkrečius standartus būtina pabrėžti, kad turime siekti ne tik tinkamų žmogaus orumo nepažeidžiančių materialinių kalinimo sąlygų (kameros plotas, ventiliacija, maitinimas), adekvačios psichologinės ir medicininės pagalbos prieinamumą, tačiau, ypač tais atvejais, kai suėmimo terminas trunka ilgiau, turėtume orientuotis ir į suimtųjų užimtumą, pasiūlant jiems prasmingų laisvalaikio praleidimo formų, skatinant dalyvauti įvairiose švietimo ir edukacijos programose.  </w:t>
            </w:r>
          </w:p>
          <w:p w14:paraId="1CF1958B" w14:textId="410601CB"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44546434" w14:textId="26B2505F"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Verta priminti, kad vien formalaus ES dokumento, reglamentuojančio kardomojo kalinimo standartus sukūrimas pats savaime nepagerins suimtųjų kalinimo sąlygų. Šiuo atveju būtina, kad valstybės narės minėtus standartus realiai užtikrintų praktikoje. Tai ko gero yra didžiausias iššūkis, nes konkrečių standartų praktinis įgyvendinimas valstybės narėse yra tiesiogiai susijęs su turima infrastuktūra ir jos galimybėmis ją pagerinti. Esant skirtingiems ekonominiams-finansiniams pajėgumams ir socialinėms aplinkoms, vargu, ar pavyktų pasiekti valstybių narių bendrą sutarimą dėl aukštesnių standartų, kurie aiškiai nukryptų nuo jau suformuluotų ET, JTO pozicijų ir/ar EŽTT praktikos. </w:t>
            </w:r>
          </w:p>
          <w:p w14:paraId="1795D7EB" w14:textId="5103885E"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2E229725" w14:textId="0EA38296" w:rsidR="00395157" w:rsidRPr="002A0070" w:rsidRDefault="630AD957" w:rsidP="269527E0">
            <w:pPr>
              <w:spacing w:line="257" w:lineRule="auto"/>
              <w:jc w:val="both"/>
              <w:rPr>
                <w:lang w:val="lt-LT"/>
              </w:rPr>
            </w:pPr>
            <w:r w:rsidRPr="630AD957">
              <w:rPr>
                <w:rFonts w:eastAsia="Times New Roman"/>
                <w:color w:val="000000" w:themeColor="text1"/>
                <w:lang w:val="lt-LT"/>
              </w:rPr>
              <w:t>Taigi, kalbėdami apie vieningų kalinimo standartų diegimą, kartu turime surasti ir adekvačius finansinius instrumentus, kurių pagalba valstybės narės galėtų realiai spręsti problemą iš esmės. Manytina, kad dabar egzistuojantys ES finansiniai instrumentai, kuriais remiamas tik minkštųjų priemonių įgyvendinimas, yra nepakankami, tas ES politika šiuo požiūriu taip pat turėtų būti keičiama.</w:t>
            </w:r>
          </w:p>
          <w:p w14:paraId="4923D559" w14:textId="292294B4"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5E9BAA14" w14:textId="44D783BF"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Siūlytina pakartoti pozityvų Lietuvos nusiteikimą ieškoti būdų įgyvendinti pateiktą iniciatyvą ir pasiūlyti valstybėms narėms įsivertinti aptariamos iniciatyvos praktinio įgyvendinimo galimybes, o Europos Komisijai apgalvoti galimus finansinius instrumentus teikti pagalbą valstybėms narėms modernizuojant kalinimo įstaigas. </w:t>
            </w:r>
          </w:p>
          <w:p w14:paraId="6F7ECA27" w14:textId="54D8F19D"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464B77CD" w14:textId="5FA57C37"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Taip pat tikslinga išreikšti pritarimą </w:t>
            </w:r>
            <w:r w:rsidRPr="630AD957">
              <w:rPr>
                <w:rFonts w:eastAsia="Times New Roman"/>
                <w:i/>
                <w:iCs/>
                <w:color w:val="000000" w:themeColor="text1"/>
                <w:lang w:val="lt-LT"/>
              </w:rPr>
              <w:t>suėmimo taikymo procesinių standartų suvienodinimui</w:t>
            </w:r>
            <w:r w:rsidRPr="630AD957">
              <w:rPr>
                <w:rFonts w:eastAsia="Times New Roman"/>
                <w:color w:val="000000" w:themeColor="text1"/>
                <w:lang w:val="lt-LT"/>
              </w:rPr>
              <w:t xml:space="preserve">, nes aptariamu atveju nėra priežasčių, dėl kurių valstybių narių teisinė bazė suėmimo skyrimo, jo pratęsimo ir kitais svarbiais su tuo susijusiais aspektais galėtų reikšmingai išsiskirti.  </w:t>
            </w:r>
          </w:p>
          <w:p w14:paraId="294F840E" w14:textId="43D4AB28" w:rsidR="00395157" w:rsidRPr="002A0070" w:rsidRDefault="630AD957" w:rsidP="269527E0">
            <w:pPr>
              <w:spacing w:line="257" w:lineRule="auto"/>
              <w:jc w:val="both"/>
              <w:rPr>
                <w:lang w:val="lt-LT"/>
              </w:rPr>
            </w:pPr>
            <w:r w:rsidRPr="630AD957">
              <w:rPr>
                <w:rFonts w:eastAsia="Times New Roman"/>
                <w:color w:val="000000" w:themeColor="text1"/>
                <w:lang w:val="lt-LT"/>
              </w:rPr>
              <w:t xml:space="preserve"> </w:t>
            </w:r>
          </w:p>
          <w:p w14:paraId="3759C451" w14:textId="7B41C647" w:rsidR="00395157" w:rsidRPr="00DB21E1" w:rsidRDefault="630AD957" w:rsidP="269527E0">
            <w:pPr>
              <w:spacing w:line="257" w:lineRule="auto"/>
              <w:jc w:val="both"/>
            </w:pPr>
            <w:r w:rsidRPr="630AD957">
              <w:rPr>
                <w:rFonts w:eastAsia="Times New Roman"/>
                <w:color w:val="000000" w:themeColor="text1"/>
                <w:lang w:val="lt-LT"/>
              </w:rPr>
              <w:t xml:space="preserve">Lietuvos požiūriu, esminiais prioritetai nustatant bendrus suėmimo taikymo procesinius standartus galėtų būti: </w:t>
            </w:r>
          </w:p>
          <w:p w14:paraId="70CA3FC3" w14:textId="6DA00F8B" w:rsidR="00395157" w:rsidRPr="00DB21E1" w:rsidRDefault="630AD957" w:rsidP="269527E0">
            <w:pPr>
              <w:spacing w:line="257" w:lineRule="auto"/>
              <w:jc w:val="both"/>
            </w:pPr>
            <w:r w:rsidRPr="630AD957">
              <w:rPr>
                <w:rFonts w:eastAsia="Times New Roman"/>
                <w:color w:val="000000" w:themeColor="text1"/>
                <w:lang w:val="lt-LT"/>
              </w:rPr>
              <w:t>-</w:t>
            </w:r>
            <w:r w:rsidRPr="630AD957">
              <w:rPr>
                <w:rFonts w:ascii="Calibri" w:eastAsia="Calibri" w:hAnsi="Calibri" w:cs="Calibri"/>
                <w:color w:val="000000" w:themeColor="text1"/>
                <w:lang w:val="lt-LT"/>
              </w:rPr>
              <w:t xml:space="preserve"> </w:t>
            </w:r>
            <w:r w:rsidRPr="630AD957">
              <w:rPr>
                <w:rFonts w:eastAsia="Times New Roman"/>
                <w:color w:val="000000" w:themeColor="text1"/>
                <w:lang w:val="lt-LT"/>
              </w:rPr>
              <w:t xml:space="preserve">suėmimo taikymas tik kaip </w:t>
            </w:r>
            <w:proofErr w:type="spellStart"/>
            <w:r w:rsidRPr="630AD957">
              <w:rPr>
                <w:rFonts w:eastAsia="Times New Roman"/>
                <w:i/>
                <w:iCs/>
                <w:color w:val="000000" w:themeColor="text1"/>
                <w:lang w:val="lt-LT"/>
              </w:rPr>
              <w:t>ultima</w:t>
            </w:r>
            <w:proofErr w:type="spellEnd"/>
            <w:r w:rsidRPr="630AD957">
              <w:rPr>
                <w:rFonts w:eastAsia="Times New Roman"/>
                <w:i/>
                <w:iCs/>
                <w:color w:val="000000" w:themeColor="text1"/>
                <w:lang w:val="lt-LT"/>
              </w:rPr>
              <w:t xml:space="preserve"> </w:t>
            </w:r>
            <w:proofErr w:type="spellStart"/>
            <w:r w:rsidRPr="630AD957">
              <w:rPr>
                <w:rFonts w:eastAsia="Times New Roman"/>
                <w:i/>
                <w:iCs/>
                <w:color w:val="000000" w:themeColor="text1"/>
                <w:lang w:val="lt-LT"/>
              </w:rPr>
              <w:t>ratio</w:t>
            </w:r>
            <w:proofErr w:type="spellEnd"/>
            <w:r w:rsidRPr="630AD957">
              <w:rPr>
                <w:rFonts w:eastAsia="Times New Roman"/>
                <w:color w:val="000000" w:themeColor="text1"/>
                <w:lang w:val="lt-LT"/>
              </w:rPr>
              <w:t xml:space="preserve"> priemonė; </w:t>
            </w:r>
          </w:p>
          <w:p w14:paraId="0F02B1B6" w14:textId="6AD2AA98" w:rsidR="00395157" w:rsidRPr="00DB21E1" w:rsidRDefault="630AD957" w:rsidP="269527E0">
            <w:pPr>
              <w:spacing w:line="257" w:lineRule="auto"/>
              <w:jc w:val="both"/>
            </w:pPr>
            <w:r w:rsidRPr="630AD957">
              <w:rPr>
                <w:rFonts w:eastAsia="Times New Roman"/>
                <w:color w:val="000000" w:themeColor="text1"/>
                <w:lang w:val="lt-LT"/>
              </w:rPr>
              <w:t>-</w:t>
            </w:r>
            <w:r w:rsidRPr="630AD957">
              <w:rPr>
                <w:rFonts w:ascii="Calibri" w:eastAsia="Calibri" w:hAnsi="Calibri" w:cs="Calibri"/>
                <w:color w:val="000000" w:themeColor="text1"/>
                <w:lang w:val="lt-LT"/>
              </w:rPr>
              <w:t xml:space="preserve"> </w:t>
            </w:r>
            <w:r w:rsidRPr="630AD957">
              <w:rPr>
                <w:rFonts w:eastAsia="Times New Roman"/>
                <w:color w:val="000000" w:themeColor="text1"/>
                <w:lang w:val="lt-LT"/>
              </w:rPr>
              <w:t xml:space="preserve">elektroninio monitoringo, kaip alternatyvos suėmimui, diegimas ir plėtra; </w:t>
            </w:r>
          </w:p>
          <w:p w14:paraId="644E1CD4" w14:textId="30AD1414" w:rsidR="00395157" w:rsidRPr="00DB21E1" w:rsidRDefault="630AD957" w:rsidP="269527E0">
            <w:pPr>
              <w:spacing w:line="257" w:lineRule="auto"/>
              <w:jc w:val="both"/>
            </w:pPr>
            <w:r w:rsidRPr="630AD957">
              <w:rPr>
                <w:rFonts w:eastAsia="Times New Roman"/>
                <w:color w:val="000000" w:themeColor="text1"/>
                <w:lang w:val="lt-LT"/>
              </w:rPr>
              <w:t>-</w:t>
            </w:r>
            <w:r w:rsidRPr="630AD957">
              <w:rPr>
                <w:rFonts w:ascii="Calibri" w:eastAsia="Calibri" w:hAnsi="Calibri" w:cs="Calibri"/>
                <w:color w:val="000000" w:themeColor="text1"/>
                <w:lang w:val="lt-LT"/>
              </w:rPr>
              <w:t xml:space="preserve"> </w:t>
            </w:r>
            <w:r w:rsidRPr="630AD957">
              <w:rPr>
                <w:rFonts w:eastAsia="Times New Roman"/>
                <w:color w:val="000000" w:themeColor="text1"/>
                <w:lang w:val="lt-LT"/>
              </w:rPr>
              <w:t xml:space="preserve">veiksmingos suėmimo skyrimo ir jo taikymo pratęsimo apskundimo procedūros. </w:t>
            </w:r>
          </w:p>
          <w:p w14:paraId="3FDE24F5" w14:textId="00DACDA6" w:rsidR="00395157" w:rsidRPr="00DB21E1" w:rsidRDefault="630AD957" w:rsidP="269527E0">
            <w:pPr>
              <w:spacing w:line="257" w:lineRule="auto"/>
              <w:jc w:val="both"/>
            </w:pPr>
            <w:r w:rsidRPr="630AD957">
              <w:rPr>
                <w:rFonts w:eastAsia="Times New Roman"/>
                <w:b/>
                <w:bCs/>
                <w:color w:val="201F1E"/>
                <w:lang w:val="lt-LT"/>
              </w:rPr>
              <w:t xml:space="preserve"> </w:t>
            </w:r>
          </w:p>
          <w:p w14:paraId="4C699EFF" w14:textId="3DD7AB6A" w:rsidR="00395157" w:rsidRPr="00DB21E1" w:rsidRDefault="630AD957" w:rsidP="269527E0">
            <w:pPr>
              <w:spacing w:line="257" w:lineRule="auto"/>
              <w:jc w:val="both"/>
            </w:pPr>
            <w:r w:rsidRPr="630AD957">
              <w:rPr>
                <w:rFonts w:eastAsia="Times New Roman"/>
                <w:b/>
                <w:bCs/>
                <w:color w:val="201F1E"/>
                <w:lang w:val="lt-LT"/>
              </w:rPr>
              <w:lastRenderedPageBreak/>
              <w:t>2. Dėl kitų galimų ES lygmens iniciatyvų, kurios gerintų kalinimo sąlygas ir skatintų alternatyvių suėmimui kardomųjų priemonių taikymą</w:t>
            </w:r>
          </w:p>
          <w:p w14:paraId="069ACAEC" w14:textId="3B7D04C8" w:rsidR="00395157" w:rsidRPr="00DB21E1" w:rsidRDefault="630AD957" w:rsidP="269527E0">
            <w:pPr>
              <w:spacing w:line="257" w:lineRule="auto"/>
              <w:jc w:val="both"/>
            </w:pPr>
            <w:r w:rsidRPr="630AD957">
              <w:rPr>
                <w:rFonts w:eastAsia="Times New Roman"/>
                <w:color w:val="000000" w:themeColor="text1"/>
                <w:lang w:val="lt-LT"/>
              </w:rPr>
              <w:t xml:space="preserve"> </w:t>
            </w:r>
          </w:p>
          <w:p w14:paraId="6926FE9D" w14:textId="548F10EB" w:rsidR="00395157" w:rsidRPr="00DB21E1" w:rsidRDefault="630AD957" w:rsidP="269527E0">
            <w:pPr>
              <w:spacing w:line="257" w:lineRule="auto"/>
              <w:jc w:val="both"/>
            </w:pPr>
            <w:r w:rsidRPr="630AD957">
              <w:rPr>
                <w:rFonts w:eastAsia="Times New Roman"/>
                <w:color w:val="000000" w:themeColor="text1"/>
                <w:lang w:val="lt-LT"/>
              </w:rPr>
              <w:t xml:space="preserve">Lietuvos požiūriu, suimtųjų skaičiaus problemą siūlytina spręsti pasitelkiant šiuolaikines technologijas, kurių pagalba galima užtikrinti tinkamą įtariamo ar kaltinamo asmens kontrolę, ir jei yra būtinybė, kartu su jomis skiriant ir kitas kardomąsias priemones (pvz., elektroninis monitoringas + užstatas, rašytinis pasižadėjimas neišvykti iš šalies ir pan.). </w:t>
            </w:r>
          </w:p>
          <w:p w14:paraId="4D4115C4" w14:textId="6DE7BE50" w:rsidR="00395157" w:rsidRPr="00DB21E1" w:rsidRDefault="630AD957" w:rsidP="269527E0">
            <w:pPr>
              <w:spacing w:line="257" w:lineRule="auto"/>
              <w:jc w:val="both"/>
            </w:pPr>
            <w:r w:rsidRPr="630AD957">
              <w:rPr>
                <w:rFonts w:eastAsia="Times New Roman"/>
                <w:color w:val="000000" w:themeColor="text1"/>
                <w:lang w:val="lt-LT"/>
              </w:rPr>
              <w:t xml:space="preserve"> </w:t>
            </w:r>
          </w:p>
          <w:p w14:paraId="702097D3" w14:textId="0A85C9D6" w:rsidR="00395157" w:rsidRPr="00DB21E1" w:rsidRDefault="630AD957" w:rsidP="269527E0">
            <w:pPr>
              <w:spacing w:line="257" w:lineRule="auto"/>
              <w:jc w:val="both"/>
            </w:pPr>
            <w:r w:rsidRPr="630AD957">
              <w:rPr>
                <w:rFonts w:eastAsia="Times New Roman"/>
                <w:color w:val="000000" w:themeColor="text1"/>
                <w:lang w:val="lt-LT"/>
              </w:rPr>
              <w:t xml:space="preserve">Taip pat konsultacinė ir finansinė ES institucijų parama palengvintų naštą valstybėms narėms modernizuojant infrastruktūrą ir baudžiamajame procese diegiant elektroninio monitoringo sistemas, kurios veiksmingai prisidėtų prie suimtųjų skaičiaus mažinimo ir tinkamų sąlygų sudarymo. </w:t>
            </w:r>
          </w:p>
          <w:p w14:paraId="5C114D51" w14:textId="596CFE19" w:rsidR="00395157" w:rsidRPr="00DB21E1" w:rsidRDefault="630AD957" w:rsidP="269527E0">
            <w:pPr>
              <w:spacing w:line="257" w:lineRule="auto"/>
              <w:jc w:val="both"/>
            </w:pPr>
            <w:r w:rsidRPr="630AD957">
              <w:rPr>
                <w:rFonts w:eastAsia="Times New Roman"/>
                <w:color w:val="000000" w:themeColor="text1"/>
                <w:lang w:val="lt-LT"/>
              </w:rPr>
              <w:t xml:space="preserve"> </w:t>
            </w:r>
          </w:p>
          <w:p w14:paraId="51F5F420" w14:textId="52DEC2F2" w:rsidR="00395157" w:rsidRPr="00DB21E1" w:rsidRDefault="630AD957" w:rsidP="630AD957">
            <w:pPr>
              <w:spacing w:line="257" w:lineRule="auto"/>
              <w:jc w:val="both"/>
              <w:rPr>
                <w:color w:val="000000" w:themeColor="text1"/>
                <w:lang w:val="lt-LT"/>
              </w:rPr>
            </w:pPr>
            <w:r w:rsidRPr="630AD957">
              <w:rPr>
                <w:rFonts w:eastAsia="Times New Roman"/>
                <w:color w:val="000000" w:themeColor="text1"/>
                <w:lang w:val="lt-LT"/>
              </w:rPr>
              <w:t>Kaip jau buvo minėta, finansiniai ES mechanizmai modernizuojant valstybių narių kalinimo įstaigas taptų esminiu postūmiu ES erdvėje diegiant ir įgyvendinant aukštus kalinimo standartus ir taip didinant žmogaus teisių užtikrinimo lygį.</w:t>
            </w:r>
          </w:p>
          <w:p w14:paraId="75419398" w14:textId="0DADCFF8" w:rsidR="00395157" w:rsidRPr="00DB21E1" w:rsidRDefault="00395157" w:rsidP="269527E0">
            <w:pPr>
              <w:pStyle w:val="BodyA"/>
              <w:ind w:left="198"/>
              <w:jc w:val="both"/>
              <w:rPr>
                <w:color w:val="000000" w:themeColor="text1"/>
                <w:lang w:val="lt-LT" w:eastAsia="lt-LT"/>
              </w:rPr>
            </w:pPr>
          </w:p>
        </w:tc>
      </w:tr>
    </w:tbl>
    <w:p w14:paraId="1E6706B5" w14:textId="6BAE72EE" w:rsidR="00FF3DD4" w:rsidRDefault="00FF3DD4" w:rsidP="00FF3DD4">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DB21E1" w14:paraId="4A794099" w14:textId="77777777" w:rsidTr="630AD957">
        <w:trPr>
          <w:trHeight w:val="2756"/>
        </w:trPr>
        <w:tc>
          <w:tcPr>
            <w:tcW w:w="90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316402D" w14:textId="77777777" w:rsidR="00395157" w:rsidRDefault="00395157" w:rsidP="008F01C8">
            <w:pPr>
              <w:rPr>
                <w:b/>
                <w:bCs/>
              </w:rPr>
            </w:pPr>
          </w:p>
          <w:p w14:paraId="77A8C71A" w14:textId="0F227021" w:rsidR="00395157" w:rsidRPr="00815AC7" w:rsidRDefault="00395157" w:rsidP="008F01C8">
            <w:pPr>
              <w:ind w:firstLine="194"/>
              <w:rPr>
                <w:rFonts w:eastAsiaTheme="minorHAnsi" w:cstheme="minorBidi"/>
              </w:rPr>
            </w:pPr>
            <w:r w:rsidRPr="00815AC7">
              <w:rPr>
                <w:b/>
                <w:bCs/>
              </w:rPr>
              <w:t xml:space="preserve">Europos </w:t>
            </w:r>
            <w:proofErr w:type="spellStart"/>
            <w:r w:rsidR="00506389">
              <w:rPr>
                <w:b/>
                <w:bCs/>
              </w:rPr>
              <w:t>pr</w:t>
            </w:r>
            <w:r w:rsidRPr="00815AC7">
              <w:rPr>
                <w:b/>
                <w:bCs/>
              </w:rPr>
              <w:t>okuratūra</w:t>
            </w:r>
            <w:proofErr w:type="spellEnd"/>
            <w:r>
              <w:rPr>
                <w:rFonts w:eastAsiaTheme="minorHAnsi" w:cstheme="minorBidi"/>
              </w:rPr>
              <w:t xml:space="preserve"> / </w:t>
            </w:r>
            <w:proofErr w:type="spellStart"/>
            <w:r w:rsidRPr="00815AC7">
              <w:rPr>
                <w:b/>
                <w:bCs/>
                <w:szCs w:val="20"/>
                <w:lang w:val="lt-LT"/>
              </w:rPr>
              <w:t>European</w:t>
            </w:r>
            <w:proofErr w:type="spellEnd"/>
            <w:r w:rsidRPr="00815AC7">
              <w:rPr>
                <w:b/>
                <w:bCs/>
                <w:szCs w:val="20"/>
                <w:lang w:val="lt-LT"/>
              </w:rPr>
              <w:t xml:space="preserve"> </w:t>
            </w:r>
            <w:proofErr w:type="spellStart"/>
            <w:r w:rsidRPr="00815AC7">
              <w:rPr>
                <w:b/>
                <w:bCs/>
                <w:szCs w:val="20"/>
                <w:lang w:val="lt-LT"/>
              </w:rPr>
              <w:t>Public</w:t>
            </w:r>
            <w:proofErr w:type="spellEnd"/>
            <w:r w:rsidRPr="00815AC7">
              <w:rPr>
                <w:b/>
                <w:bCs/>
                <w:szCs w:val="20"/>
                <w:lang w:val="lt-LT"/>
              </w:rPr>
              <w:t xml:space="preserve"> </w:t>
            </w:r>
            <w:proofErr w:type="spellStart"/>
            <w:r w:rsidRPr="00815AC7">
              <w:rPr>
                <w:b/>
                <w:bCs/>
                <w:szCs w:val="20"/>
                <w:lang w:val="lt-LT"/>
              </w:rPr>
              <w:t>Prosecutor’s</w:t>
            </w:r>
            <w:proofErr w:type="spellEnd"/>
            <w:r w:rsidRPr="00815AC7">
              <w:rPr>
                <w:b/>
                <w:bCs/>
                <w:szCs w:val="20"/>
                <w:lang w:val="lt-LT"/>
              </w:rPr>
              <w:t xml:space="preserve"> Office (EPPO)</w:t>
            </w:r>
          </w:p>
          <w:p w14:paraId="20EB1899" w14:textId="77777777" w:rsidR="00395157" w:rsidRDefault="00395157" w:rsidP="008F01C8">
            <w:pPr>
              <w:ind w:left="74" w:firstLine="120"/>
              <w:rPr>
                <w:i/>
                <w:iCs/>
                <w:szCs w:val="20"/>
                <w:lang w:val="lt-LT"/>
              </w:rPr>
            </w:pPr>
          </w:p>
          <w:p w14:paraId="761B6BA3" w14:textId="77777777" w:rsidR="00395157" w:rsidRPr="00815AC7" w:rsidRDefault="00395157" w:rsidP="008F01C8">
            <w:pPr>
              <w:ind w:left="74" w:firstLine="120"/>
              <w:rPr>
                <w:i/>
                <w:iCs/>
                <w:szCs w:val="20"/>
                <w:lang w:val="lt-LT"/>
              </w:rPr>
            </w:pPr>
            <w:r>
              <w:rPr>
                <w:i/>
                <w:iCs/>
                <w:szCs w:val="20"/>
                <w:lang w:val="lt-LT"/>
              </w:rPr>
              <w:t xml:space="preserve">Esama padėtis / </w:t>
            </w:r>
            <w:r w:rsidRPr="00815AC7">
              <w:rPr>
                <w:i/>
                <w:iCs/>
                <w:szCs w:val="20"/>
                <w:lang w:val="lt-LT"/>
              </w:rPr>
              <w:t xml:space="preserve">State </w:t>
            </w:r>
            <w:proofErr w:type="spellStart"/>
            <w:r w:rsidRPr="00815AC7">
              <w:rPr>
                <w:i/>
                <w:iCs/>
                <w:szCs w:val="20"/>
                <w:lang w:val="lt-LT"/>
              </w:rPr>
              <w:t>of</w:t>
            </w:r>
            <w:proofErr w:type="spellEnd"/>
            <w:r w:rsidRPr="00815AC7">
              <w:rPr>
                <w:i/>
                <w:iCs/>
                <w:szCs w:val="20"/>
                <w:lang w:val="lt-LT"/>
              </w:rPr>
              <w:t xml:space="preserve"> </w:t>
            </w:r>
            <w:proofErr w:type="spellStart"/>
            <w:r w:rsidRPr="00815AC7">
              <w:rPr>
                <w:i/>
                <w:iCs/>
                <w:szCs w:val="20"/>
                <w:lang w:val="lt-LT"/>
              </w:rPr>
              <w:t>play</w:t>
            </w:r>
            <w:proofErr w:type="spellEnd"/>
            <w:r w:rsidRPr="00815AC7">
              <w:rPr>
                <w:i/>
                <w:iCs/>
                <w:szCs w:val="20"/>
                <w:lang w:val="lt-LT"/>
              </w:rPr>
              <w:t xml:space="preserve"> </w:t>
            </w:r>
          </w:p>
          <w:p w14:paraId="14FD460D" w14:textId="77777777" w:rsidR="00395157" w:rsidRDefault="00395157" w:rsidP="008F01C8">
            <w:pPr>
              <w:ind w:left="74"/>
              <w:rPr>
                <w:b/>
                <w:bCs/>
                <w:i/>
                <w:iCs/>
                <w:szCs w:val="20"/>
                <w:lang w:val="lt-LT"/>
              </w:rPr>
            </w:pPr>
          </w:p>
          <w:p w14:paraId="537521AF" w14:textId="77777777" w:rsidR="00395157" w:rsidRPr="006C14E4" w:rsidRDefault="00395157" w:rsidP="008F01C8">
            <w:pPr>
              <w:ind w:left="74" w:firstLine="120"/>
              <w:jc w:val="both"/>
              <w:rPr>
                <w:rFonts w:eastAsia="Times New Roman"/>
                <w:color w:val="000000"/>
                <w:lang w:val="lt-LT" w:eastAsia="lt-LT"/>
              </w:rPr>
            </w:pPr>
            <w:r w:rsidRPr="00DB21E1">
              <w:rPr>
                <w:b/>
                <w:bCs/>
                <w:lang w:val="lt-LT"/>
              </w:rPr>
              <w:t>Klausimo esmė:</w:t>
            </w:r>
            <w:r w:rsidRPr="00DB21E1">
              <w:rPr>
                <w:rFonts w:eastAsia="Times New Roman"/>
                <w:color w:val="000000"/>
                <w:lang w:val="lt-LT" w:eastAsia="lt-LT"/>
              </w:rPr>
              <w:t>.</w:t>
            </w:r>
            <w:r w:rsidRPr="006C14E4">
              <w:rPr>
                <w:lang w:val="lt-LT"/>
              </w:rPr>
              <w:t xml:space="preserve"> </w:t>
            </w:r>
            <w:r>
              <w:rPr>
                <w:lang w:val="lt-LT"/>
              </w:rPr>
              <w:t xml:space="preserve">Bus pateikta aktuali informacija iki 2021 m. rugsėjo 22 d. </w:t>
            </w:r>
            <w:r w:rsidRPr="006C14E4">
              <w:rPr>
                <w:rFonts w:eastAsia="Times New Roman"/>
                <w:color w:val="000000"/>
                <w:lang w:val="lt-LT" w:eastAsia="lt-LT"/>
              </w:rPr>
              <w:t>Europos prokuratūra iki šiol išnagrinėjo daugiau nei 1700 pranešimų apie nusikalstamas veikas ir pradėjo 300 tyrimų dėl sukčiavimo prieš Sąjungos biudžetą.</w:t>
            </w:r>
          </w:p>
          <w:p w14:paraId="4F9A22EB" w14:textId="274BC9A2"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t xml:space="preserve">• Nacionalinės priemonės. Beveik visos EPPO dalyvaujančios valstybės narės priėmė teisės aktus, kuriais siekiama pritaikyti nacionalines teisingumo sistemas prie Reglamento (ES) 2017/1939. Tikimasi, kad Liuksemburge netrukus bus baigta teisėkūros procedūra. Komisija stebi valstybių narių priimtas ar priimamas teisines ir administracines priemones, siekdama užtikrinti, kad Europos prokuratūra galėtų naudotis visais jai suteiktais įgaliojimais. </w:t>
            </w:r>
          </w:p>
          <w:p w14:paraId="673A843C" w14:textId="77777777" w:rsidR="00395157" w:rsidRPr="006C14E4" w:rsidRDefault="00395157" w:rsidP="008F01C8">
            <w:pPr>
              <w:ind w:left="74"/>
              <w:jc w:val="both"/>
              <w:rPr>
                <w:rFonts w:eastAsia="Times New Roman"/>
                <w:color w:val="000000"/>
                <w:lang w:val="lt-LT" w:eastAsia="lt-LT"/>
              </w:rPr>
            </w:pPr>
            <w:r w:rsidRPr="006C14E4">
              <w:rPr>
                <w:rFonts w:eastAsia="Times New Roman"/>
                <w:color w:val="000000"/>
                <w:lang w:val="lt-LT" w:eastAsia="lt-LT"/>
              </w:rPr>
              <w:t>•</w:t>
            </w:r>
            <w:r>
              <w:rPr>
                <w:rFonts w:eastAsia="Times New Roman"/>
                <w:color w:val="000000"/>
                <w:lang w:val="lt-LT" w:eastAsia="lt-LT"/>
              </w:rPr>
              <w:t xml:space="preserve"> </w:t>
            </w:r>
            <w:r w:rsidRPr="006C14E4">
              <w:rPr>
                <w:rFonts w:eastAsia="Times New Roman"/>
                <w:color w:val="000000"/>
                <w:lang w:val="lt-LT" w:eastAsia="lt-LT"/>
              </w:rPr>
              <w:t>Europos deleguotųjų prokurorų paskyrimas: 2021 m. rugsėjo 1 d. 91 iš 140 buvo paskirtas EDP. Slovėnija dar nepaskyrė savo dviejų PDP.</w:t>
            </w:r>
          </w:p>
          <w:p w14:paraId="4AEFDD18" w14:textId="77777777"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t>• Personalo įdarbinimas: EPPO darbuotojų įdarbinimas ir toliau vyksta. Iki 2021 m. rugsėjo 1 d. 126 darbuotojai iš 130 buvo įdarbinti Centriniame biure.</w:t>
            </w:r>
          </w:p>
          <w:p w14:paraId="6F01BFC0" w14:textId="77777777"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t>• EPPO ir kitų ES institucijų darbo susitarimai: Europos prokuratūra pasirašė dvišalius darbo susitarimus su Komisija, OLAF, Eurojustu, Europolu ir Europos Audito Rūmais. Vyksta derybos dėl darbo susitarimo tarp Europos prokuratūros ir Europos investicijų banko.</w:t>
            </w:r>
          </w:p>
          <w:p w14:paraId="31262761" w14:textId="77777777"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t>• Bendradarbiavimas su trečiosiomis šalimis. Iki 2021 m. rugsėjo 22 d. 12 EPPO dalyvaujančių valstybių narių pranešė apie Europos prokuratūrą, kaip kompetentingą instituciją, pagal 1959 m. Europos konvenciją dėl savitarpio pagalbos baudžiamosiose bylose (toliau - 1959 m. Savitarpio pagalbos konvencija) ir jos protokolams. Europos Taryboje vyksta diskusijos, siekiant sudaryti naują 1959 m. Savitarpio teisės konvencijos protokolą dėl bendradarbiavimo tarp Europos prokuratūros ir kitų šalių kompetentingų institucijų. Atsižvelgdama į tolesnius vidinius vertinimus ir pasikeitimą nuomonėmis su kolegomis, Komisija planuoja pranešti apie Europos prokuratūrą kaip kompetentingą instituciją ir, jei reikia, centrine institucija pagal ES ir Japonijos bei ES ir JAV susitarimus dėl savitarpio teisinės pagalbos.</w:t>
            </w:r>
          </w:p>
          <w:p w14:paraId="1FC18D2E" w14:textId="77777777"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lastRenderedPageBreak/>
              <w:t>• Bendradarbiavimas su nedalyvaujančiomis valstybėmis narėmis (NPMS): iki 2021 m. rugsėjo 22 d. 20 EPPO dalyvaujančių valstybių narių pranešė apie Europos prokuratūrą, kaip kompetentingą instituciją, dėl visų ar bent kai kurių Sąjungos aktų dėl teisminio bendradarbiavimo baudžiamosiose bylose, išvardytose pirmininkaujančios valstybės narės ataskaitoje dėl Europos prokuratūros santykių su NPMS (Tarybos dokumentas 13147/20). Europos prokuratūra ir Vengrijos generalinė prokuratūra sudarė susitarimą dėl darbo pagal Reglamento (ES) 2017/1939 99 straipsnio 3 dalį, o derybos su atitinkamomis kitų NPMS institucijomis vyksta.</w:t>
            </w:r>
          </w:p>
          <w:p w14:paraId="5F51E87D" w14:textId="77777777" w:rsidR="00395157" w:rsidRPr="006C14E4" w:rsidRDefault="00395157" w:rsidP="008F01C8">
            <w:pPr>
              <w:ind w:left="74" w:firstLine="120"/>
              <w:jc w:val="both"/>
              <w:rPr>
                <w:rFonts w:eastAsia="Times New Roman"/>
                <w:color w:val="000000"/>
                <w:lang w:val="lt-LT" w:eastAsia="lt-LT"/>
              </w:rPr>
            </w:pPr>
            <w:r w:rsidRPr="006C14E4">
              <w:rPr>
                <w:rFonts w:eastAsia="Times New Roman"/>
                <w:color w:val="000000"/>
                <w:lang w:val="lt-LT" w:eastAsia="lt-LT"/>
              </w:rPr>
              <w:t xml:space="preserve"> • PIF direktyva: kalbant apie Direktyvą (ES) 2017/1371 dėl kovos su sukčiavimu, pažeidžiančiu Sąjungos finansinius interesus taikant baudžiamąją teisę (PIF direktyva), visos Europos prokuratūroje dalyvaujančios valstybės narės pranešė apie visišką jos perkėlimą į nacionalinę teisę įstatymas. Šiuo metu Komisija tikrina direktyvos perkėlimą į nacionalinę teisę ir 2021 m. rugsėjo 6 d. Paskelbė ataskaitą, kurioje įvertino, kokiu mastu valstybės narės ėmėsi būtinų priemonių, kad įvykdytų direktyvą (COM (2021) 536 galutinis).</w:t>
            </w:r>
          </w:p>
          <w:p w14:paraId="6450E7E3" w14:textId="77777777" w:rsidR="00395157" w:rsidRPr="00DB21E1" w:rsidRDefault="00395157" w:rsidP="008F01C8">
            <w:pPr>
              <w:ind w:left="74"/>
              <w:jc w:val="both"/>
              <w:textAlignment w:val="top"/>
              <w:rPr>
                <w:rFonts w:eastAsia="Times New Roman"/>
                <w:color w:val="000000"/>
                <w:lang w:val="lt-LT" w:eastAsia="lt-LT"/>
              </w:rPr>
            </w:pPr>
          </w:p>
          <w:p w14:paraId="0EDCDF90" w14:textId="77777777" w:rsidR="00395157" w:rsidRPr="00DB21E1" w:rsidRDefault="00395157" w:rsidP="008F01C8">
            <w:pPr>
              <w:pStyle w:val="BodyA"/>
              <w:ind w:left="198"/>
              <w:jc w:val="both"/>
              <w:rPr>
                <w:rFonts w:hAnsi="Times New Roman" w:cs="Times New Roman"/>
                <w:b/>
                <w:bCs/>
                <w:i/>
                <w:iCs/>
                <w:lang w:val="lt-LT"/>
              </w:rPr>
            </w:pPr>
            <w:r w:rsidRPr="00DB21E1">
              <w:rPr>
                <w:rFonts w:asciiTheme="majorBidi" w:hAnsiTheme="majorBidi"/>
                <w:b/>
                <w:bCs/>
                <w:szCs w:val="20"/>
                <w:lang w:val="lt-LT"/>
              </w:rPr>
              <w:t xml:space="preserve">Lietuvos pozicija: </w:t>
            </w:r>
            <w:r w:rsidRPr="00815AC7">
              <w:rPr>
                <w:rFonts w:asciiTheme="majorBidi" w:hAnsiTheme="majorBidi"/>
                <w:szCs w:val="20"/>
                <w:lang w:val="lt-LT"/>
              </w:rPr>
              <w:t>išklausyti informaciją</w:t>
            </w:r>
            <w:r w:rsidRPr="00DB21E1">
              <w:rPr>
                <w:rFonts w:asciiTheme="majorBidi" w:hAnsiTheme="majorBidi"/>
                <w:szCs w:val="20"/>
                <w:lang w:val="lt-LT"/>
              </w:rPr>
              <w:t>.</w:t>
            </w:r>
          </w:p>
        </w:tc>
      </w:tr>
    </w:tbl>
    <w:p w14:paraId="52562D6B" w14:textId="4DCBE030" w:rsidR="630AD957" w:rsidRDefault="630AD957"/>
    <w:p w14:paraId="3AFD6B03" w14:textId="77777777" w:rsidR="00395157" w:rsidRPr="00DB21E1" w:rsidRDefault="00395157" w:rsidP="00FF3DD4">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F3DD4" w:rsidRPr="00DB21E1" w14:paraId="2D592EC0" w14:textId="77777777" w:rsidTr="269527E0">
        <w:trPr>
          <w:trHeight w:val="812"/>
        </w:trPr>
        <w:tc>
          <w:tcPr>
            <w:tcW w:w="90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tbl>
            <w:tblPr>
              <w:tblStyle w:val="TableGrid3"/>
              <w:tblW w:w="12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8927"/>
              <w:gridCol w:w="1019"/>
              <w:gridCol w:w="2127"/>
            </w:tblGrid>
            <w:tr w:rsidR="00FF3DD4" w:rsidRPr="00DB21E1" w14:paraId="562BC954" w14:textId="77777777" w:rsidTr="269527E0">
              <w:trPr>
                <w:trHeight w:val="6675"/>
              </w:trPr>
              <w:tc>
                <w:tcPr>
                  <w:tcW w:w="8927" w:type="dxa"/>
                  <w:tcMar>
                    <w:top w:w="284" w:type="dxa"/>
                    <w:left w:w="113" w:type="dxa"/>
                    <w:bottom w:w="0" w:type="dxa"/>
                    <w:right w:w="113" w:type="dxa"/>
                  </w:tcMar>
                  <w:hideMark/>
                </w:tcPr>
                <w:p w14:paraId="020F8ABD" w14:textId="77777777" w:rsidR="00E463E7" w:rsidRDefault="00815AC7" w:rsidP="00815AC7">
                  <w:pPr>
                    <w:framePr w:hSpace="180" w:wrap="around" w:vAnchor="text" w:hAnchor="margin" w:y="70"/>
                    <w:ind w:firstLine="22"/>
                    <w:rPr>
                      <w:rFonts w:asciiTheme="majorBidi" w:hAnsiTheme="majorBidi"/>
                      <w:b/>
                      <w:bCs/>
                      <w:szCs w:val="20"/>
                    </w:rPr>
                  </w:pPr>
                  <w:bookmarkStart w:id="0" w:name="_Hlk65828413"/>
                  <w:proofErr w:type="spellStart"/>
                  <w:r w:rsidRPr="00815AC7">
                    <w:rPr>
                      <w:b/>
                      <w:bCs/>
                    </w:rPr>
                    <w:t>Išvados</w:t>
                  </w:r>
                  <w:proofErr w:type="spellEnd"/>
                  <w:r w:rsidRPr="00815AC7">
                    <w:rPr>
                      <w:b/>
                      <w:bCs/>
                    </w:rPr>
                    <w:t xml:space="preserve"> </w:t>
                  </w:r>
                  <w:proofErr w:type="spellStart"/>
                  <w:r w:rsidRPr="00815AC7">
                    <w:rPr>
                      <w:b/>
                      <w:bCs/>
                    </w:rPr>
                    <w:t>dėl</w:t>
                  </w:r>
                  <w:proofErr w:type="spellEnd"/>
                  <w:r w:rsidRPr="00815AC7">
                    <w:rPr>
                      <w:b/>
                      <w:bCs/>
                    </w:rPr>
                    <w:t xml:space="preserve"> ES </w:t>
                  </w:r>
                  <w:proofErr w:type="spellStart"/>
                  <w:r w:rsidRPr="00815AC7">
                    <w:rPr>
                      <w:b/>
                      <w:bCs/>
                    </w:rPr>
                    <w:t>vaiko</w:t>
                  </w:r>
                  <w:proofErr w:type="spellEnd"/>
                  <w:r w:rsidRPr="00815AC7">
                    <w:rPr>
                      <w:b/>
                      <w:bCs/>
                    </w:rPr>
                    <w:t xml:space="preserve"> </w:t>
                  </w:r>
                  <w:proofErr w:type="spellStart"/>
                  <w:r w:rsidRPr="00815AC7">
                    <w:rPr>
                      <w:b/>
                      <w:bCs/>
                    </w:rPr>
                    <w:t>teisių</w:t>
                  </w:r>
                  <w:proofErr w:type="spellEnd"/>
                  <w:r w:rsidRPr="00815AC7">
                    <w:rPr>
                      <w:b/>
                      <w:bCs/>
                    </w:rPr>
                    <w:t xml:space="preserve"> </w:t>
                  </w:r>
                  <w:proofErr w:type="spellStart"/>
                  <w:r w:rsidRPr="00815AC7">
                    <w:rPr>
                      <w:b/>
                      <w:bCs/>
                    </w:rPr>
                    <w:t>strategijos</w:t>
                  </w:r>
                  <w:proofErr w:type="spellEnd"/>
                  <w:r w:rsidRPr="00815AC7">
                    <w:rPr>
                      <w:rFonts w:asciiTheme="majorBidi" w:hAnsiTheme="majorBidi"/>
                      <w:b/>
                      <w:bCs/>
                      <w:szCs w:val="20"/>
                    </w:rPr>
                    <w:t xml:space="preserve"> /</w:t>
                  </w:r>
                </w:p>
                <w:p w14:paraId="2539DAF9" w14:textId="642BDECF" w:rsidR="00815AC7" w:rsidRDefault="00815AC7" w:rsidP="00815AC7">
                  <w:pPr>
                    <w:framePr w:hSpace="180" w:wrap="around" w:vAnchor="text" w:hAnchor="margin" w:y="70"/>
                    <w:ind w:firstLine="22"/>
                    <w:rPr>
                      <w:rFonts w:asciiTheme="majorBidi" w:hAnsiTheme="majorBidi"/>
                      <w:b/>
                      <w:bCs/>
                      <w:szCs w:val="20"/>
                    </w:rPr>
                  </w:pPr>
                  <w:r w:rsidRPr="00815AC7">
                    <w:rPr>
                      <w:rFonts w:asciiTheme="majorBidi" w:hAnsiTheme="majorBidi"/>
                      <w:b/>
                      <w:bCs/>
                      <w:szCs w:val="20"/>
                    </w:rPr>
                    <w:t>Conclusions on the EU Strategy on the rights of the child</w:t>
                  </w:r>
                </w:p>
                <w:p w14:paraId="68039FF9" w14:textId="77777777" w:rsidR="00815AC7" w:rsidRDefault="00815AC7" w:rsidP="00815AC7">
                  <w:pPr>
                    <w:framePr w:hSpace="180" w:wrap="around" w:vAnchor="text" w:hAnchor="margin" w:y="70"/>
                    <w:ind w:firstLine="22"/>
                    <w:rPr>
                      <w:rFonts w:asciiTheme="majorBidi" w:hAnsiTheme="majorBidi"/>
                      <w:i/>
                      <w:iCs/>
                      <w:szCs w:val="20"/>
                    </w:rPr>
                  </w:pPr>
                </w:p>
                <w:p w14:paraId="7EADB18A" w14:textId="0D5A9B47" w:rsidR="00FF3DD4" w:rsidRPr="00DB21E1" w:rsidRDefault="00815AC7" w:rsidP="00815AC7">
                  <w:pPr>
                    <w:framePr w:hSpace="180" w:wrap="around" w:vAnchor="text" w:hAnchor="margin" w:y="70"/>
                    <w:ind w:firstLine="22"/>
                    <w:rPr>
                      <w:rFonts w:asciiTheme="majorBidi" w:hAnsiTheme="majorBidi"/>
                      <w:i/>
                      <w:iCs/>
                      <w:szCs w:val="20"/>
                    </w:rPr>
                  </w:pPr>
                  <w:proofErr w:type="spellStart"/>
                  <w:r>
                    <w:rPr>
                      <w:rFonts w:asciiTheme="majorBidi" w:hAnsiTheme="majorBidi"/>
                      <w:i/>
                      <w:iCs/>
                      <w:szCs w:val="20"/>
                    </w:rPr>
                    <w:t>Patvirtinimas</w:t>
                  </w:r>
                  <w:proofErr w:type="spellEnd"/>
                  <w:r>
                    <w:rPr>
                      <w:rFonts w:asciiTheme="majorBidi" w:hAnsiTheme="majorBidi"/>
                      <w:i/>
                      <w:iCs/>
                      <w:szCs w:val="20"/>
                    </w:rPr>
                    <w:t xml:space="preserve"> / </w:t>
                  </w:r>
                  <w:r w:rsidRPr="00815AC7">
                    <w:rPr>
                      <w:rFonts w:asciiTheme="majorBidi" w:hAnsiTheme="majorBidi"/>
                      <w:i/>
                      <w:iCs/>
                      <w:szCs w:val="20"/>
                    </w:rPr>
                    <w:t>Approval</w:t>
                  </w:r>
                </w:p>
                <w:p w14:paraId="69D34B3B" w14:textId="77777777" w:rsidR="00815AC7" w:rsidRDefault="00815AC7" w:rsidP="00A25118">
                  <w:pPr>
                    <w:framePr w:hSpace="180" w:wrap="around" w:vAnchor="text" w:hAnchor="margin" w:y="70"/>
                    <w:ind w:firstLine="22"/>
                    <w:rPr>
                      <w:rFonts w:asciiTheme="majorBidi" w:hAnsiTheme="majorBidi"/>
                      <w:b/>
                      <w:bCs/>
                      <w:szCs w:val="20"/>
                    </w:rPr>
                  </w:pPr>
                </w:p>
                <w:p w14:paraId="551F14E2" w14:textId="373FAAE0" w:rsidR="002B45EB" w:rsidRDefault="00FF3DD4" w:rsidP="002B45EB">
                  <w:pPr>
                    <w:widowControl w:val="0"/>
                    <w:autoSpaceDE w:val="0"/>
                    <w:autoSpaceDN w:val="0"/>
                    <w:jc w:val="both"/>
                    <w:rPr>
                      <w:rFonts w:eastAsia="Times New Roman"/>
                      <w:color w:val="000000"/>
                      <w:lang w:val="lt-LT" w:eastAsia="lt-LT"/>
                    </w:rPr>
                  </w:pPr>
                  <w:proofErr w:type="spellStart"/>
                  <w:r w:rsidRPr="00DB21E1">
                    <w:rPr>
                      <w:rFonts w:asciiTheme="majorBidi" w:hAnsiTheme="majorBidi"/>
                      <w:b/>
                      <w:bCs/>
                      <w:szCs w:val="20"/>
                    </w:rPr>
                    <w:t>Klausimo</w:t>
                  </w:r>
                  <w:proofErr w:type="spellEnd"/>
                  <w:r w:rsidRPr="00DB21E1">
                    <w:rPr>
                      <w:rFonts w:asciiTheme="majorBidi" w:hAnsiTheme="majorBidi"/>
                      <w:b/>
                      <w:bCs/>
                      <w:szCs w:val="20"/>
                    </w:rPr>
                    <w:t xml:space="preserve"> </w:t>
                  </w:r>
                  <w:proofErr w:type="spellStart"/>
                  <w:r w:rsidRPr="00DB21E1">
                    <w:rPr>
                      <w:rFonts w:asciiTheme="majorBidi" w:hAnsiTheme="majorBidi"/>
                      <w:b/>
                      <w:bCs/>
                      <w:szCs w:val="20"/>
                    </w:rPr>
                    <w:t>esmė</w:t>
                  </w:r>
                  <w:proofErr w:type="spellEnd"/>
                  <w:r w:rsidRPr="00DB21E1">
                    <w:rPr>
                      <w:rFonts w:asciiTheme="majorBidi" w:hAnsiTheme="majorBidi"/>
                      <w:b/>
                      <w:bCs/>
                      <w:szCs w:val="20"/>
                    </w:rPr>
                    <w:t>:</w:t>
                  </w:r>
                  <w:r w:rsidR="00AA3B8A">
                    <w:rPr>
                      <w:rFonts w:asciiTheme="majorBidi" w:hAnsiTheme="majorBidi"/>
                      <w:b/>
                      <w:bCs/>
                      <w:szCs w:val="20"/>
                    </w:rPr>
                    <w:t xml:space="preserve"> </w:t>
                  </w:r>
                  <w:r w:rsidR="00AA3B8A" w:rsidRPr="00806269">
                    <w:rPr>
                      <w:rFonts w:asciiTheme="majorBidi" w:eastAsia="Arial" w:hAnsiTheme="majorBidi" w:cstheme="majorBidi"/>
                      <w:color w:val="000000"/>
                      <w:sz w:val="22"/>
                    </w:rPr>
                    <w:t xml:space="preserve"> </w:t>
                  </w:r>
                  <w:r w:rsidR="00AA3B8A" w:rsidRPr="00AA3B8A">
                    <w:rPr>
                      <w:rFonts w:eastAsia="Times New Roman"/>
                      <w:color w:val="000000"/>
                      <w:lang w:val="lt-LT" w:eastAsia="lt-LT"/>
                    </w:rPr>
                    <w:t>2021 m. kovo 24 d. Komisija patvirtino pirmąją išsamią ES vaikų teisių strategiją</w:t>
                  </w:r>
                  <w:r w:rsidR="003D74D2">
                    <w:t xml:space="preserve"> (</w:t>
                  </w:r>
                  <w:r w:rsidR="003D74D2" w:rsidRPr="003D74D2">
                    <w:rPr>
                      <w:rFonts w:eastAsia="Times New Roman"/>
                      <w:i/>
                      <w:iCs/>
                      <w:color w:val="000000"/>
                      <w:lang w:val="lt-LT" w:eastAsia="lt-LT"/>
                    </w:rPr>
                    <w:t xml:space="preserve">EU </w:t>
                  </w:r>
                  <w:proofErr w:type="spellStart"/>
                  <w:r w:rsidR="003D74D2" w:rsidRPr="003D74D2">
                    <w:rPr>
                      <w:rFonts w:eastAsia="Times New Roman"/>
                      <w:i/>
                      <w:iCs/>
                      <w:color w:val="000000"/>
                      <w:lang w:val="lt-LT" w:eastAsia="lt-LT"/>
                    </w:rPr>
                    <w:t>Strategy</w:t>
                  </w:r>
                  <w:proofErr w:type="spellEnd"/>
                  <w:r w:rsidR="003D74D2" w:rsidRPr="003D74D2">
                    <w:rPr>
                      <w:rFonts w:eastAsia="Times New Roman"/>
                      <w:i/>
                      <w:iCs/>
                      <w:color w:val="000000"/>
                      <w:lang w:val="lt-LT" w:eastAsia="lt-LT"/>
                    </w:rPr>
                    <w:t xml:space="preserve"> </w:t>
                  </w:r>
                  <w:proofErr w:type="spellStart"/>
                  <w:r w:rsidR="003D74D2" w:rsidRPr="003D74D2">
                    <w:rPr>
                      <w:rFonts w:eastAsia="Times New Roman"/>
                      <w:i/>
                      <w:iCs/>
                      <w:color w:val="000000"/>
                      <w:lang w:val="lt-LT" w:eastAsia="lt-LT"/>
                    </w:rPr>
                    <w:t>on</w:t>
                  </w:r>
                  <w:proofErr w:type="spellEnd"/>
                  <w:r w:rsidR="003D74D2" w:rsidRPr="003D74D2">
                    <w:rPr>
                      <w:rFonts w:eastAsia="Times New Roman"/>
                      <w:i/>
                      <w:iCs/>
                      <w:color w:val="000000"/>
                      <w:lang w:val="lt-LT" w:eastAsia="lt-LT"/>
                    </w:rPr>
                    <w:t xml:space="preserve"> </w:t>
                  </w:r>
                  <w:proofErr w:type="spellStart"/>
                  <w:r w:rsidR="003D74D2" w:rsidRPr="003D74D2">
                    <w:rPr>
                      <w:rFonts w:eastAsia="Times New Roman"/>
                      <w:i/>
                      <w:iCs/>
                      <w:color w:val="000000"/>
                      <w:lang w:val="lt-LT" w:eastAsia="lt-LT"/>
                    </w:rPr>
                    <w:t>the</w:t>
                  </w:r>
                  <w:proofErr w:type="spellEnd"/>
                  <w:r w:rsidR="003D74D2" w:rsidRPr="003D74D2">
                    <w:rPr>
                      <w:rFonts w:eastAsia="Times New Roman"/>
                      <w:i/>
                      <w:iCs/>
                      <w:color w:val="000000"/>
                      <w:lang w:val="lt-LT" w:eastAsia="lt-LT"/>
                    </w:rPr>
                    <w:t xml:space="preserve"> </w:t>
                  </w:r>
                  <w:proofErr w:type="spellStart"/>
                  <w:r w:rsidR="003D74D2" w:rsidRPr="003D74D2">
                    <w:rPr>
                      <w:rFonts w:eastAsia="Times New Roman"/>
                      <w:i/>
                      <w:iCs/>
                      <w:color w:val="000000"/>
                      <w:lang w:val="lt-LT" w:eastAsia="lt-LT"/>
                    </w:rPr>
                    <w:t>rights</w:t>
                  </w:r>
                  <w:proofErr w:type="spellEnd"/>
                  <w:r w:rsidR="003D74D2" w:rsidRPr="003D74D2">
                    <w:rPr>
                      <w:rFonts w:eastAsia="Times New Roman"/>
                      <w:i/>
                      <w:iCs/>
                      <w:color w:val="000000"/>
                      <w:lang w:val="lt-LT" w:eastAsia="lt-LT"/>
                    </w:rPr>
                    <w:t xml:space="preserve"> </w:t>
                  </w:r>
                  <w:proofErr w:type="spellStart"/>
                  <w:r w:rsidR="003D74D2" w:rsidRPr="003D74D2">
                    <w:rPr>
                      <w:rFonts w:eastAsia="Times New Roman"/>
                      <w:i/>
                      <w:iCs/>
                      <w:color w:val="000000"/>
                      <w:lang w:val="lt-LT" w:eastAsia="lt-LT"/>
                    </w:rPr>
                    <w:t>of</w:t>
                  </w:r>
                  <w:proofErr w:type="spellEnd"/>
                  <w:r w:rsidR="003D74D2" w:rsidRPr="003D74D2">
                    <w:rPr>
                      <w:rFonts w:eastAsia="Times New Roman"/>
                      <w:i/>
                      <w:iCs/>
                      <w:color w:val="000000"/>
                      <w:lang w:val="lt-LT" w:eastAsia="lt-LT"/>
                    </w:rPr>
                    <w:t xml:space="preserve"> a </w:t>
                  </w:r>
                  <w:proofErr w:type="spellStart"/>
                  <w:r w:rsidR="003D74D2" w:rsidRPr="003D74D2">
                    <w:rPr>
                      <w:rFonts w:eastAsia="Times New Roman"/>
                      <w:i/>
                      <w:iCs/>
                      <w:color w:val="000000"/>
                      <w:lang w:val="lt-LT" w:eastAsia="lt-LT"/>
                    </w:rPr>
                    <w:t>child</w:t>
                  </w:r>
                  <w:proofErr w:type="spellEnd"/>
                  <w:r w:rsidR="003D74D2">
                    <w:rPr>
                      <w:rFonts w:eastAsia="Times New Roman"/>
                      <w:color w:val="000000"/>
                      <w:lang w:val="lt-LT" w:eastAsia="lt-LT"/>
                    </w:rPr>
                    <w:t>)</w:t>
                  </w:r>
                  <w:r w:rsidR="00AA3B8A" w:rsidRPr="00AA3B8A">
                    <w:rPr>
                      <w:rFonts w:eastAsia="Times New Roman"/>
                      <w:color w:val="000000"/>
                      <w:lang w:val="lt-LT" w:eastAsia="lt-LT"/>
                    </w:rPr>
                    <w:t xml:space="preserve"> bei pateikė pasiūlymą </w:t>
                  </w:r>
                  <w:r w:rsidR="00AA3B8A">
                    <w:rPr>
                      <w:rFonts w:eastAsia="Times New Roman"/>
                      <w:color w:val="000000"/>
                      <w:lang w:val="lt-LT" w:eastAsia="lt-LT"/>
                    </w:rPr>
                    <w:t xml:space="preserve">dėl Tarybos </w:t>
                  </w:r>
                  <w:r w:rsidR="002B45EB">
                    <w:rPr>
                      <w:rFonts w:eastAsia="Times New Roman"/>
                      <w:color w:val="000000"/>
                      <w:lang w:val="lt-LT" w:eastAsia="lt-LT"/>
                    </w:rPr>
                    <w:t>R</w:t>
                  </w:r>
                  <w:r w:rsidR="00AA3B8A">
                    <w:rPr>
                      <w:rFonts w:eastAsia="Times New Roman"/>
                      <w:color w:val="000000"/>
                      <w:lang w:val="lt-LT" w:eastAsia="lt-LT"/>
                    </w:rPr>
                    <w:t xml:space="preserve">ekomendacijos </w:t>
                  </w:r>
                  <w:r w:rsidR="002B45EB">
                    <w:rPr>
                      <w:rFonts w:eastAsia="Times New Roman"/>
                      <w:color w:val="000000"/>
                      <w:lang w:val="lt-LT" w:eastAsia="lt-LT"/>
                    </w:rPr>
                    <w:t>įsteigti Europos vaiko garantą (</w:t>
                  </w:r>
                  <w:proofErr w:type="spellStart"/>
                  <w:r w:rsidR="002B45EB" w:rsidRPr="002B45EB">
                    <w:rPr>
                      <w:rFonts w:eastAsia="Times New Roman"/>
                      <w:i/>
                      <w:iCs/>
                      <w:color w:val="000000"/>
                      <w:lang w:val="lt-LT" w:eastAsia="lt-LT"/>
                    </w:rPr>
                    <w:t>European</w:t>
                  </w:r>
                  <w:proofErr w:type="spellEnd"/>
                  <w:r w:rsidR="002B45EB" w:rsidRPr="002B45EB">
                    <w:rPr>
                      <w:rFonts w:eastAsia="Times New Roman"/>
                      <w:i/>
                      <w:iCs/>
                      <w:color w:val="000000"/>
                      <w:lang w:val="lt-LT" w:eastAsia="lt-LT"/>
                    </w:rPr>
                    <w:t xml:space="preserve"> </w:t>
                  </w:r>
                  <w:proofErr w:type="spellStart"/>
                  <w:r w:rsidR="002B45EB" w:rsidRPr="002B45EB">
                    <w:rPr>
                      <w:rFonts w:eastAsia="Times New Roman"/>
                      <w:i/>
                      <w:iCs/>
                      <w:color w:val="000000"/>
                      <w:lang w:val="lt-LT" w:eastAsia="lt-LT"/>
                    </w:rPr>
                    <w:t>Child</w:t>
                  </w:r>
                  <w:proofErr w:type="spellEnd"/>
                  <w:r w:rsidR="002B45EB" w:rsidRPr="002B45EB">
                    <w:rPr>
                      <w:rFonts w:eastAsia="Times New Roman"/>
                      <w:i/>
                      <w:iCs/>
                      <w:color w:val="000000"/>
                      <w:lang w:val="lt-LT" w:eastAsia="lt-LT"/>
                    </w:rPr>
                    <w:t xml:space="preserve"> </w:t>
                  </w:r>
                  <w:proofErr w:type="spellStart"/>
                  <w:r w:rsidR="002B45EB" w:rsidRPr="002B45EB">
                    <w:rPr>
                      <w:rFonts w:eastAsia="Times New Roman"/>
                      <w:i/>
                      <w:iCs/>
                      <w:color w:val="000000"/>
                      <w:lang w:val="lt-LT" w:eastAsia="lt-LT"/>
                    </w:rPr>
                    <w:t>Guarantee</w:t>
                  </w:r>
                  <w:proofErr w:type="spellEnd"/>
                  <w:r w:rsidR="002B45EB">
                    <w:rPr>
                      <w:rFonts w:eastAsia="Times New Roman"/>
                      <w:color w:val="000000"/>
                      <w:lang w:val="lt-LT" w:eastAsia="lt-LT"/>
                    </w:rPr>
                    <w:t>). Strategijos tikslas yra sukurti kaip įmanoma geresnį gyvenimą vaikams ES ir pasaulyje, o Garanto tikslas – suteikti lygias galimybes vaikams, esantiems skurdo ir socialinės atskirties rizikos grupėje. Strategija apima 6 tematines kryptis, nustatydama ES veiksmus ateinantiems metams</w:t>
                  </w:r>
                  <w:r w:rsidR="00665B11">
                    <w:rPr>
                      <w:rFonts w:eastAsia="Times New Roman"/>
                      <w:color w:val="000000"/>
                      <w:lang w:val="lt-LT" w:eastAsia="lt-LT"/>
                    </w:rPr>
                    <w:t xml:space="preserve">. Europos Komisija kviečiama dirbti su valstybėmis narėmis gerinant vaikų gyvenimą bei remiant nacionalines pastangas kelti vaiko teisių apsaugos standartus. Valstybės narės kviečiamos: vystyti vaiko teisių be diskriminacijos politiką; stiprinti vaikų apsaugą nuo smurto; harmonizuoti teisminę sistemą su vaikų teisių apsauga; </w:t>
                  </w:r>
                  <w:r w:rsidR="003D74D2">
                    <w:rPr>
                      <w:rFonts w:eastAsia="Times New Roman"/>
                      <w:color w:val="000000"/>
                      <w:lang w:val="lt-LT" w:eastAsia="lt-LT"/>
                    </w:rPr>
                    <w:t xml:space="preserve">gerinti vaikų galimybes skaitmeninėje visuomenėje; aktyviai prisidėti prie ES Vaikų teisų tinklo, kurį įkurs Europos Komisija, siekdama paskatinti valstybių narių bendradarbiavimą ir švietimą, veiklos.  </w:t>
                  </w:r>
                </w:p>
                <w:p w14:paraId="48962D00" w14:textId="133C1CD9" w:rsidR="00665B11" w:rsidRPr="003D74D2" w:rsidRDefault="003D74D2" w:rsidP="00A25118">
                  <w:pPr>
                    <w:framePr w:hSpace="180" w:wrap="around" w:vAnchor="text" w:hAnchor="margin" w:y="70"/>
                    <w:ind w:left="22"/>
                    <w:jc w:val="both"/>
                    <w:rPr>
                      <w:rFonts w:asciiTheme="majorBidi" w:hAnsiTheme="majorBidi"/>
                      <w:szCs w:val="20"/>
                      <w:lang w:val="lt-LT"/>
                    </w:rPr>
                  </w:pPr>
                  <w:r w:rsidRPr="003D74D2">
                    <w:rPr>
                      <w:rFonts w:asciiTheme="majorBidi" w:hAnsiTheme="majorBidi"/>
                      <w:szCs w:val="20"/>
                      <w:lang w:val="lt-LT"/>
                    </w:rPr>
                    <w:t xml:space="preserve">Strategijoje ES Europos Sąjungos pagrindinių teisių agentūra (FRA) kviečiama palaikyti valstybes nares vaikui teisingo teisingumo ir vaikų migracijos bei kitose susijusiose srityse bei teikti techninę ir metodologinę pagalbą. </w:t>
                  </w:r>
                </w:p>
                <w:p w14:paraId="15870EA5" w14:textId="77777777" w:rsidR="003D74D2" w:rsidRPr="002A0070" w:rsidRDefault="003D74D2" w:rsidP="00A25118">
                  <w:pPr>
                    <w:framePr w:hSpace="180" w:wrap="around" w:vAnchor="text" w:hAnchor="margin" w:y="70"/>
                    <w:ind w:left="22"/>
                    <w:jc w:val="both"/>
                    <w:rPr>
                      <w:rFonts w:asciiTheme="majorBidi" w:hAnsiTheme="majorBidi"/>
                      <w:b/>
                      <w:bCs/>
                      <w:szCs w:val="20"/>
                      <w:lang w:val="lt-LT"/>
                    </w:rPr>
                  </w:pPr>
                </w:p>
                <w:p w14:paraId="05A30C52" w14:textId="61ABF308" w:rsidR="00FF3DD4" w:rsidRPr="002A0070" w:rsidRDefault="269527E0" w:rsidP="269527E0">
                  <w:pPr>
                    <w:framePr w:hSpace="180" w:wrap="around" w:vAnchor="text" w:hAnchor="margin" w:y="70"/>
                    <w:jc w:val="both"/>
                    <w:rPr>
                      <w:rFonts w:asciiTheme="majorBidi" w:hAnsiTheme="majorBidi"/>
                      <w:lang w:val="lt-LT"/>
                    </w:rPr>
                  </w:pPr>
                  <w:r w:rsidRPr="002A0070">
                    <w:rPr>
                      <w:rFonts w:asciiTheme="majorBidi" w:hAnsiTheme="majorBidi"/>
                      <w:b/>
                      <w:bCs/>
                      <w:lang w:val="lt-LT"/>
                    </w:rPr>
                    <w:t>Lietuvos pozicija:</w:t>
                  </w:r>
                  <w:r w:rsidRPr="002A0070">
                    <w:rPr>
                      <w:rFonts w:asciiTheme="majorBidi" w:hAnsiTheme="majorBidi"/>
                      <w:lang w:val="lt-LT"/>
                    </w:rPr>
                    <w:t xml:space="preserve"> Pritarti. </w:t>
                  </w:r>
                  <w:r w:rsidRPr="002A0070">
                    <w:rPr>
                      <w:rFonts w:eastAsia="Times New Roman"/>
                      <w:b/>
                      <w:bCs/>
                      <w:lang w:val="lt-LT"/>
                    </w:rPr>
                    <w:t>Lietuvos pozicija:</w:t>
                  </w:r>
                  <w:r w:rsidRPr="002A0070">
                    <w:rPr>
                      <w:rFonts w:eastAsia="Times New Roman"/>
                      <w:lang w:val="lt-LT"/>
                    </w:rPr>
                    <w:t xml:space="preserve"> </w:t>
                  </w:r>
                  <w:r w:rsidRPr="002A0070">
                    <w:rPr>
                      <w:rFonts w:eastAsia="Times New Roman"/>
                      <w:color w:val="000000" w:themeColor="text1"/>
                      <w:lang w:val="lt-LT"/>
                    </w:rPr>
                    <w:t xml:space="preserve"> Lietuva pritaria Vaiko teisių strategijai ir </w:t>
                  </w:r>
                  <w:r w:rsidRPr="002A0070">
                    <w:rPr>
                      <w:rFonts w:eastAsia="Times New Roman"/>
                      <w:b/>
                      <w:bCs/>
                      <w:color w:val="000000" w:themeColor="text1"/>
                      <w:lang w:val="lt-LT"/>
                    </w:rPr>
                    <w:t>Išvadoms dėl ES vaiko teisių strategijos.</w:t>
                  </w:r>
                </w:p>
                <w:p w14:paraId="7C5B1A18" w14:textId="3D8BD799" w:rsidR="00FF3DD4" w:rsidRPr="00DB21E1" w:rsidRDefault="269527E0" w:rsidP="269527E0">
                  <w:pPr>
                    <w:framePr w:hSpace="180" w:wrap="around" w:vAnchor="text" w:hAnchor="margin" w:y="70"/>
                    <w:jc w:val="both"/>
                  </w:pPr>
                  <w:proofErr w:type="spellStart"/>
                  <w:r w:rsidRPr="269527E0">
                    <w:rPr>
                      <w:rFonts w:eastAsia="Times New Roman"/>
                      <w:color w:val="000000" w:themeColor="text1"/>
                    </w:rPr>
                    <w:t>Visos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pastangos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kovoti</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su</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vaikų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skurdu</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ir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ar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socialine</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atskirtimi</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yra</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prioritetas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Ypatingai</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svarbu</w:t>
                  </w:r>
                  <w:proofErr w:type="spellEnd"/>
                  <w:r w:rsidRPr="269527E0">
                    <w:rPr>
                      <w:rFonts w:eastAsia="Times New Roman"/>
                      <w:color w:val="000000" w:themeColor="text1"/>
                    </w:rPr>
                    <w:t xml:space="preserve"> tai, </w:t>
                  </w:r>
                  <w:proofErr w:type="spellStart"/>
                  <w:r w:rsidRPr="269527E0">
                    <w:rPr>
                      <w:rFonts w:eastAsia="Times New Roman"/>
                      <w:color w:val="000000" w:themeColor="text1"/>
                    </w:rPr>
                    <w:t>kad</w:t>
                  </w:r>
                  <w:proofErr w:type="spellEnd"/>
                  <w:r w:rsidRPr="269527E0">
                    <w:rPr>
                      <w:rFonts w:eastAsia="Times New Roman"/>
                      <w:color w:val="000000" w:themeColor="text1"/>
                    </w:rPr>
                    <w:t xml:space="preserve"> Vaiko </w:t>
                  </w:r>
                  <w:proofErr w:type="spellStart"/>
                  <w:r w:rsidRPr="269527E0">
                    <w:rPr>
                      <w:rFonts w:eastAsia="Times New Roman"/>
                      <w:color w:val="000000" w:themeColor="text1"/>
                    </w:rPr>
                    <w:t>garantijų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sistema</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pabrėžia</w:t>
                  </w:r>
                  <w:proofErr w:type="spellEnd"/>
                  <w:r w:rsidRPr="269527E0">
                    <w:rPr>
                      <w:rFonts w:eastAsia="Times New Roman"/>
                      <w:color w:val="000000" w:themeColor="text1"/>
                    </w:rPr>
                    <w:t xml:space="preserve">, jog </w:t>
                  </w:r>
                  <w:proofErr w:type="spellStart"/>
                  <w:r w:rsidRPr="269527E0">
                    <w:rPr>
                      <w:rFonts w:eastAsia="Times New Roman"/>
                      <w:color w:val="000000" w:themeColor="text1"/>
                    </w:rPr>
                    <w:t>sėkmingam</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skurdo</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ir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socialinės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atskirties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problemos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sprendimui</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yra</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svarbus</w:t>
                  </w:r>
                  <w:proofErr w:type="spellEnd"/>
                  <w:r w:rsidRPr="269527E0">
                    <w:rPr>
                      <w:rFonts w:eastAsia="Times New Roman"/>
                      <w:color w:val="000000" w:themeColor="text1"/>
                    </w:rPr>
                    <w:t xml:space="preserve"> ne tik </w:t>
                  </w:r>
                  <w:proofErr w:type="spellStart"/>
                  <w:r w:rsidRPr="269527E0">
                    <w:rPr>
                      <w:rFonts w:eastAsia="Times New Roman"/>
                      <w:color w:val="000000" w:themeColor="text1"/>
                    </w:rPr>
                    <w:t>socialinės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srities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paslaugų</w:t>
                  </w:r>
                  <w:proofErr w:type="spellEnd"/>
                  <w:r w:rsidRPr="269527E0">
                    <w:rPr>
                      <w:rFonts w:eastAsia="Times New Roman"/>
                      <w:color w:val="000000" w:themeColor="text1"/>
                    </w:rPr>
                    <w:t xml:space="preserve">, bet </w:t>
                  </w:r>
                  <w:proofErr w:type="spellStart"/>
                  <w:r w:rsidRPr="269527E0">
                    <w:rPr>
                      <w:rFonts w:eastAsia="Times New Roman"/>
                      <w:color w:val="000000" w:themeColor="text1"/>
                    </w:rPr>
                    <w:t>ir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švietimo</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sveikatos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apsaugos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srities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paslaugų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ir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kitų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priemonių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užtikrinimas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vaikams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nuo</w:t>
                  </w:r>
                  <w:proofErr w:type="spellEnd"/>
                  <w:r w:rsidRPr="269527E0">
                    <w:rPr>
                      <w:rFonts w:eastAsia="Times New Roman"/>
                      <w:color w:val="000000" w:themeColor="text1"/>
                    </w:rPr>
                    <w:t xml:space="preserve"> pat </w:t>
                  </w:r>
                  <w:proofErr w:type="spellStart"/>
                  <w:r w:rsidRPr="269527E0">
                    <w:rPr>
                      <w:rFonts w:eastAsia="Times New Roman"/>
                      <w:color w:val="000000" w:themeColor="text1"/>
                    </w:rPr>
                    <w:t>jų</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gimimo</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kaip</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pvz</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ankstyvojo</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ugdymo</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ir</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priežiūros</w:t>
                  </w:r>
                  <w:proofErr w:type="spellEnd"/>
                  <w:r w:rsidRPr="269527E0">
                    <w:rPr>
                      <w:rFonts w:eastAsia="Times New Roman"/>
                      <w:color w:val="000000" w:themeColor="text1"/>
                    </w:rPr>
                    <w:t xml:space="preserve"> </w:t>
                  </w:r>
                  <w:proofErr w:type="spellStart"/>
                  <w:r w:rsidRPr="269527E0">
                    <w:rPr>
                      <w:rFonts w:eastAsia="Times New Roman"/>
                      <w:color w:val="000000" w:themeColor="text1"/>
                    </w:rPr>
                    <w:t>paslaugos</w:t>
                  </w:r>
                  <w:proofErr w:type="spellEnd"/>
                  <w:r w:rsidRPr="269527E0">
                    <w:rPr>
                      <w:rFonts w:eastAsia="Times New Roman"/>
                      <w:color w:val="000000" w:themeColor="text1"/>
                    </w:rPr>
                    <w:t>.</w:t>
                  </w:r>
                </w:p>
              </w:tc>
              <w:tc>
                <w:tcPr>
                  <w:tcW w:w="1019" w:type="dxa"/>
                  <w:tcMar>
                    <w:top w:w="284" w:type="dxa"/>
                    <w:left w:w="28" w:type="dxa"/>
                    <w:bottom w:w="0" w:type="dxa"/>
                    <w:right w:w="113" w:type="dxa"/>
                  </w:tcMar>
                  <w:hideMark/>
                </w:tcPr>
                <w:p w14:paraId="4E05005B" w14:textId="77777777" w:rsidR="00FF3DD4" w:rsidRPr="00DB21E1" w:rsidRDefault="00FF3DD4" w:rsidP="00A25118">
                  <w:pPr>
                    <w:framePr w:hSpace="180" w:wrap="around" w:vAnchor="text" w:hAnchor="margin" w:y="70"/>
                    <w:jc w:val="right"/>
                    <w:rPr>
                      <w:noProof/>
                      <w:szCs w:val="20"/>
                    </w:rPr>
                  </w:pPr>
                </w:p>
              </w:tc>
              <w:tc>
                <w:tcPr>
                  <w:tcW w:w="2127" w:type="dxa"/>
                  <w:tcMar>
                    <w:top w:w="284" w:type="dxa"/>
                    <w:left w:w="113" w:type="dxa"/>
                    <w:bottom w:w="0" w:type="dxa"/>
                    <w:right w:w="0" w:type="dxa"/>
                  </w:tcMar>
                </w:tcPr>
                <w:p w14:paraId="30EB83CB" w14:textId="77777777" w:rsidR="00FF3DD4" w:rsidRPr="00DB21E1" w:rsidRDefault="00FF3DD4" w:rsidP="00A25118">
                  <w:pPr>
                    <w:framePr w:hSpace="180" w:wrap="around" w:vAnchor="text" w:hAnchor="margin" w:y="70"/>
                  </w:pPr>
                </w:p>
              </w:tc>
            </w:tr>
            <w:bookmarkEnd w:id="0"/>
          </w:tbl>
          <w:p w14:paraId="68D77966" w14:textId="77777777" w:rsidR="00FF3DD4" w:rsidRPr="00DB21E1" w:rsidRDefault="00FF3DD4" w:rsidP="00A25118">
            <w:pPr>
              <w:pStyle w:val="BodyA"/>
              <w:jc w:val="both"/>
              <w:rPr>
                <w:rFonts w:hAnsi="Times New Roman" w:cs="Times New Roman"/>
                <w:b/>
                <w:bCs/>
                <w:lang w:val="lt-LT"/>
              </w:rPr>
            </w:pPr>
          </w:p>
        </w:tc>
      </w:tr>
    </w:tbl>
    <w:p w14:paraId="65B0E2E0" w14:textId="77777777" w:rsidR="00FF3DD4" w:rsidRDefault="00FF3DD4" w:rsidP="00B34D34">
      <w:pPr>
        <w:pStyle w:val="BodyA"/>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F3DD4" w:rsidRPr="00D475E3" w14:paraId="60AD5845" w14:textId="77777777" w:rsidTr="269527E0">
        <w:trPr>
          <w:trHeight w:val="1473"/>
        </w:trPr>
        <w:tc>
          <w:tcPr>
            <w:tcW w:w="90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DFC85BD" w14:textId="77777777" w:rsidR="00FF3DD4" w:rsidRPr="00DB21E1" w:rsidRDefault="00FF3DD4" w:rsidP="00A25118">
            <w:pPr>
              <w:pStyle w:val="BodyA"/>
              <w:ind w:left="360"/>
              <w:jc w:val="both"/>
              <w:rPr>
                <w:rFonts w:hAnsi="Times New Roman" w:cs="Times New Roman"/>
                <w:i/>
                <w:iCs/>
                <w:lang w:val="lt-LT"/>
              </w:rPr>
            </w:pPr>
          </w:p>
          <w:p w14:paraId="4D9EF280" w14:textId="4BFC2919" w:rsidR="00815AC7" w:rsidRDefault="00815AC7" w:rsidP="00815AC7">
            <w:pPr>
              <w:tabs>
                <w:tab w:val="left" w:pos="554"/>
              </w:tabs>
              <w:ind w:firstLine="194"/>
              <w:rPr>
                <w:rFonts w:cstheme="minorBidi"/>
              </w:rPr>
            </w:pPr>
            <w:proofErr w:type="spellStart"/>
            <w:r>
              <w:rPr>
                <w:rFonts w:cstheme="minorBidi"/>
              </w:rPr>
              <w:t>Kiti</w:t>
            </w:r>
            <w:proofErr w:type="spellEnd"/>
            <w:r>
              <w:rPr>
                <w:rFonts w:cstheme="minorBidi"/>
              </w:rPr>
              <w:t xml:space="preserve"> </w:t>
            </w:r>
            <w:proofErr w:type="spellStart"/>
            <w:r>
              <w:rPr>
                <w:rFonts w:cstheme="minorBidi"/>
              </w:rPr>
              <w:t>klausimai</w:t>
            </w:r>
            <w:proofErr w:type="spellEnd"/>
            <w:r>
              <w:rPr>
                <w:rFonts w:cstheme="minorBidi"/>
              </w:rPr>
              <w:t xml:space="preserve"> / AOB</w:t>
            </w:r>
          </w:p>
          <w:p w14:paraId="23C1912E" w14:textId="77777777" w:rsidR="00E463E7" w:rsidRDefault="00E463E7" w:rsidP="00815AC7">
            <w:pPr>
              <w:tabs>
                <w:tab w:val="left" w:pos="554"/>
              </w:tabs>
              <w:ind w:firstLine="194"/>
              <w:rPr>
                <w:rFonts w:eastAsiaTheme="minorHAnsi" w:cstheme="minorBidi"/>
                <w:bdr w:val="none" w:sz="0" w:space="0" w:color="auto"/>
                <w:lang w:val="en-GB"/>
              </w:rPr>
            </w:pPr>
          </w:p>
          <w:p w14:paraId="73A9B351" w14:textId="77777777" w:rsidR="00815AC7" w:rsidRPr="00815AC7" w:rsidRDefault="00815AC7" w:rsidP="00216B37">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Theme="minorHAnsi" w:hAnsi="Times New Roman" w:cs="Times New Roman"/>
              </w:rPr>
            </w:pPr>
            <w:proofErr w:type="spellStart"/>
            <w:r w:rsidRPr="00815AC7">
              <w:rPr>
                <w:rFonts w:hAnsi="Times New Roman" w:cs="Times New Roman"/>
                <w:b/>
                <w:bCs/>
              </w:rPr>
              <w:t>Konferencija</w:t>
            </w:r>
            <w:proofErr w:type="spellEnd"/>
            <w:r w:rsidRPr="00815AC7">
              <w:rPr>
                <w:rFonts w:hAnsi="Times New Roman" w:cs="Times New Roman"/>
                <w:b/>
                <w:bCs/>
              </w:rPr>
              <w:t xml:space="preserve">, </w:t>
            </w:r>
            <w:proofErr w:type="spellStart"/>
            <w:r w:rsidRPr="00815AC7">
              <w:rPr>
                <w:rFonts w:hAnsi="Times New Roman" w:cs="Times New Roman"/>
                <w:b/>
                <w:bCs/>
              </w:rPr>
              <w:t>skirta</w:t>
            </w:r>
            <w:proofErr w:type="spellEnd"/>
            <w:r w:rsidRPr="00815AC7">
              <w:rPr>
                <w:rFonts w:hAnsi="Times New Roman" w:cs="Times New Roman"/>
                <w:b/>
                <w:bCs/>
              </w:rPr>
              <w:t xml:space="preserve"> </w:t>
            </w:r>
            <w:proofErr w:type="spellStart"/>
            <w:r w:rsidRPr="00815AC7">
              <w:rPr>
                <w:rFonts w:hAnsi="Times New Roman" w:cs="Times New Roman"/>
                <w:b/>
                <w:bCs/>
              </w:rPr>
              <w:t>reglamentui</w:t>
            </w:r>
            <w:proofErr w:type="spellEnd"/>
            <w:r w:rsidRPr="00815AC7">
              <w:rPr>
                <w:rFonts w:hAnsi="Times New Roman" w:cs="Times New Roman"/>
                <w:b/>
                <w:bCs/>
              </w:rPr>
              <w:t xml:space="preserve"> </w:t>
            </w:r>
            <w:proofErr w:type="spellStart"/>
            <w:r w:rsidRPr="00815AC7">
              <w:rPr>
                <w:rFonts w:hAnsi="Times New Roman" w:cs="Times New Roman"/>
                <w:b/>
                <w:bCs/>
              </w:rPr>
              <w:t>dėl</w:t>
            </w:r>
            <w:proofErr w:type="spellEnd"/>
            <w:r w:rsidRPr="00815AC7">
              <w:rPr>
                <w:rFonts w:hAnsi="Times New Roman" w:cs="Times New Roman"/>
                <w:b/>
                <w:bCs/>
              </w:rPr>
              <w:t xml:space="preserve"> </w:t>
            </w:r>
            <w:proofErr w:type="spellStart"/>
            <w:r w:rsidRPr="00815AC7">
              <w:rPr>
                <w:rFonts w:hAnsi="Times New Roman" w:cs="Times New Roman"/>
                <w:b/>
                <w:bCs/>
              </w:rPr>
              <w:t>dirbtinio</w:t>
            </w:r>
            <w:proofErr w:type="spellEnd"/>
            <w:r w:rsidRPr="00815AC7">
              <w:rPr>
                <w:rFonts w:hAnsi="Times New Roman" w:cs="Times New Roman"/>
                <w:b/>
                <w:bCs/>
              </w:rPr>
              <w:t xml:space="preserve"> </w:t>
            </w:r>
            <w:proofErr w:type="spellStart"/>
            <w:r w:rsidRPr="00815AC7">
              <w:rPr>
                <w:rFonts w:hAnsi="Times New Roman" w:cs="Times New Roman"/>
                <w:b/>
                <w:bCs/>
              </w:rPr>
              <w:t>intelekto</w:t>
            </w:r>
            <w:proofErr w:type="spellEnd"/>
            <w:r w:rsidRPr="00815AC7">
              <w:rPr>
                <w:rFonts w:hAnsi="Times New Roman" w:cs="Times New Roman"/>
              </w:rPr>
              <w:t xml:space="preserve">. </w:t>
            </w:r>
            <w:proofErr w:type="spellStart"/>
            <w:r w:rsidRPr="00815AC7">
              <w:rPr>
                <w:rFonts w:hAnsi="Times New Roman" w:cs="Times New Roman"/>
              </w:rPr>
              <w:t>Etiniai</w:t>
            </w:r>
            <w:proofErr w:type="spellEnd"/>
            <w:r w:rsidRPr="00815AC7">
              <w:rPr>
                <w:rFonts w:hAnsi="Times New Roman" w:cs="Times New Roman"/>
              </w:rPr>
              <w:t xml:space="preserve"> </w:t>
            </w:r>
            <w:proofErr w:type="spellStart"/>
            <w:r w:rsidRPr="00815AC7">
              <w:rPr>
                <w:rFonts w:hAnsi="Times New Roman" w:cs="Times New Roman"/>
              </w:rPr>
              <w:t>ir</w:t>
            </w:r>
            <w:proofErr w:type="spellEnd"/>
            <w:r w:rsidRPr="00815AC7">
              <w:rPr>
                <w:rFonts w:hAnsi="Times New Roman" w:cs="Times New Roman"/>
              </w:rPr>
              <w:t xml:space="preserve"> </w:t>
            </w:r>
            <w:proofErr w:type="spellStart"/>
            <w:r w:rsidRPr="00815AC7">
              <w:rPr>
                <w:rFonts w:hAnsi="Times New Roman" w:cs="Times New Roman"/>
              </w:rPr>
              <w:t>su</w:t>
            </w:r>
            <w:proofErr w:type="spellEnd"/>
            <w:r w:rsidRPr="00815AC7">
              <w:rPr>
                <w:rFonts w:hAnsi="Times New Roman" w:cs="Times New Roman"/>
              </w:rPr>
              <w:t xml:space="preserve"> </w:t>
            </w:r>
            <w:proofErr w:type="spellStart"/>
            <w:r w:rsidRPr="00815AC7">
              <w:rPr>
                <w:rFonts w:hAnsi="Times New Roman" w:cs="Times New Roman"/>
              </w:rPr>
              <w:t>pagrindinėmis</w:t>
            </w:r>
            <w:proofErr w:type="spellEnd"/>
            <w:r w:rsidRPr="00815AC7">
              <w:rPr>
                <w:rFonts w:hAnsi="Times New Roman" w:cs="Times New Roman"/>
              </w:rPr>
              <w:t xml:space="preserve"> </w:t>
            </w:r>
            <w:proofErr w:type="spellStart"/>
            <w:r w:rsidRPr="00815AC7">
              <w:rPr>
                <w:rFonts w:hAnsi="Times New Roman" w:cs="Times New Roman"/>
              </w:rPr>
              <w:t>teisėmis</w:t>
            </w:r>
            <w:proofErr w:type="spellEnd"/>
            <w:r w:rsidRPr="00815AC7">
              <w:rPr>
                <w:rFonts w:hAnsi="Times New Roman" w:cs="Times New Roman"/>
              </w:rPr>
              <w:t xml:space="preserve"> </w:t>
            </w:r>
            <w:proofErr w:type="spellStart"/>
            <w:r w:rsidRPr="00815AC7">
              <w:rPr>
                <w:rFonts w:hAnsi="Times New Roman" w:cs="Times New Roman"/>
              </w:rPr>
              <w:t>susiję</w:t>
            </w:r>
            <w:proofErr w:type="spellEnd"/>
            <w:r w:rsidRPr="00815AC7">
              <w:rPr>
                <w:rFonts w:hAnsi="Times New Roman" w:cs="Times New Roman"/>
              </w:rPr>
              <w:t xml:space="preserve"> </w:t>
            </w:r>
            <w:proofErr w:type="spellStart"/>
            <w:r w:rsidRPr="00815AC7">
              <w:rPr>
                <w:rFonts w:hAnsi="Times New Roman" w:cs="Times New Roman"/>
              </w:rPr>
              <w:t>aspektai</w:t>
            </w:r>
            <w:proofErr w:type="spellEnd"/>
            <w:r w:rsidRPr="00815AC7">
              <w:rPr>
                <w:rFonts w:hAnsi="Times New Roman" w:cs="Times New Roman"/>
              </w:rPr>
              <w:t xml:space="preserve">, 2021 m. </w:t>
            </w:r>
            <w:proofErr w:type="spellStart"/>
            <w:r w:rsidRPr="00815AC7">
              <w:rPr>
                <w:rFonts w:hAnsi="Times New Roman" w:cs="Times New Roman"/>
              </w:rPr>
              <w:t>liepos</w:t>
            </w:r>
            <w:proofErr w:type="spellEnd"/>
            <w:r w:rsidRPr="00815AC7">
              <w:rPr>
                <w:rFonts w:hAnsi="Times New Roman" w:cs="Times New Roman"/>
              </w:rPr>
              <w:t xml:space="preserve"> 20 d. </w:t>
            </w:r>
          </w:p>
          <w:p w14:paraId="65C9F1F6" w14:textId="51455D9E" w:rsidR="00815AC7" w:rsidRPr="00815AC7" w:rsidRDefault="00815AC7" w:rsidP="00216B37">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Theme="minorHAnsi" w:hAnsi="Times New Roman" w:cs="Times New Roman"/>
              </w:rPr>
            </w:pPr>
            <w:r w:rsidRPr="00815AC7">
              <w:rPr>
                <w:rFonts w:hAnsi="Times New Roman" w:cs="Times New Roman"/>
              </w:rPr>
              <w:t>Conference on Regulation of Artificial Intelligence – Ethical and Fundamental Rights Aspects, 20 July 2021</w:t>
            </w:r>
          </w:p>
          <w:p w14:paraId="0F5465ED" w14:textId="60FCD1D6" w:rsidR="00815AC7" w:rsidRDefault="00815AC7" w:rsidP="00815AC7">
            <w:pPr>
              <w:ind w:firstLine="194"/>
              <w:rPr>
                <w:rFonts w:cstheme="minorBidi"/>
                <w:i/>
                <w:iCs/>
              </w:rPr>
            </w:pPr>
            <w:r>
              <w:rPr>
                <w:rFonts w:cstheme="minorBidi"/>
                <w:i/>
                <w:iCs/>
              </w:rPr>
              <w:t xml:space="preserve">- </w:t>
            </w:r>
            <w:proofErr w:type="spellStart"/>
            <w:r w:rsidRPr="00815AC7">
              <w:rPr>
                <w:rFonts w:cstheme="minorBidi"/>
                <w:i/>
                <w:iCs/>
              </w:rPr>
              <w:t>Pirmininkaujančios</w:t>
            </w:r>
            <w:proofErr w:type="spellEnd"/>
            <w:r w:rsidRPr="00815AC7">
              <w:rPr>
                <w:rFonts w:cstheme="minorBidi"/>
                <w:i/>
                <w:iCs/>
              </w:rPr>
              <w:t xml:space="preserve"> </w:t>
            </w:r>
            <w:proofErr w:type="spellStart"/>
            <w:r w:rsidRPr="00815AC7">
              <w:rPr>
                <w:rFonts w:cstheme="minorBidi"/>
                <w:i/>
                <w:iCs/>
              </w:rPr>
              <w:t>valstybės</w:t>
            </w:r>
            <w:proofErr w:type="spellEnd"/>
            <w:r w:rsidRPr="00815AC7">
              <w:rPr>
                <w:rFonts w:cstheme="minorBidi"/>
                <w:i/>
                <w:iCs/>
              </w:rPr>
              <w:t xml:space="preserve"> </w:t>
            </w:r>
            <w:proofErr w:type="spellStart"/>
            <w:r w:rsidRPr="00815AC7">
              <w:rPr>
                <w:rFonts w:cstheme="minorBidi"/>
                <w:i/>
                <w:iCs/>
              </w:rPr>
              <w:t>narės</w:t>
            </w:r>
            <w:proofErr w:type="spellEnd"/>
            <w:r w:rsidRPr="00815AC7">
              <w:rPr>
                <w:rFonts w:cstheme="minorBidi"/>
                <w:i/>
                <w:iCs/>
              </w:rPr>
              <w:t xml:space="preserve"> </w:t>
            </w:r>
            <w:proofErr w:type="spellStart"/>
            <w:r w:rsidRPr="00815AC7">
              <w:rPr>
                <w:rFonts w:cstheme="minorBidi"/>
                <w:i/>
                <w:iCs/>
              </w:rPr>
              <w:t>informacija</w:t>
            </w:r>
            <w:proofErr w:type="spellEnd"/>
            <w:r>
              <w:rPr>
                <w:rFonts w:cstheme="minorBidi"/>
                <w:i/>
                <w:iCs/>
              </w:rPr>
              <w:t xml:space="preserve"> / Information from the Presidency</w:t>
            </w:r>
          </w:p>
          <w:p w14:paraId="5E0AD894" w14:textId="77777777" w:rsidR="00815AC7" w:rsidRDefault="00815AC7" w:rsidP="00815AC7">
            <w:pPr>
              <w:ind w:firstLine="194"/>
              <w:rPr>
                <w:rFonts w:eastAsiaTheme="minorHAnsi" w:cstheme="minorBidi"/>
                <w:i/>
                <w:iCs/>
              </w:rPr>
            </w:pPr>
          </w:p>
          <w:p w14:paraId="2780C37F" w14:textId="77777777" w:rsidR="00216B37" w:rsidRDefault="00815AC7" w:rsidP="00815AC7">
            <w:pPr>
              <w:pStyle w:val="Sraopastraipa"/>
              <w:numPr>
                <w:ilvl w:val="0"/>
                <w:numId w:val="6"/>
              </w:numPr>
              <w:spacing w:after="0" w:line="240" w:lineRule="auto"/>
              <w:contextualSpacing/>
              <w:rPr>
                <w:rFonts w:hAnsi="Times New Roman" w:cs="Times New Roman"/>
              </w:rPr>
            </w:pPr>
            <w:proofErr w:type="spellStart"/>
            <w:r w:rsidRPr="00815AC7">
              <w:rPr>
                <w:rFonts w:hAnsi="Times New Roman" w:cs="Times New Roman"/>
                <w:b/>
                <w:bCs/>
              </w:rPr>
              <w:t>Teisminių</w:t>
            </w:r>
            <w:proofErr w:type="spellEnd"/>
            <w:r w:rsidRPr="00815AC7">
              <w:rPr>
                <w:rFonts w:hAnsi="Times New Roman" w:cs="Times New Roman"/>
                <w:b/>
                <w:bCs/>
              </w:rPr>
              <w:t xml:space="preserve"> </w:t>
            </w:r>
            <w:proofErr w:type="spellStart"/>
            <w:r w:rsidRPr="00815AC7">
              <w:rPr>
                <w:rFonts w:hAnsi="Times New Roman" w:cs="Times New Roman"/>
                <w:b/>
                <w:bCs/>
              </w:rPr>
              <w:t>institucijų</w:t>
            </w:r>
            <w:proofErr w:type="spellEnd"/>
            <w:r w:rsidRPr="00815AC7">
              <w:rPr>
                <w:rFonts w:hAnsi="Times New Roman" w:cs="Times New Roman"/>
                <w:b/>
                <w:bCs/>
              </w:rPr>
              <w:t xml:space="preserve"> </w:t>
            </w:r>
            <w:proofErr w:type="spellStart"/>
            <w:r w:rsidRPr="00815AC7">
              <w:rPr>
                <w:rFonts w:hAnsi="Times New Roman" w:cs="Times New Roman"/>
                <w:b/>
                <w:bCs/>
              </w:rPr>
              <w:t>narių</w:t>
            </w:r>
            <w:proofErr w:type="spellEnd"/>
            <w:r w:rsidRPr="00815AC7">
              <w:rPr>
                <w:rFonts w:hAnsi="Times New Roman" w:cs="Times New Roman"/>
                <w:b/>
                <w:bCs/>
              </w:rPr>
              <w:t xml:space="preserve"> </w:t>
            </w:r>
            <w:proofErr w:type="spellStart"/>
            <w:r w:rsidRPr="00815AC7">
              <w:rPr>
                <w:rFonts w:hAnsi="Times New Roman" w:cs="Times New Roman"/>
                <w:b/>
                <w:bCs/>
              </w:rPr>
              <w:t>padėtis</w:t>
            </w:r>
            <w:proofErr w:type="spellEnd"/>
            <w:r w:rsidRPr="00815AC7">
              <w:rPr>
                <w:rFonts w:hAnsi="Times New Roman" w:cs="Times New Roman"/>
                <w:b/>
                <w:bCs/>
              </w:rPr>
              <w:t xml:space="preserve"> </w:t>
            </w:r>
            <w:proofErr w:type="spellStart"/>
            <w:r w:rsidRPr="00815AC7">
              <w:rPr>
                <w:rFonts w:hAnsi="Times New Roman" w:cs="Times New Roman"/>
                <w:b/>
                <w:bCs/>
              </w:rPr>
              <w:t>Afganistane</w:t>
            </w:r>
            <w:proofErr w:type="spellEnd"/>
            <w:r w:rsidRPr="00815AC7">
              <w:rPr>
                <w:rFonts w:hAnsi="Times New Roman" w:cs="Times New Roman"/>
              </w:rPr>
              <w:t xml:space="preserve"> / </w:t>
            </w:r>
          </w:p>
          <w:p w14:paraId="33D6FCBB" w14:textId="28E2FFEC" w:rsidR="00815AC7" w:rsidRPr="00815AC7" w:rsidRDefault="00815AC7" w:rsidP="00216B37">
            <w:pPr>
              <w:pStyle w:val="Sraopastraipa"/>
              <w:spacing w:after="0" w:line="240" w:lineRule="auto"/>
              <w:contextualSpacing/>
              <w:rPr>
                <w:rFonts w:hAnsi="Times New Roman" w:cs="Times New Roman"/>
              </w:rPr>
            </w:pPr>
            <w:r w:rsidRPr="00815AC7">
              <w:rPr>
                <w:rFonts w:hAnsi="Times New Roman" w:cs="Times New Roman"/>
              </w:rPr>
              <w:t>Situation of the members of judiciary in Afghanistan</w:t>
            </w:r>
          </w:p>
          <w:p w14:paraId="59AA5E49" w14:textId="294A187A" w:rsidR="00815AC7" w:rsidRDefault="00815AC7" w:rsidP="00815AC7">
            <w:pPr>
              <w:pStyle w:val="Sraopastraipa"/>
              <w:spacing w:after="0" w:line="240" w:lineRule="auto"/>
              <w:ind w:left="194"/>
              <w:contextualSpacing/>
              <w:rPr>
                <w:rFonts w:hAnsi="Times New Roman" w:cs="Times New Roman"/>
                <w:i/>
                <w:iCs/>
              </w:rPr>
            </w:pPr>
            <w:r w:rsidRPr="00815AC7">
              <w:rPr>
                <w:rFonts w:hAnsi="Times New Roman" w:cs="Times New Roman"/>
                <w:i/>
                <w:iCs/>
              </w:rPr>
              <w:t xml:space="preserve">- </w:t>
            </w:r>
            <w:proofErr w:type="spellStart"/>
            <w:r w:rsidRPr="00815AC7">
              <w:rPr>
                <w:rFonts w:hAnsi="Times New Roman" w:cs="Times New Roman"/>
                <w:i/>
                <w:iCs/>
              </w:rPr>
              <w:t>Italijos</w:t>
            </w:r>
            <w:proofErr w:type="spellEnd"/>
            <w:r w:rsidRPr="00815AC7">
              <w:rPr>
                <w:rFonts w:hAnsi="Times New Roman" w:cs="Times New Roman"/>
                <w:i/>
                <w:iCs/>
              </w:rPr>
              <w:t xml:space="preserve"> </w:t>
            </w:r>
            <w:proofErr w:type="spellStart"/>
            <w:r w:rsidRPr="00815AC7">
              <w:rPr>
                <w:rFonts w:hAnsi="Times New Roman" w:cs="Times New Roman"/>
                <w:i/>
                <w:iCs/>
              </w:rPr>
              <w:t>informacija</w:t>
            </w:r>
            <w:proofErr w:type="spellEnd"/>
            <w:r w:rsidRPr="00815AC7">
              <w:rPr>
                <w:rFonts w:hAnsi="Times New Roman" w:cs="Times New Roman"/>
                <w:i/>
                <w:iCs/>
              </w:rPr>
              <w:t xml:space="preserve"> / Information from Italy </w:t>
            </w:r>
          </w:p>
          <w:p w14:paraId="1A99D36C" w14:textId="77777777" w:rsidR="00E463E7" w:rsidRPr="00815AC7" w:rsidRDefault="00E463E7" w:rsidP="00815AC7">
            <w:pPr>
              <w:pStyle w:val="Sraopastraipa"/>
              <w:spacing w:after="0" w:line="240" w:lineRule="auto"/>
              <w:ind w:left="194"/>
              <w:contextualSpacing/>
              <w:rPr>
                <w:rFonts w:hAnsi="Times New Roman" w:cs="Times New Roman"/>
                <w:i/>
                <w:iCs/>
              </w:rPr>
            </w:pPr>
          </w:p>
          <w:p w14:paraId="1EF95A34" w14:textId="77777777" w:rsidR="00E463E7" w:rsidRDefault="00815AC7" w:rsidP="00216B37">
            <w:pPr>
              <w:pStyle w:val="Sraopastraipa"/>
              <w:numPr>
                <w:ilvl w:val="0"/>
                <w:numId w:val="6"/>
              </w:numPr>
              <w:spacing w:after="0" w:line="240" w:lineRule="auto"/>
              <w:contextualSpacing/>
              <w:rPr>
                <w:rFonts w:hAnsi="Times New Roman" w:cs="Times New Roman"/>
              </w:rPr>
            </w:pPr>
            <w:proofErr w:type="spellStart"/>
            <w:r w:rsidRPr="00815AC7">
              <w:rPr>
                <w:rFonts w:hAnsi="Times New Roman" w:cs="Times New Roman"/>
                <w:b/>
                <w:bCs/>
              </w:rPr>
              <w:t>Kovos</w:t>
            </w:r>
            <w:proofErr w:type="spellEnd"/>
            <w:r w:rsidRPr="00815AC7">
              <w:rPr>
                <w:rFonts w:hAnsi="Times New Roman" w:cs="Times New Roman"/>
                <w:b/>
                <w:bCs/>
              </w:rPr>
              <w:t xml:space="preserve"> </w:t>
            </w:r>
            <w:proofErr w:type="spellStart"/>
            <w:r w:rsidRPr="00815AC7">
              <w:rPr>
                <w:rFonts w:hAnsi="Times New Roman" w:cs="Times New Roman"/>
                <w:b/>
                <w:bCs/>
              </w:rPr>
              <w:t>su</w:t>
            </w:r>
            <w:proofErr w:type="spellEnd"/>
            <w:r w:rsidRPr="00815AC7">
              <w:rPr>
                <w:rFonts w:hAnsi="Times New Roman" w:cs="Times New Roman"/>
                <w:b/>
                <w:bCs/>
              </w:rPr>
              <w:t xml:space="preserve"> </w:t>
            </w:r>
            <w:proofErr w:type="spellStart"/>
            <w:r w:rsidRPr="00815AC7">
              <w:rPr>
                <w:rFonts w:hAnsi="Times New Roman" w:cs="Times New Roman"/>
                <w:b/>
                <w:bCs/>
              </w:rPr>
              <w:t>neapykantos</w:t>
            </w:r>
            <w:proofErr w:type="spellEnd"/>
            <w:r w:rsidRPr="00815AC7">
              <w:rPr>
                <w:rFonts w:hAnsi="Times New Roman" w:cs="Times New Roman"/>
                <w:b/>
                <w:bCs/>
              </w:rPr>
              <w:t xml:space="preserve"> </w:t>
            </w:r>
            <w:proofErr w:type="spellStart"/>
            <w:r w:rsidRPr="00815AC7">
              <w:rPr>
                <w:rFonts w:hAnsi="Times New Roman" w:cs="Times New Roman"/>
                <w:b/>
                <w:bCs/>
              </w:rPr>
              <w:t>kurstymu</w:t>
            </w:r>
            <w:proofErr w:type="spellEnd"/>
            <w:r w:rsidRPr="00815AC7">
              <w:rPr>
                <w:rFonts w:hAnsi="Times New Roman" w:cs="Times New Roman"/>
                <w:b/>
                <w:bCs/>
              </w:rPr>
              <w:t xml:space="preserve"> </w:t>
            </w:r>
            <w:proofErr w:type="spellStart"/>
            <w:r w:rsidRPr="00815AC7">
              <w:rPr>
                <w:rFonts w:hAnsi="Times New Roman" w:cs="Times New Roman"/>
                <w:b/>
                <w:bCs/>
              </w:rPr>
              <w:t>internete</w:t>
            </w:r>
            <w:proofErr w:type="spellEnd"/>
            <w:r w:rsidRPr="00815AC7">
              <w:rPr>
                <w:rFonts w:hAnsi="Times New Roman" w:cs="Times New Roman"/>
                <w:b/>
                <w:bCs/>
              </w:rPr>
              <w:t xml:space="preserve"> </w:t>
            </w:r>
            <w:proofErr w:type="spellStart"/>
            <w:r w:rsidRPr="00815AC7">
              <w:rPr>
                <w:rFonts w:hAnsi="Times New Roman" w:cs="Times New Roman"/>
                <w:b/>
                <w:bCs/>
              </w:rPr>
              <w:t>elgesio</w:t>
            </w:r>
            <w:proofErr w:type="spellEnd"/>
            <w:r w:rsidRPr="00815AC7">
              <w:rPr>
                <w:rFonts w:hAnsi="Times New Roman" w:cs="Times New Roman"/>
                <w:b/>
                <w:bCs/>
              </w:rPr>
              <w:t xml:space="preserve"> </w:t>
            </w:r>
            <w:proofErr w:type="spellStart"/>
            <w:r w:rsidRPr="00815AC7">
              <w:rPr>
                <w:rFonts w:hAnsi="Times New Roman" w:cs="Times New Roman"/>
                <w:b/>
                <w:bCs/>
              </w:rPr>
              <w:t>kodekso</w:t>
            </w:r>
            <w:proofErr w:type="spellEnd"/>
            <w:r w:rsidRPr="00815AC7">
              <w:rPr>
                <w:rFonts w:hAnsi="Times New Roman" w:cs="Times New Roman"/>
                <w:b/>
                <w:bCs/>
              </w:rPr>
              <w:t xml:space="preserve"> </w:t>
            </w:r>
            <w:proofErr w:type="spellStart"/>
            <w:r w:rsidRPr="00815AC7">
              <w:rPr>
                <w:rFonts w:hAnsi="Times New Roman" w:cs="Times New Roman"/>
                <w:b/>
                <w:bCs/>
              </w:rPr>
              <w:t>įgyvendinimo</w:t>
            </w:r>
            <w:proofErr w:type="spellEnd"/>
            <w:r w:rsidRPr="00815AC7">
              <w:rPr>
                <w:rFonts w:hAnsi="Times New Roman" w:cs="Times New Roman"/>
                <w:b/>
                <w:bCs/>
              </w:rPr>
              <w:t xml:space="preserve"> 6-ojo </w:t>
            </w:r>
            <w:proofErr w:type="spellStart"/>
            <w:r w:rsidRPr="00815AC7">
              <w:rPr>
                <w:rFonts w:hAnsi="Times New Roman" w:cs="Times New Roman"/>
                <w:b/>
                <w:bCs/>
              </w:rPr>
              <w:t>vertinimo</w:t>
            </w:r>
            <w:proofErr w:type="spellEnd"/>
            <w:r w:rsidRPr="00815AC7">
              <w:rPr>
                <w:rFonts w:hAnsi="Times New Roman" w:cs="Times New Roman"/>
                <w:b/>
                <w:bCs/>
              </w:rPr>
              <w:t xml:space="preserve"> </w:t>
            </w:r>
            <w:proofErr w:type="spellStart"/>
            <w:r w:rsidRPr="00815AC7">
              <w:rPr>
                <w:rFonts w:hAnsi="Times New Roman" w:cs="Times New Roman"/>
                <w:b/>
                <w:bCs/>
              </w:rPr>
              <w:t>rezultatai</w:t>
            </w:r>
            <w:proofErr w:type="spellEnd"/>
            <w:r w:rsidRPr="00815AC7">
              <w:rPr>
                <w:rFonts w:hAnsi="Times New Roman" w:cs="Times New Roman"/>
              </w:rPr>
              <w:t xml:space="preserve"> </w:t>
            </w:r>
            <w:r>
              <w:rPr>
                <w:rFonts w:hAnsi="Times New Roman" w:cs="Times New Roman"/>
              </w:rPr>
              <w:t>/</w:t>
            </w:r>
          </w:p>
          <w:p w14:paraId="0CD6229B" w14:textId="6B835865" w:rsidR="00815AC7" w:rsidRDefault="00815AC7" w:rsidP="00216B37">
            <w:pPr>
              <w:pStyle w:val="Sraopastraipa"/>
              <w:spacing w:after="0" w:line="240" w:lineRule="auto"/>
              <w:contextualSpacing/>
              <w:rPr>
                <w:rFonts w:hAnsi="Times New Roman" w:cs="Times New Roman"/>
              </w:rPr>
            </w:pPr>
            <w:r w:rsidRPr="00815AC7">
              <w:rPr>
                <w:rFonts w:hAnsi="Times New Roman" w:cs="Times New Roman"/>
              </w:rPr>
              <w:t xml:space="preserve">Results of the 6th evaluation of the Code of Conduct on Countering Illegal Hate Speech Online </w:t>
            </w:r>
          </w:p>
          <w:p w14:paraId="7F286123" w14:textId="3B4425CC" w:rsidR="00FF3DD4" w:rsidRPr="00E463E7" w:rsidRDefault="269527E0" w:rsidP="269527E0">
            <w:pPr>
              <w:pStyle w:val="Sraopastraipa"/>
              <w:numPr>
                <w:ilvl w:val="0"/>
                <w:numId w:val="13"/>
              </w:numPr>
              <w:spacing w:after="0" w:line="240" w:lineRule="auto"/>
              <w:ind w:left="336" w:hanging="142"/>
              <w:contextualSpacing/>
              <w:rPr>
                <w:rFonts w:hAnsi="Times New Roman" w:cs="Times New Roman"/>
                <w:i/>
                <w:iCs/>
              </w:rPr>
            </w:pPr>
            <w:proofErr w:type="spellStart"/>
            <w:r w:rsidRPr="269527E0">
              <w:rPr>
                <w:i/>
                <w:iCs/>
              </w:rPr>
              <w:t>Komisijos</w:t>
            </w:r>
            <w:proofErr w:type="spellEnd"/>
            <w:r w:rsidRPr="269527E0">
              <w:rPr>
                <w:i/>
                <w:iCs/>
              </w:rPr>
              <w:t xml:space="preserve"> </w:t>
            </w:r>
            <w:proofErr w:type="spellStart"/>
            <w:r w:rsidRPr="269527E0">
              <w:rPr>
                <w:i/>
                <w:iCs/>
              </w:rPr>
              <w:t>informacija</w:t>
            </w:r>
            <w:proofErr w:type="spellEnd"/>
            <w:r w:rsidRPr="269527E0">
              <w:rPr>
                <w:rFonts w:hAnsi="Times New Roman" w:cs="Times New Roman"/>
              </w:rPr>
              <w:t xml:space="preserve"> / </w:t>
            </w:r>
            <w:r w:rsidRPr="269527E0">
              <w:rPr>
                <w:rFonts w:hAnsi="Times New Roman" w:cs="Times New Roman"/>
                <w:i/>
                <w:iCs/>
              </w:rPr>
              <w:t>Information from the Commission</w:t>
            </w:r>
          </w:p>
          <w:p w14:paraId="79E6BC72" w14:textId="23D85F4C" w:rsidR="00815AC7" w:rsidRPr="00815AC7" w:rsidRDefault="00815AC7" w:rsidP="00815AC7">
            <w:pPr>
              <w:pStyle w:val="Sraopastraipa"/>
              <w:spacing w:after="0" w:line="240" w:lineRule="auto"/>
              <w:contextualSpacing/>
              <w:rPr>
                <w:rFonts w:hAnsi="Times New Roman" w:cs="Times New Roman"/>
              </w:rPr>
            </w:pPr>
          </w:p>
          <w:p w14:paraId="3ECCA014" w14:textId="77777777" w:rsidR="00815AC7" w:rsidRDefault="00815AC7" w:rsidP="00815AC7">
            <w:pPr>
              <w:pStyle w:val="BodyA"/>
              <w:ind w:left="194"/>
              <w:jc w:val="both"/>
              <w:rPr>
                <w:rFonts w:hAnsi="Times New Roman" w:cs="Times New Roman"/>
                <w:i/>
                <w:iCs/>
                <w:lang w:val="lt-LT"/>
              </w:rPr>
            </w:pPr>
          </w:p>
          <w:p w14:paraId="3480FE07" w14:textId="7BE4435F" w:rsidR="00FF3DD4" w:rsidRPr="00815AC7" w:rsidRDefault="00FF3DD4" w:rsidP="00A25118">
            <w:pPr>
              <w:pStyle w:val="BodyA"/>
              <w:ind w:left="194"/>
              <w:rPr>
                <w:rFonts w:hAnsi="Times New Roman" w:cs="Times New Roman"/>
                <w:lang w:val="lt-LT"/>
              </w:rPr>
            </w:pPr>
            <w:r>
              <w:rPr>
                <w:rFonts w:hAnsi="Times New Roman" w:cs="Times New Roman"/>
                <w:b/>
                <w:bCs/>
                <w:lang w:val="lt-LT"/>
              </w:rPr>
              <w:t>Lietuvos pozicija:</w:t>
            </w:r>
            <w:r w:rsidR="00815AC7">
              <w:rPr>
                <w:rFonts w:hAnsi="Times New Roman" w:cs="Times New Roman"/>
                <w:b/>
                <w:bCs/>
                <w:lang w:val="lt-LT"/>
              </w:rPr>
              <w:t xml:space="preserve"> </w:t>
            </w:r>
            <w:r w:rsidR="00815AC7" w:rsidRPr="00815AC7">
              <w:rPr>
                <w:rFonts w:hAnsi="Times New Roman" w:cs="Times New Roman"/>
                <w:lang w:val="lt-LT"/>
              </w:rPr>
              <w:t>išklausyti informaciją.</w:t>
            </w:r>
          </w:p>
          <w:p w14:paraId="756FE4E7" w14:textId="3743FEA3" w:rsidR="00FF3DD4" w:rsidRPr="00DB21E1" w:rsidRDefault="00FF3DD4" w:rsidP="00815AC7">
            <w:pPr>
              <w:pStyle w:val="BodyA"/>
              <w:tabs>
                <w:tab w:val="left" w:pos="619"/>
              </w:tabs>
              <w:rPr>
                <w:rFonts w:hAnsi="Times New Roman" w:cs="Times New Roman"/>
                <w:b/>
                <w:bCs/>
                <w:lang w:val="lt-LT"/>
              </w:rPr>
            </w:pPr>
            <w:r w:rsidRPr="000F4EC6">
              <w:rPr>
                <w:rFonts w:hAnsi="Times New Roman" w:cs="Times New Roman"/>
                <w:b/>
                <w:bCs/>
                <w:lang w:val="lt-LT"/>
              </w:rPr>
              <w:t xml:space="preserve"> </w:t>
            </w:r>
          </w:p>
        </w:tc>
      </w:tr>
    </w:tbl>
    <w:p w14:paraId="75202DB3" w14:textId="77777777" w:rsidR="00FF3DD4" w:rsidRDefault="00FF3DD4" w:rsidP="00FF3DD4">
      <w:pPr>
        <w:pStyle w:val="BodyA"/>
        <w:jc w:val="center"/>
        <w:rPr>
          <w:rFonts w:hAnsi="Times New Roman" w:cs="Times New Roman"/>
          <w:b/>
          <w:bCs/>
          <w:caps/>
          <w:lang w:val="lt-LT"/>
        </w:rPr>
      </w:pPr>
    </w:p>
    <w:p w14:paraId="6039749B" w14:textId="77777777" w:rsidR="00FF3DD4" w:rsidRDefault="00FF3DD4" w:rsidP="00FF3DD4">
      <w:pPr>
        <w:pStyle w:val="BodyA"/>
        <w:jc w:val="center"/>
        <w:rPr>
          <w:rFonts w:hAnsi="Times New Roman" w:cs="Times New Roman"/>
          <w:b/>
          <w:bCs/>
          <w:caps/>
          <w:lang w:val="lt-LT"/>
        </w:rPr>
      </w:pPr>
    </w:p>
    <w:p w14:paraId="32E57397" w14:textId="77777777" w:rsidR="00FF3DD4" w:rsidRDefault="00FF3DD4" w:rsidP="00FF3DD4">
      <w:pPr>
        <w:pStyle w:val="BodyA"/>
        <w:jc w:val="center"/>
        <w:rPr>
          <w:rFonts w:hAnsi="Times New Roman" w:cs="Times New Roman"/>
          <w:b/>
          <w:bCs/>
          <w:caps/>
          <w:lang w:val="lt-LT"/>
        </w:rPr>
      </w:pPr>
    </w:p>
    <w:p w14:paraId="0227EA0A" w14:textId="77777777" w:rsidR="00FF3DD4" w:rsidRDefault="00FF3DD4" w:rsidP="00FF3DD4">
      <w:pPr>
        <w:pStyle w:val="BodyA"/>
        <w:jc w:val="center"/>
        <w:rPr>
          <w:rFonts w:hAnsi="Times New Roman" w:cs="Times New Roman"/>
          <w:b/>
          <w:bCs/>
          <w:caps/>
          <w:lang w:val="lt-LT"/>
        </w:rPr>
      </w:pPr>
    </w:p>
    <w:p w14:paraId="512DF493" w14:textId="77777777" w:rsidR="00FF3DD4" w:rsidRPr="00DB21E1" w:rsidRDefault="00FF3DD4" w:rsidP="00E463E7">
      <w:pPr>
        <w:pStyle w:val="BodyA"/>
        <w:rPr>
          <w:rFonts w:hAnsi="Times New Roman" w:cs="Times New Roman"/>
          <w:b/>
          <w:bCs/>
          <w:caps/>
          <w:lang w:val="lt-LT"/>
        </w:rPr>
      </w:pPr>
    </w:p>
    <w:p w14:paraId="7D94B186" w14:textId="77777777" w:rsidR="00FF3DD4" w:rsidRPr="00DB21E1" w:rsidRDefault="00FF3DD4" w:rsidP="00FF3DD4">
      <w:pPr>
        <w:pStyle w:val="BodyA"/>
        <w:rPr>
          <w:rFonts w:hAnsi="Times New Roman" w:cs="Times New Roman"/>
          <w:b/>
          <w:bCs/>
          <w:caps/>
          <w:lang w:val="lt-LT"/>
        </w:rPr>
      </w:pPr>
    </w:p>
    <w:p w14:paraId="141345A2" w14:textId="77777777" w:rsidR="00FF3DD4" w:rsidRDefault="00FF3DD4"/>
    <w:sectPr w:rsidR="00FF3DD4" w:rsidSect="00630401">
      <w:headerReference w:type="default" r:id="rId10"/>
      <w:headerReference w:type="first" r:id="rId11"/>
      <w:pgSz w:w="11900" w:h="16840"/>
      <w:pgMar w:top="1560" w:right="1134"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359C" w14:textId="77777777" w:rsidR="00DF23FF" w:rsidRDefault="00DF23FF">
      <w:r>
        <w:separator/>
      </w:r>
    </w:p>
  </w:endnote>
  <w:endnote w:type="continuationSeparator" w:id="0">
    <w:p w14:paraId="02D98920" w14:textId="77777777" w:rsidR="00DF23FF" w:rsidRDefault="00DF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8000" w14:textId="77777777" w:rsidR="00DF23FF" w:rsidRDefault="00DF23FF">
      <w:r>
        <w:separator/>
      </w:r>
    </w:p>
  </w:footnote>
  <w:footnote w:type="continuationSeparator" w:id="0">
    <w:p w14:paraId="0321DE44" w14:textId="77777777" w:rsidR="00DF23FF" w:rsidRDefault="00DF23FF">
      <w:r>
        <w:continuationSeparator/>
      </w:r>
    </w:p>
  </w:footnote>
  <w:footnote w:id="1">
    <w:p w14:paraId="7BEE6E92" w14:textId="77777777" w:rsidR="006A65EB" w:rsidRPr="00465935" w:rsidRDefault="006A65EB" w:rsidP="006A65EB">
      <w:pPr>
        <w:jc w:val="both"/>
        <w:rPr>
          <w:rFonts w:asciiTheme="minorHAnsi" w:hAnsiTheme="minorHAnsi" w:cstheme="minorHAnsi"/>
          <w:sz w:val="20"/>
          <w:szCs w:val="20"/>
          <w:lang w:val="lt-LT"/>
        </w:rPr>
      </w:pPr>
      <w:r w:rsidRPr="00465935">
        <w:rPr>
          <w:rStyle w:val="Puslapioinaosnuoroda"/>
          <w:rFonts w:asciiTheme="minorHAnsi" w:hAnsiTheme="minorHAnsi" w:cstheme="minorHAnsi"/>
          <w:sz w:val="20"/>
          <w:szCs w:val="20"/>
          <w:lang w:val="lt-LT"/>
        </w:rPr>
        <w:footnoteRef/>
      </w:r>
      <w:r w:rsidRPr="00465935">
        <w:rPr>
          <w:rFonts w:asciiTheme="minorHAnsi" w:hAnsiTheme="minorHAnsi" w:cstheme="minorHAnsi"/>
          <w:sz w:val="20"/>
          <w:szCs w:val="20"/>
          <w:lang w:val="lt-LT"/>
        </w:rPr>
        <w:t xml:space="preserve"> Europos Komisijos parengtas Europos demokratijos veiksmų planas, paskelbtas 2020 m. gruodžio 3 d. </w:t>
      </w:r>
      <w:hyperlink r:id="rId1" w:history="1">
        <w:r w:rsidRPr="00465935">
          <w:rPr>
            <w:rStyle w:val="Hipersaitas"/>
            <w:rFonts w:asciiTheme="minorHAnsi" w:hAnsiTheme="minorHAnsi" w:cstheme="minorHAnsi"/>
            <w:sz w:val="20"/>
            <w:szCs w:val="20"/>
            <w:lang w:val="lt-LT"/>
          </w:rPr>
          <w:t>https://ec.europa.eu/info/strategy/priorities-2019-2024/new-push-european-democracy/european-democracy-action-plan_lt</w:t>
        </w:r>
      </w:hyperlink>
      <w:r w:rsidRPr="00465935">
        <w:rPr>
          <w:rFonts w:asciiTheme="minorHAnsi" w:hAnsiTheme="minorHAnsi" w:cstheme="minorHAnsi"/>
          <w:sz w:val="20"/>
          <w:szCs w:val="20"/>
          <w:lang w:val="lt-LT"/>
        </w:rPr>
        <w:t xml:space="preserve"> </w:t>
      </w:r>
    </w:p>
  </w:footnote>
  <w:footnote w:id="2">
    <w:p w14:paraId="0514CC3B" w14:textId="77777777" w:rsidR="006A65EB" w:rsidRPr="00465935" w:rsidRDefault="006A65EB" w:rsidP="006A65EB">
      <w:pPr>
        <w:jc w:val="both"/>
        <w:rPr>
          <w:rFonts w:asciiTheme="minorHAnsi" w:hAnsiTheme="minorHAnsi" w:cstheme="minorHAnsi"/>
          <w:sz w:val="20"/>
          <w:szCs w:val="20"/>
          <w:lang w:val="lt-LT"/>
        </w:rPr>
      </w:pPr>
      <w:r w:rsidRPr="00465935">
        <w:rPr>
          <w:rStyle w:val="Puslapioinaosnuoroda"/>
          <w:rFonts w:asciiTheme="minorHAnsi" w:hAnsiTheme="minorHAnsi" w:cstheme="minorHAnsi"/>
          <w:sz w:val="20"/>
          <w:szCs w:val="20"/>
          <w:lang w:val="lt-LT"/>
        </w:rPr>
        <w:footnoteRef/>
      </w:r>
      <w:r w:rsidRPr="00465935">
        <w:rPr>
          <w:rFonts w:asciiTheme="minorHAnsi" w:hAnsiTheme="minorHAnsi" w:cstheme="minorHAnsi"/>
          <w:sz w:val="20"/>
          <w:szCs w:val="20"/>
          <w:lang w:val="lt-LT"/>
        </w:rPr>
        <w:t xml:space="preserve"> </w:t>
      </w:r>
      <w:r w:rsidRPr="00465935">
        <w:rPr>
          <w:rFonts w:asciiTheme="minorHAnsi" w:hAnsiTheme="minorHAnsi" w:cstheme="minorHAnsi"/>
          <w:sz w:val="20"/>
          <w:szCs w:val="20"/>
          <w:lang w:val="lt-LT"/>
        </w:rPr>
        <w:t xml:space="preserve">Vyriausybės programos nuostatų įgyvendinimo plane numatytas veiksmas: „Sukurti ir įtvirtinti žurnalistų saugumo garantijas ir persekiojimo nuo kritikos apsaugos mechanizmą“. Veiksmo vykdymo terminas: 2022 m. I </w:t>
      </w:r>
      <w:proofErr w:type="spellStart"/>
      <w:r w:rsidRPr="00465935">
        <w:rPr>
          <w:rFonts w:asciiTheme="minorHAnsi" w:hAnsiTheme="minorHAnsi" w:cstheme="minorHAnsi"/>
          <w:sz w:val="20"/>
          <w:szCs w:val="20"/>
          <w:lang w:val="lt-LT"/>
        </w:rPr>
        <w:t>ketv</w:t>
      </w:r>
      <w:proofErr w:type="spellEnd"/>
      <w:r w:rsidRPr="00465935">
        <w:rPr>
          <w:rFonts w:asciiTheme="minorHAnsi" w:hAnsiTheme="minorHAnsi" w:cstheme="minorHAnsi"/>
          <w:sz w:val="20"/>
          <w:szCs w:val="20"/>
          <w:lang w:val="lt-LT"/>
        </w:rPr>
        <w:t xml:space="preserve">. – 2023 m. I </w:t>
      </w:r>
      <w:proofErr w:type="spellStart"/>
      <w:r w:rsidRPr="00465935">
        <w:rPr>
          <w:rFonts w:asciiTheme="minorHAnsi" w:hAnsiTheme="minorHAnsi" w:cstheme="minorHAnsi"/>
          <w:sz w:val="20"/>
          <w:szCs w:val="20"/>
          <w:lang w:val="lt-LT"/>
        </w:rPr>
        <w:t>ketv</w:t>
      </w:r>
      <w:proofErr w:type="spellEnd"/>
      <w:r w:rsidRPr="00465935">
        <w:rPr>
          <w:rFonts w:asciiTheme="minorHAnsi" w:hAnsiTheme="minorHAnsi" w:cstheme="minorHAnsi"/>
          <w:sz w:val="20"/>
          <w:szCs w:val="20"/>
          <w:lang w:val="lt-LT"/>
        </w:rPr>
        <w:t>. Atsakinga institucija – Kultūros ministerija.</w:t>
      </w:r>
    </w:p>
  </w:footnote>
  <w:footnote w:id="3">
    <w:p w14:paraId="09EBAA36" w14:textId="77777777" w:rsidR="006A65EB" w:rsidRPr="00DE1048" w:rsidRDefault="006A65EB" w:rsidP="006A65EB">
      <w:pPr>
        <w:jc w:val="both"/>
        <w:rPr>
          <w:lang w:val="lt-LT"/>
        </w:rPr>
      </w:pPr>
      <w:r w:rsidRPr="00465935">
        <w:rPr>
          <w:rStyle w:val="Puslapioinaosnuoroda"/>
          <w:rFonts w:asciiTheme="minorHAnsi" w:hAnsiTheme="minorHAnsi" w:cstheme="minorHAnsi"/>
          <w:sz w:val="20"/>
          <w:szCs w:val="20"/>
          <w:lang w:val="lt-LT"/>
        </w:rPr>
        <w:footnoteRef/>
      </w:r>
      <w:r w:rsidRPr="00465935">
        <w:rPr>
          <w:rFonts w:asciiTheme="minorHAnsi" w:hAnsiTheme="minorHAnsi" w:cstheme="minorHAnsi"/>
          <w:sz w:val="20"/>
          <w:szCs w:val="20"/>
          <w:lang w:val="lt-LT"/>
        </w:rPr>
        <w:t xml:space="preserve"> </w:t>
      </w:r>
      <w:r w:rsidRPr="00465935">
        <w:rPr>
          <w:rFonts w:asciiTheme="minorHAnsi" w:hAnsiTheme="minorHAnsi" w:cstheme="minorHAnsi"/>
          <w:sz w:val="20"/>
          <w:szCs w:val="20"/>
          <w:lang w:val="lt-LT"/>
        </w:rPr>
        <w:t>Seimo valdybos 2021 m. kovo 31 d. sprendimu Nr. SV-S-75 sudaryta darbo grupė teisinio reguliavimo dėl strateginių ieškinių dėl visuomenės dalyvavimo apibrėžties ir atsako į šį reiškinį priemonių pakeitimams parengti, į kurios sudėtį įeina ir Teisingumo ministerijos atstovas.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5FB5" w14:textId="77777777" w:rsidR="004B217F" w:rsidRDefault="00666098" w:rsidP="00630401">
    <w:pPr>
      <w:pStyle w:val="BodyA"/>
      <w:tabs>
        <w:tab w:val="center" w:pos="4153"/>
        <w:tab w:val="right" w:pos="8306"/>
      </w:tabs>
      <w:jc w:val="right"/>
    </w:pPr>
    <w:r w:rsidRPr="0071270C">
      <w:rPr>
        <w:rFonts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023C" w14:textId="77777777" w:rsidR="006F1F92" w:rsidRPr="0071270C" w:rsidRDefault="00666098" w:rsidP="006F1F92">
    <w:pPr>
      <w:pStyle w:val="BodyA"/>
      <w:tabs>
        <w:tab w:val="center" w:pos="4153"/>
        <w:tab w:val="right" w:pos="8306"/>
      </w:tabs>
      <w:jc w:val="right"/>
      <w:rPr>
        <w:rFonts w:hAnsi="Times New Roman" w:cs="Times New Roman"/>
        <w:i/>
        <w:iCs/>
      </w:rPr>
    </w:pPr>
    <w:proofErr w:type="spellStart"/>
    <w:r w:rsidRPr="0071270C">
      <w:rPr>
        <w:rFonts w:hAnsi="Times New Roman" w:cs="Times New Roman"/>
        <w:i/>
        <w:iCs/>
      </w:rPr>
      <w:t>Parengė</w:t>
    </w:r>
    <w:proofErr w:type="spellEnd"/>
    <w:r w:rsidRPr="0071270C">
      <w:rPr>
        <w:rFonts w:hAnsi="Times New Roman" w:cs="Times New Roman"/>
        <w:i/>
        <w:iCs/>
      </w:rPr>
      <w:t xml:space="preserve">: Teisingumo ministerijos </w:t>
    </w:r>
    <w:proofErr w:type="spellStart"/>
    <w:r w:rsidRPr="0071270C">
      <w:rPr>
        <w:rFonts w:hAnsi="Times New Roman" w:cs="Times New Roman"/>
        <w:i/>
        <w:iCs/>
      </w:rPr>
      <w:t>tarptautinės</w:t>
    </w:r>
    <w:proofErr w:type="spellEnd"/>
    <w:r w:rsidRPr="0071270C">
      <w:rPr>
        <w:rFonts w:hAnsi="Times New Roman" w:cs="Times New Roman"/>
        <w:i/>
        <w:iCs/>
      </w:rPr>
      <w:t xml:space="preserve"> </w:t>
    </w:r>
    <w:proofErr w:type="spellStart"/>
    <w:r w:rsidRPr="0071270C">
      <w:rPr>
        <w:rFonts w:hAnsi="Times New Roman" w:cs="Times New Roman"/>
        <w:i/>
        <w:iCs/>
      </w:rPr>
      <w:t>teisės</w:t>
    </w:r>
    <w:proofErr w:type="spellEnd"/>
    <w:r w:rsidRPr="0071270C">
      <w:rPr>
        <w:rFonts w:hAnsi="Times New Roman" w:cs="Times New Roman"/>
        <w:i/>
        <w:iCs/>
      </w:rPr>
      <w:t xml:space="preserve"> </w:t>
    </w:r>
    <w:proofErr w:type="spellStart"/>
    <w:r w:rsidRPr="0071270C">
      <w:rPr>
        <w:rFonts w:hAnsi="Times New Roman" w:cs="Times New Roman"/>
        <w:i/>
        <w:iCs/>
      </w:rPr>
      <w:t>grupė</w:t>
    </w:r>
    <w:proofErr w:type="spellEnd"/>
  </w:p>
  <w:p w14:paraId="7AEC72E9" w14:textId="77777777" w:rsidR="00EF0DF3" w:rsidRDefault="00666098" w:rsidP="006F1F92">
    <w:pPr>
      <w:pStyle w:val="Antrats"/>
      <w:jc w:val="right"/>
    </w:pPr>
    <w:r>
      <w:rPr>
        <w:i/>
        <w:iCs/>
      </w:rPr>
      <w:t xml:space="preserve">                                  Data: 2021 09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E5A"/>
    <w:multiLevelType w:val="hybridMultilevel"/>
    <w:tmpl w:val="FD624FD4"/>
    <w:lvl w:ilvl="0" w:tplc="0C7649CA">
      <w:start w:val="1"/>
      <w:numFmt w:val="decimal"/>
      <w:lvlText w:val="%1."/>
      <w:lvlJc w:val="left"/>
      <w:pPr>
        <w:ind w:left="720" w:hanging="360"/>
      </w:pPr>
    </w:lvl>
    <w:lvl w:ilvl="1" w:tplc="171C1622">
      <w:start w:val="1"/>
      <w:numFmt w:val="lowerLetter"/>
      <w:lvlText w:val="%2."/>
      <w:lvlJc w:val="left"/>
      <w:pPr>
        <w:ind w:left="1440" w:hanging="360"/>
      </w:pPr>
    </w:lvl>
    <w:lvl w:ilvl="2" w:tplc="9A6CBD2C">
      <w:start w:val="1"/>
      <w:numFmt w:val="lowerRoman"/>
      <w:lvlText w:val="%3."/>
      <w:lvlJc w:val="right"/>
      <w:pPr>
        <w:ind w:left="2160" w:hanging="180"/>
      </w:pPr>
    </w:lvl>
    <w:lvl w:ilvl="3" w:tplc="E19EECA0">
      <w:start w:val="1"/>
      <w:numFmt w:val="decimal"/>
      <w:lvlText w:val="%4."/>
      <w:lvlJc w:val="left"/>
      <w:pPr>
        <w:ind w:left="2880" w:hanging="360"/>
      </w:pPr>
    </w:lvl>
    <w:lvl w:ilvl="4" w:tplc="5DA0398E">
      <w:start w:val="1"/>
      <w:numFmt w:val="lowerLetter"/>
      <w:lvlText w:val="%5."/>
      <w:lvlJc w:val="left"/>
      <w:pPr>
        <w:ind w:left="3600" w:hanging="360"/>
      </w:pPr>
    </w:lvl>
    <w:lvl w:ilvl="5" w:tplc="4D14620C">
      <w:start w:val="1"/>
      <w:numFmt w:val="lowerRoman"/>
      <w:lvlText w:val="%6."/>
      <w:lvlJc w:val="right"/>
      <w:pPr>
        <w:ind w:left="4320" w:hanging="180"/>
      </w:pPr>
    </w:lvl>
    <w:lvl w:ilvl="6" w:tplc="F5AEB576">
      <w:start w:val="1"/>
      <w:numFmt w:val="decimal"/>
      <w:lvlText w:val="%7."/>
      <w:lvlJc w:val="left"/>
      <w:pPr>
        <w:ind w:left="5040" w:hanging="360"/>
      </w:pPr>
    </w:lvl>
    <w:lvl w:ilvl="7" w:tplc="02DE5AEC">
      <w:start w:val="1"/>
      <w:numFmt w:val="lowerLetter"/>
      <w:lvlText w:val="%8."/>
      <w:lvlJc w:val="left"/>
      <w:pPr>
        <w:ind w:left="5760" w:hanging="360"/>
      </w:pPr>
    </w:lvl>
    <w:lvl w:ilvl="8" w:tplc="67E2B968">
      <w:start w:val="1"/>
      <w:numFmt w:val="lowerRoman"/>
      <w:lvlText w:val="%9."/>
      <w:lvlJc w:val="right"/>
      <w:pPr>
        <w:ind w:left="6480" w:hanging="180"/>
      </w:pPr>
    </w:lvl>
  </w:abstractNum>
  <w:abstractNum w:abstractNumId="1" w15:restartNumberingAfterBreak="0">
    <w:nsid w:val="056B07FA"/>
    <w:multiLevelType w:val="hybridMultilevel"/>
    <w:tmpl w:val="96A02286"/>
    <w:lvl w:ilvl="0" w:tplc="695C6B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25012F"/>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01513C"/>
    <w:multiLevelType w:val="hybridMultilevel"/>
    <w:tmpl w:val="6FCE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02C7F"/>
    <w:multiLevelType w:val="hybridMultilevel"/>
    <w:tmpl w:val="EA205F8A"/>
    <w:lvl w:ilvl="0" w:tplc="E6A0074A">
      <w:start w:val="2"/>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F7A6A41"/>
    <w:multiLevelType w:val="hybridMultilevel"/>
    <w:tmpl w:val="C50E57B2"/>
    <w:lvl w:ilvl="0" w:tplc="A432B6EA">
      <w:start w:val="1"/>
      <w:numFmt w:val="lowerLetter"/>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6" w15:restartNumberingAfterBreak="0">
    <w:nsid w:val="4210283C"/>
    <w:multiLevelType w:val="hybridMultilevel"/>
    <w:tmpl w:val="72B4E258"/>
    <w:lvl w:ilvl="0" w:tplc="0A92C9B2">
      <w:start w:val="1"/>
      <w:numFmt w:val="decimal"/>
      <w:lvlText w:val="%1."/>
      <w:lvlJc w:val="left"/>
      <w:pPr>
        <w:ind w:left="720" w:hanging="360"/>
      </w:pPr>
    </w:lvl>
    <w:lvl w:ilvl="1" w:tplc="5E58CA4E">
      <w:start w:val="1"/>
      <w:numFmt w:val="lowerLetter"/>
      <w:lvlText w:val="%2."/>
      <w:lvlJc w:val="left"/>
      <w:pPr>
        <w:ind w:left="1440" w:hanging="360"/>
      </w:pPr>
    </w:lvl>
    <w:lvl w:ilvl="2" w:tplc="8FDA0C1E">
      <w:start w:val="1"/>
      <w:numFmt w:val="lowerRoman"/>
      <w:lvlText w:val="%3."/>
      <w:lvlJc w:val="right"/>
      <w:pPr>
        <w:ind w:left="2160" w:hanging="180"/>
      </w:pPr>
    </w:lvl>
    <w:lvl w:ilvl="3" w:tplc="438CD3D8">
      <w:start w:val="1"/>
      <w:numFmt w:val="decimal"/>
      <w:lvlText w:val="%4."/>
      <w:lvlJc w:val="left"/>
      <w:pPr>
        <w:ind w:left="2880" w:hanging="360"/>
      </w:pPr>
    </w:lvl>
    <w:lvl w:ilvl="4" w:tplc="8F46D76C">
      <w:start w:val="1"/>
      <w:numFmt w:val="lowerLetter"/>
      <w:lvlText w:val="%5."/>
      <w:lvlJc w:val="left"/>
      <w:pPr>
        <w:ind w:left="3600" w:hanging="360"/>
      </w:pPr>
    </w:lvl>
    <w:lvl w:ilvl="5" w:tplc="E5EADBC2">
      <w:start w:val="1"/>
      <w:numFmt w:val="lowerRoman"/>
      <w:lvlText w:val="%6."/>
      <w:lvlJc w:val="right"/>
      <w:pPr>
        <w:ind w:left="4320" w:hanging="180"/>
      </w:pPr>
    </w:lvl>
    <w:lvl w:ilvl="6" w:tplc="65E22C20">
      <w:start w:val="1"/>
      <w:numFmt w:val="decimal"/>
      <w:lvlText w:val="%7."/>
      <w:lvlJc w:val="left"/>
      <w:pPr>
        <w:ind w:left="5040" w:hanging="360"/>
      </w:pPr>
    </w:lvl>
    <w:lvl w:ilvl="7" w:tplc="3A927476">
      <w:start w:val="1"/>
      <w:numFmt w:val="lowerLetter"/>
      <w:lvlText w:val="%8."/>
      <w:lvlJc w:val="left"/>
      <w:pPr>
        <w:ind w:left="5760" w:hanging="360"/>
      </w:pPr>
    </w:lvl>
    <w:lvl w:ilvl="8" w:tplc="2EB64106">
      <w:start w:val="1"/>
      <w:numFmt w:val="lowerRoman"/>
      <w:lvlText w:val="%9."/>
      <w:lvlJc w:val="right"/>
      <w:pPr>
        <w:ind w:left="6480" w:hanging="180"/>
      </w:pPr>
    </w:lvl>
  </w:abstractNum>
  <w:abstractNum w:abstractNumId="7" w15:restartNumberingAfterBreak="0">
    <w:nsid w:val="45F3494D"/>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51627A"/>
    <w:multiLevelType w:val="multilevel"/>
    <w:tmpl w:val="4926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19620B"/>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C253FFA"/>
    <w:multiLevelType w:val="hybridMultilevel"/>
    <w:tmpl w:val="1782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EC558A"/>
    <w:multiLevelType w:val="hybridMultilevel"/>
    <w:tmpl w:val="8A2889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4E2684"/>
    <w:multiLevelType w:val="hybridMultilevel"/>
    <w:tmpl w:val="83D26FC6"/>
    <w:lvl w:ilvl="0" w:tplc="F4A63714">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13" w15:restartNumberingAfterBreak="0">
    <w:nsid w:val="6F8F0C4A"/>
    <w:multiLevelType w:val="hybridMultilevel"/>
    <w:tmpl w:val="FD8CA4E4"/>
    <w:lvl w:ilvl="0" w:tplc="640EEF0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13"/>
  </w:num>
  <w:num w:numId="4">
    <w:abstractNumId w:val="8"/>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3"/>
  </w:num>
  <w:num w:numId="10">
    <w:abstractNumId w:val="10"/>
  </w:num>
  <w:num w:numId="11">
    <w:abstractNumId w:val="11"/>
  </w:num>
  <w:num w:numId="12">
    <w:abstractNumId w:val="7"/>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D4"/>
    <w:rsid w:val="00216B37"/>
    <w:rsid w:val="002A0070"/>
    <w:rsid w:val="002B45EB"/>
    <w:rsid w:val="00395157"/>
    <w:rsid w:val="003D74D2"/>
    <w:rsid w:val="00465935"/>
    <w:rsid w:val="00506389"/>
    <w:rsid w:val="00597595"/>
    <w:rsid w:val="006129CE"/>
    <w:rsid w:val="00620A43"/>
    <w:rsid w:val="00665B11"/>
    <w:rsid w:val="00666098"/>
    <w:rsid w:val="006A65EB"/>
    <w:rsid w:val="006C14E4"/>
    <w:rsid w:val="00815AC7"/>
    <w:rsid w:val="00A105FE"/>
    <w:rsid w:val="00A5027D"/>
    <w:rsid w:val="00AA3B8A"/>
    <w:rsid w:val="00B24792"/>
    <w:rsid w:val="00B34D34"/>
    <w:rsid w:val="00C3783B"/>
    <w:rsid w:val="00DF23FF"/>
    <w:rsid w:val="00E17523"/>
    <w:rsid w:val="00E463E7"/>
    <w:rsid w:val="00EA020F"/>
    <w:rsid w:val="00FF3DD4"/>
    <w:rsid w:val="269527E0"/>
    <w:rsid w:val="2F9ADD8D"/>
    <w:rsid w:val="5285E149"/>
    <w:rsid w:val="630AD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6000"/>
  <w15:chartTrackingRefBased/>
  <w15:docId w15:val="{8ED5F16E-AB06-45A9-B551-350B885D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9515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FF3DD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Sraopastraipa">
    <w:name w:val="List Paragraph"/>
    <w:uiPriority w:val="34"/>
    <w:qFormat/>
    <w:rsid w:val="00FF3DD4"/>
    <w:pPr>
      <w:pBdr>
        <w:top w:val="nil"/>
        <w:left w:val="nil"/>
        <w:bottom w:val="nil"/>
        <w:right w:val="nil"/>
        <w:between w:val="nil"/>
        <w:bar w:val="nil"/>
      </w:pBdr>
      <w:spacing w:after="200" w:line="276" w:lineRule="auto"/>
      <w:ind w:left="720"/>
    </w:pPr>
    <w:rPr>
      <w:rFonts w:ascii="Times New Roman" w:eastAsia="Arial Unicode MS" w:hAnsi="Arial Unicode MS" w:cs="Arial Unicode MS"/>
      <w:color w:val="000000"/>
      <w:sz w:val="24"/>
      <w:szCs w:val="24"/>
      <w:u w:color="000000"/>
      <w:bdr w:val="nil"/>
      <w:lang w:val="en-US"/>
    </w:rPr>
  </w:style>
  <w:style w:type="paragraph" w:styleId="Antrats">
    <w:name w:val="header"/>
    <w:basedOn w:val="prastasis"/>
    <w:link w:val="AntratsDiagrama"/>
    <w:uiPriority w:val="99"/>
    <w:unhideWhenUsed/>
    <w:rsid w:val="00FF3DD4"/>
    <w:pPr>
      <w:tabs>
        <w:tab w:val="center" w:pos="4819"/>
        <w:tab w:val="right" w:pos="9638"/>
      </w:tabs>
    </w:pPr>
  </w:style>
  <w:style w:type="character" w:customStyle="1" w:styleId="AntratsDiagrama">
    <w:name w:val="Antraštės Diagrama"/>
    <w:basedOn w:val="Numatytasispastraiposriftas"/>
    <w:link w:val="Antrats"/>
    <w:uiPriority w:val="99"/>
    <w:rsid w:val="00FF3DD4"/>
    <w:rPr>
      <w:rFonts w:ascii="Times New Roman" w:eastAsia="Arial Unicode MS" w:hAnsi="Times New Roman" w:cs="Times New Roman"/>
      <w:sz w:val="24"/>
      <w:szCs w:val="24"/>
      <w:bdr w:val="nil"/>
      <w:lang w:val="en-US"/>
    </w:rPr>
  </w:style>
  <w:style w:type="table" w:customStyle="1" w:styleId="TableGrid3">
    <w:name w:val="Table Grid3"/>
    <w:basedOn w:val="prastojilentel"/>
    <w:uiPriority w:val="59"/>
    <w:rsid w:val="00FF3DD4"/>
    <w:pPr>
      <w:spacing w:after="0" w:line="240" w:lineRule="auto"/>
    </w:pPr>
    <w:rPr>
      <w:rFonts w:ascii="Times New Roman" w:eastAsia="Calibri"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F3D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FF3DD4"/>
    <w:rPr>
      <w:b/>
      <w:bCs/>
    </w:rPr>
  </w:style>
  <w:style w:type="character" w:styleId="Hipersaitas">
    <w:name w:val="Hyperlink"/>
    <w:rsid w:val="006A65EB"/>
    <w:rPr>
      <w:color w:val="0000FF"/>
      <w:u w:val="single"/>
    </w:rPr>
  </w:style>
  <w:style w:type="character" w:styleId="Puslapioinaosnuoroda">
    <w:name w:val="footnote reference"/>
    <w:basedOn w:val="Numatytasispastraiposriftas"/>
    <w:uiPriority w:val="99"/>
    <w:semiHidden/>
    <w:unhideWhenUsed/>
    <w:rsid w:val="006A65EB"/>
    <w:rPr>
      <w:vertAlign w:val="superscript"/>
    </w:rPr>
  </w:style>
  <w:style w:type="character" w:styleId="Komentaronuoroda">
    <w:name w:val="annotation reference"/>
    <w:basedOn w:val="Numatytasispastraiposriftas"/>
    <w:uiPriority w:val="99"/>
    <w:semiHidden/>
    <w:unhideWhenUsed/>
    <w:rsid w:val="00597595"/>
    <w:rPr>
      <w:sz w:val="16"/>
      <w:szCs w:val="16"/>
    </w:rPr>
  </w:style>
  <w:style w:type="paragraph" w:styleId="Komentarotekstas">
    <w:name w:val="annotation text"/>
    <w:basedOn w:val="prastasis"/>
    <w:link w:val="KomentarotekstasDiagrama"/>
    <w:uiPriority w:val="99"/>
    <w:semiHidden/>
    <w:unhideWhenUsed/>
    <w:rsid w:val="00597595"/>
    <w:rPr>
      <w:sz w:val="20"/>
      <w:szCs w:val="20"/>
    </w:rPr>
  </w:style>
  <w:style w:type="character" w:customStyle="1" w:styleId="KomentarotekstasDiagrama">
    <w:name w:val="Komentaro tekstas Diagrama"/>
    <w:basedOn w:val="Numatytasispastraiposriftas"/>
    <w:link w:val="Komentarotekstas"/>
    <w:uiPriority w:val="99"/>
    <w:semiHidden/>
    <w:rsid w:val="00597595"/>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597595"/>
    <w:rPr>
      <w:b/>
      <w:bCs/>
    </w:rPr>
  </w:style>
  <w:style w:type="character" w:customStyle="1" w:styleId="KomentarotemaDiagrama">
    <w:name w:val="Komentaro tema Diagrama"/>
    <w:basedOn w:val="KomentarotekstasDiagrama"/>
    <w:link w:val="Komentarotema"/>
    <w:uiPriority w:val="99"/>
    <w:semiHidden/>
    <w:rsid w:val="00597595"/>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notes.xml.rels><?xml version="1.0" encoding="UTF-8" standalone="yes"?>
<Relationships xmlns="http://schemas.openxmlformats.org/package/2006/relationships">
   <Relationship Id="rId1"
                 Target="https://ec.europa.eu/info/strategy/priorities-2019-2024/new-push-european-democracy/european-democracy-action-plan_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8" ma:contentTypeDescription="Kurkite naują dokumentą." ma:contentTypeScope="" ma:versionID="ef2216f353d72b69c581595cfd86483e">
  <xsd:schema xmlns:xsd="http://www.w3.org/2001/XMLSchema" xmlns:xs="http://www.w3.org/2001/XMLSchema" xmlns:p="http://schemas.microsoft.com/office/2006/metadata/properties" xmlns:ns3="83ee0f47-ff77-4bfc-8ba0-c95730de1b2a" xmlns:ns4="cb0e26bc-5899-435b-8f16-00fdd4dae716" targetNamespace="http://schemas.microsoft.com/office/2006/metadata/properties" ma:root="true" ma:fieldsID="438a2da22e17479f498e856920687c2b" ns3:_="" ns4:_="">
    <xsd:import namespace="83ee0f47-ff77-4bfc-8ba0-c95730de1b2a"/>
    <xsd:import namespace="cb0e26bc-5899-435b-8f16-00fdd4dae7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91190-4A76-49E2-AA28-CBE8F63B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0f47-ff77-4bfc-8ba0-c95730de1b2a"/>
    <ds:schemaRef ds:uri="cb0e26bc-5899-435b-8f16-00fdd4da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E2D8-A114-4CC6-A429-DAA3A8EA303B}">
  <ds:schemaRefs>
    <ds:schemaRef ds:uri="http://schemas.microsoft.com/sharepoint/v3/contenttype/forms"/>
  </ds:schemaRefs>
</ds:datastoreItem>
</file>

<file path=customXml/itemProps3.xml><?xml version="1.0" encoding="utf-8"?>
<ds:datastoreItem xmlns:ds="http://schemas.openxmlformats.org/officeDocument/2006/customXml" ds:itemID="{6C1B8C10-BB30-4840-B7B7-8FC33A5EA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12798</Words>
  <Characters>7296</Characters>
  <Application>Microsoft Office Word</Application>
  <DocSecurity>0</DocSecurity>
  <Lines>60</Lines>
  <Paragraphs>40</Paragraphs>
  <ScaleCrop>false</ScaleCrop>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2021-10-04T07:48:00Z</dcterms:created>
  <dc:creator>Lina Urnikienė</dc:creator>
  <cp:lastModifiedBy>Lina Urnikienė</cp:lastModifiedBy>
  <dcterms:modified xsi:type="dcterms:W3CDTF">2021-10-04T07:48:00Z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