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5639" w14:textId="77777777" w:rsidR="000310F1" w:rsidRDefault="00DA497E" w:rsidP="005469B8">
      <w:pPr>
        <w:spacing w:after="0" w:line="240" w:lineRule="auto"/>
        <w:jc w:val="center"/>
        <w:rPr>
          <w:rFonts w:ascii="Times New Roman" w:hAnsi="Times New Roman" w:cs="Times New Roman"/>
          <w:sz w:val="24"/>
          <w:szCs w:val="24"/>
        </w:rPr>
      </w:pPr>
      <w:r w:rsidRPr="00DA497E">
        <w:rPr>
          <w:rFonts w:ascii="Times New Roman" w:hAnsi="Times New Roman" w:cs="Times New Roman"/>
          <w:noProof/>
          <w:sz w:val="24"/>
          <w:szCs w:val="24"/>
          <w:lang w:val="en-US"/>
        </w:rPr>
        <w:drawing>
          <wp:inline distT="0" distB="0" distL="0" distR="0" wp14:anchorId="7E62DB57" wp14:editId="3185A6E5">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3B97B48" w14:textId="77777777" w:rsidR="005469B8" w:rsidRPr="005469B8" w:rsidRDefault="005469B8" w:rsidP="005469B8">
      <w:pPr>
        <w:spacing w:after="0" w:line="240" w:lineRule="auto"/>
        <w:jc w:val="center"/>
        <w:rPr>
          <w:rFonts w:ascii="Times New Roman" w:hAnsi="Times New Roman" w:cs="Times New Roman"/>
          <w:sz w:val="20"/>
          <w:szCs w:val="20"/>
        </w:rPr>
      </w:pPr>
    </w:p>
    <w:p w14:paraId="2DBB6A4D" w14:textId="77777777" w:rsidR="00DA497E" w:rsidRDefault="00DA497E" w:rsidP="005469B8">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14:paraId="09E9CA3E" w14:textId="77777777" w:rsidR="00DA497E" w:rsidRPr="005469B8" w:rsidRDefault="00DA497E" w:rsidP="00DA497E">
      <w:pPr>
        <w:spacing w:after="0" w:line="240" w:lineRule="auto"/>
        <w:jc w:val="center"/>
        <w:rPr>
          <w:rFonts w:ascii="Times New Roman" w:hAnsi="Times New Roman" w:cs="Times New Roman"/>
          <w:caps/>
          <w:sz w:val="20"/>
          <w:szCs w:val="20"/>
        </w:rPr>
      </w:pPr>
    </w:p>
    <w:p w14:paraId="69005DD3" w14:textId="77777777" w:rsidR="00DA497E" w:rsidRPr="00DA497E" w:rsidRDefault="00DA497E" w:rsidP="00DA497E">
      <w:pPr>
        <w:pStyle w:val="Porat"/>
        <w:jc w:val="center"/>
        <w:rPr>
          <w:rFonts w:ascii="Times New Roman" w:hAnsi="Times New Roman" w:cs="Times New Roman"/>
          <w:sz w:val="18"/>
          <w:szCs w:val="18"/>
        </w:rPr>
      </w:pPr>
      <w:r w:rsidRPr="00DA497E">
        <w:rPr>
          <w:rFonts w:ascii="Times New Roman" w:hAnsi="Times New Roman" w:cs="Times New Roman"/>
          <w:sz w:val="18"/>
          <w:szCs w:val="18"/>
        </w:rPr>
        <w:t>Biudžetinė įstaiga, J. Tumo-Vaižganto g. 2, LT-</w:t>
      </w:r>
      <w:r w:rsidR="004351D1">
        <w:rPr>
          <w:rFonts w:ascii="Times New Roman" w:hAnsi="Times New Roman" w:cs="Times New Roman"/>
          <w:sz w:val="18"/>
          <w:szCs w:val="18"/>
          <w:lang w:val="fr-FR"/>
        </w:rPr>
        <w:t xml:space="preserve">01108 </w:t>
      </w:r>
      <w:r w:rsidRPr="00DA497E">
        <w:rPr>
          <w:rFonts w:ascii="Times New Roman" w:hAnsi="Times New Roman" w:cs="Times New Roman"/>
          <w:sz w:val="18"/>
          <w:szCs w:val="18"/>
        </w:rPr>
        <w:t>Vilnius, tel.: (8 5) 236 2444, (8 5) 236 2400,</w:t>
      </w:r>
    </w:p>
    <w:p w14:paraId="4E1C556C" w14:textId="77777777" w:rsidR="00DA497E" w:rsidRPr="00DA497E" w:rsidRDefault="00DA497E" w:rsidP="00DA497E">
      <w:pPr>
        <w:pStyle w:val="Porat"/>
        <w:jc w:val="center"/>
        <w:rPr>
          <w:rFonts w:ascii="Times New Roman" w:hAnsi="Times New Roman" w:cs="Times New Roman"/>
          <w:sz w:val="18"/>
          <w:szCs w:val="18"/>
        </w:rPr>
      </w:pPr>
      <w:r w:rsidRPr="00DA497E">
        <w:rPr>
          <w:rFonts w:ascii="Times New Roman" w:hAnsi="Times New Roman" w:cs="Times New Roman"/>
          <w:sz w:val="18"/>
          <w:szCs w:val="18"/>
        </w:rPr>
        <w:t xml:space="preserve">faks. (8 5) </w:t>
      </w:r>
      <w:r w:rsidR="003A30D6">
        <w:rPr>
          <w:rFonts w:ascii="Times New Roman" w:hAnsi="Times New Roman" w:cs="Times New Roman"/>
          <w:sz w:val="18"/>
          <w:szCs w:val="18"/>
          <w:lang w:val="fr-FR"/>
        </w:rPr>
        <w:t>236 2626</w:t>
      </w:r>
      <w:r w:rsidRPr="00DA497E">
        <w:rPr>
          <w:rFonts w:ascii="Times New Roman" w:hAnsi="Times New Roman" w:cs="Times New Roman"/>
          <w:sz w:val="18"/>
          <w:szCs w:val="18"/>
        </w:rPr>
        <w:t xml:space="preserve">, el. p. </w:t>
      </w:r>
      <w:hyperlink r:id="rId9" w:history="1">
        <w:r w:rsidRPr="00DA497E">
          <w:rPr>
            <w:rStyle w:val="Hipersaitas"/>
            <w:rFonts w:ascii="Times New Roman" w:hAnsi="Times New Roman" w:cs="Times New Roman"/>
            <w:color w:val="auto"/>
            <w:sz w:val="18"/>
            <w:szCs w:val="18"/>
          </w:rPr>
          <w:t>urm@urm.lt</w:t>
        </w:r>
      </w:hyperlink>
      <w:r w:rsidRPr="00DA497E">
        <w:rPr>
          <w:rFonts w:ascii="Times New Roman" w:hAnsi="Times New Roman" w:cs="Times New Roman"/>
          <w:sz w:val="18"/>
          <w:szCs w:val="18"/>
        </w:rPr>
        <w:t xml:space="preserve">, </w:t>
      </w:r>
      <w:hyperlink r:id="rId10" w:history="1">
        <w:r w:rsidRPr="00DA497E">
          <w:rPr>
            <w:rStyle w:val="Hipersaitas"/>
            <w:rFonts w:ascii="Times New Roman" w:hAnsi="Times New Roman" w:cs="Times New Roman"/>
            <w:color w:val="auto"/>
            <w:sz w:val="18"/>
            <w:szCs w:val="18"/>
          </w:rPr>
          <w:t>http://www.urm.lt</w:t>
        </w:r>
      </w:hyperlink>
    </w:p>
    <w:p w14:paraId="3005EE0C" w14:textId="77777777" w:rsidR="00DA497E" w:rsidRPr="00DA497E" w:rsidRDefault="00DA497E" w:rsidP="00DA497E">
      <w:pPr>
        <w:pStyle w:val="Porat"/>
        <w:jc w:val="center"/>
        <w:rPr>
          <w:rFonts w:ascii="Times New Roman" w:hAnsi="Times New Roman" w:cs="Times New Roman"/>
          <w:sz w:val="18"/>
          <w:szCs w:val="18"/>
        </w:rPr>
      </w:pPr>
      <w:r w:rsidRPr="00DA497E">
        <w:rPr>
          <w:rFonts w:ascii="Times New Roman" w:hAnsi="Times New Roman" w:cs="Times New Roman"/>
          <w:sz w:val="18"/>
          <w:szCs w:val="18"/>
        </w:rPr>
        <w:t>Duomenys kaupiami ir saugomi Juridinių asmenų registre, kodas 188613242</w:t>
      </w:r>
    </w:p>
    <w:tbl>
      <w:tblPr>
        <w:tblStyle w:val="Lentelstinklelis"/>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A497E" w14:paraId="400A48FF" w14:textId="77777777" w:rsidTr="00EB0A7C">
        <w:trPr>
          <w:trHeight w:val="270"/>
        </w:trPr>
        <w:tc>
          <w:tcPr>
            <w:tcW w:w="9608" w:type="dxa"/>
          </w:tcPr>
          <w:p w14:paraId="6E8A05B8" w14:textId="77777777" w:rsidR="00DA497E" w:rsidRPr="00DA497E" w:rsidRDefault="00DA497E" w:rsidP="00DA497E">
            <w:pPr>
              <w:pStyle w:val="Porat"/>
              <w:jc w:val="center"/>
              <w:rPr>
                <w:sz w:val="24"/>
                <w:szCs w:val="24"/>
              </w:rPr>
            </w:pPr>
          </w:p>
        </w:tc>
      </w:tr>
    </w:tbl>
    <w:p w14:paraId="659F40DE"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Style w:val="Lentelstinklelis"/>
        <w:tblW w:w="0" w:type="auto"/>
        <w:tblLook w:val="04A0" w:firstRow="1" w:lastRow="0" w:firstColumn="1" w:lastColumn="0" w:noHBand="0" w:noVBand="1"/>
      </w:tblPr>
      <w:tblGrid>
        <w:gridCol w:w="4814"/>
        <w:gridCol w:w="4814"/>
      </w:tblGrid>
      <w:tr w:rsidR="0055520F" w14:paraId="5EBB9D54" w14:textId="77777777" w:rsidTr="0055520F">
        <w:tc>
          <w:tcPr>
            <w:tcW w:w="4814" w:type="dxa"/>
            <w:tcBorders>
              <w:top w:val="nil"/>
              <w:left w:val="nil"/>
              <w:bottom w:val="nil"/>
              <w:right w:val="nil"/>
            </w:tcBorders>
          </w:tcPr>
          <w:p w14:paraId="29886382" w14:textId="40B8F1A3" w:rsidR="0055520F" w:rsidRDefault="00114CED" w:rsidP="00890DCE">
            <w:pPr>
              <w:tabs>
                <w:tab w:val="left" w:pos="283"/>
                <w:tab w:val="left" w:pos="1985"/>
                <w:tab w:val="left" w:pos="2977"/>
              </w:tabs>
              <w:spacing w:line="360" w:lineRule="auto"/>
              <w:rPr>
                <w:sz w:val="24"/>
              </w:rPr>
            </w:pPr>
            <w:r>
              <w:rPr>
                <w:sz w:val="24"/>
              </w:rPr>
              <w:t>Lietuvos Respublikos vidaus reikalų ministerijai</w:t>
            </w:r>
          </w:p>
          <w:p w14:paraId="705E4A6A" w14:textId="77777777" w:rsidR="00397BFD" w:rsidRDefault="00397BFD" w:rsidP="00890DCE">
            <w:pPr>
              <w:tabs>
                <w:tab w:val="left" w:pos="283"/>
                <w:tab w:val="left" w:pos="1985"/>
                <w:tab w:val="left" w:pos="2977"/>
              </w:tabs>
              <w:spacing w:line="360" w:lineRule="auto"/>
              <w:rPr>
                <w:sz w:val="24"/>
              </w:rPr>
            </w:pPr>
            <w:r>
              <w:rPr>
                <w:sz w:val="24"/>
              </w:rPr>
              <w:t xml:space="preserve">Lietuvos Respublikos finansų </w:t>
            </w:r>
          </w:p>
          <w:p w14:paraId="6C59BCB1" w14:textId="77777777" w:rsidR="00397BFD" w:rsidRDefault="00397BFD" w:rsidP="00890DCE">
            <w:pPr>
              <w:tabs>
                <w:tab w:val="left" w:pos="283"/>
                <w:tab w:val="left" w:pos="1985"/>
                <w:tab w:val="left" w:pos="2977"/>
              </w:tabs>
              <w:spacing w:line="360" w:lineRule="auto"/>
              <w:rPr>
                <w:sz w:val="24"/>
              </w:rPr>
            </w:pPr>
            <w:r>
              <w:rPr>
                <w:sz w:val="24"/>
              </w:rPr>
              <w:t>ministerijai</w:t>
            </w:r>
          </w:p>
        </w:tc>
        <w:tc>
          <w:tcPr>
            <w:tcW w:w="4814" w:type="dxa"/>
            <w:tcBorders>
              <w:top w:val="nil"/>
              <w:left w:val="nil"/>
              <w:bottom w:val="nil"/>
              <w:right w:val="nil"/>
            </w:tcBorders>
          </w:tcPr>
          <w:p w14:paraId="49A8B9A0" w14:textId="3778E5E1" w:rsidR="0055520F" w:rsidRDefault="00301955" w:rsidP="00DA497E">
            <w:pPr>
              <w:tabs>
                <w:tab w:val="left" w:pos="283"/>
                <w:tab w:val="left" w:pos="1985"/>
                <w:tab w:val="left" w:pos="2977"/>
              </w:tabs>
              <w:rPr>
                <w:sz w:val="24"/>
              </w:rPr>
            </w:pPr>
            <w:r>
              <w:rPr>
                <w:sz w:val="24"/>
                <w:szCs w:val="24"/>
              </w:rPr>
              <w:t>2021</w:t>
            </w:r>
            <w:r w:rsidR="0055520F" w:rsidRPr="00DA497E">
              <w:rPr>
                <w:sz w:val="24"/>
              </w:rPr>
              <w:t>-</w:t>
            </w:r>
            <w:r w:rsidR="00E975F5">
              <w:rPr>
                <w:sz w:val="24"/>
                <w:szCs w:val="24"/>
              </w:rPr>
              <w:t>05</w:t>
            </w:r>
            <w:r w:rsidR="0055520F" w:rsidRPr="00DA497E">
              <w:rPr>
                <w:sz w:val="24"/>
              </w:rPr>
              <w:t>-</w:t>
            </w:r>
            <w:r w:rsidR="00A3766C">
              <w:rPr>
                <w:sz w:val="24"/>
                <w:szCs w:val="24"/>
              </w:rPr>
              <w:t>04</w:t>
            </w:r>
            <w:r w:rsidR="0055520F" w:rsidRPr="00DA497E">
              <w:rPr>
                <w:sz w:val="24"/>
              </w:rPr>
              <w:t xml:space="preserve">     Nr. </w:t>
            </w:r>
            <w:r w:rsidR="00A3766C" w:rsidRPr="00A3766C">
              <w:rPr>
                <w:sz w:val="24"/>
              </w:rPr>
              <w:t>(4.11E)3-2561</w:t>
            </w:r>
          </w:p>
          <w:p w14:paraId="68E61B8B" w14:textId="77777777" w:rsidR="0055520F" w:rsidRDefault="0055520F" w:rsidP="00DA497E">
            <w:pPr>
              <w:tabs>
                <w:tab w:val="left" w:pos="283"/>
                <w:tab w:val="left" w:pos="1985"/>
                <w:tab w:val="left" w:pos="2977"/>
              </w:tabs>
              <w:rPr>
                <w:sz w:val="24"/>
              </w:rPr>
            </w:pPr>
            <w:r w:rsidRPr="00DA497E">
              <w:rPr>
                <w:sz w:val="24"/>
              </w:rPr>
              <w:fldChar w:fldCharType="begin">
                <w:ffData>
                  <w:name w:val="Text5"/>
                  <w:enabled/>
                  <w:calcOnExit w:val="0"/>
                  <w:statusText w:type="text" w:val="Dokumentas, į kurį atsakoma, numeris"/>
                  <w:textInput>
                    <w:default w:val="Į       "/>
                  </w:textInput>
                </w:ffData>
              </w:fldChar>
            </w:r>
            <w:r w:rsidRPr="00DA497E">
              <w:rPr>
                <w:sz w:val="24"/>
              </w:rPr>
              <w:instrText xml:space="preserve"> FORMTEXT </w:instrText>
            </w:r>
            <w:r w:rsidRPr="00DA497E">
              <w:rPr>
                <w:sz w:val="24"/>
              </w:rPr>
            </w:r>
            <w:r w:rsidRPr="00DA497E">
              <w:rPr>
                <w:sz w:val="24"/>
              </w:rPr>
              <w:fldChar w:fldCharType="separate"/>
            </w:r>
            <w:r w:rsidRPr="00DA497E">
              <w:rPr>
                <w:noProof/>
                <w:sz w:val="24"/>
              </w:rPr>
              <w:t xml:space="preserve">Į       </w:t>
            </w:r>
            <w:r w:rsidRPr="00DA497E">
              <w:rPr>
                <w:sz w:val="24"/>
              </w:rPr>
              <w:fldChar w:fldCharType="end"/>
            </w:r>
          </w:p>
        </w:tc>
      </w:tr>
    </w:tbl>
    <w:p w14:paraId="5E8F86B1"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32F12B6"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7FEDA4DC"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5ADA7678" w14:textId="77777777" w:rsidR="00DA497E" w:rsidRPr="00DA497E" w:rsidRDefault="00114CED" w:rsidP="00DA497E">
      <w:pPr>
        <w:tabs>
          <w:tab w:val="left" w:pos="283"/>
          <w:tab w:val="left" w:pos="1985"/>
          <w:tab w:val="left" w:pos="2977"/>
        </w:tabs>
        <w:spacing w:after="0" w:line="240" w:lineRule="auto"/>
        <w:rPr>
          <w:rFonts w:ascii="Times New Roman" w:hAnsi="Times New Roman" w:cs="Times New Roman"/>
          <w:b/>
          <w:sz w:val="24"/>
        </w:rPr>
      </w:pPr>
      <w:r>
        <w:rPr>
          <w:rFonts w:ascii="Times New Roman" w:hAnsi="Times New Roman" w:cs="Times New Roman"/>
          <w:b/>
          <w:sz w:val="24"/>
        </w:rPr>
        <w:t>DĖL DIDŽIAUSIO LEISTINO PAREIGYBIŲ SKAIČIAUS</w:t>
      </w:r>
    </w:p>
    <w:p w14:paraId="09FFBED3" w14:textId="77777777" w:rsidR="00DA497E" w:rsidRPr="00DA497E" w:rsidRDefault="00DA497E" w:rsidP="00DA497E">
      <w:pPr>
        <w:tabs>
          <w:tab w:val="left" w:pos="283"/>
          <w:tab w:val="left" w:pos="1985"/>
          <w:tab w:val="left" w:pos="2977"/>
        </w:tabs>
        <w:spacing w:after="0" w:line="240" w:lineRule="auto"/>
        <w:rPr>
          <w:rFonts w:ascii="Times New Roman" w:hAnsi="Times New Roman" w:cs="Times New Roman"/>
          <w:b/>
          <w:sz w:val="24"/>
        </w:rPr>
      </w:pPr>
    </w:p>
    <w:p w14:paraId="33486757" w14:textId="77777777" w:rsidR="00DA497E" w:rsidRDefault="00DA497E" w:rsidP="00DA497E">
      <w:pPr>
        <w:tabs>
          <w:tab w:val="left" w:pos="283"/>
          <w:tab w:val="left" w:pos="1985"/>
          <w:tab w:val="left" w:pos="2977"/>
        </w:tabs>
        <w:spacing w:after="0" w:line="240" w:lineRule="auto"/>
        <w:rPr>
          <w:rFonts w:ascii="Times New Roman" w:hAnsi="Times New Roman" w:cs="Times New Roman"/>
          <w:b/>
          <w:sz w:val="24"/>
        </w:rPr>
      </w:pPr>
    </w:p>
    <w:p w14:paraId="7BB14167" w14:textId="121ACA2B" w:rsidR="00DA497E" w:rsidRPr="00442C09" w:rsidRDefault="000B6F13" w:rsidP="0012038B">
      <w:pPr>
        <w:tabs>
          <w:tab w:val="left" w:pos="283"/>
          <w:tab w:val="left" w:pos="1985"/>
          <w:tab w:val="left" w:pos="2977"/>
        </w:tabs>
        <w:spacing w:after="0" w:line="360" w:lineRule="auto"/>
        <w:jc w:val="both"/>
        <w:rPr>
          <w:rFonts w:ascii="Times New Roman" w:hAnsi="Times New Roman" w:cs="Times New Roman"/>
          <w:sz w:val="24"/>
        </w:rPr>
      </w:pPr>
      <w:r>
        <w:rPr>
          <w:rFonts w:ascii="Times New Roman" w:hAnsi="Times New Roman" w:cs="Times New Roman"/>
          <w:sz w:val="24"/>
        </w:rPr>
        <w:tab/>
      </w:r>
      <w:r w:rsidR="0012038B">
        <w:rPr>
          <w:rFonts w:ascii="Times New Roman" w:hAnsi="Times New Roman" w:cs="Times New Roman"/>
          <w:sz w:val="24"/>
        </w:rPr>
        <w:t xml:space="preserve">Vadovaudamiesi </w:t>
      </w:r>
      <w:r w:rsidR="0012038B" w:rsidRPr="001108F7">
        <w:rPr>
          <w:rFonts w:ascii="Times New Roman" w:hAnsi="Times New Roman" w:cs="Times New Roman"/>
          <w:sz w:val="24"/>
          <w:szCs w:val="24"/>
        </w:rPr>
        <w:t xml:space="preserve">Lietuvos Respublikos </w:t>
      </w:r>
      <w:r w:rsidR="0012038B">
        <w:rPr>
          <w:rFonts w:ascii="Times New Roman" w:hAnsi="Times New Roman" w:cs="Times New Roman"/>
          <w:sz w:val="24"/>
          <w:szCs w:val="24"/>
        </w:rPr>
        <w:t xml:space="preserve">Vyriausybės 2018 m. gruodžio 12 </w:t>
      </w:r>
      <w:r w:rsidR="0012038B" w:rsidRPr="001108F7">
        <w:rPr>
          <w:rFonts w:ascii="Times New Roman" w:hAnsi="Times New Roman" w:cs="Times New Roman"/>
          <w:sz w:val="24"/>
          <w:szCs w:val="24"/>
        </w:rPr>
        <w:t>d. nutarimo Nr. 1298 „D</w:t>
      </w:r>
      <w:r w:rsidR="0012038B" w:rsidRPr="001108F7">
        <w:rPr>
          <w:rFonts w:ascii="Times New Roman" w:hAnsi="Times New Roman" w:cs="Times New Roman"/>
          <w:bCs/>
          <w:color w:val="000000"/>
          <w:sz w:val="24"/>
          <w:szCs w:val="24"/>
        </w:rPr>
        <w:t>ėl</w:t>
      </w:r>
      <w:r w:rsidR="0012038B">
        <w:rPr>
          <w:rFonts w:ascii="Times New Roman" w:hAnsi="Times New Roman" w:cs="Times New Roman"/>
          <w:bCs/>
          <w:caps/>
          <w:color w:val="000000"/>
          <w:sz w:val="24"/>
          <w:szCs w:val="24"/>
        </w:rPr>
        <w:t xml:space="preserve"> </w:t>
      </w:r>
      <w:r w:rsidR="00AD3EF4">
        <w:rPr>
          <w:rFonts w:ascii="Times New Roman" w:hAnsi="Times New Roman" w:cs="Times New Roman"/>
          <w:bCs/>
          <w:color w:val="000000"/>
          <w:sz w:val="24"/>
          <w:szCs w:val="24"/>
          <w:shd w:val="clear" w:color="auto" w:fill="FFFFFF"/>
        </w:rPr>
        <w:t>V</w:t>
      </w:r>
      <w:r w:rsidR="0012038B" w:rsidRPr="001108F7">
        <w:rPr>
          <w:rFonts w:ascii="Times New Roman" w:hAnsi="Times New Roman" w:cs="Times New Roman"/>
          <w:bCs/>
          <w:color w:val="000000"/>
          <w:sz w:val="24"/>
          <w:szCs w:val="24"/>
          <w:shd w:val="clear" w:color="auto" w:fill="FFFFFF"/>
        </w:rPr>
        <w:t>alstybės tarnautojų ir darbuotojų, dirbančių pagal darbo sutartis, pareigybių poreikio nustatymo kriterijų aprašo ir</w:t>
      </w:r>
      <w:r w:rsidR="0012038B">
        <w:rPr>
          <w:rFonts w:ascii="Times New Roman" w:hAnsi="Times New Roman" w:cs="Times New Roman"/>
          <w:bCs/>
          <w:caps/>
          <w:color w:val="000000"/>
          <w:sz w:val="24"/>
          <w:szCs w:val="24"/>
          <w:shd w:val="clear" w:color="auto" w:fill="FFFFFF"/>
        </w:rPr>
        <w:t xml:space="preserve"> D</w:t>
      </w:r>
      <w:r w:rsidR="0012038B" w:rsidRPr="001108F7">
        <w:rPr>
          <w:rFonts w:ascii="Times New Roman" w:hAnsi="Times New Roman" w:cs="Times New Roman"/>
          <w:bCs/>
          <w:color w:val="000000"/>
          <w:sz w:val="24"/>
          <w:szCs w:val="24"/>
        </w:rPr>
        <w:t>idžiausio leistino valstybės tarnautojų ir darbuotojų, dirbančių pagal darbo sutartis ir gaunančių darbo užmokestį iš valstybės biudžeto ir valstybės pinigų fondų, pareigybių skaičiaus sąrašo patvirtinimo</w:t>
      </w:r>
      <w:r w:rsidR="0012038B" w:rsidRPr="001108F7">
        <w:rPr>
          <w:rFonts w:ascii="Times New Roman" w:hAnsi="Times New Roman" w:cs="Times New Roman"/>
          <w:sz w:val="24"/>
          <w:szCs w:val="24"/>
        </w:rPr>
        <w:t>“ 2.2 papunkčiu</w:t>
      </w:r>
      <w:r w:rsidR="0012038B">
        <w:rPr>
          <w:rFonts w:ascii="Times New Roman" w:hAnsi="Times New Roman" w:cs="Times New Roman"/>
          <w:sz w:val="24"/>
          <w:szCs w:val="24"/>
        </w:rPr>
        <w:t xml:space="preserve">, </w:t>
      </w:r>
      <w:r w:rsidR="00D5531A">
        <w:rPr>
          <w:rFonts w:ascii="Times New Roman" w:hAnsi="Times New Roman" w:cs="Times New Roman"/>
          <w:sz w:val="24"/>
          <w:szCs w:val="24"/>
        </w:rPr>
        <w:t xml:space="preserve">teikiame </w:t>
      </w:r>
      <w:r w:rsidR="00AD3EF4">
        <w:rPr>
          <w:rFonts w:ascii="Times New Roman" w:hAnsi="Times New Roman" w:cs="Times New Roman"/>
          <w:sz w:val="24"/>
          <w:szCs w:val="24"/>
        </w:rPr>
        <w:t>pa</w:t>
      </w:r>
      <w:r w:rsidR="00D5531A">
        <w:rPr>
          <w:rFonts w:ascii="Times New Roman" w:hAnsi="Times New Roman" w:cs="Times New Roman"/>
          <w:sz w:val="24"/>
          <w:szCs w:val="24"/>
        </w:rPr>
        <w:t xml:space="preserve">siūlymą padidinti Užsienio reikalų ministerijai didžiausią leistiną pareigybių </w:t>
      </w:r>
      <w:r w:rsidR="00D5531A" w:rsidRPr="0029052A">
        <w:rPr>
          <w:rFonts w:ascii="Times New Roman" w:hAnsi="Times New Roman" w:cs="Times New Roman"/>
          <w:sz w:val="24"/>
          <w:szCs w:val="24"/>
        </w:rPr>
        <w:t xml:space="preserve">skaičių </w:t>
      </w:r>
      <w:r w:rsidR="009331A2" w:rsidRPr="00442C09">
        <w:rPr>
          <w:rFonts w:ascii="Times New Roman" w:hAnsi="Times New Roman" w:cs="Times New Roman"/>
          <w:sz w:val="24"/>
          <w:szCs w:val="24"/>
        </w:rPr>
        <w:t>penkiolika</w:t>
      </w:r>
      <w:r w:rsidR="00D5531A" w:rsidRPr="00442C09">
        <w:rPr>
          <w:rFonts w:ascii="Times New Roman" w:hAnsi="Times New Roman" w:cs="Times New Roman"/>
          <w:sz w:val="24"/>
          <w:szCs w:val="24"/>
        </w:rPr>
        <w:t xml:space="preserve"> pareigyb</w:t>
      </w:r>
      <w:r w:rsidR="006C3581" w:rsidRPr="00442C09">
        <w:rPr>
          <w:rFonts w:ascii="Times New Roman" w:hAnsi="Times New Roman" w:cs="Times New Roman"/>
          <w:sz w:val="24"/>
          <w:szCs w:val="24"/>
        </w:rPr>
        <w:t>ių</w:t>
      </w:r>
      <w:r w:rsidR="00D5531A" w:rsidRPr="00442C09">
        <w:rPr>
          <w:rFonts w:ascii="Times New Roman" w:hAnsi="Times New Roman" w:cs="Times New Roman"/>
          <w:sz w:val="24"/>
          <w:szCs w:val="24"/>
        </w:rPr>
        <w:t xml:space="preserve"> </w:t>
      </w:r>
      <w:r w:rsidR="00AD3EF4" w:rsidRPr="00442C09">
        <w:rPr>
          <w:rFonts w:ascii="Times New Roman" w:hAnsi="Times New Roman" w:cs="Times New Roman"/>
          <w:sz w:val="24"/>
          <w:szCs w:val="24"/>
        </w:rPr>
        <w:t xml:space="preserve">- </w:t>
      </w:r>
      <w:r w:rsidR="006C3581" w:rsidRPr="00442C09">
        <w:rPr>
          <w:rFonts w:ascii="Times New Roman" w:hAnsi="Times New Roman" w:cs="Times New Roman"/>
          <w:sz w:val="24"/>
          <w:szCs w:val="24"/>
        </w:rPr>
        <w:t>nuo 1005</w:t>
      </w:r>
      <w:r w:rsidR="00D5531A" w:rsidRPr="00442C09">
        <w:rPr>
          <w:rFonts w:ascii="Times New Roman" w:hAnsi="Times New Roman" w:cs="Times New Roman"/>
          <w:sz w:val="24"/>
          <w:szCs w:val="24"/>
        </w:rPr>
        <w:t xml:space="preserve"> iki 10</w:t>
      </w:r>
      <w:r w:rsidR="009331A2" w:rsidRPr="00442C09">
        <w:rPr>
          <w:rFonts w:ascii="Times New Roman" w:hAnsi="Times New Roman" w:cs="Times New Roman"/>
          <w:sz w:val="24"/>
          <w:szCs w:val="24"/>
        </w:rPr>
        <w:t>20</w:t>
      </w:r>
      <w:r w:rsidR="00696DBD" w:rsidRPr="00442C09">
        <w:rPr>
          <w:rFonts w:ascii="Times New Roman" w:hAnsi="Times New Roman" w:cs="Times New Roman"/>
          <w:i/>
          <w:sz w:val="24"/>
          <w:szCs w:val="24"/>
        </w:rPr>
        <w:t xml:space="preserve"> </w:t>
      </w:r>
      <w:r w:rsidR="00D5531A" w:rsidRPr="00442C09">
        <w:rPr>
          <w:rFonts w:ascii="Times New Roman" w:hAnsi="Times New Roman" w:cs="Times New Roman"/>
          <w:sz w:val="24"/>
          <w:szCs w:val="24"/>
        </w:rPr>
        <w:t>.</w:t>
      </w:r>
    </w:p>
    <w:p w14:paraId="5A271396" w14:textId="1DD4085E" w:rsidR="00EB054B" w:rsidRDefault="00EB054B" w:rsidP="00EB054B">
      <w:pPr>
        <w:tabs>
          <w:tab w:val="left" w:pos="283"/>
          <w:tab w:val="left" w:pos="1985"/>
          <w:tab w:val="left" w:pos="2977"/>
        </w:tabs>
        <w:spacing w:after="0" w:line="360" w:lineRule="auto"/>
        <w:jc w:val="both"/>
        <w:rPr>
          <w:rFonts w:ascii="Times New Roman" w:hAnsi="Times New Roman" w:cs="Times New Roman"/>
          <w:sz w:val="24"/>
          <w:szCs w:val="24"/>
        </w:rPr>
      </w:pPr>
      <w:r>
        <w:rPr>
          <w:rFonts w:ascii="Times New Roman" w:hAnsi="Times New Roman" w:cs="Times New Roman"/>
          <w:sz w:val="24"/>
        </w:rPr>
        <w:tab/>
      </w:r>
      <w:r w:rsidR="009331A2" w:rsidRPr="005132D9">
        <w:rPr>
          <w:rFonts w:ascii="Times New Roman" w:hAnsi="Times New Roman" w:cs="Times New Roman"/>
          <w:sz w:val="24"/>
        </w:rPr>
        <w:t>Aštuonioliktos</w:t>
      </w:r>
      <w:r w:rsidR="00AD4592">
        <w:rPr>
          <w:rFonts w:ascii="Times New Roman" w:hAnsi="Times New Roman" w:cs="Times New Roman"/>
          <w:sz w:val="24"/>
        </w:rPr>
        <w:t>ios</w:t>
      </w:r>
      <w:r w:rsidR="009331A2" w:rsidRPr="005132D9">
        <w:rPr>
          <w:rFonts w:ascii="Times New Roman" w:hAnsi="Times New Roman" w:cs="Times New Roman"/>
          <w:sz w:val="24"/>
        </w:rPr>
        <w:t xml:space="preserve"> Lietuvos Respublikos Vyriausybės programos, kuriai pritarta Lietuvos Respublikos Seimo 2</w:t>
      </w:r>
      <w:r w:rsidR="009671D9" w:rsidRPr="005132D9">
        <w:rPr>
          <w:rFonts w:ascii="Times New Roman" w:hAnsi="Times New Roman" w:cs="Times New Roman"/>
          <w:sz w:val="24"/>
        </w:rPr>
        <w:t>020 m. gruodžio 11 d. nutarimu N</w:t>
      </w:r>
      <w:r w:rsidR="009331A2" w:rsidRPr="005132D9">
        <w:rPr>
          <w:rFonts w:ascii="Times New Roman" w:hAnsi="Times New Roman" w:cs="Times New Roman"/>
          <w:sz w:val="24"/>
        </w:rPr>
        <w:t>r. XIV-72 „Dėl Aštuonioliktos</w:t>
      </w:r>
      <w:r w:rsidR="00DB73E4">
        <w:rPr>
          <w:rFonts w:ascii="Times New Roman" w:hAnsi="Times New Roman" w:cs="Times New Roman"/>
          <w:sz w:val="24"/>
        </w:rPr>
        <w:t>ios</w:t>
      </w:r>
      <w:r w:rsidR="009331A2" w:rsidRPr="005132D9">
        <w:rPr>
          <w:rFonts w:ascii="Times New Roman" w:hAnsi="Times New Roman" w:cs="Times New Roman"/>
          <w:sz w:val="24"/>
        </w:rPr>
        <w:t xml:space="preserve"> Lietuvos Respublikos Vyriausybės programos“ (toliau – Aštuonioliktos</w:t>
      </w:r>
      <w:r w:rsidR="00DB73E4">
        <w:rPr>
          <w:rFonts w:ascii="Times New Roman" w:hAnsi="Times New Roman" w:cs="Times New Roman"/>
          <w:sz w:val="24"/>
        </w:rPr>
        <w:t>ios</w:t>
      </w:r>
      <w:r w:rsidR="009331A2" w:rsidRPr="005132D9">
        <w:rPr>
          <w:rFonts w:ascii="Times New Roman" w:hAnsi="Times New Roman" w:cs="Times New Roman"/>
          <w:sz w:val="24"/>
        </w:rPr>
        <w:t xml:space="preserve"> Lietuvos Respublikos Vyriausybės programa), 135.3 papunktyje įtvirtinta iniciatyva </w:t>
      </w:r>
      <w:r w:rsidR="009671D9" w:rsidRPr="005132D9">
        <w:rPr>
          <w:rFonts w:ascii="Times New Roman" w:hAnsi="Times New Roman" w:cs="Times New Roman"/>
          <w:sz w:val="24"/>
        </w:rPr>
        <w:t xml:space="preserve">stiprinti Lietuvos ekonominės diplomatijos pajėgumus Lietuvos verslui aktualiausiose, strategiškai ir geopolitiškai svarbiausiose pasaulio rinkose. </w:t>
      </w:r>
      <w:r w:rsidR="002C45BB" w:rsidRPr="005132D9">
        <w:rPr>
          <w:rFonts w:ascii="Times New Roman" w:hAnsi="Times New Roman" w:cs="Times New Roman"/>
          <w:sz w:val="24"/>
        </w:rPr>
        <w:t>Atsižvelg</w:t>
      </w:r>
      <w:r w:rsidR="00DB73E4">
        <w:rPr>
          <w:rFonts w:ascii="Times New Roman" w:hAnsi="Times New Roman" w:cs="Times New Roman"/>
          <w:sz w:val="24"/>
        </w:rPr>
        <w:t>dama</w:t>
      </w:r>
      <w:r w:rsidR="002C45BB" w:rsidRPr="005132D9">
        <w:rPr>
          <w:rFonts w:ascii="Times New Roman" w:hAnsi="Times New Roman" w:cs="Times New Roman"/>
          <w:sz w:val="24"/>
        </w:rPr>
        <w:t xml:space="preserve"> į tai, </w:t>
      </w:r>
      <w:r w:rsidR="00114CED" w:rsidRPr="00D80B7C">
        <w:rPr>
          <w:rFonts w:ascii="Times New Roman" w:hAnsi="Times New Roman" w:cs="Times New Roman"/>
          <w:sz w:val="24"/>
        </w:rPr>
        <w:t xml:space="preserve">Užsienio reikalų ministerija </w:t>
      </w:r>
      <w:r w:rsidR="00301955" w:rsidRPr="00D80B7C">
        <w:rPr>
          <w:rFonts w:ascii="Times New Roman" w:hAnsi="Times New Roman" w:cs="Times New Roman"/>
          <w:sz w:val="24"/>
        </w:rPr>
        <w:t>įgyvendina „Ekonominės diplomatijos stiprinimo Lietuvos Respublikos diplomatinėse atstovybėse“ projektą</w:t>
      </w:r>
      <w:r w:rsidR="00DB494C" w:rsidRPr="00D80B7C">
        <w:rPr>
          <w:rFonts w:ascii="Times New Roman" w:hAnsi="Times New Roman" w:cs="Times New Roman"/>
          <w:sz w:val="24"/>
        </w:rPr>
        <w:t xml:space="preserve">, kurio tikslas – didinti diplomatinių atstovybių pajėgumus </w:t>
      </w:r>
      <w:r w:rsidRPr="00D80B7C">
        <w:rPr>
          <w:rFonts w:ascii="Times New Roman" w:hAnsi="Times New Roman" w:cs="Times New Roman"/>
          <w:sz w:val="24"/>
        </w:rPr>
        <w:t>atliepi</w:t>
      </w:r>
      <w:r w:rsidR="001C715C" w:rsidRPr="00D80B7C">
        <w:rPr>
          <w:rFonts w:ascii="Times New Roman" w:hAnsi="Times New Roman" w:cs="Times New Roman"/>
          <w:sz w:val="24"/>
        </w:rPr>
        <w:t>a</w:t>
      </w:r>
      <w:r w:rsidRPr="00D80B7C">
        <w:rPr>
          <w:rFonts w:ascii="Times New Roman" w:hAnsi="Times New Roman" w:cs="Times New Roman"/>
          <w:sz w:val="24"/>
        </w:rPr>
        <w:t>nt Lietuvos institucijų ir verslo poreikius ekonominėje</w:t>
      </w:r>
      <w:r w:rsidRPr="00BF159C">
        <w:rPr>
          <w:rFonts w:ascii="Times New Roman" w:hAnsi="Times New Roman" w:cs="Times New Roman"/>
          <w:sz w:val="24"/>
          <w:u w:val="single"/>
        </w:rPr>
        <w:t xml:space="preserve"> </w:t>
      </w:r>
      <w:r w:rsidRPr="00D80B7C">
        <w:rPr>
          <w:rFonts w:ascii="Times New Roman" w:hAnsi="Times New Roman" w:cs="Times New Roman"/>
          <w:sz w:val="24"/>
        </w:rPr>
        <w:t>srityje.</w:t>
      </w:r>
      <w:r w:rsidRPr="005132D9">
        <w:rPr>
          <w:rFonts w:ascii="Times New Roman" w:hAnsi="Times New Roman" w:cs="Times New Roman"/>
          <w:sz w:val="24"/>
        </w:rPr>
        <w:t xml:space="preserve"> Užsienio reikalų ministerija </w:t>
      </w:r>
      <w:r w:rsidRPr="005132D9">
        <w:rPr>
          <w:rFonts w:ascii="Times New Roman" w:hAnsi="Times New Roman" w:cs="Times New Roman"/>
          <w:color w:val="010101"/>
          <w:sz w:val="24"/>
          <w:szCs w:val="24"/>
        </w:rPr>
        <w:t xml:space="preserve">dar </w:t>
      </w:r>
      <w:r w:rsidRPr="00AD3407">
        <w:rPr>
          <w:rFonts w:ascii="Times New Roman" w:hAnsi="Times New Roman" w:cs="Times New Roman"/>
          <w:color w:val="010101"/>
          <w:sz w:val="24"/>
          <w:szCs w:val="24"/>
        </w:rPr>
        <w:t xml:space="preserve">2019 </w:t>
      </w:r>
      <w:r w:rsidRPr="005132D9">
        <w:rPr>
          <w:rFonts w:ascii="Times New Roman" w:hAnsi="Times New Roman" w:cs="Times New Roman"/>
          <w:color w:val="010101"/>
          <w:sz w:val="24"/>
          <w:szCs w:val="24"/>
        </w:rPr>
        <w:t xml:space="preserve">metais atliko išsamią </w:t>
      </w:r>
      <w:r w:rsidR="00DB73E4">
        <w:rPr>
          <w:rFonts w:ascii="Times New Roman" w:hAnsi="Times New Roman" w:cs="Times New Roman"/>
          <w:color w:val="010101"/>
          <w:sz w:val="24"/>
          <w:szCs w:val="24"/>
        </w:rPr>
        <w:t xml:space="preserve">atstovavimo </w:t>
      </w:r>
      <w:r w:rsidRPr="005132D9">
        <w:rPr>
          <w:rFonts w:ascii="Times New Roman" w:hAnsi="Times New Roman" w:cs="Times New Roman"/>
          <w:color w:val="010101"/>
          <w:sz w:val="24"/>
          <w:szCs w:val="24"/>
        </w:rPr>
        <w:t xml:space="preserve">Lietuvos </w:t>
      </w:r>
      <w:r w:rsidR="00DB73E4">
        <w:rPr>
          <w:rFonts w:ascii="Times New Roman" w:hAnsi="Times New Roman" w:cs="Times New Roman"/>
          <w:color w:val="010101"/>
          <w:sz w:val="24"/>
          <w:szCs w:val="24"/>
        </w:rPr>
        <w:t xml:space="preserve">ekonominiams </w:t>
      </w:r>
      <w:r w:rsidRPr="005132D9">
        <w:rPr>
          <w:rFonts w:ascii="Times New Roman" w:hAnsi="Times New Roman" w:cs="Times New Roman"/>
          <w:color w:val="010101"/>
          <w:sz w:val="24"/>
          <w:szCs w:val="24"/>
        </w:rPr>
        <w:t>interes</w:t>
      </w:r>
      <w:r w:rsidR="00DB73E4">
        <w:rPr>
          <w:rFonts w:ascii="Times New Roman" w:hAnsi="Times New Roman" w:cs="Times New Roman"/>
          <w:color w:val="010101"/>
          <w:sz w:val="24"/>
          <w:szCs w:val="24"/>
        </w:rPr>
        <w:t>ams</w:t>
      </w:r>
      <w:r w:rsidRPr="005132D9">
        <w:rPr>
          <w:rFonts w:ascii="Times New Roman" w:hAnsi="Times New Roman" w:cs="Times New Roman"/>
          <w:color w:val="010101"/>
          <w:sz w:val="24"/>
          <w:szCs w:val="24"/>
        </w:rPr>
        <w:t xml:space="preserve"> užsienyje  analizę, įvertino </w:t>
      </w:r>
      <w:r w:rsidRPr="005132D9">
        <w:rPr>
          <w:rFonts w:ascii="Times New Roman" w:hAnsi="Times New Roman" w:cs="Times New Roman"/>
          <w:sz w:val="24"/>
          <w:szCs w:val="24"/>
        </w:rPr>
        <w:t>Lietuvos eksporto, investicijų pritraukimo, atvykstamojo turizmo bei technologijų ir inovacijų bendradarbiavimo skatinimo prioritetus, realų ekonominės veiklos poreikį</w:t>
      </w:r>
      <w:r w:rsidRPr="005132D9">
        <w:rPr>
          <w:rFonts w:ascii="Times New Roman" w:hAnsi="Times New Roman" w:cs="Times New Roman"/>
          <w:color w:val="010101"/>
          <w:sz w:val="24"/>
          <w:szCs w:val="24"/>
        </w:rPr>
        <w:t xml:space="preserve"> </w:t>
      </w:r>
      <w:r w:rsidR="00DB73E4">
        <w:rPr>
          <w:rFonts w:ascii="Times New Roman" w:hAnsi="Times New Roman" w:cs="Times New Roman"/>
          <w:color w:val="010101"/>
          <w:sz w:val="24"/>
          <w:szCs w:val="24"/>
        </w:rPr>
        <w:t>ir</w:t>
      </w:r>
      <w:r w:rsidRPr="005132D9">
        <w:rPr>
          <w:rFonts w:ascii="Times New Roman" w:hAnsi="Times New Roman" w:cs="Times New Roman"/>
          <w:color w:val="010101"/>
          <w:sz w:val="24"/>
          <w:szCs w:val="24"/>
        </w:rPr>
        <w:t xml:space="preserve"> naujus iššūkius, susijusius </w:t>
      </w:r>
      <w:r w:rsidRPr="005132D9">
        <w:rPr>
          <w:rStyle w:val="None"/>
          <w:rFonts w:ascii="Times New Roman" w:hAnsi="Times New Roman" w:cs="Times New Roman"/>
          <w:color w:val="010101"/>
          <w:sz w:val="24"/>
          <w:szCs w:val="24"/>
        </w:rPr>
        <w:t xml:space="preserve">su </w:t>
      </w:r>
      <w:r w:rsidR="00DB73E4">
        <w:rPr>
          <w:rStyle w:val="None"/>
          <w:rFonts w:ascii="Times New Roman" w:hAnsi="Times New Roman" w:cs="Times New Roman"/>
          <w:color w:val="010101"/>
          <w:sz w:val="24"/>
          <w:szCs w:val="24"/>
        </w:rPr>
        <w:t xml:space="preserve">atstovavimu </w:t>
      </w:r>
      <w:r w:rsidRPr="005132D9">
        <w:rPr>
          <w:rStyle w:val="None"/>
          <w:rFonts w:ascii="Times New Roman" w:hAnsi="Times New Roman" w:cs="Times New Roman"/>
          <w:color w:val="010101"/>
          <w:sz w:val="24"/>
          <w:szCs w:val="24"/>
        </w:rPr>
        <w:t>Lietuvos interes</w:t>
      </w:r>
      <w:r w:rsidR="00DB73E4">
        <w:rPr>
          <w:rFonts w:ascii="Times New Roman" w:hAnsi="Times New Roman" w:cs="Times New Roman"/>
          <w:color w:val="010101"/>
          <w:sz w:val="24"/>
          <w:szCs w:val="24"/>
        </w:rPr>
        <w:t>ams</w:t>
      </w:r>
      <w:r w:rsidRPr="005132D9">
        <w:rPr>
          <w:rFonts w:ascii="Times New Roman" w:hAnsi="Times New Roman" w:cs="Times New Roman"/>
          <w:color w:val="010101"/>
          <w:sz w:val="24"/>
          <w:szCs w:val="24"/>
        </w:rPr>
        <w:t xml:space="preserve"> </w:t>
      </w:r>
      <w:r w:rsidR="00DB73E4">
        <w:rPr>
          <w:rFonts w:ascii="Times New Roman" w:hAnsi="Times New Roman" w:cs="Times New Roman"/>
          <w:color w:val="010101"/>
          <w:sz w:val="24"/>
          <w:szCs w:val="24"/>
        </w:rPr>
        <w:t>„</w:t>
      </w:r>
      <w:r w:rsidRPr="005132D9">
        <w:rPr>
          <w:rFonts w:ascii="Times New Roman" w:hAnsi="Times New Roman" w:cs="Times New Roman"/>
          <w:color w:val="010101"/>
          <w:sz w:val="24"/>
          <w:szCs w:val="24"/>
        </w:rPr>
        <w:t>Brexit</w:t>
      </w:r>
      <w:r w:rsidR="00DB73E4">
        <w:rPr>
          <w:rFonts w:ascii="Times New Roman" w:hAnsi="Times New Roman" w:cs="Times New Roman"/>
          <w:color w:val="010101"/>
          <w:sz w:val="24"/>
          <w:szCs w:val="24"/>
        </w:rPr>
        <w:t>“</w:t>
      </w:r>
      <w:r w:rsidRPr="005132D9">
        <w:rPr>
          <w:rFonts w:ascii="Times New Roman" w:hAnsi="Times New Roman" w:cs="Times New Roman"/>
          <w:color w:val="010101"/>
          <w:sz w:val="24"/>
          <w:szCs w:val="24"/>
        </w:rPr>
        <w:t xml:space="preserve"> kontekste. Atsižvelgiant į minėtą analizę ir per pastaruosius metus įvykusius pasikeitimus ekonominio atstovavimo tinkle, 2021-2024 metais </w:t>
      </w:r>
      <w:r w:rsidR="00D972C2" w:rsidRPr="005132D9">
        <w:rPr>
          <w:rFonts w:ascii="Times New Roman" w:hAnsi="Times New Roman" w:cs="Times New Roman"/>
          <w:color w:val="010101"/>
          <w:sz w:val="24"/>
          <w:szCs w:val="24"/>
        </w:rPr>
        <w:t>Lietuvos</w:t>
      </w:r>
      <w:r w:rsidR="00D972C2" w:rsidRPr="00E8786B">
        <w:rPr>
          <w:rFonts w:ascii="Times New Roman" w:hAnsi="Times New Roman" w:cs="Times New Roman"/>
          <w:i/>
          <w:color w:val="010101"/>
          <w:sz w:val="24"/>
          <w:szCs w:val="24"/>
        </w:rPr>
        <w:t xml:space="preserve"> </w:t>
      </w:r>
      <w:r w:rsidR="00D972C2" w:rsidRPr="005132D9">
        <w:rPr>
          <w:rFonts w:ascii="Times New Roman" w:hAnsi="Times New Roman" w:cs="Times New Roman"/>
          <w:color w:val="010101"/>
          <w:sz w:val="24"/>
          <w:szCs w:val="24"/>
        </w:rPr>
        <w:t xml:space="preserve">Respublikos diplomatinėse atstovybėse </w:t>
      </w:r>
      <w:r w:rsidR="00D972C2" w:rsidRPr="005132D9">
        <w:rPr>
          <w:rFonts w:ascii="Times New Roman" w:hAnsi="Times New Roman" w:cs="Times New Roman"/>
          <w:color w:val="010101"/>
          <w:sz w:val="24"/>
          <w:szCs w:val="24"/>
        </w:rPr>
        <w:lastRenderedPageBreak/>
        <w:t>numatoma</w:t>
      </w:r>
      <w:r w:rsidRPr="005132D9">
        <w:rPr>
          <w:rFonts w:ascii="Times New Roman" w:hAnsi="Times New Roman" w:cs="Times New Roman"/>
          <w:color w:val="010101"/>
          <w:sz w:val="24"/>
          <w:szCs w:val="24"/>
        </w:rPr>
        <w:t xml:space="preserve"> </w:t>
      </w:r>
      <w:r w:rsidRPr="005132D9">
        <w:rPr>
          <w:rFonts w:ascii="Times New Roman" w:hAnsi="Times New Roman" w:cs="Times New Roman"/>
          <w:sz w:val="24"/>
          <w:szCs w:val="24"/>
        </w:rPr>
        <w:t xml:space="preserve">įsteigti </w:t>
      </w:r>
      <w:r w:rsidRPr="00442C09">
        <w:rPr>
          <w:rFonts w:ascii="Times New Roman" w:hAnsi="Times New Roman" w:cs="Times New Roman"/>
          <w:sz w:val="24"/>
          <w:szCs w:val="24"/>
        </w:rPr>
        <w:t xml:space="preserve">10 naujų diplomatų </w:t>
      </w:r>
      <w:r w:rsidR="00634758" w:rsidRPr="00442C09">
        <w:rPr>
          <w:rFonts w:ascii="Times New Roman" w:hAnsi="Times New Roman" w:cs="Times New Roman"/>
          <w:sz w:val="24"/>
          <w:szCs w:val="24"/>
        </w:rPr>
        <w:t xml:space="preserve">pareigybių </w:t>
      </w:r>
      <w:r w:rsidRPr="00442C09">
        <w:rPr>
          <w:rFonts w:ascii="Times New Roman" w:hAnsi="Times New Roman" w:cs="Times New Roman"/>
          <w:sz w:val="24"/>
          <w:szCs w:val="24"/>
        </w:rPr>
        <w:t>ekonominėms funkcijoms</w:t>
      </w:r>
      <w:r w:rsidR="00634758" w:rsidRPr="00442C09">
        <w:rPr>
          <w:rFonts w:ascii="Times New Roman" w:hAnsi="Times New Roman" w:cs="Times New Roman"/>
          <w:sz w:val="24"/>
          <w:szCs w:val="24"/>
        </w:rPr>
        <w:t xml:space="preserve"> vykdyti</w:t>
      </w:r>
      <w:r w:rsidR="00D972C2" w:rsidRPr="00442C09">
        <w:rPr>
          <w:rFonts w:ascii="Times New Roman" w:hAnsi="Times New Roman" w:cs="Times New Roman"/>
          <w:sz w:val="24"/>
          <w:szCs w:val="24"/>
        </w:rPr>
        <w:t>.</w:t>
      </w:r>
      <w:r w:rsidRPr="00442C09">
        <w:rPr>
          <w:rFonts w:ascii="Times New Roman" w:hAnsi="Times New Roman" w:cs="Times New Roman"/>
          <w:sz w:val="24"/>
          <w:szCs w:val="24"/>
        </w:rPr>
        <w:t xml:space="preserve"> </w:t>
      </w:r>
      <w:r w:rsidR="00E8786B" w:rsidRPr="00442C09">
        <w:rPr>
          <w:rFonts w:ascii="Times New Roman" w:hAnsi="Times New Roman" w:cs="Times New Roman"/>
          <w:sz w:val="24"/>
          <w:szCs w:val="24"/>
        </w:rPr>
        <w:t>2024 metais diplomatų, vykdančių ekonomines funkcijas, tinklą sudarytų 20 diplomatų, dirbančių tose valstybėse, kuriose yra didžiausias ekonominio bendradarbiavimo potencialas, o ambasados prioritetinėse valstybėse įgalintos pereiti prie nuoseklių proaktyvių veiksmų</w:t>
      </w:r>
      <w:r w:rsidR="00DB73E4" w:rsidRPr="00442C09">
        <w:rPr>
          <w:rFonts w:ascii="Times New Roman" w:hAnsi="Times New Roman" w:cs="Times New Roman"/>
          <w:sz w:val="24"/>
          <w:szCs w:val="24"/>
        </w:rPr>
        <w:t>,</w:t>
      </w:r>
      <w:r w:rsidR="00E8786B" w:rsidRPr="00442C09">
        <w:rPr>
          <w:rFonts w:ascii="Times New Roman" w:hAnsi="Times New Roman" w:cs="Times New Roman"/>
          <w:sz w:val="24"/>
          <w:szCs w:val="24"/>
        </w:rPr>
        <w:t xml:space="preserve"> </w:t>
      </w:r>
      <w:r w:rsidR="00CA3036" w:rsidRPr="00442C09">
        <w:rPr>
          <w:rFonts w:ascii="Times New Roman" w:hAnsi="Times New Roman" w:cs="Times New Roman"/>
          <w:sz w:val="24"/>
          <w:szCs w:val="24"/>
        </w:rPr>
        <w:t>siekiant</w:t>
      </w:r>
      <w:r w:rsidR="00E8786B" w:rsidRPr="00442C09">
        <w:rPr>
          <w:rFonts w:ascii="Times New Roman" w:hAnsi="Times New Roman" w:cs="Times New Roman"/>
          <w:sz w:val="24"/>
          <w:szCs w:val="24"/>
        </w:rPr>
        <w:t xml:space="preserve"> didinti lietuviškos produkcijos eksportą, pritraukti tiesiogines užsienio investicijas, skatinti atvykstamąjį turizmą ir bendradarbiavimą mokslo inovacijų ir technologijų srityse. S</w:t>
      </w:r>
      <w:r w:rsidR="00E8786B" w:rsidRPr="00442C09">
        <w:rPr>
          <w:rFonts w:ascii="Times New Roman" w:hAnsi="Times New Roman" w:cs="Times New Roman"/>
          <w:sz w:val="24"/>
        </w:rPr>
        <w:t>iekiant tinkamai įgyvendinti Lietuvos Respublikos Vyriausybės programos tikslus</w:t>
      </w:r>
      <w:r w:rsidR="00DB73E4" w:rsidRPr="00442C09">
        <w:rPr>
          <w:rFonts w:ascii="Times New Roman" w:hAnsi="Times New Roman" w:cs="Times New Roman"/>
          <w:sz w:val="24"/>
        </w:rPr>
        <w:t>,</w:t>
      </w:r>
      <w:r w:rsidR="00E8786B" w:rsidRPr="00442C09">
        <w:rPr>
          <w:rFonts w:ascii="Times New Roman" w:hAnsi="Times New Roman" w:cs="Times New Roman"/>
          <w:sz w:val="24"/>
        </w:rPr>
        <w:t xml:space="preserve"> 2021 metais Lietuvos Respublikos diplomatinėse atstovybėse </w:t>
      </w:r>
      <w:r w:rsidR="00E8786B" w:rsidRPr="00442C09">
        <w:rPr>
          <w:rFonts w:ascii="Times New Roman" w:hAnsi="Times New Roman" w:cs="Times New Roman"/>
          <w:sz w:val="24"/>
          <w:szCs w:val="24"/>
        </w:rPr>
        <w:t>Jungtinėje Karalystėje, Danijoje, Norvegijoje ir Suomijoje numatoma įsteigti keturias diplomatų pareigybes ekonominėms funkcijo</w:t>
      </w:r>
      <w:r w:rsidR="00E8786B" w:rsidRPr="005132D9">
        <w:rPr>
          <w:rFonts w:ascii="Times New Roman" w:hAnsi="Times New Roman" w:cs="Times New Roman"/>
          <w:sz w:val="24"/>
          <w:szCs w:val="24"/>
        </w:rPr>
        <w:t xml:space="preserve">ms vykdyti. </w:t>
      </w:r>
    </w:p>
    <w:p w14:paraId="28275568" w14:textId="2E42EC0B" w:rsidR="002D4BF7" w:rsidRDefault="002D4BF7" w:rsidP="00EB054B">
      <w:pPr>
        <w:tabs>
          <w:tab w:val="left" w:pos="283"/>
          <w:tab w:val="left" w:pos="1985"/>
          <w:tab w:val="left" w:pos="297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3407">
        <w:rPr>
          <w:rFonts w:ascii="Times New Roman" w:hAnsi="Times New Roman" w:cs="Times New Roman"/>
          <w:sz w:val="24"/>
          <w:szCs w:val="24"/>
        </w:rPr>
        <w:t>Aštuonioliktos</w:t>
      </w:r>
      <w:r w:rsidR="00DB73E4">
        <w:rPr>
          <w:rFonts w:ascii="Times New Roman" w:hAnsi="Times New Roman" w:cs="Times New Roman"/>
          <w:sz w:val="24"/>
          <w:szCs w:val="24"/>
        </w:rPr>
        <w:t>ios</w:t>
      </w:r>
      <w:r w:rsidRPr="00AD3407">
        <w:rPr>
          <w:rFonts w:ascii="Times New Roman" w:hAnsi="Times New Roman" w:cs="Times New Roman"/>
          <w:sz w:val="24"/>
          <w:szCs w:val="24"/>
        </w:rPr>
        <w:t xml:space="preserve"> Lietuvos Respublikos Vyriausybės programos 263.4 papunktyje įtvirtinta strateginės diversifikacijos būtinybė</w:t>
      </w:r>
      <w:r w:rsidR="00E9141A">
        <w:rPr>
          <w:rFonts w:ascii="Times New Roman" w:hAnsi="Times New Roman" w:cs="Times New Roman"/>
          <w:sz w:val="24"/>
          <w:szCs w:val="24"/>
        </w:rPr>
        <w:t>,</w:t>
      </w:r>
      <w:r w:rsidRPr="00AD3407">
        <w:rPr>
          <w:rFonts w:ascii="Times New Roman" w:hAnsi="Times New Roman" w:cs="Times New Roman"/>
          <w:sz w:val="24"/>
          <w:szCs w:val="24"/>
        </w:rPr>
        <w:t xml:space="preserve"> atveriant naujas rinkas ir naujas galimybes Lietuvos eksportuotojams demokratinėse, pažangiausiose pasaulio rinkose. Tam ypač reik</w:t>
      </w:r>
      <w:r w:rsidR="00DB73E4">
        <w:rPr>
          <w:rFonts w:ascii="Times New Roman" w:hAnsi="Times New Roman" w:cs="Times New Roman"/>
          <w:sz w:val="24"/>
          <w:szCs w:val="24"/>
        </w:rPr>
        <w:t>ia</w:t>
      </w:r>
      <w:r w:rsidRPr="00AD3407">
        <w:rPr>
          <w:rFonts w:ascii="Times New Roman" w:hAnsi="Times New Roman" w:cs="Times New Roman"/>
          <w:sz w:val="24"/>
          <w:szCs w:val="24"/>
        </w:rPr>
        <w:t xml:space="preserve"> aktyvesn</w:t>
      </w:r>
      <w:r w:rsidR="00DB73E4">
        <w:rPr>
          <w:rFonts w:ascii="Times New Roman" w:hAnsi="Times New Roman" w:cs="Times New Roman"/>
          <w:sz w:val="24"/>
          <w:szCs w:val="24"/>
        </w:rPr>
        <w:t>ių</w:t>
      </w:r>
      <w:r w:rsidRPr="00AD3407">
        <w:rPr>
          <w:rFonts w:ascii="Times New Roman" w:hAnsi="Times New Roman" w:cs="Times New Roman"/>
          <w:sz w:val="24"/>
          <w:szCs w:val="24"/>
        </w:rPr>
        <w:t xml:space="preserve"> santyki</w:t>
      </w:r>
      <w:r w:rsidR="00DB73E4">
        <w:rPr>
          <w:rFonts w:ascii="Times New Roman" w:hAnsi="Times New Roman" w:cs="Times New Roman"/>
          <w:sz w:val="24"/>
          <w:szCs w:val="24"/>
        </w:rPr>
        <w:t>ų</w:t>
      </w:r>
      <w:r w:rsidRPr="00AD3407">
        <w:rPr>
          <w:rFonts w:ascii="Times New Roman" w:hAnsi="Times New Roman" w:cs="Times New Roman"/>
          <w:sz w:val="24"/>
          <w:szCs w:val="24"/>
        </w:rPr>
        <w:t xml:space="preserve"> su Rytų Azijos šalimis </w:t>
      </w:r>
      <w:r w:rsidR="00DB73E4">
        <w:rPr>
          <w:rFonts w:ascii="Times New Roman" w:hAnsi="Times New Roman" w:cs="Times New Roman"/>
          <w:sz w:val="24"/>
          <w:szCs w:val="24"/>
        </w:rPr>
        <w:t xml:space="preserve">ir </w:t>
      </w:r>
      <w:r w:rsidRPr="00AD3407">
        <w:rPr>
          <w:rFonts w:ascii="Times New Roman" w:hAnsi="Times New Roman" w:cs="Times New Roman"/>
          <w:sz w:val="24"/>
          <w:szCs w:val="24"/>
        </w:rPr>
        <w:t>atitinkam</w:t>
      </w:r>
      <w:r w:rsidR="00E9141A">
        <w:rPr>
          <w:rFonts w:ascii="Times New Roman" w:hAnsi="Times New Roman" w:cs="Times New Roman"/>
          <w:sz w:val="24"/>
          <w:szCs w:val="24"/>
        </w:rPr>
        <w:t>os</w:t>
      </w:r>
      <w:r w:rsidRPr="00AD3407">
        <w:rPr>
          <w:rFonts w:ascii="Times New Roman" w:hAnsi="Times New Roman" w:cs="Times New Roman"/>
          <w:sz w:val="24"/>
          <w:szCs w:val="24"/>
        </w:rPr>
        <w:t xml:space="preserve"> diplomatinių atstovybių tinkl</w:t>
      </w:r>
      <w:r w:rsidR="00E9141A">
        <w:rPr>
          <w:rFonts w:ascii="Times New Roman" w:hAnsi="Times New Roman" w:cs="Times New Roman"/>
          <w:sz w:val="24"/>
          <w:szCs w:val="24"/>
        </w:rPr>
        <w:t>o plėtros</w:t>
      </w:r>
      <w:r w:rsidRPr="00AD3407">
        <w:rPr>
          <w:rFonts w:ascii="Times New Roman" w:hAnsi="Times New Roman" w:cs="Times New Roman"/>
          <w:sz w:val="24"/>
          <w:szCs w:val="24"/>
        </w:rPr>
        <w:t>. Įgyvendinant Lietuvos Respublikos Vyriausybės siekį atverti naujas galimybes Lietuvos eksportuotojams pažangiausiose pasaulio rinkose, diversifikuoti santykius su Rytų Azijos šalimis, sustiprinti Lietuvos tarptautinę padėtį, jos politinius ir diplomatinius santykius su bendramintėmis partnerėmis Azijos ir Ramiojo vandenyno regione, įtvirtinti jos piliečių saugumą ir gerovę,  taip pat atsižvelg</w:t>
      </w:r>
      <w:r w:rsidR="00E9141A">
        <w:rPr>
          <w:rFonts w:ascii="Times New Roman" w:hAnsi="Times New Roman" w:cs="Times New Roman"/>
          <w:sz w:val="24"/>
          <w:szCs w:val="24"/>
        </w:rPr>
        <w:t>iant</w:t>
      </w:r>
      <w:r w:rsidRPr="00AD3407">
        <w:rPr>
          <w:rFonts w:ascii="Times New Roman" w:hAnsi="Times New Roman" w:cs="Times New Roman"/>
          <w:sz w:val="24"/>
          <w:szCs w:val="24"/>
        </w:rPr>
        <w:t xml:space="preserve"> į regiono ekspertų, akademinės bendruomenės</w:t>
      </w:r>
      <w:r w:rsidR="00E9141A">
        <w:rPr>
          <w:rFonts w:ascii="Times New Roman" w:hAnsi="Times New Roman" w:cs="Times New Roman"/>
          <w:sz w:val="24"/>
          <w:szCs w:val="24"/>
        </w:rPr>
        <w:t>,</w:t>
      </w:r>
      <w:r w:rsidRPr="00AD3407">
        <w:rPr>
          <w:rFonts w:ascii="Times New Roman" w:hAnsi="Times New Roman" w:cs="Times New Roman"/>
          <w:sz w:val="24"/>
          <w:szCs w:val="24"/>
        </w:rPr>
        <w:t xml:space="preserve"> atskirų verslo sričių atstovų </w:t>
      </w:r>
      <w:r w:rsidR="00E9141A">
        <w:rPr>
          <w:rFonts w:ascii="Times New Roman" w:hAnsi="Times New Roman" w:cs="Times New Roman"/>
          <w:sz w:val="24"/>
          <w:szCs w:val="24"/>
        </w:rPr>
        <w:t xml:space="preserve">ir </w:t>
      </w:r>
      <w:r w:rsidRPr="00AD3407">
        <w:rPr>
          <w:rFonts w:ascii="Times New Roman" w:hAnsi="Times New Roman" w:cs="Times New Roman"/>
          <w:sz w:val="24"/>
          <w:szCs w:val="24"/>
        </w:rPr>
        <w:t>Ekonominės diplomatijos tarybos darbo grupės nuomon</w:t>
      </w:r>
      <w:r w:rsidR="00E9141A">
        <w:rPr>
          <w:rFonts w:ascii="Times New Roman" w:hAnsi="Times New Roman" w:cs="Times New Roman"/>
          <w:sz w:val="24"/>
          <w:szCs w:val="24"/>
        </w:rPr>
        <w:t>ę</w:t>
      </w:r>
      <w:r w:rsidRPr="00AD3407">
        <w:rPr>
          <w:rFonts w:ascii="Times New Roman" w:hAnsi="Times New Roman" w:cs="Times New Roman"/>
          <w:sz w:val="24"/>
          <w:szCs w:val="24"/>
        </w:rPr>
        <w:t xml:space="preserve"> ir rekomendacijas </w:t>
      </w:r>
      <w:r>
        <w:rPr>
          <w:rFonts w:ascii="Times New Roman" w:hAnsi="Times New Roman" w:cs="Times New Roman"/>
          <w:sz w:val="24"/>
          <w:szCs w:val="24"/>
        </w:rPr>
        <w:t>i</w:t>
      </w:r>
      <w:r w:rsidRPr="002D4BF7">
        <w:rPr>
          <w:rFonts w:ascii="Times New Roman" w:hAnsi="Times New Roman" w:cs="Times New Roman"/>
          <w:bCs/>
          <w:sz w:val="24"/>
          <w:szCs w:val="24"/>
        </w:rPr>
        <w:t>r vykdant Ašt</w:t>
      </w:r>
      <w:r w:rsidRPr="002D4BF7">
        <w:rPr>
          <w:rFonts w:ascii="Times New Roman" w:hAnsi="Times New Roman" w:cs="Times New Roman"/>
          <w:color w:val="000000"/>
          <w:sz w:val="24"/>
          <w:szCs w:val="24"/>
        </w:rPr>
        <w:t>uonioliktosios Lietuvos Respublikos Vyriausybės programos nuostatų įgyvendinimo plano 12.3.8 priemonę „</w:t>
      </w:r>
      <w:r w:rsidRPr="002D4BF7">
        <w:rPr>
          <w:rFonts w:ascii="Times New Roman" w:hAnsi="Times New Roman" w:cs="Times New Roman"/>
          <w:sz w:val="24"/>
          <w:szCs w:val="24"/>
          <w:lang w:eastAsia="lt-LT"/>
        </w:rPr>
        <w:t>Priimti sprendimus dėl diplomatinio tinklo plėtros, daugiau dėmesio skiriant Rytų Azijos regionui ir darbui su diaspora“</w:t>
      </w:r>
      <w:r>
        <w:rPr>
          <w:rFonts w:ascii="Times New Roman" w:hAnsi="Times New Roman" w:cs="Times New Roman"/>
          <w:sz w:val="24"/>
          <w:szCs w:val="24"/>
          <w:lang w:eastAsia="lt-LT"/>
        </w:rPr>
        <w:t xml:space="preserve">, </w:t>
      </w:r>
      <w:r w:rsidRPr="005132D9">
        <w:rPr>
          <w:rFonts w:ascii="Times New Roman" w:hAnsi="Times New Roman" w:cs="Times New Roman"/>
          <w:sz w:val="24"/>
          <w:szCs w:val="24"/>
        </w:rPr>
        <w:t xml:space="preserve">nuo </w:t>
      </w:r>
      <w:r w:rsidRPr="00442C09">
        <w:rPr>
          <w:rFonts w:ascii="Times New Roman" w:hAnsi="Times New Roman" w:cs="Times New Roman"/>
          <w:sz w:val="24"/>
          <w:szCs w:val="24"/>
        </w:rPr>
        <w:t>2021 m. rugsėjo 1 d. numatoma įsteigti Lietuvos Respublikos ambasadą Korėjos Respublikoje, kurioje dirbs 6 darbuotojai.</w:t>
      </w:r>
      <w:r w:rsidRPr="00EE5793">
        <w:rPr>
          <w:rFonts w:ascii="Times New Roman" w:hAnsi="Times New Roman" w:cs="Times New Roman"/>
          <w:sz w:val="24"/>
          <w:szCs w:val="24"/>
        </w:rPr>
        <w:t xml:space="preserve"> Pažymėtina</w:t>
      </w:r>
      <w:r w:rsidRPr="005132D9">
        <w:rPr>
          <w:rFonts w:ascii="Times New Roman" w:hAnsi="Times New Roman" w:cs="Times New Roman"/>
          <w:sz w:val="24"/>
          <w:szCs w:val="24"/>
        </w:rPr>
        <w:t>, kad Lietuvos Respublikos diplomatinių atstovybių tinklo išplėtimas taip pat leistų optimizuoti antrinių akreditacijų tinklą</w:t>
      </w:r>
      <w:r w:rsidR="00E9141A">
        <w:rPr>
          <w:rFonts w:ascii="Times New Roman" w:hAnsi="Times New Roman" w:cs="Times New Roman"/>
          <w:sz w:val="24"/>
          <w:szCs w:val="24"/>
        </w:rPr>
        <w:t xml:space="preserve"> ir</w:t>
      </w:r>
      <w:r w:rsidRPr="005132D9">
        <w:rPr>
          <w:rFonts w:ascii="Times New Roman" w:hAnsi="Times New Roman" w:cs="Times New Roman"/>
          <w:sz w:val="24"/>
          <w:szCs w:val="24"/>
        </w:rPr>
        <w:t xml:space="preserve"> užtikrin</w:t>
      </w:r>
      <w:r w:rsidR="00E9141A">
        <w:rPr>
          <w:rFonts w:ascii="Times New Roman" w:hAnsi="Times New Roman" w:cs="Times New Roman"/>
          <w:sz w:val="24"/>
          <w:szCs w:val="24"/>
        </w:rPr>
        <w:t>tų</w:t>
      </w:r>
      <w:r w:rsidRPr="005132D9">
        <w:rPr>
          <w:rFonts w:ascii="Times New Roman" w:hAnsi="Times New Roman" w:cs="Times New Roman"/>
          <w:sz w:val="24"/>
          <w:szCs w:val="24"/>
        </w:rPr>
        <w:t xml:space="preserve"> </w:t>
      </w:r>
      <w:r w:rsidRPr="00AD3407">
        <w:rPr>
          <w:rFonts w:ascii="Times New Roman" w:hAnsi="Times New Roman" w:cs="Times New Roman"/>
          <w:sz w:val="24"/>
          <w:szCs w:val="24"/>
        </w:rPr>
        <w:t xml:space="preserve">efektyvesnį </w:t>
      </w:r>
      <w:r w:rsidR="00E9141A">
        <w:rPr>
          <w:rFonts w:ascii="Times New Roman" w:hAnsi="Times New Roman" w:cs="Times New Roman"/>
          <w:sz w:val="24"/>
          <w:szCs w:val="24"/>
        </w:rPr>
        <w:t xml:space="preserve">atstovavimą </w:t>
      </w:r>
      <w:r w:rsidRPr="00AD3407">
        <w:rPr>
          <w:rFonts w:ascii="Times New Roman" w:hAnsi="Times New Roman" w:cs="Times New Roman"/>
          <w:sz w:val="24"/>
          <w:szCs w:val="24"/>
        </w:rPr>
        <w:t>Lietuvos interes</w:t>
      </w:r>
      <w:r w:rsidR="00E9141A">
        <w:rPr>
          <w:rFonts w:ascii="Times New Roman" w:hAnsi="Times New Roman" w:cs="Times New Roman"/>
          <w:sz w:val="24"/>
          <w:szCs w:val="24"/>
        </w:rPr>
        <w:t>ams</w:t>
      </w:r>
      <w:r w:rsidRPr="00AD3407">
        <w:rPr>
          <w:rFonts w:ascii="Times New Roman" w:hAnsi="Times New Roman" w:cs="Times New Roman"/>
          <w:sz w:val="24"/>
          <w:szCs w:val="24"/>
        </w:rPr>
        <w:t xml:space="preserve">  Indijos ir Ramiojo vandenynų regione.</w:t>
      </w:r>
    </w:p>
    <w:p w14:paraId="0804508D" w14:textId="79917598" w:rsidR="002D4BF7" w:rsidRPr="005132D9" w:rsidRDefault="002D4BF7" w:rsidP="00EB054B">
      <w:pPr>
        <w:tabs>
          <w:tab w:val="left" w:pos="283"/>
          <w:tab w:val="left" w:pos="1985"/>
          <w:tab w:val="left" w:pos="2977"/>
        </w:tabs>
        <w:spacing w:after="0" w:line="360" w:lineRule="auto"/>
        <w:jc w:val="both"/>
        <w:rPr>
          <w:rFonts w:ascii="Times New Roman" w:hAnsi="Times New Roman" w:cs="Times New Roman"/>
          <w:sz w:val="24"/>
        </w:rPr>
      </w:pPr>
      <w:r>
        <w:rPr>
          <w:rFonts w:ascii="Times New Roman" w:hAnsi="Times New Roman" w:cs="Times New Roman"/>
          <w:sz w:val="24"/>
          <w:szCs w:val="24"/>
        </w:rPr>
        <w:tab/>
      </w:r>
      <w:r w:rsidRPr="00AD3407">
        <w:rPr>
          <w:rFonts w:ascii="Times New Roman" w:hAnsi="Times New Roman" w:cs="Times New Roman"/>
          <w:sz w:val="24"/>
          <w:szCs w:val="24"/>
        </w:rPr>
        <w:t>Aštuonioliktos</w:t>
      </w:r>
      <w:r w:rsidR="00E9141A">
        <w:rPr>
          <w:rFonts w:ascii="Times New Roman" w:hAnsi="Times New Roman" w:cs="Times New Roman"/>
          <w:sz w:val="24"/>
          <w:szCs w:val="24"/>
        </w:rPr>
        <w:t>ios</w:t>
      </w:r>
      <w:r w:rsidRPr="00AD3407">
        <w:rPr>
          <w:rFonts w:ascii="Times New Roman" w:hAnsi="Times New Roman" w:cs="Times New Roman"/>
          <w:sz w:val="24"/>
          <w:szCs w:val="24"/>
        </w:rPr>
        <w:t xml:space="preserve"> </w:t>
      </w:r>
      <w:r w:rsidRPr="003069FD">
        <w:rPr>
          <w:rFonts w:ascii="Times New Roman" w:hAnsi="Times New Roman" w:cs="Times New Roman"/>
          <w:sz w:val="24"/>
          <w:szCs w:val="24"/>
        </w:rPr>
        <w:t>Lietuvos Respublikos Vyriausybės programoje didelis dėmesys skiriamas diasporos politikai</w:t>
      </w:r>
      <w:r w:rsidRPr="00AD3407">
        <w:rPr>
          <w:rFonts w:ascii="Times New Roman" w:hAnsi="Times New Roman" w:cs="Times New Roman"/>
          <w:sz w:val="24"/>
          <w:szCs w:val="24"/>
        </w:rPr>
        <w:t xml:space="preserve"> ir aktyvesniam diasporos įtraukimui </w:t>
      </w:r>
      <w:r w:rsidR="00E9141A">
        <w:rPr>
          <w:rFonts w:ascii="Times New Roman" w:hAnsi="Times New Roman" w:cs="Times New Roman"/>
          <w:sz w:val="24"/>
          <w:szCs w:val="24"/>
        </w:rPr>
        <w:t xml:space="preserve">į gerovės </w:t>
      </w:r>
      <w:r w:rsidRPr="00AD3407">
        <w:rPr>
          <w:rFonts w:ascii="Times New Roman" w:hAnsi="Times New Roman" w:cs="Times New Roman"/>
          <w:sz w:val="24"/>
          <w:szCs w:val="24"/>
        </w:rPr>
        <w:t>Lietuvoje</w:t>
      </w:r>
      <w:r w:rsidR="00E9141A">
        <w:rPr>
          <w:rFonts w:ascii="Times New Roman" w:hAnsi="Times New Roman" w:cs="Times New Roman"/>
          <w:sz w:val="24"/>
          <w:szCs w:val="24"/>
        </w:rPr>
        <w:t xml:space="preserve"> kūrimą</w:t>
      </w:r>
      <w:r w:rsidRPr="00AD3407">
        <w:rPr>
          <w:rFonts w:ascii="Times New Roman" w:hAnsi="Times New Roman" w:cs="Times New Roman"/>
          <w:sz w:val="24"/>
          <w:szCs w:val="24"/>
        </w:rPr>
        <w:t xml:space="preserve">. Įgyvendinat Lietuvos Respublikos Vyriausybės siekį plėsti ir stiprinti diasporos politikos įgyvendinimą ir atsižvelgiant į tai, kad, nusprendus nesteigti „Sugrįžtančios Lietuvos“ agentūros, o grįžimo į Lietuvą </w:t>
      </w:r>
      <w:r w:rsidRPr="003069FD">
        <w:rPr>
          <w:rFonts w:ascii="Times New Roman" w:hAnsi="Times New Roman" w:cs="Times New Roman"/>
          <w:sz w:val="24"/>
          <w:szCs w:val="24"/>
        </w:rPr>
        <w:t xml:space="preserve">skatinimo koordinavimą pavesti Užsienio reikalų ministerijai, Užsienio reikalų ministerijos Užsienio lietuvių </w:t>
      </w:r>
      <w:r w:rsidRPr="00AD3407">
        <w:rPr>
          <w:rFonts w:ascii="Times New Roman" w:hAnsi="Times New Roman" w:cs="Times New Roman"/>
          <w:sz w:val="24"/>
          <w:szCs w:val="24"/>
        </w:rPr>
        <w:t xml:space="preserve">departamentas pertvarkomas į Globalios Lietuvos departamentą </w:t>
      </w:r>
      <w:r w:rsidR="00E9141A">
        <w:rPr>
          <w:rFonts w:ascii="Times New Roman" w:hAnsi="Times New Roman" w:cs="Times New Roman"/>
          <w:sz w:val="24"/>
          <w:szCs w:val="24"/>
        </w:rPr>
        <w:t xml:space="preserve">ir jame </w:t>
      </w:r>
      <w:r w:rsidRPr="00AD3407">
        <w:rPr>
          <w:rFonts w:ascii="Times New Roman" w:hAnsi="Times New Roman" w:cs="Times New Roman"/>
          <w:sz w:val="24"/>
          <w:szCs w:val="24"/>
        </w:rPr>
        <w:t xml:space="preserve">papildomai </w:t>
      </w:r>
      <w:r w:rsidR="00E9141A">
        <w:rPr>
          <w:rFonts w:ascii="Times New Roman" w:hAnsi="Times New Roman" w:cs="Times New Roman"/>
          <w:sz w:val="24"/>
          <w:szCs w:val="24"/>
        </w:rPr>
        <w:t>į</w:t>
      </w:r>
      <w:r w:rsidRPr="00AD3407">
        <w:rPr>
          <w:rFonts w:ascii="Times New Roman" w:hAnsi="Times New Roman" w:cs="Times New Roman"/>
          <w:sz w:val="24"/>
          <w:szCs w:val="24"/>
        </w:rPr>
        <w:t>steigia</w:t>
      </w:r>
      <w:r w:rsidR="00E9141A">
        <w:rPr>
          <w:rFonts w:ascii="Times New Roman" w:hAnsi="Times New Roman" w:cs="Times New Roman"/>
          <w:sz w:val="24"/>
          <w:szCs w:val="24"/>
        </w:rPr>
        <w:t>mas</w:t>
      </w:r>
      <w:r w:rsidRPr="00AD3407">
        <w:rPr>
          <w:rFonts w:ascii="Times New Roman" w:hAnsi="Times New Roman" w:cs="Times New Roman"/>
          <w:sz w:val="24"/>
          <w:szCs w:val="24"/>
        </w:rPr>
        <w:t xml:space="preserve"> Grįžimo į Lietuvą skyri</w:t>
      </w:r>
      <w:r w:rsidR="00E9141A">
        <w:rPr>
          <w:rFonts w:ascii="Times New Roman" w:hAnsi="Times New Roman" w:cs="Times New Roman"/>
          <w:sz w:val="24"/>
          <w:szCs w:val="24"/>
        </w:rPr>
        <w:t>us</w:t>
      </w:r>
      <w:r w:rsidRPr="00AD3407">
        <w:rPr>
          <w:rFonts w:ascii="Times New Roman" w:hAnsi="Times New Roman" w:cs="Times New Roman"/>
          <w:sz w:val="24"/>
          <w:szCs w:val="24"/>
        </w:rPr>
        <w:t>, kurio pagrindinės funkcijos bus „Sugrįžtančios Lietuvos“ idėjos įgyvendinimas ir valstybės institucijų veiklos, susijusios su grįžimu į Lietuvą, koordinavimas. Nauj</w:t>
      </w:r>
      <w:r w:rsidR="00D7598C">
        <w:rPr>
          <w:rFonts w:ascii="Times New Roman" w:hAnsi="Times New Roman" w:cs="Times New Roman"/>
          <w:sz w:val="24"/>
          <w:szCs w:val="24"/>
        </w:rPr>
        <w:t>ų</w:t>
      </w:r>
      <w:r w:rsidRPr="00AD3407">
        <w:rPr>
          <w:rFonts w:ascii="Times New Roman" w:hAnsi="Times New Roman" w:cs="Times New Roman"/>
          <w:sz w:val="24"/>
          <w:szCs w:val="24"/>
        </w:rPr>
        <w:t xml:space="preserve"> funkcij</w:t>
      </w:r>
      <w:r w:rsidR="00D7598C">
        <w:rPr>
          <w:rFonts w:ascii="Times New Roman" w:hAnsi="Times New Roman" w:cs="Times New Roman"/>
          <w:sz w:val="24"/>
          <w:szCs w:val="24"/>
        </w:rPr>
        <w:t>ų</w:t>
      </w:r>
      <w:r w:rsidR="009603C5">
        <w:rPr>
          <w:rFonts w:ascii="Times New Roman" w:hAnsi="Times New Roman" w:cs="Times New Roman"/>
          <w:sz w:val="24"/>
          <w:szCs w:val="24"/>
        </w:rPr>
        <w:t xml:space="preserve">, įskaitant </w:t>
      </w:r>
      <w:r w:rsidR="00D7598C">
        <w:rPr>
          <w:rFonts w:ascii="Times New Roman" w:hAnsi="Times New Roman" w:cs="Times New Roman"/>
          <w:sz w:val="24"/>
          <w:szCs w:val="24"/>
        </w:rPr>
        <w:t>darbą</w:t>
      </w:r>
      <w:r w:rsidR="00D7598C" w:rsidRPr="00AD3407">
        <w:rPr>
          <w:rFonts w:ascii="Times New Roman" w:hAnsi="Times New Roman" w:cs="Times New Roman"/>
          <w:sz w:val="24"/>
          <w:szCs w:val="24"/>
        </w:rPr>
        <w:t xml:space="preserve"> su diasporos profesionalais </w:t>
      </w:r>
      <w:r w:rsidR="00D7598C">
        <w:rPr>
          <w:rFonts w:ascii="Times New Roman" w:hAnsi="Times New Roman" w:cs="Times New Roman"/>
          <w:sz w:val="24"/>
          <w:szCs w:val="24"/>
        </w:rPr>
        <w:t>ir</w:t>
      </w:r>
      <w:r w:rsidR="00D7598C" w:rsidRPr="00AD3407">
        <w:rPr>
          <w:rFonts w:ascii="Times New Roman" w:hAnsi="Times New Roman" w:cs="Times New Roman"/>
          <w:sz w:val="24"/>
          <w:szCs w:val="24"/>
        </w:rPr>
        <w:t xml:space="preserve"> išvykusiais iš Lietuvos kitų tautybių asmen</w:t>
      </w:r>
      <w:r w:rsidR="00D7598C">
        <w:rPr>
          <w:rFonts w:ascii="Times New Roman" w:hAnsi="Times New Roman" w:cs="Times New Roman"/>
          <w:sz w:val="24"/>
          <w:szCs w:val="24"/>
        </w:rPr>
        <w:t>imis,</w:t>
      </w:r>
      <w:r w:rsidR="00D7598C" w:rsidRPr="00AD3407">
        <w:rPr>
          <w:rFonts w:ascii="Times New Roman" w:hAnsi="Times New Roman" w:cs="Times New Roman"/>
          <w:sz w:val="24"/>
          <w:szCs w:val="24"/>
        </w:rPr>
        <w:t xml:space="preserve"> </w:t>
      </w:r>
      <w:r w:rsidRPr="00AD3407">
        <w:rPr>
          <w:rFonts w:ascii="Times New Roman" w:hAnsi="Times New Roman" w:cs="Times New Roman"/>
          <w:sz w:val="24"/>
          <w:szCs w:val="24"/>
        </w:rPr>
        <w:t>vykdy</w:t>
      </w:r>
      <w:bookmarkStart w:id="0" w:name="_GoBack"/>
      <w:bookmarkEnd w:id="0"/>
      <w:r w:rsidR="00D7598C">
        <w:rPr>
          <w:rFonts w:ascii="Times New Roman" w:hAnsi="Times New Roman" w:cs="Times New Roman"/>
          <w:sz w:val="24"/>
          <w:szCs w:val="24"/>
        </w:rPr>
        <w:t>mui</w:t>
      </w:r>
      <w:r w:rsidRPr="00AD3407">
        <w:rPr>
          <w:rFonts w:ascii="Times New Roman" w:hAnsi="Times New Roman" w:cs="Times New Roman"/>
          <w:sz w:val="24"/>
          <w:szCs w:val="24"/>
        </w:rPr>
        <w:t xml:space="preserve">, </w:t>
      </w:r>
      <w:r>
        <w:rPr>
          <w:rFonts w:ascii="Times New Roman" w:hAnsi="Times New Roman" w:cs="Times New Roman"/>
          <w:sz w:val="24"/>
          <w:szCs w:val="24"/>
        </w:rPr>
        <w:t>į</w:t>
      </w:r>
      <w:r w:rsidRPr="002D4BF7">
        <w:rPr>
          <w:rFonts w:ascii="Times New Roman" w:hAnsi="Times New Roman" w:cs="Times New Roman"/>
          <w:bCs/>
          <w:sz w:val="24"/>
          <w:szCs w:val="24"/>
        </w:rPr>
        <w:t>gyvendinant Ašt</w:t>
      </w:r>
      <w:r w:rsidRPr="002D4BF7">
        <w:rPr>
          <w:rFonts w:ascii="Times New Roman" w:hAnsi="Times New Roman" w:cs="Times New Roman"/>
          <w:color w:val="000000"/>
          <w:sz w:val="24"/>
          <w:szCs w:val="24"/>
        </w:rPr>
        <w:t xml:space="preserve">uonioliktosios Lietuvos Respublikos Vyriausybės programos </w:t>
      </w:r>
      <w:r w:rsidRPr="002D4BF7">
        <w:rPr>
          <w:rFonts w:ascii="Times New Roman" w:hAnsi="Times New Roman" w:cs="Times New Roman"/>
          <w:color w:val="000000"/>
          <w:sz w:val="24"/>
          <w:szCs w:val="24"/>
        </w:rPr>
        <w:lastRenderedPageBreak/>
        <w:t>nuostatų įgyvendinimo plano 12.4.9 priemonę „</w:t>
      </w:r>
      <w:r w:rsidRPr="002D4BF7">
        <w:rPr>
          <w:rFonts w:ascii="Times New Roman" w:hAnsi="Times New Roman" w:cs="Times New Roman"/>
          <w:sz w:val="24"/>
          <w:szCs w:val="24"/>
          <w:lang w:eastAsia="lt-LT"/>
        </w:rPr>
        <w:t xml:space="preserve">Siekiant aktyvesnio diasporos dalyvavimo kuriant gerovę Lietuvoje, stiprinti diasporos politiką ir parengti </w:t>
      </w:r>
      <w:r w:rsidRPr="002D4BF7">
        <w:rPr>
          <w:rFonts w:ascii="Times New Roman" w:hAnsi="Times New Roman" w:cs="Times New Roman"/>
          <w:sz w:val="24"/>
          <w:szCs w:val="24"/>
        </w:rPr>
        <w:t>„</w:t>
      </w:r>
      <w:r w:rsidRPr="002D4BF7">
        <w:rPr>
          <w:rFonts w:ascii="Times New Roman" w:hAnsi="Times New Roman" w:cs="Times New Roman"/>
          <w:sz w:val="24"/>
          <w:szCs w:val="24"/>
          <w:lang w:eastAsia="lt-LT"/>
        </w:rPr>
        <w:t>Globalios Lietuvos“ strategiją ir jos įgyvendinimo veiksmų planą“</w:t>
      </w:r>
      <w:r w:rsidR="00B47B67">
        <w:rPr>
          <w:rFonts w:ascii="Times New Roman" w:hAnsi="Times New Roman" w:cs="Times New Roman"/>
          <w:sz w:val="24"/>
          <w:szCs w:val="24"/>
          <w:lang w:eastAsia="lt-LT"/>
        </w:rPr>
        <w:t>,</w:t>
      </w:r>
      <w:r w:rsidRPr="002D4BF7">
        <w:rPr>
          <w:rFonts w:ascii="Times New Roman" w:hAnsi="Times New Roman" w:cs="Times New Roman"/>
          <w:sz w:val="24"/>
          <w:szCs w:val="24"/>
          <w:lang w:eastAsia="lt-LT"/>
        </w:rPr>
        <w:t xml:space="preserve"> </w:t>
      </w:r>
      <w:r w:rsidRPr="008D2BF4">
        <w:rPr>
          <w:rFonts w:ascii="Times New Roman" w:hAnsi="Times New Roman" w:cs="Times New Roman"/>
          <w:sz w:val="24"/>
          <w:szCs w:val="24"/>
        </w:rPr>
        <w:t>reik</w:t>
      </w:r>
      <w:r w:rsidR="00B47B67">
        <w:rPr>
          <w:rFonts w:ascii="Times New Roman" w:hAnsi="Times New Roman" w:cs="Times New Roman"/>
          <w:sz w:val="24"/>
          <w:szCs w:val="24"/>
        </w:rPr>
        <w:t>ia</w:t>
      </w:r>
      <w:r w:rsidRPr="008D2BF4">
        <w:rPr>
          <w:rFonts w:ascii="Times New Roman" w:hAnsi="Times New Roman" w:cs="Times New Roman"/>
          <w:sz w:val="24"/>
          <w:szCs w:val="24"/>
        </w:rPr>
        <w:t xml:space="preserve"> įsteigti papildomas pareigybes.</w:t>
      </w:r>
    </w:p>
    <w:p w14:paraId="2892D591" w14:textId="2BFD7C1C" w:rsidR="000B6F13" w:rsidRPr="00593133" w:rsidRDefault="0012038B" w:rsidP="003E358B">
      <w:pPr>
        <w:tabs>
          <w:tab w:val="left" w:pos="283"/>
          <w:tab w:val="left" w:pos="1985"/>
          <w:tab w:val="left" w:pos="2977"/>
        </w:tabs>
        <w:spacing w:after="0" w:line="360" w:lineRule="auto"/>
        <w:jc w:val="both"/>
        <w:rPr>
          <w:rFonts w:ascii="Times New Roman" w:hAnsi="Times New Roman" w:cs="Times New Roman"/>
          <w:sz w:val="24"/>
          <w:szCs w:val="24"/>
        </w:rPr>
      </w:pPr>
      <w:r>
        <w:rPr>
          <w:rFonts w:ascii="Times New Roman" w:hAnsi="Times New Roman" w:cs="Times New Roman"/>
          <w:sz w:val="24"/>
        </w:rPr>
        <w:tab/>
      </w:r>
      <w:r w:rsidR="00593133" w:rsidRPr="00593133">
        <w:rPr>
          <w:rFonts w:ascii="Times New Roman" w:hAnsi="Times New Roman" w:cs="Times New Roman"/>
          <w:sz w:val="24"/>
          <w:szCs w:val="24"/>
        </w:rPr>
        <w:t>Lėšos daliai 2021 metais steigiamų pareigybių Užsienio reikalų ministe</w:t>
      </w:r>
      <w:r w:rsidR="00593133">
        <w:rPr>
          <w:rFonts w:ascii="Times New Roman" w:hAnsi="Times New Roman" w:cs="Times New Roman"/>
          <w:sz w:val="24"/>
          <w:szCs w:val="24"/>
        </w:rPr>
        <w:t>rijos biudžete yra suplanuotos,</w:t>
      </w:r>
      <w:r w:rsidR="00593133" w:rsidRPr="00593133">
        <w:rPr>
          <w:rFonts w:ascii="Times New Roman" w:hAnsi="Times New Roman" w:cs="Times New Roman"/>
          <w:sz w:val="24"/>
          <w:szCs w:val="24"/>
        </w:rPr>
        <w:t xml:space="preserve"> </w:t>
      </w:r>
      <w:r w:rsidR="00593133" w:rsidRPr="00442C09">
        <w:rPr>
          <w:rFonts w:ascii="Times New Roman" w:hAnsi="Times New Roman" w:cs="Times New Roman"/>
          <w:sz w:val="24"/>
          <w:szCs w:val="24"/>
        </w:rPr>
        <w:t xml:space="preserve">tačiau </w:t>
      </w:r>
      <w:r w:rsidR="00593133" w:rsidRPr="00442C09">
        <w:rPr>
          <w:rFonts w:ascii="Times New Roman" w:hAnsi="Times New Roman" w:cs="Times New Roman"/>
          <w:sz w:val="24"/>
          <w:szCs w:val="24"/>
          <w:lang w:val="en-US"/>
        </w:rPr>
        <w:t>penkioms naujoms pareigyb</w:t>
      </w:r>
      <w:r w:rsidR="00593133" w:rsidRPr="00442C09">
        <w:rPr>
          <w:rFonts w:ascii="Times New Roman" w:hAnsi="Times New Roman" w:cs="Times New Roman"/>
          <w:sz w:val="24"/>
          <w:szCs w:val="24"/>
        </w:rPr>
        <w:t>ėms įsteigti lėšos neskirtos, todėl</w:t>
      </w:r>
      <w:r w:rsidR="00D97D99" w:rsidRPr="00442C09">
        <w:rPr>
          <w:rFonts w:ascii="Times New Roman" w:hAnsi="Times New Roman" w:cs="Times New Roman"/>
          <w:sz w:val="24"/>
          <w:szCs w:val="24"/>
        </w:rPr>
        <w:t>,</w:t>
      </w:r>
      <w:r w:rsidR="00593133" w:rsidRPr="00442C09">
        <w:rPr>
          <w:rFonts w:ascii="Times New Roman" w:hAnsi="Times New Roman" w:cs="Times New Roman"/>
          <w:sz w:val="24"/>
          <w:szCs w:val="24"/>
        </w:rPr>
        <w:t xml:space="preserve"> sudarant 2022 m. biudžetą, papildomai reikėtų 1</w:t>
      </w:r>
      <w:r w:rsidR="00593133" w:rsidRPr="00442C09">
        <w:rPr>
          <w:rFonts w:ascii="Times New Roman" w:hAnsi="Times New Roman" w:cs="Times New Roman"/>
          <w:sz w:val="24"/>
          <w:szCs w:val="24"/>
          <w:lang w:val="en-US"/>
        </w:rPr>
        <w:t>5</w:t>
      </w:r>
      <w:r w:rsidR="00593133" w:rsidRPr="00442C09">
        <w:rPr>
          <w:rFonts w:ascii="Times New Roman" w:hAnsi="Times New Roman" w:cs="Times New Roman"/>
          <w:sz w:val="24"/>
          <w:szCs w:val="24"/>
        </w:rPr>
        <w:t>0 tūkst. eurų asignavimų</w:t>
      </w:r>
      <w:r w:rsidR="00593133" w:rsidRPr="00593133">
        <w:rPr>
          <w:rFonts w:ascii="Times New Roman" w:hAnsi="Times New Roman" w:cs="Times New Roman"/>
          <w:sz w:val="24"/>
          <w:szCs w:val="24"/>
        </w:rPr>
        <w:t xml:space="preserve"> darbo užmokesčiui ir socialiniam draudimui finansuoti.</w:t>
      </w:r>
      <w:r w:rsidR="00012F29" w:rsidRPr="00593133">
        <w:rPr>
          <w:rFonts w:ascii="Times New Roman" w:hAnsi="Times New Roman" w:cs="Times New Roman"/>
          <w:sz w:val="24"/>
          <w:szCs w:val="24"/>
        </w:rPr>
        <w:t xml:space="preserve"> </w:t>
      </w:r>
    </w:p>
    <w:p w14:paraId="2417D2D3" w14:textId="77777777" w:rsidR="00DB6E98" w:rsidRDefault="0028158F" w:rsidP="003E358B">
      <w:pPr>
        <w:tabs>
          <w:tab w:val="left" w:pos="283"/>
          <w:tab w:val="left" w:pos="1985"/>
          <w:tab w:val="left" w:pos="2977"/>
        </w:tabs>
        <w:spacing w:after="0" w:line="360" w:lineRule="auto"/>
        <w:jc w:val="both"/>
        <w:rPr>
          <w:rFonts w:ascii="Times New Roman" w:hAnsi="Times New Roman" w:cs="Times New Roman"/>
          <w:sz w:val="24"/>
          <w:szCs w:val="24"/>
        </w:rPr>
      </w:pPr>
      <w:r>
        <w:rPr>
          <w:rFonts w:ascii="Times New Roman" w:hAnsi="Times New Roman" w:cs="Times New Roman"/>
          <w:sz w:val="24"/>
        </w:rPr>
        <w:tab/>
      </w:r>
      <w:r w:rsidR="001108F7">
        <w:rPr>
          <w:rFonts w:ascii="Times New Roman" w:hAnsi="Times New Roman" w:cs="Times New Roman"/>
          <w:sz w:val="24"/>
        </w:rPr>
        <w:t>Atsižvelg</w:t>
      </w:r>
      <w:r w:rsidR="005F37BB">
        <w:rPr>
          <w:rFonts w:ascii="Times New Roman" w:hAnsi="Times New Roman" w:cs="Times New Roman"/>
          <w:sz w:val="24"/>
        </w:rPr>
        <w:t>dami</w:t>
      </w:r>
      <w:r w:rsidR="001108F7">
        <w:rPr>
          <w:rFonts w:ascii="Times New Roman" w:hAnsi="Times New Roman" w:cs="Times New Roman"/>
          <w:sz w:val="24"/>
        </w:rPr>
        <w:t xml:space="preserve"> į </w:t>
      </w:r>
      <w:r w:rsidR="005F37BB">
        <w:rPr>
          <w:rFonts w:ascii="Times New Roman" w:hAnsi="Times New Roman" w:cs="Times New Roman"/>
          <w:sz w:val="24"/>
        </w:rPr>
        <w:t>tai, kas</w:t>
      </w:r>
      <w:r w:rsidR="001108F7">
        <w:rPr>
          <w:rFonts w:ascii="Times New Roman" w:hAnsi="Times New Roman" w:cs="Times New Roman"/>
          <w:sz w:val="24"/>
        </w:rPr>
        <w:t xml:space="preserve"> išdėstyt</w:t>
      </w:r>
      <w:r w:rsidR="005F37BB">
        <w:rPr>
          <w:rFonts w:ascii="Times New Roman" w:hAnsi="Times New Roman" w:cs="Times New Roman"/>
          <w:sz w:val="24"/>
        </w:rPr>
        <w:t>a</w:t>
      </w:r>
      <w:r w:rsidR="002B7E06">
        <w:rPr>
          <w:rFonts w:ascii="Times New Roman" w:hAnsi="Times New Roman" w:cs="Times New Roman"/>
          <w:sz w:val="24"/>
        </w:rPr>
        <w:t>,</w:t>
      </w:r>
      <w:r w:rsidR="001108F7">
        <w:rPr>
          <w:rFonts w:ascii="Times New Roman" w:hAnsi="Times New Roman" w:cs="Times New Roman"/>
          <w:sz w:val="24"/>
        </w:rPr>
        <w:t xml:space="preserve"> </w:t>
      </w:r>
      <w:r w:rsidR="00012F29">
        <w:rPr>
          <w:rFonts w:ascii="Times New Roman" w:hAnsi="Times New Roman" w:cs="Times New Roman"/>
          <w:sz w:val="24"/>
          <w:szCs w:val="24"/>
        </w:rPr>
        <w:t>siūlo</w:t>
      </w:r>
      <w:r w:rsidR="00D5531A">
        <w:rPr>
          <w:rFonts w:ascii="Times New Roman" w:hAnsi="Times New Roman" w:cs="Times New Roman"/>
          <w:sz w:val="24"/>
          <w:szCs w:val="24"/>
        </w:rPr>
        <w:t>me</w:t>
      </w:r>
      <w:r w:rsidR="001108F7">
        <w:rPr>
          <w:rFonts w:ascii="Times New Roman" w:hAnsi="Times New Roman" w:cs="Times New Roman"/>
          <w:sz w:val="24"/>
          <w:szCs w:val="24"/>
        </w:rPr>
        <w:t xml:space="preserve"> </w:t>
      </w:r>
      <w:r w:rsidR="00DB6E98">
        <w:rPr>
          <w:rFonts w:ascii="Times New Roman" w:hAnsi="Times New Roman" w:cs="Times New Roman"/>
          <w:sz w:val="24"/>
          <w:szCs w:val="24"/>
        </w:rPr>
        <w:t>pakeisti Didžiausią leistiną valstybės tarnautojų ir darbuotojų, dirbančių pagal darbo sutartis ir gaunančių darbo užmokestį iš valstybės biud</w:t>
      </w:r>
      <w:r w:rsidR="00D5531A">
        <w:rPr>
          <w:rFonts w:ascii="Times New Roman" w:hAnsi="Times New Roman" w:cs="Times New Roman"/>
          <w:sz w:val="24"/>
          <w:szCs w:val="24"/>
        </w:rPr>
        <w:t>ž</w:t>
      </w:r>
      <w:r w:rsidR="00DB6E98">
        <w:rPr>
          <w:rFonts w:ascii="Times New Roman" w:hAnsi="Times New Roman" w:cs="Times New Roman"/>
          <w:sz w:val="24"/>
          <w:szCs w:val="24"/>
        </w:rPr>
        <w:t>eto ir valstybės pinigų fondų, pareigybių skaičiaus sąrašo 2.12 papunktį</w:t>
      </w:r>
      <w:r w:rsidR="00882FE0">
        <w:rPr>
          <w:rFonts w:ascii="Times New Roman" w:hAnsi="Times New Roman" w:cs="Times New Roman"/>
          <w:sz w:val="24"/>
          <w:szCs w:val="24"/>
        </w:rPr>
        <w:t xml:space="preserve"> </w:t>
      </w:r>
      <w:r w:rsidR="00FC4C0E">
        <w:rPr>
          <w:rFonts w:ascii="Times New Roman" w:hAnsi="Times New Roman" w:cs="Times New Roman"/>
          <w:sz w:val="24"/>
          <w:szCs w:val="24"/>
        </w:rPr>
        <w:t xml:space="preserve">ir </w:t>
      </w:r>
      <w:r w:rsidR="00882FE0">
        <w:rPr>
          <w:rFonts w:ascii="Times New Roman" w:hAnsi="Times New Roman" w:cs="Times New Roman"/>
          <w:sz w:val="24"/>
          <w:szCs w:val="24"/>
        </w:rPr>
        <w:t>jį</w:t>
      </w:r>
      <w:r w:rsidR="00DB6E98">
        <w:rPr>
          <w:rFonts w:ascii="Times New Roman" w:hAnsi="Times New Roman" w:cs="Times New Roman"/>
          <w:sz w:val="24"/>
          <w:szCs w:val="24"/>
        </w:rPr>
        <w:t xml:space="preserve"> išdėst</w:t>
      </w:r>
      <w:r w:rsidR="00FC4C0E">
        <w:rPr>
          <w:rFonts w:ascii="Times New Roman" w:hAnsi="Times New Roman" w:cs="Times New Roman"/>
          <w:sz w:val="24"/>
          <w:szCs w:val="24"/>
        </w:rPr>
        <w:t xml:space="preserve">yti </w:t>
      </w:r>
      <w:r w:rsidR="00DB6E98">
        <w:rPr>
          <w:rFonts w:ascii="Times New Roman" w:hAnsi="Times New Roman" w:cs="Times New Roman"/>
          <w:sz w:val="24"/>
          <w:szCs w:val="24"/>
        </w:rPr>
        <w:t>taip:</w:t>
      </w:r>
    </w:p>
    <w:p w14:paraId="40FFB681" w14:textId="77777777" w:rsidR="00DB6E98" w:rsidRDefault="00DB6E98" w:rsidP="001108F7">
      <w:pPr>
        <w:tabs>
          <w:tab w:val="left" w:pos="283"/>
          <w:tab w:val="left" w:pos="1985"/>
          <w:tab w:val="left" w:pos="2977"/>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8"/>
        <w:gridCol w:w="5103"/>
        <w:gridCol w:w="1134"/>
        <w:gridCol w:w="1134"/>
        <w:gridCol w:w="1269"/>
      </w:tblGrid>
      <w:tr w:rsidR="00DB6E98" w14:paraId="1F23F00C" w14:textId="77777777" w:rsidTr="00DB6E98">
        <w:tc>
          <w:tcPr>
            <w:tcW w:w="988" w:type="dxa"/>
          </w:tcPr>
          <w:p w14:paraId="2D094224" w14:textId="77777777" w:rsidR="00DB6E98" w:rsidRDefault="00DB6E98" w:rsidP="001108F7">
            <w:pPr>
              <w:tabs>
                <w:tab w:val="left" w:pos="283"/>
                <w:tab w:val="left" w:pos="1985"/>
                <w:tab w:val="left" w:pos="2977"/>
              </w:tabs>
              <w:jc w:val="both"/>
              <w:rPr>
                <w:sz w:val="24"/>
                <w:szCs w:val="24"/>
              </w:rPr>
            </w:pPr>
            <w:r>
              <w:rPr>
                <w:sz w:val="24"/>
                <w:szCs w:val="24"/>
              </w:rPr>
              <w:t>„2.12.</w:t>
            </w:r>
          </w:p>
        </w:tc>
        <w:tc>
          <w:tcPr>
            <w:tcW w:w="5103" w:type="dxa"/>
          </w:tcPr>
          <w:p w14:paraId="573B194C" w14:textId="77777777" w:rsidR="00DB6E98" w:rsidRDefault="00DB6E98" w:rsidP="001108F7">
            <w:pPr>
              <w:tabs>
                <w:tab w:val="left" w:pos="283"/>
                <w:tab w:val="left" w:pos="1985"/>
                <w:tab w:val="left" w:pos="2977"/>
              </w:tabs>
              <w:jc w:val="both"/>
              <w:rPr>
                <w:sz w:val="24"/>
                <w:szCs w:val="24"/>
              </w:rPr>
            </w:pPr>
            <w:r>
              <w:rPr>
                <w:sz w:val="24"/>
                <w:szCs w:val="24"/>
              </w:rPr>
              <w:t xml:space="preserve">Lietuvos Respublikos užsienio reikalų ministerija kartu su diplomatinėmis atstovybėmis, konsulinėmis įstaigomis ir specialiosiomis misijomis (išskyrus asmenų, su kuriais Užsienio reikalų ministerija sudaro delegavimo sutartis pagal Lietuvos Respublikos asmenų delegavimo į tarptautines ir Europos Sąjungos institucijas ar užsienio valstybių institucijas įstatymo 18 straipsnį, pareigybių skaičių) </w:t>
            </w:r>
          </w:p>
        </w:tc>
        <w:tc>
          <w:tcPr>
            <w:tcW w:w="1134" w:type="dxa"/>
          </w:tcPr>
          <w:p w14:paraId="1146579F" w14:textId="77777777" w:rsidR="00DB6E98" w:rsidRDefault="006C3581" w:rsidP="009671D9">
            <w:pPr>
              <w:tabs>
                <w:tab w:val="left" w:pos="283"/>
                <w:tab w:val="left" w:pos="1985"/>
                <w:tab w:val="left" w:pos="2977"/>
              </w:tabs>
              <w:jc w:val="both"/>
              <w:rPr>
                <w:sz w:val="24"/>
                <w:szCs w:val="24"/>
              </w:rPr>
            </w:pPr>
            <w:r>
              <w:rPr>
                <w:strike/>
                <w:sz w:val="24"/>
                <w:szCs w:val="24"/>
              </w:rPr>
              <w:t>1005</w:t>
            </w:r>
            <w:r w:rsidR="007E6C9D" w:rsidRPr="007E6C9D">
              <w:rPr>
                <w:strike/>
                <w:sz w:val="24"/>
                <w:szCs w:val="24"/>
              </w:rPr>
              <w:t xml:space="preserve"> </w:t>
            </w:r>
            <w:r w:rsidR="00E5544B" w:rsidRPr="007E6C9D">
              <w:rPr>
                <w:b/>
                <w:sz w:val="24"/>
                <w:szCs w:val="24"/>
              </w:rPr>
              <w:t>10</w:t>
            </w:r>
            <w:r w:rsidR="009671D9">
              <w:rPr>
                <w:b/>
                <w:sz w:val="24"/>
                <w:szCs w:val="24"/>
              </w:rPr>
              <w:t>20</w:t>
            </w:r>
          </w:p>
        </w:tc>
        <w:tc>
          <w:tcPr>
            <w:tcW w:w="1134" w:type="dxa"/>
          </w:tcPr>
          <w:p w14:paraId="529C2E86" w14:textId="77777777" w:rsidR="00DB6E98" w:rsidRDefault="00DB6E98" w:rsidP="001108F7">
            <w:pPr>
              <w:tabs>
                <w:tab w:val="left" w:pos="283"/>
                <w:tab w:val="left" w:pos="1985"/>
                <w:tab w:val="left" w:pos="2977"/>
              </w:tabs>
              <w:jc w:val="both"/>
              <w:rPr>
                <w:sz w:val="24"/>
                <w:szCs w:val="24"/>
              </w:rPr>
            </w:pPr>
          </w:p>
        </w:tc>
        <w:tc>
          <w:tcPr>
            <w:tcW w:w="1269" w:type="dxa"/>
          </w:tcPr>
          <w:p w14:paraId="4CB1BA9F" w14:textId="77777777" w:rsidR="007E6C9D" w:rsidRPr="007E6C9D" w:rsidRDefault="006C3581" w:rsidP="001108F7">
            <w:pPr>
              <w:tabs>
                <w:tab w:val="left" w:pos="283"/>
                <w:tab w:val="left" w:pos="1985"/>
                <w:tab w:val="left" w:pos="2977"/>
              </w:tabs>
              <w:jc w:val="both"/>
              <w:rPr>
                <w:strike/>
                <w:sz w:val="24"/>
                <w:szCs w:val="24"/>
              </w:rPr>
            </w:pPr>
            <w:r>
              <w:rPr>
                <w:strike/>
                <w:sz w:val="24"/>
                <w:szCs w:val="24"/>
              </w:rPr>
              <w:t>1005</w:t>
            </w:r>
          </w:p>
          <w:p w14:paraId="59514DD6" w14:textId="77777777" w:rsidR="00DB6E98" w:rsidRDefault="006C3581" w:rsidP="009671D9">
            <w:pPr>
              <w:tabs>
                <w:tab w:val="left" w:pos="283"/>
                <w:tab w:val="left" w:pos="1985"/>
                <w:tab w:val="left" w:pos="2977"/>
              </w:tabs>
              <w:jc w:val="both"/>
              <w:rPr>
                <w:sz w:val="24"/>
                <w:szCs w:val="24"/>
              </w:rPr>
            </w:pPr>
            <w:r>
              <w:rPr>
                <w:b/>
                <w:sz w:val="24"/>
                <w:szCs w:val="24"/>
              </w:rPr>
              <w:t>10</w:t>
            </w:r>
            <w:r w:rsidR="009671D9">
              <w:rPr>
                <w:b/>
                <w:sz w:val="24"/>
                <w:szCs w:val="24"/>
              </w:rPr>
              <w:t>20</w:t>
            </w:r>
            <w:r w:rsidR="00DB6E98">
              <w:rPr>
                <w:sz w:val="24"/>
                <w:szCs w:val="24"/>
              </w:rPr>
              <w:t>“;</w:t>
            </w:r>
          </w:p>
        </w:tc>
      </w:tr>
    </w:tbl>
    <w:p w14:paraId="40BCC604" w14:textId="77777777" w:rsidR="001108F7" w:rsidRPr="001108F7" w:rsidRDefault="00DB6E98" w:rsidP="001108F7">
      <w:pPr>
        <w:tabs>
          <w:tab w:val="left" w:pos="283"/>
          <w:tab w:val="left" w:pos="1985"/>
          <w:tab w:val="left" w:pos="29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055023" w14:textId="77777777" w:rsidR="001108F7" w:rsidRPr="00DA497E" w:rsidRDefault="001108F7" w:rsidP="00DA497E">
      <w:pPr>
        <w:tabs>
          <w:tab w:val="left" w:pos="283"/>
          <w:tab w:val="left" w:pos="1985"/>
          <w:tab w:val="left" w:pos="2977"/>
        </w:tabs>
        <w:spacing w:after="0" w:line="240" w:lineRule="auto"/>
        <w:rPr>
          <w:rFonts w:ascii="Times New Roman" w:hAnsi="Times New Roman" w:cs="Times New Roman"/>
          <w:sz w:val="24"/>
        </w:rPr>
      </w:pPr>
    </w:p>
    <w:p w14:paraId="57E00988" w14:textId="77777777" w:rsidR="00DA497E" w:rsidRPr="00DA497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DA497E" w:rsidRPr="00DA497E" w14:paraId="7F4A41DC" w14:textId="77777777" w:rsidTr="00EB0A7C">
        <w:trPr>
          <w:cantSplit/>
          <w:trHeight w:val="367"/>
        </w:trPr>
        <w:tc>
          <w:tcPr>
            <w:tcW w:w="4796" w:type="dxa"/>
          </w:tcPr>
          <w:p w14:paraId="48DA96CC" w14:textId="77777777" w:rsidR="00DA497E" w:rsidRPr="00DA497E" w:rsidRDefault="006C3581" w:rsidP="00EB0A7C">
            <w:pPr>
              <w:keepNext/>
              <w:tabs>
                <w:tab w:val="left" w:pos="709"/>
                <w:tab w:val="left" w:pos="7777"/>
              </w:tabs>
              <w:rPr>
                <w:rFonts w:ascii="Times New Roman" w:hAnsi="Times New Roman" w:cs="Times New Roman"/>
                <w:sz w:val="24"/>
              </w:rPr>
            </w:pPr>
            <w:r>
              <w:rPr>
                <w:rFonts w:ascii="Times New Roman" w:hAnsi="Times New Roman" w:cs="Times New Roman"/>
                <w:sz w:val="24"/>
              </w:rPr>
              <w:t>Ministerijos kanclerė</w:t>
            </w:r>
          </w:p>
        </w:tc>
        <w:tc>
          <w:tcPr>
            <w:tcW w:w="1317" w:type="dxa"/>
          </w:tcPr>
          <w:p w14:paraId="04D7FBA3" w14:textId="77777777" w:rsidR="00DA497E" w:rsidRPr="00DA497E" w:rsidRDefault="00DA497E" w:rsidP="00EB0A7C">
            <w:pPr>
              <w:keepNext/>
              <w:tabs>
                <w:tab w:val="left" w:pos="7777"/>
              </w:tabs>
              <w:jc w:val="center"/>
              <w:rPr>
                <w:rFonts w:ascii="Times New Roman" w:hAnsi="Times New Roman" w:cs="Times New Roman"/>
                <w:vanish/>
                <w:color w:val="0000FF"/>
                <w:sz w:val="24"/>
              </w:rPr>
            </w:pPr>
            <w:r w:rsidRPr="00DA497E">
              <w:rPr>
                <w:rFonts w:ascii="Times New Roman" w:hAnsi="Times New Roman" w:cs="Times New Roman"/>
                <w:vanish/>
                <w:color w:val="0000FF"/>
                <w:sz w:val="24"/>
              </w:rPr>
              <w:fldChar w:fldCharType="begin">
                <w:ffData>
                  <w:name w:val=""/>
                  <w:enabled/>
                  <w:calcOnExit w:val="0"/>
                  <w:statusText w:type="text" w:val="Parašo vieta (informacija nespausdinama)"/>
                  <w:textInput>
                    <w:default w:val="Parašo vieta"/>
                  </w:textInput>
                </w:ffData>
              </w:fldChar>
            </w:r>
            <w:r w:rsidRPr="00DA497E">
              <w:rPr>
                <w:rFonts w:ascii="Times New Roman" w:hAnsi="Times New Roman" w:cs="Times New Roman"/>
                <w:vanish/>
                <w:color w:val="0000FF"/>
                <w:sz w:val="24"/>
              </w:rPr>
              <w:instrText xml:space="preserve"> FORMTEXT </w:instrText>
            </w:r>
            <w:r w:rsidRPr="00DA497E">
              <w:rPr>
                <w:rFonts w:ascii="Times New Roman" w:hAnsi="Times New Roman" w:cs="Times New Roman"/>
                <w:vanish/>
                <w:color w:val="0000FF"/>
                <w:sz w:val="24"/>
              </w:rPr>
            </w:r>
            <w:r w:rsidRPr="00DA497E">
              <w:rPr>
                <w:rFonts w:ascii="Times New Roman" w:hAnsi="Times New Roman" w:cs="Times New Roman"/>
                <w:vanish/>
                <w:color w:val="0000FF"/>
                <w:sz w:val="24"/>
              </w:rPr>
              <w:fldChar w:fldCharType="separate"/>
            </w:r>
            <w:r w:rsidRPr="00DA497E">
              <w:rPr>
                <w:rFonts w:ascii="Times New Roman" w:hAnsi="Times New Roman" w:cs="Times New Roman"/>
                <w:noProof/>
                <w:vanish/>
                <w:color w:val="0000FF"/>
                <w:sz w:val="24"/>
              </w:rPr>
              <w:t>Parašo vieta</w:t>
            </w:r>
            <w:r w:rsidRPr="00DA497E">
              <w:rPr>
                <w:rFonts w:ascii="Times New Roman" w:hAnsi="Times New Roman" w:cs="Times New Roman"/>
                <w:vanish/>
                <w:color w:val="0000FF"/>
                <w:sz w:val="24"/>
              </w:rPr>
              <w:fldChar w:fldCharType="end"/>
            </w:r>
          </w:p>
        </w:tc>
        <w:tc>
          <w:tcPr>
            <w:tcW w:w="3485" w:type="dxa"/>
          </w:tcPr>
          <w:p w14:paraId="6CDD426D" w14:textId="77777777" w:rsidR="00DA497E" w:rsidRPr="00DA497E" w:rsidRDefault="006C3581" w:rsidP="006C3581">
            <w:pPr>
              <w:keepNext/>
              <w:tabs>
                <w:tab w:val="left" w:pos="7777"/>
              </w:tabs>
              <w:jc w:val="right"/>
              <w:rPr>
                <w:rFonts w:ascii="Times New Roman" w:hAnsi="Times New Roman" w:cs="Times New Roman"/>
                <w:sz w:val="24"/>
              </w:rPr>
            </w:pPr>
            <w:r>
              <w:rPr>
                <w:rFonts w:ascii="Times New Roman" w:hAnsi="Times New Roman" w:cs="Times New Roman"/>
                <w:sz w:val="24"/>
              </w:rPr>
              <w:t>Inga Černiuk</w:t>
            </w:r>
          </w:p>
        </w:tc>
      </w:tr>
    </w:tbl>
    <w:p w14:paraId="5ECD9546"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0FE47E1E"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BC6F6A7"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AF12F86"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01B8ECC5"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E5FE0D0"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2F405B97"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53067A09"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3A847E5E"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07F0A07D"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354981B3"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600182E5"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35078759"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7CE03A58" w14:textId="77777777" w:rsidR="00843C87" w:rsidRDefault="00843C87" w:rsidP="00DA497E">
      <w:pPr>
        <w:tabs>
          <w:tab w:val="left" w:pos="283"/>
          <w:tab w:val="left" w:pos="1985"/>
          <w:tab w:val="left" w:pos="2977"/>
        </w:tabs>
        <w:spacing w:after="0" w:line="240" w:lineRule="auto"/>
        <w:rPr>
          <w:rFonts w:ascii="Times New Roman" w:hAnsi="Times New Roman" w:cs="Times New Roman"/>
          <w:sz w:val="24"/>
        </w:rPr>
      </w:pPr>
    </w:p>
    <w:p w14:paraId="412B3A14"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325FF1B3"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5C8311A"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0C107A74"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6F367CF8"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18652537"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7B5170D7" w14:textId="77777777" w:rsidR="00DA497E" w:rsidRPr="00807BA6" w:rsidRDefault="005959E0" w:rsidP="00DA497E">
      <w:pPr>
        <w:rPr>
          <w:rFonts w:ascii="Times New Roman" w:hAnsi="Times New Roman" w:cs="Times New Roman"/>
        </w:rPr>
      </w:pPr>
      <w:r w:rsidRPr="00807BA6">
        <w:rPr>
          <w:rFonts w:ascii="Times New Roman" w:hAnsi="Times New Roman" w:cs="Times New Roman"/>
        </w:rPr>
        <w:t xml:space="preserve">Lina Kačerauskienė, </w:t>
      </w:r>
      <w:r w:rsidR="00DA497E" w:rsidRPr="00807BA6">
        <w:rPr>
          <w:rFonts w:ascii="Times New Roman" w:hAnsi="Times New Roman" w:cs="Times New Roman"/>
        </w:rPr>
        <w:t xml:space="preserve">tel. </w:t>
      </w:r>
      <w:r w:rsidR="00A808B5" w:rsidRPr="00807BA6">
        <w:rPr>
          <w:rFonts w:ascii="Times New Roman" w:hAnsi="Times New Roman" w:cs="Times New Roman"/>
        </w:rPr>
        <w:t xml:space="preserve">+370 </w:t>
      </w:r>
      <w:r w:rsidRPr="00807BA6">
        <w:rPr>
          <w:rFonts w:ascii="Times New Roman" w:hAnsi="Times New Roman" w:cs="Times New Roman"/>
        </w:rPr>
        <w:t>85 2362495</w:t>
      </w:r>
      <w:r w:rsidR="00DA497E" w:rsidRPr="00807BA6">
        <w:rPr>
          <w:rFonts w:ascii="Times New Roman" w:hAnsi="Times New Roman" w:cs="Times New Roman"/>
        </w:rPr>
        <w:t xml:space="preserve">, el. p. </w:t>
      </w:r>
      <w:r w:rsidRPr="00807BA6">
        <w:rPr>
          <w:rFonts w:ascii="Times New Roman" w:hAnsi="Times New Roman" w:cs="Times New Roman"/>
        </w:rPr>
        <w:t>Lina.Kacerauskiene</w:t>
      </w:r>
      <w:r w:rsidR="00DA497E" w:rsidRPr="00807BA6">
        <w:rPr>
          <w:rFonts w:ascii="Times New Roman" w:hAnsi="Times New Roman" w:cs="Times New Roman"/>
        </w:rPr>
        <w:t>@urm.lt</w:t>
      </w:r>
    </w:p>
    <w:sectPr w:rsidR="00DA497E" w:rsidRPr="00807BA6" w:rsidSect="007765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DE46" w14:textId="77777777" w:rsidR="007B3156" w:rsidRDefault="007B3156" w:rsidP="00776513">
      <w:pPr>
        <w:spacing w:after="0" w:line="240" w:lineRule="auto"/>
      </w:pPr>
      <w:r>
        <w:separator/>
      </w:r>
    </w:p>
  </w:endnote>
  <w:endnote w:type="continuationSeparator" w:id="0">
    <w:p w14:paraId="13399A7B" w14:textId="77777777" w:rsidR="007B3156" w:rsidRDefault="007B3156"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72685" w14:textId="77777777" w:rsidR="007B3156" w:rsidRDefault="007B3156" w:rsidP="00776513">
      <w:pPr>
        <w:spacing w:after="0" w:line="240" w:lineRule="auto"/>
      </w:pPr>
      <w:r>
        <w:separator/>
      </w:r>
    </w:p>
  </w:footnote>
  <w:footnote w:type="continuationSeparator" w:id="0">
    <w:p w14:paraId="6563174F" w14:textId="77777777" w:rsidR="007B3156" w:rsidRDefault="007B3156" w:rsidP="0077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4CC7"/>
    <w:multiLevelType w:val="multilevel"/>
    <w:tmpl w:val="4C34F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101C7"/>
    <w:rsid w:val="00012F29"/>
    <w:rsid w:val="0002200B"/>
    <w:rsid w:val="000310F1"/>
    <w:rsid w:val="00042CAB"/>
    <w:rsid w:val="0004613A"/>
    <w:rsid w:val="000B6F13"/>
    <w:rsid w:val="000C41B4"/>
    <w:rsid w:val="000E215C"/>
    <w:rsid w:val="000F789A"/>
    <w:rsid w:val="001108F7"/>
    <w:rsid w:val="00114CED"/>
    <w:rsid w:val="0012038B"/>
    <w:rsid w:val="001515C7"/>
    <w:rsid w:val="001579FE"/>
    <w:rsid w:val="00160FB5"/>
    <w:rsid w:val="00191C6C"/>
    <w:rsid w:val="001A0953"/>
    <w:rsid w:val="001A200C"/>
    <w:rsid w:val="001C715C"/>
    <w:rsid w:val="001E027D"/>
    <w:rsid w:val="002346C6"/>
    <w:rsid w:val="0028158F"/>
    <w:rsid w:val="0029052A"/>
    <w:rsid w:val="002A07C8"/>
    <w:rsid w:val="002B7E06"/>
    <w:rsid w:val="002C2838"/>
    <w:rsid w:val="002C4468"/>
    <w:rsid w:val="002C45BB"/>
    <w:rsid w:val="002D4BF7"/>
    <w:rsid w:val="002F4BE0"/>
    <w:rsid w:val="002F560F"/>
    <w:rsid w:val="002F778F"/>
    <w:rsid w:val="00301955"/>
    <w:rsid w:val="003069FD"/>
    <w:rsid w:val="00310486"/>
    <w:rsid w:val="003108C5"/>
    <w:rsid w:val="00310C42"/>
    <w:rsid w:val="00316300"/>
    <w:rsid w:val="00317DD0"/>
    <w:rsid w:val="00322CE7"/>
    <w:rsid w:val="00340049"/>
    <w:rsid w:val="00352A45"/>
    <w:rsid w:val="00377DA9"/>
    <w:rsid w:val="0039124C"/>
    <w:rsid w:val="00397BFD"/>
    <w:rsid w:val="003A30D6"/>
    <w:rsid w:val="003B27CD"/>
    <w:rsid w:val="003B33B7"/>
    <w:rsid w:val="003D08BF"/>
    <w:rsid w:val="003E358B"/>
    <w:rsid w:val="004060B3"/>
    <w:rsid w:val="00406687"/>
    <w:rsid w:val="0041326D"/>
    <w:rsid w:val="004351D1"/>
    <w:rsid w:val="00442C09"/>
    <w:rsid w:val="004A159C"/>
    <w:rsid w:val="004B429A"/>
    <w:rsid w:val="004D6936"/>
    <w:rsid w:val="005132D9"/>
    <w:rsid w:val="005469B8"/>
    <w:rsid w:val="0055520F"/>
    <w:rsid w:val="00570D7B"/>
    <w:rsid w:val="00593133"/>
    <w:rsid w:val="005959E0"/>
    <w:rsid w:val="005E2222"/>
    <w:rsid w:val="005F2FDC"/>
    <w:rsid w:val="005F37BB"/>
    <w:rsid w:val="00634758"/>
    <w:rsid w:val="0064304B"/>
    <w:rsid w:val="0065298D"/>
    <w:rsid w:val="006564F1"/>
    <w:rsid w:val="00657870"/>
    <w:rsid w:val="006647F6"/>
    <w:rsid w:val="0068503D"/>
    <w:rsid w:val="00693067"/>
    <w:rsid w:val="00696DBD"/>
    <w:rsid w:val="006C3581"/>
    <w:rsid w:val="006C5A28"/>
    <w:rsid w:val="00706372"/>
    <w:rsid w:val="00723E18"/>
    <w:rsid w:val="00776513"/>
    <w:rsid w:val="007B3156"/>
    <w:rsid w:val="007E6C9D"/>
    <w:rsid w:val="007F3B9A"/>
    <w:rsid w:val="00807BA6"/>
    <w:rsid w:val="00825D7D"/>
    <w:rsid w:val="00843C87"/>
    <w:rsid w:val="008714DA"/>
    <w:rsid w:val="00875578"/>
    <w:rsid w:val="0088169D"/>
    <w:rsid w:val="00882FE0"/>
    <w:rsid w:val="00890DCE"/>
    <w:rsid w:val="008B4BF1"/>
    <w:rsid w:val="008C7DB5"/>
    <w:rsid w:val="008D2BF4"/>
    <w:rsid w:val="009331A2"/>
    <w:rsid w:val="00946BB3"/>
    <w:rsid w:val="00950644"/>
    <w:rsid w:val="00954729"/>
    <w:rsid w:val="0095485B"/>
    <w:rsid w:val="009603C5"/>
    <w:rsid w:val="0096354A"/>
    <w:rsid w:val="009671D9"/>
    <w:rsid w:val="00993DE4"/>
    <w:rsid w:val="009C1362"/>
    <w:rsid w:val="00A36212"/>
    <w:rsid w:val="00A3766C"/>
    <w:rsid w:val="00A431D4"/>
    <w:rsid w:val="00A620B8"/>
    <w:rsid w:val="00A808B5"/>
    <w:rsid w:val="00AB2ED2"/>
    <w:rsid w:val="00AD3407"/>
    <w:rsid w:val="00AD3EF4"/>
    <w:rsid w:val="00AD4592"/>
    <w:rsid w:val="00AE1C8E"/>
    <w:rsid w:val="00B32DE4"/>
    <w:rsid w:val="00B409C4"/>
    <w:rsid w:val="00B47B67"/>
    <w:rsid w:val="00B5093C"/>
    <w:rsid w:val="00B601B0"/>
    <w:rsid w:val="00BF159C"/>
    <w:rsid w:val="00C60225"/>
    <w:rsid w:val="00C74D52"/>
    <w:rsid w:val="00C96D72"/>
    <w:rsid w:val="00CA3036"/>
    <w:rsid w:val="00CC7C2C"/>
    <w:rsid w:val="00CD224C"/>
    <w:rsid w:val="00CE4276"/>
    <w:rsid w:val="00D24FCB"/>
    <w:rsid w:val="00D46CDA"/>
    <w:rsid w:val="00D5531A"/>
    <w:rsid w:val="00D7598C"/>
    <w:rsid w:val="00D80B7C"/>
    <w:rsid w:val="00D972C2"/>
    <w:rsid w:val="00D97D99"/>
    <w:rsid w:val="00DA497E"/>
    <w:rsid w:val="00DB1A06"/>
    <w:rsid w:val="00DB494C"/>
    <w:rsid w:val="00DB64D4"/>
    <w:rsid w:val="00DB6E98"/>
    <w:rsid w:val="00DB73E4"/>
    <w:rsid w:val="00DC08E3"/>
    <w:rsid w:val="00DC2E9F"/>
    <w:rsid w:val="00DC39C0"/>
    <w:rsid w:val="00E07D43"/>
    <w:rsid w:val="00E114C6"/>
    <w:rsid w:val="00E42EF9"/>
    <w:rsid w:val="00E5544B"/>
    <w:rsid w:val="00E55AC9"/>
    <w:rsid w:val="00E638CE"/>
    <w:rsid w:val="00E8786B"/>
    <w:rsid w:val="00E9141A"/>
    <w:rsid w:val="00E975F5"/>
    <w:rsid w:val="00EA676B"/>
    <w:rsid w:val="00EB054B"/>
    <w:rsid w:val="00EB28B4"/>
    <w:rsid w:val="00EE5793"/>
    <w:rsid w:val="00F10030"/>
    <w:rsid w:val="00F27768"/>
    <w:rsid w:val="00F31159"/>
    <w:rsid w:val="00F34036"/>
    <w:rsid w:val="00F3679F"/>
    <w:rsid w:val="00F7231B"/>
    <w:rsid w:val="00F8521D"/>
    <w:rsid w:val="00F92DBF"/>
    <w:rsid w:val="00FA3B3A"/>
    <w:rsid w:val="00FC4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41BE"/>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65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513"/>
  </w:style>
  <w:style w:type="paragraph" w:styleId="Porat">
    <w:name w:val="footer"/>
    <w:basedOn w:val="prastasis"/>
    <w:link w:val="PoratDiagrama"/>
    <w:uiPriority w:val="99"/>
    <w:unhideWhenUsed/>
    <w:rsid w:val="007765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513"/>
  </w:style>
  <w:style w:type="character" w:styleId="Hipersaitas">
    <w:name w:val="Hyperlink"/>
    <w:rsid w:val="00DA497E"/>
    <w:rPr>
      <w:color w:val="0000FF"/>
      <w:u w:val="single"/>
    </w:rPr>
  </w:style>
  <w:style w:type="table" w:styleId="Lentelstinklelis">
    <w:name w:val="Table Grid"/>
    <w:basedOn w:val="prastojilentel"/>
    <w:rsid w:val="00DA497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C4C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4C0E"/>
    <w:rPr>
      <w:rFonts w:ascii="Segoe UI" w:hAnsi="Segoe UI" w:cs="Segoe UI"/>
      <w:sz w:val="18"/>
      <w:szCs w:val="18"/>
    </w:rPr>
  </w:style>
  <w:style w:type="paragraph" w:styleId="prastasiniatinklio">
    <w:name w:val="Normal (Web)"/>
    <w:basedOn w:val="prastasis"/>
    <w:uiPriority w:val="99"/>
    <w:semiHidden/>
    <w:unhideWhenUsed/>
    <w:rsid w:val="000B6F13"/>
    <w:pPr>
      <w:spacing w:after="0" w:line="240" w:lineRule="auto"/>
    </w:pPr>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5F37BB"/>
    <w:rPr>
      <w:sz w:val="16"/>
      <w:szCs w:val="16"/>
    </w:rPr>
  </w:style>
  <w:style w:type="paragraph" w:styleId="Komentarotekstas">
    <w:name w:val="annotation text"/>
    <w:basedOn w:val="prastasis"/>
    <w:link w:val="KomentarotekstasDiagrama"/>
    <w:uiPriority w:val="99"/>
    <w:semiHidden/>
    <w:unhideWhenUsed/>
    <w:rsid w:val="005F37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37BB"/>
    <w:rPr>
      <w:sz w:val="20"/>
      <w:szCs w:val="20"/>
    </w:rPr>
  </w:style>
  <w:style w:type="paragraph" w:styleId="Komentarotema">
    <w:name w:val="annotation subject"/>
    <w:basedOn w:val="Komentarotekstas"/>
    <w:next w:val="Komentarotekstas"/>
    <w:link w:val="KomentarotemaDiagrama"/>
    <w:uiPriority w:val="99"/>
    <w:semiHidden/>
    <w:unhideWhenUsed/>
    <w:rsid w:val="005F37BB"/>
    <w:rPr>
      <w:b/>
      <w:bCs/>
    </w:rPr>
  </w:style>
  <w:style w:type="character" w:customStyle="1" w:styleId="KomentarotemaDiagrama">
    <w:name w:val="Komentaro tema Diagrama"/>
    <w:basedOn w:val="KomentarotekstasDiagrama"/>
    <w:link w:val="Komentarotema"/>
    <w:uiPriority w:val="99"/>
    <w:semiHidden/>
    <w:rsid w:val="005F37BB"/>
    <w:rPr>
      <w:b/>
      <w:bCs/>
      <w:sz w:val="20"/>
      <w:szCs w:val="20"/>
    </w:rPr>
  </w:style>
  <w:style w:type="paragraph" w:styleId="Betarp">
    <w:name w:val="No Spacing"/>
    <w:rsid w:val="00EB05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 w:type="character" w:customStyle="1" w:styleId="None">
    <w:name w:val="None"/>
    <w:rsid w:val="00EB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84EA-1C89-4FAB-9DB3-09F21464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1072</Words>
  <Characters>6112</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Janina Guščiūtė</cp:lastModifiedBy>
  <cp:revision>6</cp:revision>
  <cp:lastPrinted>2021-04-30T07:23:00Z</cp:lastPrinted>
  <dcterms:created xsi:type="dcterms:W3CDTF">2021-05-10T06:07:00Z</dcterms:created>
  <dcterms:modified xsi:type="dcterms:W3CDTF">2021-06-09T10:29:00Z</dcterms:modified>
</cp:coreProperties>
</file>