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81" w:type="dxa"/>
        <w:jc w:val="center"/>
        <w:tblLayout w:type="fixed"/>
        <w:tblCellMar>
          <w:left w:w="0" w:type="dxa"/>
          <w:right w:w="0" w:type="dxa"/>
        </w:tblCellMar>
        <w:tblLook w:val="0000" w:firstRow="0" w:lastRow="0" w:firstColumn="0" w:lastColumn="0" w:noHBand="0" w:noVBand="0"/>
      </w:tblPr>
      <w:tblGrid>
        <w:gridCol w:w="5990"/>
        <w:gridCol w:w="1425"/>
        <w:gridCol w:w="428"/>
        <w:gridCol w:w="2138"/>
      </w:tblGrid>
      <w:tr w:rsidR="00C12558" w:rsidRPr="00127FF7" w14:paraId="7C3229C2" w14:textId="77777777" w:rsidTr="00EA6057">
        <w:trPr>
          <w:cantSplit/>
          <w:trHeight w:val="269"/>
          <w:jc w:val="center"/>
        </w:trPr>
        <w:tc>
          <w:tcPr>
            <w:tcW w:w="5990" w:type="dxa"/>
            <w:vMerge w:val="restart"/>
          </w:tcPr>
          <w:p w14:paraId="5CB9F3FB" w14:textId="412A362C" w:rsidR="00C12558" w:rsidRPr="00127FF7" w:rsidRDefault="00980EA7" w:rsidP="00EA6057">
            <w:pPr>
              <w:ind w:right="-149"/>
            </w:pPr>
            <w:r w:rsidRPr="00127FF7">
              <w:t>Lietuvos Respublikos Vyriausybei</w:t>
            </w:r>
          </w:p>
          <w:p w14:paraId="64D1CD75" w14:textId="09EFB284" w:rsidR="00B944A9" w:rsidRPr="00127FF7" w:rsidRDefault="00B944A9" w:rsidP="00EA6057">
            <w:pPr>
              <w:ind w:right="-149"/>
            </w:pPr>
          </w:p>
        </w:tc>
        <w:tc>
          <w:tcPr>
            <w:tcW w:w="1425" w:type="dxa"/>
          </w:tcPr>
          <w:p w14:paraId="5FC3E335" w14:textId="63A8E95F" w:rsidR="00C12558" w:rsidRPr="00127FF7" w:rsidRDefault="00C12558" w:rsidP="00EA6057">
            <w:pPr>
              <w:jc w:val="both"/>
            </w:pPr>
            <w:r w:rsidRPr="00127FF7">
              <w:t>20</w:t>
            </w:r>
            <w:r w:rsidR="009D3419" w:rsidRPr="00127FF7">
              <w:t>2</w:t>
            </w:r>
            <w:r w:rsidR="00296EC1" w:rsidRPr="00127FF7">
              <w:t>1</w:t>
            </w:r>
            <w:r w:rsidRPr="00127FF7">
              <w:t>-</w:t>
            </w:r>
            <w:r w:rsidR="000428BD" w:rsidRPr="00127FF7">
              <w:t>0</w:t>
            </w:r>
            <w:r w:rsidR="00E31A9E">
              <w:t>2</w:t>
            </w:r>
            <w:r w:rsidRPr="00127FF7">
              <w:t>-</w:t>
            </w:r>
          </w:p>
        </w:tc>
        <w:tc>
          <w:tcPr>
            <w:tcW w:w="428" w:type="dxa"/>
          </w:tcPr>
          <w:p w14:paraId="78F0630F" w14:textId="77777777" w:rsidR="00C12558" w:rsidRPr="00127FF7" w:rsidRDefault="00C12558" w:rsidP="00EA6057">
            <w:pPr>
              <w:jc w:val="both"/>
            </w:pPr>
            <w:r w:rsidRPr="00127FF7">
              <w:t>Nr.</w:t>
            </w:r>
          </w:p>
        </w:tc>
        <w:tc>
          <w:tcPr>
            <w:tcW w:w="2138" w:type="dxa"/>
          </w:tcPr>
          <w:p w14:paraId="39152B7D" w14:textId="1333842D" w:rsidR="00C12558" w:rsidRPr="00127FF7" w:rsidRDefault="00C12558" w:rsidP="00EA6057">
            <w:pPr>
              <w:jc w:val="both"/>
            </w:pPr>
            <w:r w:rsidRPr="00127FF7">
              <w:t>(1.1.3</w:t>
            </w:r>
            <w:r w:rsidR="001917C6" w:rsidRPr="00127FF7">
              <w:t>E</w:t>
            </w:r>
            <w:r w:rsidRPr="00127FF7">
              <w:t>-141)10-</w:t>
            </w:r>
          </w:p>
        </w:tc>
      </w:tr>
      <w:tr w:rsidR="00C12558" w:rsidRPr="00127FF7" w14:paraId="68615DC2" w14:textId="77777777" w:rsidTr="00EA6057">
        <w:trPr>
          <w:cantSplit/>
          <w:trHeight w:val="269"/>
          <w:jc w:val="center"/>
        </w:trPr>
        <w:tc>
          <w:tcPr>
            <w:tcW w:w="5990" w:type="dxa"/>
            <w:vMerge/>
          </w:tcPr>
          <w:p w14:paraId="2B78DF07" w14:textId="77777777" w:rsidR="00C12558" w:rsidRPr="00127FF7" w:rsidRDefault="00C12558" w:rsidP="00EA6057">
            <w:pPr>
              <w:ind w:right="708"/>
              <w:jc w:val="both"/>
            </w:pPr>
          </w:p>
        </w:tc>
        <w:tc>
          <w:tcPr>
            <w:tcW w:w="1425" w:type="dxa"/>
          </w:tcPr>
          <w:p w14:paraId="5710EA94" w14:textId="77777777" w:rsidR="00C12558" w:rsidRPr="00127FF7" w:rsidRDefault="00C12558" w:rsidP="00EA6057">
            <w:pPr>
              <w:ind w:right="-142"/>
              <w:jc w:val="both"/>
            </w:pPr>
          </w:p>
        </w:tc>
        <w:tc>
          <w:tcPr>
            <w:tcW w:w="428" w:type="dxa"/>
          </w:tcPr>
          <w:p w14:paraId="3F042434" w14:textId="77777777" w:rsidR="00C12558" w:rsidRPr="00127FF7" w:rsidRDefault="00C12558" w:rsidP="00EA6057">
            <w:pPr>
              <w:jc w:val="both"/>
            </w:pPr>
          </w:p>
        </w:tc>
        <w:tc>
          <w:tcPr>
            <w:tcW w:w="2138" w:type="dxa"/>
          </w:tcPr>
          <w:p w14:paraId="1CEDC312" w14:textId="77777777" w:rsidR="00C12558" w:rsidRPr="00127FF7" w:rsidRDefault="00C12558" w:rsidP="00EA6057">
            <w:pPr>
              <w:jc w:val="both"/>
            </w:pPr>
          </w:p>
        </w:tc>
      </w:tr>
    </w:tbl>
    <w:p w14:paraId="11D35146" w14:textId="77777777" w:rsidR="009C4446" w:rsidRPr="00127FF7" w:rsidRDefault="009C4446" w:rsidP="00B944A9">
      <w:pPr>
        <w:pStyle w:val="Pagrindinistekstas"/>
        <w:rPr>
          <w:b/>
          <w:bCs/>
        </w:rPr>
      </w:pPr>
    </w:p>
    <w:p w14:paraId="7A56BB9B" w14:textId="31FEAA2D" w:rsidR="00C12558" w:rsidRPr="00127FF7" w:rsidRDefault="00C12558" w:rsidP="00B944A9">
      <w:pPr>
        <w:pStyle w:val="Pagrindinistekstas"/>
        <w:rPr>
          <w:b/>
          <w:bCs/>
        </w:rPr>
      </w:pPr>
      <w:r w:rsidRPr="00127FF7">
        <w:rPr>
          <w:b/>
          <w:bCs/>
        </w:rPr>
        <w:t xml:space="preserve">DĖL </w:t>
      </w:r>
      <w:bookmarkStart w:id="0" w:name="_Hlk50374423"/>
      <w:r w:rsidR="00172F9B" w:rsidRPr="00127FF7">
        <w:rPr>
          <w:b/>
        </w:rPr>
        <w:t>LIETUVOS RESPUBLIKOS VYRIAUSYBĖS PASITARIMO PROTOKOLO</w:t>
      </w:r>
    </w:p>
    <w:bookmarkEnd w:id="0"/>
    <w:p w14:paraId="1AC45D2D" w14:textId="4F463EAA" w:rsidR="008C3CE6" w:rsidRPr="00127FF7" w:rsidRDefault="008C3CE6" w:rsidP="00C12558">
      <w:pPr>
        <w:tabs>
          <w:tab w:val="left" w:pos="567"/>
        </w:tabs>
        <w:jc w:val="both"/>
        <w:rPr>
          <w:color w:val="000000"/>
        </w:rPr>
      </w:pPr>
    </w:p>
    <w:p w14:paraId="06185ED5" w14:textId="77777777" w:rsidR="00D422DA" w:rsidRPr="003D191A" w:rsidRDefault="00D422DA" w:rsidP="00D422DA">
      <w:pPr>
        <w:ind w:firstLine="851"/>
        <w:jc w:val="both"/>
        <w:rPr>
          <w:rFonts w:eastAsiaTheme="minorHAnsi"/>
        </w:rPr>
      </w:pPr>
      <w:r w:rsidRPr="003D191A">
        <w:rPr>
          <w:rFonts w:eastAsiaTheme="minorHAnsi"/>
        </w:rPr>
        <w:t>2020 m. birželio 18 d. Lietuvos Respublikos sveikatos apsaugos ministro susitarimu su Europos Komisija, Europos Komisijai buvo suteikti įgaliojimai, Lietuvos Respublikos vardu, dalyvaujant valstybėms narėms, su vakcinų gamintojais sudaryti išankstinę vakcinos nuo COVID-19 ligos (</w:t>
      </w:r>
      <w:proofErr w:type="spellStart"/>
      <w:r w:rsidRPr="003D191A">
        <w:rPr>
          <w:rFonts w:eastAsiaTheme="minorHAnsi"/>
        </w:rPr>
        <w:t>koronaviruso</w:t>
      </w:r>
      <w:proofErr w:type="spellEnd"/>
      <w:r w:rsidRPr="003D191A">
        <w:rPr>
          <w:rFonts w:eastAsiaTheme="minorHAnsi"/>
        </w:rPr>
        <w:t xml:space="preserve"> infekcijos) pirkimo sutartį.</w:t>
      </w:r>
    </w:p>
    <w:p w14:paraId="0233B92D" w14:textId="77777777" w:rsidR="00D422DA" w:rsidRDefault="00D422DA" w:rsidP="00D422DA">
      <w:pPr>
        <w:ind w:firstLine="851"/>
        <w:jc w:val="both"/>
        <w:rPr>
          <w:rFonts w:eastAsiaTheme="minorHAnsi"/>
        </w:rPr>
      </w:pPr>
      <w:r>
        <w:rPr>
          <w:rFonts w:eastAsiaTheme="minorHAnsi"/>
        </w:rPr>
        <w:t xml:space="preserve">2020 m. rugsėjo 23 d. </w:t>
      </w:r>
      <w:r w:rsidRPr="00BF2F52">
        <w:rPr>
          <w:rFonts w:eastAsiaTheme="minorHAnsi"/>
        </w:rPr>
        <w:t>L</w:t>
      </w:r>
      <w:r>
        <w:rPr>
          <w:rFonts w:eastAsiaTheme="minorHAnsi"/>
        </w:rPr>
        <w:t xml:space="preserve">ietuvos </w:t>
      </w:r>
      <w:r w:rsidRPr="00BF2F52">
        <w:rPr>
          <w:rFonts w:eastAsiaTheme="minorHAnsi"/>
        </w:rPr>
        <w:t>R</w:t>
      </w:r>
      <w:r>
        <w:rPr>
          <w:rFonts w:eastAsiaTheme="minorHAnsi"/>
        </w:rPr>
        <w:t>espublikos</w:t>
      </w:r>
      <w:r w:rsidRPr="00BF2F52">
        <w:rPr>
          <w:rFonts w:eastAsiaTheme="minorHAnsi"/>
        </w:rPr>
        <w:t xml:space="preserve"> Vyriausybė</w:t>
      </w:r>
      <w:r>
        <w:rPr>
          <w:rFonts w:eastAsiaTheme="minorHAnsi"/>
        </w:rPr>
        <w:t>s</w:t>
      </w:r>
      <w:r w:rsidRPr="00BF2F52">
        <w:rPr>
          <w:rFonts w:eastAsiaTheme="minorHAnsi"/>
        </w:rPr>
        <w:t xml:space="preserve"> pasitarimo metu </w:t>
      </w:r>
      <w:proofErr w:type="spellStart"/>
      <w:r w:rsidRPr="00BF2F52">
        <w:rPr>
          <w:rFonts w:eastAsiaTheme="minorHAnsi"/>
          <w:i/>
          <w:iCs/>
        </w:rPr>
        <w:t>inter</w:t>
      </w:r>
      <w:proofErr w:type="spellEnd"/>
      <w:r w:rsidRPr="00BF2F52">
        <w:rPr>
          <w:rFonts w:eastAsiaTheme="minorHAnsi"/>
          <w:i/>
          <w:iCs/>
        </w:rPr>
        <w:t xml:space="preserve"> alia</w:t>
      </w:r>
      <w:r w:rsidRPr="00BF2F52">
        <w:rPr>
          <w:rFonts w:eastAsiaTheme="minorHAnsi"/>
        </w:rPr>
        <w:t xml:space="preserve"> </w:t>
      </w:r>
      <w:r>
        <w:rPr>
          <w:rFonts w:eastAsiaTheme="minorHAnsi"/>
        </w:rPr>
        <w:t xml:space="preserve">nuspręsta </w:t>
      </w:r>
      <w:r w:rsidRPr="00BF2F52">
        <w:rPr>
          <w:rFonts w:eastAsiaTheme="minorHAnsi"/>
        </w:rPr>
        <w:t>pritarti</w:t>
      </w:r>
      <w:r>
        <w:rPr>
          <w:rFonts w:eastAsiaTheme="minorHAnsi"/>
        </w:rPr>
        <w:t>:</w:t>
      </w:r>
    </w:p>
    <w:p w14:paraId="1553978A" w14:textId="77777777" w:rsidR="00D422DA" w:rsidRDefault="00D422DA" w:rsidP="00D422DA">
      <w:pPr>
        <w:ind w:firstLine="851"/>
        <w:jc w:val="both"/>
        <w:rPr>
          <w:rFonts w:eastAsiaTheme="minorHAnsi"/>
        </w:rPr>
      </w:pPr>
      <w:r>
        <w:rPr>
          <w:rFonts w:eastAsiaTheme="minorHAnsi"/>
        </w:rPr>
        <w:t xml:space="preserve">1. </w:t>
      </w:r>
      <w:r w:rsidRPr="002049FE">
        <w:rPr>
          <w:rFonts w:eastAsiaTheme="minorHAnsi"/>
        </w:rPr>
        <w:t>vakcinų nuo COVID-19 ligos (</w:t>
      </w:r>
      <w:proofErr w:type="spellStart"/>
      <w:r w:rsidRPr="002049FE">
        <w:rPr>
          <w:rFonts w:eastAsiaTheme="minorHAnsi"/>
        </w:rPr>
        <w:t>koronaviruso</w:t>
      </w:r>
      <w:proofErr w:type="spellEnd"/>
      <w:r w:rsidRPr="002049FE">
        <w:rPr>
          <w:rFonts w:eastAsiaTheme="minorHAnsi"/>
        </w:rPr>
        <w:t xml:space="preserve"> infekcijos) įsigijimų diversifikavimui, vakcinas įsigyjant iš skirtingų gamintojų, su kuriais Europos Komisija sudaro išankstines vakcinų pirkimo–pardavimo sutartis; </w:t>
      </w:r>
    </w:p>
    <w:p w14:paraId="42E958B6" w14:textId="77777777" w:rsidR="00D422DA" w:rsidRDefault="00D422DA" w:rsidP="00D422DA">
      <w:pPr>
        <w:ind w:firstLine="851"/>
        <w:jc w:val="both"/>
        <w:rPr>
          <w:rFonts w:eastAsiaTheme="minorHAnsi"/>
        </w:rPr>
      </w:pPr>
      <w:r>
        <w:rPr>
          <w:rFonts w:eastAsiaTheme="minorHAnsi"/>
        </w:rPr>
        <w:t xml:space="preserve">2. </w:t>
      </w:r>
      <w:r w:rsidRPr="00F070E0">
        <w:t>įsigyjamų vakcinų nuo COVID-19 ligos (</w:t>
      </w:r>
      <w:proofErr w:type="spellStart"/>
      <w:r w:rsidRPr="00F070E0">
        <w:t>koronaviruso</w:t>
      </w:r>
      <w:proofErr w:type="spellEnd"/>
      <w:r w:rsidRPr="00F070E0">
        <w:t xml:space="preserve"> infekcijos) iš konkretaus gamintojo dozių kieki</w:t>
      </w:r>
      <w:r>
        <w:t>o</w:t>
      </w:r>
      <w:r w:rsidRPr="00F070E0">
        <w:t xml:space="preserve"> nustat</w:t>
      </w:r>
      <w:r>
        <w:t>ymui</w:t>
      </w:r>
      <w:r w:rsidRPr="00F070E0">
        <w:t xml:space="preserve"> taikant atitinkamai Europos Komisijos nustatytą </w:t>
      </w:r>
      <w:r w:rsidRPr="002049FE">
        <w:rPr>
          <w:i/>
          <w:iCs/>
        </w:rPr>
        <w:t xml:space="preserve">pro </w:t>
      </w:r>
      <w:proofErr w:type="spellStart"/>
      <w:r w:rsidRPr="002049FE">
        <w:rPr>
          <w:i/>
          <w:iCs/>
        </w:rPr>
        <w:t>rata</w:t>
      </w:r>
      <w:proofErr w:type="spellEnd"/>
      <w:r w:rsidRPr="00F070E0">
        <w:t xml:space="preserve"> kriterijų arba pagal Lietuvos Respublikos pateiktą poreikį (kai </w:t>
      </w:r>
      <w:r w:rsidRPr="002049FE">
        <w:rPr>
          <w:i/>
          <w:iCs/>
        </w:rPr>
        <w:t xml:space="preserve">pro </w:t>
      </w:r>
      <w:proofErr w:type="spellStart"/>
      <w:r w:rsidRPr="002049FE">
        <w:rPr>
          <w:i/>
          <w:iCs/>
        </w:rPr>
        <w:t>rata</w:t>
      </w:r>
      <w:proofErr w:type="spellEnd"/>
      <w:r w:rsidRPr="00F070E0">
        <w:t xml:space="preserve"> kriterijus netaikomas), nebent įsigyjamos vakcinos nuo COVID-19 ligos (</w:t>
      </w:r>
      <w:proofErr w:type="spellStart"/>
      <w:r w:rsidRPr="00F070E0">
        <w:t>koronaviruso</w:t>
      </w:r>
      <w:proofErr w:type="spellEnd"/>
      <w:r w:rsidRPr="00F070E0">
        <w:t xml:space="preserve"> infekcijos) kiekio mažinimas būtų galimas ir pakankamas Lietuvos Respublikos populiacijai vakcinuoti</w:t>
      </w:r>
      <w:r>
        <w:t>;</w:t>
      </w:r>
    </w:p>
    <w:p w14:paraId="0CFD04DA" w14:textId="77777777" w:rsidR="00D422DA" w:rsidRDefault="00D422DA" w:rsidP="00D422DA">
      <w:pPr>
        <w:ind w:firstLine="851"/>
        <w:jc w:val="both"/>
        <w:rPr>
          <w:rFonts w:eastAsiaTheme="minorHAnsi"/>
        </w:rPr>
      </w:pPr>
      <w:r>
        <w:rPr>
          <w:rFonts w:eastAsiaTheme="minorHAnsi"/>
        </w:rPr>
        <w:t xml:space="preserve">3. </w:t>
      </w:r>
      <w:r w:rsidRPr="002049FE">
        <w:rPr>
          <w:rFonts w:eastAsiaTheme="minorHAnsi"/>
        </w:rPr>
        <w:t>bendro iš skirtingų gamintojų įsigyjamų vakcinų dozių kiekio, reikalingo Lietuvos Respublikos Vyriausybės nustatytam 70 procentų Lietuvos Respublikos populiacijos vakcinuoti, galimam viršijimui</w:t>
      </w:r>
      <w:r>
        <w:rPr>
          <w:rFonts w:eastAsiaTheme="minorHAnsi"/>
        </w:rPr>
        <w:t>.</w:t>
      </w:r>
    </w:p>
    <w:p w14:paraId="71E389DC" w14:textId="77777777" w:rsidR="00BF1269" w:rsidRPr="009D660D" w:rsidRDefault="00BF1269" w:rsidP="00BF1269">
      <w:pPr>
        <w:ind w:firstLine="851"/>
        <w:jc w:val="both"/>
        <w:rPr>
          <w:rFonts w:eastAsiaTheme="minorHAnsi"/>
        </w:rPr>
      </w:pPr>
      <w:r w:rsidRPr="009D660D">
        <w:rPr>
          <w:rFonts w:eastAsiaTheme="minorHAnsi"/>
        </w:rPr>
        <w:t xml:space="preserve">Lietuvos Respublikos Vyriausybė </w:t>
      </w:r>
      <w:r>
        <w:rPr>
          <w:rFonts w:eastAsiaTheme="minorHAnsi"/>
        </w:rPr>
        <w:t xml:space="preserve">jau yra </w:t>
      </w:r>
      <w:r w:rsidRPr="009D660D">
        <w:rPr>
          <w:rFonts w:eastAsiaTheme="minorHAnsi"/>
        </w:rPr>
        <w:t>pritar</w:t>
      </w:r>
      <w:r>
        <w:rPr>
          <w:rFonts w:eastAsiaTheme="minorHAnsi"/>
        </w:rPr>
        <w:t>usi</w:t>
      </w:r>
      <w:r w:rsidRPr="009D660D">
        <w:rPr>
          <w:rFonts w:eastAsiaTheme="minorHAnsi"/>
        </w:rPr>
        <w:t xml:space="preserve"> šių vakcinų kiekio įsigijimui:</w:t>
      </w:r>
    </w:p>
    <w:p w14:paraId="412CB914" w14:textId="77777777" w:rsidR="00BF1269" w:rsidRPr="009D660D" w:rsidRDefault="00BF1269" w:rsidP="00BF1269">
      <w:pPr>
        <w:ind w:firstLine="851"/>
        <w:jc w:val="both"/>
        <w:rPr>
          <w:rFonts w:eastAsiaTheme="minorHAnsi"/>
        </w:rPr>
      </w:pPr>
      <w:r w:rsidRPr="009D660D">
        <w:rPr>
          <w:rFonts w:eastAsiaTheme="minorHAnsi"/>
        </w:rPr>
        <w:t>1.</w:t>
      </w:r>
      <w:r w:rsidRPr="009D660D">
        <w:rPr>
          <w:rFonts w:eastAsiaTheme="minorHAnsi"/>
        </w:rPr>
        <w:tab/>
        <w:t>„</w:t>
      </w:r>
      <w:proofErr w:type="spellStart"/>
      <w:r w:rsidRPr="009D660D">
        <w:rPr>
          <w:rFonts w:eastAsiaTheme="minorHAnsi"/>
        </w:rPr>
        <w:t>AstraZeneca</w:t>
      </w:r>
      <w:proofErr w:type="spellEnd"/>
      <w:r w:rsidRPr="009D660D">
        <w:rPr>
          <w:rFonts w:eastAsiaTheme="minorHAnsi"/>
        </w:rPr>
        <w:t xml:space="preserve">“ – 1,86 mln. dozių (vakcinos platforma – </w:t>
      </w:r>
      <w:proofErr w:type="spellStart"/>
      <w:r w:rsidRPr="009D660D">
        <w:rPr>
          <w:rFonts w:eastAsiaTheme="minorHAnsi"/>
        </w:rPr>
        <w:t>adenoviruso</w:t>
      </w:r>
      <w:proofErr w:type="spellEnd"/>
      <w:r w:rsidRPr="009D660D">
        <w:rPr>
          <w:rFonts w:eastAsiaTheme="minorHAnsi"/>
        </w:rPr>
        <w:t>);</w:t>
      </w:r>
    </w:p>
    <w:p w14:paraId="10C1D43A" w14:textId="77777777" w:rsidR="003D22FE" w:rsidRDefault="00BF1269" w:rsidP="00BF1269">
      <w:pPr>
        <w:ind w:firstLine="851"/>
        <w:jc w:val="both"/>
        <w:rPr>
          <w:rFonts w:eastAsiaTheme="minorHAnsi"/>
        </w:rPr>
      </w:pPr>
      <w:r w:rsidRPr="009D660D">
        <w:rPr>
          <w:rFonts w:eastAsiaTheme="minorHAnsi"/>
        </w:rPr>
        <w:t>2.</w:t>
      </w:r>
      <w:r w:rsidRPr="009D660D">
        <w:rPr>
          <w:rFonts w:eastAsiaTheme="minorHAnsi"/>
        </w:rPr>
        <w:tab/>
      </w:r>
      <w:r w:rsidR="003D22FE" w:rsidRPr="009D660D">
        <w:rPr>
          <w:rFonts w:eastAsiaTheme="minorHAnsi"/>
        </w:rPr>
        <w:t>„</w:t>
      </w:r>
      <w:proofErr w:type="spellStart"/>
      <w:r w:rsidR="003D22FE" w:rsidRPr="009D660D">
        <w:rPr>
          <w:rFonts w:eastAsiaTheme="minorHAnsi"/>
        </w:rPr>
        <w:t>Janssen</w:t>
      </w:r>
      <w:proofErr w:type="spellEnd"/>
      <w:r w:rsidR="003D22FE" w:rsidRPr="009D660D">
        <w:rPr>
          <w:rFonts w:eastAsiaTheme="minorHAnsi"/>
        </w:rPr>
        <w:t xml:space="preserve"> </w:t>
      </w:r>
      <w:proofErr w:type="spellStart"/>
      <w:r w:rsidR="003D22FE" w:rsidRPr="009D660D">
        <w:rPr>
          <w:rFonts w:eastAsiaTheme="minorHAnsi"/>
        </w:rPr>
        <w:t>Pharmaceutica</w:t>
      </w:r>
      <w:proofErr w:type="spellEnd"/>
      <w:r w:rsidR="003D22FE" w:rsidRPr="009D660D">
        <w:rPr>
          <w:rFonts w:eastAsiaTheme="minorHAnsi"/>
        </w:rPr>
        <w:t xml:space="preserve"> NV“ – </w:t>
      </w:r>
      <w:r w:rsidR="003D22FE" w:rsidRPr="00407E44">
        <w:rPr>
          <w:rFonts w:eastAsiaTheme="minorHAnsi"/>
        </w:rPr>
        <w:t xml:space="preserve">vakcinų kiekį, pakankamą vakcinuoti 1,24 mln. gyventojų, nebent būtų galima mažinti </w:t>
      </w:r>
      <w:r w:rsidR="003D22FE" w:rsidRPr="00FC6D99">
        <w:rPr>
          <w:rFonts w:eastAsiaTheme="minorHAnsi"/>
        </w:rPr>
        <w:t xml:space="preserve">įsigyjamos vakcinos kiekį iki skaičiaus, pakankamo vakcinuoti 700 tūkst.  Lietuvos Respublikos gyventojų (vakcinos platforma – </w:t>
      </w:r>
      <w:proofErr w:type="spellStart"/>
      <w:r w:rsidR="003D22FE" w:rsidRPr="00FC6D99">
        <w:rPr>
          <w:rFonts w:eastAsiaTheme="minorHAnsi"/>
        </w:rPr>
        <w:t>adenoviruso</w:t>
      </w:r>
      <w:proofErr w:type="spellEnd"/>
      <w:r w:rsidR="003D22FE" w:rsidRPr="00FC6D99">
        <w:rPr>
          <w:rFonts w:eastAsiaTheme="minorHAnsi"/>
        </w:rPr>
        <w:t>);</w:t>
      </w:r>
    </w:p>
    <w:p w14:paraId="019E34C7" w14:textId="33DF18A9" w:rsidR="00BF1269" w:rsidRPr="009D660D" w:rsidRDefault="00BF1269" w:rsidP="00BF1269">
      <w:pPr>
        <w:ind w:firstLine="851"/>
        <w:jc w:val="both"/>
        <w:rPr>
          <w:rFonts w:eastAsiaTheme="minorHAnsi"/>
        </w:rPr>
      </w:pPr>
      <w:r w:rsidRPr="009D660D">
        <w:rPr>
          <w:rFonts w:eastAsiaTheme="minorHAnsi"/>
        </w:rPr>
        <w:t>3.</w:t>
      </w:r>
      <w:r w:rsidRPr="009D660D">
        <w:rPr>
          <w:rFonts w:eastAsiaTheme="minorHAnsi"/>
        </w:rPr>
        <w:tab/>
        <w:t>„</w:t>
      </w:r>
      <w:proofErr w:type="spellStart"/>
      <w:r w:rsidRPr="009D660D">
        <w:rPr>
          <w:rFonts w:eastAsiaTheme="minorHAnsi"/>
        </w:rPr>
        <w:t>Sanofi</w:t>
      </w:r>
      <w:proofErr w:type="spellEnd"/>
      <w:r w:rsidRPr="009D660D">
        <w:rPr>
          <w:rFonts w:eastAsiaTheme="minorHAnsi"/>
        </w:rPr>
        <w:t xml:space="preserve"> </w:t>
      </w:r>
      <w:proofErr w:type="spellStart"/>
      <w:r w:rsidRPr="009D660D">
        <w:rPr>
          <w:rFonts w:eastAsiaTheme="minorHAnsi"/>
        </w:rPr>
        <w:t>Pasteur</w:t>
      </w:r>
      <w:proofErr w:type="spellEnd"/>
      <w:r w:rsidRPr="009D660D">
        <w:rPr>
          <w:rFonts w:eastAsiaTheme="minorHAnsi"/>
        </w:rPr>
        <w:t xml:space="preserve"> &amp; GSK“ – 1,5 mln. dozių (vakcinos platforma – </w:t>
      </w:r>
      <w:proofErr w:type="spellStart"/>
      <w:r w:rsidRPr="009D660D">
        <w:rPr>
          <w:rFonts w:eastAsiaTheme="minorHAnsi"/>
        </w:rPr>
        <w:t>adjuvantinė</w:t>
      </w:r>
      <w:proofErr w:type="spellEnd"/>
      <w:r w:rsidRPr="009D660D">
        <w:rPr>
          <w:rFonts w:eastAsiaTheme="minorHAnsi"/>
        </w:rPr>
        <w:t>);</w:t>
      </w:r>
    </w:p>
    <w:p w14:paraId="2D5B6C2B" w14:textId="16210DCB" w:rsidR="00BF1269" w:rsidRPr="009D660D" w:rsidRDefault="00BF1269" w:rsidP="00BF1269">
      <w:pPr>
        <w:ind w:firstLine="851"/>
        <w:jc w:val="both"/>
        <w:rPr>
          <w:rFonts w:eastAsiaTheme="minorHAnsi"/>
        </w:rPr>
      </w:pPr>
      <w:r w:rsidRPr="009D660D">
        <w:rPr>
          <w:rFonts w:eastAsiaTheme="minorHAnsi"/>
        </w:rPr>
        <w:t>4.</w:t>
      </w:r>
      <w:r w:rsidRPr="009D660D">
        <w:rPr>
          <w:rFonts w:eastAsiaTheme="minorHAnsi"/>
        </w:rPr>
        <w:tab/>
        <w:t>„</w:t>
      </w:r>
      <w:proofErr w:type="spellStart"/>
      <w:r w:rsidRPr="009D660D">
        <w:rPr>
          <w:rFonts w:eastAsiaTheme="minorHAnsi"/>
        </w:rPr>
        <w:t>BioNTech</w:t>
      </w:r>
      <w:proofErr w:type="spellEnd"/>
      <w:r w:rsidRPr="009D660D">
        <w:rPr>
          <w:rFonts w:eastAsiaTheme="minorHAnsi"/>
        </w:rPr>
        <w:t xml:space="preserve"> &amp; </w:t>
      </w:r>
      <w:proofErr w:type="spellStart"/>
      <w:r w:rsidRPr="009D660D">
        <w:rPr>
          <w:rFonts w:eastAsiaTheme="minorHAnsi"/>
        </w:rPr>
        <w:t>Pfizer</w:t>
      </w:r>
      <w:proofErr w:type="spellEnd"/>
      <w:r w:rsidRPr="009D660D">
        <w:rPr>
          <w:rFonts w:eastAsiaTheme="minorHAnsi"/>
        </w:rPr>
        <w:t>“ – 1,24 mln. dozių</w:t>
      </w:r>
      <w:r>
        <w:rPr>
          <w:rFonts w:eastAsiaTheme="minorHAnsi"/>
        </w:rPr>
        <w:t xml:space="preserve"> ir</w:t>
      </w:r>
      <w:r w:rsidRPr="009D660D">
        <w:rPr>
          <w:rFonts w:eastAsiaTheme="minorHAnsi"/>
        </w:rPr>
        <w:t xml:space="preserve"> </w:t>
      </w:r>
      <w:r w:rsidR="000C2CAF">
        <w:rPr>
          <w:rFonts w:eastAsiaTheme="minorHAnsi"/>
        </w:rPr>
        <w:t>1,</w:t>
      </w:r>
      <w:r w:rsidR="00F24DE9">
        <w:rPr>
          <w:rFonts w:eastAsiaTheme="minorHAnsi"/>
        </w:rPr>
        <w:t>8</w:t>
      </w:r>
      <w:r w:rsidR="001640B4">
        <w:rPr>
          <w:rFonts w:eastAsiaTheme="minorHAnsi"/>
        </w:rPr>
        <w:t>58</w:t>
      </w:r>
      <w:r w:rsidRPr="009D660D">
        <w:rPr>
          <w:rFonts w:eastAsiaTheme="minorHAnsi"/>
        </w:rPr>
        <w:t xml:space="preserve"> mln.</w:t>
      </w:r>
      <w:r>
        <w:rPr>
          <w:rFonts w:eastAsiaTheme="minorHAnsi"/>
          <w:lang w:val="en-US"/>
        </w:rPr>
        <w:t xml:space="preserve"> </w:t>
      </w:r>
      <w:r w:rsidRPr="009D660D">
        <w:rPr>
          <w:rFonts w:eastAsiaTheme="minorHAnsi"/>
        </w:rPr>
        <w:t xml:space="preserve">papildomų dozių (vakcinos platforma – </w:t>
      </w:r>
      <w:proofErr w:type="spellStart"/>
      <w:r w:rsidRPr="009D660D">
        <w:rPr>
          <w:rFonts w:eastAsiaTheme="minorHAnsi"/>
        </w:rPr>
        <w:t>mRnR</w:t>
      </w:r>
      <w:proofErr w:type="spellEnd"/>
      <w:r w:rsidRPr="009D660D">
        <w:rPr>
          <w:rFonts w:eastAsiaTheme="minorHAnsi"/>
        </w:rPr>
        <w:t>);</w:t>
      </w:r>
    </w:p>
    <w:p w14:paraId="2751781A" w14:textId="77777777" w:rsidR="00BF1269" w:rsidRPr="009D660D" w:rsidRDefault="00BF1269" w:rsidP="00BF1269">
      <w:pPr>
        <w:ind w:firstLine="851"/>
        <w:jc w:val="both"/>
        <w:rPr>
          <w:rFonts w:eastAsiaTheme="minorHAnsi"/>
        </w:rPr>
      </w:pPr>
      <w:r w:rsidRPr="009D660D">
        <w:rPr>
          <w:rFonts w:eastAsiaTheme="minorHAnsi"/>
        </w:rPr>
        <w:t>5.</w:t>
      </w:r>
      <w:r w:rsidRPr="009D660D">
        <w:rPr>
          <w:rFonts w:eastAsiaTheme="minorHAnsi"/>
        </w:rPr>
        <w:tab/>
        <w:t>„</w:t>
      </w:r>
      <w:proofErr w:type="spellStart"/>
      <w:r w:rsidRPr="009D660D">
        <w:rPr>
          <w:rFonts w:eastAsiaTheme="minorHAnsi"/>
        </w:rPr>
        <w:t>CureVac</w:t>
      </w:r>
      <w:proofErr w:type="spellEnd"/>
      <w:r w:rsidRPr="009D660D">
        <w:rPr>
          <w:rFonts w:eastAsiaTheme="minorHAnsi"/>
        </w:rPr>
        <w:t xml:space="preserve">“ – 1,38 mln. dozių (vakcinos platforma – </w:t>
      </w:r>
      <w:proofErr w:type="spellStart"/>
      <w:r w:rsidRPr="009D660D">
        <w:rPr>
          <w:rFonts w:eastAsiaTheme="minorHAnsi"/>
        </w:rPr>
        <w:t>mRnR</w:t>
      </w:r>
      <w:proofErr w:type="spellEnd"/>
      <w:r w:rsidRPr="009D660D">
        <w:rPr>
          <w:rFonts w:eastAsiaTheme="minorHAnsi"/>
        </w:rPr>
        <w:t>);</w:t>
      </w:r>
    </w:p>
    <w:p w14:paraId="7B79518D" w14:textId="53C306D8" w:rsidR="00BF1269" w:rsidRPr="009D660D" w:rsidRDefault="00BF1269" w:rsidP="00BF1269">
      <w:pPr>
        <w:ind w:firstLine="851"/>
        <w:jc w:val="both"/>
        <w:rPr>
          <w:rFonts w:eastAsiaTheme="minorHAnsi"/>
        </w:rPr>
      </w:pPr>
      <w:r w:rsidRPr="009D660D">
        <w:rPr>
          <w:rFonts w:eastAsiaTheme="minorHAnsi"/>
        </w:rPr>
        <w:t xml:space="preserve">6. </w:t>
      </w:r>
      <w:r w:rsidRPr="009D660D">
        <w:rPr>
          <w:rFonts w:eastAsiaTheme="minorHAnsi"/>
        </w:rPr>
        <w:tab/>
        <w:t>“</w:t>
      </w:r>
      <w:proofErr w:type="spellStart"/>
      <w:r w:rsidRPr="009D660D">
        <w:rPr>
          <w:rFonts w:eastAsiaTheme="minorHAnsi"/>
        </w:rPr>
        <w:t>Moderna</w:t>
      </w:r>
      <w:proofErr w:type="spellEnd"/>
      <w:r w:rsidRPr="009D660D">
        <w:rPr>
          <w:rFonts w:eastAsiaTheme="minorHAnsi"/>
        </w:rPr>
        <w:t xml:space="preserve">” – 496 tūkst. dozių (vakcinos platforma – </w:t>
      </w:r>
      <w:proofErr w:type="spellStart"/>
      <w:r w:rsidRPr="009D660D">
        <w:rPr>
          <w:rFonts w:eastAsiaTheme="minorHAnsi"/>
        </w:rPr>
        <w:t>mRnR</w:t>
      </w:r>
      <w:proofErr w:type="spellEnd"/>
      <w:r w:rsidRPr="009D660D">
        <w:rPr>
          <w:rFonts w:eastAsiaTheme="minorHAnsi"/>
        </w:rPr>
        <w:t>).</w:t>
      </w:r>
    </w:p>
    <w:p w14:paraId="3AEB690F" w14:textId="3FD150F2" w:rsidR="007D06D5" w:rsidRDefault="00E0790B" w:rsidP="009630E0">
      <w:pPr>
        <w:shd w:val="clear" w:color="auto" w:fill="FFFFFF" w:themeFill="background1"/>
        <w:tabs>
          <w:tab w:val="left" w:pos="567"/>
        </w:tabs>
        <w:ind w:firstLine="851"/>
        <w:jc w:val="both"/>
      </w:pPr>
      <w:r w:rsidRPr="00E0790B">
        <w:t xml:space="preserve">Šiuo metu </w:t>
      </w:r>
      <w:r>
        <w:t xml:space="preserve">tarp Europos </w:t>
      </w:r>
      <w:r w:rsidR="0044362E">
        <w:t>Komisijos ir farmacijos kompanijos „</w:t>
      </w:r>
      <w:proofErr w:type="spellStart"/>
      <w:r w:rsidR="004C055B" w:rsidRPr="004C055B">
        <w:rPr>
          <w:i/>
          <w:iCs/>
        </w:rPr>
        <w:t>Valneva</w:t>
      </w:r>
      <w:proofErr w:type="spellEnd"/>
      <w:r w:rsidR="0044362E">
        <w:t xml:space="preserve">“ </w:t>
      </w:r>
      <w:r w:rsidRPr="00E0790B">
        <w:t>vyksta „</w:t>
      </w:r>
      <w:proofErr w:type="spellStart"/>
      <w:r w:rsidRPr="0044362E">
        <w:rPr>
          <w:i/>
          <w:iCs/>
        </w:rPr>
        <w:t>pre</w:t>
      </w:r>
      <w:proofErr w:type="spellEnd"/>
      <w:r w:rsidRPr="0044362E">
        <w:rPr>
          <w:i/>
          <w:iCs/>
        </w:rPr>
        <w:t xml:space="preserve"> </w:t>
      </w:r>
      <w:proofErr w:type="spellStart"/>
      <w:r w:rsidRPr="0044362E">
        <w:rPr>
          <w:i/>
          <w:iCs/>
        </w:rPr>
        <w:t>bazaar</w:t>
      </w:r>
      <w:proofErr w:type="spellEnd"/>
      <w:r w:rsidRPr="00E0790B">
        <w:t xml:space="preserve">“ </w:t>
      </w:r>
      <w:r w:rsidR="00524C3D">
        <w:t>derybos</w:t>
      </w:r>
      <w:r w:rsidRPr="00E0790B">
        <w:t xml:space="preserve">, t. y. </w:t>
      </w:r>
      <w:r w:rsidR="00524C3D">
        <w:t xml:space="preserve">Europos Komisija apklausia valstybes nares dėl </w:t>
      </w:r>
      <w:r w:rsidRPr="00E0790B">
        <w:t xml:space="preserve">numatomų įsigyti vakcinų kiekių iš </w:t>
      </w:r>
      <w:r w:rsidR="00822FE5">
        <w:t xml:space="preserve">šio </w:t>
      </w:r>
      <w:r w:rsidRPr="00E0790B">
        <w:t>gamintojo</w:t>
      </w:r>
      <w:r w:rsidR="00524C3D">
        <w:t>, prieš Europos Komisijai pradedant oficialias derybas su farmacijos kompanija „</w:t>
      </w:r>
      <w:proofErr w:type="spellStart"/>
      <w:r w:rsidR="004C055B" w:rsidRPr="004C055B">
        <w:rPr>
          <w:i/>
          <w:iCs/>
        </w:rPr>
        <w:t>Valneva</w:t>
      </w:r>
      <w:proofErr w:type="spellEnd"/>
      <w:r w:rsidR="00524C3D">
        <w:t>“</w:t>
      </w:r>
      <w:r w:rsidRPr="00E0790B">
        <w:t>.</w:t>
      </w:r>
      <w:r w:rsidR="00803C60">
        <w:t xml:space="preserve"> Svarbu pažymėti, kad </w:t>
      </w:r>
      <w:r w:rsidR="002A1108" w:rsidRPr="009217DA">
        <w:t>išankstinė pirkimo sutartis dar nėra gauta.</w:t>
      </w:r>
    </w:p>
    <w:p w14:paraId="71A25BCF" w14:textId="5B46C017" w:rsidR="004C055B" w:rsidRDefault="005536B1" w:rsidP="00391330">
      <w:pPr>
        <w:shd w:val="clear" w:color="auto" w:fill="FFFFFF" w:themeFill="background1"/>
        <w:tabs>
          <w:tab w:val="left" w:pos="567"/>
        </w:tabs>
        <w:ind w:firstLine="851"/>
        <w:jc w:val="both"/>
      </w:pPr>
      <w:r w:rsidRPr="005536B1">
        <w:t xml:space="preserve">Vakcinos formatas – </w:t>
      </w:r>
      <w:proofErr w:type="spellStart"/>
      <w:r w:rsidRPr="005536B1">
        <w:t>inaktyvuota</w:t>
      </w:r>
      <w:proofErr w:type="spellEnd"/>
      <w:r w:rsidRPr="005536B1">
        <w:t xml:space="preserve"> vakcina. Tai vienintelis gamintojas Europoje ir JAV, kuriantis </w:t>
      </w:r>
      <w:proofErr w:type="spellStart"/>
      <w:r w:rsidRPr="005536B1">
        <w:t>inaktyvuotą</w:t>
      </w:r>
      <w:proofErr w:type="spellEnd"/>
      <w:r w:rsidRPr="005536B1">
        <w:t xml:space="preserve"> COVID-19 vakciną.</w:t>
      </w:r>
    </w:p>
    <w:p w14:paraId="24A97113" w14:textId="77777777" w:rsidR="006771B1" w:rsidRPr="006771B1" w:rsidRDefault="006771B1" w:rsidP="006771B1">
      <w:pPr>
        <w:shd w:val="clear" w:color="auto" w:fill="FFFFFF" w:themeFill="background1"/>
        <w:tabs>
          <w:tab w:val="left" w:pos="567"/>
        </w:tabs>
        <w:ind w:firstLine="851"/>
        <w:jc w:val="both"/>
        <w:rPr>
          <w:b/>
          <w:bCs/>
        </w:rPr>
      </w:pPr>
      <w:r w:rsidRPr="006771B1">
        <w:rPr>
          <w:b/>
          <w:bCs/>
        </w:rPr>
        <w:t>Farmacijos kompanijos „</w:t>
      </w:r>
      <w:proofErr w:type="spellStart"/>
      <w:r w:rsidRPr="006771B1">
        <w:rPr>
          <w:b/>
          <w:bCs/>
        </w:rPr>
        <w:t>Valneva</w:t>
      </w:r>
      <w:proofErr w:type="spellEnd"/>
      <w:r w:rsidRPr="006771B1">
        <w:rPr>
          <w:b/>
          <w:bCs/>
        </w:rPr>
        <w:t>“ kuriamos vakcinos privalumai:</w:t>
      </w:r>
    </w:p>
    <w:p w14:paraId="1363A9B7" w14:textId="77777777" w:rsidR="006771B1" w:rsidRDefault="006771B1" w:rsidP="006771B1">
      <w:pPr>
        <w:shd w:val="clear" w:color="auto" w:fill="FFFFFF" w:themeFill="background1"/>
        <w:tabs>
          <w:tab w:val="left" w:pos="567"/>
        </w:tabs>
        <w:ind w:firstLine="851"/>
        <w:jc w:val="both"/>
      </w:pPr>
      <w:r>
        <w:t xml:space="preserve">1. Vakcinos specifinis komponentas yra </w:t>
      </w:r>
      <w:proofErr w:type="spellStart"/>
      <w:r>
        <w:t>inaktyvuotas</w:t>
      </w:r>
      <w:proofErr w:type="spellEnd"/>
      <w:r>
        <w:t xml:space="preserve"> pilnas virusas kartu su </w:t>
      </w:r>
      <w:proofErr w:type="spellStart"/>
      <w:r>
        <w:t>adjuvantu</w:t>
      </w:r>
      <w:proofErr w:type="spellEnd"/>
      <w:r>
        <w:t>. Toks formatas yra seniai naudojamas ir žinomas - taip kuriamos gripo, poliomielito ir kt. vakcinos;</w:t>
      </w:r>
    </w:p>
    <w:p w14:paraId="717293B7" w14:textId="77777777" w:rsidR="006771B1" w:rsidRDefault="006771B1" w:rsidP="006771B1">
      <w:pPr>
        <w:shd w:val="clear" w:color="auto" w:fill="FFFFFF" w:themeFill="background1"/>
        <w:tabs>
          <w:tab w:val="left" w:pos="567"/>
        </w:tabs>
        <w:ind w:firstLine="851"/>
        <w:jc w:val="both"/>
      </w:pPr>
      <w:r>
        <w:t xml:space="preserve">2. Vakcinos sudėtyje yra aliuminio </w:t>
      </w:r>
      <w:proofErr w:type="spellStart"/>
      <w:r>
        <w:t>adjuvantas</w:t>
      </w:r>
      <w:proofErr w:type="spellEnd"/>
      <w:r>
        <w:t xml:space="preserve"> ir </w:t>
      </w:r>
      <w:proofErr w:type="spellStart"/>
      <w:r>
        <w:t>CpG</w:t>
      </w:r>
      <w:proofErr w:type="spellEnd"/>
      <w:r>
        <w:t xml:space="preserve"> </w:t>
      </w:r>
      <w:proofErr w:type="spellStart"/>
      <w:r>
        <w:t>adjuvantas</w:t>
      </w:r>
      <w:proofErr w:type="spellEnd"/>
      <w:r>
        <w:t xml:space="preserve"> </w:t>
      </w:r>
      <w:proofErr w:type="spellStart"/>
      <w:r>
        <w:t>CpG</w:t>
      </w:r>
      <w:proofErr w:type="spellEnd"/>
      <w:r>
        <w:t xml:space="preserve"> 1018, kuris yra FDA patvirtintas ir skatina efektyvų antikūnų susidarymą. Šis </w:t>
      </w:r>
      <w:proofErr w:type="spellStart"/>
      <w:r>
        <w:t>adjuvantas</w:t>
      </w:r>
      <w:proofErr w:type="spellEnd"/>
      <w:r>
        <w:t xml:space="preserve"> naudojamas HBV vakcinoje;</w:t>
      </w:r>
    </w:p>
    <w:p w14:paraId="5399C333" w14:textId="77777777" w:rsidR="006771B1" w:rsidRDefault="006771B1" w:rsidP="006771B1">
      <w:pPr>
        <w:shd w:val="clear" w:color="auto" w:fill="FFFFFF" w:themeFill="background1"/>
        <w:tabs>
          <w:tab w:val="left" w:pos="567"/>
        </w:tabs>
        <w:ind w:firstLine="851"/>
        <w:jc w:val="both"/>
      </w:pPr>
      <w:r>
        <w:t xml:space="preserve">3. Pasirašyta sutartis su </w:t>
      </w:r>
      <w:proofErr w:type="spellStart"/>
      <w:r>
        <w:t>adjuvanto</w:t>
      </w:r>
      <w:proofErr w:type="spellEnd"/>
      <w:r>
        <w:t xml:space="preserve"> gamintoju – </w:t>
      </w:r>
      <w:proofErr w:type="spellStart"/>
      <w:r>
        <w:t>Dynavax</w:t>
      </w:r>
      <w:proofErr w:type="spellEnd"/>
      <w:r>
        <w:t>;</w:t>
      </w:r>
    </w:p>
    <w:p w14:paraId="4CE24EC6" w14:textId="77777777" w:rsidR="006771B1" w:rsidRDefault="006771B1" w:rsidP="006771B1">
      <w:pPr>
        <w:shd w:val="clear" w:color="auto" w:fill="FFFFFF" w:themeFill="background1"/>
        <w:tabs>
          <w:tab w:val="left" w:pos="567"/>
        </w:tabs>
        <w:ind w:firstLine="851"/>
        <w:jc w:val="both"/>
      </w:pPr>
      <w:r>
        <w:t xml:space="preserve">4. Gamintojo teigimu, tikėtina, kad vakcina bus saugi rizikos grupės asmenims skiepyti – </w:t>
      </w:r>
      <w:proofErr w:type="spellStart"/>
      <w:r>
        <w:t>nėčiosioms</w:t>
      </w:r>
      <w:proofErr w:type="spellEnd"/>
      <w:r>
        <w:t xml:space="preserve">, vyresnio amžiaus, </w:t>
      </w:r>
      <w:proofErr w:type="spellStart"/>
      <w:r>
        <w:t>imunosupresuotiems</w:t>
      </w:r>
      <w:proofErr w:type="spellEnd"/>
      <w:r>
        <w:t xml:space="preserve"> asmenims;</w:t>
      </w:r>
    </w:p>
    <w:p w14:paraId="20F4D434" w14:textId="77777777" w:rsidR="006771B1" w:rsidRDefault="006771B1" w:rsidP="006771B1">
      <w:pPr>
        <w:shd w:val="clear" w:color="auto" w:fill="FFFFFF" w:themeFill="background1"/>
        <w:tabs>
          <w:tab w:val="left" w:pos="567"/>
        </w:tabs>
        <w:ind w:firstLine="851"/>
        <w:jc w:val="both"/>
      </w:pPr>
      <w:r>
        <w:lastRenderedPageBreak/>
        <w:t>5. Gamintojo teigimu, plintant naujiems viruso variantams yra galimybė juos panaudoti vakcinos sudėtyje ir tuo būdu adaptuoti vakciną, kad ji apsaugotų nuo tų variantų;</w:t>
      </w:r>
    </w:p>
    <w:p w14:paraId="6B7D934C" w14:textId="77777777" w:rsidR="006771B1" w:rsidRDefault="006771B1" w:rsidP="006771B1">
      <w:pPr>
        <w:shd w:val="clear" w:color="auto" w:fill="FFFFFF" w:themeFill="background1"/>
        <w:tabs>
          <w:tab w:val="left" w:pos="567"/>
        </w:tabs>
        <w:ind w:firstLine="851"/>
        <w:jc w:val="both"/>
      </w:pPr>
      <w:r>
        <w:t>6. Gamintojas pasirašė sutartį su JK dėl finansavimo ir vakcinos tiekimo;</w:t>
      </w:r>
    </w:p>
    <w:p w14:paraId="4B88C498" w14:textId="77777777" w:rsidR="006771B1" w:rsidRDefault="006771B1" w:rsidP="006771B1">
      <w:pPr>
        <w:shd w:val="clear" w:color="auto" w:fill="FFFFFF" w:themeFill="background1"/>
        <w:tabs>
          <w:tab w:val="left" w:pos="567"/>
        </w:tabs>
        <w:ind w:firstLine="851"/>
        <w:jc w:val="both"/>
      </w:pPr>
      <w:r>
        <w:t xml:space="preserve">7. Gamintojas yra sukūręs vakciną nuo japoniškojo encefalito, kuri jau registruota. Šiuo metu kuria vakcinas nuo Laimo ligos, </w:t>
      </w:r>
      <w:proofErr w:type="spellStart"/>
      <w:r>
        <w:t>Chikungunya</w:t>
      </w:r>
      <w:proofErr w:type="spellEnd"/>
      <w:r>
        <w:t xml:space="preserve"> viruso, </w:t>
      </w:r>
      <w:proofErr w:type="spellStart"/>
      <w:r>
        <w:t>Zika</w:t>
      </w:r>
      <w:proofErr w:type="spellEnd"/>
      <w:r>
        <w:t xml:space="preserve"> viruso, </w:t>
      </w:r>
      <w:proofErr w:type="spellStart"/>
      <w:r>
        <w:t>Clostridium</w:t>
      </w:r>
      <w:proofErr w:type="spellEnd"/>
      <w:r>
        <w:t xml:space="preserve"> </w:t>
      </w:r>
      <w:proofErr w:type="spellStart"/>
      <w:r>
        <w:t>difficile</w:t>
      </w:r>
      <w:proofErr w:type="spellEnd"/>
      <w:r>
        <w:t>.  COVID-19 vakcinai naudos tą pačią platformą;</w:t>
      </w:r>
    </w:p>
    <w:p w14:paraId="58EAC9F8" w14:textId="77777777" w:rsidR="006771B1" w:rsidRDefault="006771B1" w:rsidP="006771B1">
      <w:pPr>
        <w:shd w:val="clear" w:color="auto" w:fill="FFFFFF" w:themeFill="background1"/>
        <w:tabs>
          <w:tab w:val="left" w:pos="567"/>
        </w:tabs>
        <w:ind w:firstLine="851"/>
        <w:jc w:val="both"/>
      </w:pPr>
      <w:r>
        <w:t>8. Vakcina gali būti saugoma +2-8°C temperatūroje;</w:t>
      </w:r>
    </w:p>
    <w:p w14:paraId="05FDB0D6" w14:textId="221A807E" w:rsidR="006771B1" w:rsidRDefault="006771B1" w:rsidP="00DC6ABD">
      <w:pPr>
        <w:shd w:val="clear" w:color="auto" w:fill="FFFFFF" w:themeFill="background1"/>
        <w:tabs>
          <w:tab w:val="left" w:pos="567"/>
        </w:tabs>
        <w:ind w:firstLine="851"/>
        <w:jc w:val="both"/>
      </w:pPr>
      <w:r>
        <w:t xml:space="preserve">9. Baigti </w:t>
      </w:r>
      <w:proofErr w:type="spellStart"/>
      <w:r>
        <w:t>ikiklinikiniai</w:t>
      </w:r>
      <w:proofErr w:type="spellEnd"/>
      <w:r>
        <w:t xml:space="preserve"> tyrimai su pelėmis ir planuojami su primatais;</w:t>
      </w:r>
      <w:r w:rsidR="00DC6ABD">
        <w:t xml:space="preserve"> </w:t>
      </w:r>
      <w:r>
        <w:t xml:space="preserve">JK pradėti I fazės klinikiniai tyrimai 2020 m. gruodžio mėn., planuojama juos baigti 2021 m. balandžio </w:t>
      </w:r>
      <w:proofErr w:type="spellStart"/>
      <w:r>
        <w:t>mėn</w:t>
      </w:r>
      <w:proofErr w:type="spellEnd"/>
      <w:r>
        <w:t>;</w:t>
      </w:r>
    </w:p>
    <w:p w14:paraId="7028C654" w14:textId="22EAE861" w:rsidR="006771B1" w:rsidRDefault="006771B1" w:rsidP="00DC6ABD">
      <w:pPr>
        <w:shd w:val="clear" w:color="auto" w:fill="FFFFFF" w:themeFill="background1"/>
        <w:tabs>
          <w:tab w:val="left" w:pos="567"/>
        </w:tabs>
        <w:ind w:firstLine="851"/>
        <w:jc w:val="both"/>
      </w:pPr>
      <w:r>
        <w:t>10. Vakciną planuojama teikti registracijai FDA ir EMA 2021 m. antroje pusėje.</w:t>
      </w:r>
    </w:p>
    <w:p w14:paraId="674D89D0" w14:textId="77777777" w:rsidR="006771B1" w:rsidRPr="00DC6ABD" w:rsidRDefault="006771B1" w:rsidP="006771B1">
      <w:pPr>
        <w:shd w:val="clear" w:color="auto" w:fill="FFFFFF" w:themeFill="background1"/>
        <w:tabs>
          <w:tab w:val="left" w:pos="567"/>
        </w:tabs>
        <w:ind w:firstLine="851"/>
        <w:jc w:val="both"/>
        <w:rPr>
          <w:b/>
          <w:bCs/>
        </w:rPr>
      </w:pPr>
      <w:r w:rsidRPr="00DC6ABD">
        <w:rPr>
          <w:b/>
          <w:bCs/>
        </w:rPr>
        <w:t>Farmacijos kompanijos „</w:t>
      </w:r>
      <w:proofErr w:type="spellStart"/>
      <w:r w:rsidRPr="00DC6ABD">
        <w:rPr>
          <w:b/>
          <w:bCs/>
        </w:rPr>
        <w:t>Valneva</w:t>
      </w:r>
      <w:proofErr w:type="spellEnd"/>
      <w:r w:rsidRPr="00DC6ABD">
        <w:rPr>
          <w:b/>
          <w:bCs/>
        </w:rPr>
        <w:t>“ kuriamos vakcinos trūkumai:</w:t>
      </w:r>
    </w:p>
    <w:p w14:paraId="24ACCFCC" w14:textId="77777777" w:rsidR="006771B1" w:rsidRDefault="006771B1" w:rsidP="006771B1">
      <w:pPr>
        <w:shd w:val="clear" w:color="auto" w:fill="FFFFFF" w:themeFill="background1"/>
        <w:tabs>
          <w:tab w:val="left" w:pos="567"/>
        </w:tabs>
        <w:ind w:firstLine="851"/>
        <w:jc w:val="both"/>
      </w:pPr>
      <w:r>
        <w:t>1. Nepateikiama jokių duomenų apie vakcinos efektyvumą, dozes ir kt.;</w:t>
      </w:r>
    </w:p>
    <w:p w14:paraId="14AC99C8" w14:textId="77777777" w:rsidR="006771B1" w:rsidRDefault="006771B1" w:rsidP="006771B1">
      <w:pPr>
        <w:shd w:val="clear" w:color="auto" w:fill="FFFFFF" w:themeFill="background1"/>
        <w:tabs>
          <w:tab w:val="left" w:pos="567"/>
        </w:tabs>
        <w:ind w:firstLine="851"/>
        <w:jc w:val="both"/>
      </w:pPr>
      <w:r>
        <w:t xml:space="preserve">2. Neaišku, ar jau atlikti / atliekami </w:t>
      </w:r>
      <w:proofErr w:type="spellStart"/>
      <w:r>
        <w:t>ikiklinikiniai</w:t>
      </w:r>
      <w:proofErr w:type="spellEnd"/>
      <w:r>
        <w:t xml:space="preserve"> tyrimai;</w:t>
      </w:r>
    </w:p>
    <w:p w14:paraId="3C944AE0" w14:textId="77777777" w:rsidR="006771B1" w:rsidRDefault="006771B1" w:rsidP="006771B1">
      <w:pPr>
        <w:shd w:val="clear" w:color="auto" w:fill="FFFFFF" w:themeFill="background1"/>
        <w:tabs>
          <w:tab w:val="left" w:pos="567"/>
        </w:tabs>
        <w:ind w:firstLine="851"/>
        <w:jc w:val="both"/>
      </w:pPr>
      <w:r>
        <w:t>3. Atsiliekama laike, lyginant su kitomis vakcinomis;</w:t>
      </w:r>
    </w:p>
    <w:p w14:paraId="20093637" w14:textId="77777777" w:rsidR="006771B1" w:rsidRDefault="006771B1" w:rsidP="006771B1">
      <w:pPr>
        <w:shd w:val="clear" w:color="auto" w:fill="FFFFFF" w:themeFill="background1"/>
        <w:tabs>
          <w:tab w:val="left" w:pos="567"/>
        </w:tabs>
        <w:ind w:firstLine="851"/>
        <w:jc w:val="both"/>
      </w:pPr>
      <w:r>
        <w:t>4. Iki šiol įmonė registravo tik riboto naudojimo JE vakciną, kuri skirta keliaujantiesiems į kai kurias Azijos šalis;</w:t>
      </w:r>
    </w:p>
    <w:p w14:paraId="7CBA2E29" w14:textId="1C71905C" w:rsidR="004C055B" w:rsidRDefault="006771B1" w:rsidP="006771B1">
      <w:pPr>
        <w:shd w:val="clear" w:color="auto" w:fill="FFFFFF" w:themeFill="background1"/>
        <w:tabs>
          <w:tab w:val="left" w:pos="567"/>
        </w:tabs>
        <w:ind w:firstLine="851"/>
        <w:jc w:val="both"/>
      </w:pPr>
      <w:r>
        <w:t xml:space="preserve">5. </w:t>
      </w:r>
      <w:proofErr w:type="spellStart"/>
      <w:r>
        <w:t>Inaktyvuotų</w:t>
      </w:r>
      <w:proofErr w:type="spellEnd"/>
      <w:r>
        <w:t xml:space="preserve"> vakcinų kūrimo procesas sudėtingesnis, lyginant su DNR ar RNR vakcinomis (reikia kultivuoti virusą, ji auginamas ląstelių kultūrose, tam reikalingos 3 </w:t>
      </w:r>
      <w:proofErr w:type="spellStart"/>
      <w:r>
        <w:t>biosaugos</w:t>
      </w:r>
      <w:proofErr w:type="spellEnd"/>
      <w:r>
        <w:t xml:space="preserve"> lygio patalpos), todėl gali būti sunku prigaminti didelius kiekius vakcinos.</w:t>
      </w:r>
    </w:p>
    <w:p w14:paraId="7B4E2F58" w14:textId="3D91B261" w:rsidR="004C055B" w:rsidRDefault="00655BA0" w:rsidP="00391330">
      <w:pPr>
        <w:shd w:val="clear" w:color="auto" w:fill="FFFFFF" w:themeFill="background1"/>
        <w:tabs>
          <w:tab w:val="left" w:pos="567"/>
        </w:tabs>
        <w:ind w:firstLine="851"/>
        <w:jc w:val="both"/>
      </w:pPr>
      <w:r>
        <w:t>B</w:t>
      </w:r>
      <w:r w:rsidRPr="009217DA">
        <w:t xml:space="preserve">endras numatomas įsigyti šios vakcinos visai ES kiekis – 30 mln. dozių pagrindiniame įsigijime ir 30 mln. papildomame įsigijime. Šių vakcinų pristatymo terminai yra 2022 metais, tačiau galimas dalinio kiekio pristatymas š. m. IV </w:t>
      </w:r>
      <w:proofErr w:type="spellStart"/>
      <w:r w:rsidRPr="009217DA">
        <w:t>ketv</w:t>
      </w:r>
      <w:proofErr w:type="spellEnd"/>
      <w:r w:rsidRPr="009217DA">
        <w:t xml:space="preserve">. </w:t>
      </w:r>
    </w:p>
    <w:p w14:paraId="24F4C0A6" w14:textId="158D08AC" w:rsidR="00D85BBE" w:rsidRDefault="00DC0514" w:rsidP="00D85BBE">
      <w:pPr>
        <w:shd w:val="clear" w:color="auto" w:fill="FFFFFF" w:themeFill="background1"/>
        <w:tabs>
          <w:tab w:val="left" w:pos="567"/>
        </w:tabs>
        <w:ind w:firstLine="851"/>
        <w:jc w:val="both"/>
      </w:pPr>
      <w:r>
        <w:t>Atsižvelgdama į 2020 m. rugsėjo 23 d. Lietuvos Respublikos Vyriausybės pasitarimo protokol</w:t>
      </w:r>
      <w:r w:rsidR="000A7CD7">
        <w:t>ą</w:t>
      </w:r>
      <w:r>
        <w:t xml:space="preserve"> Nr. 42, esamą ir numatomą situaciją dėl COVID-19 ligos (</w:t>
      </w:r>
      <w:proofErr w:type="spellStart"/>
      <w:r>
        <w:t>koronaviruso</w:t>
      </w:r>
      <w:proofErr w:type="spellEnd"/>
      <w:r>
        <w:t xml:space="preserve"> infekcijos) protrūkio šalyje plitimo</w:t>
      </w:r>
      <w:r w:rsidR="00D85BBE">
        <w:t xml:space="preserve"> </w:t>
      </w:r>
      <w:r w:rsidR="00D85BBE" w:rsidRPr="009217DA">
        <w:t>bei tai, kad ši vakcina yra vienintelė tokio formato,</w:t>
      </w:r>
      <w:r w:rsidR="00D85BBE">
        <w:t xml:space="preserve"> ir </w:t>
      </w:r>
      <w:r>
        <w:t>siekdama užtikrinti visuomenės apsaugą nuo užsikrėtimo,</w:t>
      </w:r>
      <w:r w:rsidR="00D85BBE">
        <w:t xml:space="preserve"> Lietuvos Respublikos sveikatos apsaugos ministerija siūlo </w:t>
      </w:r>
      <w:r w:rsidR="00D85BBE" w:rsidRPr="00D97FF8">
        <w:rPr>
          <w:b/>
          <w:bCs/>
        </w:rPr>
        <w:t xml:space="preserve">pritarti planuojamam </w:t>
      </w:r>
      <w:r w:rsidR="00D85BBE">
        <w:rPr>
          <w:b/>
          <w:bCs/>
        </w:rPr>
        <w:t>186</w:t>
      </w:r>
      <w:r w:rsidR="00D85BBE" w:rsidRPr="00D97FF8">
        <w:rPr>
          <w:b/>
          <w:bCs/>
        </w:rPr>
        <w:t xml:space="preserve"> tūkst. vakcinos nuo COVID-19 ligos (</w:t>
      </w:r>
      <w:proofErr w:type="spellStart"/>
      <w:r w:rsidR="00D85BBE" w:rsidRPr="00D97FF8">
        <w:rPr>
          <w:b/>
          <w:bCs/>
        </w:rPr>
        <w:t>koronaviruso</w:t>
      </w:r>
      <w:proofErr w:type="spellEnd"/>
      <w:r w:rsidR="00D85BBE" w:rsidRPr="00D97FF8">
        <w:rPr>
          <w:b/>
          <w:bCs/>
        </w:rPr>
        <w:t xml:space="preserve"> infekcijos) dozių, tenkančių Lietuvai pagal </w:t>
      </w:r>
      <w:r w:rsidR="00D85BBE" w:rsidRPr="007F2FD6">
        <w:rPr>
          <w:b/>
          <w:bCs/>
          <w:i/>
          <w:iCs/>
        </w:rPr>
        <w:t xml:space="preserve">pro </w:t>
      </w:r>
      <w:proofErr w:type="spellStart"/>
      <w:r w:rsidR="00D85BBE" w:rsidRPr="007F2FD6">
        <w:rPr>
          <w:b/>
          <w:bCs/>
          <w:i/>
          <w:iCs/>
        </w:rPr>
        <w:t>rata</w:t>
      </w:r>
      <w:proofErr w:type="spellEnd"/>
      <w:r w:rsidR="00D85BBE" w:rsidRPr="00D97FF8">
        <w:rPr>
          <w:b/>
          <w:bCs/>
        </w:rPr>
        <w:t xml:space="preserve"> kriterijų, įsigijimui iš farmacijos kompanijos „</w:t>
      </w:r>
      <w:proofErr w:type="spellStart"/>
      <w:r w:rsidR="00D85BBE">
        <w:rPr>
          <w:b/>
          <w:bCs/>
          <w:i/>
          <w:iCs/>
        </w:rPr>
        <w:t>Valneva</w:t>
      </w:r>
      <w:proofErr w:type="spellEnd"/>
      <w:r w:rsidR="00D85BBE" w:rsidRPr="00D97FF8">
        <w:rPr>
          <w:b/>
          <w:bCs/>
        </w:rPr>
        <w:t>“</w:t>
      </w:r>
      <w:r w:rsidR="00D85BBE">
        <w:rPr>
          <w:b/>
          <w:bCs/>
        </w:rPr>
        <w:t>,</w:t>
      </w:r>
      <w:r w:rsidR="00D85BBE" w:rsidRPr="00D97FF8">
        <w:rPr>
          <w:b/>
          <w:bCs/>
        </w:rPr>
        <w:t xml:space="preserve"> jei bus sudaroma išankstinio pirkimo sutartis.</w:t>
      </w:r>
    </w:p>
    <w:p w14:paraId="012B2F62" w14:textId="1900F7B6" w:rsidR="009630E0" w:rsidRPr="00127FF7" w:rsidRDefault="009630E0" w:rsidP="009630E0">
      <w:pPr>
        <w:shd w:val="clear" w:color="auto" w:fill="FFFFFF" w:themeFill="background1"/>
        <w:tabs>
          <w:tab w:val="left" w:pos="567"/>
        </w:tabs>
        <w:ind w:firstLine="851"/>
        <w:jc w:val="both"/>
      </w:pPr>
      <w:r w:rsidRPr="00127FF7">
        <w:t xml:space="preserve">Pasitarimo protokolo projektą parengė Lietuvos Respublikos sveikatos apsaugos ministerijos Farmacijos politikos skyriaus vedėja, Anželika Oraitė, tel. (8 5) 266 1443, el. p. </w:t>
      </w:r>
      <w:proofErr w:type="spellStart"/>
      <w:r w:rsidRPr="00127FF7">
        <w:t>anzelika.oraite@sam.lt</w:t>
      </w:r>
      <w:proofErr w:type="spellEnd"/>
      <w:r w:rsidRPr="00127FF7">
        <w:t xml:space="preserve">, ir Lietuvos Respublikos sveikatos apsaugos ministerijos Teisės skyriaus vedėja Martyna Mickė, tel. (8 5) 205 5295, el. p. </w:t>
      </w:r>
      <w:proofErr w:type="spellStart"/>
      <w:r w:rsidRPr="00127FF7">
        <w:t>martyna.micke@sam.lt</w:t>
      </w:r>
      <w:proofErr w:type="spellEnd"/>
      <w:r w:rsidRPr="00127FF7">
        <w:t xml:space="preserve">. </w:t>
      </w:r>
    </w:p>
    <w:p w14:paraId="4DC68FEB" w14:textId="77777777" w:rsidR="000022B6" w:rsidRPr="00127FF7" w:rsidRDefault="000022B6" w:rsidP="000022B6">
      <w:pPr>
        <w:shd w:val="clear" w:color="auto" w:fill="FFFFFF" w:themeFill="background1"/>
        <w:ind w:firstLine="851"/>
        <w:jc w:val="both"/>
      </w:pPr>
      <w:r w:rsidRPr="00127FF7">
        <w:t>PRIDEDAMA. Lietuvos Respublikos Vyriausybės pasitarimo protokolo projektas, 1 lapas.</w:t>
      </w:r>
    </w:p>
    <w:p w14:paraId="72351598" w14:textId="798A5550" w:rsidR="00B54FB7" w:rsidRPr="00127FF7" w:rsidRDefault="00B54FB7" w:rsidP="003D51F6">
      <w:pPr>
        <w:jc w:val="both"/>
        <w:rPr>
          <w:color w:val="000000"/>
        </w:rPr>
      </w:pPr>
    </w:p>
    <w:p w14:paraId="30DEE73C" w14:textId="77777777" w:rsidR="00F35ED1" w:rsidRPr="00127FF7" w:rsidRDefault="00F35ED1" w:rsidP="00BC1789">
      <w:pPr>
        <w:pStyle w:val="Porat"/>
        <w:tabs>
          <w:tab w:val="clear" w:pos="4819"/>
          <w:tab w:val="clear" w:pos="9638"/>
          <w:tab w:val="left" w:pos="8940"/>
        </w:tabs>
      </w:pPr>
    </w:p>
    <w:p w14:paraId="3A841854" w14:textId="71FB3CC5" w:rsidR="00A67D6D" w:rsidRPr="00127FF7" w:rsidRDefault="005F3391" w:rsidP="00BC1789">
      <w:pPr>
        <w:pStyle w:val="Porat"/>
        <w:tabs>
          <w:tab w:val="clear" w:pos="4819"/>
          <w:tab w:val="clear" w:pos="9638"/>
          <w:tab w:val="left" w:pos="8940"/>
        </w:tabs>
      </w:pPr>
      <w:r w:rsidRPr="00127FF7">
        <w:t>Sveikatos</w:t>
      </w:r>
      <w:r w:rsidR="006169CB" w:rsidRPr="00127FF7">
        <w:t xml:space="preserve"> apsaugos ministr</w:t>
      </w:r>
      <w:r w:rsidRPr="00127FF7">
        <w:t>as</w:t>
      </w:r>
      <w:r w:rsidR="006169CB" w:rsidRPr="00127FF7">
        <w:t xml:space="preserve">                               </w:t>
      </w:r>
      <w:r w:rsidRPr="00127FF7">
        <w:t xml:space="preserve">              </w:t>
      </w:r>
      <w:r w:rsidR="00127FF7">
        <w:t xml:space="preserve">         </w:t>
      </w:r>
      <w:r w:rsidRPr="00127FF7">
        <w:t xml:space="preserve">                             </w:t>
      </w:r>
      <w:r w:rsidR="006169CB" w:rsidRPr="00127FF7">
        <w:t xml:space="preserve">                </w:t>
      </w:r>
      <w:r w:rsidRPr="00127FF7">
        <w:t>Arūnas Dulkys</w:t>
      </w:r>
    </w:p>
    <w:p w14:paraId="2854B058" w14:textId="7259AF27" w:rsidR="003E483C" w:rsidRPr="00127FF7" w:rsidRDefault="003E483C" w:rsidP="00BC1789">
      <w:pPr>
        <w:pStyle w:val="Porat"/>
        <w:tabs>
          <w:tab w:val="clear" w:pos="4819"/>
          <w:tab w:val="clear" w:pos="9638"/>
          <w:tab w:val="left" w:pos="8940"/>
        </w:tabs>
      </w:pPr>
    </w:p>
    <w:p w14:paraId="75A15A82" w14:textId="46272BD1" w:rsidR="00F35ED1" w:rsidRPr="00127FF7" w:rsidRDefault="00F35ED1" w:rsidP="00BC1789">
      <w:pPr>
        <w:pStyle w:val="Porat"/>
        <w:tabs>
          <w:tab w:val="clear" w:pos="4819"/>
          <w:tab w:val="clear" w:pos="9638"/>
          <w:tab w:val="left" w:pos="8940"/>
        </w:tabs>
      </w:pPr>
    </w:p>
    <w:p w14:paraId="67C8CFEF" w14:textId="1DDDE9F4" w:rsidR="009630E0" w:rsidRPr="00127FF7" w:rsidRDefault="009630E0" w:rsidP="00BC1789">
      <w:pPr>
        <w:pStyle w:val="Porat"/>
        <w:tabs>
          <w:tab w:val="clear" w:pos="4819"/>
          <w:tab w:val="clear" w:pos="9638"/>
          <w:tab w:val="left" w:pos="8940"/>
        </w:tabs>
      </w:pPr>
    </w:p>
    <w:p w14:paraId="6564FF38" w14:textId="6E9FEF6B" w:rsidR="009630E0" w:rsidRPr="00127FF7" w:rsidRDefault="009630E0" w:rsidP="00BC1789">
      <w:pPr>
        <w:pStyle w:val="Porat"/>
        <w:tabs>
          <w:tab w:val="clear" w:pos="4819"/>
          <w:tab w:val="clear" w:pos="9638"/>
          <w:tab w:val="left" w:pos="8940"/>
        </w:tabs>
      </w:pPr>
    </w:p>
    <w:p w14:paraId="08B0C12E" w14:textId="024060AA" w:rsidR="009630E0" w:rsidRDefault="009630E0" w:rsidP="00BC1789">
      <w:pPr>
        <w:pStyle w:val="Porat"/>
        <w:tabs>
          <w:tab w:val="clear" w:pos="4819"/>
          <w:tab w:val="clear" w:pos="9638"/>
          <w:tab w:val="left" w:pos="8940"/>
        </w:tabs>
      </w:pPr>
    </w:p>
    <w:p w14:paraId="7AC90789" w14:textId="0D33124E" w:rsidR="00391330" w:rsidRDefault="00391330" w:rsidP="00BC1789">
      <w:pPr>
        <w:pStyle w:val="Porat"/>
        <w:tabs>
          <w:tab w:val="clear" w:pos="4819"/>
          <w:tab w:val="clear" w:pos="9638"/>
          <w:tab w:val="left" w:pos="8940"/>
        </w:tabs>
      </w:pPr>
    </w:p>
    <w:p w14:paraId="7B51E45E" w14:textId="0FB2E688" w:rsidR="00391330" w:rsidRDefault="00391330" w:rsidP="00BC1789">
      <w:pPr>
        <w:pStyle w:val="Porat"/>
        <w:tabs>
          <w:tab w:val="clear" w:pos="4819"/>
          <w:tab w:val="clear" w:pos="9638"/>
          <w:tab w:val="left" w:pos="8940"/>
        </w:tabs>
      </w:pPr>
    </w:p>
    <w:p w14:paraId="5D42B6F6" w14:textId="6371E71D" w:rsidR="00391330" w:rsidRDefault="00391330" w:rsidP="00BC1789">
      <w:pPr>
        <w:pStyle w:val="Porat"/>
        <w:tabs>
          <w:tab w:val="clear" w:pos="4819"/>
          <w:tab w:val="clear" w:pos="9638"/>
          <w:tab w:val="left" w:pos="8940"/>
        </w:tabs>
      </w:pPr>
    </w:p>
    <w:p w14:paraId="23BC2505" w14:textId="03E4F05C" w:rsidR="00391330" w:rsidRDefault="00391330" w:rsidP="00BC1789">
      <w:pPr>
        <w:pStyle w:val="Porat"/>
        <w:tabs>
          <w:tab w:val="clear" w:pos="4819"/>
          <w:tab w:val="clear" w:pos="9638"/>
          <w:tab w:val="left" w:pos="8940"/>
        </w:tabs>
      </w:pPr>
    </w:p>
    <w:p w14:paraId="00E5AE1A" w14:textId="0654C329" w:rsidR="00391330" w:rsidRDefault="00391330" w:rsidP="00BC1789">
      <w:pPr>
        <w:pStyle w:val="Porat"/>
        <w:tabs>
          <w:tab w:val="clear" w:pos="4819"/>
          <w:tab w:val="clear" w:pos="9638"/>
          <w:tab w:val="left" w:pos="8940"/>
        </w:tabs>
      </w:pPr>
    </w:p>
    <w:p w14:paraId="4AFFEB19" w14:textId="56EAF932" w:rsidR="00391330" w:rsidRDefault="00391330" w:rsidP="00BC1789">
      <w:pPr>
        <w:pStyle w:val="Porat"/>
        <w:tabs>
          <w:tab w:val="clear" w:pos="4819"/>
          <w:tab w:val="clear" w:pos="9638"/>
          <w:tab w:val="left" w:pos="8940"/>
        </w:tabs>
      </w:pPr>
    </w:p>
    <w:p w14:paraId="3F0F23A9" w14:textId="77777777" w:rsidR="00391330" w:rsidRPr="00127FF7" w:rsidRDefault="00391330" w:rsidP="00BC1789">
      <w:pPr>
        <w:pStyle w:val="Porat"/>
        <w:tabs>
          <w:tab w:val="clear" w:pos="4819"/>
          <w:tab w:val="clear" w:pos="9638"/>
          <w:tab w:val="left" w:pos="8940"/>
        </w:tabs>
      </w:pPr>
    </w:p>
    <w:p w14:paraId="1E461F0F" w14:textId="644A5617" w:rsidR="009630E0" w:rsidRPr="00127FF7" w:rsidRDefault="009630E0" w:rsidP="00BC1789">
      <w:pPr>
        <w:pStyle w:val="Porat"/>
        <w:tabs>
          <w:tab w:val="clear" w:pos="4819"/>
          <w:tab w:val="clear" w:pos="9638"/>
          <w:tab w:val="left" w:pos="8940"/>
        </w:tabs>
      </w:pPr>
    </w:p>
    <w:p w14:paraId="12D58C25" w14:textId="77777777" w:rsidR="009630E0" w:rsidRPr="00127FF7" w:rsidRDefault="009630E0" w:rsidP="00BC1789">
      <w:pPr>
        <w:pStyle w:val="Porat"/>
        <w:tabs>
          <w:tab w:val="clear" w:pos="4819"/>
          <w:tab w:val="clear" w:pos="9638"/>
          <w:tab w:val="left" w:pos="8940"/>
        </w:tabs>
      </w:pPr>
    </w:p>
    <w:p w14:paraId="23727506" w14:textId="37A6D031" w:rsidR="00A4718E" w:rsidRPr="00127FF7" w:rsidRDefault="00A4718E" w:rsidP="00BC1789">
      <w:pPr>
        <w:pStyle w:val="Porat"/>
        <w:tabs>
          <w:tab w:val="clear" w:pos="4819"/>
          <w:tab w:val="clear" w:pos="9638"/>
          <w:tab w:val="left" w:pos="8940"/>
        </w:tabs>
      </w:pPr>
      <w:r w:rsidRPr="00127FF7">
        <w:t xml:space="preserve">Anželika Oraitė, tel. (8 5) 266 1443, el. p. </w:t>
      </w:r>
      <w:hyperlink r:id="rId11" w:history="1">
        <w:r w:rsidRPr="00127FF7">
          <w:rPr>
            <w:rStyle w:val="Hipersaitas"/>
          </w:rPr>
          <w:t>anzelika.oraite@sam.lt</w:t>
        </w:r>
      </w:hyperlink>
    </w:p>
    <w:p w14:paraId="2D63C398" w14:textId="4456695C" w:rsidR="003D51F6" w:rsidRPr="00127FF7" w:rsidRDefault="005E20DC" w:rsidP="00EB5AFF">
      <w:pPr>
        <w:tabs>
          <w:tab w:val="left" w:pos="9356"/>
          <w:tab w:val="right" w:pos="9498"/>
        </w:tabs>
        <w:rPr>
          <w:rFonts w:eastAsia="Calibri"/>
        </w:rPr>
      </w:pPr>
      <w:r w:rsidRPr="00127FF7">
        <w:t xml:space="preserve">Martyna Mickė, </w:t>
      </w:r>
      <w:r w:rsidR="00A4718E" w:rsidRPr="00127FF7">
        <w:t>tel. (8 5) 2</w:t>
      </w:r>
      <w:r w:rsidRPr="00127FF7">
        <w:t>05</w:t>
      </w:r>
      <w:r w:rsidR="00A4718E" w:rsidRPr="00127FF7">
        <w:t xml:space="preserve"> </w:t>
      </w:r>
      <w:r w:rsidRPr="00127FF7">
        <w:t>5295</w:t>
      </w:r>
      <w:r w:rsidR="00A4718E" w:rsidRPr="00127FF7">
        <w:t xml:space="preserve">, el. p. </w:t>
      </w:r>
      <w:r w:rsidRPr="00127FF7">
        <w:t>martyna.micke</w:t>
      </w:r>
      <w:r w:rsidR="00A4718E" w:rsidRPr="00127FF7">
        <w:t>@</w:t>
      </w:r>
      <w:r w:rsidRPr="00127FF7">
        <w:t>sam</w:t>
      </w:r>
      <w:r w:rsidR="00A4718E" w:rsidRPr="00127FF7">
        <w:t>.lt</w:t>
      </w:r>
    </w:p>
    <w:sectPr w:rsidR="003D51F6" w:rsidRPr="00127FF7" w:rsidSect="00F35ED1">
      <w:headerReference w:type="default" r:id="rId12"/>
      <w:footerReference w:type="default" r:id="rId13"/>
      <w:headerReference w:type="first" r:id="rId14"/>
      <w:footerReference w:type="first" r:id="rId15"/>
      <w:pgSz w:w="11906" w:h="16838" w:code="9"/>
      <w:pgMar w:top="993" w:right="567" w:bottom="567" w:left="1134" w:header="426" w:footer="372"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C7131E" w14:textId="77777777" w:rsidR="00DC2CB8" w:rsidRDefault="00DC2CB8">
      <w:r>
        <w:separator/>
      </w:r>
    </w:p>
  </w:endnote>
  <w:endnote w:type="continuationSeparator" w:id="0">
    <w:p w14:paraId="03C1D68A" w14:textId="77777777" w:rsidR="00DC2CB8" w:rsidRDefault="00DC2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70977" w14:textId="383CE9EB" w:rsidR="00BC1789" w:rsidRDefault="00BC1789" w:rsidP="00BC1789">
    <w:pPr>
      <w:tabs>
        <w:tab w:val="left" w:pos="9356"/>
        <w:tab w:val="right" w:pos="9498"/>
      </w:tabs>
      <w:rPr>
        <w:rFonts w:eastAsia="Calibr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7B8C87" w14:textId="77777777" w:rsidR="000A094B" w:rsidRDefault="009515DD" w:rsidP="009052B8">
    <w:pPr>
      <w:tabs>
        <w:tab w:val="right" w:pos="9638"/>
      </w:tabs>
      <w:rPr>
        <w:noProof/>
        <w:lang w:eastAsia="lt-LT"/>
      </w:rPr>
    </w:pPr>
  </w:p>
  <w:p w14:paraId="2DCAFB39" w14:textId="77777777" w:rsidR="004C1646" w:rsidRDefault="009515DD" w:rsidP="004C164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0348F0" w14:textId="77777777" w:rsidR="00DC2CB8" w:rsidRDefault="00DC2CB8">
      <w:r>
        <w:separator/>
      </w:r>
    </w:p>
  </w:footnote>
  <w:footnote w:type="continuationSeparator" w:id="0">
    <w:p w14:paraId="55049050" w14:textId="77777777" w:rsidR="00DC2CB8" w:rsidRDefault="00DC2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A8A59" w14:textId="77777777" w:rsidR="00592B2B" w:rsidRDefault="009515DD" w:rsidP="00194C02">
    <w:pPr>
      <w:pStyle w:val="Antrats"/>
      <w:framePr w:wrap="auto" w:vAnchor="text" w:hAnchor="page" w:x="6265" w:y="-509"/>
      <w:rPr>
        <w:rStyle w:val="Puslapionumeris"/>
      </w:rPr>
    </w:pPr>
  </w:p>
  <w:p w14:paraId="5FBA4355" w14:textId="77777777" w:rsidR="00A44A97" w:rsidRDefault="002A1E5F" w:rsidP="00194C02">
    <w:pPr>
      <w:pStyle w:val="Antrats"/>
      <w:framePr w:wrap="auto" w:vAnchor="text" w:hAnchor="page" w:x="6265" w:y="-509"/>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07B60D44" w14:textId="77777777" w:rsidR="00A44A97" w:rsidRDefault="009515DD" w:rsidP="00D749A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12E51" w14:textId="77777777" w:rsidR="00A44A97" w:rsidRDefault="000603B7" w:rsidP="00012A86">
    <w:pPr>
      <w:pStyle w:val="Antrats"/>
      <w:jc w:val="center"/>
      <w:rPr>
        <w:noProof/>
      </w:rPr>
    </w:pPr>
    <w:r>
      <w:rPr>
        <w:noProof/>
      </w:rPr>
      <w:object w:dxaOrig="811" w:dyaOrig="961" w14:anchorId="4CA763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pt;height:42pt;mso-width-percent:0;mso-height-percent:0;mso-width-percent:0;mso-height-percent:0" fillcolor="window">
          <v:imagedata r:id="rId1" o:title=""/>
        </v:shape>
        <o:OLEObject Type="Embed" ProgID="Word.Picture.8" ShapeID="_x0000_i1025" DrawAspect="Content" ObjectID="_1673785919" r:id="rId2"/>
      </w:object>
    </w:r>
  </w:p>
  <w:p w14:paraId="199A85B6" w14:textId="77777777" w:rsidR="00A44A97" w:rsidRDefault="009515DD" w:rsidP="00012A86">
    <w:pPr>
      <w:pStyle w:val="Antrats"/>
      <w:jc w:val="center"/>
      <w:rPr>
        <w:noProof/>
      </w:rPr>
    </w:pPr>
  </w:p>
  <w:p w14:paraId="58085802" w14:textId="77777777" w:rsidR="00A44A97" w:rsidRPr="001E5D3A" w:rsidRDefault="002A1E5F" w:rsidP="00F82DAE">
    <w:pPr>
      <w:pStyle w:val="Antrats"/>
      <w:jc w:val="center"/>
      <w:rPr>
        <w:b/>
        <w:bCs/>
        <w:sz w:val="28"/>
        <w:szCs w:val="28"/>
      </w:rPr>
    </w:pPr>
    <w:r w:rsidRPr="001E5D3A">
      <w:rPr>
        <w:b/>
        <w:bCs/>
        <w:sz w:val="28"/>
        <w:szCs w:val="28"/>
      </w:rPr>
      <w:t>LIETUVOS RESPUBLIKOS SVEIKATOS APSAUGOS MINISTERIJA</w:t>
    </w:r>
  </w:p>
  <w:p w14:paraId="53251ABE" w14:textId="77777777" w:rsidR="00A44A97" w:rsidRDefault="009515DD">
    <w:pPr>
      <w:pStyle w:val="Antrats"/>
      <w:jc w:val="center"/>
      <w:rPr>
        <w:sz w:val="16"/>
        <w:szCs w:val="16"/>
      </w:rPr>
    </w:pPr>
  </w:p>
  <w:p w14:paraId="517FD8F1" w14:textId="77777777" w:rsidR="00A44A97" w:rsidRDefault="002A1E5F">
    <w:pPr>
      <w:pBdr>
        <w:bottom w:val="single" w:sz="6" w:space="2" w:color="auto"/>
      </w:pBdr>
      <w:tabs>
        <w:tab w:val="left" w:pos="1560"/>
        <w:tab w:val="left" w:pos="3686"/>
      </w:tabs>
      <w:spacing w:line="216" w:lineRule="exact"/>
      <w:ind w:left="-284" w:right="-113"/>
      <w:jc w:val="center"/>
      <w:rPr>
        <w:sz w:val="18"/>
        <w:szCs w:val="18"/>
      </w:rPr>
    </w:pPr>
    <w:r>
      <w:rPr>
        <w:sz w:val="18"/>
        <w:szCs w:val="18"/>
      </w:rPr>
      <w:t>Biudžetinė įstaiga, Vilniaus g. 33, LT-01506 Vilnius, tel. (8 5) 266 1400,</w:t>
    </w:r>
  </w:p>
  <w:p w14:paraId="30B2814D" w14:textId="77777777" w:rsidR="00A44A97" w:rsidRDefault="002A1E5F">
    <w:pPr>
      <w:pBdr>
        <w:bottom w:val="single" w:sz="6" w:space="2" w:color="auto"/>
      </w:pBdr>
      <w:tabs>
        <w:tab w:val="left" w:pos="1560"/>
        <w:tab w:val="left" w:pos="3686"/>
      </w:tabs>
      <w:spacing w:line="216" w:lineRule="exact"/>
      <w:ind w:left="-284" w:right="-113"/>
      <w:jc w:val="center"/>
      <w:rPr>
        <w:sz w:val="18"/>
        <w:szCs w:val="18"/>
      </w:rPr>
    </w:pPr>
    <w:r>
      <w:rPr>
        <w:sz w:val="18"/>
        <w:szCs w:val="18"/>
      </w:rPr>
      <w:t xml:space="preserve">faks. (8 5) 266 1402, el. p. </w:t>
    </w:r>
    <w:proofErr w:type="spellStart"/>
    <w:r w:rsidRPr="00A60EDB">
      <w:rPr>
        <w:rStyle w:val="Hipersaitas"/>
        <w:sz w:val="18"/>
        <w:szCs w:val="18"/>
      </w:rPr>
      <w:t>ministerija@sam.lt</w:t>
    </w:r>
    <w:proofErr w:type="spellEnd"/>
    <w:r>
      <w:rPr>
        <w:sz w:val="18"/>
        <w:szCs w:val="18"/>
      </w:rPr>
      <w:t>, http://</w:t>
    </w:r>
    <w:hyperlink r:id="rId3" w:history="1">
      <w:r w:rsidRPr="007D183E">
        <w:rPr>
          <w:rStyle w:val="Hipersaitas"/>
          <w:sz w:val="18"/>
          <w:szCs w:val="18"/>
        </w:rPr>
        <w:t>www.sam.lt</w:t>
      </w:r>
    </w:hyperlink>
    <w:r>
      <w:rPr>
        <w:sz w:val="18"/>
        <w:szCs w:val="18"/>
      </w:rPr>
      <w:t>.</w:t>
    </w:r>
  </w:p>
  <w:p w14:paraId="4B172217" w14:textId="77777777" w:rsidR="00A44A97" w:rsidRDefault="002A1E5F">
    <w:pPr>
      <w:pBdr>
        <w:bottom w:val="single" w:sz="6" w:space="2" w:color="auto"/>
      </w:pBdr>
      <w:tabs>
        <w:tab w:val="left" w:pos="1560"/>
        <w:tab w:val="left" w:pos="3686"/>
      </w:tabs>
      <w:spacing w:line="216" w:lineRule="exact"/>
      <w:ind w:left="-284" w:right="-113"/>
      <w:jc w:val="center"/>
      <w:rPr>
        <w:sz w:val="18"/>
        <w:szCs w:val="18"/>
      </w:rPr>
    </w:pPr>
    <w:r>
      <w:rPr>
        <w:sz w:val="18"/>
        <w:szCs w:val="18"/>
      </w:rPr>
      <w:t>Duomenys kaupiami ir saugomi Juridinių asmenų registre, kodas 188603472</w:t>
    </w:r>
  </w:p>
  <w:p w14:paraId="5183B242" w14:textId="77777777" w:rsidR="00A44A97" w:rsidRDefault="009515DD">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B36E4"/>
    <w:multiLevelType w:val="hybridMultilevel"/>
    <w:tmpl w:val="F1864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25479"/>
    <w:multiLevelType w:val="hybridMultilevel"/>
    <w:tmpl w:val="FCC242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A375B7"/>
    <w:multiLevelType w:val="hybridMultilevel"/>
    <w:tmpl w:val="700A8D12"/>
    <w:lvl w:ilvl="0" w:tplc="8EB65A4C">
      <w:start w:val="1"/>
      <w:numFmt w:val="upperRoman"/>
      <w:lvlText w:val="%1."/>
      <w:lvlJc w:val="left"/>
      <w:pPr>
        <w:ind w:left="1620" w:hanging="72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13F12A6D"/>
    <w:multiLevelType w:val="hybridMultilevel"/>
    <w:tmpl w:val="98F6BC0C"/>
    <w:lvl w:ilvl="0" w:tplc="042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700A38"/>
    <w:multiLevelType w:val="hybridMultilevel"/>
    <w:tmpl w:val="50622C62"/>
    <w:lvl w:ilvl="0" w:tplc="0427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3AF3C37"/>
    <w:multiLevelType w:val="hybridMultilevel"/>
    <w:tmpl w:val="8E362A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FF60B6"/>
    <w:multiLevelType w:val="hybridMultilevel"/>
    <w:tmpl w:val="FE4C4F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AC83FB9"/>
    <w:multiLevelType w:val="hybridMultilevel"/>
    <w:tmpl w:val="AD6A6064"/>
    <w:lvl w:ilvl="0" w:tplc="0427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DBD45E4"/>
    <w:multiLevelType w:val="hybridMultilevel"/>
    <w:tmpl w:val="1F8E0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DE7964"/>
    <w:multiLevelType w:val="hybridMultilevel"/>
    <w:tmpl w:val="5D60BA0A"/>
    <w:lvl w:ilvl="0" w:tplc="739EE4D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82C746E"/>
    <w:multiLevelType w:val="hybridMultilevel"/>
    <w:tmpl w:val="CE542820"/>
    <w:lvl w:ilvl="0" w:tplc="ADE23184">
      <w:start w:val="1"/>
      <w:numFmt w:val="decimal"/>
      <w:lvlText w:val="%1."/>
      <w:lvlJc w:val="left"/>
      <w:pPr>
        <w:ind w:left="1211" w:hanging="360"/>
      </w:pPr>
      <w:rPr>
        <w:rFonts w:hint="default"/>
        <w:b w:val="0"/>
        <w:bCs/>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4CAF21F4"/>
    <w:multiLevelType w:val="hybridMultilevel"/>
    <w:tmpl w:val="A716A558"/>
    <w:lvl w:ilvl="0" w:tplc="739EE4D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4E211D8A"/>
    <w:multiLevelType w:val="hybridMultilevel"/>
    <w:tmpl w:val="8FA65CFE"/>
    <w:lvl w:ilvl="0" w:tplc="D7A2EC4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3" w15:restartNumberingAfterBreak="0">
    <w:nsid w:val="5D28192D"/>
    <w:multiLevelType w:val="hybridMultilevel"/>
    <w:tmpl w:val="310E4FF2"/>
    <w:lvl w:ilvl="0" w:tplc="4DFC3D8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787578EE"/>
    <w:multiLevelType w:val="hybridMultilevel"/>
    <w:tmpl w:val="24C06528"/>
    <w:lvl w:ilvl="0" w:tplc="4D867DE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13"/>
  </w:num>
  <w:num w:numId="3">
    <w:abstractNumId w:val="14"/>
  </w:num>
  <w:num w:numId="4">
    <w:abstractNumId w:val="5"/>
  </w:num>
  <w:num w:numId="5">
    <w:abstractNumId w:val="2"/>
  </w:num>
  <w:num w:numId="6">
    <w:abstractNumId w:val="12"/>
  </w:num>
  <w:num w:numId="7">
    <w:abstractNumId w:val="0"/>
  </w:num>
  <w:num w:numId="8">
    <w:abstractNumId w:val="6"/>
  </w:num>
  <w:num w:numId="9">
    <w:abstractNumId w:val="8"/>
  </w:num>
  <w:num w:numId="10">
    <w:abstractNumId w:val="3"/>
  </w:num>
  <w:num w:numId="11">
    <w:abstractNumId w:val="1"/>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4"/>
    <w:lvlOverride w:ilvl="0">
      <w:startOverride w:val="1"/>
    </w:lvlOverride>
    <w:lvlOverride w:ilvl="1"/>
    <w:lvlOverride w:ilvl="2"/>
    <w:lvlOverride w:ilvl="3"/>
    <w:lvlOverride w:ilvl="4"/>
    <w:lvlOverride w:ilvl="5"/>
    <w:lvlOverride w:ilvl="6"/>
    <w:lvlOverride w:ilvl="7"/>
    <w:lvlOverride w:ilvl="8"/>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hyphenationZone w:val="396"/>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558"/>
    <w:rsid w:val="000022B6"/>
    <w:rsid w:val="00005142"/>
    <w:rsid w:val="0000783A"/>
    <w:rsid w:val="000103D5"/>
    <w:rsid w:val="0002439F"/>
    <w:rsid w:val="00035DA6"/>
    <w:rsid w:val="000428BD"/>
    <w:rsid w:val="000603B7"/>
    <w:rsid w:val="000642E0"/>
    <w:rsid w:val="00064628"/>
    <w:rsid w:val="00065603"/>
    <w:rsid w:val="00066C42"/>
    <w:rsid w:val="00071097"/>
    <w:rsid w:val="00081D15"/>
    <w:rsid w:val="0008361D"/>
    <w:rsid w:val="00094A87"/>
    <w:rsid w:val="000964BA"/>
    <w:rsid w:val="000A5FF9"/>
    <w:rsid w:val="000A7CD7"/>
    <w:rsid w:val="000C2CAF"/>
    <w:rsid w:val="000D1471"/>
    <w:rsid w:val="000E1A10"/>
    <w:rsid w:val="000E79F7"/>
    <w:rsid w:val="001256CA"/>
    <w:rsid w:val="00127FF7"/>
    <w:rsid w:val="0014048E"/>
    <w:rsid w:val="001640B4"/>
    <w:rsid w:val="00172805"/>
    <w:rsid w:val="00172F9B"/>
    <w:rsid w:val="0018150C"/>
    <w:rsid w:val="001917C6"/>
    <w:rsid w:val="001A0548"/>
    <w:rsid w:val="001B3446"/>
    <w:rsid w:val="001B4C68"/>
    <w:rsid w:val="001C2D2E"/>
    <w:rsid w:val="001C3D25"/>
    <w:rsid w:val="001D1CAB"/>
    <w:rsid w:val="001E35C2"/>
    <w:rsid w:val="001F350D"/>
    <w:rsid w:val="001F5A7E"/>
    <w:rsid w:val="0020197B"/>
    <w:rsid w:val="002049FE"/>
    <w:rsid w:val="00210B8B"/>
    <w:rsid w:val="002351BA"/>
    <w:rsid w:val="00243E25"/>
    <w:rsid w:val="00244DE1"/>
    <w:rsid w:val="00253223"/>
    <w:rsid w:val="00255B7A"/>
    <w:rsid w:val="002675D0"/>
    <w:rsid w:val="0028296A"/>
    <w:rsid w:val="00296EC1"/>
    <w:rsid w:val="002A1108"/>
    <w:rsid w:val="002A1E5F"/>
    <w:rsid w:val="002B2F7B"/>
    <w:rsid w:val="002B511F"/>
    <w:rsid w:val="002B5BB9"/>
    <w:rsid w:val="002B6450"/>
    <w:rsid w:val="002D147D"/>
    <w:rsid w:val="002D431E"/>
    <w:rsid w:val="002E40DF"/>
    <w:rsid w:val="00310EAC"/>
    <w:rsid w:val="00316552"/>
    <w:rsid w:val="0032376F"/>
    <w:rsid w:val="003437DF"/>
    <w:rsid w:val="00344670"/>
    <w:rsid w:val="003656DE"/>
    <w:rsid w:val="00367E3F"/>
    <w:rsid w:val="00370C3D"/>
    <w:rsid w:val="003710CC"/>
    <w:rsid w:val="00380049"/>
    <w:rsid w:val="00391330"/>
    <w:rsid w:val="003A0C74"/>
    <w:rsid w:val="003A2DB4"/>
    <w:rsid w:val="003C40C4"/>
    <w:rsid w:val="003D1706"/>
    <w:rsid w:val="003D191A"/>
    <w:rsid w:val="003D22FE"/>
    <w:rsid w:val="003D51F6"/>
    <w:rsid w:val="003D735A"/>
    <w:rsid w:val="003E483C"/>
    <w:rsid w:val="003E5D95"/>
    <w:rsid w:val="003F616E"/>
    <w:rsid w:val="00401C4B"/>
    <w:rsid w:val="0040211C"/>
    <w:rsid w:val="00414425"/>
    <w:rsid w:val="00415E73"/>
    <w:rsid w:val="004177F5"/>
    <w:rsid w:val="0044362E"/>
    <w:rsid w:val="004570F4"/>
    <w:rsid w:val="00471A47"/>
    <w:rsid w:val="00471DCB"/>
    <w:rsid w:val="00492FA0"/>
    <w:rsid w:val="00495C86"/>
    <w:rsid w:val="004A6FD3"/>
    <w:rsid w:val="004C055B"/>
    <w:rsid w:val="004C0F2E"/>
    <w:rsid w:val="004C7EDA"/>
    <w:rsid w:val="004D0029"/>
    <w:rsid w:val="004D314C"/>
    <w:rsid w:val="004D5C09"/>
    <w:rsid w:val="004E59B1"/>
    <w:rsid w:val="00501D9D"/>
    <w:rsid w:val="00501E9A"/>
    <w:rsid w:val="005033FE"/>
    <w:rsid w:val="00503B57"/>
    <w:rsid w:val="005124EC"/>
    <w:rsid w:val="005135CF"/>
    <w:rsid w:val="00524C3D"/>
    <w:rsid w:val="00534EA9"/>
    <w:rsid w:val="00541672"/>
    <w:rsid w:val="00542A67"/>
    <w:rsid w:val="005536B1"/>
    <w:rsid w:val="00554383"/>
    <w:rsid w:val="005548D7"/>
    <w:rsid w:val="00586F44"/>
    <w:rsid w:val="005A0ADF"/>
    <w:rsid w:val="005A1E2D"/>
    <w:rsid w:val="005A7D5C"/>
    <w:rsid w:val="005B2E08"/>
    <w:rsid w:val="005B7450"/>
    <w:rsid w:val="005B7A7F"/>
    <w:rsid w:val="005C0B70"/>
    <w:rsid w:val="005C2BA4"/>
    <w:rsid w:val="005D480A"/>
    <w:rsid w:val="005D556A"/>
    <w:rsid w:val="005E20DC"/>
    <w:rsid w:val="005E4DE4"/>
    <w:rsid w:val="005E5AFB"/>
    <w:rsid w:val="005F3391"/>
    <w:rsid w:val="00600EDA"/>
    <w:rsid w:val="0061177A"/>
    <w:rsid w:val="00616149"/>
    <w:rsid w:val="006169CB"/>
    <w:rsid w:val="00620F95"/>
    <w:rsid w:val="0062427F"/>
    <w:rsid w:val="00633A72"/>
    <w:rsid w:val="006352F5"/>
    <w:rsid w:val="00635D01"/>
    <w:rsid w:val="00643373"/>
    <w:rsid w:val="00655BA0"/>
    <w:rsid w:val="00666DF2"/>
    <w:rsid w:val="006732AB"/>
    <w:rsid w:val="006771B1"/>
    <w:rsid w:val="00686EC0"/>
    <w:rsid w:val="006A0F35"/>
    <w:rsid w:val="006A2A25"/>
    <w:rsid w:val="006A4852"/>
    <w:rsid w:val="006B3FB9"/>
    <w:rsid w:val="006F0A02"/>
    <w:rsid w:val="006F1C02"/>
    <w:rsid w:val="0071240D"/>
    <w:rsid w:val="00721ECF"/>
    <w:rsid w:val="007232AC"/>
    <w:rsid w:val="007235CA"/>
    <w:rsid w:val="00724C22"/>
    <w:rsid w:val="00737D8F"/>
    <w:rsid w:val="00742719"/>
    <w:rsid w:val="00746CE7"/>
    <w:rsid w:val="00750CE0"/>
    <w:rsid w:val="007576C5"/>
    <w:rsid w:val="007B1EA6"/>
    <w:rsid w:val="007C0FF1"/>
    <w:rsid w:val="007D06D5"/>
    <w:rsid w:val="007D100E"/>
    <w:rsid w:val="007D558C"/>
    <w:rsid w:val="007D66D6"/>
    <w:rsid w:val="007E08BF"/>
    <w:rsid w:val="007E3411"/>
    <w:rsid w:val="007E40D1"/>
    <w:rsid w:val="007F0148"/>
    <w:rsid w:val="007F2FD6"/>
    <w:rsid w:val="00803C60"/>
    <w:rsid w:val="0081117B"/>
    <w:rsid w:val="00813E82"/>
    <w:rsid w:val="00822FE5"/>
    <w:rsid w:val="008504A8"/>
    <w:rsid w:val="00860BF7"/>
    <w:rsid w:val="00863C3B"/>
    <w:rsid w:val="008644D0"/>
    <w:rsid w:val="00881D97"/>
    <w:rsid w:val="008A2F2A"/>
    <w:rsid w:val="008A44BE"/>
    <w:rsid w:val="008B071A"/>
    <w:rsid w:val="008B158E"/>
    <w:rsid w:val="008C0A18"/>
    <w:rsid w:val="008C227A"/>
    <w:rsid w:val="008C3CE6"/>
    <w:rsid w:val="008D6098"/>
    <w:rsid w:val="008F6FAC"/>
    <w:rsid w:val="009045A9"/>
    <w:rsid w:val="00905425"/>
    <w:rsid w:val="009061B6"/>
    <w:rsid w:val="00915798"/>
    <w:rsid w:val="00917392"/>
    <w:rsid w:val="00920932"/>
    <w:rsid w:val="0092148D"/>
    <w:rsid w:val="009515DD"/>
    <w:rsid w:val="009630E0"/>
    <w:rsid w:val="00980EA7"/>
    <w:rsid w:val="009A0C4C"/>
    <w:rsid w:val="009A2B7A"/>
    <w:rsid w:val="009A42A4"/>
    <w:rsid w:val="009A7EF8"/>
    <w:rsid w:val="009B5913"/>
    <w:rsid w:val="009C076B"/>
    <w:rsid w:val="009C3BDE"/>
    <w:rsid w:val="009C4446"/>
    <w:rsid w:val="009D3419"/>
    <w:rsid w:val="009D660D"/>
    <w:rsid w:val="009E6266"/>
    <w:rsid w:val="009F5029"/>
    <w:rsid w:val="009F545B"/>
    <w:rsid w:val="00A060D4"/>
    <w:rsid w:val="00A15569"/>
    <w:rsid w:val="00A31032"/>
    <w:rsid w:val="00A37ED9"/>
    <w:rsid w:val="00A4718E"/>
    <w:rsid w:val="00A67D6D"/>
    <w:rsid w:val="00A713C6"/>
    <w:rsid w:val="00A73554"/>
    <w:rsid w:val="00A9353A"/>
    <w:rsid w:val="00A93BB4"/>
    <w:rsid w:val="00AA3DF1"/>
    <w:rsid w:val="00AA5F1F"/>
    <w:rsid w:val="00AA716D"/>
    <w:rsid w:val="00AD78E4"/>
    <w:rsid w:val="00AF6B36"/>
    <w:rsid w:val="00B05462"/>
    <w:rsid w:val="00B11B68"/>
    <w:rsid w:val="00B42A9A"/>
    <w:rsid w:val="00B504E0"/>
    <w:rsid w:val="00B53F3F"/>
    <w:rsid w:val="00B54FB7"/>
    <w:rsid w:val="00B610BD"/>
    <w:rsid w:val="00B6373A"/>
    <w:rsid w:val="00B856D1"/>
    <w:rsid w:val="00B9155F"/>
    <w:rsid w:val="00B944A9"/>
    <w:rsid w:val="00B94E17"/>
    <w:rsid w:val="00BB404C"/>
    <w:rsid w:val="00BC1789"/>
    <w:rsid w:val="00BE6492"/>
    <w:rsid w:val="00BF1269"/>
    <w:rsid w:val="00BF2F52"/>
    <w:rsid w:val="00BF47B8"/>
    <w:rsid w:val="00BF7A0F"/>
    <w:rsid w:val="00C0509B"/>
    <w:rsid w:val="00C12558"/>
    <w:rsid w:val="00C17041"/>
    <w:rsid w:val="00C26E52"/>
    <w:rsid w:val="00C41D98"/>
    <w:rsid w:val="00C51880"/>
    <w:rsid w:val="00C57840"/>
    <w:rsid w:val="00C60B6A"/>
    <w:rsid w:val="00C66FCD"/>
    <w:rsid w:val="00C77EEB"/>
    <w:rsid w:val="00C81B02"/>
    <w:rsid w:val="00CA4796"/>
    <w:rsid w:val="00CB5C52"/>
    <w:rsid w:val="00CB63A6"/>
    <w:rsid w:val="00CB6563"/>
    <w:rsid w:val="00CD4FC4"/>
    <w:rsid w:val="00CD6041"/>
    <w:rsid w:val="00D123BF"/>
    <w:rsid w:val="00D23432"/>
    <w:rsid w:val="00D32C5F"/>
    <w:rsid w:val="00D35086"/>
    <w:rsid w:val="00D37F2A"/>
    <w:rsid w:val="00D422DA"/>
    <w:rsid w:val="00D50630"/>
    <w:rsid w:val="00D81F68"/>
    <w:rsid w:val="00D85BBE"/>
    <w:rsid w:val="00D91413"/>
    <w:rsid w:val="00D95979"/>
    <w:rsid w:val="00D97FF8"/>
    <w:rsid w:val="00DB1424"/>
    <w:rsid w:val="00DB4D0D"/>
    <w:rsid w:val="00DC0514"/>
    <w:rsid w:val="00DC2CB8"/>
    <w:rsid w:val="00DC6ABD"/>
    <w:rsid w:val="00DC7399"/>
    <w:rsid w:val="00DF3A04"/>
    <w:rsid w:val="00DF4705"/>
    <w:rsid w:val="00E0653B"/>
    <w:rsid w:val="00E0790B"/>
    <w:rsid w:val="00E142B9"/>
    <w:rsid w:val="00E31A9E"/>
    <w:rsid w:val="00E31D2F"/>
    <w:rsid w:val="00E45DCD"/>
    <w:rsid w:val="00E65033"/>
    <w:rsid w:val="00E806D0"/>
    <w:rsid w:val="00E83013"/>
    <w:rsid w:val="00E86E11"/>
    <w:rsid w:val="00E877FC"/>
    <w:rsid w:val="00EA0532"/>
    <w:rsid w:val="00EA2B5A"/>
    <w:rsid w:val="00EB5AFF"/>
    <w:rsid w:val="00EE21BB"/>
    <w:rsid w:val="00EE3B5F"/>
    <w:rsid w:val="00EF6AE4"/>
    <w:rsid w:val="00F027CA"/>
    <w:rsid w:val="00F146A3"/>
    <w:rsid w:val="00F24DE9"/>
    <w:rsid w:val="00F2504B"/>
    <w:rsid w:val="00F35ED1"/>
    <w:rsid w:val="00F45816"/>
    <w:rsid w:val="00F5687D"/>
    <w:rsid w:val="00F6117F"/>
    <w:rsid w:val="00F66A66"/>
    <w:rsid w:val="00F80468"/>
    <w:rsid w:val="00F96CF3"/>
    <w:rsid w:val="00F96EA8"/>
    <w:rsid w:val="00FA390F"/>
    <w:rsid w:val="00FB351D"/>
    <w:rsid w:val="00FB6D7C"/>
    <w:rsid w:val="00FE5BB0"/>
    <w:rsid w:val="00FF514F"/>
    <w:rsid w:val="00FF534C"/>
    <w:rsid w:val="00FF5FA8"/>
    <w:rsid w:val="00FF7B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77EADAB0"/>
  <w15:chartTrackingRefBased/>
  <w15:docId w15:val="{30933611-397F-49A4-AFB9-6A30CF52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2558"/>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12558"/>
    <w:pPr>
      <w:tabs>
        <w:tab w:val="center" w:pos="4153"/>
        <w:tab w:val="right" w:pos="8306"/>
      </w:tabs>
    </w:pPr>
  </w:style>
  <w:style w:type="character" w:customStyle="1" w:styleId="AntratsDiagrama">
    <w:name w:val="Antraštės Diagrama"/>
    <w:basedOn w:val="Numatytasispastraiposriftas"/>
    <w:link w:val="Antrats"/>
    <w:uiPriority w:val="99"/>
    <w:rsid w:val="00C12558"/>
    <w:rPr>
      <w:rFonts w:ascii="Times New Roman" w:eastAsia="Times New Roman" w:hAnsi="Times New Roman" w:cs="Times New Roman"/>
      <w:sz w:val="24"/>
      <w:szCs w:val="24"/>
    </w:rPr>
  </w:style>
  <w:style w:type="character" w:styleId="Hipersaitas">
    <w:name w:val="Hyperlink"/>
    <w:basedOn w:val="Numatytasispastraiposriftas"/>
    <w:uiPriority w:val="99"/>
    <w:rsid w:val="00C12558"/>
    <w:rPr>
      <w:color w:val="auto"/>
      <w:u w:val="none"/>
    </w:rPr>
  </w:style>
  <w:style w:type="character" w:styleId="Puslapionumeris">
    <w:name w:val="page number"/>
    <w:basedOn w:val="Numatytasispastraiposriftas"/>
    <w:uiPriority w:val="99"/>
    <w:rsid w:val="00C12558"/>
  </w:style>
  <w:style w:type="paragraph" w:styleId="Porat">
    <w:name w:val="footer"/>
    <w:basedOn w:val="prastasis"/>
    <w:link w:val="PoratDiagrama"/>
    <w:uiPriority w:val="99"/>
    <w:rsid w:val="00C12558"/>
    <w:pPr>
      <w:tabs>
        <w:tab w:val="center" w:pos="4819"/>
        <w:tab w:val="right" w:pos="9638"/>
      </w:tabs>
    </w:pPr>
  </w:style>
  <w:style w:type="character" w:customStyle="1" w:styleId="PoratDiagrama">
    <w:name w:val="Poraštė Diagrama"/>
    <w:basedOn w:val="Numatytasispastraiposriftas"/>
    <w:link w:val="Porat"/>
    <w:uiPriority w:val="99"/>
    <w:rsid w:val="00C12558"/>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C12558"/>
    <w:pPr>
      <w:jc w:val="both"/>
    </w:pPr>
  </w:style>
  <w:style w:type="character" w:customStyle="1" w:styleId="PagrindinistekstasDiagrama">
    <w:name w:val="Pagrindinis tekstas Diagrama"/>
    <w:basedOn w:val="Numatytasispastraiposriftas"/>
    <w:link w:val="Pagrindinistekstas"/>
    <w:uiPriority w:val="99"/>
    <w:rsid w:val="00C12558"/>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C12558"/>
    <w:pPr>
      <w:spacing w:after="160"/>
    </w:pPr>
    <w:rPr>
      <w:rFonts w:asciiTheme="minorHAnsi" w:eastAsiaTheme="minorHAnsi" w:hAnsiTheme="minorHAnsi" w:cstheme="minorBidi"/>
      <w:sz w:val="20"/>
      <w:szCs w:val="20"/>
      <w:lang w:val="en-GB"/>
    </w:rPr>
  </w:style>
  <w:style w:type="character" w:customStyle="1" w:styleId="KomentarotekstasDiagrama">
    <w:name w:val="Komentaro tekstas Diagrama"/>
    <w:basedOn w:val="Numatytasispastraiposriftas"/>
    <w:link w:val="Komentarotekstas"/>
    <w:uiPriority w:val="99"/>
    <w:rsid w:val="00C12558"/>
    <w:rPr>
      <w:sz w:val="20"/>
      <w:szCs w:val="20"/>
      <w:lang w:val="en-GB"/>
    </w:rPr>
  </w:style>
  <w:style w:type="table" w:styleId="Lentelstinklelis">
    <w:name w:val="Table Grid"/>
    <w:basedOn w:val="prastojilentel"/>
    <w:unhideWhenUsed/>
    <w:rsid w:val="00C1255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C12558"/>
    <w:pPr>
      <w:spacing w:before="100" w:beforeAutospacing="1" w:after="100" w:afterAutospacing="1"/>
    </w:pPr>
    <w:rPr>
      <w:lang w:eastAsia="lt-LT"/>
    </w:rPr>
  </w:style>
  <w:style w:type="paragraph" w:styleId="Debesliotekstas">
    <w:name w:val="Balloon Text"/>
    <w:basedOn w:val="prastasis"/>
    <w:link w:val="DebesliotekstasDiagrama"/>
    <w:uiPriority w:val="99"/>
    <w:semiHidden/>
    <w:unhideWhenUsed/>
    <w:rsid w:val="00066C4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6C42"/>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FF5FA8"/>
    <w:rPr>
      <w:sz w:val="16"/>
      <w:szCs w:val="16"/>
    </w:rPr>
  </w:style>
  <w:style w:type="paragraph" w:styleId="Komentarotema">
    <w:name w:val="annotation subject"/>
    <w:basedOn w:val="Komentarotekstas"/>
    <w:next w:val="Komentarotekstas"/>
    <w:link w:val="KomentarotemaDiagrama"/>
    <w:uiPriority w:val="99"/>
    <w:semiHidden/>
    <w:unhideWhenUsed/>
    <w:rsid w:val="00FF5FA8"/>
    <w:pPr>
      <w:spacing w:after="0"/>
    </w:pPr>
    <w:rPr>
      <w:rFonts w:ascii="Times New Roman" w:eastAsia="Times New Roman" w:hAnsi="Times New Roman" w:cs="Times New Roman"/>
      <w:b/>
      <w:bCs/>
      <w:lang w:val="lt-LT"/>
    </w:rPr>
  </w:style>
  <w:style w:type="character" w:customStyle="1" w:styleId="KomentarotemaDiagrama">
    <w:name w:val="Komentaro tema Diagrama"/>
    <w:basedOn w:val="KomentarotekstasDiagrama"/>
    <w:link w:val="Komentarotema"/>
    <w:uiPriority w:val="99"/>
    <w:semiHidden/>
    <w:rsid w:val="00FF5FA8"/>
    <w:rPr>
      <w:rFonts w:ascii="Times New Roman" w:eastAsia="Times New Roman" w:hAnsi="Times New Roman" w:cs="Times New Roman"/>
      <w:b/>
      <w:bCs/>
      <w:sz w:val="20"/>
      <w:szCs w:val="20"/>
      <w:lang w:val="en-GB"/>
    </w:rPr>
  </w:style>
  <w:style w:type="character" w:styleId="Neapdorotaspaminjimas">
    <w:name w:val="Unresolved Mention"/>
    <w:basedOn w:val="Numatytasispastraiposriftas"/>
    <w:uiPriority w:val="99"/>
    <w:semiHidden/>
    <w:unhideWhenUsed/>
    <w:rsid w:val="005135CF"/>
    <w:rPr>
      <w:color w:val="605E5C"/>
      <w:shd w:val="clear" w:color="auto" w:fill="E1DFDD"/>
    </w:rPr>
  </w:style>
  <w:style w:type="paragraph" w:customStyle="1" w:styleId="Default">
    <w:name w:val="Default"/>
    <w:rsid w:val="00A31032"/>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2351BA"/>
    <w:pPr>
      <w:ind w:left="720"/>
      <w:contextualSpacing/>
    </w:pPr>
  </w:style>
  <w:style w:type="paragraph" w:styleId="Betarp">
    <w:name w:val="No Spacing"/>
    <w:uiPriority w:val="1"/>
    <w:qFormat/>
    <w:rsid w:val="00B944A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8433345">
      <w:bodyDiv w:val="1"/>
      <w:marLeft w:val="0"/>
      <w:marRight w:val="0"/>
      <w:marTop w:val="0"/>
      <w:marBottom w:val="0"/>
      <w:divBdr>
        <w:top w:val="none" w:sz="0" w:space="0" w:color="auto"/>
        <w:left w:val="none" w:sz="0" w:space="0" w:color="auto"/>
        <w:bottom w:val="none" w:sz="0" w:space="0" w:color="auto"/>
        <w:right w:val="none" w:sz="0" w:space="0" w:color="auto"/>
      </w:divBdr>
    </w:div>
    <w:div w:id="708184130">
      <w:bodyDiv w:val="1"/>
      <w:marLeft w:val="0"/>
      <w:marRight w:val="0"/>
      <w:marTop w:val="0"/>
      <w:marBottom w:val="0"/>
      <w:divBdr>
        <w:top w:val="none" w:sz="0" w:space="0" w:color="auto"/>
        <w:left w:val="none" w:sz="0" w:space="0" w:color="auto"/>
        <w:bottom w:val="none" w:sz="0" w:space="0" w:color="auto"/>
        <w:right w:val="none" w:sz="0" w:space="0" w:color="auto"/>
      </w:divBdr>
    </w:div>
    <w:div w:id="1782644978">
      <w:bodyDiv w:val="1"/>
      <w:marLeft w:val="0"/>
      <w:marRight w:val="0"/>
      <w:marTop w:val="0"/>
      <w:marBottom w:val="0"/>
      <w:divBdr>
        <w:top w:val="none" w:sz="0" w:space="0" w:color="auto"/>
        <w:left w:val="none" w:sz="0" w:space="0" w:color="auto"/>
        <w:bottom w:val="none" w:sz="0" w:space="0" w:color="auto"/>
        <w:right w:val="none" w:sz="0" w:space="0" w:color="auto"/>
      </w:divBdr>
    </w:div>
    <w:div w:id="181424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zelika.oraite@sam.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www.sam.lt"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9FA4C5A92CDBE949A06EF8084D7145DA" ma:contentTypeVersion="15" ma:contentTypeDescription="Kurkite naują dokumentą." ma:contentTypeScope="" ma:versionID="7956014dab08dfc2b8af1ca80f6b796b">
  <xsd:schema xmlns:xsd="http://www.w3.org/2001/XMLSchema" xmlns:xs="http://www.w3.org/2001/XMLSchema" xmlns:p="http://schemas.microsoft.com/office/2006/metadata/properties" xmlns:ns1="http://schemas.microsoft.com/sharepoint/v3" xmlns:ns3="9e165b5a-7207-4207-9bd8-c3814e65aada" xmlns:ns4="cb093472-660b-43e6-b3fe-676ac63ced48" targetNamespace="http://schemas.microsoft.com/office/2006/metadata/properties" ma:root="true" ma:fieldsID="b711211c8daa6727531e3987e7f2d8f0" ns1:_="" ns3:_="" ns4:_="">
    <xsd:import namespace="http://schemas.microsoft.com/sharepoint/v3"/>
    <xsd:import namespace="9e165b5a-7207-4207-9bd8-c3814e65aada"/>
    <xsd:import namespace="cb093472-660b-43e6-b3fe-676ac63ced4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Bendrosios atitikties strategijos ypatybės" ma:hidden="true" ma:internalName="_ip_UnifiedCompliancePolicyProperties">
      <xsd:simpleType>
        <xsd:restriction base="dms:Note"/>
      </xsd:simpleType>
    </xsd:element>
    <xsd:element name="_ip_UnifiedCompliancePolicyUIAction" ma:index="22"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165b5a-7207-4207-9bd8-c3814e65a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093472-660b-43e6-b3fe-676ac63ced4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222C5D-0A4B-45CD-8347-21A81BED6C1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AF1D1FC-2FD9-46C0-9284-2037D8889BA6}">
  <ds:schemaRefs>
    <ds:schemaRef ds:uri="http://schemas.microsoft.com/sharepoint/v3/contenttype/forms"/>
  </ds:schemaRefs>
</ds:datastoreItem>
</file>

<file path=customXml/itemProps3.xml><?xml version="1.0" encoding="utf-8"?>
<ds:datastoreItem xmlns:ds="http://schemas.openxmlformats.org/officeDocument/2006/customXml" ds:itemID="{274C7FE6-E24D-4330-8FE6-900C8A0EA313}">
  <ds:schemaRefs>
    <ds:schemaRef ds:uri="http://schemas.openxmlformats.org/officeDocument/2006/bibliography"/>
  </ds:schemaRefs>
</ds:datastoreItem>
</file>

<file path=customXml/itemProps4.xml><?xml version="1.0" encoding="utf-8"?>
<ds:datastoreItem xmlns:ds="http://schemas.openxmlformats.org/officeDocument/2006/customXml" ds:itemID="{7BE9F4BB-1B02-4D83-ABB5-57059229B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165b5a-7207-4207-9bd8-c3814e65aada"/>
    <ds:schemaRef ds:uri="cb093472-660b-43e6-b3fe-676ac63ce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3960</Words>
  <Characters>2258</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Aušrinė Storpirštienė</dc:creator>
  <cp:keywords/>
  <dc:description/>
  <cp:lastModifiedBy>Jolita Volkavičienė</cp:lastModifiedBy>
  <cp:revision>14</cp:revision>
  <cp:lastPrinted>2020-08-19T07:14:00Z</cp:lastPrinted>
  <dcterms:created xsi:type="dcterms:W3CDTF">2021-02-02T08:35:00Z</dcterms:created>
  <dcterms:modified xsi:type="dcterms:W3CDTF">2021-02-02T13:45:00Z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0x0101009FA4C5A92CDBE949A06EF8084D7145DA</vt:lpwstr>
  </property>
</Properties>
</file>